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wmf" ContentType="image/x-wmf"/>
  <Override PartName="/word/footer6.xml" ContentType="application/vnd.openxmlformats-officedocument.wordprocessingml.footer+xml"/>
  <Default Extension="emf" ContentType="image/x-emf"/>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75650" w:rsidRDefault="00475650">
      <w:pPr>
        <w:spacing w:line="360" w:lineRule="auto"/>
        <w:ind w:firstLine="560"/>
        <w:rPr>
          <w:rFonts w:hAnsi="宋体"/>
          <w:sz w:val="24"/>
        </w:rPr>
      </w:pPr>
      <w:bookmarkStart w:id="0" w:name="_Toc269712203"/>
      <w:bookmarkStart w:id="1" w:name="_Toc270836897"/>
      <w:bookmarkStart w:id="2" w:name="_Toc270866987"/>
      <w:bookmarkStart w:id="3" w:name="_Toc269670508"/>
      <w:bookmarkStart w:id="4" w:name="_Toc269712474"/>
      <w:bookmarkStart w:id="5" w:name="_Toc269809121"/>
      <w:bookmarkStart w:id="6" w:name="_Toc270752771"/>
      <w:bookmarkStart w:id="7" w:name="_Toc270622532"/>
      <w:bookmarkStart w:id="8" w:name="_Toc147033237"/>
      <w:bookmarkStart w:id="9" w:name="_Toc269630349"/>
      <w:bookmarkStart w:id="10" w:name="_Toc269630435"/>
      <w:bookmarkStart w:id="11" w:name="_Toc203815122"/>
      <w:bookmarkStart w:id="12" w:name="_Toc147033252"/>
    </w:p>
    <w:p w:rsidR="00475650" w:rsidRDefault="00475650">
      <w:pPr>
        <w:spacing w:line="360" w:lineRule="auto"/>
        <w:ind w:firstLine="560"/>
        <w:rPr>
          <w:sz w:val="24"/>
        </w:rPr>
      </w:pPr>
      <w:r>
        <w:rPr>
          <w:rFonts w:hAnsi="宋体"/>
          <w:sz w:val="24"/>
        </w:rPr>
        <w:t>国环评证</w:t>
      </w:r>
      <w:r>
        <w:rPr>
          <w:sz w:val="24"/>
        </w:rPr>
        <w:t xml:space="preserve"> </w:t>
      </w:r>
      <w:r>
        <w:rPr>
          <w:rFonts w:hAnsi="宋体"/>
          <w:sz w:val="24"/>
        </w:rPr>
        <w:t>甲字</w:t>
      </w:r>
      <w:r>
        <w:rPr>
          <w:sz w:val="24"/>
        </w:rPr>
        <w:t xml:space="preserve"> </w:t>
      </w:r>
      <w:r>
        <w:rPr>
          <w:rFonts w:hAnsi="宋体"/>
          <w:sz w:val="24"/>
        </w:rPr>
        <w:t>第</w:t>
      </w:r>
      <w:r>
        <w:rPr>
          <w:sz w:val="24"/>
        </w:rPr>
        <w:t>2702</w:t>
      </w:r>
      <w:r>
        <w:rPr>
          <w:rFonts w:hAnsi="宋体"/>
          <w:sz w:val="24"/>
        </w:rPr>
        <w:t>号</w:t>
      </w:r>
    </w:p>
    <w:p w:rsidR="00475650" w:rsidRDefault="00475650">
      <w:pPr>
        <w:spacing w:line="360" w:lineRule="auto"/>
        <w:ind w:firstLine="560"/>
        <w:rPr>
          <w:sz w:val="24"/>
          <w:vertAlign w:val="subscript"/>
        </w:rPr>
      </w:pPr>
    </w:p>
    <w:p w:rsidR="00475650" w:rsidRDefault="00475650">
      <w:pPr>
        <w:spacing w:line="360" w:lineRule="auto"/>
        <w:ind w:firstLine="560"/>
        <w:rPr>
          <w:sz w:val="24"/>
          <w:vertAlign w:val="subscript"/>
        </w:rPr>
      </w:pPr>
    </w:p>
    <w:p w:rsidR="00475650" w:rsidRDefault="00475650">
      <w:pPr>
        <w:pStyle w:val="afffffffff2"/>
        <w:spacing w:line="360" w:lineRule="auto"/>
        <w:jc w:val="center"/>
        <w:rPr>
          <w:rFonts w:ascii="Times New Roman" w:hAnsi="Times New Roman" w:cs="Times New Roman"/>
          <w:b/>
          <w:sz w:val="36"/>
          <w:szCs w:val="36"/>
        </w:rPr>
      </w:pPr>
      <w:r>
        <w:rPr>
          <w:rFonts w:ascii="Times New Roman" w:hAnsi="宋体" w:cs="Times New Roman"/>
          <w:sz w:val="36"/>
          <w:szCs w:val="36"/>
        </w:rPr>
        <w:t>临湘市鹏程化工有限公司</w:t>
      </w:r>
    </w:p>
    <w:p w:rsidR="00475650" w:rsidRDefault="00475650">
      <w:pPr>
        <w:pStyle w:val="afffffffff2"/>
        <w:spacing w:line="360" w:lineRule="auto"/>
        <w:jc w:val="center"/>
        <w:rPr>
          <w:rFonts w:ascii="Times New Roman" w:hAnsi="Times New Roman" w:cs="Times New Roman"/>
          <w:b/>
          <w:sz w:val="36"/>
          <w:szCs w:val="36"/>
        </w:rPr>
      </w:pPr>
      <w:r>
        <w:rPr>
          <w:rFonts w:ascii="Times New Roman" w:hAnsi="宋体" w:cs="Times New Roman"/>
          <w:sz w:val="36"/>
          <w:szCs w:val="36"/>
        </w:rPr>
        <w:t>年产</w:t>
      </w:r>
      <w:r>
        <w:rPr>
          <w:rFonts w:ascii="Times New Roman" w:hAnsi="Times New Roman" w:cs="Times New Roman"/>
          <w:sz w:val="36"/>
          <w:szCs w:val="36"/>
        </w:rPr>
        <w:t>6000</w:t>
      </w:r>
      <w:r>
        <w:rPr>
          <w:rFonts w:ascii="Times New Roman" w:hAnsi="宋体" w:cs="Times New Roman"/>
          <w:sz w:val="36"/>
          <w:szCs w:val="36"/>
        </w:rPr>
        <w:t>吨弱酸性染料建设项目</w:t>
      </w:r>
    </w:p>
    <w:p w:rsidR="00475650" w:rsidRDefault="00475650">
      <w:pPr>
        <w:spacing w:line="360" w:lineRule="auto"/>
        <w:ind w:firstLineChars="35" w:firstLine="112"/>
        <w:jc w:val="center"/>
        <w:outlineLvl w:val="0"/>
        <w:rPr>
          <w:sz w:val="32"/>
          <w:szCs w:val="32"/>
        </w:rPr>
      </w:pPr>
    </w:p>
    <w:p w:rsidR="00475650" w:rsidRDefault="00475650">
      <w:pPr>
        <w:spacing w:line="360" w:lineRule="auto"/>
        <w:jc w:val="center"/>
        <w:outlineLvl w:val="0"/>
        <w:rPr>
          <w:bCs/>
          <w:spacing w:val="40"/>
          <w:sz w:val="84"/>
          <w:szCs w:val="84"/>
        </w:rPr>
      </w:pPr>
      <w:bookmarkStart w:id="13" w:name="_Toc334080705"/>
      <w:bookmarkStart w:id="14" w:name="_Toc333229850"/>
      <w:bookmarkStart w:id="15" w:name="_Toc334014063"/>
      <w:bookmarkStart w:id="16" w:name="_Toc448999029"/>
      <w:bookmarkStart w:id="17" w:name="_Toc465676921"/>
      <w:bookmarkStart w:id="18" w:name="_Toc32626"/>
      <w:r>
        <w:rPr>
          <w:rFonts w:hAnsi="宋体"/>
          <w:bCs/>
          <w:spacing w:val="40"/>
          <w:sz w:val="84"/>
          <w:szCs w:val="84"/>
        </w:rPr>
        <w:t>环境影响报告书</w:t>
      </w:r>
      <w:bookmarkEnd w:id="13"/>
      <w:bookmarkEnd w:id="14"/>
      <w:bookmarkEnd w:id="15"/>
      <w:bookmarkEnd w:id="16"/>
      <w:bookmarkEnd w:id="17"/>
      <w:bookmarkEnd w:id="18"/>
    </w:p>
    <w:p w:rsidR="00475650" w:rsidRDefault="00475650">
      <w:pPr>
        <w:spacing w:line="360" w:lineRule="auto"/>
        <w:jc w:val="center"/>
        <w:outlineLvl w:val="0"/>
        <w:rPr>
          <w:bCs/>
          <w:sz w:val="32"/>
          <w:szCs w:val="32"/>
        </w:rPr>
      </w:pPr>
      <w:bookmarkStart w:id="19" w:name="_Toc334080706"/>
      <w:bookmarkStart w:id="20" w:name="_Toc333229851"/>
      <w:bookmarkStart w:id="21" w:name="_Toc334014064"/>
      <w:bookmarkStart w:id="22" w:name="_Toc448999030"/>
      <w:bookmarkStart w:id="23" w:name="_Toc465676922"/>
      <w:bookmarkStart w:id="24" w:name="_Toc5892"/>
      <w:r>
        <w:rPr>
          <w:bCs/>
          <w:sz w:val="32"/>
          <w:szCs w:val="32"/>
        </w:rPr>
        <w:t>(</w:t>
      </w:r>
      <w:r w:rsidR="00C27394">
        <w:rPr>
          <w:rFonts w:hint="eastAsia"/>
          <w:bCs/>
          <w:sz w:val="32"/>
          <w:szCs w:val="32"/>
        </w:rPr>
        <w:t>报批</w:t>
      </w:r>
      <w:r>
        <w:rPr>
          <w:rFonts w:hAnsi="宋体"/>
          <w:bCs/>
          <w:sz w:val="32"/>
          <w:szCs w:val="32"/>
        </w:rPr>
        <w:t>稿</w:t>
      </w:r>
      <w:r>
        <w:rPr>
          <w:bCs/>
          <w:sz w:val="32"/>
          <w:szCs w:val="32"/>
        </w:rPr>
        <w:t>)</w:t>
      </w:r>
      <w:bookmarkEnd w:id="19"/>
      <w:bookmarkEnd w:id="20"/>
      <w:bookmarkEnd w:id="21"/>
      <w:bookmarkEnd w:id="22"/>
      <w:bookmarkEnd w:id="23"/>
      <w:bookmarkEnd w:id="24"/>
    </w:p>
    <w:p w:rsidR="00475650" w:rsidRDefault="00475650">
      <w:pPr>
        <w:spacing w:line="360" w:lineRule="auto"/>
        <w:ind w:firstLine="560"/>
        <w:jc w:val="center"/>
        <w:rPr>
          <w:sz w:val="24"/>
        </w:rPr>
      </w:pPr>
    </w:p>
    <w:p w:rsidR="00475650" w:rsidRDefault="00475650">
      <w:pPr>
        <w:spacing w:line="360" w:lineRule="auto"/>
        <w:ind w:firstLine="560"/>
        <w:jc w:val="center"/>
        <w:rPr>
          <w:sz w:val="24"/>
        </w:rPr>
      </w:pPr>
    </w:p>
    <w:p w:rsidR="00475650" w:rsidRDefault="00475650">
      <w:pPr>
        <w:spacing w:line="360" w:lineRule="auto"/>
        <w:ind w:firstLine="560"/>
        <w:jc w:val="center"/>
        <w:rPr>
          <w:sz w:val="24"/>
        </w:rPr>
      </w:pPr>
    </w:p>
    <w:p w:rsidR="00475650" w:rsidRDefault="00475650">
      <w:pPr>
        <w:spacing w:line="360" w:lineRule="auto"/>
        <w:ind w:firstLine="560"/>
        <w:jc w:val="center"/>
        <w:rPr>
          <w:sz w:val="24"/>
        </w:rPr>
      </w:pPr>
    </w:p>
    <w:p w:rsidR="00475650" w:rsidRDefault="00475650">
      <w:pPr>
        <w:spacing w:line="360" w:lineRule="auto"/>
        <w:ind w:firstLine="560"/>
        <w:jc w:val="center"/>
        <w:rPr>
          <w:sz w:val="24"/>
        </w:rPr>
      </w:pPr>
    </w:p>
    <w:p w:rsidR="00475650" w:rsidRDefault="00475650">
      <w:pPr>
        <w:spacing w:line="360" w:lineRule="auto"/>
        <w:ind w:firstLine="560"/>
        <w:jc w:val="center"/>
        <w:rPr>
          <w:sz w:val="24"/>
        </w:rPr>
      </w:pPr>
    </w:p>
    <w:p w:rsidR="00475650" w:rsidRDefault="00475650">
      <w:pPr>
        <w:spacing w:line="360" w:lineRule="auto"/>
        <w:ind w:firstLine="560"/>
        <w:jc w:val="center"/>
        <w:rPr>
          <w:sz w:val="24"/>
        </w:rPr>
      </w:pPr>
    </w:p>
    <w:p w:rsidR="00475650" w:rsidRDefault="00475650">
      <w:pPr>
        <w:spacing w:line="360" w:lineRule="auto"/>
        <w:ind w:firstLine="560"/>
        <w:jc w:val="center"/>
        <w:rPr>
          <w:sz w:val="24"/>
        </w:rPr>
      </w:pPr>
    </w:p>
    <w:p w:rsidR="00475650" w:rsidRDefault="00475650">
      <w:pPr>
        <w:spacing w:line="360" w:lineRule="auto"/>
        <w:ind w:firstLine="560"/>
        <w:jc w:val="center"/>
        <w:rPr>
          <w:sz w:val="24"/>
        </w:rPr>
      </w:pPr>
    </w:p>
    <w:p w:rsidR="00475650" w:rsidRDefault="00475650">
      <w:pPr>
        <w:spacing w:line="360" w:lineRule="auto"/>
        <w:ind w:firstLine="560"/>
        <w:jc w:val="center"/>
        <w:rPr>
          <w:sz w:val="24"/>
        </w:rPr>
      </w:pPr>
    </w:p>
    <w:p w:rsidR="00475650" w:rsidRDefault="00475650">
      <w:pPr>
        <w:spacing w:line="360" w:lineRule="auto"/>
        <w:ind w:firstLine="560"/>
        <w:jc w:val="center"/>
        <w:rPr>
          <w:sz w:val="24"/>
        </w:rPr>
      </w:pPr>
    </w:p>
    <w:p w:rsidR="00475650" w:rsidRDefault="00475650">
      <w:pPr>
        <w:spacing w:line="360" w:lineRule="auto"/>
        <w:ind w:firstLine="560"/>
        <w:jc w:val="center"/>
        <w:rPr>
          <w:sz w:val="24"/>
        </w:rPr>
      </w:pPr>
    </w:p>
    <w:p w:rsidR="00475650" w:rsidRDefault="00475650">
      <w:pPr>
        <w:spacing w:line="360" w:lineRule="auto"/>
        <w:ind w:firstLine="560"/>
        <w:jc w:val="center"/>
        <w:rPr>
          <w:sz w:val="24"/>
        </w:rPr>
      </w:pPr>
    </w:p>
    <w:p w:rsidR="00475650" w:rsidRDefault="00475650">
      <w:pPr>
        <w:spacing w:line="360" w:lineRule="auto"/>
        <w:ind w:firstLine="560"/>
        <w:jc w:val="center"/>
        <w:rPr>
          <w:sz w:val="24"/>
        </w:rPr>
      </w:pPr>
    </w:p>
    <w:p w:rsidR="00475650" w:rsidRDefault="00475650">
      <w:pPr>
        <w:spacing w:line="360" w:lineRule="auto"/>
        <w:ind w:firstLine="560"/>
        <w:jc w:val="center"/>
        <w:rPr>
          <w:sz w:val="24"/>
        </w:rPr>
      </w:pPr>
    </w:p>
    <w:p w:rsidR="00475650" w:rsidRDefault="00475650">
      <w:pPr>
        <w:spacing w:line="360" w:lineRule="auto"/>
        <w:rPr>
          <w:sz w:val="30"/>
          <w:szCs w:val="30"/>
        </w:rPr>
      </w:pPr>
    </w:p>
    <w:p w:rsidR="00475650" w:rsidRDefault="00475650" w:rsidP="00475650">
      <w:pPr>
        <w:spacing w:line="360" w:lineRule="auto"/>
        <w:ind w:firstLineChars="49" w:firstLine="167"/>
        <w:jc w:val="center"/>
        <w:rPr>
          <w:bCs/>
          <w:spacing w:val="20"/>
          <w:sz w:val="30"/>
          <w:szCs w:val="30"/>
        </w:rPr>
      </w:pPr>
      <w:r>
        <w:rPr>
          <w:rFonts w:hAnsi="宋体"/>
          <w:bCs/>
          <w:spacing w:val="20"/>
          <w:sz w:val="30"/>
          <w:szCs w:val="30"/>
        </w:rPr>
        <w:t>湖南省环境保护科学研究院</w:t>
      </w:r>
    </w:p>
    <w:p w:rsidR="00475650" w:rsidRDefault="00475650" w:rsidP="00475650">
      <w:pPr>
        <w:spacing w:line="360" w:lineRule="auto"/>
        <w:ind w:firstLineChars="49" w:firstLine="167"/>
        <w:jc w:val="center"/>
        <w:rPr>
          <w:bCs/>
          <w:spacing w:val="20"/>
          <w:sz w:val="30"/>
          <w:szCs w:val="30"/>
        </w:rPr>
      </w:pPr>
      <w:r>
        <w:rPr>
          <w:rFonts w:hAnsi="宋体"/>
          <w:bCs/>
          <w:spacing w:val="20"/>
          <w:sz w:val="30"/>
          <w:szCs w:val="30"/>
        </w:rPr>
        <w:t>二</w:t>
      </w:r>
      <w:r>
        <w:rPr>
          <w:bCs/>
          <w:spacing w:val="20"/>
          <w:sz w:val="30"/>
          <w:szCs w:val="30"/>
        </w:rPr>
        <w:t>О</w:t>
      </w:r>
      <w:r>
        <w:rPr>
          <w:rFonts w:hAnsi="宋体"/>
          <w:bCs/>
          <w:spacing w:val="20"/>
          <w:sz w:val="30"/>
          <w:szCs w:val="30"/>
        </w:rPr>
        <w:t>一六年</w:t>
      </w:r>
      <w:r>
        <w:rPr>
          <w:rFonts w:hAnsi="宋体" w:hint="eastAsia"/>
          <w:bCs/>
          <w:spacing w:val="20"/>
          <w:sz w:val="30"/>
          <w:szCs w:val="30"/>
        </w:rPr>
        <w:t>十二</w:t>
      </w:r>
      <w:r>
        <w:rPr>
          <w:rFonts w:hAnsi="宋体"/>
          <w:bCs/>
          <w:spacing w:val="20"/>
          <w:sz w:val="30"/>
          <w:szCs w:val="30"/>
        </w:rPr>
        <w:t>月</w:t>
      </w:r>
    </w:p>
    <w:p w:rsidR="00475650" w:rsidRDefault="00475650" w:rsidP="00475650">
      <w:pPr>
        <w:spacing w:line="360" w:lineRule="auto"/>
        <w:ind w:firstLineChars="49" w:firstLine="167"/>
        <w:jc w:val="center"/>
        <w:rPr>
          <w:bCs/>
          <w:spacing w:val="20"/>
          <w:sz w:val="30"/>
          <w:szCs w:val="30"/>
        </w:rPr>
        <w:sectPr w:rsidR="00475650">
          <w:headerReference w:type="default" r:id="rId7"/>
          <w:footerReference w:type="even" r:id="rId8"/>
          <w:pgSz w:w="11906" w:h="16838"/>
          <w:pgMar w:top="1440" w:right="1588" w:bottom="1440" w:left="1588" w:header="851" w:footer="992" w:gutter="0"/>
          <w:paperSrc w:first="7" w:other="7"/>
          <w:cols w:space="720"/>
          <w:docGrid w:linePitch="312"/>
        </w:sectPr>
      </w:pPr>
      <w:r>
        <w:rPr>
          <w:bCs/>
          <w:spacing w:val="20"/>
          <w:sz w:val="30"/>
          <w:szCs w:val="30"/>
        </w:rPr>
        <w:lastRenderedPageBreak/>
        <w:br w:type="page"/>
      </w:r>
    </w:p>
    <w:tbl>
      <w:tblPr>
        <w:tblW w:w="0" w:type="auto"/>
        <w:jc w:val="center"/>
        <w:tblLayout w:type="fixed"/>
        <w:tblLook w:val="0000"/>
      </w:tblPr>
      <w:tblGrid>
        <w:gridCol w:w="2168"/>
        <w:gridCol w:w="256"/>
        <w:gridCol w:w="6521"/>
        <w:gridCol w:w="373"/>
      </w:tblGrid>
      <w:tr w:rsidR="00475650">
        <w:trPr>
          <w:trHeight w:val="567"/>
          <w:jc w:val="center"/>
        </w:trPr>
        <w:tc>
          <w:tcPr>
            <w:tcW w:w="2254" w:type="dxa"/>
            <w:vAlign w:val="center"/>
          </w:tcPr>
          <w:p w:rsidR="00475650" w:rsidRDefault="00475650">
            <w:pPr>
              <w:spacing w:line="360" w:lineRule="auto"/>
              <w:jc w:val="distribute"/>
              <w:rPr>
                <w:sz w:val="32"/>
                <w:szCs w:val="32"/>
              </w:rPr>
            </w:pPr>
          </w:p>
          <w:p w:rsidR="00475650" w:rsidRDefault="00475650">
            <w:pPr>
              <w:spacing w:line="360" w:lineRule="auto"/>
              <w:jc w:val="distribute"/>
              <w:rPr>
                <w:sz w:val="32"/>
                <w:szCs w:val="32"/>
              </w:rPr>
            </w:pPr>
            <w:r>
              <w:rPr>
                <w:rFonts w:hAnsi="宋体"/>
                <w:sz w:val="32"/>
                <w:szCs w:val="32"/>
              </w:rPr>
              <w:t>项目名称</w:t>
            </w:r>
          </w:p>
        </w:tc>
        <w:tc>
          <w:tcPr>
            <w:tcW w:w="257" w:type="dxa"/>
            <w:vAlign w:val="center"/>
          </w:tcPr>
          <w:p w:rsidR="00475650" w:rsidRDefault="00475650">
            <w:pPr>
              <w:spacing w:line="360" w:lineRule="auto"/>
              <w:rPr>
                <w:sz w:val="32"/>
                <w:szCs w:val="32"/>
              </w:rPr>
            </w:pPr>
          </w:p>
          <w:p w:rsidR="00475650" w:rsidRDefault="00475650">
            <w:pPr>
              <w:spacing w:line="360" w:lineRule="auto"/>
              <w:rPr>
                <w:sz w:val="32"/>
                <w:szCs w:val="32"/>
              </w:rPr>
            </w:pPr>
            <w:r>
              <w:rPr>
                <w:rFonts w:hAnsi="宋体"/>
                <w:sz w:val="32"/>
                <w:szCs w:val="32"/>
              </w:rPr>
              <w:t>：</w:t>
            </w:r>
          </w:p>
        </w:tc>
        <w:tc>
          <w:tcPr>
            <w:tcW w:w="6807" w:type="dxa"/>
            <w:gridSpan w:val="2"/>
            <w:vAlign w:val="center"/>
          </w:tcPr>
          <w:p w:rsidR="00475650" w:rsidRDefault="00475650">
            <w:pPr>
              <w:spacing w:line="360" w:lineRule="auto"/>
              <w:rPr>
                <w:spacing w:val="-8"/>
                <w:sz w:val="32"/>
                <w:szCs w:val="32"/>
              </w:rPr>
            </w:pPr>
          </w:p>
          <w:p w:rsidR="00475650" w:rsidRDefault="00475650">
            <w:pPr>
              <w:spacing w:line="360" w:lineRule="auto"/>
              <w:rPr>
                <w:spacing w:val="-8"/>
                <w:sz w:val="32"/>
                <w:szCs w:val="32"/>
              </w:rPr>
            </w:pPr>
          </w:p>
          <w:p w:rsidR="00475650" w:rsidRDefault="00475650">
            <w:pPr>
              <w:spacing w:line="360" w:lineRule="auto"/>
              <w:rPr>
                <w:spacing w:val="-8"/>
                <w:sz w:val="32"/>
                <w:szCs w:val="32"/>
              </w:rPr>
            </w:pPr>
            <w:r>
              <w:rPr>
                <w:rFonts w:hAnsi="宋体"/>
                <w:spacing w:val="-8"/>
                <w:sz w:val="32"/>
                <w:szCs w:val="32"/>
              </w:rPr>
              <w:t>临湘市鹏程化工有限公司年产</w:t>
            </w:r>
            <w:r>
              <w:rPr>
                <w:spacing w:val="-8"/>
                <w:sz w:val="32"/>
                <w:szCs w:val="32"/>
              </w:rPr>
              <w:t>6000</w:t>
            </w:r>
            <w:r>
              <w:rPr>
                <w:rFonts w:hAnsi="宋体"/>
                <w:spacing w:val="-8"/>
                <w:sz w:val="32"/>
                <w:szCs w:val="32"/>
              </w:rPr>
              <w:t>吨</w:t>
            </w:r>
          </w:p>
          <w:p w:rsidR="00475650" w:rsidRDefault="00475650">
            <w:pPr>
              <w:spacing w:line="360" w:lineRule="auto"/>
              <w:rPr>
                <w:sz w:val="32"/>
                <w:szCs w:val="32"/>
              </w:rPr>
            </w:pPr>
            <w:r>
              <w:rPr>
                <w:rFonts w:hAnsi="宋体"/>
                <w:spacing w:val="-8"/>
                <w:sz w:val="32"/>
                <w:szCs w:val="32"/>
              </w:rPr>
              <w:t>弱酸性染料建设项</w:t>
            </w:r>
            <w:r>
              <w:rPr>
                <w:rFonts w:hAnsi="宋体" w:hint="eastAsia"/>
                <w:spacing w:val="-8"/>
                <w:sz w:val="32"/>
                <w:szCs w:val="32"/>
              </w:rPr>
              <w:t>目</w:t>
            </w:r>
          </w:p>
        </w:tc>
      </w:tr>
      <w:tr w:rsidR="00475650">
        <w:trPr>
          <w:trHeight w:val="567"/>
          <w:jc w:val="center"/>
        </w:trPr>
        <w:tc>
          <w:tcPr>
            <w:tcW w:w="2254" w:type="dxa"/>
            <w:vAlign w:val="center"/>
          </w:tcPr>
          <w:p w:rsidR="00475650" w:rsidRDefault="00475650">
            <w:pPr>
              <w:spacing w:line="360" w:lineRule="auto"/>
              <w:jc w:val="distribute"/>
              <w:rPr>
                <w:sz w:val="32"/>
                <w:szCs w:val="32"/>
              </w:rPr>
            </w:pPr>
            <w:r>
              <w:rPr>
                <w:rFonts w:hAnsi="宋体"/>
                <w:sz w:val="32"/>
                <w:szCs w:val="32"/>
              </w:rPr>
              <w:t>项目建设单位</w:t>
            </w:r>
          </w:p>
        </w:tc>
        <w:tc>
          <w:tcPr>
            <w:tcW w:w="257" w:type="dxa"/>
            <w:vAlign w:val="center"/>
          </w:tcPr>
          <w:p w:rsidR="00475650" w:rsidRDefault="00475650">
            <w:pPr>
              <w:spacing w:line="360" w:lineRule="auto"/>
              <w:rPr>
                <w:sz w:val="32"/>
                <w:szCs w:val="32"/>
              </w:rPr>
            </w:pPr>
            <w:r>
              <w:rPr>
                <w:rFonts w:hAnsi="宋体"/>
                <w:sz w:val="32"/>
                <w:szCs w:val="32"/>
              </w:rPr>
              <w:t>：</w:t>
            </w:r>
          </w:p>
        </w:tc>
        <w:tc>
          <w:tcPr>
            <w:tcW w:w="6807" w:type="dxa"/>
            <w:gridSpan w:val="2"/>
            <w:vAlign w:val="center"/>
          </w:tcPr>
          <w:p w:rsidR="00475650" w:rsidRDefault="00475650">
            <w:pPr>
              <w:widowControl/>
              <w:spacing w:line="360" w:lineRule="auto"/>
              <w:jc w:val="left"/>
              <w:rPr>
                <w:sz w:val="32"/>
                <w:szCs w:val="32"/>
              </w:rPr>
            </w:pPr>
            <w:r>
              <w:rPr>
                <w:rFonts w:hAnsi="宋体"/>
                <w:spacing w:val="-8"/>
                <w:sz w:val="32"/>
                <w:szCs w:val="32"/>
              </w:rPr>
              <w:t>临湘市鹏程化工有限公司</w:t>
            </w:r>
          </w:p>
        </w:tc>
      </w:tr>
      <w:tr w:rsidR="00475650">
        <w:trPr>
          <w:jc w:val="center"/>
        </w:trPr>
        <w:tc>
          <w:tcPr>
            <w:tcW w:w="2254" w:type="dxa"/>
            <w:vAlign w:val="center"/>
          </w:tcPr>
          <w:p w:rsidR="00475650" w:rsidRDefault="00475650">
            <w:pPr>
              <w:spacing w:line="360" w:lineRule="auto"/>
              <w:jc w:val="distribute"/>
              <w:rPr>
                <w:sz w:val="32"/>
                <w:szCs w:val="32"/>
              </w:rPr>
            </w:pPr>
          </w:p>
          <w:p w:rsidR="00475650" w:rsidRDefault="00475650">
            <w:pPr>
              <w:spacing w:line="360" w:lineRule="auto"/>
              <w:jc w:val="distribute"/>
              <w:rPr>
                <w:sz w:val="32"/>
                <w:szCs w:val="32"/>
              </w:rPr>
            </w:pPr>
            <w:r>
              <w:rPr>
                <w:rFonts w:hAnsi="宋体"/>
                <w:sz w:val="32"/>
                <w:szCs w:val="32"/>
              </w:rPr>
              <w:t>项目承担单位</w:t>
            </w:r>
          </w:p>
        </w:tc>
        <w:tc>
          <w:tcPr>
            <w:tcW w:w="257" w:type="dxa"/>
            <w:vAlign w:val="center"/>
          </w:tcPr>
          <w:p w:rsidR="00475650" w:rsidRDefault="00475650">
            <w:pPr>
              <w:spacing w:line="360" w:lineRule="auto"/>
              <w:rPr>
                <w:sz w:val="32"/>
                <w:szCs w:val="32"/>
              </w:rPr>
            </w:pPr>
          </w:p>
          <w:p w:rsidR="00475650" w:rsidRDefault="00475650">
            <w:pPr>
              <w:spacing w:line="360" w:lineRule="auto"/>
              <w:rPr>
                <w:sz w:val="32"/>
                <w:szCs w:val="32"/>
              </w:rPr>
            </w:pPr>
            <w:r>
              <w:rPr>
                <w:rFonts w:hAnsi="宋体"/>
                <w:sz w:val="32"/>
                <w:szCs w:val="32"/>
              </w:rPr>
              <w:t>：</w:t>
            </w:r>
          </w:p>
        </w:tc>
        <w:tc>
          <w:tcPr>
            <w:tcW w:w="6807" w:type="dxa"/>
            <w:gridSpan w:val="2"/>
            <w:vAlign w:val="center"/>
          </w:tcPr>
          <w:p w:rsidR="00475650" w:rsidRDefault="00475650">
            <w:pPr>
              <w:widowControl/>
              <w:spacing w:line="360" w:lineRule="auto"/>
              <w:jc w:val="left"/>
              <w:rPr>
                <w:sz w:val="32"/>
                <w:szCs w:val="32"/>
              </w:rPr>
            </w:pPr>
          </w:p>
          <w:p w:rsidR="00475650" w:rsidRDefault="00475650">
            <w:pPr>
              <w:widowControl/>
              <w:spacing w:line="360" w:lineRule="auto"/>
              <w:jc w:val="left"/>
              <w:rPr>
                <w:sz w:val="32"/>
                <w:szCs w:val="32"/>
              </w:rPr>
            </w:pPr>
            <w:r>
              <w:rPr>
                <w:rFonts w:hAnsi="宋体"/>
                <w:sz w:val="32"/>
                <w:szCs w:val="32"/>
              </w:rPr>
              <w:t>湖南省环境保护科学研究院</w:t>
            </w:r>
          </w:p>
        </w:tc>
      </w:tr>
      <w:tr w:rsidR="00475650">
        <w:trPr>
          <w:jc w:val="center"/>
        </w:trPr>
        <w:tc>
          <w:tcPr>
            <w:tcW w:w="2254" w:type="dxa"/>
            <w:vAlign w:val="center"/>
          </w:tcPr>
          <w:p w:rsidR="00475650" w:rsidRDefault="00475650">
            <w:pPr>
              <w:spacing w:line="360" w:lineRule="auto"/>
              <w:jc w:val="distribute"/>
              <w:rPr>
                <w:sz w:val="32"/>
                <w:szCs w:val="32"/>
              </w:rPr>
            </w:pPr>
            <w:r>
              <w:rPr>
                <w:rFonts w:hAnsi="宋体"/>
                <w:sz w:val="32"/>
                <w:szCs w:val="32"/>
              </w:rPr>
              <w:t>评价证书编号</w:t>
            </w:r>
          </w:p>
        </w:tc>
        <w:tc>
          <w:tcPr>
            <w:tcW w:w="257" w:type="dxa"/>
            <w:vAlign w:val="center"/>
          </w:tcPr>
          <w:p w:rsidR="00475650" w:rsidRDefault="00475650">
            <w:pPr>
              <w:spacing w:line="360" w:lineRule="auto"/>
              <w:rPr>
                <w:sz w:val="32"/>
                <w:szCs w:val="32"/>
              </w:rPr>
            </w:pPr>
            <w:r>
              <w:rPr>
                <w:rFonts w:hAnsi="宋体"/>
                <w:sz w:val="32"/>
                <w:szCs w:val="32"/>
              </w:rPr>
              <w:t>：</w:t>
            </w:r>
          </w:p>
        </w:tc>
        <w:tc>
          <w:tcPr>
            <w:tcW w:w="6807" w:type="dxa"/>
            <w:gridSpan w:val="2"/>
            <w:vAlign w:val="center"/>
          </w:tcPr>
          <w:p w:rsidR="00475650" w:rsidRDefault="00475650">
            <w:pPr>
              <w:widowControl/>
              <w:spacing w:line="360" w:lineRule="auto"/>
              <w:jc w:val="left"/>
              <w:rPr>
                <w:sz w:val="32"/>
                <w:szCs w:val="32"/>
              </w:rPr>
            </w:pPr>
            <w:r>
              <w:rPr>
                <w:rFonts w:hAnsi="宋体"/>
                <w:sz w:val="32"/>
                <w:szCs w:val="32"/>
              </w:rPr>
              <w:t>国环评证甲字第</w:t>
            </w:r>
            <w:r>
              <w:rPr>
                <w:sz w:val="32"/>
                <w:szCs w:val="32"/>
              </w:rPr>
              <w:t>2702</w:t>
            </w:r>
            <w:r>
              <w:rPr>
                <w:rFonts w:hAnsi="宋体"/>
                <w:sz w:val="32"/>
                <w:szCs w:val="32"/>
              </w:rPr>
              <w:t>号</w:t>
            </w:r>
          </w:p>
        </w:tc>
      </w:tr>
      <w:tr w:rsidR="00475650">
        <w:trPr>
          <w:jc w:val="center"/>
        </w:trPr>
        <w:tc>
          <w:tcPr>
            <w:tcW w:w="2254" w:type="dxa"/>
            <w:vAlign w:val="center"/>
          </w:tcPr>
          <w:p w:rsidR="00475650" w:rsidRDefault="00475650">
            <w:pPr>
              <w:spacing w:line="360" w:lineRule="auto"/>
              <w:jc w:val="distribute"/>
              <w:rPr>
                <w:sz w:val="32"/>
                <w:szCs w:val="32"/>
              </w:rPr>
            </w:pPr>
            <w:r>
              <w:rPr>
                <w:rFonts w:hAnsi="宋体"/>
                <w:sz w:val="32"/>
                <w:szCs w:val="32"/>
              </w:rPr>
              <w:t>法人代表</w:t>
            </w:r>
          </w:p>
        </w:tc>
        <w:tc>
          <w:tcPr>
            <w:tcW w:w="257" w:type="dxa"/>
            <w:vAlign w:val="center"/>
          </w:tcPr>
          <w:p w:rsidR="00475650" w:rsidRDefault="00475650">
            <w:pPr>
              <w:spacing w:line="360" w:lineRule="auto"/>
              <w:rPr>
                <w:sz w:val="32"/>
                <w:szCs w:val="32"/>
              </w:rPr>
            </w:pPr>
            <w:r>
              <w:rPr>
                <w:rFonts w:hAnsi="宋体"/>
                <w:sz w:val="32"/>
                <w:szCs w:val="32"/>
              </w:rPr>
              <w:t>：</w:t>
            </w:r>
          </w:p>
        </w:tc>
        <w:tc>
          <w:tcPr>
            <w:tcW w:w="6807" w:type="dxa"/>
            <w:gridSpan w:val="2"/>
            <w:vAlign w:val="center"/>
          </w:tcPr>
          <w:p w:rsidR="00475650" w:rsidRDefault="00475650">
            <w:pPr>
              <w:spacing w:line="360" w:lineRule="auto"/>
              <w:rPr>
                <w:sz w:val="32"/>
                <w:szCs w:val="32"/>
              </w:rPr>
            </w:pPr>
            <w:r>
              <w:rPr>
                <w:rFonts w:hAnsi="宋体"/>
                <w:sz w:val="32"/>
                <w:szCs w:val="32"/>
              </w:rPr>
              <w:t>文涛</w:t>
            </w:r>
          </w:p>
        </w:tc>
      </w:tr>
      <w:tr w:rsidR="00475650">
        <w:trPr>
          <w:jc w:val="center"/>
        </w:trPr>
        <w:tc>
          <w:tcPr>
            <w:tcW w:w="2254" w:type="dxa"/>
            <w:vAlign w:val="center"/>
          </w:tcPr>
          <w:p w:rsidR="00475650" w:rsidRDefault="00475650">
            <w:pPr>
              <w:spacing w:line="360" w:lineRule="auto"/>
              <w:jc w:val="distribute"/>
              <w:rPr>
                <w:sz w:val="32"/>
                <w:szCs w:val="32"/>
              </w:rPr>
            </w:pPr>
          </w:p>
        </w:tc>
        <w:tc>
          <w:tcPr>
            <w:tcW w:w="257" w:type="dxa"/>
            <w:vAlign w:val="center"/>
          </w:tcPr>
          <w:p w:rsidR="00475650" w:rsidRDefault="00475650">
            <w:pPr>
              <w:spacing w:line="360" w:lineRule="auto"/>
              <w:rPr>
                <w:sz w:val="32"/>
                <w:szCs w:val="32"/>
              </w:rPr>
            </w:pPr>
          </w:p>
        </w:tc>
        <w:tc>
          <w:tcPr>
            <w:tcW w:w="6807" w:type="dxa"/>
            <w:gridSpan w:val="2"/>
            <w:vAlign w:val="center"/>
          </w:tcPr>
          <w:p w:rsidR="00475650" w:rsidRDefault="00475650">
            <w:pPr>
              <w:spacing w:line="360" w:lineRule="auto"/>
              <w:ind w:firstLineChars="62" w:firstLine="198"/>
              <w:rPr>
                <w:sz w:val="32"/>
                <w:szCs w:val="32"/>
              </w:rPr>
            </w:pPr>
          </w:p>
        </w:tc>
      </w:tr>
      <w:tr w:rsidR="00475650">
        <w:trPr>
          <w:jc w:val="center"/>
        </w:trPr>
        <w:tc>
          <w:tcPr>
            <w:tcW w:w="2254" w:type="dxa"/>
            <w:vAlign w:val="center"/>
          </w:tcPr>
          <w:p w:rsidR="00475650" w:rsidRDefault="00475650">
            <w:pPr>
              <w:spacing w:line="360" w:lineRule="auto"/>
              <w:rPr>
                <w:sz w:val="32"/>
                <w:szCs w:val="32"/>
              </w:rPr>
            </w:pPr>
          </w:p>
        </w:tc>
        <w:tc>
          <w:tcPr>
            <w:tcW w:w="257" w:type="dxa"/>
            <w:vAlign w:val="center"/>
          </w:tcPr>
          <w:p w:rsidR="00475650" w:rsidRDefault="00475650">
            <w:pPr>
              <w:spacing w:line="360" w:lineRule="auto"/>
              <w:rPr>
                <w:sz w:val="32"/>
                <w:szCs w:val="32"/>
              </w:rPr>
            </w:pPr>
          </w:p>
        </w:tc>
        <w:tc>
          <w:tcPr>
            <w:tcW w:w="6807" w:type="dxa"/>
            <w:gridSpan w:val="2"/>
            <w:vAlign w:val="center"/>
          </w:tcPr>
          <w:p w:rsidR="00475650" w:rsidRDefault="00475650">
            <w:pPr>
              <w:spacing w:line="360" w:lineRule="auto"/>
              <w:ind w:firstLineChars="75" w:firstLine="240"/>
              <w:rPr>
                <w:sz w:val="32"/>
                <w:szCs w:val="32"/>
              </w:rPr>
            </w:pPr>
          </w:p>
        </w:tc>
      </w:tr>
      <w:tr w:rsidR="00475650">
        <w:trPr>
          <w:jc w:val="center"/>
        </w:trPr>
        <w:tc>
          <w:tcPr>
            <w:tcW w:w="2254" w:type="dxa"/>
            <w:vAlign w:val="center"/>
          </w:tcPr>
          <w:p w:rsidR="00475650" w:rsidRDefault="00475650">
            <w:pPr>
              <w:spacing w:line="360" w:lineRule="auto"/>
              <w:jc w:val="distribute"/>
              <w:rPr>
                <w:sz w:val="32"/>
                <w:szCs w:val="32"/>
              </w:rPr>
            </w:pPr>
            <w:r>
              <w:rPr>
                <w:rFonts w:hAnsi="宋体"/>
                <w:sz w:val="32"/>
                <w:szCs w:val="32"/>
              </w:rPr>
              <w:t>项目负责人</w:t>
            </w:r>
          </w:p>
        </w:tc>
        <w:tc>
          <w:tcPr>
            <w:tcW w:w="257" w:type="dxa"/>
            <w:vAlign w:val="center"/>
          </w:tcPr>
          <w:p w:rsidR="00475650" w:rsidRDefault="00475650">
            <w:pPr>
              <w:spacing w:line="360" w:lineRule="auto"/>
              <w:rPr>
                <w:sz w:val="32"/>
                <w:szCs w:val="32"/>
              </w:rPr>
            </w:pPr>
            <w:r>
              <w:rPr>
                <w:rFonts w:hAnsi="宋体"/>
                <w:sz w:val="32"/>
                <w:szCs w:val="32"/>
              </w:rPr>
              <w:t>：</w:t>
            </w:r>
          </w:p>
        </w:tc>
        <w:tc>
          <w:tcPr>
            <w:tcW w:w="6807" w:type="dxa"/>
            <w:gridSpan w:val="2"/>
            <w:vAlign w:val="center"/>
          </w:tcPr>
          <w:p w:rsidR="00475650" w:rsidRDefault="00475650">
            <w:pPr>
              <w:spacing w:line="360" w:lineRule="auto"/>
              <w:rPr>
                <w:sz w:val="32"/>
                <w:szCs w:val="32"/>
              </w:rPr>
            </w:pPr>
            <w:r>
              <w:rPr>
                <w:rFonts w:hAnsi="宋体"/>
                <w:spacing w:val="-8"/>
                <w:sz w:val="32"/>
                <w:szCs w:val="32"/>
              </w:rPr>
              <w:t>杨丹（</w:t>
            </w:r>
            <w:r>
              <w:rPr>
                <w:rFonts w:hAnsi="宋体"/>
                <w:sz w:val="32"/>
                <w:szCs w:val="32"/>
              </w:rPr>
              <w:t>注册环评工程</w:t>
            </w:r>
            <w:r>
              <w:rPr>
                <w:rFonts w:hAnsi="宋体"/>
                <w:spacing w:val="-8"/>
                <w:sz w:val="32"/>
                <w:szCs w:val="32"/>
              </w:rPr>
              <w:t>师</w:t>
            </w:r>
            <w:r>
              <w:rPr>
                <w:sz w:val="32"/>
                <w:szCs w:val="32"/>
              </w:rPr>
              <w:t>A27020360400</w:t>
            </w:r>
            <w:r>
              <w:rPr>
                <w:rFonts w:hAnsi="宋体"/>
                <w:spacing w:val="-8"/>
                <w:sz w:val="32"/>
                <w:szCs w:val="32"/>
              </w:rPr>
              <w:t>）</w:t>
            </w:r>
          </w:p>
        </w:tc>
      </w:tr>
      <w:tr w:rsidR="00475650">
        <w:trPr>
          <w:gridAfter w:val="1"/>
          <w:wAfter w:w="200" w:type="pct"/>
          <w:jc w:val="center"/>
        </w:trPr>
        <w:tc>
          <w:tcPr>
            <w:tcW w:w="2254" w:type="dxa"/>
            <w:vAlign w:val="center"/>
          </w:tcPr>
          <w:p w:rsidR="00475650" w:rsidRDefault="00475650">
            <w:pPr>
              <w:spacing w:line="360" w:lineRule="auto"/>
              <w:jc w:val="distribute"/>
              <w:rPr>
                <w:sz w:val="32"/>
                <w:szCs w:val="32"/>
              </w:rPr>
            </w:pPr>
            <w:r>
              <w:rPr>
                <w:rFonts w:hAnsi="宋体"/>
                <w:sz w:val="32"/>
                <w:szCs w:val="32"/>
              </w:rPr>
              <w:t>登记类别</w:t>
            </w:r>
          </w:p>
        </w:tc>
        <w:tc>
          <w:tcPr>
            <w:tcW w:w="257" w:type="dxa"/>
            <w:vAlign w:val="center"/>
          </w:tcPr>
          <w:p w:rsidR="00475650" w:rsidRDefault="00475650">
            <w:pPr>
              <w:spacing w:line="360" w:lineRule="auto"/>
              <w:rPr>
                <w:sz w:val="32"/>
                <w:szCs w:val="32"/>
              </w:rPr>
            </w:pPr>
            <w:r>
              <w:rPr>
                <w:rFonts w:hAnsi="宋体"/>
                <w:sz w:val="32"/>
                <w:szCs w:val="32"/>
              </w:rPr>
              <w:t>：</w:t>
            </w:r>
          </w:p>
        </w:tc>
        <w:tc>
          <w:tcPr>
            <w:tcW w:w="6434" w:type="dxa"/>
            <w:vAlign w:val="center"/>
          </w:tcPr>
          <w:p w:rsidR="00475650" w:rsidRDefault="00475650">
            <w:pPr>
              <w:spacing w:line="360" w:lineRule="auto"/>
              <w:rPr>
                <w:spacing w:val="-8"/>
                <w:sz w:val="32"/>
                <w:szCs w:val="32"/>
              </w:rPr>
            </w:pPr>
            <w:r>
              <w:rPr>
                <w:rFonts w:hAnsi="宋体"/>
                <w:spacing w:val="-8"/>
                <w:sz w:val="32"/>
                <w:szCs w:val="32"/>
              </w:rPr>
              <w:t>化工</w:t>
            </w:r>
          </w:p>
        </w:tc>
      </w:tr>
    </w:tbl>
    <w:p w:rsidR="00475650" w:rsidRDefault="00475650">
      <w:pPr>
        <w:spacing w:line="360" w:lineRule="auto"/>
        <w:ind w:firstLine="640"/>
        <w:rPr>
          <w:sz w:val="32"/>
          <w:szCs w:val="32"/>
        </w:rPr>
      </w:pPr>
    </w:p>
    <w:p w:rsidR="00475650" w:rsidRDefault="00475650">
      <w:pPr>
        <w:spacing w:line="360" w:lineRule="auto"/>
        <w:rPr>
          <w:sz w:val="32"/>
          <w:szCs w:val="32"/>
        </w:rPr>
      </w:pPr>
      <w:r>
        <w:rPr>
          <w:rFonts w:hAnsi="宋体"/>
          <w:sz w:val="32"/>
          <w:szCs w:val="32"/>
        </w:rPr>
        <w:t>项目编写人员：</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264"/>
        <w:gridCol w:w="1009"/>
        <w:gridCol w:w="465"/>
        <w:gridCol w:w="20"/>
        <w:gridCol w:w="2130"/>
        <w:gridCol w:w="2450"/>
        <w:gridCol w:w="1717"/>
      </w:tblGrid>
      <w:tr w:rsidR="00475650">
        <w:trPr>
          <w:trHeight w:val="500"/>
          <w:jc w:val="center"/>
        </w:trPr>
        <w:tc>
          <w:tcPr>
            <w:tcW w:w="1264" w:type="dxa"/>
            <w:tcBorders>
              <w:top w:val="single" w:sz="4" w:space="0" w:color="auto"/>
              <w:left w:val="single" w:sz="4" w:space="0" w:color="auto"/>
              <w:bottom w:val="single" w:sz="6" w:space="0" w:color="auto"/>
              <w:right w:val="single" w:sz="6" w:space="0" w:color="auto"/>
            </w:tcBorders>
            <w:vAlign w:val="center"/>
          </w:tcPr>
          <w:p w:rsidR="00475650" w:rsidRDefault="00475650" w:rsidP="00BD74CB">
            <w:pPr>
              <w:spacing w:beforeLines="50" w:afterLines="50"/>
              <w:jc w:val="center"/>
              <w:rPr>
                <w:sz w:val="24"/>
              </w:rPr>
            </w:pPr>
            <w:r>
              <w:rPr>
                <w:rFonts w:hAnsi="宋体"/>
                <w:sz w:val="24"/>
              </w:rPr>
              <w:t>姓</w:t>
            </w:r>
            <w:r>
              <w:rPr>
                <w:sz w:val="24"/>
              </w:rPr>
              <w:t xml:space="preserve">   </w:t>
            </w:r>
            <w:r>
              <w:rPr>
                <w:rFonts w:hAnsi="宋体"/>
                <w:sz w:val="24"/>
              </w:rPr>
              <w:t>名</w:t>
            </w:r>
          </w:p>
        </w:tc>
        <w:tc>
          <w:tcPr>
            <w:tcW w:w="1474" w:type="dxa"/>
            <w:gridSpan w:val="2"/>
            <w:tcBorders>
              <w:top w:val="single" w:sz="4" w:space="0" w:color="auto"/>
              <w:left w:val="single" w:sz="6" w:space="0" w:color="auto"/>
              <w:bottom w:val="single" w:sz="6" w:space="0" w:color="auto"/>
              <w:right w:val="single" w:sz="6" w:space="0" w:color="auto"/>
            </w:tcBorders>
            <w:vAlign w:val="center"/>
          </w:tcPr>
          <w:p w:rsidR="00475650" w:rsidRDefault="00475650" w:rsidP="00BD74CB">
            <w:pPr>
              <w:spacing w:beforeLines="50" w:afterLines="50"/>
              <w:jc w:val="center"/>
              <w:rPr>
                <w:sz w:val="24"/>
              </w:rPr>
            </w:pPr>
            <w:r>
              <w:rPr>
                <w:rFonts w:hAnsi="宋体"/>
                <w:sz w:val="24"/>
              </w:rPr>
              <w:t>职</w:t>
            </w:r>
            <w:r>
              <w:rPr>
                <w:sz w:val="24"/>
              </w:rPr>
              <w:t xml:space="preserve">   </w:t>
            </w:r>
            <w:r>
              <w:rPr>
                <w:rFonts w:hAnsi="宋体"/>
                <w:sz w:val="24"/>
              </w:rPr>
              <w:t>称</w:t>
            </w:r>
          </w:p>
        </w:tc>
        <w:tc>
          <w:tcPr>
            <w:tcW w:w="2150" w:type="dxa"/>
            <w:gridSpan w:val="2"/>
            <w:tcBorders>
              <w:top w:val="single" w:sz="4" w:space="0" w:color="auto"/>
              <w:left w:val="single" w:sz="6" w:space="0" w:color="auto"/>
              <w:bottom w:val="single" w:sz="6" w:space="0" w:color="auto"/>
              <w:right w:val="single" w:sz="6" w:space="0" w:color="auto"/>
            </w:tcBorders>
            <w:vAlign w:val="center"/>
          </w:tcPr>
          <w:p w:rsidR="00475650" w:rsidRDefault="00475650" w:rsidP="00BD74CB">
            <w:pPr>
              <w:spacing w:beforeLines="50" w:afterLines="50"/>
              <w:jc w:val="center"/>
              <w:rPr>
                <w:sz w:val="24"/>
              </w:rPr>
            </w:pPr>
            <w:r>
              <w:rPr>
                <w:rFonts w:hAnsi="宋体"/>
                <w:sz w:val="24"/>
              </w:rPr>
              <w:t>证书号</w:t>
            </w:r>
          </w:p>
        </w:tc>
        <w:tc>
          <w:tcPr>
            <w:tcW w:w="2450" w:type="dxa"/>
            <w:tcBorders>
              <w:top w:val="single" w:sz="4" w:space="0" w:color="auto"/>
              <w:left w:val="single" w:sz="6" w:space="0" w:color="auto"/>
              <w:bottom w:val="single" w:sz="6" w:space="0" w:color="auto"/>
              <w:right w:val="single" w:sz="6" w:space="0" w:color="auto"/>
            </w:tcBorders>
            <w:vAlign w:val="center"/>
          </w:tcPr>
          <w:p w:rsidR="00475650" w:rsidRDefault="00475650" w:rsidP="00BD74CB">
            <w:pPr>
              <w:spacing w:beforeLines="50" w:afterLines="50"/>
              <w:jc w:val="center"/>
              <w:rPr>
                <w:sz w:val="24"/>
              </w:rPr>
            </w:pPr>
            <w:r>
              <w:rPr>
                <w:rFonts w:hAnsi="宋体"/>
                <w:sz w:val="24"/>
              </w:rPr>
              <w:t>承担内容</w:t>
            </w:r>
          </w:p>
        </w:tc>
        <w:tc>
          <w:tcPr>
            <w:tcW w:w="1717" w:type="dxa"/>
            <w:tcBorders>
              <w:top w:val="single" w:sz="4" w:space="0" w:color="auto"/>
              <w:left w:val="single" w:sz="6" w:space="0" w:color="auto"/>
              <w:bottom w:val="single" w:sz="6" w:space="0" w:color="auto"/>
              <w:right w:val="single" w:sz="4" w:space="0" w:color="auto"/>
            </w:tcBorders>
            <w:vAlign w:val="center"/>
          </w:tcPr>
          <w:p w:rsidR="00475650" w:rsidRDefault="00475650" w:rsidP="00BD74CB">
            <w:pPr>
              <w:spacing w:beforeLines="50" w:afterLines="50"/>
              <w:jc w:val="center"/>
              <w:rPr>
                <w:sz w:val="24"/>
              </w:rPr>
            </w:pPr>
            <w:r>
              <w:rPr>
                <w:rFonts w:hAnsi="宋体"/>
                <w:sz w:val="24"/>
              </w:rPr>
              <w:t>签</w:t>
            </w:r>
            <w:r>
              <w:rPr>
                <w:sz w:val="24"/>
              </w:rPr>
              <w:t xml:space="preserve">   </w:t>
            </w:r>
            <w:r>
              <w:rPr>
                <w:rFonts w:hAnsi="宋体"/>
                <w:sz w:val="24"/>
              </w:rPr>
              <w:t>字</w:t>
            </w:r>
          </w:p>
        </w:tc>
      </w:tr>
      <w:tr w:rsidR="00475650">
        <w:trPr>
          <w:trHeight w:val="500"/>
          <w:jc w:val="center"/>
        </w:trPr>
        <w:tc>
          <w:tcPr>
            <w:tcW w:w="1264" w:type="dxa"/>
            <w:tcBorders>
              <w:top w:val="single" w:sz="6" w:space="0" w:color="auto"/>
              <w:left w:val="single" w:sz="4" w:space="0" w:color="auto"/>
              <w:bottom w:val="single" w:sz="6" w:space="0" w:color="auto"/>
              <w:right w:val="single" w:sz="6" w:space="0" w:color="auto"/>
            </w:tcBorders>
            <w:vAlign w:val="center"/>
          </w:tcPr>
          <w:p w:rsidR="00475650" w:rsidRDefault="00475650" w:rsidP="00BD74CB">
            <w:pPr>
              <w:spacing w:beforeLines="50" w:afterLines="50"/>
              <w:jc w:val="center"/>
              <w:rPr>
                <w:sz w:val="24"/>
              </w:rPr>
            </w:pPr>
            <w:r>
              <w:rPr>
                <w:rFonts w:hAnsi="宋体"/>
                <w:sz w:val="24"/>
              </w:rPr>
              <w:t>杨</w:t>
            </w:r>
            <w:r>
              <w:rPr>
                <w:sz w:val="24"/>
              </w:rPr>
              <w:t xml:space="preserve">  </w:t>
            </w:r>
            <w:r>
              <w:rPr>
                <w:rFonts w:hAnsi="宋体"/>
                <w:sz w:val="24"/>
              </w:rPr>
              <w:t>丹</w:t>
            </w:r>
          </w:p>
        </w:tc>
        <w:tc>
          <w:tcPr>
            <w:tcW w:w="1474" w:type="dxa"/>
            <w:gridSpan w:val="2"/>
            <w:tcBorders>
              <w:top w:val="single" w:sz="6" w:space="0" w:color="auto"/>
              <w:left w:val="single" w:sz="6" w:space="0" w:color="auto"/>
              <w:bottom w:val="single" w:sz="6" w:space="0" w:color="auto"/>
              <w:right w:val="single" w:sz="6" w:space="0" w:color="auto"/>
            </w:tcBorders>
            <w:vAlign w:val="center"/>
          </w:tcPr>
          <w:p w:rsidR="00475650" w:rsidRDefault="00475650" w:rsidP="00BD74CB">
            <w:pPr>
              <w:spacing w:beforeLines="50" w:afterLines="50"/>
              <w:jc w:val="center"/>
              <w:rPr>
                <w:sz w:val="24"/>
              </w:rPr>
            </w:pPr>
            <w:r>
              <w:rPr>
                <w:rFonts w:hAnsi="宋体"/>
                <w:sz w:val="24"/>
              </w:rPr>
              <w:t>工程师</w:t>
            </w:r>
          </w:p>
        </w:tc>
        <w:tc>
          <w:tcPr>
            <w:tcW w:w="2150" w:type="dxa"/>
            <w:gridSpan w:val="2"/>
            <w:tcBorders>
              <w:top w:val="single" w:sz="6" w:space="0" w:color="auto"/>
              <w:left w:val="single" w:sz="6" w:space="0" w:color="auto"/>
              <w:bottom w:val="single" w:sz="6" w:space="0" w:color="auto"/>
              <w:right w:val="single" w:sz="6" w:space="0" w:color="auto"/>
            </w:tcBorders>
            <w:vAlign w:val="center"/>
          </w:tcPr>
          <w:p w:rsidR="00475650" w:rsidRDefault="00475650" w:rsidP="00BD74CB">
            <w:pPr>
              <w:spacing w:beforeLines="50" w:afterLines="50"/>
              <w:jc w:val="center"/>
              <w:rPr>
                <w:sz w:val="24"/>
              </w:rPr>
            </w:pPr>
            <w:r>
              <w:rPr>
                <w:sz w:val="24"/>
              </w:rPr>
              <w:t>A27020360400</w:t>
            </w:r>
          </w:p>
        </w:tc>
        <w:tc>
          <w:tcPr>
            <w:tcW w:w="2450" w:type="dxa"/>
            <w:tcBorders>
              <w:top w:val="single" w:sz="6" w:space="0" w:color="auto"/>
              <w:left w:val="single" w:sz="6" w:space="0" w:color="auto"/>
              <w:bottom w:val="single" w:sz="6" w:space="0" w:color="auto"/>
              <w:right w:val="single" w:sz="6" w:space="0" w:color="auto"/>
            </w:tcBorders>
            <w:vAlign w:val="center"/>
          </w:tcPr>
          <w:p w:rsidR="00475650" w:rsidRDefault="00475650" w:rsidP="00BD74CB">
            <w:pPr>
              <w:spacing w:beforeLines="50" w:afterLines="50"/>
              <w:jc w:val="center"/>
              <w:rPr>
                <w:sz w:val="24"/>
              </w:rPr>
            </w:pPr>
            <w:r>
              <w:rPr>
                <w:rFonts w:hAnsi="宋体"/>
                <w:sz w:val="24"/>
              </w:rPr>
              <w:t>工程分析、环境影响分析、污染防治措施、风险评价等</w:t>
            </w:r>
          </w:p>
        </w:tc>
        <w:tc>
          <w:tcPr>
            <w:tcW w:w="1717" w:type="dxa"/>
            <w:tcBorders>
              <w:top w:val="single" w:sz="6" w:space="0" w:color="auto"/>
              <w:left w:val="single" w:sz="6" w:space="0" w:color="auto"/>
              <w:bottom w:val="single" w:sz="6" w:space="0" w:color="auto"/>
              <w:right w:val="single" w:sz="4" w:space="0" w:color="auto"/>
            </w:tcBorders>
            <w:vAlign w:val="center"/>
          </w:tcPr>
          <w:p w:rsidR="00475650" w:rsidRDefault="00475650" w:rsidP="00BD74CB">
            <w:pPr>
              <w:spacing w:beforeLines="50" w:afterLines="50"/>
              <w:jc w:val="center"/>
              <w:rPr>
                <w:sz w:val="24"/>
              </w:rPr>
            </w:pPr>
          </w:p>
        </w:tc>
      </w:tr>
      <w:tr w:rsidR="00475650">
        <w:trPr>
          <w:trHeight w:val="500"/>
          <w:jc w:val="center"/>
        </w:trPr>
        <w:tc>
          <w:tcPr>
            <w:tcW w:w="1264" w:type="dxa"/>
            <w:tcBorders>
              <w:top w:val="single" w:sz="6" w:space="0" w:color="auto"/>
              <w:left w:val="single" w:sz="4" w:space="0" w:color="auto"/>
              <w:bottom w:val="single" w:sz="6" w:space="0" w:color="auto"/>
              <w:right w:val="single" w:sz="6" w:space="0" w:color="auto"/>
            </w:tcBorders>
            <w:vAlign w:val="center"/>
          </w:tcPr>
          <w:p w:rsidR="00475650" w:rsidRDefault="00475650" w:rsidP="00BD74CB">
            <w:pPr>
              <w:spacing w:beforeLines="50" w:afterLines="50"/>
              <w:jc w:val="center"/>
              <w:rPr>
                <w:sz w:val="24"/>
              </w:rPr>
            </w:pPr>
            <w:r>
              <w:rPr>
                <w:rFonts w:hAnsi="宋体"/>
                <w:sz w:val="24"/>
              </w:rPr>
              <w:t>刘凯</w:t>
            </w:r>
          </w:p>
        </w:tc>
        <w:tc>
          <w:tcPr>
            <w:tcW w:w="1474" w:type="dxa"/>
            <w:gridSpan w:val="2"/>
            <w:tcBorders>
              <w:top w:val="single" w:sz="6" w:space="0" w:color="auto"/>
              <w:left w:val="single" w:sz="6" w:space="0" w:color="auto"/>
              <w:bottom w:val="single" w:sz="6" w:space="0" w:color="auto"/>
              <w:right w:val="single" w:sz="6" w:space="0" w:color="auto"/>
            </w:tcBorders>
            <w:vAlign w:val="center"/>
          </w:tcPr>
          <w:p w:rsidR="00475650" w:rsidRDefault="00475650" w:rsidP="00BD74CB">
            <w:pPr>
              <w:spacing w:beforeLines="50" w:afterLines="50"/>
              <w:jc w:val="center"/>
              <w:rPr>
                <w:sz w:val="24"/>
              </w:rPr>
            </w:pPr>
            <w:r>
              <w:rPr>
                <w:rFonts w:hAnsi="宋体"/>
                <w:sz w:val="24"/>
              </w:rPr>
              <w:t>工程师</w:t>
            </w:r>
          </w:p>
        </w:tc>
        <w:tc>
          <w:tcPr>
            <w:tcW w:w="2150" w:type="dxa"/>
            <w:gridSpan w:val="2"/>
            <w:tcBorders>
              <w:top w:val="single" w:sz="6" w:space="0" w:color="auto"/>
              <w:left w:val="single" w:sz="6" w:space="0" w:color="auto"/>
              <w:bottom w:val="single" w:sz="6" w:space="0" w:color="auto"/>
              <w:right w:val="single" w:sz="6" w:space="0" w:color="auto"/>
            </w:tcBorders>
            <w:vAlign w:val="center"/>
          </w:tcPr>
          <w:p w:rsidR="00475650" w:rsidRDefault="00475650" w:rsidP="00BD74CB">
            <w:pPr>
              <w:spacing w:beforeLines="50" w:afterLines="50"/>
              <w:jc w:val="center"/>
              <w:rPr>
                <w:sz w:val="24"/>
              </w:rPr>
            </w:pPr>
            <w:r>
              <w:rPr>
                <w:sz w:val="24"/>
              </w:rPr>
              <w:t>A27020086</w:t>
            </w:r>
          </w:p>
        </w:tc>
        <w:tc>
          <w:tcPr>
            <w:tcW w:w="2450" w:type="dxa"/>
            <w:tcBorders>
              <w:top w:val="single" w:sz="6" w:space="0" w:color="auto"/>
              <w:left w:val="single" w:sz="6" w:space="0" w:color="auto"/>
              <w:bottom w:val="single" w:sz="6" w:space="0" w:color="auto"/>
              <w:right w:val="single" w:sz="6" w:space="0" w:color="auto"/>
            </w:tcBorders>
            <w:vAlign w:val="center"/>
          </w:tcPr>
          <w:p w:rsidR="00475650" w:rsidRDefault="00475650" w:rsidP="00BD74CB">
            <w:pPr>
              <w:spacing w:beforeLines="50" w:afterLines="50"/>
              <w:jc w:val="center"/>
              <w:rPr>
                <w:sz w:val="24"/>
              </w:rPr>
            </w:pPr>
            <w:r>
              <w:rPr>
                <w:rFonts w:hAnsi="宋体"/>
                <w:sz w:val="24"/>
              </w:rPr>
              <w:t>现状、公众参与、总量控制等</w:t>
            </w:r>
          </w:p>
        </w:tc>
        <w:tc>
          <w:tcPr>
            <w:tcW w:w="1717" w:type="dxa"/>
            <w:tcBorders>
              <w:top w:val="single" w:sz="6" w:space="0" w:color="auto"/>
              <w:left w:val="single" w:sz="6" w:space="0" w:color="auto"/>
              <w:bottom w:val="single" w:sz="6" w:space="0" w:color="auto"/>
              <w:right w:val="single" w:sz="4" w:space="0" w:color="auto"/>
            </w:tcBorders>
            <w:vAlign w:val="center"/>
          </w:tcPr>
          <w:p w:rsidR="00475650" w:rsidRDefault="00475650" w:rsidP="00BD74CB">
            <w:pPr>
              <w:spacing w:beforeLines="50" w:afterLines="50"/>
              <w:jc w:val="center"/>
              <w:rPr>
                <w:sz w:val="24"/>
              </w:rPr>
            </w:pPr>
          </w:p>
        </w:tc>
      </w:tr>
      <w:tr w:rsidR="004756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73" w:type="dxa"/>
            <w:gridSpan w:val="2"/>
            <w:vAlign w:val="center"/>
          </w:tcPr>
          <w:p w:rsidR="00475650" w:rsidRDefault="00475650">
            <w:pPr>
              <w:spacing w:line="360" w:lineRule="auto"/>
              <w:jc w:val="distribute"/>
              <w:rPr>
                <w:sz w:val="32"/>
                <w:szCs w:val="32"/>
              </w:rPr>
            </w:pPr>
          </w:p>
          <w:p w:rsidR="00475650" w:rsidRDefault="00475650">
            <w:pPr>
              <w:spacing w:line="360" w:lineRule="auto"/>
              <w:jc w:val="distribute"/>
              <w:rPr>
                <w:sz w:val="32"/>
                <w:szCs w:val="32"/>
              </w:rPr>
            </w:pPr>
            <w:r>
              <w:rPr>
                <w:rFonts w:hAnsi="宋体"/>
                <w:sz w:val="32"/>
                <w:szCs w:val="32"/>
              </w:rPr>
              <w:t>审核</w:t>
            </w:r>
          </w:p>
          <w:p w:rsidR="00475650" w:rsidRDefault="00475650">
            <w:pPr>
              <w:spacing w:line="360" w:lineRule="auto"/>
              <w:jc w:val="distribute"/>
              <w:rPr>
                <w:sz w:val="32"/>
                <w:szCs w:val="32"/>
              </w:rPr>
            </w:pPr>
          </w:p>
        </w:tc>
        <w:tc>
          <w:tcPr>
            <w:tcW w:w="485" w:type="dxa"/>
            <w:gridSpan w:val="2"/>
            <w:vAlign w:val="center"/>
          </w:tcPr>
          <w:p w:rsidR="00475650" w:rsidRDefault="00475650">
            <w:pPr>
              <w:spacing w:line="360" w:lineRule="auto"/>
              <w:rPr>
                <w:sz w:val="32"/>
                <w:szCs w:val="32"/>
              </w:rPr>
            </w:pPr>
            <w:r>
              <w:rPr>
                <w:rFonts w:hAnsi="宋体"/>
                <w:sz w:val="32"/>
                <w:szCs w:val="32"/>
              </w:rPr>
              <w:t>：</w:t>
            </w:r>
          </w:p>
        </w:tc>
        <w:tc>
          <w:tcPr>
            <w:tcW w:w="6297" w:type="dxa"/>
            <w:gridSpan w:val="3"/>
            <w:vAlign w:val="center"/>
          </w:tcPr>
          <w:p w:rsidR="00475650" w:rsidRDefault="00475650">
            <w:pPr>
              <w:pStyle w:val="aff7"/>
              <w:ind w:firstLine="0"/>
              <w:rPr>
                <w:kern w:val="0"/>
                <w:sz w:val="24"/>
                <w:szCs w:val="24"/>
              </w:rPr>
            </w:pPr>
            <w:r>
              <w:rPr>
                <w:rFonts w:hAnsi="宋体"/>
                <w:spacing w:val="-8"/>
                <w:kern w:val="0"/>
                <w:sz w:val="32"/>
                <w:szCs w:val="32"/>
              </w:rPr>
              <w:t>陈才丽（</w:t>
            </w:r>
            <w:r>
              <w:rPr>
                <w:rFonts w:hAnsi="宋体"/>
                <w:kern w:val="0"/>
                <w:sz w:val="32"/>
                <w:szCs w:val="32"/>
              </w:rPr>
              <w:t>注册环评工程</w:t>
            </w:r>
            <w:r>
              <w:rPr>
                <w:rFonts w:hAnsi="宋体"/>
                <w:spacing w:val="-8"/>
                <w:kern w:val="0"/>
                <w:sz w:val="32"/>
                <w:szCs w:val="32"/>
              </w:rPr>
              <w:t>师</w:t>
            </w:r>
            <w:r>
              <w:rPr>
                <w:spacing w:val="-8"/>
                <w:kern w:val="0"/>
                <w:sz w:val="32"/>
                <w:szCs w:val="32"/>
              </w:rPr>
              <w:t>A27020020300</w:t>
            </w:r>
            <w:r>
              <w:rPr>
                <w:rFonts w:hAnsi="宋体"/>
                <w:spacing w:val="-8"/>
                <w:kern w:val="0"/>
                <w:sz w:val="32"/>
                <w:szCs w:val="32"/>
              </w:rPr>
              <w:t>）</w:t>
            </w:r>
          </w:p>
        </w:tc>
      </w:tr>
    </w:tbl>
    <w:p w:rsidR="00475650" w:rsidRDefault="00475650">
      <w:pPr>
        <w:spacing w:line="360" w:lineRule="auto"/>
        <w:ind w:firstLine="560"/>
        <w:rPr>
          <w:sz w:val="24"/>
        </w:rPr>
      </w:pPr>
    </w:p>
    <w:p w:rsidR="00475650" w:rsidRDefault="00475650">
      <w:pPr>
        <w:spacing w:line="360" w:lineRule="auto"/>
        <w:ind w:firstLine="560"/>
        <w:jc w:val="center"/>
        <w:rPr>
          <w:sz w:val="24"/>
        </w:rPr>
        <w:sectPr w:rsidR="00475650">
          <w:pgSz w:w="11906" w:h="16838"/>
          <w:pgMar w:top="1440" w:right="1588" w:bottom="1440" w:left="1588" w:header="851" w:footer="992" w:gutter="0"/>
          <w:paperSrc w:first="7" w:other="7"/>
          <w:cols w:space="720"/>
          <w:docGrid w:linePitch="312"/>
        </w:sectPr>
      </w:pPr>
      <w:r>
        <w:rPr>
          <w:sz w:val="24"/>
        </w:rPr>
        <w:lastRenderedPageBreak/>
        <w:br w:type="page"/>
      </w:r>
    </w:p>
    <w:p w:rsidR="00475650" w:rsidRDefault="00475650">
      <w:pPr>
        <w:pStyle w:val="2ff2"/>
        <w:snapToGrid w:val="0"/>
        <w:spacing w:line="324" w:lineRule="auto"/>
        <w:ind w:firstLine="763"/>
        <w:rPr>
          <w:rFonts w:eastAsia="宋体"/>
          <w:sz w:val="24"/>
          <w:szCs w:val="24"/>
        </w:rPr>
      </w:pPr>
      <w:r>
        <w:rPr>
          <w:rFonts w:eastAsia="宋体" w:hAnsi="宋体"/>
        </w:rPr>
        <w:lastRenderedPageBreak/>
        <w:t>目</w:t>
      </w:r>
      <w:r>
        <w:rPr>
          <w:rFonts w:eastAsia="宋体"/>
        </w:rPr>
        <w:t xml:space="preserve">  </w:t>
      </w:r>
      <w:r>
        <w:rPr>
          <w:rFonts w:eastAsia="宋体" w:hAnsi="宋体"/>
        </w:rPr>
        <w:t>录</w:t>
      </w:r>
      <w:bookmarkStart w:id="25" w:name="_Toc270866988"/>
      <w:bookmarkStart w:id="26" w:name="_Toc270752772"/>
      <w:bookmarkStart w:id="27" w:name="_Toc270622533"/>
      <w:bookmarkStart w:id="28" w:name="_Toc270836898"/>
      <w:bookmarkStart w:id="29" w:name="_Toc273462026"/>
      <w:bookmarkEnd w:id="0"/>
      <w:bookmarkEnd w:id="1"/>
      <w:bookmarkEnd w:id="2"/>
      <w:bookmarkEnd w:id="3"/>
      <w:bookmarkEnd w:id="4"/>
      <w:bookmarkEnd w:id="5"/>
      <w:bookmarkEnd w:id="6"/>
      <w:bookmarkEnd w:id="7"/>
    </w:p>
    <w:p w:rsidR="00475650" w:rsidRDefault="006F27A1">
      <w:pPr>
        <w:pStyle w:val="1fc"/>
        <w:tabs>
          <w:tab w:val="right" w:leader="dot" w:pos="8730"/>
        </w:tabs>
        <w:snapToGrid w:val="0"/>
        <w:spacing w:before="0" w:after="0" w:line="324" w:lineRule="auto"/>
        <w:rPr>
          <w:b w:val="0"/>
          <w:sz w:val="24"/>
          <w:szCs w:val="24"/>
        </w:rPr>
      </w:pPr>
      <w:r w:rsidRPr="006F27A1">
        <w:rPr>
          <w:b w:val="0"/>
          <w:sz w:val="24"/>
          <w:szCs w:val="24"/>
        </w:rPr>
        <w:fldChar w:fldCharType="begin"/>
      </w:r>
      <w:r w:rsidR="00475650">
        <w:rPr>
          <w:b w:val="0"/>
          <w:sz w:val="24"/>
          <w:szCs w:val="24"/>
        </w:rPr>
        <w:instrText xml:space="preserve"> TOC \o "1-2" \h \z \u </w:instrText>
      </w:r>
      <w:r w:rsidRPr="006F27A1">
        <w:rPr>
          <w:b w:val="0"/>
          <w:sz w:val="24"/>
          <w:szCs w:val="24"/>
        </w:rPr>
        <w:fldChar w:fldCharType="separate"/>
      </w:r>
      <w:hyperlink w:anchor="_Toc1169" w:history="1">
        <w:r w:rsidR="00475650">
          <w:rPr>
            <w:b w:val="0"/>
            <w:sz w:val="24"/>
            <w:szCs w:val="24"/>
          </w:rPr>
          <w:t>1</w:t>
        </w:r>
        <w:r w:rsidR="00475650">
          <w:rPr>
            <w:rFonts w:hAnsi="宋体"/>
            <w:b w:val="0"/>
            <w:sz w:val="24"/>
            <w:szCs w:val="24"/>
          </w:rPr>
          <w:t>总则</w:t>
        </w:r>
        <w:r w:rsidR="00475650">
          <w:rPr>
            <w:b w:val="0"/>
            <w:sz w:val="24"/>
            <w:szCs w:val="24"/>
          </w:rPr>
          <w:tab/>
        </w:r>
        <w:r>
          <w:rPr>
            <w:b w:val="0"/>
            <w:sz w:val="24"/>
            <w:szCs w:val="24"/>
          </w:rPr>
          <w:fldChar w:fldCharType="begin"/>
        </w:r>
        <w:r w:rsidR="00475650">
          <w:rPr>
            <w:b w:val="0"/>
            <w:sz w:val="24"/>
            <w:szCs w:val="24"/>
          </w:rPr>
          <w:instrText xml:space="preserve"> PAGEREF _Toc1169 </w:instrText>
        </w:r>
        <w:r>
          <w:rPr>
            <w:b w:val="0"/>
            <w:sz w:val="24"/>
            <w:szCs w:val="24"/>
          </w:rPr>
          <w:fldChar w:fldCharType="separate"/>
        </w:r>
        <w:r w:rsidR="00475650">
          <w:rPr>
            <w:b w:val="0"/>
            <w:sz w:val="24"/>
            <w:szCs w:val="24"/>
          </w:rPr>
          <w:t>1</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12951" w:history="1">
        <w:r w:rsidR="00475650">
          <w:rPr>
            <w:b w:val="0"/>
            <w:sz w:val="24"/>
            <w:szCs w:val="24"/>
          </w:rPr>
          <w:t>1.1</w:t>
        </w:r>
        <w:r w:rsidR="00475650">
          <w:rPr>
            <w:b w:val="0"/>
            <w:sz w:val="24"/>
            <w:szCs w:val="24"/>
          </w:rPr>
          <w:t>任务由来</w:t>
        </w:r>
        <w:r w:rsidR="00475650">
          <w:rPr>
            <w:b w:val="0"/>
            <w:sz w:val="24"/>
            <w:szCs w:val="24"/>
          </w:rPr>
          <w:tab/>
        </w:r>
        <w:r>
          <w:rPr>
            <w:b w:val="0"/>
            <w:sz w:val="24"/>
            <w:szCs w:val="24"/>
          </w:rPr>
          <w:fldChar w:fldCharType="begin"/>
        </w:r>
        <w:r w:rsidR="00475650">
          <w:rPr>
            <w:b w:val="0"/>
            <w:sz w:val="24"/>
            <w:szCs w:val="24"/>
          </w:rPr>
          <w:instrText xml:space="preserve"> PAGEREF _Toc12951 </w:instrText>
        </w:r>
        <w:r>
          <w:rPr>
            <w:b w:val="0"/>
            <w:sz w:val="24"/>
            <w:szCs w:val="24"/>
          </w:rPr>
          <w:fldChar w:fldCharType="separate"/>
        </w:r>
        <w:r w:rsidR="00475650">
          <w:rPr>
            <w:b w:val="0"/>
            <w:sz w:val="24"/>
            <w:szCs w:val="24"/>
          </w:rPr>
          <w:t>1</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8758" w:history="1">
        <w:r w:rsidR="00475650">
          <w:rPr>
            <w:b w:val="0"/>
            <w:sz w:val="24"/>
            <w:szCs w:val="24"/>
          </w:rPr>
          <w:t>1.2</w:t>
        </w:r>
        <w:r w:rsidR="00475650">
          <w:rPr>
            <w:b w:val="0"/>
            <w:sz w:val="24"/>
            <w:szCs w:val="24"/>
          </w:rPr>
          <w:t>编制依据</w:t>
        </w:r>
        <w:r w:rsidR="00475650">
          <w:rPr>
            <w:b w:val="0"/>
            <w:sz w:val="24"/>
            <w:szCs w:val="24"/>
          </w:rPr>
          <w:tab/>
        </w:r>
        <w:r>
          <w:rPr>
            <w:b w:val="0"/>
            <w:sz w:val="24"/>
            <w:szCs w:val="24"/>
          </w:rPr>
          <w:fldChar w:fldCharType="begin"/>
        </w:r>
        <w:r w:rsidR="00475650">
          <w:rPr>
            <w:b w:val="0"/>
            <w:sz w:val="24"/>
            <w:szCs w:val="24"/>
          </w:rPr>
          <w:instrText xml:space="preserve"> PAGEREF _Toc8758 </w:instrText>
        </w:r>
        <w:r>
          <w:rPr>
            <w:b w:val="0"/>
            <w:sz w:val="24"/>
            <w:szCs w:val="24"/>
          </w:rPr>
          <w:fldChar w:fldCharType="separate"/>
        </w:r>
        <w:r w:rsidR="00475650">
          <w:rPr>
            <w:b w:val="0"/>
            <w:sz w:val="24"/>
            <w:szCs w:val="24"/>
          </w:rPr>
          <w:t>2</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9970" w:history="1">
        <w:r w:rsidR="00475650">
          <w:rPr>
            <w:b w:val="0"/>
            <w:sz w:val="24"/>
            <w:szCs w:val="24"/>
          </w:rPr>
          <w:t>1.3</w:t>
        </w:r>
        <w:r w:rsidR="00475650">
          <w:rPr>
            <w:b w:val="0"/>
            <w:sz w:val="24"/>
            <w:szCs w:val="24"/>
          </w:rPr>
          <w:t>评价因子与评价标准</w:t>
        </w:r>
        <w:r w:rsidR="00475650">
          <w:rPr>
            <w:b w:val="0"/>
            <w:sz w:val="24"/>
            <w:szCs w:val="24"/>
          </w:rPr>
          <w:tab/>
        </w:r>
        <w:r>
          <w:rPr>
            <w:b w:val="0"/>
            <w:sz w:val="24"/>
            <w:szCs w:val="24"/>
          </w:rPr>
          <w:fldChar w:fldCharType="begin"/>
        </w:r>
        <w:r w:rsidR="00475650">
          <w:rPr>
            <w:b w:val="0"/>
            <w:sz w:val="24"/>
            <w:szCs w:val="24"/>
          </w:rPr>
          <w:instrText xml:space="preserve"> PAGEREF _Toc9970 </w:instrText>
        </w:r>
        <w:r>
          <w:rPr>
            <w:b w:val="0"/>
            <w:sz w:val="24"/>
            <w:szCs w:val="24"/>
          </w:rPr>
          <w:fldChar w:fldCharType="separate"/>
        </w:r>
        <w:r w:rsidR="00475650">
          <w:rPr>
            <w:b w:val="0"/>
            <w:sz w:val="24"/>
            <w:szCs w:val="24"/>
          </w:rPr>
          <w:t>4</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26191" w:history="1">
        <w:r w:rsidR="00475650">
          <w:rPr>
            <w:b w:val="0"/>
            <w:sz w:val="24"/>
            <w:szCs w:val="24"/>
          </w:rPr>
          <w:t>1.4</w:t>
        </w:r>
        <w:r w:rsidR="00475650">
          <w:rPr>
            <w:b w:val="0"/>
            <w:sz w:val="24"/>
            <w:szCs w:val="24"/>
          </w:rPr>
          <w:t>评价工作等级及评价重点</w:t>
        </w:r>
        <w:r w:rsidR="00475650">
          <w:rPr>
            <w:b w:val="0"/>
            <w:sz w:val="24"/>
            <w:szCs w:val="24"/>
          </w:rPr>
          <w:tab/>
        </w:r>
        <w:r>
          <w:rPr>
            <w:b w:val="0"/>
            <w:sz w:val="24"/>
            <w:szCs w:val="24"/>
          </w:rPr>
          <w:fldChar w:fldCharType="begin"/>
        </w:r>
        <w:r w:rsidR="00475650">
          <w:rPr>
            <w:b w:val="0"/>
            <w:sz w:val="24"/>
            <w:szCs w:val="24"/>
          </w:rPr>
          <w:instrText xml:space="preserve"> PAGEREF _Toc26191 </w:instrText>
        </w:r>
        <w:r>
          <w:rPr>
            <w:b w:val="0"/>
            <w:sz w:val="24"/>
            <w:szCs w:val="24"/>
          </w:rPr>
          <w:fldChar w:fldCharType="separate"/>
        </w:r>
        <w:r w:rsidR="00475650">
          <w:rPr>
            <w:b w:val="0"/>
            <w:sz w:val="24"/>
            <w:szCs w:val="24"/>
          </w:rPr>
          <w:t>8</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27070" w:history="1">
        <w:r w:rsidR="00475650">
          <w:rPr>
            <w:b w:val="0"/>
            <w:sz w:val="24"/>
            <w:szCs w:val="24"/>
          </w:rPr>
          <w:t>1.5</w:t>
        </w:r>
        <w:r w:rsidR="00475650">
          <w:rPr>
            <w:b w:val="0"/>
            <w:sz w:val="24"/>
            <w:szCs w:val="24"/>
          </w:rPr>
          <w:t>相关规划及环境功能区划</w:t>
        </w:r>
        <w:r w:rsidR="00475650">
          <w:rPr>
            <w:b w:val="0"/>
            <w:sz w:val="24"/>
            <w:szCs w:val="24"/>
          </w:rPr>
          <w:tab/>
        </w:r>
        <w:r>
          <w:rPr>
            <w:b w:val="0"/>
            <w:sz w:val="24"/>
            <w:szCs w:val="24"/>
          </w:rPr>
          <w:fldChar w:fldCharType="begin"/>
        </w:r>
        <w:r w:rsidR="00475650">
          <w:rPr>
            <w:b w:val="0"/>
            <w:sz w:val="24"/>
            <w:szCs w:val="24"/>
          </w:rPr>
          <w:instrText xml:space="preserve"> PAGEREF _Toc27070 </w:instrText>
        </w:r>
        <w:r>
          <w:rPr>
            <w:b w:val="0"/>
            <w:sz w:val="24"/>
            <w:szCs w:val="24"/>
          </w:rPr>
          <w:fldChar w:fldCharType="separate"/>
        </w:r>
        <w:r w:rsidR="00475650">
          <w:rPr>
            <w:b w:val="0"/>
            <w:sz w:val="24"/>
            <w:szCs w:val="24"/>
          </w:rPr>
          <w:t>11</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23831" w:history="1">
        <w:r w:rsidR="00475650">
          <w:rPr>
            <w:b w:val="0"/>
            <w:sz w:val="24"/>
            <w:szCs w:val="24"/>
          </w:rPr>
          <w:t xml:space="preserve">1.6 </w:t>
        </w:r>
        <w:r w:rsidR="00475650">
          <w:rPr>
            <w:b w:val="0"/>
            <w:sz w:val="24"/>
            <w:szCs w:val="24"/>
          </w:rPr>
          <w:t>主要环境保护目标</w:t>
        </w:r>
        <w:r w:rsidR="00475650">
          <w:rPr>
            <w:b w:val="0"/>
            <w:sz w:val="24"/>
            <w:szCs w:val="24"/>
          </w:rPr>
          <w:tab/>
        </w:r>
        <w:r>
          <w:rPr>
            <w:b w:val="0"/>
            <w:sz w:val="24"/>
            <w:szCs w:val="24"/>
          </w:rPr>
          <w:fldChar w:fldCharType="begin"/>
        </w:r>
        <w:r w:rsidR="00475650">
          <w:rPr>
            <w:b w:val="0"/>
            <w:sz w:val="24"/>
            <w:szCs w:val="24"/>
          </w:rPr>
          <w:instrText xml:space="preserve"> PAGEREF _Toc23831 </w:instrText>
        </w:r>
        <w:r>
          <w:rPr>
            <w:b w:val="0"/>
            <w:sz w:val="24"/>
            <w:szCs w:val="24"/>
          </w:rPr>
          <w:fldChar w:fldCharType="separate"/>
        </w:r>
        <w:r w:rsidR="00475650">
          <w:rPr>
            <w:b w:val="0"/>
            <w:sz w:val="24"/>
            <w:szCs w:val="24"/>
          </w:rPr>
          <w:t>12</w:t>
        </w:r>
        <w:r>
          <w:rPr>
            <w:b w:val="0"/>
            <w:sz w:val="24"/>
            <w:szCs w:val="24"/>
          </w:rPr>
          <w:fldChar w:fldCharType="end"/>
        </w:r>
      </w:hyperlink>
    </w:p>
    <w:p w:rsidR="00475650" w:rsidRDefault="006F27A1">
      <w:pPr>
        <w:pStyle w:val="1fc"/>
        <w:tabs>
          <w:tab w:val="right" w:leader="dot" w:pos="8730"/>
        </w:tabs>
        <w:snapToGrid w:val="0"/>
        <w:spacing w:before="0" w:after="0" w:line="324" w:lineRule="auto"/>
        <w:rPr>
          <w:b w:val="0"/>
          <w:sz w:val="24"/>
          <w:szCs w:val="24"/>
        </w:rPr>
      </w:pPr>
      <w:hyperlink w:anchor="_Toc3423" w:history="1">
        <w:r w:rsidR="00475650">
          <w:rPr>
            <w:b w:val="0"/>
            <w:sz w:val="24"/>
            <w:szCs w:val="24"/>
          </w:rPr>
          <w:t xml:space="preserve">2 </w:t>
        </w:r>
        <w:r w:rsidR="00475650">
          <w:rPr>
            <w:rFonts w:hAnsi="宋体"/>
            <w:b w:val="0"/>
            <w:sz w:val="24"/>
            <w:szCs w:val="24"/>
          </w:rPr>
          <w:t>现有工程概况</w:t>
        </w:r>
        <w:r w:rsidR="00475650">
          <w:rPr>
            <w:b w:val="0"/>
            <w:sz w:val="24"/>
            <w:szCs w:val="24"/>
          </w:rPr>
          <w:tab/>
        </w:r>
        <w:r>
          <w:rPr>
            <w:b w:val="0"/>
            <w:sz w:val="24"/>
            <w:szCs w:val="24"/>
          </w:rPr>
          <w:fldChar w:fldCharType="begin"/>
        </w:r>
        <w:r w:rsidR="00475650">
          <w:rPr>
            <w:b w:val="0"/>
            <w:sz w:val="24"/>
            <w:szCs w:val="24"/>
          </w:rPr>
          <w:instrText xml:space="preserve"> PAGEREF _Toc3423 </w:instrText>
        </w:r>
        <w:r>
          <w:rPr>
            <w:b w:val="0"/>
            <w:sz w:val="24"/>
            <w:szCs w:val="24"/>
          </w:rPr>
          <w:fldChar w:fldCharType="separate"/>
        </w:r>
        <w:r w:rsidR="00475650">
          <w:rPr>
            <w:b w:val="0"/>
            <w:sz w:val="24"/>
            <w:szCs w:val="24"/>
          </w:rPr>
          <w:t>13</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13688" w:history="1">
        <w:r w:rsidR="00475650">
          <w:rPr>
            <w:b w:val="0"/>
            <w:sz w:val="24"/>
            <w:szCs w:val="24"/>
          </w:rPr>
          <w:t>2.1</w:t>
        </w:r>
        <w:r w:rsidR="00475650">
          <w:rPr>
            <w:b w:val="0"/>
            <w:sz w:val="24"/>
            <w:szCs w:val="24"/>
          </w:rPr>
          <w:t>现有工程概况</w:t>
        </w:r>
        <w:r w:rsidR="00475650">
          <w:rPr>
            <w:b w:val="0"/>
            <w:sz w:val="24"/>
            <w:szCs w:val="24"/>
          </w:rPr>
          <w:tab/>
        </w:r>
        <w:r>
          <w:rPr>
            <w:b w:val="0"/>
            <w:sz w:val="24"/>
            <w:szCs w:val="24"/>
          </w:rPr>
          <w:fldChar w:fldCharType="begin"/>
        </w:r>
        <w:r w:rsidR="00475650">
          <w:rPr>
            <w:b w:val="0"/>
            <w:sz w:val="24"/>
            <w:szCs w:val="24"/>
          </w:rPr>
          <w:instrText xml:space="preserve"> PAGEREF _Toc13688 </w:instrText>
        </w:r>
        <w:r>
          <w:rPr>
            <w:b w:val="0"/>
            <w:sz w:val="24"/>
            <w:szCs w:val="24"/>
          </w:rPr>
          <w:fldChar w:fldCharType="separate"/>
        </w:r>
        <w:r w:rsidR="00475650">
          <w:rPr>
            <w:b w:val="0"/>
            <w:sz w:val="24"/>
            <w:szCs w:val="24"/>
          </w:rPr>
          <w:t>13</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18056" w:history="1">
        <w:r w:rsidR="00475650">
          <w:rPr>
            <w:b w:val="0"/>
            <w:sz w:val="24"/>
            <w:szCs w:val="24"/>
          </w:rPr>
          <w:t>2.2</w:t>
        </w:r>
        <w:r w:rsidR="00475650">
          <w:rPr>
            <w:b w:val="0"/>
            <w:sz w:val="24"/>
            <w:szCs w:val="24"/>
          </w:rPr>
          <w:t>本项目与现有工程的依托关系</w:t>
        </w:r>
        <w:r w:rsidR="00475650">
          <w:rPr>
            <w:b w:val="0"/>
            <w:sz w:val="24"/>
            <w:szCs w:val="24"/>
          </w:rPr>
          <w:tab/>
        </w:r>
        <w:r>
          <w:rPr>
            <w:b w:val="0"/>
            <w:sz w:val="24"/>
            <w:szCs w:val="24"/>
          </w:rPr>
          <w:fldChar w:fldCharType="begin"/>
        </w:r>
        <w:r w:rsidR="00475650">
          <w:rPr>
            <w:b w:val="0"/>
            <w:sz w:val="24"/>
            <w:szCs w:val="24"/>
          </w:rPr>
          <w:instrText xml:space="preserve"> PAGEREF _Toc18056 </w:instrText>
        </w:r>
        <w:r>
          <w:rPr>
            <w:b w:val="0"/>
            <w:sz w:val="24"/>
            <w:szCs w:val="24"/>
          </w:rPr>
          <w:fldChar w:fldCharType="separate"/>
        </w:r>
        <w:r w:rsidR="00475650">
          <w:rPr>
            <w:b w:val="0"/>
            <w:sz w:val="24"/>
            <w:szCs w:val="24"/>
          </w:rPr>
          <w:t>20</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19930" w:history="1">
        <w:r w:rsidR="00475650">
          <w:rPr>
            <w:b w:val="0"/>
            <w:sz w:val="24"/>
            <w:szCs w:val="24"/>
          </w:rPr>
          <w:t>2.3</w:t>
        </w:r>
        <w:r w:rsidR="00475650">
          <w:rPr>
            <w:b w:val="0"/>
            <w:sz w:val="24"/>
            <w:szCs w:val="24"/>
          </w:rPr>
          <w:t>滨江产业区基本概况</w:t>
        </w:r>
        <w:r w:rsidR="00475650">
          <w:rPr>
            <w:b w:val="0"/>
            <w:sz w:val="24"/>
            <w:szCs w:val="24"/>
          </w:rPr>
          <w:tab/>
        </w:r>
        <w:r>
          <w:rPr>
            <w:b w:val="0"/>
            <w:sz w:val="24"/>
            <w:szCs w:val="24"/>
          </w:rPr>
          <w:fldChar w:fldCharType="begin"/>
        </w:r>
        <w:r w:rsidR="00475650">
          <w:rPr>
            <w:b w:val="0"/>
            <w:sz w:val="24"/>
            <w:szCs w:val="24"/>
          </w:rPr>
          <w:instrText xml:space="preserve"> PAGEREF _Toc19930 </w:instrText>
        </w:r>
        <w:r>
          <w:rPr>
            <w:b w:val="0"/>
            <w:sz w:val="24"/>
            <w:szCs w:val="24"/>
          </w:rPr>
          <w:fldChar w:fldCharType="separate"/>
        </w:r>
        <w:r w:rsidR="00475650">
          <w:rPr>
            <w:b w:val="0"/>
            <w:sz w:val="24"/>
            <w:szCs w:val="24"/>
          </w:rPr>
          <w:t>23</w:t>
        </w:r>
        <w:r>
          <w:rPr>
            <w:b w:val="0"/>
            <w:sz w:val="24"/>
            <w:szCs w:val="24"/>
          </w:rPr>
          <w:fldChar w:fldCharType="end"/>
        </w:r>
      </w:hyperlink>
    </w:p>
    <w:p w:rsidR="00475650" w:rsidRDefault="006F27A1">
      <w:pPr>
        <w:pStyle w:val="1fc"/>
        <w:tabs>
          <w:tab w:val="right" w:leader="dot" w:pos="8730"/>
        </w:tabs>
        <w:snapToGrid w:val="0"/>
        <w:spacing w:before="0" w:after="0" w:line="324" w:lineRule="auto"/>
        <w:rPr>
          <w:b w:val="0"/>
          <w:sz w:val="24"/>
          <w:szCs w:val="24"/>
        </w:rPr>
      </w:pPr>
      <w:hyperlink w:anchor="_Toc492" w:history="1">
        <w:r w:rsidR="00475650">
          <w:rPr>
            <w:b w:val="0"/>
            <w:sz w:val="24"/>
            <w:szCs w:val="24"/>
          </w:rPr>
          <w:t xml:space="preserve">3 </w:t>
        </w:r>
        <w:r w:rsidR="00475650">
          <w:rPr>
            <w:rFonts w:hAnsi="宋体"/>
            <w:b w:val="0"/>
            <w:sz w:val="24"/>
            <w:szCs w:val="24"/>
          </w:rPr>
          <w:t>拟建工程概况</w:t>
        </w:r>
        <w:r w:rsidR="00475650">
          <w:rPr>
            <w:b w:val="0"/>
            <w:sz w:val="24"/>
            <w:szCs w:val="24"/>
          </w:rPr>
          <w:tab/>
        </w:r>
        <w:r>
          <w:rPr>
            <w:b w:val="0"/>
            <w:sz w:val="24"/>
            <w:szCs w:val="24"/>
          </w:rPr>
          <w:fldChar w:fldCharType="begin"/>
        </w:r>
        <w:r w:rsidR="00475650">
          <w:rPr>
            <w:b w:val="0"/>
            <w:sz w:val="24"/>
            <w:szCs w:val="24"/>
          </w:rPr>
          <w:instrText xml:space="preserve"> PAGEREF _Toc492 </w:instrText>
        </w:r>
        <w:r>
          <w:rPr>
            <w:b w:val="0"/>
            <w:sz w:val="24"/>
            <w:szCs w:val="24"/>
          </w:rPr>
          <w:fldChar w:fldCharType="separate"/>
        </w:r>
        <w:r w:rsidR="00475650">
          <w:rPr>
            <w:b w:val="0"/>
            <w:sz w:val="24"/>
            <w:szCs w:val="24"/>
          </w:rPr>
          <w:t>32</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22677" w:history="1">
        <w:r w:rsidR="00475650">
          <w:rPr>
            <w:b w:val="0"/>
            <w:sz w:val="24"/>
            <w:szCs w:val="24"/>
          </w:rPr>
          <w:t>3.1</w:t>
        </w:r>
        <w:r w:rsidR="00475650">
          <w:rPr>
            <w:b w:val="0"/>
            <w:sz w:val="24"/>
            <w:szCs w:val="24"/>
          </w:rPr>
          <w:t>基本情况</w:t>
        </w:r>
        <w:r w:rsidR="00475650">
          <w:rPr>
            <w:b w:val="0"/>
            <w:sz w:val="24"/>
            <w:szCs w:val="24"/>
          </w:rPr>
          <w:tab/>
        </w:r>
        <w:r>
          <w:rPr>
            <w:b w:val="0"/>
            <w:sz w:val="24"/>
            <w:szCs w:val="24"/>
          </w:rPr>
          <w:fldChar w:fldCharType="begin"/>
        </w:r>
        <w:r w:rsidR="00475650">
          <w:rPr>
            <w:b w:val="0"/>
            <w:sz w:val="24"/>
            <w:szCs w:val="24"/>
          </w:rPr>
          <w:instrText xml:space="preserve"> PAGEREF _Toc22677 </w:instrText>
        </w:r>
        <w:r>
          <w:rPr>
            <w:b w:val="0"/>
            <w:sz w:val="24"/>
            <w:szCs w:val="24"/>
          </w:rPr>
          <w:fldChar w:fldCharType="separate"/>
        </w:r>
        <w:r w:rsidR="00475650">
          <w:rPr>
            <w:b w:val="0"/>
            <w:sz w:val="24"/>
            <w:szCs w:val="24"/>
          </w:rPr>
          <w:t>32</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11755" w:history="1">
        <w:r w:rsidR="00475650">
          <w:rPr>
            <w:b w:val="0"/>
            <w:sz w:val="24"/>
            <w:szCs w:val="24"/>
          </w:rPr>
          <w:t>3.2</w:t>
        </w:r>
        <w:r w:rsidR="00475650">
          <w:rPr>
            <w:b w:val="0"/>
            <w:sz w:val="24"/>
            <w:szCs w:val="24"/>
          </w:rPr>
          <w:t>总图布置</w:t>
        </w:r>
        <w:r w:rsidR="00475650">
          <w:rPr>
            <w:b w:val="0"/>
            <w:sz w:val="24"/>
            <w:szCs w:val="24"/>
          </w:rPr>
          <w:tab/>
        </w:r>
        <w:r>
          <w:rPr>
            <w:b w:val="0"/>
            <w:sz w:val="24"/>
            <w:szCs w:val="24"/>
          </w:rPr>
          <w:fldChar w:fldCharType="begin"/>
        </w:r>
        <w:r w:rsidR="00475650">
          <w:rPr>
            <w:b w:val="0"/>
            <w:sz w:val="24"/>
            <w:szCs w:val="24"/>
          </w:rPr>
          <w:instrText xml:space="preserve"> PAGEREF _Toc11755 </w:instrText>
        </w:r>
        <w:r>
          <w:rPr>
            <w:b w:val="0"/>
            <w:sz w:val="24"/>
            <w:szCs w:val="24"/>
          </w:rPr>
          <w:fldChar w:fldCharType="separate"/>
        </w:r>
        <w:r w:rsidR="00475650">
          <w:rPr>
            <w:b w:val="0"/>
            <w:sz w:val="24"/>
            <w:szCs w:val="24"/>
          </w:rPr>
          <w:t>37</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1541" w:history="1">
        <w:r w:rsidR="00475650">
          <w:rPr>
            <w:b w:val="0"/>
            <w:sz w:val="24"/>
            <w:szCs w:val="24"/>
          </w:rPr>
          <w:t xml:space="preserve">3.3 </w:t>
        </w:r>
        <w:r w:rsidR="00475650">
          <w:rPr>
            <w:b w:val="0"/>
            <w:sz w:val="24"/>
            <w:szCs w:val="24"/>
          </w:rPr>
          <w:t>工程基本概况</w:t>
        </w:r>
        <w:r w:rsidR="00475650">
          <w:rPr>
            <w:b w:val="0"/>
            <w:sz w:val="24"/>
            <w:szCs w:val="24"/>
          </w:rPr>
          <w:tab/>
        </w:r>
        <w:r>
          <w:rPr>
            <w:b w:val="0"/>
            <w:sz w:val="24"/>
            <w:szCs w:val="24"/>
          </w:rPr>
          <w:fldChar w:fldCharType="begin"/>
        </w:r>
        <w:r w:rsidR="00475650">
          <w:rPr>
            <w:b w:val="0"/>
            <w:sz w:val="24"/>
            <w:szCs w:val="24"/>
          </w:rPr>
          <w:instrText xml:space="preserve"> PAGEREF _Toc1541 </w:instrText>
        </w:r>
        <w:r>
          <w:rPr>
            <w:b w:val="0"/>
            <w:sz w:val="24"/>
            <w:szCs w:val="24"/>
          </w:rPr>
          <w:fldChar w:fldCharType="separate"/>
        </w:r>
        <w:r w:rsidR="00475650">
          <w:rPr>
            <w:b w:val="0"/>
            <w:sz w:val="24"/>
            <w:szCs w:val="24"/>
          </w:rPr>
          <w:t>38</w:t>
        </w:r>
        <w:r>
          <w:rPr>
            <w:b w:val="0"/>
            <w:sz w:val="24"/>
            <w:szCs w:val="24"/>
          </w:rPr>
          <w:fldChar w:fldCharType="end"/>
        </w:r>
      </w:hyperlink>
    </w:p>
    <w:p w:rsidR="00475650" w:rsidRDefault="006F27A1">
      <w:pPr>
        <w:pStyle w:val="1fc"/>
        <w:tabs>
          <w:tab w:val="right" w:leader="dot" w:pos="8730"/>
        </w:tabs>
        <w:snapToGrid w:val="0"/>
        <w:spacing w:before="0" w:after="0" w:line="324" w:lineRule="auto"/>
        <w:rPr>
          <w:b w:val="0"/>
          <w:sz w:val="24"/>
          <w:szCs w:val="24"/>
        </w:rPr>
      </w:pPr>
      <w:hyperlink w:anchor="_Toc27628" w:history="1">
        <w:r w:rsidR="00475650">
          <w:rPr>
            <w:b w:val="0"/>
            <w:sz w:val="24"/>
            <w:szCs w:val="24"/>
          </w:rPr>
          <w:t>4</w:t>
        </w:r>
        <w:r w:rsidR="00475650">
          <w:rPr>
            <w:rFonts w:hAnsi="宋体"/>
            <w:b w:val="0"/>
            <w:sz w:val="24"/>
            <w:szCs w:val="24"/>
          </w:rPr>
          <w:t>环境质量现状调查与评价</w:t>
        </w:r>
        <w:r w:rsidR="00475650">
          <w:rPr>
            <w:b w:val="0"/>
            <w:sz w:val="24"/>
            <w:szCs w:val="24"/>
          </w:rPr>
          <w:tab/>
        </w:r>
        <w:r>
          <w:rPr>
            <w:b w:val="0"/>
            <w:sz w:val="24"/>
            <w:szCs w:val="24"/>
          </w:rPr>
          <w:fldChar w:fldCharType="begin"/>
        </w:r>
        <w:r w:rsidR="00475650">
          <w:rPr>
            <w:b w:val="0"/>
            <w:sz w:val="24"/>
            <w:szCs w:val="24"/>
          </w:rPr>
          <w:instrText xml:space="preserve"> PAGEREF _Toc27628 </w:instrText>
        </w:r>
        <w:r>
          <w:rPr>
            <w:b w:val="0"/>
            <w:sz w:val="24"/>
            <w:szCs w:val="24"/>
          </w:rPr>
          <w:fldChar w:fldCharType="separate"/>
        </w:r>
        <w:r w:rsidR="00475650">
          <w:rPr>
            <w:b w:val="0"/>
            <w:sz w:val="24"/>
            <w:szCs w:val="24"/>
          </w:rPr>
          <w:t>69</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4524" w:history="1">
        <w:r w:rsidR="00475650">
          <w:rPr>
            <w:b w:val="0"/>
            <w:sz w:val="24"/>
            <w:szCs w:val="24"/>
          </w:rPr>
          <w:t>4.1</w:t>
        </w:r>
        <w:r w:rsidR="00475650">
          <w:rPr>
            <w:b w:val="0"/>
            <w:sz w:val="24"/>
            <w:szCs w:val="24"/>
          </w:rPr>
          <w:t>自然环境概况</w:t>
        </w:r>
        <w:r w:rsidR="00475650">
          <w:rPr>
            <w:b w:val="0"/>
            <w:sz w:val="24"/>
            <w:szCs w:val="24"/>
          </w:rPr>
          <w:tab/>
        </w:r>
        <w:r>
          <w:rPr>
            <w:b w:val="0"/>
            <w:sz w:val="24"/>
            <w:szCs w:val="24"/>
          </w:rPr>
          <w:fldChar w:fldCharType="begin"/>
        </w:r>
        <w:r w:rsidR="00475650">
          <w:rPr>
            <w:b w:val="0"/>
            <w:sz w:val="24"/>
            <w:szCs w:val="24"/>
          </w:rPr>
          <w:instrText xml:space="preserve"> PAGEREF _Toc4524 </w:instrText>
        </w:r>
        <w:r>
          <w:rPr>
            <w:b w:val="0"/>
            <w:sz w:val="24"/>
            <w:szCs w:val="24"/>
          </w:rPr>
          <w:fldChar w:fldCharType="separate"/>
        </w:r>
        <w:r w:rsidR="00475650">
          <w:rPr>
            <w:b w:val="0"/>
            <w:sz w:val="24"/>
            <w:szCs w:val="24"/>
          </w:rPr>
          <w:t>69</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32355" w:history="1">
        <w:r w:rsidR="00475650">
          <w:rPr>
            <w:b w:val="0"/>
            <w:sz w:val="24"/>
            <w:szCs w:val="24"/>
          </w:rPr>
          <w:t xml:space="preserve">4.2 </w:t>
        </w:r>
        <w:r w:rsidR="00475650">
          <w:rPr>
            <w:b w:val="0"/>
            <w:sz w:val="24"/>
            <w:szCs w:val="24"/>
          </w:rPr>
          <w:t>社会环境</w:t>
        </w:r>
        <w:r w:rsidR="00475650">
          <w:rPr>
            <w:b w:val="0"/>
            <w:sz w:val="24"/>
            <w:szCs w:val="24"/>
          </w:rPr>
          <w:tab/>
        </w:r>
        <w:r>
          <w:rPr>
            <w:b w:val="0"/>
            <w:sz w:val="24"/>
            <w:szCs w:val="24"/>
          </w:rPr>
          <w:fldChar w:fldCharType="begin"/>
        </w:r>
        <w:r w:rsidR="00475650">
          <w:rPr>
            <w:b w:val="0"/>
            <w:sz w:val="24"/>
            <w:szCs w:val="24"/>
          </w:rPr>
          <w:instrText xml:space="preserve"> PAGEREF _Toc32355 </w:instrText>
        </w:r>
        <w:r>
          <w:rPr>
            <w:b w:val="0"/>
            <w:sz w:val="24"/>
            <w:szCs w:val="24"/>
          </w:rPr>
          <w:fldChar w:fldCharType="separate"/>
        </w:r>
        <w:r w:rsidR="00475650">
          <w:rPr>
            <w:b w:val="0"/>
            <w:sz w:val="24"/>
            <w:szCs w:val="24"/>
          </w:rPr>
          <w:t>76</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23121" w:history="1">
        <w:r w:rsidR="00475650">
          <w:rPr>
            <w:b w:val="0"/>
            <w:sz w:val="24"/>
            <w:szCs w:val="24"/>
          </w:rPr>
          <w:t xml:space="preserve">4.3  </w:t>
        </w:r>
        <w:r w:rsidR="00475650">
          <w:rPr>
            <w:b w:val="0"/>
            <w:sz w:val="24"/>
            <w:szCs w:val="24"/>
          </w:rPr>
          <w:t>环境质量现状调查与评价</w:t>
        </w:r>
        <w:r w:rsidR="00475650">
          <w:rPr>
            <w:b w:val="0"/>
            <w:sz w:val="24"/>
            <w:szCs w:val="24"/>
          </w:rPr>
          <w:tab/>
        </w:r>
        <w:r>
          <w:rPr>
            <w:b w:val="0"/>
            <w:sz w:val="24"/>
            <w:szCs w:val="24"/>
          </w:rPr>
          <w:fldChar w:fldCharType="begin"/>
        </w:r>
        <w:r w:rsidR="00475650">
          <w:rPr>
            <w:b w:val="0"/>
            <w:sz w:val="24"/>
            <w:szCs w:val="24"/>
          </w:rPr>
          <w:instrText xml:space="preserve"> PAGEREF _Toc23121 </w:instrText>
        </w:r>
        <w:r>
          <w:rPr>
            <w:b w:val="0"/>
            <w:sz w:val="24"/>
            <w:szCs w:val="24"/>
          </w:rPr>
          <w:fldChar w:fldCharType="separate"/>
        </w:r>
        <w:r w:rsidR="00475650">
          <w:rPr>
            <w:b w:val="0"/>
            <w:sz w:val="24"/>
            <w:szCs w:val="24"/>
          </w:rPr>
          <w:t>76</w:t>
        </w:r>
        <w:r>
          <w:rPr>
            <w:b w:val="0"/>
            <w:sz w:val="24"/>
            <w:szCs w:val="24"/>
          </w:rPr>
          <w:fldChar w:fldCharType="end"/>
        </w:r>
      </w:hyperlink>
    </w:p>
    <w:p w:rsidR="00475650" w:rsidRDefault="006F27A1">
      <w:pPr>
        <w:pStyle w:val="1fc"/>
        <w:tabs>
          <w:tab w:val="right" w:leader="dot" w:pos="8730"/>
        </w:tabs>
        <w:snapToGrid w:val="0"/>
        <w:spacing w:before="0" w:after="0" w:line="324" w:lineRule="auto"/>
        <w:rPr>
          <w:b w:val="0"/>
          <w:bCs w:val="0"/>
          <w:sz w:val="24"/>
          <w:szCs w:val="24"/>
        </w:rPr>
      </w:pPr>
      <w:hyperlink w:anchor="_Toc9410" w:history="1">
        <w:r w:rsidR="00475650">
          <w:rPr>
            <w:b w:val="0"/>
            <w:bCs w:val="0"/>
            <w:sz w:val="24"/>
            <w:szCs w:val="24"/>
          </w:rPr>
          <w:t>5</w:t>
        </w:r>
        <w:r w:rsidR="00475650">
          <w:rPr>
            <w:b w:val="0"/>
            <w:bCs w:val="0"/>
            <w:sz w:val="24"/>
            <w:szCs w:val="24"/>
          </w:rPr>
          <w:t>环境影响预测与评价</w:t>
        </w:r>
        <w:r w:rsidR="00475650">
          <w:rPr>
            <w:b w:val="0"/>
            <w:bCs w:val="0"/>
            <w:sz w:val="24"/>
            <w:szCs w:val="24"/>
          </w:rPr>
          <w:tab/>
        </w:r>
        <w:r>
          <w:rPr>
            <w:b w:val="0"/>
            <w:bCs w:val="0"/>
            <w:sz w:val="24"/>
            <w:szCs w:val="24"/>
          </w:rPr>
          <w:fldChar w:fldCharType="begin"/>
        </w:r>
        <w:r w:rsidR="00475650">
          <w:rPr>
            <w:b w:val="0"/>
            <w:bCs w:val="0"/>
            <w:sz w:val="24"/>
            <w:szCs w:val="24"/>
          </w:rPr>
          <w:instrText xml:space="preserve"> PAGEREF _Toc9410 </w:instrText>
        </w:r>
        <w:r>
          <w:rPr>
            <w:b w:val="0"/>
            <w:bCs w:val="0"/>
            <w:sz w:val="24"/>
            <w:szCs w:val="24"/>
          </w:rPr>
          <w:fldChar w:fldCharType="separate"/>
        </w:r>
        <w:r w:rsidR="00475650">
          <w:rPr>
            <w:b w:val="0"/>
            <w:bCs w:val="0"/>
            <w:sz w:val="24"/>
            <w:szCs w:val="24"/>
          </w:rPr>
          <w:t>92</w:t>
        </w:r>
        <w:r>
          <w:rPr>
            <w:b w:val="0"/>
            <w:bCs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23428" w:history="1">
        <w:r w:rsidR="00475650">
          <w:rPr>
            <w:b w:val="0"/>
            <w:sz w:val="24"/>
            <w:szCs w:val="24"/>
          </w:rPr>
          <w:t xml:space="preserve">5.1 </w:t>
        </w:r>
        <w:r w:rsidR="00475650">
          <w:rPr>
            <w:b w:val="0"/>
            <w:sz w:val="24"/>
            <w:szCs w:val="24"/>
          </w:rPr>
          <w:t>施工期环境影响分析</w:t>
        </w:r>
        <w:r w:rsidR="00475650">
          <w:rPr>
            <w:b w:val="0"/>
            <w:sz w:val="24"/>
            <w:szCs w:val="24"/>
          </w:rPr>
          <w:tab/>
        </w:r>
        <w:r>
          <w:rPr>
            <w:b w:val="0"/>
            <w:sz w:val="24"/>
            <w:szCs w:val="24"/>
          </w:rPr>
          <w:fldChar w:fldCharType="begin"/>
        </w:r>
        <w:r w:rsidR="00475650">
          <w:rPr>
            <w:b w:val="0"/>
            <w:sz w:val="24"/>
            <w:szCs w:val="24"/>
          </w:rPr>
          <w:instrText xml:space="preserve"> PAGEREF _Toc23428 </w:instrText>
        </w:r>
        <w:r>
          <w:rPr>
            <w:b w:val="0"/>
            <w:sz w:val="24"/>
            <w:szCs w:val="24"/>
          </w:rPr>
          <w:fldChar w:fldCharType="separate"/>
        </w:r>
        <w:r w:rsidR="00475650">
          <w:rPr>
            <w:b w:val="0"/>
            <w:sz w:val="24"/>
            <w:szCs w:val="24"/>
          </w:rPr>
          <w:t>92</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23522" w:history="1">
        <w:r w:rsidR="00475650">
          <w:rPr>
            <w:b w:val="0"/>
            <w:sz w:val="24"/>
            <w:szCs w:val="24"/>
          </w:rPr>
          <w:t xml:space="preserve">5.2 </w:t>
        </w:r>
        <w:r w:rsidR="00475650">
          <w:rPr>
            <w:b w:val="0"/>
            <w:sz w:val="24"/>
            <w:szCs w:val="24"/>
          </w:rPr>
          <w:t>营运期环境影响预测</w:t>
        </w:r>
        <w:r w:rsidR="00475650">
          <w:rPr>
            <w:b w:val="0"/>
            <w:sz w:val="24"/>
            <w:szCs w:val="24"/>
          </w:rPr>
          <w:tab/>
        </w:r>
        <w:r>
          <w:rPr>
            <w:b w:val="0"/>
            <w:sz w:val="24"/>
            <w:szCs w:val="24"/>
          </w:rPr>
          <w:fldChar w:fldCharType="begin"/>
        </w:r>
        <w:r w:rsidR="00475650">
          <w:rPr>
            <w:b w:val="0"/>
            <w:sz w:val="24"/>
            <w:szCs w:val="24"/>
          </w:rPr>
          <w:instrText xml:space="preserve"> PAGEREF _Toc23522 </w:instrText>
        </w:r>
        <w:r>
          <w:rPr>
            <w:b w:val="0"/>
            <w:sz w:val="24"/>
            <w:szCs w:val="24"/>
          </w:rPr>
          <w:fldChar w:fldCharType="separate"/>
        </w:r>
        <w:r w:rsidR="00475650">
          <w:rPr>
            <w:b w:val="0"/>
            <w:sz w:val="24"/>
            <w:szCs w:val="24"/>
          </w:rPr>
          <w:t>92</w:t>
        </w:r>
        <w:r>
          <w:rPr>
            <w:b w:val="0"/>
            <w:sz w:val="24"/>
            <w:szCs w:val="24"/>
          </w:rPr>
          <w:fldChar w:fldCharType="end"/>
        </w:r>
      </w:hyperlink>
    </w:p>
    <w:p w:rsidR="00475650" w:rsidRDefault="006F27A1">
      <w:pPr>
        <w:pStyle w:val="1fc"/>
        <w:tabs>
          <w:tab w:val="right" w:leader="dot" w:pos="8730"/>
        </w:tabs>
        <w:snapToGrid w:val="0"/>
        <w:spacing w:before="0" w:after="0" w:line="324" w:lineRule="auto"/>
        <w:rPr>
          <w:b w:val="0"/>
          <w:sz w:val="24"/>
          <w:szCs w:val="24"/>
        </w:rPr>
      </w:pPr>
      <w:hyperlink w:anchor="_Toc14517" w:history="1">
        <w:r w:rsidR="00475650">
          <w:rPr>
            <w:b w:val="0"/>
            <w:sz w:val="24"/>
            <w:szCs w:val="24"/>
          </w:rPr>
          <w:t xml:space="preserve">6 </w:t>
        </w:r>
        <w:r w:rsidR="00475650">
          <w:rPr>
            <w:rFonts w:hAnsi="宋体"/>
            <w:b w:val="0"/>
            <w:sz w:val="24"/>
            <w:szCs w:val="24"/>
          </w:rPr>
          <w:t>风险评价</w:t>
        </w:r>
        <w:r w:rsidR="00475650">
          <w:rPr>
            <w:b w:val="0"/>
            <w:sz w:val="24"/>
            <w:szCs w:val="24"/>
          </w:rPr>
          <w:tab/>
        </w:r>
        <w:r>
          <w:rPr>
            <w:b w:val="0"/>
            <w:sz w:val="24"/>
            <w:szCs w:val="24"/>
          </w:rPr>
          <w:fldChar w:fldCharType="begin"/>
        </w:r>
        <w:r w:rsidR="00475650">
          <w:rPr>
            <w:b w:val="0"/>
            <w:sz w:val="24"/>
            <w:szCs w:val="24"/>
          </w:rPr>
          <w:instrText xml:space="preserve"> PAGEREF _Toc14517 </w:instrText>
        </w:r>
        <w:r>
          <w:rPr>
            <w:b w:val="0"/>
            <w:sz w:val="24"/>
            <w:szCs w:val="24"/>
          </w:rPr>
          <w:fldChar w:fldCharType="separate"/>
        </w:r>
        <w:r w:rsidR="00475650">
          <w:rPr>
            <w:b w:val="0"/>
            <w:sz w:val="24"/>
            <w:szCs w:val="24"/>
          </w:rPr>
          <w:t>105</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24633" w:history="1">
        <w:r w:rsidR="00475650">
          <w:rPr>
            <w:b w:val="0"/>
            <w:sz w:val="24"/>
            <w:szCs w:val="24"/>
          </w:rPr>
          <w:t>6.1</w:t>
        </w:r>
        <w:r w:rsidR="00475650">
          <w:rPr>
            <w:b w:val="0"/>
            <w:sz w:val="24"/>
            <w:szCs w:val="24"/>
          </w:rPr>
          <w:t>总则</w:t>
        </w:r>
        <w:r w:rsidR="00475650">
          <w:rPr>
            <w:b w:val="0"/>
            <w:sz w:val="24"/>
            <w:szCs w:val="24"/>
          </w:rPr>
          <w:tab/>
        </w:r>
        <w:r>
          <w:rPr>
            <w:b w:val="0"/>
            <w:sz w:val="24"/>
            <w:szCs w:val="24"/>
          </w:rPr>
          <w:fldChar w:fldCharType="begin"/>
        </w:r>
        <w:r w:rsidR="00475650">
          <w:rPr>
            <w:b w:val="0"/>
            <w:sz w:val="24"/>
            <w:szCs w:val="24"/>
          </w:rPr>
          <w:instrText xml:space="preserve"> PAGEREF _Toc24633 </w:instrText>
        </w:r>
        <w:r>
          <w:rPr>
            <w:b w:val="0"/>
            <w:sz w:val="24"/>
            <w:szCs w:val="24"/>
          </w:rPr>
          <w:fldChar w:fldCharType="separate"/>
        </w:r>
        <w:r w:rsidR="00475650">
          <w:rPr>
            <w:b w:val="0"/>
            <w:sz w:val="24"/>
            <w:szCs w:val="24"/>
          </w:rPr>
          <w:t>105</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25136" w:history="1">
        <w:r w:rsidR="00475650">
          <w:rPr>
            <w:b w:val="0"/>
            <w:sz w:val="24"/>
            <w:szCs w:val="24"/>
          </w:rPr>
          <w:t>6.2</w:t>
        </w:r>
        <w:r w:rsidR="00475650">
          <w:rPr>
            <w:b w:val="0"/>
            <w:sz w:val="24"/>
            <w:szCs w:val="24"/>
          </w:rPr>
          <w:t>风险识别</w:t>
        </w:r>
        <w:r w:rsidR="00475650">
          <w:rPr>
            <w:b w:val="0"/>
            <w:sz w:val="24"/>
            <w:szCs w:val="24"/>
          </w:rPr>
          <w:tab/>
        </w:r>
        <w:r>
          <w:rPr>
            <w:b w:val="0"/>
            <w:sz w:val="24"/>
            <w:szCs w:val="24"/>
          </w:rPr>
          <w:fldChar w:fldCharType="begin"/>
        </w:r>
        <w:r w:rsidR="00475650">
          <w:rPr>
            <w:b w:val="0"/>
            <w:sz w:val="24"/>
            <w:szCs w:val="24"/>
          </w:rPr>
          <w:instrText xml:space="preserve"> PAGEREF _Toc25136 </w:instrText>
        </w:r>
        <w:r>
          <w:rPr>
            <w:b w:val="0"/>
            <w:sz w:val="24"/>
            <w:szCs w:val="24"/>
          </w:rPr>
          <w:fldChar w:fldCharType="separate"/>
        </w:r>
        <w:r w:rsidR="00475650">
          <w:rPr>
            <w:b w:val="0"/>
            <w:sz w:val="24"/>
            <w:szCs w:val="24"/>
          </w:rPr>
          <w:t>105</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5139" w:history="1">
        <w:r w:rsidR="00475650">
          <w:rPr>
            <w:b w:val="0"/>
            <w:sz w:val="24"/>
            <w:szCs w:val="24"/>
          </w:rPr>
          <w:t>6.3</w:t>
        </w:r>
        <w:r w:rsidR="00475650">
          <w:rPr>
            <w:b w:val="0"/>
            <w:sz w:val="24"/>
            <w:szCs w:val="24"/>
          </w:rPr>
          <w:t>评价等级及范围</w:t>
        </w:r>
        <w:r w:rsidR="00475650">
          <w:rPr>
            <w:b w:val="0"/>
            <w:sz w:val="24"/>
            <w:szCs w:val="24"/>
          </w:rPr>
          <w:tab/>
        </w:r>
        <w:r>
          <w:rPr>
            <w:b w:val="0"/>
            <w:sz w:val="24"/>
            <w:szCs w:val="24"/>
          </w:rPr>
          <w:fldChar w:fldCharType="begin"/>
        </w:r>
        <w:r w:rsidR="00475650">
          <w:rPr>
            <w:b w:val="0"/>
            <w:sz w:val="24"/>
            <w:szCs w:val="24"/>
          </w:rPr>
          <w:instrText xml:space="preserve"> PAGEREF _Toc5139 </w:instrText>
        </w:r>
        <w:r>
          <w:rPr>
            <w:b w:val="0"/>
            <w:sz w:val="24"/>
            <w:szCs w:val="24"/>
          </w:rPr>
          <w:fldChar w:fldCharType="separate"/>
        </w:r>
        <w:r w:rsidR="00475650">
          <w:rPr>
            <w:b w:val="0"/>
            <w:sz w:val="24"/>
            <w:szCs w:val="24"/>
          </w:rPr>
          <w:t>115</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11109" w:history="1">
        <w:r w:rsidR="00475650">
          <w:rPr>
            <w:b w:val="0"/>
            <w:sz w:val="24"/>
            <w:szCs w:val="24"/>
          </w:rPr>
          <w:t>6.4</w:t>
        </w:r>
        <w:r w:rsidR="00475650">
          <w:rPr>
            <w:b w:val="0"/>
            <w:sz w:val="24"/>
            <w:szCs w:val="24"/>
          </w:rPr>
          <w:t>风险源项分析</w:t>
        </w:r>
        <w:r w:rsidR="00475650">
          <w:rPr>
            <w:b w:val="0"/>
            <w:sz w:val="24"/>
            <w:szCs w:val="24"/>
          </w:rPr>
          <w:tab/>
        </w:r>
        <w:r>
          <w:rPr>
            <w:b w:val="0"/>
            <w:sz w:val="24"/>
            <w:szCs w:val="24"/>
          </w:rPr>
          <w:fldChar w:fldCharType="begin"/>
        </w:r>
        <w:r w:rsidR="00475650">
          <w:rPr>
            <w:b w:val="0"/>
            <w:sz w:val="24"/>
            <w:szCs w:val="24"/>
          </w:rPr>
          <w:instrText xml:space="preserve"> PAGEREF _Toc11109 </w:instrText>
        </w:r>
        <w:r>
          <w:rPr>
            <w:b w:val="0"/>
            <w:sz w:val="24"/>
            <w:szCs w:val="24"/>
          </w:rPr>
          <w:fldChar w:fldCharType="separate"/>
        </w:r>
        <w:r w:rsidR="00475650">
          <w:rPr>
            <w:b w:val="0"/>
            <w:sz w:val="24"/>
            <w:szCs w:val="24"/>
          </w:rPr>
          <w:t>115</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27771" w:history="1">
        <w:r w:rsidR="00475650">
          <w:rPr>
            <w:b w:val="0"/>
            <w:sz w:val="24"/>
            <w:szCs w:val="24"/>
          </w:rPr>
          <w:t>6.5</w:t>
        </w:r>
        <w:r w:rsidR="00475650">
          <w:rPr>
            <w:b w:val="0"/>
            <w:sz w:val="24"/>
            <w:szCs w:val="24"/>
          </w:rPr>
          <w:t>事故风险影响</w:t>
        </w:r>
        <w:r w:rsidR="00475650">
          <w:rPr>
            <w:b w:val="0"/>
            <w:sz w:val="24"/>
            <w:szCs w:val="24"/>
          </w:rPr>
          <w:tab/>
        </w:r>
        <w:r>
          <w:rPr>
            <w:b w:val="0"/>
            <w:sz w:val="24"/>
            <w:szCs w:val="24"/>
          </w:rPr>
          <w:fldChar w:fldCharType="begin"/>
        </w:r>
        <w:r w:rsidR="00475650">
          <w:rPr>
            <w:b w:val="0"/>
            <w:sz w:val="24"/>
            <w:szCs w:val="24"/>
          </w:rPr>
          <w:instrText xml:space="preserve"> PAGEREF _Toc27771 </w:instrText>
        </w:r>
        <w:r>
          <w:rPr>
            <w:b w:val="0"/>
            <w:sz w:val="24"/>
            <w:szCs w:val="24"/>
          </w:rPr>
          <w:fldChar w:fldCharType="separate"/>
        </w:r>
        <w:r w:rsidR="00475650">
          <w:rPr>
            <w:b w:val="0"/>
            <w:sz w:val="24"/>
            <w:szCs w:val="24"/>
          </w:rPr>
          <w:t>117</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25328" w:history="1">
        <w:r w:rsidR="00475650">
          <w:rPr>
            <w:b w:val="0"/>
            <w:sz w:val="24"/>
            <w:szCs w:val="24"/>
          </w:rPr>
          <w:t>6.6</w:t>
        </w:r>
        <w:r w:rsidR="00475650">
          <w:rPr>
            <w:b w:val="0"/>
            <w:sz w:val="24"/>
            <w:szCs w:val="24"/>
          </w:rPr>
          <w:t>环境风险防控措施</w:t>
        </w:r>
        <w:r w:rsidR="00475650">
          <w:rPr>
            <w:b w:val="0"/>
            <w:sz w:val="24"/>
            <w:szCs w:val="24"/>
          </w:rPr>
          <w:tab/>
        </w:r>
        <w:r>
          <w:rPr>
            <w:b w:val="0"/>
            <w:sz w:val="24"/>
            <w:szCs w:val="24"/>
          </w:rPr>
          <w:fldChar w:fldCharType="begin"/>
        </w:r>
        <w:r w:rsidR="00475650">
          <w:rPr>
            <w:b w:val="0"/>
            <w:sz w:val="24"/>
            <w:szCs w:val="24"/>
          </w:rPr>
          <w:instrText xml:space="preserve"> PAGEREF _Toc25328 </w:instrText>
        </w:r>
        <w:r>
          <w:rPr>
            <w:b w:val="0"/>
            <w:sz w:val="24"/>
            <w:szCs w:val="24"/>
          </w:rPr>
          <w:fldChar w:fldCharType="separate"/>
        </w:r>
        <w:r w:rsidR="00475650">
          <w:rPr>
            <w:b w:val="0"/>
            <w:sz w:val="24"/>
            <w:szCs w:val="24"/>
          </w:rPr>
          <w:t>120</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13542" w:history="1">
        <w:r w:rsidR="00475650">
          <w:rPr>
            <w:b w:val="0"/>
            <w:sz w:val="24"/>
            <w:szCs w:val="24"/>
          </w:rPr>
          <w:t>6.7</w:t>
        </w:r>
        <w:r w:rsidR="00475650">
          <w:rPr>
            <w:b w:val="0"/>
            <w:sz w:val="24"/>
            <w:szCs w:val="24"/>
          </w:rPr>
          <w:t>安全预评价结论</w:t>
        </w:r>
        <w:r w:rsidR="00475650">
          <w:rPr>
            <w:b w:val="0"/>
            <w:sz w:val="24"/>
            <w:szCs w:val="24"/>
          </w:rPr>
          <w:tab/>
        </w:r>
        <w:r>
          <w:rPr>
            <w:b w:val="0"/>
            <w:sz w:val="24"/>
            <w:szCs w:val="24"/>
          </w:rPr>
          <w:fldChar w:fldCharType="begin"/>
        </w:r>
        <w:r w:rsidR="00475650">
          <w:rPr>
            <w:b w:val="0"/>
            <w:sz w:val="24"/>
            <w:szCs w:val="24"/>
          </w:rPr>
          <w:instrText xml:space="preserve"> PAGEREF _Toc13542 </w:instrText>
        </w:r>
        <w:r>
          <w:rPr>
            <w:b w:val="0"/>
            <w:sz w:val="24"/>
            <w:szCs w:val="24"/>
          </w:rPr>
          <w:fldChar w:fldCharType="separate"/>
        </w:r>
        <w:r w:rsidR="00475650">
          <w:rPr>
            <w:b w:val="0"/>
            <w:sz w:val="24"/>
            <w:szCs w:val="24"/>
          </w:rPr>
          <w:t>123</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15338" w:history="1">
        <w:r w:rsidR="00475650">
          <w:rPr>
            <w:b w:val="0"/>
            <w:sz w:val="24"/>
            <w:szCs w:val="24"/>
          </w:rPr>
          <w:t>6.8</w:t>
        </w:r>
        <w:r w:rsidR="00475650">
          <w:rPr>
            <w:b w:val="0"/>
            <w:sz w:val="24"/>
            <w:szCs w:val="24"/>
          </w:rPr>
          <w:t>建议</w:t>
        </w:r>
        <w:r w:rsidR="00475650">
          <w:rPr>
            <w:b w:val="0"/>
            <w:sz w:val="24"/>
            <w:szCs w:val="24"/>
          </w:rPr>
          <w:tab/>
        </w:r>
        <w:r>
          <w:rPr>
            <w:b w:val="0"/>
            <w:sz w:val="24"/>
            <w:szCs w:val="24"/>
          </w:rPr>
          <w:fldChar w:fldCharType="begin"/>
        </w:r>
        <w:r w:rsidR="00475650">
          <w:rPr>
            <w:b w:val="0"/>
            <w:sz w:val="24"/>
            <w:szCs w:val="24"/>
          </w:rPr>
          <w:instrText xml:space="preserve"> PAGEREF _Toc15338 </w:instrText>
        </w:r>
        <w:r>
          <w:rPr>
            <w:b w:val="0"/>
            <w:sz w:val="24"/>
            <w:szCs w:val="24"/>
          </w:rPr>
          <w:fldChar w:fldCharType="separate"/>
        </w:r>
        <w:r w:rsidR="00475650">
          <w:rPr>
            <w:b w:val="0"/>
            <w:sz w:val="24"/>
            <w:szCs w:val="24"/>
          </w:rPr>
          <w:t>123</w:t>
        </w:r>
        <w:r>
          <w:rPr>
            <w:b w:val="0"/>
            <w:sz w:val="24"/>
            <w:szCs w:val="24"/>
          </w:rPr>
          <w:fldChar w:fldCharType="end"/>
        </w:r>
      </w:hyperlink>
    </w:p>
    <w:p w:rsidR="00475650" w:rsidRDefault="006F27A1">
      <w:pPr>
        <w:pStyle w:val="1fc"/>
        <w:tabs>
          <w:tab w:val="right" w:leader="dot" w:pos="8730"/>
        </w:tabs>
        <w:snapToGrid w:val="0"/>
        <w:spacing w:before="0" w:after="0" w:line="324" w:lineRule="auto"/>
        <w:rPr>
          <w:b w:val="0"/>
          <w:sz w:val="24"/>
          <w:szCs w:val="24"/>
        </w:rPr>
      </w:pPr>
      <w:hyperlink w:anchor="_Toc1160" w:history="1">
        <w:r w:rsidR="00475650">
          <w:rPr>
            <w:b w:val="0"/>
            <w:sz w:val="24"/>
            <w:szCs w:val="24"/>
          </w:rPr>
          <w:t xml:space="preserve">7 </w:t>
        </w:r>
        <w:r w:rsidR="00475650">
          <w:rPr>
            <w:rFonts w:hAnsi="宋体"/>
            <w:b w:val="0"/>
            <w:sz w:val="24"/>
            <w:szCs w:val="24"/>
          </w:rPr>
          <w:t>污染防治措施有效性及达标排放可靠性分析</w:t>
        </w:r>
        <w:r w:rsidR="00475650">
          <w:rPr>
            <w:b w:val="0"/>
            <w:sz w:val="24"/>
            <w:szCs w:val="24"/>
          </w:rPr>
          <w:tab/>
        </w:r>
        <w:r>
          <w:rPr>
            <w:b w:val="0"/>
            <w:sz w:val="24"/>
            <w:szCs w:val="24"/>
          </w:rPr>
          <w:fldChar w:fldCharType="begin"/>
        </w:r>
        <w:r w:rsidR="00475650">
          <w:rPr>
            <w:b w:val="0"/>
            <w:sz w:val="24"/>
            <w:szCs w:val="24"/>
          </w:rPr>
          <w:instrText xml:space="preserve"> PAGEREF _Toc1160 </w:instrText>
        </w:r>
        <w:r>
          <w:rPr>
            <w:b w:val="0"/>
            <w:sz w:val="24"/>
            <w:szCs w:val="24"/>
          </w:rPr>
          <w:fldChar w:fldCharType="separate"/>
        </w:r>
        <w:r w:rsidR="00475650">
          <w:rPr>
            <w:b w:val="0"/>
            <w:sz w:val="24"/>
            <w:szCs w:val="24"/>
          </w:rPr>
          <w:t>125</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6051" w:history="1">
        <w:r w:rsidR="00475650">
          <w:rPr>
            <w:b w:val="0"/>
            <w:sz w:val="24"/>
            <w:szCs w:val="24"/>
          </w:rPr>
          <w:t>7.1</w:t>
        </w:r>
        <w:r w:rsidR="00475650">
          <w:rPr>
            <w:b w:val="0"/>
            <w:sz w:val="24"/>
            <w:szCs w:val="24"/>
          </w:rPr>
          <w:t>废水污染防治措施</w:t>
        </w:r>
        <w:r w:rsidR="00475650">
          <w:rPr>
            <w:b w:val="0"/>
            <w:sz w:val="24"/>
            <w:szCs w:val="24"/>
          </w:rPr>
          <w:tab/>
        </w:r>
        <w:r>
          <w:rPr>
            <w:b w:val="0"/>
            <w:sz w:val="24"/>
            <w:szCs w:val="24"/>
          </w:rPr>
          <w:fldChar w:fldCharType="begin"/>
        </w:r>
        <w:r w:rsidR="00475650">
          <w:rPr>
            <w:b w:val="0"/>
            <w:sz w:val="24"/>
            <w:szCs w:val="24"/>
          </w:rPr>
          <w:instrText xml:space="preserve"> PAGEREF _Toc6051 </w:instrText>
        </w:r>
        <w:r>
          <w:rPr>
            <w:b w:val="0"/>
            <w:sz w:val="24"/>
            <w:szCs w:val="24"/>
          </w:rPr>
          <w:fldChar w:fldCharType="separate"/>
        </w:r>
        <w:r w:rsidR="00475650">
          <w:rPr>
            <w:b w:val="0"/>
            <w:sz w:val="24"/>
            <w:szCs w:val="24"/>
          </w:rPr>
          <w:t>125</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17825" w:history="1">
        <w:r w:rsidR="00475650">
          <w:rPr>
            <w:b w:val="0"/>
            <w:sz w:val="24"/>
            <w:szCs w:val="24"/>
          </w:rPr>
          <w:t xml:space="preserve">7.2 </w:t>
        </w:r>
        <w:r w:rsidR="00475650">
          <w:rPr>
            <w:b w:val="0"/>
            <w:sz w:val="24"/>
            <w:szCs w:val="24"/>
          </w:rPr>
          <w:t>废气污染防治措施可行性分析</w:t>
        </w:r>
        <w:r w:rsidR="00475650">
          <w:rPr>
            <w:b w:val="0"/>
            <w:sz w:val="24"/>
            <w:szCs w:val="24"/>
          </w:rPr>
          <w:tab/>
        </w:r>
        <w:r>
          <w:rPr>
            <w:b w:val="0"/>
            <w:sz w:val="24"/>
            <w:szCs w:val="24"/>
          </w:rPr>
          <w:fldChar w:fldCharType="begin"/>
        </w:r>
        <w:r w:rsidR="00475650">
          <w:rPr>
            <w:b w:val="0"/>
            <w:sz w:val="24"/>
            <w:szCs w:val="24"/>
          </w:rPr>
          <w:instrText xml:space="preserve"> PAGEREF _Toc17825 </w:instrText>
        </w:r>
        <w:r>
          <w:rPr>
            <w:b w:val="0"/>
            <w:sz w:val="24"/>
            <w:szCs w:val="24"/>
          </w:rPr>
          <w:fldChar w:fldCharType="separate"/>
        </w:r>
        <w:r w:rsidR="00475650">
          <w:rPr>
            <w:b w:val="0"/>
            <w:sz w:val="24"/>
            <w:szCs w:val="24"/>
          </w:rPr>
          <w:t>125</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15147" w:history="1">
        <w:r w:rsidR="00475650">
          <w:rPr>
            <w:b w:val="0"/>
            <w:sz w:val="24"/>
            <w:szCs w:val="24"/>
          </w:rPr>
          <w:t>7.3</w:t>
        </w:r>
        <w:r w:rsidR="00475650">
          <w:rPr>
            <w:b w:val="0"/>
            <w:sz w:val="24"/>
            <w:szCs w:val="24"/>
          </w:rPr>
          <w:t>固体废物污染防治措施可行性分析</w:t>
        </w:r>
        <w:r w:rsidR="00475650">
          <w:rPr>
            <w:b w:val="0"/>
            <w:sz w:val="24"/>
            <w:szCs w:val="24"/>
          </w:rPr>
          <w:tab/>
        </w:r>
        <w:r>
          <w:rPr>
            <w:b w:val="0"/>
            <w:sz w:val="24"/>
            <w:szCs w:val="24"/>
          </w:rPr>
          <w:fldChar w:fldCharType="begin"/>
        </w:r>
        <w:r w:rsidR="00475650">
          <w:rPr>
            <w:b w:val="0"/>
            <w:sz w:val="24"/>
            <w:szCs w:val="24"/>
          </w:rPr>
          <w:instrText xml:space="preserve"> PAGEREF _Toc15147 </w:instrText>
        </w:r>
        <w:r>
          <w:rPr>
            <w:b w:val="0"/>
            <w:sz w:val="24"/>
            <w:szCs w:val="24"/>
          </w:rPr>
          <w:fldChar w:fldCharType="separate"/>
        </w:r>
        <w:r w:rsidR="00475650">
          <w:rPr>
            <w:b w:val="0"/>
            <w:sz w:val="24"/>
            <w:szCs w:val="24"/>
          </w:rPr>
          <w:t>126</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31663" w:history="1">
        <w:r w:rsidR="00475650">
          <w:rPr>
            <w:b w:val="0"/>
            <w:sz w:val="24"/>
            <w:szCs w:val="24"/>
          </w:rPr>
          <w:t>7.4</w:t>
        </w:r>
        <w:r w:rsidR="00475650">
          <w:rPr>
            <w:b w:val="0"/>
            <w:sz w:val="24"/>
            <w:szCs w:val="24"/>
          </w:rPr>
          <w:t>噪声防治措施分析</w:t>
        </w:r>
        <w:r w:rsidR="00475650">
          <w:rPr>
            <w:b w:val="0"/>
            <w:sz w:val="24"/>
            <w:szCs w:val="24"/>
          </w:rPr>
          <w:tab/>
        </w:r>
        <w:r>
          <w:rPr>
            <w:b w:val="0"/>
            <w:sz w:val="24"/>
            <w:szCs w:val="24"/>
          </w:rPr>
          <w:fldChar w:fldCharType="begin"/>
        </w:r>
        <w:r w:rsidR="00475650">
          <w:rPr>
            <w:b w:val="0"/>
            <w:sz w:val="24"/>
            <w:szCs w:val="24"/>
          </w:rPr>
          <w:instrText xml:space="preserve"> PAGEREF _Toc31663 </w:instrText>
        </w:r>
        <w:r>
          <w:rPr>
            <w:b w:val="0"/>
            <w:sz w:val="24"/>
            <w:szCs w:val="24"/>
          </w:rPr>
          <w:fldChar w:fldCharType="separate"/>
        </w:r>
        <w:r w:rsidR="00475650">
          <w:rPr>
            <w:b w:val="0"/>
            <w:sz w:val="24"/>
            <w:szCs w:val="24"/>
          </w:rPr>
          <w:t>127</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14249" w:history="1">
        <w:r w:rsidR="00475650">
          <w:rPr>
            <w:b w:val="0"/>
            <w:sz w:val="24"/>
            <w:szCs w:val="24"/>
          </w:rPr>
          <w:t>7.5</w:t>
        </w:r>
        <w:r w:rsidR="00475650">
          <w:rPr>
            <w:b w:val="0"/>
            <w:sz w:val="24"/>
            <w:szCs w:val="24"/>
          </w:rPr>
          <w:t>绿化措施分析</w:t>
        </w:r>
        <w:r w:rsidR="00475650">
          <w:rPr>
            <w:b w:val="0"/>
            <w:sz w:val="24"/>
            <w:szCs w:val="24"/>
          </w:rPr>
          <w:tab/>
        </w:r>
        <w:r>
          <w:rPr>
            <w:b w:val="0"/>
            <w:sz w:val="24"/>
            <w:szCs w:val="24"/>
          </w:rPr>
          <w:fldChar w:fldCharType="begin"/>
        </w:r>
        <w:r w:rsidR="00475650">
          <w:rPr>
            <w:b w:val="0"/>
            <w:sz w:val="24"/>
            <w:szCs w:val="24"/>
          </w:rPr>
          <w:instrText xml:space="preserve"> PAGEREF _Toc14249 </w:instrText>
        </w:r>
        <w:r>
          <w:rPr>
            <w:b w:val="0"/>
            <w:sz w:val="24"/>
            <w:szCs w:val="24"/>
          </w:rPr>
          <w:fldChar w:fldCharType="separate"/>
        </w:r>
        <w:r w:rsidR="00475650">
          <w:rPr>
            <w:b w:val="0"/>
            <w:sz w:val="24"/>
            <w:szCs w:val="24"/>
          </w:rPr>
          <w:t>127</w:t>
        </w:r>
        <w:r>
          <w:rPr>
            <w:b w:val="0"/>
            <w:sz w:val="24"/>
            <w:szCs w:val="24"/>
          </w:rPr>
          <w:fldChar w:fldCharType="end"/>
        </w:r>
      </w:hyperlink>
    </w:p>
    <w:p w:rsidR="00475650" w:rsidRDefault="006F27A1">
      <w:pPr>
        <w:pStyle w:val="1fc"/>
        <w:tabs>
          <w:tab w:val="right" w:leader="dot" w:pos="8730"/>
        </w:tabs>
        <w:snapToGrid w:val="0"/>
        <w:spacing w:before="0" w:after="0" w:line="324" w:lineRule="auto"/>
        <w:rPr>
          <w:b w:val="0"/>
          <w:sz w:val="24"/>
          <w:szCs w:val="24"/>
        </w:rPr>
      </w:pPr>
      <w:hyperlink w:anchor="_Toc10329" w:history="1">
        <w:r w:rsidR="00475650">
          <w:rPr>
            <w:b w:val="0"/>
            <w:sz w:val="24"/>
            <w:szCs w:val="24"/>
          </w:rPr>
          <w:t>8</w:t>
        </w:r>
        <w:r w:rsidR="00475650">
          <w:rPr>
            <w:rFonts w:hAnsi="宋体"/>
            <w:b w:val="0"/>
            <w:sz w:val="24"/>
            <w:szCs w:val="24"/>
          </w:rPr>
          <w:t>清洁生产和总量控制</w:t>
        </w:r>
        <w:r w:rsidR="00475650">
          <w:rPr>
            <w:b w:val="0"/>
            <w:sz w:val="24"/>
            <w:szCs w:val="24"/>
          </w:rPr>
          <w:tab/>
        </w:r>
        <w:r>
          <w:rPr>
            <w:b w:val="0"/>
            <w:sz w:val="24"/>
            <w:szCs w:val="24"/>
          </w:rPr>
          <w:fldChar w:fldCharType="begin"/>
        </w:r>
        <w:r w:rsidR="00475650">
          <w:rPr>
            <w:b w:val="0"/>
            <w:sz w:val="24"/>
            <w:szCs w:val="24"/>
          </w:rPr>
          <w:instrText xml:space="preserve"> PAGEREF _Toc10329 </w:instrText>
        </w:r>
        <w:r>
          <w:rPr>
            <w:b w:val="0"/>
            <w:sz w:val="24"/>
            <w:szCs w:val="24"/>
          </w:rPr>
          <w:fldChar w:fldCharType="separate"/>
        </w:r>
        <w:r w:rsidR="00475650">
          <w:rPr>
            <w:b w:val="0"/>
            <w:sz w:val="24"/>
            <w:szCs w:val="24"/>
          </w:rPr>
          <w:t>128</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20700" w:history="1">
        <w:r w:rsidR="00475650">
          <w:rPr>
            <w:b w:val="0"/>
            <w:sz w:val="24"/>
            <w:szCs w:val="24"/>
          </w:rPr>
          <w:t>8.1</w:t>
        </w:r>
        <w:r w:rsidR="00475650">
          <w:rPr>
            <w:b w:val="0"/>
            <w:sz w:val="24"/>
            <w:szCs w:val="24"/>
          </w:rPr>
          <w:t>清洁生产</w:t>
        </w:r>
        <w:r w:rsidR="00475650">
          <w:rPr>
            <w:b w:val="0"/>
            <w:sz w:val="24"/>
            <w:szCs w:val="24"/>
          </w:rPr>
          <w:tab/>
        </w:r>
        <w:r>
          <w:rPr>
            <w:b w:val="0"/>
            <w:sz w:val="24"/>
            <w:szCs w:val="24"/>
          </w:rPr>
          <w:fldChar w:fldCharType="begin"/>
        </w:r>
        <w:r w:rsidR="00475650">
          <w:rPr>
            <w:b w:val="0"/>
            <w:sz w:val="24"/>
            <w:szCs w:val="24"/>
          </w:rPr>
          <w:instrText xml:space="preserve"> PAGEREF _Toc20700 </w:instrText>
        </w:r>
        <w:r>
          <w:rPr>
            <w:b w:val="0"/>
            <w:sz w:val="24"/>
            <w:szCs w:val="24"/>
          </w:rPr>
          <w:fldChar w:fldCharType="separate"/>
        </w:r>
        <w:r w:rsidR="00475650">
          <w:rPr>
            <w:b w:val="0"/>
            <w:sz w:val="24"/>
            <w:szCs w:val="24"/>
          </w:rPr>
          <w:t>128</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12088" w:history="1">
        <w:r w:rsidR="00475650">
          <w:rPr>
            <w:b w:val="0"/>
            <w:sz w:val="24"/>
            <w:szCs w:val="24"/>
          </w:rPr>
          <w:t>8.2</w:t>
        </w:r>
        <w:r w:rsidR="00475650">
          <w:rPr>
            <w:b w:val="0"/>
            <w:sz w:val="24"/>
            <w:szCs w:val="24"/>
          </w:rPr>
          <w:t>总量控制</w:t>
        </w:r>
        <w:r w:rsidR="00475650">
          <w:rPr>
            <w:b w:val="0"/>
            <w:sz w:val="24"/>
            <w:szCs w:val="24"/>
          </w:rPr>
          <w:tab/>
        </w:r>
        <w:r>
          <w:rPr>
            <w:b w:val="0"/>
            <w:sz w:val="24"/>
            <w:szCs w:val="24"/>
          </w:rPr>
          <w:fldChar w:fldCharType="begin"/>
        </w:r>
        <w:r w:rsidR="00475650">
          <w:rPr>
            <w:b w:val="0"/>
            <w:sz w:val="24"/>
            <w:szCs w:val="24"/>
          </w:rPr>
          <w:instrText xml:space="preserve"> PAGEREF _Toc12088 </w:instrText>
        </w:r>
        <w:r>
          <w:rPr>
            <w:b w:val="0"/>
            <w:sz w:val="24"/>
            <w:szCs w:val="24"/>
          </w:rPr>
          <w:fldChar w:fldCharType="separate"/>
        </w:r>
        <w:r w:rsidR="00475650">
          <w:rPr>
            <w:b w:val="0"/>
            <w:sz w:val="24"/>
            <w:szCs w:val="24"/>
          </w:rPr>
          <w:t>131</w:t>
        </w:r>
        <w:r>
          <w:rPr>
            <w:b w:val="0"/>
            <w:sz w:val="24"/>
            <w:szCs w:val="24"/>
          </w:rPr>
          <w:fldChar w:fldCharType="end"/>
        </w:r>
      </w:hyperlink>
    </w:p>
    <w:p w:rsidR="00475650" w:rsidRDefault="006F27A1">
      <w:pPr>
        <w:pStyle w:val="1fc"/>
        <w:tabs>
          <w:tab w:val="right" w:leader="dot" w:pos="8730"/>
        </w:tabs>
        <w:snapToGrid w:val="0"/>
        <w:spacing w:before="0" w:after="0" w:line="324" w:lineRule="auto"/>
        <w:rPr>
          <w:b w:val="0"/>
          <w:sz w:val="24"/>
          <w:szCs w:val="24"/>
        </w:rPr>
      </w:pPr>
      <w:hyperlink w:anchor="_Toc29938" w:history="1">
        <w:r w:rsidR="00475650">
          <w:rPr>
            <w:b w:val="0"/>
            <w:sz w:val="24"/>
            <w:szCs w:val="24"/>
          </w:rPr>
          <w:t>9</w:t>
        </w:r>
        <w:r w:rsidR="00475650">
          <w:rPr>
            <w:rFonts w:hAnsi="宋体"/>
            <w:b w:val="0"/>
            <w:sz w:val="24"/>
            <w:szCs w:val="24"/>
          </w:rPr>
          <w:t>环境经济损益分析</w:t>
        </w:r>
        <w:r w:rsidR="00475650">
          <w:rPr>
            <w:b w:val="0"/>
            <w:sz w:val="24"/>
            <w:szCs w:val="24"/>
          </w:rPr>
          <w:tab/>
        </w:r>
        <w:r>
          <w:rPr>
            <w:b w:val="0"/>
            <w:sz w:val="24"/>
            <w:szCs w:val="24"/>
          </w:rPr>
          <w:fldChar w:fldCharType="begin"/>
        </w:r>
        <w:r w:rsidR="00475650">
          <w:rPr>
            <w:b w:val="0"/>
            <w:sz w:val="24"/>
            <w:szCs w:val="24"/>
          </w:rPr>
          <w:instrText xml:space="preserve"> PAGEREF _Toc29938 </w:instrText>
        </w:r>
        <w:r>
          <w:rPr>
            <w:b w:val="0"/>
            <w:sz w:val="24"/>
            <w:szCs w:val="24"/>
          </w:rPr>
          <w:fldChar w:fldCharType="separate"/>
        </w:r>
        <w:r w:rsidR="00475650">
          <w:rPr>
            <w:b w:val="0"/>
            <w:sz w:val="24"/>
            <w:szCs w:val="24"/>
          </w:rPr>
          <w:t>132</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13236" w:history="1">
        <w:r w:rsidR="00475650">
          <w:rPr>
            <w:b w:val="0"/>
            <w:sz w:val="24"/>
            <w:szCs w:val="24"/>
          </w:rPr>
          <w:t>9.1</w:t>
        </w:r>
        <w:r w:rsidR="00475650">
          <w:rPr>
            <w:b w:val="0"/>
            <w:sz w:val="24"/>
            <w:szCs w:val="24"/>
          </w:rPr>
          <w:t>项目的社会效益</w:t>
        </w:r>
        <w:r w:rsidR="00475650">
          <w:rPr>
            <w:b w:val="0"/>
            <w:sz w:val="24"/>
            <w:szCs w:val="24"/>
          </w:rPr>
          <w:tab/>
        </w:r>
        <w:r>
          <w:rPr>
            <w:b w:val="0"/>
            <w:sz w:val="24"/>
            <w:szCs w:val="24"/>
          </w:rPr>
          <w:fldChar w:fldCharType="begin"/>
        </w:r>
        <w:r w:rsidR="00475650">
          <w:rPr>
            <w:b w:val="0"/>
            <w:sz w:val="24"/>
            <w:szCs w:val="24"/>
          </w:rPr>
          <w:instrText xml:space="preserve"> PAGEREF _Toc13236 </w:instrText>
        </w:r>
        <w:r>
          <w:rPr>
            <w:b w:val="0"/>
            <w:sz w:val="24"/>
            <w:szCs w:val="24"/>
          </w:rPr>
          <w:fldChar w:fldCharType="separate"/>
        </w:r>
        <w:r w:rsidR="00475650">
          <w:rPr>
            <w:b w:val="0"/>
            <w:sz w:val="24"/>
            <w:szCs w:val="24"/>
          </w:rPr>
          <w:t>132</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12273" w:history="1">
        <w:r w:rsidR="00475650">
          <w:rPr>
            <w:b w:val="0"/>
            <w:sz w:val="24"/>
            <w:szCs w:val="24"/>
          </w:rPr>
          <w:t>9.2</w:t>
        </w:r>
        <w:r w:rsidR="00475650">
          <w:rPr>
            <w:b w:val="0"/>
            <w:sz w:val="24"/>
            <w:szCs w:val="24"/>
          </w:rPr>
          <w:t>项目的经济效益</w:t>
        </w:r>
        <w:r w:rsidR="00475650">
          <w:rPr>
            <w:b w:val="0"/>
            <w:sz w:val="24"/>
            <w:szCs w:val="24"/>
          </w:rPr>
          <w:tab/>
        </w:r>
        <w:r>
          <w:rPr>
            <w:b w:val="0"/>
            <w:sz w:val="24"/>
            <w:szCs w:val="24"/>
          </w:rPr>
          <w:fldChar w:fldCharType="begin"/>
        </w:r>
        <w:r w:rsidR="00475650">
          <w:rPr>
            <w:b w:val="0"/>
            <w:sz w:val="24"/>
            <w:szCs w:val="24"/>
          </w:rPr>
          <w:instrText xml:space="preserve"> PAGEREF _Toc12273 </w:instrText>
        </w:r>
        <w:r>
          <w:rPr>
            <w:b w:val="0"/>
            <w:sz w:val="24"/>
            <w:szCs w:val="24"/>
          </w:rPr>
          <w:fldChar w:fldCharType="separate"/>
        </w:r>
        <w:r w:rsidR="00475650">
          <w:rPr>
            <w:b w:val="0"/>
            <w:sz w:val="24"/>
            <w:szCs w:val="24"/>
          </w:rPr>
          <w:t>132</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28000" w:history="1">
        <w:r w:rsidR="00475650">
          <w:rPr>
            <w:b w:val="0"/>
            <w:sz w:val="24"/>
            <w:szCs w:val="24"/>
          </w:rPr>
          <w:t>9.3</w:t>
        </w:r>
        <w:r w:rsidR="00475650">
          <w:rPr>
            <w:b w:val="0"/>
            <w:sz w:val="24"/>
            <w:szCs w:val="24"/>
          </w:rPr>
          <w:t>项目的环境效益</w:t>
        </w:r>
        <w:r w:rsidR="00475650">
          <w:rPr>
            <w:b w:val="0"/>
            <w:sz w:val="24"/>
            <w:szCs w:val="24"/>
          </w:rPr>
          <w:tab/>
        </w:r>
        <w:r>
          <w:rPr>
            <w:b w:val="0"/>
            <w:sz w:val="24"/>
            <w:szCs w:val="24"/>
          </w:rPr>
          <w:fldChar w:fldCharType="begin"/>
        </w:r>
        <w:r w:rsidR="00475650">
          <w:rPr>
            <w:b w:val="0"/>
            <w:sz w:val="24"/>
            <w:szCs w:val="24"/>
          </w:rPr>
          <w:instrText xml:space="preserve"> PAGEREF _Toc28000 </w:instrText>
        </w:r>
        <w:r>
          <w:rPr>
            <w:b w:val="0"/>
            <w:sz w:val="24"/>
            <w:szCs w:val="24"/>
          </w:rPr>
          <w:fldChar w:fldCharType="separate"/>
        </w:r>
        <w:r w:rsidR="00475650">
          <w:rPr>
            <w:b w:val="0"/>
            <w:sz w:val="24"/>
            <w:szCs w:val="24"/>
          </w:rPr>
          <w:t>132</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19342" w:history="1">
        <w:r w:rsidR="00475650">
          <w:rPr>
            <w:b w:val="0"/>
            <w:sz w:val="24"/>
            <w:szCs w:val="24"/>
          </w:rPr>
          <w:t>9.4</w:t>
        </w:r>
        <w:r w:rsidR="00475650">
          <w:rPr>
            <w:b w:val="0"/>
            <w:sz w:val="24"/>
            <w:szCs w:val="24"/>
          </w:rPr>
          <w:t>环保措施及投资估算</w:t>
        </w:r>
        <w:r w:rsidR="00475650">
          <w:rPr>
            <w:b w:val="0"/>
            <w:sz w:val="24"/>
            <w:szCs w:val="24"/>
          </w:rPr>
          <w:tab/>
        </w:r>
        <w:r>
          <w:rPr>
            <w:b w:val="0"/>
            <w:sz w:val="24"/>
            <w:szCs w:val="24"/>
          </w:rPr>
          <w:fldChar w:fldCharType="begin"/>
        </w:r>
        <w:r w:rsidR="00475650">
          <w:rPr>
            <w:b w:val="0"/>
            <w:sz w:val="24"/>
            <w:szCs w:val="24"/>
          </w:rPr>
          <w:instrText xml:space="preserve"> PAGEREF _Toc19342 </w:instrText>
        </w:r>
        <w:r>
          <w:rPr>
            <w:b w:val="0"/>
            <w:sz w:val="24"/>
            <w:szCs w:val="24"/>
          </w:rPr>
          <w:fldChar w:fldCharType="separate"/>
        </w:r>
        <w:r w:rsidR="00475650">
          <w:rPr>
            <w:b w:val="0"/>
            <w:sz w:val="24"/>
            <w:szCs w:val="24"/>
          </w:rPr>
          <w:t>132</w:t>
        </w:r>
        <w:r>
          <w:rPr>
            <w:b w:val="0"/>
            <w:sz w:val="24"/>
            <w:szCs w:val="24"/>
          </w:rPr>
          <w:fldChar w:fldCharType="end"/>
        </w:r>
      </w:hyperlink>
    </w:p>
    <w:p w:rsidR="00475650" w:rsidRDefault="006F27A1">
      <w:pPr>
        <w:pStyle w:val="1fc"/>
        <w:tabs>
          <w:tab w:val="right" w:leader="dot" w:pos="8730"/>
        </w:tabs>
        <w:snapToGrid w:val="0"/>
        <w:spacing w:before="0" w:after="0" w:line="324" w:lineRule="auto"/>
        <w:rPr>
          <w:b w:val="0"/>
          <w:sz w:val="24"/>
          <w:szCs w:val="24"/>
        </w:rPr>
      </w:pPr>
      <w:hyperlink w:anchor="_Toc9919" w:history="1">
        <w:r w:rsidR="00475650">
          <w:rPr>
            <w:b w:val="0"/>
            <w:sz w:val="24"/>
            <w:szCs w:val="24"/>
          </w:rPr>
          <w:t xml:space="preserve">10 </w:t>
        </w:r>
        <w:r w:rsidR="00475650">
          <w:rPr>
            <w:rFonts w:hAnsi="宋体"/>
            <w:b w:val="0"/>
            <w:sz w:val="24"/>
            <w:szCs w:val="24"/>
          </w:rPr>
          <w:t>环境管理与监控</w:t>
        </w:r>
        <w:r w:rsidR="00475650">
          <w:rPr>
            <w:b w:val="0"/>
            <w:sz w:val="24"/>
            <w:szCs w:val="24"/>
          </w:rPr>
          <w:tab/>
        </w:r>
        <w:r>
          <w:rPr>
            <w:b w:val="0"/>
            <w:sz w:val="24"/>
            <w:szCs w:val="24"/>
          </w:rPr>
          <w:fldChar w:fldCharType="begin"/>
        </w:r>
        <w:r w:rsidR="00475650">
          <w:rPr>
            <w:b w:val="0"/>
            <w:sz w:val="24"/>
            <w:szCs w:val="24"/>
          </w:rPr>
          <w:instrText xml:space="preserve"> PAGEREF _Toc9919 </w:instrText>
        </w:r>
        <w:r>
          <w:rPr>
            <w:b w:val="0"/>
            <w:sz w:val="24"/>
            <w:szCs w:val="24"/>
          </w:rPr>
          <w:fldChar w:fldCharType="separate"/>
        </w:r>
        <w:r w:rsidR="00475650">
          <w:rPr>
            <w:b w:val="0"/>
            <w:sz w:val="24"/>
            <w:szCs w:val="24"/>
          </w:rPr>
          <w:t>134</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18543" w:history="1">
        <w:r w:rsidR="00475650">
          <w:rPr>
            <w:b w:val="0"/>
            <w:sz w:val="24"/>
            <w:szCs w:val="24"/>
          </w:rPr>
          <w:t>10.1</w:t>
        </w:r>
        <w:r w:rsidR="00475650">
          <w:rPr>
            <w:b w:val="0"/>
            <w:sz w:val="24"/>
            <w:szCs w:val="24"/>
          </w:rPr>
          <w:t>施工期环境管理与监控</w:t>
        </w:r>
        <w:r w:rsidR="00475650">
          <w:rPr>
            <w:b w:val="0"/>
            <w:sz w:val="24"/>
            <w:szCs w:val="24"/>
          </w:rPr>
          <w:tab/>
        </w:r>
        <w:r>
          <w:rPr>
            <w:b w:val="0"/>
            <w:sz w:val="24"/>
            <w:szCs w:val="24"/>
          </w:rPr>
          <w:fldChar w:fldCharType="begin"/>
        </w:r>
        <w:r w:rsidR="00475650">
          <w:rPr>
            <w:b w:val="0"/>
            <w:sz w:val="24"/>
            <w:szCs w:val="24"/>
          </w:rPr>
          <w:instrText xml:space="preserve"> PAGEREF _Toc18543 </w:instrText>
        </w:r>
        <w:r>
          <w:rPr>
            <w:b w:val="0"/>
            <w:sz w:val="24"/>
            <w:szCs w:val="24"/>
          </w:rPr>
          <w:fldChar w:fldCharType="separate"/>
        </w:r>
        <w:r w:rsidR="00475650">
          <w:rPr>
            <w:b w:val="0"/>
            <w:sz w:val="24"/>
            <w:szCs w:val="24"/>
          </w:rPr>
          <w:t>134</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19531" w:history="1">
        <w:r w:rsidR="00475650">
          <w:rPr>
            <w:b w:val="0"/>
            <w:sz w:val="24"/>
            <w:szCs w:val="24"/>
          </w:rPr>
          <w:t>10.2</w:t>
        </w:r>
        <w:r w:rsidR="00475650">
          <w:rPr>
            <w:b w:val="0"/>
            <w:sz w:val="24"/>
            <w:szCs w:val="24"/>
          </w:rPr>
          <w:t>运营期环境管理</w:t>
        </w:r>
        <w:r w:rsidR="00475650">
          <w:rPr>
            <w:b w:val="0"/>
            <w:sz w:val="24"/>
            <w:szCs w:val="24"/>
          </w:rPr>
          <w:tab/>
        </w:r>
        <w:r>
          <w:rPr>
            <w:b w:val="0"/>
            <w:sz w:val="24"/>
            <w:szCs w:val="24"/>
          </w:rPr>
          <w:fldChar w:fldCharType="begin"/>
        </w:r>
        <w:r w:rsidR="00475650">
          <w:rPr>
            <w:b w:val="0"/>
            <w:sz w:val="24"/>
            <w:szCs w:val="24"/>
          </w:rPr>
          <w:instrText xml:space="preserve"> PAGEREF _Toc19531 </w:instrText>
        </w:r>
        <w:r>
          <w:rPr>
            <w:b w:val="0"/>
            <w:sz w:val="24"/>
            <w:szCs w:val="24"/>
          </w:rPr>
          <w:fldChar w:fldCharType="separate"/>
        </w:r>
        <w:r w:rsidR="00475650">
          <w:rPr>
            <w:b w:val="0"/>
            <w:sz w:val="24"/>
            <w:szCs w:val="24"/>
          </w:rPr>
          <w:t>134</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15163" w:history="1">
        <w:r w:rsidR="00475650">
          <w:rPr>
            <w:b w:val="0"/>
            <w:sz w:val="24"/>
            <w:szCs w:val="24"/>
          </w:rPr>
          <w:t xml:space="preserve">10.3 </w:t>
        </w:r>
        <w:r w:rsidR="00475650">
          <w:rPr>
            <w:b w:val="0"/>
            <w:sz w:val="24"/>
            <w:szCs w:val="24"/>
          </w:rPr>
          <w:t>运营期环境监控</w:t>
        </w:r>
        <w:r w:rsidR="00475650">
          <w:rPr>
            <w:b w:val="0"/>
            <w:sz w:val="24"/>
            <w:szCs w:val="24"/>
          </w:rPr>
          <w:tab/>
        </w:r>
        <w:r>
          <w:rPr>
            <w:b w:val="0"/>
            <w:sz w:val="24"/>
            <w:szCs w:val="24"/>
          </w:rPr>
          <w:fldChar w:fldCharType="begin"/>
        </w:r>
        <w:r w:rsidR="00475650">
          <w:rPr>
            <w:b w:val="0"/>
            <w:sz w:val="24"/>
            <w:szCs w:val="24"/>
          </w:rPr>
          <w:instrText xml:space="preserve"> PAGEREF _Toc15163 </w:instrText>
        </w:r>
        <w:r>
          <w:rPr>
            <w:b w:val="0"/>
            <w:sz w:val="24"/>
            <w:szCs w:val="24"/>
          </w:rPr>
          <w:fldChar w:fldCharType="separate"/>
        </w:r>
        <w:r w:rsidR="00475650">
          <w:rPr>
            <w:b w:val="0"/>
            <w:sz w:val="24"/>
            <w:szCs w:val="24"/>
          </w:rPr>
          <w:t>135</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17668" w:history="1">
        <w:r w:rsidR="00475650">
          <w:rPr>
            <w:b w:val="0"/>
            <w:sz w:val="24"/>
            <w:szCs w:val="24"/>
          </w:rPr>
          <w:t>10.4“</w:t>
        </w:r>
        <w:r w:rsidR="00475650">
          <w:rPr>
            <w:b w:val="0"/>
            <w:sz w:val="24"/>
            <w:szCs w:val="24"/>
          </w:rPr>
          <w:t>三同时</w:t>
        </w:r>
        <w:r w:rsidR="00475650">
          <w:rPr>
            <w:b w:val="0"/>
            <w:sz w:val="24"/>
            <w:szCs w:val="24"/>
          </w:rPr>
          <w:t>”</w:t>
        </w:r>
        <w:r w:rsidR="00475650">
          <w:rPr>
            <w:b w:val="0"/>
            <w:sz w:val="24"/>
            <w:szCs w:val="24"/>
          </w:rPr>
          <w:t>验收监测</w:t>
        </w:r>
        <w:r w:rsidR="00475650">
          <w:rPr>
            <w:b w:val="0"/>
            <w:sz w:val="24"/>
            <w:szCs w:val="24"/>
          </w:rPr>
          <w:tab/>
        </w:r>
        <w:r>
          <w:rPr>
            <w:b w:val="0"/>
            <w:sz w:val="24"/>
            <w:szCs w:val="24"/>
          </w:rPr>
          <w:fldChar w:fldCharType="begin"/>
        </w:r>
        <w:r w:rsidR="00475650">
          <w:rPr>
            <w:b w:val="0"/>
            <w:sz w:val="24"/>
            <w:szCs w:val="24"/>
          </w:rPr>
          <w:instrText xml:space="preserve"> PAGEREF _Toc17668 </w:instrText>
        </w:r>
        <w:r>
          <w:rPr>
            <w:b w:val="0"/>
            <w:sz w:val="24"/>
            <w:szCs w:val="24"/>
          </w:rPr>
          <w:fldChar w:fldCharType="separate"/>
        </w:r>
        <w:r w:rsidR="00475650">
          <w:rPr>
            <w:b w:val="0"/>
            <w:sz w:val="24"/>
            <w:szCs w:val="24"/>
          </w:rPr>
          <w:t>136</w:t>
        </w:r>
        <w:r>
          <w:rPr>
            <w:b w:val="0"/>
            <w:sz w:val="24"/>
            <w:szCs w:val="24"/>
          </w:rPr>
          <w:fldChar w:fldCharType="end"/>
        </w:r>
      </w:hyperlink>
    </w:p>
    <w:p w:rsidR="00475650" w:rsidRDefault="006F27A1">
      <w:pPr>
        <w:pStyle w:val="1fc"/>
        <w:tabs>
          <w:tab w:val="right" w:leader="dot" w:pos="8730"/>
        </w:tabs>
        <w:snapToGrid w:val="0"/>
        <w:spacing w:before="0" w:after="0" w:line="324" w:lineRule="auto"/>
        <w:rPr>
          <w:b w:val="0"/>
          <w:sz w:val="24"/>
          <w:szCs w:val="24"/>
        </w:rPr>
      </w:pPr>
      <w:hyperlink w:anchor="_Toc10472" w:history="1">
        <w:r w:rsidR="00475650">
          <w:rPr>
            <w:b w:val="0"/>
            <w:sz w:val="24"/>
            <w:szCs w:val="24"/>
          </w:rPr>
          <w:t>11</w:t>
        </w:r>
        <w:r w:rsidR="00475650">
          <w:rPr>
            <w:rFonts w:hAnsi="宋体"/>
            <w:b w:val="0"/>
            <w:sz w:val="24"/>
            <w:szCs w:val="24"/>
          </w:rPr>
          <w:t>项目建设的可行性分析</w:t>
        </w:r>
        <w:r w:rsidR="00475650">
          <w:rPr>
            <w:b w:val="0"/>
            <w:sz w:val="24"/>
            <w:szCs w:val="24"/>
          </w:rPr>
          <w:tab/>
        </w:r>
        <w:r>
          <w:rPr>
            <w:b w:val="0"/>
            <w:sz w:val="24"/>
            <w:szCs w:val="24"/>
          </w:rPr>
          <w:fldChar w:fldCharType="begin"/>
        </w:r>
        <w:r w:rsidR="00475650">
          <w:rPr>
            <w:b w:val="0"/>
            <w:sz w:val="24"/>
            <w:szCs w:val="24"/>
          </w:rPr>
          <w:instrText xml:space="preserve"> PAGEREF _Toc10472 </w:instrText>
        </w:r>
        <w:r>
          <w:rPr>
            <w:b w:val="0"/>
            <w:sz w:val="24"/>
            <w:szCs w:val="24"/>
          </w:rPr>
          <w:fldChar w:fldCharType="separate"/>
        </w:r>
        <w:r w:rsidR="00475650">
          <w:rPr>
            <w:b w:val="0"/>
            <w:sz w:val="24"/>
            <w:szCs w:val="24"/>
          </w:rPr>
          <w:t>139</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9121" w:history="1">
        <w:r w:rsidR="00475650">
          <w:rPr>
            <w:b w:val="0"/>
            <w:sz w:val="24"/>
            <w:szCs w:val="24"/>
          </w:rPr>
          <w:t>11.1</w:t>
        </w:r>
        <w:r w:rsidR="00475650">
          <w:rPr>
            <w:b w:val="0"/>
            <w:sz w:val="24"/>
            <w:szCs w:val="24"/>
          </w:rPr>
          <w:t>产业政策的符合性</w:t>
        </w:r>
        <w:r w:rsidR="00475650">
          <w:rPr>
            <w:b w:val="0"/>
            <w:sz w:val="24"/>
            <w:szCs w:val="24"/>
          </w:rPr>
          <w:tab/>
        </w:r>
        <w:r>
          <w:rPr>
            <w:b w:val="0"/>
            <w:sz w:val="24"/>
            <w:szCs w:val="24"/>
          </w:rPr>
          <w:fldChar w:fldCharType="begin"/>
        </w:r>
        <w:r w:rsidR="00475650">
          <w:rPr>
            <w:b w:val="0"/>
            <w:sz w:val="24"/>
            <w:szCs w:val="24"/>
          </w:rPr>
          <w:instrText xml:space="preserve"> PAGEREF _Toc9121 </w:instrText>
        </w:r>
        <w:r>
          <w:rPr>
            <w:b w:val="0"/>
            <w:sz w:val="24"/>
            <w:szCs w:val="24"/>
          </w:rPr>
          <w:fldChar w:fldCharType="separate"/>
        </w:r>
        <w:r w:rsidR="00475650">
          <w:rPr>
            <w:b w:val="0"/>
            <w:sz w:val="24"/>
            <w:szCs w:val="24"/>
          </w:rPr>
          <w:t>139</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19895" w:history="1">
        <w:r w:rsidR="00475650">
          <w:rPr>
            <w:b w:val="0"/>
            <w:sz w:val="24"/>
            <w:szCs w:val="24"/>
          </w:rPr>
          <w:t xml:space="preserve">11.2 </w:t>
        </w:r>
        <w:r w:rsidR="00475650">
          <w:rPr>
            <w:b w:val="0"/>
            <w:sz w:val="24"/>
            <w:szCs w:val="24"/>
          </w:rPr>
          <w:t>规划相容性与选址的合理性</w:t>
        </w:r>
        <w:r w:rsidR="00475650">
          <w:rPr>
            <w:b w:val="0"/>
            <w:sz w:val="24"/>
            <w:szCs w:val="24"/>
          </w:rPr>
          <w:tab/>
        </w:r>
        <w:r>
          <w:rPr>
            <w:b w:val="0"/>
            <w:sz w:val="24"/>
            <w:szCs w:val="24"/>
          </w:rPr>
          <w:fldChar w:fldCharType="begin"/>
        </w:r>
        <w:r w:rsidR="00475650">
          <w:rPr>
            <w:b w:val="0"/>
            <w:sz w:val="24"/>
            <w:szCs w:val="24"/>
          </w:rPr>
          <w:instrText xml:space="preserve"> PAGEREF _Toc19895 </w:instrText>
        </w:r>
        <w:r>
          <w:rPr>
            <w:b w:val="0"/>
            <w:sz w:val="24"/>
            <w:szCs w:val="24"/>
          </w:rPr>
          <w:fldChar w:fldCharType="separate"/>
        </w:r>
        <w:r w:rsidR="00475650">
          <w:rPr>
            <w:b w:val="0"/>
            <w:sz w:val="24"/>
            <w:szCs w:val="24"/>
          </w:rPr>
          <w:t>139</w:t>
        </w:r>
        <w:r>
          <w:rPr>
            <w:b w:val="0"/>
            <w:sz w:val="24"/>
            <w:szCs w:val="24"/>
          </w:rPr>
          <w:fldChar w:fldCharType="end"/>
        </w:r>
      </w:hyperlink>
    </w:p>
    <w:p w:rsidR="00475650" w:rsidRDefault="006F27A1">
      <w:pPr>
        <w:pStyle w:val="1fc"/>
        <w:tabs>
          <w:tab w:val="right" w:leader="dot" w:pos="8730"/>
        </w:tabs>
        <w:snapToGrid w:val="0"/>
        <w:spacing w:before="0" w:after="0" w:line="324" w:lineRule="auto"/>
        <w:rPr>
          <w:b w:val="0"/>
          <w:sz w:val="24"/>
          <w:szCs w:val="24"/>
        </w:rPr>
      </w:pPr>
      <w:hyperlink w:anchor="_Toc4739" w:history="1">
        <w:r w:rsidR="00475650">
          <w:rPr>
            <w:b w:val="0"/>
            <w:sz w:val="24"/>
            <w:szCs w:val="24"/>
          </w:rPr>
          <w:t xml:space="preserve">12 </w:t>
        </w:r>
        <w:r w:rsidR="00475650">
          <w:rPr>
            <w:rFonts w:hAnsi="宋体"/>
            <w:b w:val="0"/>
            <w:sz w:val="24"/>
            <w:szCs w:val="24"/>
          </w:rPr>
          <w:t>公众参与</w:t>
        </w:r>
        <w:r w:rsidR="00475650">
          <w:rPr>
            <w:b w:val="0"/>
            <w:sz w:val="24"/>
            <w:szCs w:val="24"/>
          </w:rPr>
          <w:tab/>
        </w:r>
        <w:r>
          <w:rPr>
            <w:b w:val="0"/>
            <w:sz w:val="24"/>
            <w:szCs w:val="24"/>
          </w:rPr>
          <w:fldChar w:fldCharType="begin"/>
        </w:r>
        <w:r w:rsidR="00475650">
          <w:rPr>
            <w:b w:val="0"/>
            <w:sz w:val="24"/>
            <w:szCs w:val="24"/>
          </w:rPr>
          <w:instrText xml:space="preserve"> PAGEREF _Toc4739 </w:instrText>
        </w:r>
        <w:r>
          <w:rPr>
            <w:b w:val="0"/>
            <w:sz w:val="24"/>
            <w:szCs w:val="24"/>
          </w:rPr>
          <w:fldChar w:fldCharType="separate"/>
        </w:r>
        <w:r w:rsidR="00475650">
          <w:rPr>
            <w:b w:val="0"/>
            <w:sz w:val="24"/>
            <w:szCs w:val="24"/>
          </w:rPr>
          <w:t>143</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30758" w:history="1">
        <w:r w:rsidR="00475650">
          <w:rPr>
            <w:b w:val="0"/>
            <w:sz w:val="24"/>
            <w:szCs w:val="24"/>
          </w:rPr>
          <w:t xml:space="preserve">12.1 </w:t>
        </w:r>
        <w:r w:rsidR="00475650">
          <w:rPr>
            <w:b w:val="0"/>
            <w:sz w:val="24"/>
            <w:szCs w:val="24"/>
          </w:rPr>
          <w:t>目的和原则</w:t>
        </w:r>
        <w:r w:rsidR="00475650">
          <w:rPr>
            <w:b w:val="0"/>
            <w:sz w:val="24"/>
            <w:szCs w:val="24"/>
          </w:rPr>
          <w:tab/>
        </w:r>
        <w:r>
          <w:rPr>
            <w:b w:val="0"/>
            <w:sz w:val="24"/>
            <w:szCs w:val="24"/>
          </w:rPr>
          <w:fldChar w:fldCharType="begin"/>
        </w:r>
        <w:r w:rsidR="00475650">
          <w:rPr>
            <w:b w:val="0"/>
            <w:sz w:val="24"/>
            <w:szCs w:val="24"/>
          </w:rPr>
          <w:instrText xml:space="preserve"> PAGEREF _Toc30758 </w:instrText>
        </w:r>
        <w:r>
          <w:rPr>
            <w:b w:val="0"/>
            <w:sz w:val="24"/>
            <w:szCs w:val="24"/>
          </w:rPr>
          <w:fldChar w:fldCharType="separate"/>
        </w:r>
        <w:r w:rsidR="00475650">
          <w:rPr>
            <w:b w:val="0"/>
            <w:sz w:val="24"/>
            <w:szCs w:val="24"/>
          </w:rPr>
          <w:t>143</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2906" w:history="1">
        <w:r w:rsidR="00475650">
          <w:rPr>
            <w:b w:val="0"/>
            <w:sz w:val="24"/>
            <w:szCs w:val="24"/>
          </w:rPr>
          <w:t xml:space="preserve">12.2 </w:t>
        </w:r>
        <w:r w:rsidR="00475650">
          <w:rPr>
            <w:b w:val="0"/>
            <w:sz w:val="24"/>
            <w:szCs w:val="24"/>
          </w:rPr>
          <w:t>调查方式和内容</w:t>
        </w:r>
        <w:r w:rsidR="00475650">
          <w:rPr>
            <w:b w:val="0"/>
            <w:sz w:val="24"/>
            <w:szCs w:val="24"/>
          </w:rPr>
          <w:tab/>
        </w:r>
        <w:r>
          <w:rPr>
            <w:b w:val="0"/>
            <w:sz w:val="24"/>
            <w:szCs w:val="24"/>
          </w:rPr>
          <w:fldChar w:fldCharType="begin"/>
        </w:r>
        <w:r w:rsidR="00475650">
          <w:rPr>
            <w:b w:val="0"/>
            <w:sz w:val="24"/>
            <w:szCs w:val="24"/>
          </w:rPr>
          <w:instrText xml:space="preserve"> PAGEREF _Toc2906 </w:instrText>
        </w:r>
        <w:r>
          <w:rPr>
            <w:b w:val="0"/>
            <w:sz w:val="24"/>
            <w:szCs w:val="24"/>
          </w:rPr>
          <w:fldChar w:fldCharType="separate"/>
        </w:r>
        <w:r w:rsidR="00475650">
          <w:rPr>
            <w:b w:val="0"/>
            <w:sz w:val="24"/>
            <w:szCs w:val="24"/>
          </w:rPr>
          <w:t>143</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11556" w:history="1">
        <w:r w:rsidR="00475650">
          <w:rPr>
            <w:b w:val="0"/>
            <w:sz w:val="24"/>
            <w:szCs w:val="24"/>
          </w:rPr>
          <w:t xml:space="preserve">12.6 </w:t>
        </w:r>
        <w:r w:rsidR="00475650">
          <w:rPr>
            <w:b w:val="0"/>
            <w:sz w:val="24"/>
            <w:szCs w:val="24"/>
          </w:rPr>
          <w:t>公众参与小结</w:t>
        </w:r>
        <w:r w:rsidR="00475650">
          <w:rPr>
            <w:b w:val="0"/>
            <w:sz w:val="24"/>
            <w:szCs w:val="24"/>
          </w:rPr>
          <w:tab/>
        </w:r>
        <w:r>
          <w:rPr>
            <w:b w:val="0"/>
            <w:sz w:val="24"/>
            <w:szCs w:val="24"/>
          </w:rPr>
          <w:fldChar w:fldCharType="begin"/>
        </w:r>
        <w:r w:rsidR="00475650">
          <w:rPr>
            <w:b w:val="0"/>
            <w:sz w:val="24"/>
            <w:szCs w:val="24"/>
          </w:rPr>
          <w:instrText xml:space="preserve"> PAGEREF _Toc11556 </w:instrText>
        </w:r>
        <w:r>
          <w:rPr>
            <w:b w:val="0"/>
            <w:sz w:val="24"/>
            <w:szCs w:val="24"/>
          </w:rPr>
          <w:fldChar w:fldCharType="separate"/>
        </w:r>
        <w:r w:rsidR="00475650">
          <w:rPr>
            <w:b w:val="0"/>
            <w:sz w:val="24"/>
            <w:szCs w:val="24"/>
          </w:rPr>
          <w:t>145</w:t>
        </w:r>
        <w:r>
          <w:rPr>
            <w:b w:val="0"/>
            <w:sz w:val="24"/>
            <w:szCs w:val="24"/>
          </w:rPr>
          <w:fldChar w:fldCharType="end"/>
        </w:r>
      </w:hyperlink>
    </w:p>
    <w:p w:rsidR="00475650" w:rsidRDefault="006F27A1">
      <w:pPr>
        <w:pStyle w:val="1fc"/>
        <w:tabs>
          <w:tab w:val="right" w:leader="dot" w:pos="8730"/>
        </w:tabs>
        <w:snapToGrid w:val="0"/>
        <w:spacing w:before="0" w:after="0" w:line="324" w:lineRule="auto"/>
        <w:rPr>
          <w:b w:val="0"/>
          <w:sz w:val="24"/>
          <w:szCs w:val="24"/>
        </w:rPr>
      </w:pPr>
      <w:hyperlink w:anchor="_Toc11006" w:history="1">
        <w:r w:rsidR="00475650">
          <w:rPr>
            <w:b w:val="0"/>
            <w:sz w:val="24"/>
            <w:szCs w:val="24"/>
          </w:rPr>
          <w:t xml:space="preserve">13 </w:t>
        </w:r>
        <w:r w:rsidR="00475650">
          <w:rPr>
            <w:rFonts w:hAnsi="宋体"/>
            <w:b w:val="0"/>
            <w:sz w:val="24"/>
            <w:szCs w:val="24"/>
          </w:rPr>
          <w:t>结论和建议</w:t>
        </w:r>
        <w:r w:rsidR="00475650">
          <w:rPr>
            <w:b w:val="0"/>
            <w:sz w:val="24"/>
            <w:szCs w:val="24"/>
          </w:rPr>
          <w:tab/>
        </w:r>
        <w:r>
          <w:rPr>
            <w:b w:val="0"/>
            <w:sz w:val="24"/>
            <w:szCs w:val="24"/>
          </w:rPr>
          <w:fldChar w:fldCharType="begin"/>
        </w:r>
        <w:r w:rsidR="00475650">
          <w:rPr>
            <w:b w:val="0"/>
            <w:sz w:val="24"/>
            <w:szCs w:val="24"/>
          </w:rPr>
          <w:instrText xml:space="preserve"> PAGEREF _Toc11006 </w:instrText>
        </w:r>
        <w:r>
          <w:rPr>
            <w:b w:val="0"/>
            <w:sz w:val="24"/>
            <w:szCs w:val="24"/>
          </w:rPr>
          <w:fldChar w:fldCharType="separate"/>
        </w:r>
        <w:r w:rsidR="00475650">
          <w:rPr>
            <w:b w:val="0"/>
            <w:sz w:val="24"/>
            <w:szCs w:val="24"/>
          </w:rPr>
          <w:t>146</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21246" w:history="1">
        <w:r w:rsidR="00475650">
          <w:rPr>
            <w:b w:val="0"/>
            <w:sz w:val="24"/>
            <w:szCs w:val="24"/>
          </w:rPr>
          <w:t xml:space="preserve">13.1 </w:t>
        </w:r>
        <w:r w:rsidR="00475650">
          <w:rPr>
            <w:b w:val="0"/>
            <w:sz w:val="24"/>
            <w:szCs w:val="24"/>
          </w:rPr>
          <w:t>拟建工程概况</w:t>
        </w:r>
        <w:r w:rsidR="00475650">
          <w:rPr>
            <w:b w:val="0"/>
            <w:sz w:val="24"/>
            <w:szCs w:val="24"/>
          </w:rPr>
          <w:tab/>
        </w:r>
        <w:r>
          <w:rPr>
            <w:b w:val="0"/>
            <w:sz w:val="24"/>
            <w:szCs w:val="24"/>
          </w:rPr>
          <w:fldChar w:fldCharType="begin"/>
        </w:r>
        <w:r w:rsidR="00475650">
          <w:rPr>
            <w:b w:val="0"/>
            <w:sz w:val="24"/>
            <w:szCs w:val="24"/>
          </w:rPr>
          <w:instrText xml:space="preserve"> PAGEREF _Toc21246 </w:instrText>
        </w:r>
        <w:r>
          <w:rPr>
            <w:b w:val="0"/>
            <w:sz w:val="24"/>
            <w:szCs w:val="24"/>
          </w:rPr>
          <w:fldChar w:fldCharType="separate"/>
        </w:r>
        <w:r w:rsidR="00475650">
          <w:rPr>
            <w:b w:val="0"/>
            <w:sz w:val="24"/>
            <w:szCs w:val="24"/>
          </w:rPr>
          <w:t>146</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28607" w:history="1">
        <w:r w:rsidR="00475650">
          <w:rPr>
            <w:b w:val="0"/>
            <w:sz w:val="24"/>
            <w:szCs w:val="24"/>
          </w:rPr>
          <w:t>13.2</w:t>
        </w:r>
        <w:r w:rsidR="00475650">
          <w:rPr>
            <w:b w:val="0"/>
            <w:sz w:val="24"/>
            <w:szCs w:val="24"/>
          </w:rPr>
          <w:t>现有工程基本情况</w:t>
        </w:r>
        <w:r w:rsidR="00475650">
          <w:rPr>
            <w:b w:val="0"/>
            <w:sz w:val="24"/>
            <w:szCs w:val="24"/>
          </w:rPr>
          <w:tab/>
        </w:r>
        <w:r>
          <w:rPr>
            <w:b w:val="0"/>
            <w:sz w:val="24"/>
            <w:szCs w:val="24"/>
          </w:rPr>
          <w:fldChar w:fldCharType="begin"/>
        </w:r>
        <w:r w:rsidR="00475650">
          <w:rPr>
            <w:b w:val="0"/>
            <w:sz w:val="24"/>
            <w:szCs w:val="24"/>
          </w:rPr>
          <w:instrText xml:space="preserve"> PAGEREF _Toc28607 </w:instrText>
        </w:r>
        <w:r>
          <w:rPr>
            <w:b w:val="0"/>
            <w:sz w:val="24"/>
            <w:szCs w:val="24"/>
          </w:rPr>
          <w:fldChar w:fldCharType="separate"/>
        </w:r>
        <w:r w:rsidR="00475650">
          <w:rPr>
            <w:b w:val="0"/>
            <w:sz w:val="24"/>
            <w:szCs w:val="24"/>
          </w:rPr>
          <w:t>146</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12009" w:history="1">
        <w:r w:rsidR="00475650">
          <w:rPr>
            <w:b w:val="0"/>
            <w:sz w:val="24"/>
            <w:szCs w:val="24"/>
          </w:rPr>
          <w:t>13.3</w:t>
        </w:r>
        <w:r w:rsidR="00475650">
          <w:rPr>
            <w:b w:val="0"/>
            <w:sz w:val="24"/>
            <w:szCs w:val="24"/>
          </w:rPr>
          <w:t>拟建工程污染源及污染防治措施</w:t>
        </w:r>
        <w:r w:rsidR="00475650">
          <w:rPr>
            <w:b w:val="0"/>
            <w:sz w:val="24"/>
            <w:szCs w:val="24"/>
          </w:rPr>
          <w:tab/>
        </w:r>
        <w:r>
          <w:rPr>
            <w:b w:val="0"/>
            <w:sz w:val="24"/>
            <w:szCs w:val="24"/>
          </w:rPr>
          <w:fldChar w:fldCharType="begin"/>
        </w:r>
        <w:r w:rsidR="00475650">
          <w:rPr>
            <w:b w:val="0"/>
            <w:sz w:val="24"/>
            <w:szCs w:val="24"/>
          </w:rPr>
          <w:instrText xml:space="preserve"> PAGEREF _Toc12009 </w:instrText>
        </w:r>
        <w:r>
          <w:rPr>
            <w:b w:val="0"/>
            <w:sz w:val="24"/>
            <w:szCs w:val="24"/>
          </w:rPr>
          <w:fldChar w:fldCharType="separate"/>
        </w:r>
        <w:r w:rsidR="00475650">
          <w:rPr>
            <w:b w:val="0"/>
            <w:sz w:val="24"/>
            <w:szCs w:val="24"/>
          </w:rPr>
          <w:t>146</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955" w:history="1">
        <w:r w:rsidR="00475650">
          <w:rPr>
            <w:b w:val="0"/>
            <w:sz w:val="24"/>
            <w:szCs w:val="24"/>
          </w:rPr>
          <w:t>13.4</w:t>
        </w:r>
        <w:r w:rsidR="00475650">
          <w:rPr>
            <w:b w:val="0"/>
            <w:sz w:val="24"/>
            <w:szCs w:val="24"/>
          </w:rPr>
          <w:t>环境质量现状</w:t>
        </w:r>
        <w:r w:rsidR="00475650">
          <w:rPr>
            <w:b w:val="0"/>
            <w:sz w:val="24"/>
            <w:szCs w:val="24"/>
          </w:rPr>
          <w:tab/>
        </w:r>
        <w:r>
          <w:rPr>
            <w:b w:val="0"/>
            <w:sz w:val="24"/>
            <w:szCs w:val="24"/>
          </w:rPr>
          <w:fldChar w:fldCharType="begin"/>
        </w:r>
        <w:r w:rsidR="00475650">
          <w:rPr>
            <w:b w:val="0"/>
            <w:sz w:val="24"/>
            <w:szCs w:val="24"/>
          </w:rPr>
          <w:instrText xml:space="preserve"> PAGEREF _Toc955 </w:instrText>
        </w:r>
        <w:r>
          <w:rPr>
            <w:b w:val="0"/>
            <w:sz w:val="24"/>
            <w:szCs w:val="24"/>
          </w:rPr>
          <w:fldChar w:fldCharType="separate"/>
        </w:r>
        <w:r w:rsidR="00475650">
          <w:rPr>
            <w:b w:val="0"/>
            <w:sz w:val="24"/>
            <w:szCs w:val="24"/>
          </w:rPr>
          <w:t>149</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32172" w:history="1">
        <w:r w:rsidR="00475650">
          <w:rPr>
            <w:b w:val="0"/>
            <w:sz w:val="24"/>
            <w:szCs w:val="24"/>
          </w:rPr>
          <w:t xml:space="preserve">13.5 </w:t>
        </w:r>
        <w:r w:rsidR="00475650">
          <w:rPr>
            <w:b w:val="0"/>
            <w:sz w:val="24"/>
            <w:szCs w:val="24"/>
          </w:rPr>
          <w:t>环境影响预测结果</w:t>
        </w:r>
        <w:r w:rsidR="00475650">
          <w:rPr>
            <w:b w:val="0"/>
            <w:sz w:val="24"/>
            <w:szCs w:val="24"/>
          </w:rPr>
          <w:tab/>
        </w:r>
        <w:r>
          <w:rPr>
            <w:b w:val="0"/>
            <w:sz w:val="24"/>
            <w:szCs w:val="24"/>
          </w:rPr>
          <w:fldChar w:fldCharType="begin"/>
        </w:r>
        <w:r w:rsidR="00475650">
          <w:rPr>
            <w:b w:val="0"/>
            <w:sz w:val="24"/>
            <w:szCs w:val="24"/>
          </w:rPr>
          <w:instrText xml:space="preserve"> PAGEREF _Toc32172 </w:instrText>
        </w:r>
        <w:r>
          <w:rPr>
            <w:b w:val="0"/>
            <w:sz w:val="24"/>
            <w:szCs w:val="24"/>
          </w:rPr>
          <w:fldChar w:fldCharType="separate"/>
        </w:r>
        <w:r w:rsidR="00475650">
          <w:rPr>
            <w:b w:val="0"/>
            <w:sz w:val="24"/>
            <w:szCs w:val="24"/>
          </w:rPr>
          <w:t>149</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30294" w:history="1">
        <w:r w:rsidR="00475650">
          <w:rPr>
            <w:b w:val="0"/>
            <w:sz w:val="24"/>
            <w:szCs w:val="24"/>
          </w:rPr>
          <w:t xml:space="preserve">13.6 </w:t>
        </w:r>
        <w:r w:rsidR="00475650">
          <w:rPr>
            <w:b w:val="0"/>
            <w:sz w:val="24"/>
            <w:szCs w:val="24"/>
          </w:rPr>
          <w:t>清洁生产水平</w:t>
        </w:r>
        <w:r w:rsidR="00475650">
          <w:rPr>
            <w:b w:val="0"/>
            <w:sz w:val="24"/>
            <w:szCs w:val="24"/>
          </w:rPr>
          <w:tab/>
        </w:r>
        <w:r>
          <w:rPr>
            <w:b w:val="0"/>
            <w:sz w:val="24"/>
            <w:szCs w:val="24"/>
          </w:rPr>
          <w:fldChar w:fldCharType="begin"/>
        </w:r>
        <w:r w:rsidR="00475650">
          <w:rPr>
            <w:b w:val="0"/>
            <w:sz w:val="24"/>
            <w:szCs w:val="24"/>
          </w:rPr>
          <w:instrText xml:space="preserve"> PAGEREF _Toc30294 </w:instrText>
        </w:r>
        <w:r>
          <w:rPr>
            <w:b w:val="0"/>
            <w:sz w:val="24"/>
            <w:szCs w:val="24"/>
          </w:rPr>
          <w:fldChar w:fldCharType="separate"/>
        </w:r>
        <w:r w:rsidR="00475650">
          <w:rPr>
            <w:b w:val="0"/>
            <w:sz w:val="24"/>
            <w:szCs w:val="24"/>
          </w:rPr>
          <w:t>150</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12270" w:history="1">
        <w:r w:rsidR="00475650">
          <w:rPr>
            <w:b w:val="0"/>
            <w:sz w:val="24"/>
            <w:szCs w:val="24"/>
          </w:rPr>
          <w:t xml:space="preserve">13.7 </w:t>
        </w:r>
        <w:r w:rsidR="00475650">
          <w:rPr>
            <w:b w:val="0"/>
            <w:sz w:val="24"/>
            <w:szCs w:val="24"/>
          </w:rPr>
          <w:t>总量控制</w:t>
        </w:r>
        <w:r w:rsidR="00475650">
          <w:rPr>
            <w:b w:val="0"/>
            <w:sz w:val="24"/>
            <w:szCs w:val="24"/>
          </w:rPr>
          <w:tab/>
        </w:r>
        <w:r>
          <w:rPr>
            <w:b w:val="0"/>
            <w:sz w:val="24"/>
            <w:szCs w:val="24"/>
          </w:rPr>
          <w:fldChar w:fldCharType="begin"/>
        </w:r>
        <w:r w:rsidR="00475650">
          <w:rPr>
            <w:b w:val="0"/>
            <w:sz w:val="24"/>
            <w:szCs w:val="24"/>
          </w:rPr>
          <w:instrText xml:space="preserve"> PAGEREF _Toc12270 </w:instrText>
        </w:r>
        <w:r>
          <w:rPr>
            <w:b w:val="0"/>
            <w:sz w:val="24"/>
            <w:szCs w:val="24"/>
          </w:rPr>
          <w:fldChar w:fldCharType="separate"/>
        </w:r>
        <w:r w:rsidR="00475650">
          <w:rPr>
            <w:b w:val="0"/>
            <w:sz w:val="24"/>
            <w:szCs w:val="24"/>
          </w:rPr>
          <w:t>151</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18336" w:history="1">
        <w:r w:rsidR="00475650">
          <w:rPr>
            <w:b w:val="0"/>
            <w:sz w:val="24"/>
            <w:szCs w:val="24"/>
          </w:rPr>
          <w:t xml:space="preserve">13.8 </w:t>
        </w:r>
        <w:r w:rsidR="00475650">
          <w:rPr>
            <w:b w:val="0"/>
            <w:sz w:val="24"/>
            <w:szCs w:val="24"/>
          </w:rPr>
          <w:t>环境风险及防范措施</w:t>
        </w:r>
        <w:r w:rsidR="00475650">
          <w:rPr>
            <w:b w:val="0"/>
            <w:sz w:val="24"/>
            <w:szCs w:val="24"/>
          </w:rPr>
          <w:tab/>
        </w:r>
        <w:r>
          <w:rPr>
            <w:b w:val="0"/>
            <w:sz w:val="24"/>
            <w:szCs w:val="24"/>
          </w:rPr>
          <w:fldChar w:fldCharType="begin"/>
        </w:r>
        <w:r w:rsidR="00475650">
          <w:rPr>
            <w:b w:val="0"/>
            <w:sz w:val="24"/>
            <w:szCs w:val="24"/>
          </w:rPr>
          <w:instrText xml:space="preserve"> PAGEREF _Toc18336 </w:instrText>
        </w:r>
        <w:r>
          <w:rPr>
            <w:b w:val="0"/>
            <w:sz w:val="24"/>
            <w:szCs w:val="24"/>
          </w:rPr>
          <w:fldChar w:fldCharType="separate"/>
        </w:r>
        <w:r w:rsidR="00475650">
          <w:rPr>
            <w:b w:val="0"/>
            <w:sz w:val="24"/>
            <w:szCs w:val="24"/>
          </w:rPr>
          <w:t>151</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10382" w:history="1">
        <w:r w:rsidR="00475650">
          <w:rPr>
            <w:b w:val="0"/>
            <w:sz w:val="24"/>
            <w:szCs w:val="24"/>
          </w:rPr>
          <w:t>13.9</w:t>
        </w:r>
        <w:r w:rsidR="00475650">
          <w:rPr>
            <w:b w:val="0"/>
            <w:sz w:val="24"/>
            <w:szCs w:val="24"/>
          </w:rPr>
          <w:t>公众参与</w:t>
        </w:r>
        <w:r w:rsidR="00475650">
          <w:rPr>
            <w:b w:val="0"/>
            <w:sz w:val="24"/>
            <w:szCs w:val="24"/>
          </w:rPr>
          <w:tab/>
        </w:r>
        <w:r>
          <w:rPr>
            <w:b w:val="0"/>
            <w:sz w:val="24"/>
            <w:szCs w:val="24"/>
          </w:rPr>
          <w:fldChar w:fldCharType="begin"/>
        </w:r>
        <w:r w:rsidR="00475650">
          <w:rPr>
            <w:b w:val="0"/>
            <w:sz w:val="24"/>
            <w:szCs w:val="24"/>
          </w:rPr>
          <w:instrText xml:space="preserve"> PAGEREF _Toc10382 </w:instrText>
        </w:r>
        <w:r>
          <w:rPr>
            <w:b w:val="0"/>
            <w:sz w:val="24"/>
            <w:szCs w:val="24"/>
          </w:rPr>
          <w:fldChar w:fldCharType="separate"/>
        </w:r>
        <w:r w:rsidR="00475650">
          <w:rPr>
            <w:b w:val="0"/>
            <w:sz w:val="24"/>
            <w:szCs w:val="24"/>
          </w:rPr>
          <w:t>152</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22236" w:history="1">
        <w:r w:rsidR="00475650">
          <w:rPr>
            <w:b w:val="0"/>
            <w:sz w:val="24"/>
            <w:szCs w:val="24"/>
          </w:rPr>
          <w:t xml:space="preserve">13.10 </w:t>
        </w:r>
        <w:r w:rsidR="00475650">
          <w:rPr>
            <w:b w:val="0"/>
            <w:sz w:val="24"/>
            <w:szCs w:val="24"/>
          </w:rPr>
          <w:t>环境制约因素</w:t>
        </w:r>
        <w:r w:rsidR="00475650">
          <w:rPr>
            <w:b w:val="0"/>
            <w:sz w:val="24"/>
            <w:szCs w:val="24"/>
          </w:rPr>
          <w:tab/>
        </w:r>
        <w:r>
          <w:rPr>
            <w:b w:val="0"/>
            <w:sz w:val="24"/>
            <w:szCs w:val="24"/>
          </w:rPr>
          <w:fldChar w:fldCharType="begin"/>
        </w:r>
        <w:r w:rsidR="00475650">
          <w:rPr>
            <w:b w:val="0"/>
            <w:sz w:val="24"/>
            <w:szCs w:val="24"/>
          </w:rPr>
          <w:instrText xml:space="preserve"> PAGEREF _Toc22236 </w:instrText>
        </w:r>
        <w:r>
          <w:rPr>
            <w:b w:val="0"/>
            <w:sz w:val="24"/>
            <w:szCs w:val="24"/>
          </w:rPr>
          <w:fldChar w:fldCharType="separate"/>
        </w:r>
        <w:r w:rsidR="00475650">
          <w:rPr>
            <w:b w:val="0"/>
            <w:sz w:val="24"/>
            <w:szCs w:val="24"/>
          </w:rPr>
          <w:t>152</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17855" w:history="1">
        <w:r w:rsidR="00475650">
          <w:rPr>
            <w:b w:val="0"/>
            <w:sz w:val="24"/>
            <w:szCs w:val="24"/>
          </w:rPr>
          <w:t>13.11</w:t>
        </w:r>
        <w:r w:rsidR="00475650">
          <w:rPr>
            <w:b w:val="0"/>
            <w:sz w:val="24"/>
            <w:szCs w:val="24"/>
          </w:rPr>
          <w:t>总体评价结论</w:t>
        </w:r>
        <w:r w:rsidR="00475650">
          <w:rPr>
            <w:b w:val="0"/>
            <w:sz w:val="24"/>
            <w:szCs w:val="24"/>
          </w:rPr>
          <w:tab/>
        </w:r>
        <w:r>
          <w:rPr>
            <w:b w:val="0"/>
            <w:sz w:val="24"/>
            <w:szCs w:val="24"/>
          </w:rPr>
          <w:fldChar w:fldCharType="begin"/>
        </w:r>
        <w:r w:rsidR="00475650">
          <w:rPr>
            <w:b w:val="0"/>
            <w:sz w:val="24"/>
            <w:szCs w:val="24"/>
          </w:rPr>
          <w:instrText xml:space="preserve"> PAGEREF _Toc17855 </w:instrText>
        </w:r>
        <w:r>
          <w:rPr>
            <w:b w:val="0"/>
            <w:sz w:val="24"/>
            <w:szCs w:val="24"/>
          </w:rPr>
          <w:fldChar w:fldCharType="separate"/>
        </w:r>
        <w:r w:rsidR="00475650">
          <w:rPr>
            <w:b w:val="0"/>
            <w:sz w:val="24"/>
            <w:szCs w:val="24"/>
          </w:rPr>
          <w:t>152</w:t>
        </w:r>
        <w:r>
          <w:rPr>
            <w:b w:val="0"/>
            <w:sz w:val="24"/>
            <w:szCs w:val="24"/>
          </w:rPr>
          <w:fldChar w:fldCharType="end"/>
        </w:r>
      </w:hyperlink>
    </w:p>
    <w:p w:rsidR="00475650" w:rsidRDefault="006F27A1" w:rsidP="00FC5B4D">
      <w:pPr>
        <w:pStyle w:val="2ff2"/>
        <w:tabs>
          <w:tab w:val="clear" w:pos="8296"/>
          <w:tab w:val="right" w:leader="dot" w:pos="8730"/>
        </w:tabs>
        <w:snapToGrid w:val="0"/>
        <w:spacing w:line="324" w:lineRule="auto"/>
        <w:ind w:left="10" w:firstLineChars="170" w:firstLine="649"/>
        <w:rPr>
          <w:b w:val="0"/>
          <w:sz w:val="24"/>
          <w:szCs w:val="24"/>
        </w:rPr>
      </w:pPr>
      <w:hyperlink w:anchor="_Toc605" w:history="1">
        <w:r w:rsidR="00475650">
          <w:rPr>
            <w:b w:val="0"/>
            <w:sz w:val="24"/>
            <w:szCs w:val="24"/>
          </w:rPr>
          <w:t xml:space="preserve">13.12 </w:t>
        </w:r>
        <w:r w:rsidR="00475650">
          <w:rPr>
            <w:b w:val="0"/>
            <w:sz w:val="24"/>
            <w:szCs w:val="24"/>
          </w:rPr>
          <w:t>建议</w:t>
        </w:r>
        <w:r w:rsidR="00475650">
          <w:rPr>
            <w:b w:val="0"/>
            <w:sz w:val="24"/>
            <w:szCs w:val="24"/>
          </w:rPr>
          <w:tab/>
        </w:r>
        <w:r>
          <w:rPr>
            <w:b w:val="0"/>
            <w:sz w:val="24"/>
            <w:szCs w:val="24"/>
          </w:rPr>
          <w:fldChar w:fldCharType="begin"/>
        </w:r>
        <w:r w:rsidR="00475650">
          <w:rPr>
            <w:b w:val="0"/>
            <w:sz w:val="24"/>
            <w:szCs w:val="24"/>
          </w:rPr>
          <w:instrText xml:space="preserve"> PAGEREF _Toc605 </w:instrText>
        </w:r>
        <w:r>
          <w:rPr>
            <w:b w:val="0"/>
            <w:sz w:val="24"/>
            <w:szCs w:val="24"/>
          </w:rPr>
          <w:fldChar w:fldCharType="separate"/>
        </w:r>
        <w:r w:rsidR="00475650">
          <w:rPr>
            <w:b w:val="0"/>
            <w:sz w:val="24"/>
            <w:szCs w:val="24"/>
          </w:rPr>
          <w:t>153</w:t>
        </w:r>
        <w:r>
          <w:rPr>
            <w:b w:val="0"/>
            <w:sz w:val="24"/>
            <w:szCs w:val="24"/>
          </w:rPr>
          <w:fldChar w:fldCharType="end"/>
        </w:r>
      </w:hyperlink>
    </w:p>
    <w:p w:rsidR="00475650" w:rsidRDefault="006F27A1">
      <w:pPr>
        <w:snapToGrid w:val="0"/>
        <w:spacing w:line="324" w:lineRule="auto"/>
        <w:ind w:firstLineChars="200" w:firstLine="480"/>
        <w:rPr>
          <w:sz w:val="24"/>
        </w:rPr>
      </w:pPr>
      <w:r>
        <w:rPr>
          <w:bCs/>
          <w:sz w:val="24"/>
        </w:rPr>
        <w:fldChar w:fldCharType="end"/>
      </w:r>
    </w:p>
    <w:p w:rsidR="00475650" w:rsidRDefault="00475650">
      <w:pPr>
        <w:sectPr w:rsidR="00475650">
          <w:pgSz w:w="11906" w:h="16838"/>
          <w:pgMar w:top="1440" w:right="1588" w:bottom="1440" w:left="1588" w:header="851" w:footer="992" w:gutter="0"/>
          <w:paperSrc w:first="7" w:other="7"/>
          <w:pgNumType w:start="1"/>
          <w:cols w:space="720"/>
          <w:docGrid w:linePitch="312"/>
        </w:sectPr>
      </w:pPr>
    </w:p>
    <w:p w:rsidR="00475650" w:rsidRDefault="00475650"/>
    <w:p w:rsidR="00475650" w:rsidRDefault="00475650">
      <w:pPr>
        <w:rPr>
          <w:b/>
        </w:rPr>
      </w:pPr>
    </w:p>
    <w:p w:rsidR="00475650" w:rsidRDefault="00475650">
      <w:pPr>
        <w:pStyle w:val="44"/>
        <w:snapToGrid w:val="0"/>
        <w:spacing w:before="0" w:after="0" w:line="360" w:lineRule="auto"/>
        <w:jc w:val="left"/>
        <w:rPr>
          <w:rFonts w:eastAsia="宋体"/>
          <w:sz w:val="24"/>
          <w:szCs w:val="24"/>
        </w:rPr>
      </w:pPr>
      <w:bookmarkStart w:id="30" w:name="_Toc332292925"/>
      <w:bookmarkStart w:id="31" w:name="_Toc333229852"/>
      <w:bookmarkStart w:id="32" w:name="_Toc334014065"/>
      <w:bookmarkStart w:id="33" w:name="_Toc274984423"/>
      <w:bookmarkStart w:id="34" w:name="_Toc302936416"/>
      <w:bookmarkStart w:id="35" w:name="_Toc465676923"/>
      <w:bookmarkStart w:id="36" w:name="_Toc29820"/>
      <w:bookmarkStart w:id="37" w:name="_Toc302936673"/>
      <w:bookmarkStart w:id="38" w:name="_Toc334080707"/>
      <w:bookmarkStart w:id="39" w:name="_Toc448999031"/>
      <w:r>
        <w:rPr>
          <w:rFonts w:eastAsia="宋体" w:hAnsi="宋体"/>
          <w:sz w:val="24"/>
          <w:szCs w:val="24"/>
        </w:rPr>
        <w:t>附件：</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475650" w:rsidRDefault="00475650">
      <w:pPr>
        <w:spacing w:line="360" w:lineRule="auto"/>
        <w:ind w:firstLineChars="200" w:firstLine="480"/>
        <w:rPr>
          <w:rFonts w:hAnsi="宋体"/>
          <w:sz w:val="24"/>
        </w:rPr>
      </w:pPr>
      <w:bookmarkStart w:id="40" w:name="_Toc270622538"/>
      <w:bookmarkStart w:id="41" w:name="_Toc270836903"/>
      <w:bookmarkStart w:id="42" w:name="_Toc270752777"/>
      <w:bookmarkStart w:id="43" w:name="_Toc270866993"/>
      <w:r>
        <w:rPr>
          <w:rFonts w:hAnsi="宋体"/>
          <w:sz w:val="24"/>
        </w:rPr>
        <w:t>附件</w:t>
      </w:r>
      <w:r>
        <w:rPr>
          <w:rFonts w:hAnsi="宋体"/>
          <w:sz w:val="24"/>
        </w:rPr>
        <w:t xml:space="preserve">1     </w:t>
      </w:r>
      <w:r>
        <w:rPr>
          <w:rFonts w:hAnsi="宋体"/>
          <w:sz w:val="24"/>
        </w:rPr>
        <w:t>环评委托书；</w:t>
      </w:r>
    </w:p>
    <w:p w:rsidR="00475650" w:rsidRDefault="00475650">
      <w:pPr>
        <w:spacing w:line="360" w:lineRule="auto"/>
        <w:ind w:firstLineChars="200" w:firstLine="480"/>
        <w:rPr>
          <w:rFonts w:hAnsi="宋体"/>
          <w:sz w:val="24"/>
        </w:rPr>
      </w:pPr>
      <w:r>
        <w:rPr>
          <w:rFonts w:hAnsi="宋体"/>
          <w:sz w:val="24"/>
        </w:rPr>
        <w:t>附件</w:t>
      </w:r>
      <w:r>
        <w:rPr>
          <w:rFonts w:hAnsi="宋体"/>
          <w:sz w:val="24"/>
        </w:rPr>
        <w:t xml:space="preserve">2     </w:t>
      </w:r>
      <w:r>
        <w:rPr>
          <w:rFonts w:hAnsi="宋体"/>
          <w:sz w:val="24"/>
        </w:rPr>
        <w:t>关于项目环境影响评价执行标准的函；</w:t>
      </w:r>
    </w:p>
    <w:p w:rsidR="00475650" w:rsidRDefault="00475650">
      <w:pPr>
        <w:spacing w:line="360" w:lineRule="auto"/>
        <w:ind w:firstLineChars="200" w:firstLine="480"/>
        <w:rPr>
          <w:rFonts w:hAnsi="宋体"/>
          <w:sz w:val="24"/>
        </w:rPr>
      </w:pPr>
      <w:r>
        <w:rPr>
          <w:rFonts w:hAnsi="宋体"/>
          <w:sz w:val="24"/>
        </w:rPr>
        <w:t>附件</w:t>
      </w:r>
      <w:r>
        <w:rPr>
          <w:rFonts w:hAnsi="宋体"/>
          <w:sz w:val="24"/>
        </w:rPr>
        <w:t xml:space="preserve">3     </w:t>
      </w:r>
      <w:r>
        <w:rPr>
          <w:rFonts w:hAnsi="宋体"/>
          <w:sz w:val="24"/>
        </w:rPr>
        <w:t>临湘市招商引资工作领导小组“关于年产</w:t>
      </w:r>
      <w:r>
        <w:rPr>
          <w:rFonts w:hAnsi="宋体"/>
          <w:sz w:val="24"/>
        </w:rPr>
        <w:t>6000</w:t>
      </w:r>
      <w:r>
        <w:rPr>
          <w:rFonts w:hAnsi="宋体"/>
          <w:sz w:val="24"/>
        </w:rPr>
        <w:t>吨弱酸性染料建设项</w:t>
      </w:r>
      <w:r>
        <w:rPr>
          <w:rFonts w:hAnsi="宋体"/>
          <w:sz w:val="24"/>
        </w:rPr>
        <w:t xml:space="preserve">            </w:t>
      </w:r>
    </w:p>
    <w:p w:rsidR="00475650" w:rsidRDefault="00475650">
      <w:pPr>
        <w:spacing w:line="360" w:lineRule="auto"/>
        <w:ind w:firstLineChars="700" w:firstLine="1680"/>
        <w:rPr>
          <w:rFonts w:hAnsi="宋体"/>
          <w:sz w:val="24"/>
        </w:rPr>
      </w:pPr>
      <w:r>
        <w:rPr>
          <w:rFonts w:hAnsi="宋体"/>
          <w:sz w:val="24"/>
        </w:rPr>
        <w:t>目评审结果的通知”；</w:t>
      </w:r>
    </w:p>
    <w:p w:rsidR="00475650" w:rsidRDefault="00475650">
      <w:pPr>
        <w:spacing w:line="360" w:lineRule="auto"/>
        <w:ind w:firstLineChars="200" w:firstLine="480"/>
        <w:rPr>
          <w:rFonts w:hAnsi="宋体"/>
          <w:sz w:val="24"/>
        </w:rPr>
      </w:pPr>
      <w:r>
        <w:rPr>
          <w:rFonts w:hAnsi="宋体"/>
          <w:sz w:val="24"/>
        </w:rPr>
        <w:t>附件</w:t>
      </w:r>
      <w:r>
        <w:rPr>
          <w:rFonts w:hAnsi="宋体"/>
          <w:sz w:val="24"/>
        </w:rPr>
        <w:t xml:space="preserve">4     </w:t>
      </w:r>
      <w:r>
        <w:rPr>
          <w:rFonts w:hAnsi="宋体"/>
          <w:sz w:val="24"/>
        </w:rPr>
        <w:t>现有工程竣工验收批复；</w:t>
      </w:r>
    </w:p>
    <w:p w:rsidR="00475650" w:rsidRDefault="00475650" w:rsidP="00475650">
      <w:pPr>
        <w:spacing w:line="360" w:lineRule="auto"/>
        <w:ind w:leftChars="228" w:left="1679" w:hangingChars="500" w:hanging="1200"/>
        <w:rPr>
          <w:rFonts w:hAnsi="宋体"/>
          <w:sz w:val="24"/>
        </w:rPr>
      </w:pPr>
      <w:r>
        <w:rPr>
          <w:rFonts w:hAnsi="宋体"/>
          <w:sz w:val="24"/>
        </w:rPr>
        <w:t>附件</w:t>
      </w:r>
      <w:r>
        <w:rPr>
          <w:rFonts w:hAnsi="宋体"/>
          <w:sz w:val="24"/>
        </w:rPr>
        <w:t xml:space="preserve">5     </w:t>
      </w:r>
      <w:r>
        <w:rPr>
          <w:rFonts w:hAnsi="宋体"/>
          <w:sz w:val="24"/>
        </w:rPr>
        <w:t>岳阳市安全生产监督管理局关于本项目危险化学品建设项目安全条件审查建议书；</w:t>
      </w:r>
    </w:p>
    <w:p w:rsidR="00475650" w:rsidRDefault="00475650" w:rsidP="00475650">
      <w:pPr>
        <w:spacing w:line="360" w:lineRule="auto"/>
        <w:ind w:leftChars="228" w:left="1679" w:hangingChars="500" w:hanging="1200"/>
        <w:rPr>
          <w:rFonts w:hAnsi="宋体"/>
          <w:sz w:val="24"/>
        </w:rPr>
      </w:pPr>
      <w:r>
        <w:rPr>
          <w:rFonts w:hAnsi="宋体"/>
          <w:sz w:val="24"/>
        </w:rPr>
        <w:t>附件</w:t>
      </w:r>
      <w:r>
        <w:rPr>
          <w:rFonts w:hAnsi="宋体"/>
          <w:sz w:val="24"/>
        </w:rPr>
        <w:t xml:space="preserve">6     </w:t>
      </w:r>
      <w:r>
        <w:rPr>
          <w:rFonts w:hAnsi="宋体" w:hint="eastAsia"/>
          <w:sz w:val="24"/>
        </w:rPr>
        <w:t>湖南省环境保护厅关于“临湘工业园滨江产业区规划环境影响报告书的审查意见”</w:t>
      </w:r>
    </w:p>
    <w:p w:rsidR="00475650" w:rsidRDefault="00475650">
      <w:pPr>
        <w:spacing w:line="360" w:lineRule="auto"/>
        <w:ind w:firstLineChars="200" w:firstLine="480"/>
        <w:rPr>
          <w:rFonts w:hAnsi="宋体"/>
          <w:sz w:val="24"/>
        </w:rPr>
      </w:pPr>
      <w:r>
        <w:rPr>
          <w:rFonts w:hAnsi="宋体" w:hint="eastAsia"/>
          <w:sz w:val="24"/>
        </w:rPr>
        <w:t>附件</w:t>
      </w:r>
      <w:r>
        <w:rPr>
          <w:rFonts w:hAnsi="宋体" w:hint="eastAsia"/>
          <w:sz w:val="24"/>
        </w:rPr>
        <w:t xml:space="preserve">7     </w:t>
      </w:r>
      <w:r>
        <w:rPr>
          <w:rFonts w:hAnsi="宋体" w:hint="eastAsia"/>
          <w:sz w:val="24"/>
        </w:rPr>
        <w:t>临湘市发展和改革局关于本项目的备案文件；</w:t>
      </w:r>
    </w:p>
    <w:p w:rsidR="00475650" w:rsidRDefault="00475650">
      <w:pPr>
        <w:spacing w:line="360" w:lineRule="auto"/>
        <w:ind w:firstLineChars="200" w:firstLine="480"/>
        <w:rPr>
          <w:rFonts w:hAnsi="宋体"/>
          <w:sz w:val="24"/>
        </w:rPr>
      </w:pPr>
      <w:r>
        <w:rPr>
          <w:rFonts w:hAnsi="宋体"/>
          <w:sz w:val="24"/>
        </w:rPr>
        <w:t>附件</w:t>
      </w:r>
      <w:r>
        <w:rPr>
          <w:rFonts w:hAnsi="宋体" w:hint="eastAsia"/>
          <w:sz w:val="24"/>
        </w:rPr>
        <w:t>8</w:t>
      </w:r>
      <w:r>
        <w:rPr>
          <w:rFonts w:hAnsi="宋体"/>
          <w:sz w:val="24"/>
        </w:rPr>
        <w:t xml:space="preserve">    </w:t>
      </w:r>
      <w:r>
        <w:rPr>
          <w:rFonts w:hAnsi="宋体" w:hint="eastAsia"/>
          <w:sz w:val="24"/>
        </w:rPr>
        <w:t xml:space="preserve"> </w:t>
      </w:r>
      <w:r>
        <w:rPr>
          <w:rFonts w:hAnsi="宋体" w:hint="eastAsia"/>
          <w:sz w:val="24"/>
        </w:rPr>
        <w:t>湖南省石油化学工业协会关于本项目产品产业政策符合性的审查意见；</w:t>
      </w:r>
    </w:p>
    <w:p w:rsidR="00475650" w:rsidRDefault="00475650" w:rsidP="00475650">
      <w:pPr>
        <w:spacing w:line="360" w:lineRule="auto"/>
        <w:ind w:leftChars="228" w:left="1679" w:hangingChars="500" w:hanging="1200"/>
        <w:rPr>
          <w:rFonts w:hAnsi="宋体"/>
          <w:sz w:val="24"/>
        </w:rPr>
      </w:pPr>
      <w:r>
        <w:rPr>
          <w:rFonts w:hAnsi="宋体" w:hint="eastAsia"/>
          <w:sz w:val="24"/>
        </w:rPr>
        <w:t>附件</w:t>
      </w:r>
      <w:r>
        <w:rPr>
          <w:rFonts w:hAnsi="宋体" w:hint="eastAsia"/>
          <w:sz w:val="24"/>
        </w:rPr>
        <w:t xml:space="preserve">9    </w:t>
      </w:r>
      <w:r>
        <w:rPr>
          <w:rFonts w:hAnsi="宋体" w:hint="eastAsia"/>
          <w:sz w:val="24"/>
        </w:rPr>
        <w:t>临湘市鹏程化工有限公司污水处理站工艺调试及人员培训技术服务合同；</w:t>
      </w:r>
    </w:p>
    <w:p w:rsidR="00475650" w:rsidRDefault="00475650">
      <w:pPr>
        <w:spacing w:line="360" w:lineRule="auto"/>
        <w:ind w:leftChars="200" w:left="1620" w:hangingChars="500" w:hanging="1200"/>
        <w:rPr>
          <w:rFonts w:hAnsi="宋体"/>
          <w:sz w:val="24"/>
        </w:rPr>
      </w:pPr>
      <w:r>
        <w:rPr>
          <w:rFonts w:hAnsi="宋体" w:hint="eastAsia"/>
          <w:sz w:val="24"/>
        </w:rPr>
        <w:t>附件</w:t>
      </w:r>
      <w:r>
        <w:rPr>
          <w:rFonts w:hAnsi="宋体" w:hint="eastAsia"/>
          <w:sz w:val="24"/>
        </w:rPr>
        <w:t xml:space="preserve">10    </w:t>
      </w:r>
      <w:r>
        <w:rPr>
          <w:rFonts w:hAnsi="宋体" w:hint="eastAsia"/>
          <w:sz w:val="24"/>
        </w:rPr>
        <w:t>固体废物外委协议</w:t>
      </w:r>
    </w:p>
    <w:p w:rsidR="00475650" w:rsidRDefault="00475650">
      <w:pPr>
        <w:spacing w:line="360" w:lineRule="auto"/>
        <w:ind w:leftChars="200" w:left="1620" w:hangingChars="500" w:hanging="1200"/>
        <w:rPr>
          <w:rFonts w:hAnsi="宋体"/>
          <w:sz w:val="24"/>
        </w:rPr>
      </w:pPr>
      <w:r>
        <w:rPr>
          <w:rFonts w:hAnsi="宋体" w:hint="eastAsia"/>
          <w:sz w:val="24"/>
        </w:rPr>
        <w:t>附件</w:t>
      </w:r>
      <w:r>
        <w:rPr>
          <w:rFonts w:hAnsi="宋体" w:hint="eastAsia"/>
          <w:sz w:val="24"/>
        </w:rPr>
        <w:t xml:space="preserve">11    </w:t>
      </w:r>
      <w:r>
        <w:rPr>
          <w:rFonts w:hAnsi="宋体" w:hint="eastAsia"/>
          <w:sz w:val="24"/>
        </w:rPr>
        <w:t>“一企一管”证明</w:t>
      </w:r>
    </w:p>
    <w:p w:rsidR="00475650" w:rsidRDefault="00475650">
      <w:pPr>
        <w:spacing w:line="360" w:lineRule="auto"/>
        <w:ind w:leftChars="200" w:left="1620" w:hangingChars="500" w:hanging="1200"/>
        <w:rPr>
          <w:rFonts w:hAnsi="宋体"/>
          <w:sz w:val="24"/>
        </w:rPr>
      </w:pPr>
      <w:r>
        <w:rPr>
          <w:rFonts w:hAnsi="宋体" w:hint="eastAsia"/>
          <w:sz w:val="24"/>
        </w:rPr>
        <w:t>附件</w:t>
      </w:r>
      <w:r>
        <w:rPr>
          <w:rFonts w:hAnsi="宋体" w:hint="eastAsia"/>
          <w:sz w:val="24"/>
        </w:rPr>
        <w:t xml:space="preserve">12     </w:t>
      </w:r>
      <w:r>
        <w:rPr>
          <w:rFonts w:hAnsi="宋体" w:hint="eastAsia"/>
          <w:sz w:val="24"/>
        </w:rPr>
        <w:t>公司排污权证</w:t>
      </w:r>
    </w:p>
    <w:p w:rsidR="00475650" w:rsidRDefault="00475650">
      <w:pPr>
        <w:spacing w:line="360" w:lineRule="auto"/>
        <w:ind w:leftChars="200" w:left="1620" w:hangingChars="500" w:hanging="1200"/>
        <w:rPr>
          <w:rFonts w:hAnsi="宋体"/>
          <w:sz w:val="24"/>
        </w:rPr>
      </w:pPr>
      <w:r>
        <w:rPr>
          <w:rFonts w:hAnsi="宋体" w:hint="eastAsia"/>
          <w:sz w:val="24"/>
        </w:rPr>
        <w:t>附件</w:t>
      </w:r>
      <w:r>
        <w:rPr>
          <w:rFonts w:hAnsi="宋体" w:hint="eastAsia"/>
          <w:sz w:val="24"/>
        </w:rPr>
        <w:t xml:space="preserve">13    </w:t>
      </w:r>
      <w:r>
        <w:rPr>
          <w:rFonts w:hAnsi="宋体" w:hint="eastAsia"/>
          <w:sz w:val="24"/>
        </w:rPr>
        <w:t>附件联系人一览表</w:t>
      </w:r>
    </w:p>
    <w:p w:rsidR="00F56C21" w:rsidRDefault="00F56C21">
      <w:pPr>
        <w:spacing w:line="360" w:lineRule="auto"/>
        <w:ind w:leftChars="200" w:left="1620" w:hangingChars="500" w:hanging="1200"/>
        <w:rPr>
          <w:rFonts w:hAnsi="宋体"/>
          <w:sz w:val="24"/>
        </w:rPr>
      </w:pPr>
      <w:r>
        <w:rPr>
          <w:rFonts w:hAnsi="宋体" w:hint="eastAsia"/>
          <w:sz w:val="24"/>
        </w:rPr>
        <w:t>附件</w:t>
      </w:r>
      <w:r>
        <w:rPr>
          <w:rFonts w:hAnsi="宋体" w:hint="eastAsia"/>
          <w:sz w:val="24"/>
        </w:rPr>
        <w:t xml:space="preserve">14    </w:t>
      </w:r>
      <w:r>
        <w:rPr>
          <w:rFonts w:hint="eastAsia"/>
          <w:sz w:val="24"/>
        </w:rPr>
        <w:t>湖南省环境保护厅关于同意湖南省环境保护科学研究院办理环评项目延续备案的复函</w:t>
      </w:r>
    </w:p>
    <w:p w:rsidR="00475650" w:rsidRDefault="00475650">
      <w:pPr>
        <w:spacing w:line="360" w:lineRule="auto"/>
        <w:ind w:leftChars="200" w:left="1620" w:hangingChars="500" w:hanging="1200"/>
        <w:rPr>
          <w:rFonts w:hAnsi="宋体"/>
          <w:sz w:val="24"/>
        </w:rPr>
      </w:pPr>
      <w:r>
        <w:rPr>
          <w:rFonts w:hAnsi="宋体" w:hint="eastAsia"/>
          <w:sz w:val="24"/>
        </w:rPr>
        <w:t>附件</w:t>
      </w:r>
      <w:r>
        <w:rPr>
          <w:rFonts w:hAnsi="宋体" w:hint="eastAsia"/>
          <w:sz w:val="24"/>
        </w:rPr>
        <w:t>1</w:t>
      </w:r>
      <w:r w:rsidR="00F56C21">
        <w:rPr>
          <w:rFonts w:hAnsi="宋体" w:hint="eastAsia"/>
          <w:sz w:val="24"/>
        </w:rPr>
        <w:t>5</w:t>
      </w:r>
      <w:r>
        <w:rPr>
          <w:rFonts w:hAnsi="宋体" w:hint="eastAsia"/>
          <w:sz w:val="24"/>
        </w:rPr>
        <w:t xml:space="preserve">    </w:t>
      </w:r>
      <w:r>
        <w:rPr>
          <w:rFonts w:hAnsi="宋体" w:hint="eastAsia"/>
          <w:sz w:val="24"/>
        </w:rPr>
        <w:t>咨询会专家意见及专家签名表</w:t>
      </w:r>
    </w:p>
    <w:p w:rsidR="00475650" w:rsidRDefault="00475650">
      <w:pPr>
        <w:spacing w:line="360" w:lineRule="auto"/>
        <w:ind w:leftChars="200" w:left="1620" w:hangingChars="500" w:hanging="1200"/>
        <w:rPr>
          <w:rFonts w:hAnsi="宋体"/>
          <w:sz w:val="24"/>
        </w:rPr>
      </w:pPr>
      <w:r>
        <w:rPr>
          <w:rFonts w:hAnsi="宋体" w:hint="eastAsia"/>
          <w:sz w:val="24"/>
        </w:rPr>
        <w:t>附件</w:t>
      </w:r>
      <w:r>
        <w:rPr>
          <w:rFonts w:hAnsi="宋体" w:hint="eastAsia"/>
          <w:sz w:val="24"/>
        </w:rPr>
        <w:t>1</w:t>
      </w:r>
      <w:r w:rsidR="00F56C21">
        <w:rPr>
          <w:rFonts w:hAnsi="宋体" w:hint="eastAsia"/>
          <w:sz w:val="24"/>
        </w:rPr>
        <w:t>6</w:t>
      </w:r>
      <w:r>
        <w:rPr>
          <w:rFonts w:hAnsi="宋体" w:hint="eastAsia"/>
          <w:sz w:val="24"/>
        </w:rPr>
        <w:t xml:space="preserve">    </w:t>
      </w:r>
      <w:r>
        <w:rPr>
          <w:rFonts w:hAnsi="宋体"/>
          <w:sz w:val="24"/>
        </w:rPr>
        <w:t>审批登记表；</w:t>
      </w:r>
    </w:p>
    <w:p w:rsidR="00475650" w:rsidRDefault="00475650">
      <w:pPr>
        <w:pStyle w:val="44"/>
        <w:snapToGrid w:val="0"/>
        <w:spacing w:before="0" w:after="0" w:line="360" w:lineRule="auto"/>
        <w:jc w:val="left"/>
        <w:rPr>
          <w:rFonts w:eastAsia="宋体"/>
          <w:sz w:val="24"/>
          <w:szCs w:val="24"/>
        </w:rPr>
      </w:pPr>
      <w:bookmarkStart w:id="44" w:name="_Toc448999032"/>
      <w:bookmarkStart w:id="45" w:name="_Toc465676924"/>
      <w:bookmarkStart w:id="46" w:name="_Toc12151"/>
      <w:bookmarkStart w:id="47" w:name="_Toc334080708"/>
      <w:bookmarkStart w:id="48" w:name="_Toc302936417"/>
      <w:bookmarkStart w:id="49" w:name="_Toc334014066"/>
      <w:bookmarkStart w:id="50" w:name="_Toc333229853"/>
      <w:bookmarkStart w:id="51" w:name="_Toc332292926"/>
      <w:bookmarkStart w:id="52" w:name="_Toc302936674"/>
      <w:bookmarkEnd w:id="40"/>
      <w:bookmarkEnd w:id="41"/>
      <w:bookmarkEnd w:id="42"/>
      <w:bookmarkEnd w:id="43"/>
      <w:r>
        <w:rPr>
          <w:rFonts w:eastAsia="宋体" w:hAnsi="宋体"/>
          <w:sz w:val="24"/>
          <w:szCs w:val="24"/>
        </w:rPr>
        <w:t>附图：</w:t>
      </w:r>
      <w:bookmarkEnd w:id="44"/>
      <w:bookmarkEnd w:id="45"/>
      <w:bookmarkEnd w:id="46"/>
      <w:bookmarkEnd w:id="47"/>
      <w:bookmarkEnd w:id="48"/>
      <w:bookmarkEnd w:id="49"/>
      <w:bookmarkEnd w:id="50"/>
      <w:bookmarkEnd w:id="51"/>
      <w:bookmarkEnd w:id="52"/>
    </w:p>
    <w:p w:rsidR="00475650" w:rsidRDefault="00475650">
      <w:pPr>
        <w:spacing w:line="360" w:lineRule="auto"/>
        <w:ind w:firstLineChars="200" w:firstLine="480"/>
        <w:rPr>
          <w:sz w:val="24"/>
        </w:rPr>
      </w:pPr>
      <w:r>
        <w:rPr>
          <w:rFonts w:hAnsi="宋体"/>
          <w:sz w:val="24"/>
        </w:rPr>
        <w:t>附图</w:t>
      </w:r>
      <w:r>
        <w:rPr>
          <w:sz w:val="24"/>
        </w:rPr>
        <w:t xml:space="preserve">1   </w:t>
      </w:r>
      <w:r>
        <w:rPr>
          <w:rFonts w:hAnsi="宋体"/>
          <w:sz w:val="24"/>
        </w:rPr>
        <w:t>地理位置图</w:t>
      </w:r>
    </w:p>
    <w:p w:rsidR="00475650" w:rsidRDefault="00475650">
      <w:pPr>
        <w:spacing w:line="360" w:lineRule="auto"/>
        <w:ind w:firstLineChars="200" w:firstLine="480"/>
        <w:rPr>
          <w:sz w:val="24"/>
        </w:rPr>
      </w:pPr>
      <w:r>
        <w:rPr>
          <w:rFonts w:hAnsi="宋体"/>
          <w:sz w:val="24"/>
        </w:rPr>
        <w:t>附图</w:t>
      </w:r>
      <w:r>
        <w:rPr>
          <w:sz w:val="24"/>
        </w:rPr>
        <w:t xml:space="preserve">2   </w:t>
      </w:r>
      <w:r>
        <w:rPr>
          <w:rFonts w:hAnsi="宋体"/>
          <w:sz w:val="24"/>
        </w:rPr>
        <w:t>环保目标分布图</w:t>
      </w:r>
    </w:p>
    <w:p w:rsidR="00475650" w:rsidRDefault="00475650">
      <w:pPr>
        <w:spacing w:line="360" w:lineRule="auto"/>
        <w:ind w:firstLineChars="200" w:firstLine="480"/>
        <w:rPr>
          <w:sz w:val="24"/>
        </w:rPr>
      </w:pPr>
      <w:r>
        <w:rPr>
          <w:rFonts w:hAnsi="宋体"/>
          <w:sz w:val="24"/>
        </w:rPr>
        <w:t>附图</w:t>
      </w:r>
      <w:r>
        <w:rPr>
          <w:sz w:val="24"/>
        </w:rPr>
        <w:t xml:space="preserve">3   </w:t>
      </w:r>
      <w:r>
        <w:rPr>
          <w:rFonts w:hAnsi="宋体"/>
          <w:sz w:val="24"/>
        </w:rPr>
        <w:t>水系及监测布点图</w:t>
      </w:r>
    </w:p>
    <w:p w:rsidR="00475650" w:rsidRDefault="00475650">
      <w:pPr>
        <w:spacing w:line="360" w:lineRule="auto"/>
        <w:ind w:firstLineChars="200" w:firstLine="480"/>
        <w:rPr>
          <w:sz w:val="24"/>
        </w:rPr>
      </w:pPr>
      <w:r>
        <w:rPr>
          <w:rFonts w:hAnsi="宋体"/>
          <w:sz w:val="24"/>
        </w:rPr>
        <w:t>附图</w:t>
      </w:r>
      <w:r>
        <w:rPr>
          <w:sz w:val="24"/>
        </w:rPr>
        <w:t xml:space="preserve">4   </w:t>
      </w:r>
      <w:r>
        <w:rPr>
          <w:rFonts w:hAnsi="宋体"/>
          <w:sz w:val="24"/>
        </w:rPr>
        <w:t>本项目在</w:t>
      </w:r>
      <w:r>
        <w:rPr>
          <w:rFonts w:hAnsi="宋体" w:hint="eastAsia"/>
          <w:sz w:val="24"/>
        </w:rPr>
        <w:t>滨江产业区</w:t>
      </w:r>
      <w:r>
        <w:rPr>
          <w:rFonts w:hAnsi="宋体"/>
          <w:sz w:val="24"/>
        </w:rPr>
        <w:t>的位置图</w:t>
      </w:r>
    </w:p>
    <w:p w:rsidR="00475650" w:rsidRDefault="00475650">
      <w:pPr>
        <w:spacing w:line="360" w:lineRule="auto"/>
        <w:ind w:firstLineChars="200" w:firstLine="480"/>
        <w:rPr>
          <w:sz w:val="24"/>
        </w:rPr>
      </w:pPr>
      <w:r>
        <w:rPr>
          <w:rFonts w:hAnsi="宋体"/>
          <w:sz w:val="24"/>
        </w:rPr>
        <w:t>附图</w:t>
      </w:r>
      <w:r>
        <w:rPr>
          <w:sz w:val="24"/>
        </w:rPr>
        <w:t xml:space="preserve">5   </w:t>
      </w:r>
      <w:r>
        <w:rPr>
          <w:rFonts w:hAnsi="宋体"/>
          <w:sz w:val="24"/>
        </w:rPr>
        <w:t>本项目的平面布置图</w:t>
      </w:r>
    </w:p>
    <w:p w:rsidR="00475650" w:rsidRDefault="00475650">
      <w:pPr>
        <w:spacing w:line="360" w:lineRule="auto"/>
        <w:ind w:firstLineChars="200" w:firstLine="480"/>
        <w:rPr>
          <w:sz w:val="24"/>
        </w:rPr>
      </w:pPr>
    </w:p>
    <w:p w:rsidR="00475650" w:rsidRDefault="00475650">
      <w:pPr>
        <w:rPr>
          <w:sz w:val="24"/>
        </w:rPr>
        <w:sectPr w:rsidR="00475650">
          <w:pgSz w:w="11906" w:h="16838"/>
          <w:pgMar w:top="1440" w:right="1588" w:bottom="1440" w:left="1588" w:header="851" w:footer="992" w:gutter="0"/>
          <w:paperSrc w:first="7" w:other="7"/>
          <w:pgNumType w:start="1"/>
          <w:cols w:space="720"/>
          <w:docGrid w:linePitch="312"/>
        </w:sectPr>
      </w:pPr>
    </w:p>
    <w:p w:rsidR="00475650" w:rsidRDefault="00475650">
      <w:pPr>
        <w:pStyle w:val="13"/>
        <w:spacing w:before="100" w:beforeAutospacing="1" w:after="100" w:afterAutospacing="1" w:line="360" w:lineRule="auto"/>
        <w:rPr>
          <w:rFonts w:eastAsia="宋体"/>
          <w:sz w:val="32"/>
          <w:szCs w:val="32"/>
        </w:rPr>
      </w:pPr>
      <w:bookmarkStart w:id="53" w:name="_Toc269809122"/>
      <w:bookmarkStart w:id="54" w:name="_Toc270622544"/>
      <w:bookmarkStart w:id="55" w:name="_Toc332292927"/>
      <w:bookmarkStart w:id="56" w:name="_Toc1169"/>
      <w:bookmarkEnd w:id="8"/>
      <w:bookmarkEnd w:id="9"/>
      <w:bookmarkEnd w:id="10"/>
      <w:bookmarkEnd w:id="11"/>
      <w:bookmarkEnd w:id="12"/>
      <w:r>
        <w:rPr>
          <w:rFonts w:eastAsia="宋体"/>
          <w:sz w:val="32"/>
          <w:szCs w:val="32"/>
        </w:rPr>
        <w:lastRenderedPageBreak/>
        <w:t>1</w:t>
      </w:r>
      <w:bookmarkEnd w:id="53"/>
      <w:bookmarkEnd w:id="54"/>
      <w:r>
        <w:rPr>
          <w:rFonts w:eastAsia="宋体" w:hAnsi="宋体"/>
          <w:sz w:val="32"/>
          <w:szCs w:val="32"/>
        </w:rPr>
        <w:t>总则</w:t>
      </w:r>
      <w:bookmarkEnd w:id="55"/>
      <w:bookmarkEnd w:id="56"/>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57" w:name="_Toc269630350"/>
      <w:bookmarkStart w:id="58" w:name="_Toc203815123"/>
      <w:bookmarkStart w:id="59" w:name="_Toc332292928"/>
      <w:bookmarkStart w:id="60" w:name="_Toc270622545"/>
      <w:bookmarkStart w:id="61" w:name="_Toc269809123"/>
      <w:bookmarkStart w:id="62" w:name="_Toc12951"/>
      <w:r>
        <w:rPr>
          <w:rStyle w:val="2Char1Char"/>
          <w:rFonts w:ascii="Times New Roman" w:eastAsia="宋体" w:hAnsi="Times New Roman" w:cs="Times New Roman"/>
          <w:b w:val="0"/>
          <w:sz w:val="28"/>
          <w:szCs w:val="28"/>
        </w:rPr>
        <w:t>1.1</w:t>
      </w:r>
      <w:r>
        <w:rPr>
          <w:rStyle w:val="2Char1Char"/>
          <w:rFonts w:ascii="Times New Roman" w:eastAsia="宋体" w:hAnsi="宋体" w:cs="Times New Roman"/>
          <w:b w:val="0"/>
          <w:sz w:val="28"/>
          <w:szCs w:val="28"/>
        </w:rPr>
        <w:t>任务由来</w:t>
      </w:r>
      <w:bookmarkEnd w:id="57"/>
      <w:bookmarkEnd w:id="58"/>
      <w:bookmarkEnd w:id="59"/>
      <w:bookmarkEnd w:id="60"/>
      <w:bookmarkEnd w:id="61"/>
      <w:bookmarkEnd w:id="62"/>
    </w:p>
    <w:p w:rsidR="00475650" w:rsidRDefault="00475650">
      <w:pPr>
        <w:spacing w:line="360" w:lineRule="auto"/>
        <w:ind w:firstLineChars="200" w:firstLine="480"/>
        <w:rPr>
          <w:sz w:val="24"/>
        </w:rPr>
      </w:pPr>
      <w:r>
        <w:rPr>
          <w:rFonts w:hAnsi="宋体"/>
          <w:sz w:val="24"/>
        </w:rPr>
        <w:t>临湘市鹏程化工有限公司成立于</w:t>
      </w:r>
      <w:r>
        <w:rPr>
          <w:sz w:val="24"/>
        </w:rPr>
        <w:t>2011</w:t>
      </w:r>
      <w:r>
        <w:rPr>
          <w:rFonts w:hAnsi="宋体"/>
          <w:sz w:val="24"/>
        </w:rPr>
        <w:t>年</w:t>
      </w:r>
      <w:r>
        <w:rPr>
          <w:sz w:val="24"/>
        </w:rPr>
        <w:t>3</w:t>
      </w:r>
      <w:r>
        <w:rPr>
          <w:rFonts w:hAnsi="宋体"/>
          <w:sz w:val="24"/>
        </w:rPr>
        <w:t>月，主要生产和销售氯化石蜡、盐酸，公司位于临湘工业园滨江产业区（原湖南省临湘工业园儒溪工业区），总占地为</w:t>
      </w:r>
      <w:r>
        <w:rPr>
          <w:sz w:val="24"/>
        </w:rPr>
        <w:t>40</w:t>
      </w:r>
      <w:r>
        <w:rPr>
          <w:rFonts w:hAnsi="宋体"/>
          <w:sz w:val="24"/>
        </w:rPr>
        <w:t>亩，注册资本为</w:t>
      </w:r>
      <w:r>
        <w:rPr>
          <w:sz w:val="24"/>
        </w:rPr>
        <w:t>1000</w:t>
      </w:r>
      <w:r>
        <w:rPr>
          <w:rFonts w:hAnsi="宋体"/>
          <w:sz w:val="24"/>
        </w:rPr>
        <w:t>万元，该公司董事会由</w:t>
      </w:r>
      <w:r>
        <w:rPr>
          <w:sz w:val="24"/>
        </w:rPr>
        <w:t>5</w:t>
      </w:r>
      <w:r>
        <w:rPr>
          <w:rFonts w:hAnsi="宋体"/>
          <w:sz w:val="24"/>
        </w:rPr>
        <w:t>名董事组成，均由临湘市民营企业家担任，公司现有工程为</w:t>
      </w:r>
      <w:r>
        <w:rPr>
          <w:sz w:val="24"/>
        </w:rPr>
        <w:t>5</w:t>
      </w:r>
      <w:r>
        <w:rPr>
          <w:rFonts w:hAnsi="宋体"/>
          <w:sz w:val="24"/>
        </w:rPr>
        <w:t>万吨</w:t>
      </w:r>
      <w:r>
        <w:rPr>
          <w:sz w:val="24"/>
        </w:rPr>
        <w:t>/</w:t>
      </w:r>
      <w:r>
        <w:rPr>
          <w:rFonts w:hAnsi="宋体"/>
          <w:sz w:val="24"/>
        </w:rPr>
        <w:t>年氯化石蜡</w:t>
      </w:r>
      <w:r>
        <w:rPr>
          <w:sz w:val="24"/>
        </w:rPr>
        <w:t>-52</w:t>
      </w:r>
      <w:r>
        <w:rPr>
          <w:rFonts w:hAnsi="宋体"/>
          <w:sz w:val="24"/>
        </w:rPr>
        <w:t>建设项目，公司总占地为</w:t>
      </w:r>
      <w:r>
        <w:rPr>
          <w:sz w:val="24"/>
        </w:rPr>
        <w:t>40</w:t>
      </w:r>
      <w:r>
        <w:rPr>
          <w:rFonts w:hAnsi="宋体"/>
          <w:sz w:val="24"/>
        </w:rPr>
        <w:t>亩，现有工程已占地</w:t>
      </w:r>
      <w:r>
        <w:rPr>
          <w:sz w:val="24"/>
        </w:rPr>
        <w:t>16</w:t>
      </w:r>
      <w:r>
        <w:rPr>
          <w:rFonts w:hAnsi="宋体"/>
          <w:sz w:val="24"/>
        </w:rPr>
        <w:t>亩，于</w:t>
      </w:r>
      <w:r>
        <w:rPr>
          <w:sz w:val="24"/>
        </w:rPr>
        <w:t>2012</w:t>
      </w:r>
      <w:r>
        <w:rPr>
          <w:rFonts w:hAnsi="宋体"/>
          <w:sz w:val="24"/>
        </w:rPr>
        <w:t>年开工建设，</w:t>
      </w:r>
      <w:r>
        <w:rPr>
          <w:sz w:val="24"/>
        </w:rPr>
        <w:t>2016</w:t>
      </w:r>
      <w:r>
        <w:rPr>
          <w:rFonts w:hAnsi="宋体"/>
          <w:sz w:val="24"/>
        </w:rPr>
        <w:t>年</w:t>
      </w:r>
      <w:r>
        <w:rPr>
          <w:sz w:val="24"/>
        </w:rPr>
        <w:t>2</w:t>
      </w:r>
      <w:r>
        <w:rPr>
          <w:rFonts w:hAnsi="宋体"/>
          <w:sz w:val="24"/>
        </w:rPr>
        <w:t>月完成了由湖南省环境保护厅组织的环保设施</w:t>
      </w:r>
      <w:r>
        <w:rPr>
          <w:sz w:val="24"/>
        </w:rPr>
        <w:t>“</w:t>
      </w:r>
      <w:r>
        <w:rPr>
          <w:rFonts w:hAnsi="宋体"/>
          <w:sz w:val="24"/>
        </w:rPr>
        <w:t>三同时竣工验收</w:t>
      </w:r>
      <w:r>
        <w:rPr>
          <w:sz w:val="24"/>
        </w:rPr>
        <w:t>”</w:t>
      </w:r>
      <w:r>
        <w:rPr>
          <w:rFonts w:hAnsi="宋体"/>
          <w:sz w:val="24"/>
        </w:rPr>
        <w:t>监测，目前公司员工达</w:t>
      </w:r>
      <w:r>
        <w:rPr>
          <w:sz w:val="24"/>
        </w:rPr>
        <w:t>60</w:t>
      </w:r>
      <w:r>
        <w:rPr>
          <w:rFonts w:hAnsi="宋体"/>
          <w:sz w:val="24"/>
        </w:rPr>
        <w:t>人。</w:t>
      </w:r>
    </w:p>
    <w:p w:rsidR="00475650" w:rsidRDefault="00475650">
      <w:pPr>
        <w:pStyle w:val="affff5"/>
        <w:spacing w:line="336" w:lineRule="auto"/>
        <w:ind w:firstLine="480"/>
        <w:rPr>
          <w:rFonts w:hAnsi="宋体"/>
          <w:color w:val="auto"/>
          <w:spacing w:val="0"/>
          <w:kern w:val="2"/>
          <w:sz w:val="24"/>
          <w:szCs w:val="24"/>
        </w:rPr>
      </w:pPr>
      <w:r>
        <w:rPr>
          <w:rFonts w:hAnsi="宋体"/>
          <w:color w:val="auto"/>
          <w:spacing w:val="0"/>
          <w:kern w:val="2"/>
          <w:sz w:val="24"/>
          <w:szCs w:val="24"/>
        </w:rPr>
        <w:t>染料工业是化学工业的重要行业，其酸性染料、碱性染料、直接染料、还原染料、活性染料、硫化染料、溶剂染料、分散染料、荧光增白剂和有机染料等广泛应用于纺织、造纸、包装、皮革、日用化学品、涂料、油墨等各个领域，与人民生活密切相关。据调查，今后的几年内，我国染料的出口仍将会以较高的速度发展，我国已经成为染料生产及出口第一大国，而且硫化、分解、还原三大类染料也在世界上占有举足轻重的地位。随着我国染料工业的进一步发展，染料产品质量的不断改善和提高以及新品种的不断开发，我国染料在国际市场上的竞争力将进一步增强，出口贸易将随之不断扩大。临湘市鹏程化工有限公司</w:t>
      </w:r>
      <w:r>
        <w:rPr>
          <w:rFonts w:hAnsi="宋体" w:hint="eastAsia"/>
          <w:color w:val="auto"/>
          <w:spacing w:val="0"/>
          <w:kern w:val="2"/>
          <w:sz w:val="24"/>
          <w:szCs w:val="24"/>
        </w:rPr>
        <w:t>于</w:t>
      </w:r>
      <w:r>
        <w:rPr>
          <w:rFonts w:hAnsi="宋体" w:hint="eastAsia"/>
          <w:color w:val="auto"/>
          <w:spacing w:val="0"/>
          <w:kern w:val="2"/>
          <w:sz w:val="24"/>
          <w:szCs w:val="24"/>
        </w:rPr>
        <w:t>2013</w:t>
      </w:r>
      <w:r>
        <w:rPr>
          <w:rFonts w:hAnsi="宋体" w:hint="eastAsia"/>
          <w:color w:val="auto"/>
          <w:spacing w:val="0"/>
          <w:kern w:val="2"/>
          <w:sz w:val="24"/>
          <w:szCs w:val="24"/>
        </w:rPr>
        <w:t>年</w:t>
      </w:r>
      <w:r>
        <w:rPr>
          <w:rFonts w:hAnsi="宋体"/>
          <w:color w:val="auto"/>
          <w:spacing w:val="0"/>
          <w:kern w:val="2"/>
          <w:sz w:val="24"/>
          <w:szCs w:val="24"/>
        </w:rPr>
        <w:t>投资</w:t>
      </w:r>
      <w:r>
        <w:rPr>
          <w:rFonts w:hAnsi="宋体"/>
          <w:color w:val="auto"/>
          <w:spacing w:val="0"/>
          <w:kern w:val="2"/>
          <w:sz w:val="24"/>
          <w:szCs w:val="24"/>
        </w:rPr>
        <w:t>3000</w:t>
      </w:r>
      <w:r>
        <w:rPr>
          <w:rFonts w:hAnsi="宋体"/>
          <w:color w:val="auto"/>
          <w:spacing w:val="0"/>
          <w:kern w:val="2"/>
          <w:sz w:val="24"/>
          <w:szCs w:val="24"/>
        </w:rPr>
        <w:t>万元于公司预留地内建设</w:t>
      </w:r>
      <w:r>
        <w:rPr>
          <w:rFonts w:hAnsi="宋体" w:hint="eastAsia"/>
          <w:color w:val="auto"/>
          <w:spacing w:val="0"/>
          <w:kern w:val="2"/>
          <w:sz w:val="24"/>
          <w:szCs w:val="24"/>
        </w:rPr>
        <w:t>“</w:t>
      </w:r>
      <w:r>
        <w:rPr>
          <w:rFonts w:hAnsi="宋体"/>
          <w:color w:val="auto"/>
          <w:spacing w:val="0"/>
          <w:kern w:val="2"/>
          <w:sz w:val="24"/>
          <w:szCs w:val="24"/>
        </w:rPr>
        <w:t>年产</w:t>
      </w:r>
      <w:r>
        <w:rPr>
          <w:rFonts w:hAnsi="宋体"/>
          <w:color w:val="auto"/>
          <w:spacing w:val="0"/>
          <w:kern w:val="2"/>
          <w:sz w:val="24"/>
          <w:szCs w:val="24"/>
        </w:rPr>
        <w:t>6000</w:t>
      </w:r>
      <w:r>
        <w:rPr>
          <w:rFonts w:hAnsi="宋体"/>
          <w:color w:val="auto"/>
          <w:spacing w:val="0"/>
          <w:kern w:val="2"/>
          <w:sz w:val="24"/>
          <w:szCs w:val="24"/>
        </w:rPr>
        <w:t>吨弱酸性染料建设项目</w:t>
      </w:r>
      <w:r>
        <w:rPr>
          <w:rFonts w:hAnsi="宋体" w:hint="eastAsia"/>
          <w:color w:val="auto"/>
          <w:spacing w:val="0"/>
          <w:kern w:val="2"/>
          <w:sz w:val="24"/>
          <w:szCs w:val="24"/>
        </w:rPr>
        <w:t>”，截止</w:t>
      </w:r>
      <w:r>
        <w:rPr>
          <w:rFonts w:hAnsi="宋体" w:hint="eastAsia"/>
          <w:color w:val="auto"/>
          <w:spacing w:val="0"/>
          <w:kern w:val="2"/>
          <w:sz w:val="24"/>
          <w:szCs w:val="24"/>
        </w:rPr>
        <w:t>2013</w:t>
      </w:r>
      <w:r>
        <w:rPr>
          <w:rFonts w:hAnsi="宋体" w:hint="eastAsia"/>
          <w:color w:val="auto"/>
          <w:spacing w:val="0"/>
          <w:kern w:val="2"/>
          <w:sz w:val="24"/>
          <w:szCs w:val="24"/>
        </w:rPr>
        <w:t>年底，该项目主体工程已建成，暂未投产。</w:t>
      </w:r>
      <w:r>
        <w:rPr>
          <w:rFonts w:ascii="宋体" w:hAnsi="宋体" w:hint="eastAsia"/>
          <w:sz w:val="24"/>
        </w:rPr>
        <w:t>根据《湖南省人民政府办公厅关于清理整治环保违规建设项目的通知》（湘政办发[2015]111号）的相关规定，本项目已列入临湘市清理整治项目，</w:t>
      </w:r>
      <w:r>
        <w:rPr>
          <w:rFonts w:hAnsi="宋体" w:hint="eastAsia"/>
          <w:color w:val="auto"/>
          <w:spacing w:val="0"/>
          <w:kern w:val="2"/>
          <w:sz w:val="24"/>
          <w:szCs w:val="24"/>
        </w:rPr>
        <w:t>通过补办环保手续可上报审批。</w:t>
      </w:r>
    </w:p>
    <w:p w:rsidR="00475650" w:rsidRDefault="00475650">
      <w:pPr>
        <w:spacing w:line="360" w:lineRule="auto"/>
        <w:ind w:firstLineChars="200" w:firstLine="480"/>
        <w:rPr>
          <w:sz w:val="24"/>
        </w:rPr>
      </w:pPr>
      <w:r>
        <w:rPr>
          <w:rFonts w:hAnsi="宋体"/>
          <w:sz w:val="24"/>
        </w:rPr>
        <w:t>根据《中华人民共和国环境影响评价法》和中华人民共和国国务院令第</w:t>
      </w:r>
      <w:r>
        <w:rPr>
          <w:sz w:val="24"/>
        </w:rPr>
        <w:t>253</w:t>
      </w:r>
      <w:r>
        <w:rPr>
          <w:rFonts w:hAnsi="宋体"/>
          <w:sz w:val="24"/>
        </w:rPr>
        <w:t>号《建设项目环境保护管理条例》的规定，临湘市鹏程化工有限公司于</w:t>
      </w:r>
      <w:r>
        <w:rPr>
          <w:sz w:val="24"/>
        </w:rPr>
        <w:t>2014</w:t>
      </w:r>
      <w:r>
        <w:rPr>
          <w:rFonts w:hAnsi="宋体"/>
          <w:sz w:val="24"/>
        </w:rPr>
        <w:t>年</w:t>
      </w:r>
      <w:r>
        <w:rPr>
          <w:sz w:val="24"/>
        </w:rPr>
        <w:t>3</w:t>
      </w:r>
      <w:r>
        <w:rPr>
          <w:rFonts w:hAnsi="宋体"/>
          <w:sz w:val="24"/>
        </w:rPr>
        <w:t>月委托湖南省环境保护科学研究院承担该项目的环境影响评价工作。项目组在进行现场勘查、工程资料和环境资料收集、环境现状监测的基础上，根据国家有关环境保护方面的政策、法律、法规和技术规范，编制完成了该项目环境影响报告书，提交建设单位呈报环境保护主管部门审批。</w:t>
      </w:r>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63" w:name="_Toc332292929"/>
      <w:bookmarkStart w:id="64" w:name="_Toc8758"/>
      <w:r>
        <w:rPr>
          <w:rStyle w:val="2Char1Char"/>
          <w:rFonts w:ascii="Times New Roman" w:eastAsia="宋体" w:hAnsi="Times New Roman" w:cs="Times New Roman"/>
          <w:b w:val="0"/>
          <w:sz w:val="28"/>
          <w:szCs w:val="28"/>
        </w:rPr>
        <w:lastRenderedPageBreak/>
        <w:t>1.2</w:t>
      </w:r>
      <w:r>
        <w:rPr>
          <w:rStyle w:val="2Char1Char"/>
          <w:rFonts w:ascii="Times New Roman" w:eastAsia="宋体" w:hAnsi="宋体" w:cs="Times New Roman"/>
          <w:b w:val="0"/>
          <w:sz w:val="28"/>
          <w:szCs w:val="28"/>
        </w:rPr>
        <w:t>编制依据</w:t>
      </w:r>
      <w:bookmarkEnd w:id="63"/>
      <w:bookmarkEnd w:id="64"/>
    </w:p>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65" w:name="_Toc274984427"/>
      <w:bookmarkStart w:id="66" w:name="_Toc273462030"/>
      <w:bookmarkStart w:id="67" w:name="_Toc270622548"/>
      <w:bookmarkStart w:id="68" w:name="_Toc334014070"/>
      <w:bookmarkStart w:id="69" w:name="_Toc332292930"/>
      <w:bookmarkStart w:id="70" w:name="_Toc269630353"/>
      <w:bookmarkStart w:id="71" w:name="_Toc302936679"/>
      <w:bookmarkStart w:id="72" w:name="_Toc334080712"/>
      <w:bookmarkStart w:id="73" w:name="_Toc333229857"/>
      <w:bookmarkStart w:id="74" w:name="_Toc269630437"/>
      <w:bookmarkStart w:id="75" w:name="_Toc465676928"/>
      <w:bookmarkStart w:id="76" w:name="_Toc8500"/>
      <w:r>
        <w:rPr>
          <w:rStyle w:val="2Char1Char"/>
          <w:rFonts w:ascii="Times New Roman" w:eastAsia="宋体" w:hAnsi="Times New Roman" w:cs="Times New Roman"/>
          <w:b w:val="0"/>
          <w:sz w:val="24"/>
          <w:szCs w:val="24"/>
        </w:rPr>
        <w:t>1.2.1</w:t>
      </w:r>
      <w:r>
        <w:rPr>
          <w:rStyle w:val="2Char1Char"/>
          <w:rFonts w:ascii="Times New Roman" w:eastAsia="宋体" w:hAnsi="宋体" w:cs="Times New Roman"/>
          <w:b w:val="0"/>
          <w:sz w:val="24"/>
          <w:szCs w:val="24"/>
        </w:rPr>
        <w:t>相关的环境保护法律和法规</w:t>
      </w:r>
      <w:bookmarkEnd w:id="65"/>
      <w:bookmarkEnd w:id="66"/>
      <w:bookmarkEnd w:id="67"/>
      <w:bookmarkEnd w:id="68"/>
      <w:bookmarkEnd w:id="69"/>
      <w:bookmarkEnd w:id="70"/>
      <w:bookmarkEnd w:id="71"/>
      <w:bookmarkEnd w:id="72"/>
      <w:bookmarkEnd w:id="73"/>
      <w:bookmarkEnd w:id="74"/>
      <w:bookmarkEnd w:id="75"/>
      <w:bookmarkEnd w:id="76"/>
    </w:p>
    <w:p w:rsidR="00475650" w:rsidRDefault="00475650">
      <w:pPr>
        <w:numPr>
          <w:ilvl w:val="0"/>
          <w:numId w:val="82"/>
        </w:numPr>
        <w:tabs>
          <w:tab w:val="left" w:pos="759"/>
        </w:tabs>
        <w:spacing w:line="360" w:lineRule="auto"/>
        <w:ind w:left="0" w:firstLineChars="200" w:firstLine="480"/>
        <w:rPr>
          <w:sz w:val="24"/>
        </w:rPr>
      </w:pPr>
      <w:r>
        <w:rPr>
          <w:rFonts w:hAnsi="宋体"/>
          <w:sz w:val="24"/>
        </w:rPr>
        <w:t>《中华人民共和国环境保护法》，</w:t>
      </w:r>
      <w:r>
        <w:rPr>
          <w:sz w:val="24"/>
        </w:rPr>
        <w:t>2014</w:t>
      </w:r>
      <w:r>
        <w:rPr>
          <w:rFonts w:hAnsi="宋体"/>
          <w:sz w:val="24"/>
        </w:rPr>
        <w:t>年</w:t>
      </w:r>
      <w:r>
        <w:rPr>
          <w:sz w:val="24"/>
        </w:rPr>
        <w:t>4</w:t>
      </w:r>
      <w:r>
        <w:rPr>
          <w:rFonts w:hAnsi="宋体"/>
          <w:sz w:val="24"/>
        </w:rPr>
        <w:t>月</w:t>
      </w:r>
      <w:r>
        <w:rPr>
          <w:sz w:val="24"/>
        </w:rPr>
        <w:t>24</w:t>
      </w:r>
      <w:r>
        <w:rPr>
          <w:rFonts w:hAnsi="宋体"/>
          <w:sz w:val="24"/>
        </w:rPr>
        <w:t>日；</w:t>
      </w:r>
    </w:p>
    <w:p w:rsidR="00475650" w:rsidRDefault="00475650">
      <w:pPr>
        <w:numPr>
          <w:ilvl w:val="0"/>
          <w:numId w:val="82"/>
        </w:numPr>
        <w:tabs>
          <w:tab w:val="left" w:pos="759"/>
        </w:tabs>
        <w:spacing w:line="360" w:lineRule="auto"/>
        <w:ind w:left="0" w:firstLineChars="200" w:firstLine="480"/>
        <w:rPr>
          <w:sz w:val="24"/>
        </w:rPr>
      </w:pPr>
      <w:r>
        <w:rPr>
          <w:rFonts w:hAnsi="宋体"/>
          <w:sz w:val="24"/>
        </w:rPr>
        <w:t>《中华人民共和国环境影响评价法》，</w:t>
      </w:r>
      <w:r>
        <w:rPr>
          <w:rFonts w:hint="eastAsia"/>
          <w:sz w:val="24"/>
        </w:rPr>
        <w:t>2016</w:t>
      </w:r>
      <w:r>
        <w:rPr>
          <w:rFonts w:hint="eastAsia"/>
          <w:sz w:val="24"/>
        </w:rPr>
        <w:t>年</w:t>
      </w:r>
      <w:r>
        <w:rPr>
          <w:rFonts w:hint="eastAsia"/>
          <w:sz w:val="24"/>
        </w:rPr>
        <w:t>9</w:t>
      </w:r>
      <w:r>
        <w:rPr>
          <w:rFonts w:hint="eastAsia"/>
          <w:sz w:val="24"/>
        </w:rPr>
        <w:t>月</w:t>
      </w:r>
      <w:r>
        <w:rPr>
          <w:rFonts w:hAnsi="宋体"/>
          <w:sz w:val="24"/>
        </w:rPr>
        <w:t>；</w:t>
      </w:r>
    </w:p>
    <w:p w:rsidR="00475650" w:rsidRDefault="00475650">
      <w:pPr>
        <w:numPr>
          <w:ilvl w:val="0"/>
          <w:numId w:val="82"/>
        </w:numPr>
        <w:tabs>
          <w:tab w:val="left" w:pos="759"/>
        </w:tabs>
        <w:spacing w:line="360" w:lineRule="auto"/>
        <w:ind w:left="0" w:firstLineChars="200" w:firstLine="480"/>
        <w:rPr>
          <w:sz w:val="24"/>
        </w:rPr>
      </w:pPr>
      <w:r>
        <w:rPr>
          <w:rFonts w:hAnsi="宋体"/>
          <w:sz w:val="24"/>
        </w:rPr>
        <w:t>《中华人民共和国大气污染防治法》，</w:t>
      </w:r>
      <w:r>
        <w:rPr>
          <w:sz w:val="24"/>
        </w:rPr>
        <w:t>20</w:t>
      </w:r>
      <w:r>
        <w:rPr>
          <w:rFonts w:hint="eastAsia"/>
          <w:sz w:val="24"/>
        </w:rPr>
        <w:t>15</w:t>
      </w:r>
      <w:r>
        <w:rPr>
          <w:rFonts w:hAnsi="宋体"/>
          <w:sz w:val="24"/>
        </w:rPr>
        <w:t>年</w:t>
      </w:r>
      <w:r>
        <w:rPr>
          <w:rFonts w:hint="eastAsia"/>
          <w:sz w:val="24"/>
        </w:rPr>
        <w:t>8</w:t>
      </w:r>
      <w:r>
        <w:rPr>
          <w:rFonts w:hAnsi="宋体"/>
          <w:sz w:val="24"/>
        </w:rPr>
        <w:t>月</w:t>
      </w:r>
      <w:r>
        <w:rPr>
          <w:sz w:val="24"/>
        </w:rPr>
        <w:t>29</w:t>
      </w:r>
      <w:r>
        <w:rPr>
          <w:rFonts w:hAnsi="宋体"/>
          <w:sz w:val="24"/>
        </w:rPr>
        <w:t>日；</w:t>
      </w:r>
    </w:p>
    <w:p w:rsidR="00475650" w:rsidRDefault="00475650">
      <w:pPr>
        <w:numPr>
          <w:ilvl w:val="0"/>
          <w:numId w:val="82"/>
        </w:numPr>
        <w:tabs>
          <w:tab w:val="left" w:pos="759"/>
        </w:tabs>
        <w:spacing w:line="360" w:lineRule="auto"/>
        <w:ind w:left="0" w:firstLineChars="200" w:firstLine="480"/>
        <w:rPr>
          <w:sz w:val="24"/>
        </w:rPr>
      </w:pPr>
      <w:r>
        <w:rPr>
          <w:rFonts w:hAnsi="宋体"/>
          <w:sz w:val="24"/>
        </w:rPr>
        <w:t>《中华人民共和国水污染防治法》，</w:t>
      </w:r>
      <w:r>
        <w:rPr>
          <w:sz w:val="24"/>
        </w:rPr>
        <w:t>2008</w:t>
      </w:r>
      <w:r>
        <w:rPr>
          <w:rFonts w:hAnsi="宋体"/>
          <w:sz w:val="24"/>
        </w:rPr>
        <w:t>年</w:t>
      </w:r>
      <w:r>
        <w:rPr>
          <w:sz w:val="24"/>
        </w:rPr>
        <w:t>2</w:t>
      </w:r>
      <w:r>
        <w:rPr>
          <w:rFonts w:hAnsi="宋体"/>
          <w:sz w:val="24"/>
        </w:rPr>
        <w:t>月</w:t>
      </w:r>
      <w:r>
        <w:rPr>
          <w:sz w:val="24"/>
        </w:rPr>
        <w:t>28</w:t>
      </w:r>
      <w:r>
        <w:rPr>
          <w:rFonts w:hAnsi="宋体"/>
          <w:sz w:val="24"/>
        </w:rPr>
        <w:t>日；</w:t>
      </w:r>
    </w:p>
    <w:p w:rsidR="00475650" w:rsidRDefault="00475650">
      <w:pPr>
        <w:numPr>
          <w:ilvl w:val="0"/>
          <w:numId w:val="82"/>
        </w:numPr>
        <w:tabs>
          <w:tab w:val="left" w:pos="759"/>
        </w:tabs>
        <w:spacing w:line="360" w:lineRule="auto"/>
        <w:ind w:left="0" w:firstLineChars="200" w:firstLine="480"/>
        <w:rPr>
          <w:sz w:val="24"/>
        </w:rPr>
      </w:pPr>
      <w:r>
        <w:rPr>
          <w:rFonts w:hAnsi="宋体"/>
          <w:sz w:val="24"/>
        </w:rPr>
        <w:t>《中华人民共和国环境噪声污染防治法》，</w:t>
      </w:r>
      <w:r>
        <w:rPr>
          <w:sz w:val="24"/>
        </w:rPr>
        <w:t>1996</w:t>
      </w:r>
      <w:r>
        <w:rPr>
          <w:rFonts w:hAnsi="宋体"/>
          <w:sz w:val="24"/>
        </w:rPr>
        <w:t>年</w:t>
      </w:r>
      <w:r>
        <w:rPr>
          <w:sz w:val="24"/>
        </w:rPr>
        <w:t>10</w:t>
      </w:r>
      <w:r>
        <w:rPr>
          <w:rFonts w:hAnsi="宋体"/>
          <w:sz w:val="24"/>
        </w:rPr>
        <w:t>月</w:t>
      </w:r>
      <w:r>
        <w:rPr>
          <w:sz w:val="24"/>
        </w:rPr>
        <w:t>29</w:t>
      </w:r>
      <w:r>
        <w:rPr>
          <w:rFonts w:hAnsi="宋体"/>
          <w:sz w:val="24"/>
        </w:rPr>
        <w:t>日；</w:t>
      </w:r>
    </w:p>
    <w:p w:rsidR="00475650" w:rsidRDefault="00475650">
      <w:pPr>
        <w:numPr>
          <w:ilvl w:val="0"/>
          <w:numId w:val="82"/>
        </w:numPr>
        <w:tabs>
          <w:tab w:val="left" w:pos="759"/>
        </w:tabs>
        <w:spacing w:line="360" w:lineRule="auto"/>
        <w:ind w:left="0" w:firstLineChars="200" w:firstLine="480"/>
        <w:rPr>
          <w:sz w:val="24"/>
        </w:rPr>
      </w:pPr>
      <w:r>
        <w:rPr>
          <w:rFonts w:hAnsi="宋体"/>
          <w:sz w:val="24"/>
        </w:rPr>
        <w:t>《中华人民共和国固体废物污染环境防治法》，</w:t>
      </w:r>
      <w:r>
        <w:rPr>
          <w:sz w:val="24"/>
        </w:rPr>
        <w:t>2004</w:t>
      </w:r>
      <w:r>
        <w:rPr>
          <w:rFonts w:hAnsi="宋体"/>
          <w:sz w:val="24"/>
        </w:rPr>
        <w:t>年</w:t>
      </w:r>
      <w:r>
        <w:rPr>
          <w:sz w:val="24"/>
        </w:rPr>
        <w:t>12</w:t>
      </w:r>
      <w:r>
        <w:rPr>
          <w:rFonts w:hAnsi="宋体"/>
          <w:sz w:val="24"/>
        </w:rPr>
        <w:t>月</w:t>
      </w:r>
      <w:r>
        <w:rPr>
          <w:sz w:val="24"/>
        </w:rPr>
        <w:t>29</w:t>
      </w:r>
      <w:r>
        <w:rPr>
          <w:rFonts w:hAnsi="宋体"/>
          <w:sz w:val="24"/>
        </w:rPr>
        <w:t>日修订；</w:t>
      </w:r>
    </w:p>
    <w:p w:rsidR="00475650" w:rsidRDefault="00475650">
      <w:pPr>
        <w:numPr>
          <w:ilvl w:val="0"/>
          <w:numId w:val="82"/>
        </w:numPr>
        <w:tabs>
          <w:tab w:val="left" w:pos="759"/>
        </w:tabs>
        <w:spacing w:line="360" w:lineRule="auto"/>
        <w:ind w:left="0" w:firstLineChars="200" w:firstLine="480"/>
        <w:rPr>
          <w:sz w:val="24"/>
        </w:rPr>
      </w:pPr>
      <w:r>
        <w:rPr>
          <w:rFonts w:hAnsi="宋体"/>
          <w:sz w:val="24"/>
        </w:rPr>
        <w:t>《中华人民共和国清洁生产促进法》，</w:t>
      </w:r>
      <w:r>
        <w:rPr>
          <w:sz w:val="24"/>
        </w:rPr>
        <w:t>2012</w:t>
      </w:r>
      <w:r>
        <w:rPr>
          <w:rFonts w:hAnsi="宋体"/>
          <w:sz w:val="24"/>
        </w:rPr>
        <w:t>年</w:t>
      </w:r>
      <w:r>
        <w:rPr>
          <w:sz w:val="24"/>
        </w:rPr>
        <w:t>2</w:t>
      </w:r>
      <w:r>
        <w:rPr>
          <w:rFonts w:hAnsi="宋体"/>
          <w:sz w:val="24"/>
        </w:rPr>
        <w:t>月</w:t>
      </w:r>
      <w:r>
        <w:rPr>
          <w:sz w:val="24"/>
        </w:rPr>
        <w:t>29</w:t>
      </w:r>
      <w:r>
        <w:rPr>
          <w:rFonts w:hAnsi="宋体"/>
          <w:sz w:val="24"/>
        </w:rPr>
        <w:t>日；</w:t>
      </w:r>
    </w:p>
    <w:p w:rsidR="00475650" w:rsidRDefault="00475650">
      <w:pPr>
        <w:numPr>
          <w:ilvl w:val="0"/>
          <w:numId w:val="82"/>
        </w:numPr>
        <w:tabs>
          <w:tab w:val="left" w:pos="759"/>
        </w:tabs>
        <w:spacing w:line="360" w:lineRule="auto"/>
        <w:ind w:left="0" w:firstLineChars="200" w:firstLine="480"/>
        <w:rPr>
          <w:sz w:val="24"/>
        </w:rPr>
      </w:pPr>
      <w:r>
        <w:rPr>
          <w:rFonts w:hAnsi="宋体"/>
          <w:sz w:val="24"/>
        </w:rPr>
        <w:t>《中华人民共和国安全生产法》，</w:t>
      </w:r>
      <w:r>
        <w:rPr>
          <w:rFonts w:hAnsi="宋体" w:hint="eastAsia"/>
          <w:sz w:val="24"/>
        </w:rPr>
        <w:t>2002</w:t>
      </w:r>
      <w:r>
        <w:rPr>
          <w:rFonts w:hAnsi="宋体" w:hint="eastAsia"/>
          <w:sz w:val="24"/>
        </w:rPr>
        <w:t>年</w:t>
      </w:r>
      <w:r>
        <w:rPr>
          <w:rFonts w:hAnsi="宋体" w:hint="eastAsia"/>
          <w:sz w:val="24"/>
        </w:rPr>
        <w:t>6</w:t>
      </w:r>
      <w:r>
        <w:rPr>
          <w:rFonts w:hAnsi="宋体" w:hint="eastAsia"/>
          <w:sz w:val="24"/>
        </w:rPr>
        <w:t>月</w:t>
      </w:r>
      <w:r>
        <w:rPr>
          <w:rFonts w:hAnsi="宋体" w:hint="eastAsia"/>
          <w:sz w:val="24"/>
        </w:rPr>
        <w:t>29</w:t>
      </w:r>
      <w:r>
        <w:rPr>
          <w:rFonts w:hAnsi="宋体" w:hint="eastAsia"/>
          <w:sz w:val="24"/>
        </w:rPr>
        <w:t>日</w:t>
      </w:r>
      <w:r>
        <w:rPr>
          <w:rFonts w:hAnsi="宋体"/>
          <w:sz w:val="24"/>
        </w:rPr>
        <w:t>；</w:t>
      </w:r>
    </w:p>
    <w:p w:rsidR="00475650" w:rsidRDefault="00475650">
      <w:pPr>
        <w:numPr>
          <w:ilvl w:val="0"/>
          <w:numId w:val="82"/>
        </w:numPr>
        <w:tabs>
          <w:tab w:val="left" w:pos="759"/>
        </w:tabs>
        <w:spacing w:line="360" w:lineRule="auto"/>
        <w:ind w:left="0" w:firstLineChars="200" w:firstLine="480"/>
        <w:rPr>
          <w:sz w:val="24"/>
        </w:rPr>
      </w:pPr>
      <w:r>
        <w:rPr>
          <w:rFonts w:hAnsi="宋体"/>
          <w:sz w:val="24"/>
        </w:rPr>
        <w:t>《危险化学品重大危险源监督管理暂行规定》，安全监管总局令第</w:t>
      </w:r>
      <w:r>
        <w:rPr>
          <w:sz w:val="24"/>
        </w:rPr>
        <w:t>40</w:t>
      </w:r>
      <w:r>
        <w:rPr>
          <w:rFonts w:hAnsi="宋体"/>
          <w:sz w:val="24"/>
        </w:rPr>
        <w:t>号；</w:t>
      </w:r>
    </w:p>
    <w:p w:rsidR="00475650" w:rsidRDefault="00475650">
      <w:pPr>
        <w:numPr>
          <w:ilvl w:val="0"/>
          <w:numId w:val="82"/>
        </w:numPr>
        <w:tabs>
          <w:tab w:val="left" w:pos="759"/>
        </w:tabs>
        <w:spacing w:line="360" w:lineRule="auto"/>
        <w:ind w:left="0" w:firstLineChars="200" w:firstLine="480"/>
        <w:rPr>
          <w:sz w:val="24"/>
        </w:rPr>
      </w:pPr>
      <w:r>
        <w:rPr>
          <w:rFonts w:hAnsi="宋体"/>
          <w:sz w:val="24"/>
        </w:rPr>
        <w:t>《危险化学品建设项目安全监督管理办法》，</w:t>
      </w:r>
      <w:r>
        <w:rPr>
          <w:sz w:val="24"/>
        </w:rPr>
        <w:t>2012</w:t>
      </w:r>
      <w:r>
        <w:rPr>
          <w:rFonts w:hAnsi="宋体"/>
          <w:sz w:val="24"/>
        </w:rPr>
        <w:t>年</w:t>
      </w:r>
      <w:r>
        <w:rPr>
          <w:sz w:val="24"/>
        </w:rPr>
        <w:t>4</w:t>
      </w:r>
      <w:r>
        <w:rPr>
          <w:rFonts w:hAnsi="宋体"/>
          <w:sz w:val="24"/>
        </w:rPr>
        <w:t>月</w:t>
      </w:r>
      <w:r>
        <w:rPr>
          <w:sz w:val="24"/>
        </w:rPr>
        <w:t>1</w:t>
      </w:r>
      <w:r>
        <w:rPr>
          <w:rFonts w:hAnsi="宋体"/>
          <w:sz w:val="24"/>
        </w:rPr>
        <w:t>日；</w:t>
      </w:r>
    </w:p>
    <w:p w:rsidR="00475650" w:rsidRDefault="00475650">
      <w:pPr>
        <w:numPr>
          <w:ilvl w:val="0"/>
          <w:numId w:val="82"/>
        </w:numPr>
        <w:tabs>
          <w:tab w:val="left" w:pos="759"/>
        </w:tabs>
        <w:spacing w:line="360" w:lineRule="auto"/>
        <w:ind w:left="0" w:firstLineChars="200" w:firstLine="480"/>
        <w:rPr>
          <w:sz w:val="24"/>
        </w:rPr>
      </w:pPr>
      <w:r>
        <w:rPr>
          <w:rFonts w:hAnsi="宋体"/>
          <w:sz w:val="24"/>
        </w:rPr>
        <w:t>《危险化学品输送管道安全管理规定》，</w:t>
      </w:r>
      <w:r>
        <w:rPr>
          <w:sz w:val="24"/>
        </w:rPr>
        <w:t>2012</w:t>
      </w:r>
      <w:r>
        <w:rPr>
          <w:rFonts w:hAnsi="宋体"/>
          <w:sz w:val="24"/>
        </w:rPr>
        <w:t>年</w:t>
      </w:r>
      <w:r>
        <w:rPr>
          <w:sz w:val="24"/>
        </w:rPr>
        <w:t>3</w:t>
      </w:r>
      <w:r>
        <w:rPr>
          <w:rFonts w:hAnsi="宋体"/>
          <w:sz w:val="24"/>
        </w:rPr>
        <w:t>月</w:t>
      </w:r>
      <w:r>
        <w:rPr>
          <w:sz w:val="24"/>
        </w:rPr>
        <w:t>1</w:t>
      </w:r>
      <w:r>
        <w:rPr>
          <w:rFonts w:hAnsi="宋体"/>
          <w:sz w:val="24"/>
        </w:rPr>
        <w:t>日；</w:t>
      </w:r>
    </w:p>
    <w:p w:rsidR="00475650" w:rsidRDefault="00475650">
      <w:pPr>
        <w:numPr>
          <w:ilvl w:val="0"/>
          <w:numId w:val="82"/>
        </w:numPr>
        <w:tabs>
          <w:tab w:val="left" w:pos="759"/>
        </w:tabs>
        <w:spacing w:line="360" w:lineRule="auto"/>
        <w:ind w:left="0" w:firstLineChars="200" w:firstLine="480"/>
        <w:rPr>
          <w:sz w:val="24"/>
        </w:rPr>
      </w:pPr>
      <w:r>
        <w:rPr>
          <w:rFonts w:hAnsi="宋体"/>
          <w:sz w:val="24"/>
        </w:rPr>
        <w:t>《建设项目环境保护管理条例》，国务院令第</w:t>
      </w:r>
      <w:r>
        <w:rPr>
          <w:sz w:val="24"/>
        </w:rPr>
        <w:t>253</w:t>
      </w:r>
      <w:r>
        <w:rPr>
          <w:rFonts w:hAnsi="宋体"/>
          <w:sz w:val="24"/>
        </w:rPr>
        <w:t>号，</w:t>
      </w:r>
      <w:r>
        <w:rPr>
          <w:sz w:val="24"/>
        </w:rPr>
        <w:t>1998</w:t>
      </w:r>
      <w:r>
        <w:rPr>
          <w:rFonts w:hAnsi="宋体"/>
          <w:sz w:val="24"/>
        </w:rPr>
        <w:t>年</w:t>
      </w:r>
      <w:r>
        <w:rPr>
          <w:sz w:val="24"/>
        </w:rPr>
        <w:t>11</w:t>
      </w:r>
      <w:r>
        <w:rPr>
          <w:rFonts w:hAnsi="宋体"/>
          <w:sz w:val="24"/>
        </w:rPr>
        <w:t>月</w:t>
      </w:r>
      <w:r>
        <w:rPr>
          <w:sz w:val="24"/>
        </w:rPr>
        <w:t>29</w:t>
      </w:r>
      <w:r>
        <w:rPr>
          <w:rFonts w:hAnsi="宋体"/>
          <w:sz w:val="24"/>
        </w:rPr>
        <w:t>日；</w:t>
      </w:r>
    </w:p>
    <w:p w:rsidR="00475650" w:rsidRDefault="00475650">
      <w:pPr>
        <w:numPr>
          <w:ilvl w:val="0"/>
          <w:numId w:val="82"/>
        </w:numPr>
        <w:tabs>
          <w:tab w:val="left" w:pos="759"/>
        </w:tabs>
        <w:spacing w:line="360" w:lineRule="auto"/>
        <w:ind w:left="0" w:firstLineChars="200" w:firstLine="480"/>
        <w:rPr>
          <w:sz w:val="24"/>
        </w:rPr>
      </w:pPr>
      <w:r>
        <w:rPr>
          <w:rFonts w:hAnsi="宋体"/>
          <w:sz w:val="24"/>
        </w:rPr>
        <w:t>《建设项目环境影响评价分类管理名录》，</w:t>
      </w:r>
      <w:r>
        <w:rPr>
          <w:sz w:val="24"/>
        </w:rPr>
        <w:t>2015</w:t>
      </w:r>
      <w:r>
        <w:rPr>
          <w:rFonts w:hAnsi="宋体"/>
          <w:sz w:val="24"/>
        </w:rPr>
        <w:t>年</w:t>
      </w:r>
      <w:r>
        <w:rPr>
          <w:sz w:val="24"/>
        </w:rPr>
        <w:t>6</w:t>
      </w:r>
      <w:r>
        <w:rPr>
          <w:rFonts w:hAnsi="宋体"/>
          <w:sz w:val="24"/>
        </w:rPr>
        <w:t>月</w:t>
      </w:r>
      <w:r>
        <w:rPr>
          <w:sz w:val="24"/>
        </w:rPr>
        <w:t>1</w:t>
      </w:r>
      <w:r>
        <w:rPr>
          <w:rFonts w:hAnsi="宋体"/>
          <w:sz w:val="24"/>
        </w:rPr>
        <w:t>号；</w:t>
      </w:r>
    </w:p>
    <w:p w:rsidR="00475650" w:rsidRDefault="00475650">
      <w:pPr>
        <w:numPr>
          <w:ilvl w:val="0"/>
          <w:numId w:val="82"/>
        </w:numPr>
        <w:tabs>
          <w:tab w:val="left" w:pos="759"/>
        </w:tabs>
        <w:spacing w:line="360" w:lineRule="auto"/>
        <w:ind w:left="0" w:firstLineChars="200" w:firstLine="480"/>
        <w:rPr>
          <w:rFonts w:hAnsi="宋体"/>
          <w:sz w:val="24"/>
        </w:rPr>
      </w:pPr>
      <w:r>
        <w:rPr>
          <w:rFonts w:hAnsi="宋体"/>
          <w:sz w:val="24"/>
        </w:rPr>
        <w:t>《</w:t>
      </w:r>
      <w:r>
        <w:rPr>
          <w:rFonts w:hAnsi="宋体" w:hint="eastAsia"/>
          <w:sz w:val="24"/>
        </w:rPr>
        <w:t>湖南省人民政府办公厅关于清理整治环保违规建设项目的通知</w:t>
      </w:r>
      <w:r>
        <w:rPr>
          <w:rFonts w:hAnsi="宋体"/>
          <w:sz w:val="24"/>
        </w:rPr>
        <w:t>》</w:t>
      </w:r>
      <w:r>
        <w:rPr>
          <w:rFonts w:hAnsi="宋体" w:hint="eastAsia"/>
          <w:sz w:val="24"/>
        </w:rPr>
        <w:t>(</w:t>
      </w:r>
      <w:r>
        <w:rPr>
          <w:rFonts w:hAnsi="宋体" w:hint="eastAsia"/>
          <w:sz w:val="24"/>
        </w:rPr>
        <w:t>湘政办发</w:t>
      </w:r>
      <w:r>
        <w:rPr>
          <w:rFonts w:hAnsi="宋体" w:hint="eastAsia"/>
          <w:sz w:val="24"/>
        </w:rPr>
        <w:t>[2015]111</w:t>
      </w:r>
      <w:r>
        <w:rPr>
          <w:rFonts w:hAnsi="宋体" w:hint="eastAsia"/>
          <w:sz w:val="24"/>
        </w:rPr>
        <w:t>号</w:t>
      </w:r>
      <w:r>
        <w:rPr>
          <w:rFonts w:hAnsi="宋体" w:hint="eastAsia"/>
          <w:sz w:val="24"/>
        </w:rPr>
        <w:t>)</w:t>
      </w:r>
      <w:r>
        <w:rPr>
          <w:rFonts w:hAnsi="宋体" w:hint="eastAsia"/>
          <w:sz w:val="24"/>
        </w:rPr>
        <w:t>；</w:t>
      </w:r>
    </w:p>
    <w:p w:rsidR="00475650" w:rsidRDefault="00475650">
      <w:pPr>
        <w:numPr>
          <w:ilvl w:val="0"/>
          <w:numId w:val="82"/>
        </w:numPr>
        <w:tabs>
          <w:tab w:val="left" w:pos="759"/>
        </w:tabs>
        <w:spacing w:line="360" w:lineRule="auto"/>
        <w:ind w:left="0" w:firstLineChars="200" w:firstLine="480"/>
        <w:rPr>
          <w:sz w:val="24"/>
        </w:rPr>
      </w:pPr>
      <w:r>
        <w:rPr>
          <w:rFonts w:hAnsi="宋体"/>
          <w:sz w:val="24"/>
        </w:rPr>
        <w:t>《湖南省环境保护条例》（</w:t>
      </w:r>
      <w:r>
        <w:rPr>
          <w:sz w:val="24"/>
        </w:rPr>
        <w:t>2002.3.29</w:t>
      </w:r>
      <w:r>
        <w:rPr>
          <w:rFonts w:hAnsi="宋体"/>
          <w:sz w:val="24"/>
        </w:rPr>
        <w:t>修正）；</w:t>
      </w:r>
    </w:p>
    <w:p w:rsidR="00475650" w:rsidRDefault="00475650">
      <w:pPr>
        <w:numPr>
          <w:ilvl w:val="0"/>
          <w:numId w:val="82"/>
        </w:numPr>
        <w:tabs>
          <w:tab w:val="left" w:pos="759"/>
        </w:tabs>
        <w:spacing w:line="360" w:lineRule="auto"/>
        <w:ind w:left="0" w:firstLineChars="200" w:firstLine="480"/>
        <w:rPr>
          <w:sz w:val="24"/>
        </w:rPr>
      </w:pPr>
      <w:r>
        <w:rPr>
          <w:sz w:val="24"/>
        </w:rPr>
        <w:t xml:space="preserve"> </w:t>
      </w:r>
      <w:r>
        <w:rPr>
          <w:rFonts w:hAnsi="宋体"/>
          <w:sz w:val="24"/>
        </w:rPr>
        <w:t>《危险化学品安全管理条例》，国务院令第</w:t>
      </w:r>
      <w:r>
        <w:rPr>
          <w:sz w:val="24"/>
        </w:rPr>
        <w:t>591</w:t>
      </w:r>
      <w:r>
        <w:rPr>
          <w:rFonts w:hAnsi="宋体"/>
          <w:sz w:val="24"/>
        </w:rPr>
        <w:t>号，</w:t>
      </w:r>
      <w:r>
        <w:rPr>
          <w:sz w:val="24"/>
        </w:rPr>
        <w:t>2011</w:t>
      </w:r>
      <w:r>
        <w:rPr>
          <w:rFonts w:hAnsi="宋体"/>
          <w:sz w:val="24"/>
        </w:rPr>
        <w:t>年</w:t>
      </w:r>
      <w:r>
        <w:rPr>
          <w:sz w:val="24"/>
        </w:rPr>
        <w:t>12</w:t>
      </w:r>
      <w:r>
        <w:rPr>
          <w:rFonts w:hAnsi="宋体"/>
          <w:sz w:val="24"/>
        </w:rPr>
        <w:t>月</w:t>
      </w:r>
      <w:r>
        <w:rPr>
          <w:sz w:val="24"/>
        </w:rPr>
        <w:t>1</w:t>
      </w:r>
      <w:r>
        <w:rPr>
          <w:rFonts w:hAnsi="宋体"/>
          <w:sz w:val="24"/>
        </w:rPr>
        <w:t>日施行；</w:t>
      </w:r>
    </w:p>
    <w:p w:rsidR="00475650" w:rsidRDefault="00475650">
      <w:pPr>
        <w:numPr>
          <w:ilvl w:val="0"/>
          <w:numId w:val="82"/>
        </w:numPr>
        <w:tabs>
          <w:tab w:val="left" w:pos="759"/>
        </w:tabs>
        <w:spacing w:line="360" w:lineRule="auto"/>
        <w:ind w:left="0" w:firstLineChars="200" w:firstLine="480"/>
        <w:rPr>
          <w:sz w:val="24"/>
        </w:rPr>
      </w:pPr>
      <w:r>
        <w:rPr>
          <w:rFonts w:hAnsi="宋体"/>
          <w:sz w:val="24"/>
        </w:rPr>
        <w:t>《湖南省建设项目环境保护管理办法》，省政府令</w:t>
      </w:r>
      <w:r>
        <w:rPr>
          <w:sz w:val="24"/>
        </w:rPr>
        <w:t>215</w:t>
      </w:r>
      <w:r>
        <w:rPr>
          <w:rFonts w:hAnsi="宋体"/>
          <w:sz w:val="24"/>
        </w:rPr>
        <w:t>号；</w:t>
      </w:r>
    </w:p>
    <w:p w:rsidR="00475650" w:rsidRDefault="00475650">
      <w:pPr>
        <w:numPr>
          <w:ilvl w:val="0"/>
          <w:numId w:val="82"/>
        </w:numPr>
        <w:tabs>
          <w:tab w:val="left" w:pos="759"/>
        </w:tabs>
        <w:spacing w:line="360" w:lineRule="auto"/>
        <w:ind w:left="0" w:firstLineChars="200" w:firstLine="480"/>
        <w:rPr>
          <w:sz w:val="24"/>
        </w:rPr>
      </w:pPr>
      <w:r>
        <w:rPr>
          <w:rFonts w:hAnsi="宋体"/>
          <w:sz w:val="24"/>
        </w:rPr>
        <w:t>《关于进一步加强环境影响评价管理防范环境风险的通知》环发</w:t>
      </w:r>
      <w:r>
        <w:rPr>
          <w:sz w:val="24"/>
        </w:rPr>
        <w:t>[2012]77</w:t>
      </w:r>
      <w:r>
        <w:rPr>
          <w:rFonts w:hAnsi="宋体"/>
          <w:sz w:val="24"/>
        </w:rPr>
        <w:t>号；</w:t>
      </w:r>
      <w:r>
        <w:rPr>
          <w:sz w:val="24"/>
        </w:rPr>
        <w:t xml:space="preserve"> </w:t>
      </w:r>
    </w:p>
    <w:p w:rsidR="00475650" w:rsidRDefault="00475650">
      <w:pPr>
        <w:numPr>
          <w:ilvl w:val="0"/>
          <w:numId w:val="82"/>
        </w:numPr>
        <w:tabs>
          <w:tab w:val="left" w:pos="759"/>
        </w:tabs>
        <w:spacing w:line="360" w:lineRule="auto"/>
        <w:ind w:left="0" w:firstLineChars="200" w:firstLine="480"/>
        <w:rPr>
          <w:sz w:val="24"/>
        </w:rPr>
      </w:pPr>
      <w:r>
        <w:rPr>
          <w:rFonts w:hAnsi="宋体"/>
          <w:sz w:val="24"/>
        </w:rPr>
        <w:t>《关于加强化学危险品管理的通知》国家环保总局等五部委；</w:t>
      </w:r>
    </w:p>
    <w:p w:rsidR="00475650" w:rsidRDefault="00475650">
      <w:pPr>
        <w:numPr>
          <w:ilvl w:val="0"/>
          <w:numId w:val="82"/>
        </w:numPr>
        <w:tabs>
          <w:tab w:val="left" w:pos="759"/>
        </w:tabs>
        <w:spacing w:line="360" w:lineRule="auto"/>
        <w:ind w:left="0" w:firstLineChars="200" w:firstLine="480"/>
        <w:rPr>
          <w:sz w:val="24"/>
        </w:rPr>
      </w:pPr>
      <w:r>
        <w:rPr>
          <w:rFonts w:hAnsi="宋体"/>
          <w:sz w:val="24"/>
        </w:rPr>
        <w:t>《中华人民共和国监控化学品管理条例》国家环保总局等五部委；</w:t>
      </w:r>
    </w:p>
    <w:p w:rsidR="00475650" w:rsidRDefault="00475650">
      <w:pPr>
        <w:numPr>
          <w:ilvl w:val="0"/>
          <w:numId w:val="82"/>
        </w:numPr>
        <w:tabs>
          <w:tab w:val="left" w:pos="759"/>
        </w:tabs>
        <w:spacing w:line="360" w:lineRule="auto"/>
        <w:ind w:left="0" w:firstLineChars="200" w:firstLine="480"/>
        <w:rPr>
          <w:sz w:val="24"/>
        </w:rPr>
      </w:pPr>
      <w:r>
        <w:rPr>
          <w:rFonts w:hAnsi="宋体"/>
          <w:sz w:val="24"/>
        </w:rPr>
        <w:t>国家发改委《产业结构调整指导目录（</w:t>
      </w:r>
      <w:r>
        <w:rPr>
          <w:sz w:val="24"/>
        </w:rPr>
        <w:t>2011</w:t>
      </w:r>
      <w:r>
        <w:rPr>
          <w:rFonts w:hAnsi="宋体"/>
          <w:sz w:val="24"/>
        </w:rPr>
        <w:t>年及</w:t>
      </w:r>
      <w:r>
        <w:rPr>
          <w:sz w:val="24"/>
        </w:rPr>
        <w:t>2013</w:t>
      </w:r>
      <w:r>
        <w:rPr>
          <w:rFonts w:hAnsi="宋体"/>
          <w:sz w:val="24"/>
        </w:rPr>
        <w:t>年修订本）》；</w:t>
      </w:r>
      <w:r>
        <w:rPr>
          <w:rFonts w:hAnsi="宋体" w:hint="eastAsia"/>
          <w:sz w:val="24"/>
        </w:rPr>
        <w:t>\</w:t>
      </w:r>
    </w:p>
    <w:p w:rsidR="00475650" w:rsidRDefault="00475650">
      <w:pPr>
        <w:pStyle w:val="aff7"/>
        <w:overflowPunct/>
        <w:autoSpaceDE/>
        <w:autoSpaceDN/>
        <w:adjustRightInd/>
        <w:ind w:firstLineChars="200" w:firstLine="480"/>
        <w:textAlignment w:val="auto"/>
        <w:outlineLvl w:val="0"/>
        <w:rPr>
          <w:sz w:val="24"/>
          <w:szCs w:val="24"/>
        </w:rPr>
      </w:pPr>
      <w:bookmarkStart w:id="77" w:name="_Toc465676929"/>
      <w:bookmarkStart w:id="78" w:name="_Toc18908"/>
      <w:r>
        <w:rPr>
          <w:rFonts w:hint="eastAsia"/>
          <w:sz w:val="24"/>
          <w:szCs w:val="24"/>
        </w:rPr>
        <w:t>22</w:t>
      </w:r>
      <w:r>
        <w:rPr>
          <w:rFonts w:hint="eastAsia"/>
          <w:sz w:val="24"/>
          <w:szCs w:val="24"/>
        </w:rPr>
        <w:t>）</w:t>
      </w:r>
      <w:r>
        <w:rPr>
          <w:sz w:val="24"/>
          <w:szCs w:val="24"/>
        </w:rPr>
        <w:t>《水污染防治行动计划》</w:t>
      </w:r>
      <w:r>
        <w:rPr>
          <w:rFonts w:hint="eastAsia"/>
          <w:sz w:val="24"/>
          <w:szCs w:val="24"/>
        </w:rPr>
        <w:t>(</w:t>
      </w:r>
      <w:r>
        <w:rPr>
          <w:sz w:val="24"/>
          <w:szCs w:val="24"/>
        </w:rPr>
        <w:t>国</w:t>
      </w:r>
      <w:r>
        <w:rPr>
          <w:rFonts w:hint="eastAsia"/>
          <w:sz w:val="24"/>
          <w:szCs w:val="24"/>
        </w:rPr>
        <w:t>发</w:t>
      </w:r>
      <w:r>
        <w:rPr>
          <w:rFonts w:hint="eastAsia"/>
          <w:sz w:val="24"/>
          <w:szCs w:val="24"/>
        </w:rPr>
        <w:t>[2015]17</w:t>
      </w:r>
      <w:r>
        <w:rPr>
          <w:rFonts w:hint="eastAsia"/>
          <w:sz w:val="24"/>
          <w:szCs w:val="24"/>
        </w:rPr>
        <w:t>号，</w:t>
      </w:r>
      <w:r>
        <w:rPr>
          <w:rFonts w:hint="eastAsia"/>
          <w:sz w:val="24"/>
          <w:szCs w:val="24"/>
        </w:rPr>
        <w:t>2015.4.16)</w:t>
      </w:r>
      <w:r>
        <w:rPr>
          <w:rFonts w:hint="eastAsia"/>
          <w:sz w:val="24"/>
          <w:szCs w:val="24"/>
        </w:rPr>
        <w:t>；</w:t>
      </w:r>
      <w:bookmarkEnd w:id="77"/>
      <w:bookmarkEnd w:id="78"/>
    </w:p>
    <w:p w:rsidR="00475650" w:rsidRDefault="00475650">
      <w:pPr>
        <w:pStyle w:val="aff7"/>
        <w:overflowPunct/>
        <w:autoSpaceDE/>
        <w:autoSpaceDN/>
        <w:adjustRightInd/>
        <w:ind w:firstLineChars="200" w:firstLine="480"/>
        <w:textAlignment w:val="auto"/>
        <w:outlineLvl w:val="0"/>
        <w:rPr>
          <w:sz w:val="24"/>
          <w:szCs w:val="24"/>
        </w:rPr>
      </w:pPr>
      <w:bookmarkStart w:id="79" w:name="_Toc465676930"/>
      <w:bookmarkStart w:id="80" w:name="_Toc29038"/>
      <w:r>
        <w:rPr>
          <w:rFonts w:hint="eastAsia"/>
          <w:sz w:val="24"/>
          <w:szCs w:val="24"/>
        </w:rPr>
        <w:t>23</w:t>
      </w:r>
      <w:r>
        <w:rPr>
          <w:rFonts w:hint="eastAsia"/>
          <w:sz w:val="24"/>
          <w:szCs w:val="24"/>
        </w:rPr>
        <w:t>）</w:t>
      </w:r>
      <w:r>
        <w:rPr>
          <w:sz w:val="24"/>
          <w:szCs w:val="24"/>
        </w:rPr>
        <w:t>《</w:t>
      </w:r>
      <w:r>
        <w:rPr>
          <w:rFonts w:hint="eastAsia"/>
          <w:sz w:val="24"/>
          <w:szCs w:val="24"/>
        </w:rPr>
        <w:t>大气</w:t>
      </w:r>
      <w:r>
        <w:rPr>
          <w:sz w:val="24"/>
          <w:szCs w:val="24"/>
        </w:rPr>
        <w:t>污染防治行动计划》</w:t>
      </w:r>
      <w:r>
        <w:rPr>
          <w:rFonts w:hint="eastAsia"/>
          <w:sz w:val="24"/>
          <w:szCs w:val="24"/>
        </w:rPr>
        <w:t>(</w:t>
      </w:r>
      <w:r>
        <w:rPr>
          <w:sz w:val="24"/>
          <w:szCs w:val="24"/>
        </w:rPr>
        <w:t>国</w:t>
      </w:r>
      <w:r>
        <w:rPr>
          <w:rFonts w:hint="eastAsia"/>
          <w:sz w:val="24"/>
          <w:szCs w:val="24"/>
        </w:rPr>
        <w:t>发</w:t>
      </w:r>
      <w:r>
        <w:rPr>
          <w:rFonts w:hint="eastAsia"/>
          <w:sz w:val="24"/>
          <w:szCs w:val="24"/>
        </w:rPr>
        <w:t>[2013]37</w:t>
      </w:r>
      <w:r>
        <w:rPr>
          <w:rFonts w:hint="eastAsia"/>
          <w:sz w:val="24"/>
          <w:szCs w:val="24"/>
        </w:rPr>
        <w:t>号，</w:t>
      </w:r>
      <w:r>
        <w:rPr>
          <w:rFonts w:hint="eastAsia"/>
          <w:sz w:val="24"/>
          <w:szCs w:val="24"/>
        </w:rPr>
        <w:t>2013.9.10)</w:t>
      </w:r>
      <w:r>
        <w:rPr>
          <w:rFonts w:hint="eastAsia"/>
          <w:sz w:val="24"/>
          <w:szCs w:val="24"/>
        </w:rPr>
        <w:t>；</w:t>
      </w:r>
      <w:bookmarkEnd w:id="79"/>
      <w:bookmarkEnd w:id="80"/>
    </w:p>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81" w:name="_Toc302936680"/>
      <w:bookmarkStart w:id="82" w:name="_Toc270622549"/>
      <w:bookmarkStart w:id="83" w:name="_Toc333229858"/>
      <w:bookmarkStart w:id="84" w:name="_Toc334080713"/>
      <w:bookmarkStart w:id="85" w:name="_Toc269630438"/>
      <w:bookmarkStart w:id="86" w:name="_Toc334014071"/>
      <w:bookmarkStart w:id="87" w:name="_Toc269630354"/>
      <w:bookmarkStart w:id="88" w:name="_Toc332292931"/>
      <w:bookmarkStart w:id="89" w:name="_Toc465676932"/>
      <w:bookmarkStart w:id="90" w:name="_Toc7881"/>
      <w:r>
        <w:rPr>
          <w:rStyle w:val="2Char1Char"/>
          <w:rFonts w:ascii="Times New Roman" w:eastAsia="宋体" w:hAnsi="Times New Roman" w:cs="Times New Roman"/>
          <w:b w:val="0"/>
          <w:sz w:val="24"/>
          <w:szCs w:val="24"/>
        </w:rPr>
        <w:t>1.2.2</w:t>
      </w:r>
      <w:r>
        <w:rPr>
          <w:rStyle w:val="2Char1Char"/>
          <w:rFonts w:ascii="Times New Roman" w:eastAsia="宋体" w:hAnsi="宋体" w:cs="Times New Roman"/>
          <w:b w:val="0"/>
          <w:sz w:val="24"/>
          <w:szCs w:val="24"/>
        </w:rPr>
        <w:t>相关的标准及技术规范</w:t>
      </w:r>
      <w:bookmarkEnd w:id="81"/>
      <w:bookmarkEnd w:id="82"/>
      <w:bookmarkEnd w:id="83"/>
      <w:bookmarkEnd w:id="84"/>
      <w:bookmarkEnd w:id="85"/>
      <w:bookmarkEnd w:id="86"/>
      <w:bookmarkEnd w:id="87"/>
      <w:bookmarkEnd w:id="88"/>
      <w:bookmarkEnd w:id="89"/>
      <w:bookmarkEnd w:id="90"/>
    </w:p>
    <w:p w:rsidR="00475650" w:rsidRDefault="00475650">
      <w:pPr>
        <w:pStyle w:val="aff7"/>
        <w:overflowPunct/>
        <w:autoSpaceDE/>
        <w:autoSpaceDN/>
        <w:adjustRightInd/>
        <w:ind w:firstLineChars="200" w:firstLine="480"/>
        <w:textAlignment w:val="auto"/>
        <w:outlineLvl w:val="0"/>
        <w:rPr>
          <w:sz w:val="24"/>
          <w:szCs w:val="24"/>
        </w:rPr>
      </w:pPr>
      <w:bookmarkStart w:id="91" w:name="_Toc333229859"/>
      <w:bookmarkStart w:id="92" w:name="_Toc334014072"/>
      <w:bookmarkStart w:id="93" w:name="_Toc334080714"/>
      <w:bookmarkStart w:id="94" w:name="_Toc448999038"/>
      <w:bookmarkStart w:id="95" w:name="_Toc465676933"/>
      <w:bookmarkStart w:id="96" w:name="_Toc20598"/>
      <w:r>
        <w:rPr>
          <w:sz w:val="24"/>
          <w:szCs w:val="24"/>
        </w:rPr>
        <w:t>1)</w:t>
      </w:r>
      <w:r>
        <w:rPr>
          <w:rFonts w:hAnsi="宋体"/>
          <w:sz w:val="24"/>
          <w:szCs w:val="24"/>
        </w:rPr>
        <w:t>《环境影响评价技术导则</w:t>
      </w:r>
      <w:r>
        <w:rPr>
          <w:sz w:val="24"/>
          <w:szCs w:val="24"/>
        </w:rPr>
        <w:t xml:space="preserve"> </w:t>
      </w:r>
      <w:r>
        <w:rPr>
          <w:rFonts w:hAnsi="宋体"/>
          <w:sz w:val="24"/>
          <w:szCs w:val="24"/>
        </w:rPr>
        <w:t>总纲》</w:t>
      </w:r>
      <w:r>
        <w:rPr>
          <w:sz w:val="24"/>
          <w:szCs w:val="24"/>
        </w:rPr>
        <w:t>HJ2.1—2011</w:t>
      </w:r>
      <w:r>
        <w:rPr>
          <w:rFonts w:hAnsi="宋体"/>
          <w:sz w:val="24"/>
          <w:szCs w:val="24"/>
        </w:rPr>
        <w:t>；</w:t>
      </w:r>
      <w:bookmarkEnd w:id="91"/>
      <w:bookmarkEnd w:id="92"/>
      <w:bookmarkEnd w:id="93"/>
      <w:bookmarkEnd w:id="94"/>
      <w:bookmarkEnd w:id="95"/>
      <w:bookmarkEnd w:id="96"/>
    </w:p>
    <w:p w:rsidR="00475650" w:rsidRDefault="00475650">
      <w:pPr>
        <w:pStyle w:val="aff7"/>
        <w:overflowPunct/>
        <w:autoSpaceDE/>
        <w:autoSpaceDN/>
        <w:adjustRightInd/>
        <w:ind w:firstLineChars="200" w:firstLine="480"/>
        <w:textAlignment w:val="auto"/>
        <w:rPr>
          <w:sz w:val="24"/>
          <w:szCs w:val="24"/>
        </w:rPr>
      </w:pPr>
      <w:r>
        <w:rPr>
          <w:sz w:val="24"/>
          <w:szCs w:val="24"/>
        </w:rPr>
        <w:lastRenderedPageBreak/>
        <w:t>2)</w:t>
      </w:r>
      <w:r>
        <w:rPr>
          <w:rFonts w:hAnsi="宋体"/>
          <w:sz w:val="24"/>
          <w:szCs w:val="24"/>
        </w:rPr>
        <w:t>《环境影响评价技术导则</w:t>
      </w:r>
      <w:r>
        <w:rPr>
          <w:sz w:val="24"/>
          <w:szCs w:val="24"/>
        </w:rPr>
        <w:t xml:space="preserve"> </w:t>
      </w:r>
      <w:r>
        <w:rPr>
          <w:rFonts w:hAnsi="宋体"/>
          <w:sz w:val="24"/>
          <w:szCs w:val="24"/>
        </w:rPr>
        <w:t>大气环境》</w:t>
      </w:r>
      <w:r>
        <w:rPr>
          <w:sz w:val="24"/>
          <w:szCs w:val="24"/>
        </w:rPr>
        <w:t>HJ2.2-2008</w:t>
      </w:r>
      <w:r>
        <w:rPr>
          <w:rFonts w:hAnsi="宋体"/>
          <w:sz w:val="24"/>
          <w:szCs w:val="24"/>
        </w:rPr>
        <w:t>；</w:t>
      </w:r>
    </w:p>
    <w:p w:rsidR="00475650" w:rsidRDefault="00475650">
      <w:pPr>
        <w:pStyle w:val="aff7"/>
        <w:overflowPunct/>
        <w:autoSpaceDE/>
        <w:autoSpaceDN/>
        <w:adjustRightInd/>
        <w:ind w:firstLineChars="200" w:firstLine="480"/>
        <w:textAlignment w:val="auto"/>
        <w:rPr>
          <w:sz w:val="24"/>
          <w:szCs w:val="24"/>
        </w:rPr>
      </w:pPr>
      <w:r>
        <w:rPr>
          <w:sz w:val="24"/>
          <w:szCs w:val="24"/>
        </w:rPr>
        <w:t>3)</w:t>
      </w:r>
      <w:r>
        <w:rPr>
          <w:rFonts w:hAnsi="宋体"/>
          <w:sz w:val="24"/>
          <w:szCs w:val="24"/>
        </w:rPr>
        <w:t>《环境影响评价技术导则</w:t>
      </w:r>
      <w:r>
        <w:rPr>
          <w:sz w:val="24"/>
          <w:szCs w:val="24"/>
        </w:rPr>
        <w:t xml:space="preserve"> </w:t>
      </w:r>
      <w:r>
        <w:rPr>
          <w:rFonts w:hAnsi="宋体"/>
          <w:sz w:val="24"/>
          <w:szCs w:val="24"/>
        </w:rPr>
        <w:t>水环境》</w:t>
      </w:r>
      <w:r>
        <w:rPr>
          <w:sz w:val="24"/>
          <w:szCs w:val="24"/>
        </w:rPr>
        <w:t>HJ/T2.3—93</w:t>
      </w:r>
      <w:r>
        <w:rPr>
          <w:rFonts w:hAnsi="宋体"/>
          <w:sz w:val="24"/>
          <w:szCs w:val="24"/>
        </w:rPr>
        <w:t>；</w:t>
      </w:r>
    </w:p>
    <w:p w:rsidR="00475650" w:rsidRDefault="00475650">
      <w:pPr>
        <w:pStyle w:val="aff7"/>
        <w:overflowPunct/>
        <w:autoSpaceDE/>
        <w:autoSpaceDN/>
        <w:adjustRightInd/>
        <w:ind w:firstLineChars="200" w:firstLine="480"/>
        <w:textAlignment w:val="auto"/>
        <w:rPr>
          <w:sz w:val="24"/>
          <w:szCs w:val="24"/>
        </w:rPr>
      </w:pPr>
      <w:r>
        <w:rPr>
          <w:sz w:val="24"/>
          <w:szCs w:val="24"/>
        </w:rPr>
        <w:t>4)</w:t>
      </w:r>
      <w:r>
        <w:rPr>
          <w:rFonts w:hAnsi="宋体"/>
          <w:sz w:val="24"/>
          <w:szCs w:val="24"/>
        </w:rPr>
        <w:t>《环境影响评价技术导则</w:t>
      </w:r>
      <w:r>
        <w:rPr>
          <w:sz w:val="24"/>
          <w:szCs w:val="24"/>
        </w:rPr>
        <w:t xml:space="preserve"> </w:t>
      </w:r>
      <w:r>
        <w:rPr>
          <w:rFonts w:hAnsi="宋体"/>
          <w:sz w:val="24"/>
          <w:szCs w:val="24"/>
        </w:rPr>
        <w:t>声环境》</w:t>
      </w:r>
      <w:r>
        <w:rPr>
          <w:sz w:val="24"/>
          <w:szCs w:val="24"/>
        </w:rPr>
        <w:t>HJ2.4-2009</w:t>
      </w:r>
      <w:r>
        <w:rPr>
          <w:rFonts w:hAnsi="宋体"/>
          <w:sz w:val="24"/>
          <w:szCs w:val="24"/>
        </w:rPr>
        <w:t>；</w:t>
      </w:r>
    </w:p>
    <w:p w:rsidR="00475650" w:rsidRDefault="00475650">
      <w:pPr>
        <w:pStyle w:val="aff7"/>
        <w:overflowPunct/>
        <w:autoSpaceDE/>
        <w:autoSpaceDN/>
        <w:adjustRightInd/>
        <w:ind w:firstLineChars="200" w:firstLine="480"/>
        <w:textAlignment w:val="auto"/>
        <w:rPr>
          <w:sz w:val="24"/>
          <w:szCs w:val="24"/>
        </w:rPr>
      </w:pPr>
      <w:r>
        <w:rPr>
          <w:sz w:val="24"/>
          <w:szCs w:val="24"/>
        </w:rPr>
        <w:t>5)</w:t>
      </w:r>
      <w:r>
        <w:rPr>
          <w:rFonts w:hAnsi="宋体"/>
          <w:sz w:val="24"/>
          <w:szCs w:val="24"/>
        </w:rPr>
        <w:t>《环境影响评价技术导则</w:t>
      </w:r>
      <w:r>
        <w:rPr>
          <w:sz w:val="24"/>
          <w:szCs w:val="24"/>
        </w:rPr>
        <w:t xml:space="preserve"> </w:t>
      </w:r>
      <w:r>
        <w:rPr>
          <w:rFonts w:hAnsi="宋体"/>
          <w:sz w:val="24"/>
          <w:szCs w:val="24"/>
        </w:rPr>
        <w:t>地下水环境》</w:t>
      </w:r>
      <w:r>
        <w:rPr>
          <w:sz w:val="24"/>
          <w:szCs w:val="24"/>
        </w:rPr>
        <w:t>HJ610-2016</w:t>
      </w:r>
      <w:r>
        <w:rPr>
          <w:rFonts w:hAnsi="宋体"/>
          <w:sz w:val="24"/>
          <w:szCs w:val="24"/>
        </w:rPr>
        <w:t>；</w:t>
      </w:r>
      <w:r>
        <w:rPr>
          <w:sz w:val="24"/>
          <w:szCs w:val="24"/>
        </w:rPr>
        <w:t xml:space="preserve"> </w:t>
      </w:r>
    </w:p>
    <w:p w:rsidR="00475650" w:rsidRDefault="00475650">
      <w:pPr>
        <w:pStyle w:val="aff7"/>
        <w:overflowPunct/>
        <w:autoSpaceDE/>
        <w:autoSpaceDN/>
        <w:adjustRightInd/>
        <w:ind w:firstLineChars="200" w:firstLine="480"/>
        <w:textAlignment w:val="auto"/>
        <w:rPr>
          <w:sz w:val="24"/>
          <w:szCs w:val="24"/>
        </w:rPr>
      </w:pPr>
      <w:r>
        <w:rPr>
          <w:sz w:val="24"/>
          <w:szCs w:val="24"/>
        </w:rPr>
        <w:t>6)</w:t>
      </w:r>
      <w:r>
        <w:rPr>
          <w:rFonts w:hAnsi="宋体"/>
          <w:sz w:val="24"/>
          <w:szCs w:val="24"/>
        </w:rPr>
        <w:t>《环境影响评价公众参与暂行办法》，</w:t>
      </w:r>
      <w:r>
        <w:rPr>
          <w:sz w:val="24"/>
          <w:szCs w:val="24"/>
        </w:rPr>
        <w:t>2006</w:t>
      </w:r>
      <w:r>
        <w:rPr>
          <w:rFonts w:hAnsi="宋体"/>
          <w:sz w:val="24"/>
          <w:szCs w:val="24"/>
        </w:rPr>
        <w:t>年</w:t>
      </w:r>
      <w:r>
        <w:rPr>
          <w:sz w:val="24"/>
          <w:szCs w:val="24"/>
        </w:rPr>
        <w:t>3</w:t>
      </w:r>
      <w:r>
        <w:rPr>
          <w:rFonts w:hAnsi="宋体"/>
          <w:sz w:val="24"/>
          <w:szCs w:val="24"/>
        </w:rPr>
        <w:t>月</w:t>
      </w:r>
      <w:r>
        <w:rPr>
          <w:sz w:val="24"/>
          <w:szCs w:val="24"/>
        </w:rPr>
        <w:t>18</w:t>
      </w:r>
      <w:r>
        <w:rPr>
          <w:rFonts w:hAnsi="宋体"/>
          <w:sz w:val="24"/>
          <w:szCs w:val="24"/>
        </w:rPr>
        <w:t>日实施；</w:t>
      </w:r>
    </w:p>
    <w:p w:rsidR="00475650" w:rsidRDefault="00475650">
      <w:pPr>
        <w:pStyle w:val="aff7"/>
        <w:overflowPunct/>
        <w:autoSpaceDE/>
        <w:autoSpaceDN/>
        <w:adjustRightInd/>
        <w:ind w:firstLineChars="200" w:firstLine="480"/>
        <w:textAlignment w:val="auto"/>
        <w:outlineLvl w:val="0"/>
        <w:rPr>
          <w:sz w:val="24"/>
          <w:szCs w:val="24"/>
        </w:rPr>
      </w:pPr>
      <w:bookmarkStart w:id="97" w:name="_Toc334080715"/>
      <w:bookmarkStart w:id="98" w:name="_Toc334014073"/>
      <w:bookmarkStart w:id="99" w:name="_Toc333229860"/>
      <w:bookmarkStart w:id="100" w:name="_Toc448999039"/>
      <w:bookmarkStart w:id="101" w:name="_Toc465676934"/>
      <w:bookmarkStart w:id="102" w:name="_Toc23653"/>
      <w:r>
        <w:rPr>
          <w:sz w:val="24"/>
          <w:szCs w:val="24"/>
        </w:rPr>
        <w:t>7)</w:t>
      </w:r>
      <w:r>
        <w:rPr>
          <w:rFonts w:hAnsi="宋体"/>
          <w:sz w:val="24"/>
          <w:szCs w:val="24"/>
        </w:rPr>
        <w:t>《建设项目环境风险评价技术导则》</w:t>
      </w:r>
      <w:r>
        <w:rPr>
          <w:sz w:val="24"/>
          <w:szCs w:val="24"/>
        </w:rPr>
        <w:t>HJ/T169-2004</w:t>
      </w:r>
      <w:r>
        <w:rPr>
          <w:rFonts w:hAnsi="宋体"/>
          <w:sz w:val="24"/>
          <w:szCs w:val="24"/>
        </w:rPr>
        <w:t>；</w:t>
      </w:r>
      <w:bookmarkEnd w:id="97"/>
      <w:bookmarkEnd w:id="98"/>
      <w:bookmarkEnd w:id="99"/>
      <w:bookmarkEnd w:id="100"/>
      <w:bookmarkEnd w:id="101"/>
      <w:bookmarkEnd w:id="102"/>
    </w:p>
    <w:p w:rsidR="00475650" w:rsidRDefault="00475650">
      <w:pPr>
        <w:pStyle w:val="aff7"/>
        <w:overflowPunct/>
        <w:autoSpaceDE/>
        <w:autoSpaceDN/>
        <w:adjustRightInd/>
        <w:ind w:firstLineChars="200" w:firstLine="480"/>
        <w:textAlignment w:val="auto"/>
        <w:rPr>
          <w:sz w:val="24"/>
          <w:szCs w:val="24"/>
        </w:rPr>
      </w:pPr>
      <w:r>
        <w:rPr>
          <w:sz w:val="24"/>
          <w:szCs w:val="24"/>
        </w:rPr>
        <w:t>8)</w:t>
      </w:r>
      <w:r>
        <w:rPr>
          <w:rFonts w:hAnsi="宋体"/>
          <w:sz w:val="24"/>
          <w:szCs w:val="24"/>
        </w:rPr>
        <w:t>《环境影响评价技术导则</w:t>
      </w:r>
      <w:r>
        <w:rPr>
          <w:sz w:val="24"/>
          <w:szCs w:val="24"/>
        </w:rPr>
        <w:t xml:space="preserve"> </w:t>
      </w:r>
      <w:r>
        <w:rPr>
          <w:rFonts w:hAnsi="宋体"/>
          <w:sz w:val="24"/>
          <w:szCs w:val="24"/>
        </w:rPr>
        <w:t>生态影响》</w:t>
      </w:r>
      <w:r>
        <w:rPr>
          <w:sz w:val="24"/>
          <w:szCs w:val="24"/>
        </w:rPr>
        <w:t>HJ19-2011</w:t>
      </w:r>
      <w:r>
        <w:rPr>
          <w:rFonts w:hAnsi="宋体"/>
          <w:sz w:val="24"/>
          <w:szCs w:val="24"/>
        </w:rPr>
        <w:t>；</w:t>
      </w:r>
    </w:p>
    <w:p w:rsidR="00475650" w:rsidRDefault="00475650">
      <w:pPr>
        <w:spacing w:line="360" w:lineRule="auto"/>
        <w:ind w:firstLineChars="200" w:firstLine="480"/>
        <w:rPr>
          <w:sz w:val="24"/>
        </w:rPr>
      </w:pPr>
      <w:r>
        <w:rPr>
          <w:sz w:val="24"/>
        </w:rPr>
        <w:t xml:space="preserve">9) </w:t>
      </w:r>
      <w:r>
        <w:rPr>
          <w:rFonts w:hAnsi="宋体"/>
          <w:sz w:val="24"/>
        </w:rPr>
        <w:t>《湖南省主要水系地表水环境功能区划》</w:t>
      </w:r>
      <w:r>
        <w:rPr>
          <w:sz w:val="24"/>
        </w:rPr>
        <w:t>DB43/023-2005</w:t>
      </w:r>
      <w:r>
        <w:rPr>
          <w:rFonts w:hAnsi="宋体"/>
          <w:sz w:val="24"/>
        </w:rPr>
        <w:t>（湖南省环境保护局）；</w:t>
      </w:r>
    </w:p>
    <w:p w:rsidR="00475650" w:rsidRDefault="00475650">
      <w:pPr>
        <w:spacing w:line="360" w:lineRule="auto"/>
        <w:ind w:firstLineChars="200" w:firstLine="480"/>
        <w:rPr>
          <w:sz w:val="24"/>
        </w:rPr>
      </w:pPr>
      <w:r>
        <w:rPr>
          <w:sz w:val="24"/>
        </w:rPr>
        <w:t>10)</w:t>
      </w:r>
      <w:r>
        <w:rPr>
          <w:rFonts w:hAnsi="宋体"/>
          <w:sz w:val="24"/>
        </w:rPr>
        <w:t>《常用危险化学品贮存通则》</w:t>
      </w:r>
      <w:r>
        <w:rPr>
          <w:sz w:val="24"/>
        </w:rPr>
        <w:t>GB15603-1995</w:t>
      </w:r>
      <w:r>
        <w:rPr>
          <w:rFonts w:hAnsi="宋体"/>
          <w:sz w:val="24"/>
        </w:rPr>
        <w:t>；</w:t>
      </w:r>
    </w:p>
    <w:p w:rsidR="00475650" w:rsidRDefault="00475650">
      <w:pPr>
        <w:spacing w:line="360" w:lineRule="auto"/>
        <w:ind w:firstLineChars="200" w:firstLine="480"/>
        <w:rPr>
          <w:sz w:val="24"/>
        </w:rPr>
      </w:pPr>
      <w:r>
        <w:rPr>
          <w:sz w:val="24"/>
        </w:rPr>
        <w:t>11)</w:t>
      </w:r>
      <w:r>
        <w:rPr>
          <w:rFonts w:hAnsi="宋体"/>
          <w:sz w:val="24"/>
        </w:rPr>
        <w:t>《危险化学品重大危险源辨识》</w:t>
      </w:r>
      <w:r>
        <w:rPr>
          <w:sz w:val="24"/>
        </w:rPr>
        <w:t>GB18218-2009</w:t>
      </w:r>
      <w:r>
        <w:rPr>
          <w:rFonts w:hAnsi="宋体"/>
          <w:sz w:val="24"/>
        </w:rPr>
        <w:t>；</w:t>
      </w:r>
    </w:p>
    <w:p w:rsidR="00475650" w:rsidRDefault="00475650">
      <w:pPr>
        <w:spacing w:line="360" w:lineRule="auto"/>
        <w:ind w:firstLineChars="200" w:firstLine="480"/>
        <w:rPr>
          <w:sz w:val="24"/>
        </w:rPr>
      </w:pPr>
      <w:r>
        <w:rPr>
          <w:sz w:val="24"/>
        </w:rPr>
        <w:t>12)</w:t>
      </w:r>
      <w:r>
        <w:rPr>
          <w:rFonts w:hAnsi="宋体"/>
          <w:sz w:val="24"/>
        </w:rPr>
        <w:t>《腐蚀性商品储藏养护技术条件》</w:t>
      </w:r>
      <w:r>
        <w:rPr>
          <w:sz w:val="24"/>
        </w:rPr>
        <w:t>GB17915-2013</w:t>
      </w:r>
      <w:r>
        <w:rPr>
          <w:rFonts w:hAnsi="宋体"/>
          <w:sz w:val="24"/>
        </w:rPr>
        <w:t>；</w:t>
      </w:r>
    </w:p>
    <w:p w:rsidR="00475650" w:rsidRDefault="00475650">
      <w:pPr>
        <w:spacing w:line="360" w:lineRule="auto"/>
        <w:ind w:firstLineChars="200" w:firstLine="480"/>
        <w:rPr>
          <w:sz w:val="24"/>
        </w:rPr>
      </w:pPr>
      <w:r>
        <w:rPr>
          <w:sz w:val="24"/>
        </w:rPr>
        <w:t>13)</w:t>
      </w:r>
      <w:r>
        <w:rPr>
          <w:rFonts w:hAnsi="宋体"/>
          <w:sz w:val="24"/>
        </w:rPr>
        <w:t>《毒害性商品储藏养护技术条件》</w:t>
      </w:r>
      <w:r>
        <w:rPr>
          <w:sz w:val="24"/>
        </w:rPr>
        <w:t>GB17916-2013</w:t>
      </w:r>
      <w:r>
        <w:rPr>
          <w:rFonts w:hAnsi="宋体"/>
          <w:sz w:val="24"/>
        </w:rPr>
        <w:t>；</w:t>
      </w:r>
    </w:p>
    <w:p w:rsidR="00475650" w:rsidRDefault="00475650">
      <w:pPr>
        <w:spacing w:line="360" w:lineRule="auto"/>
        <w:ind w:firstLineChars="200" w:firstLine="480"/>
        <w:rPr>
          <w:sz w:val="24"/>
        </w:rPr>
      </w:pPr>
      <w:r>
        <w:rPr>
          <w:sz w:val="24"/>
        </w:rPr>
        <w:t>14</w:t>
      </w:r>
      <w:r>
        <w:rPr>
          <w:rFonts w:hAnsi="宋体"/>
          <w:sz w:val="24"/>
        </w:rPr>
        <w:t>）《危险化学品名录（</w:t>
      </w:r>
      <w:r>
        <w:rPr>
          <w:sz w:val="24"/>
        </w:rPr>
        <w:t>201</w:t>
      </w:r>
      <w:r>
        <w:rPr>
          <w:rFonts w:hint="eastAsia"/>
          <w:sz w:val="24"/>
        </w:rPr>
        <w:t>5</w:t>
      </w:r>
      <w:r>
        <w:rPr>
          <w:rFonts w:hAnsi="宋体"/>
          <w:sz w:val="24"/>
        </w:rPr>
        <w:t>版）》；</w:t>
      </w:r>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103" w:name="_Toc302936681"/>
      <w:bookmarkStart w:id="104" w:name="_Toc269630355"/>
      <w:bookmarkStart w:id="105" w:name="_Toc334080716"/>
      <w:bookmarkStart w:id="106" w:name="_Toc333229861"/>
      <w:bookmarkStart w:id="107" w:name="_Toc270622550"/>
      <w:bookmarkStart w:id="108" w:name="_Toc269630439"/>
      <w:bookmarkStart w:id="109" w:name="_Toc332292932"/>
      <w:bookmarkStart w:id="110" w:name="_Toc334014074"/>
      <w:bookmarkStart w:id="111" w:name="_Toc465676935"/>
      <w:bookmarkStart w:id="112" w:name="_Toc11044"/>
      <w:r>
        <w:rPr>
          <w:rStyle w:val="2Char1Char"/>
          <w:rFonts w:ascii="Times New Roman" w:eastAsia="宋体" w:hAnsi="Times New Roman" w:cs="Times New Roman"/>
          <w:b w:val="0"/>
          <w:sz w:val="24"/>
          <w:szCs w:val="24"/>
        </w:rPr>
        <w:t>1.2.3</w:t>
      </w:r>
      <w:r>
        <w:rPr>
          <w:rStyle w:val="2Char1Char"/>
          <w:rFonts w:ascii="Times New Roman" w:eastAsia="宋体" w:hAnsi="宋体" w:cs="Times New Roman"/>
          <w:b w:val="0"/>
          <w:sz w:val="24"/>
          <w:szCs w:val="24"/>
        </w:rPr>
        <w:t>相关文件</w:t>
      </w:r>
      <w:bookmarkEnd w:id="103"/>
      <w:bookmarkEnd w:id="104"/>
      <w:bookmarkEnd w:id="105"/>
      <w:bookmarkEnd w:id="106"/>
      <w:bookmarkEnd w:id="107"/>
      <w:bookmarkEnd w:id="108"/>
      <w:bookmarkEnd w:id="109"/>
      <w:bookmarkEnd w:id="110"/>
      <w:bookmarkEnd w:id="111"/>
      <w:bookmarkEnd w:id="112"/>
    </w:p>
    <w:p w:rsidR="00475650" w:rsidRDefault="00475650">
      <w:pPr>
        <w:numPr>
          <w:ilvl w:val="0"/>
          <w:numId w:val="83"/>
        </w:numPr>
        <w:tabs>
          <w:tab w:val="left" w:pos="647"/>
        </w:tabs>
        <w:spacing w:line="360" w:lineRule="auto"/>
        <w:ind w:left="0" w:firstLineChars="200" w:firstLine="496"/>
        <w:rPr>
          <w:spacing w:val="4"/>
          <w:sz w:val="24"/>
        </w:rPr>
      </w:pPr>
      <w:r>
        <w:rPr>
          <w:rFonts w:hAnsi="宋体"/>
          <w:spacing w:val="4"/>
          <w:sz w:val="24"/>
        </w:rPr>
        <w:t>临湘市鹏程化工有限公司关于</w:t>
      </w:r>
      <w:r>
        <w:rPr>
          <w:spacing w:val="4"/>
          <w:sz w:val="24"/>
        </w:rPr>
        <w:t>“</w:t>
      </w:r>
      <w:r>
        <w:rPr>
          <w:rFonts w:hAnsi="宋体"/>
          <w:spacing w:val="4"/>
          <w:sz w:val="24"/>
        </w:rPr>
        <w:t>临湘市鹏程化工有限公司年产</w:t>
      </w:r>
      <w:r>
        <w:rPr>
          <w:spacing w:val="4"/>
          <w:sz w:val="24"/>
        </w:rPr>
        <w:t>6000</w:t>
      </w:r>
      <w:r>
        <w:rPr>
          <w:rFonts w:hAnsi="宋体"/>
          <w:spacing w:val="4"/>
          <w:sz w:val="24"/>
        </w:rPr>
        <w:t>吨弱酸性染料建设项目</w:t>
      </w:r>
      <w:r>
        <w:rPr>
          <w:sz w:val="24"/>
        </w:rPr>
        <w:t>”</w:t>
      </w:r>
      <w:r>
        <w:rPr>
          <w:rFonts w:hAnsi="宋体"/>
          <w:sz w:val="24"/>
        </w:rPr>
        <w:t>环境评价委托书，</w:t>
      </w:r>
      <w:r>
        <w:rPr>
          <w:rFonts w:hAnsi="宋体"/>
          <w:spacing w:val="4"/>
          <w:sz w:val="24"/>
        </w:rPr>
        <w:t>临湘市鹏程化工有限公司</w:t>
      </w:r>
      <w:r>
        <w:rPr>
          <w:rFonts w:hAnsi="宋体"/>
          <w:sz w:val="24"/>
        </w:rPr>
        <w:t>，</w:t>
      </w:r>
      <w:r>
        <w:rPr>
          <w:sz w:val="24"/>
        </w:rPr>
        <w:t>2014</w:t>
      </w:r>
      <w:r>
        <w:rPr>
          <w:rFonts w:hAnsi="宋体"/>
          <w:sz w:val="24"/>
        </w:rPr>
        <w:t>年</w:t>
      </w:r>
      <w:r>
        <w:rPr>
          <w:sz w:val="24"/>
        </w:rPr>
        <w:t>3</w:t>
      </w:r>
      <w:r>
        <w:rPr>
          <w:rFonts w:hAnsi="宋体"/>
          <w:sz w:val="24"/>
        </w:rPr>
        <w:t>月；</w:t>
      </w:r>
    </w:p>
    <w:p w:rsidR="00475650" w:rsidRDefault="00475650">
      <w:pPr>
        <w:numPr>
          <w:ilvl w:val="0"/>
          <w:numId w:val="83"/>
        </w:numPr>
        <w:tabs>
          <w:tab w:val="left" w:pos="647"/>
        </w:tabs>
        <w:spacing w:line="360" w:lineRule="auto"/>
        <w:ind w:left="0" w:firstLineChars="200" w:firstLine="420"/>
        <w:rPr>
          <w:sz w:val="24"/>
        </w:rPr>
      </w:pPr>
      <w:r>
        <w:rPr>
          <w:rFonts w:hAnsi="宋体"/>
        </w:rPr>
        <w:t>《</w:t>
      </w:r>
      <w:r>
        <w:rPr>
          <w:rFonts w:hAnsi="宋体"/>
          <w:spacing w:val="4"/>
          <w:sz w:val="24"/>
        </w:rPr>
        <w:t>临湘市鹏程化工有限公司年产</w:t>
      </w:r>
      <w:r>
        <w:rPr>
          <w:spacing w:val="4"/>
          <w:sz w:val="24"/>
        </w:rPr>
        <w:t>6000</w:t>
      </w:r>
      <w:r>
        <w:rPr>
          <w:rFonts w:hAnsi="宋体"/>
          <w:spacing w:val="4"/>
          <w:sz w:val="24"/>
        </w:rPr>
        <w:t>吨弱酸性染料建设项目环评标准函》，临湘市环境保护局，</w:t>
      </w:r>
      <w:r>
        <w:rPr>
          <w:spacing w:val="4"/>
          <w:sz w:val="24"/>
        </w:rPr>
        <w:t>2016</w:t>
      </w:r>
      <w:r>
        <w:rPr>
          <w:rFonts w:hAnsi="宋体"/>
          <w:spacing w:val="4"/>
          <w:sz w:val="24"/>
        </w:rPr>
        <w:t>年</w:t>
      </w:r>
      <w:r>
        <w:rPr>
          <w:spacing w:val="4"/>
          <w:sz w:val="24"/>
        </w:rPr>
        <w:t>4</w:t>
      </w:r>
      <w:r>
        <w:rPr>
          <w:rFonts w:hAnsi="宋体"/>
          <w:spacing w:val="4"/>
          <w:sz w:val="24"/>
        </w:rPr>
        <w:t>月；</w:t>
      </w:r>
    </w:p>
    <w:p w:rsidR="00475650" w:rsidRDefault="00475650">
      <w:pPr>
        <w:numPr>
          <w:ilvl w:val="0"/>
          <w:numId w:val="83"/>
        </w:numPr>
        <w:tabs>
          <w:tab w:val="left" w:pos="647"/>
        </w:tabs>
        <w:spacing w:line="360" w:lineRule="auto"/>
        <w:ind w:left="0" w:firstLineChars="200" w:firstLine="480"/>
        <w:rPr>
          <w:sz w:val="24"/>
        </w:rPr>
      </w:pPr>
      <w:r>
        <w:rPr>
          <w:rFonts w:hAnsi="宋体"/>
          <w:sz w:val="24"/>
        </w:rPr>
        <w:t>《</w:t>
      </w:r>
      <w:r>
        <w:rPr>
          <w:rFonts w:hAnsi="宋体"/>
          <w:spacing w:val="4"/>
          <w:sz w:val="24"/>
        </w:rPr>
        <w:t>临湘市鹏程化工有限公司年产</w:t>
      </w:r>
      <w:r>
        <w:rPr>
          <w:spacing w:val="4"/>
          <w:sz w:val="24"/>
        </w:rPr>
        <w:t>6000</w:t>
      </w:r>
      <w:r>
        <w:rPr>
          <w:rFonts w:hAnsi="宋体"/>
          <w:spacing w:val="4"/>
          <w:sz w:val="24"/>
        </w:rPr>
        <w:t>吨弱酸性染料建设项目</w:t>
      </w:r>
      <w:r>
        <w:rPr>
          <w:rFonts w:hAnsi="宋体"/>
          <w:sz w:val="24"/>
        </w:rPr>
        <w:t>可行性研究报告》，湖南省轻工纺织设计院，</w:t>
      </w:r>
      <w:r>
        <w:rPr>
          <w:sz w:val="24"/>
        </w:rPr>
        <w:t>2013</w:t>
      </w:r>
      <w:r>
        <w:rPr>
          <w:rFonts w:hAnsi="宋体"/>
          <w:sz w:val="24"/>
        </w:rPr>
        <w:t>年</w:t>
      </w:r>
      <w:r>
        <w:rPr>
          <w:sz w:val="24"/>
        </w:rPr>
        <w:t>10</w:t>
      </w:r>
      <w:r>
        <w:rPr>
          <w:rFonts w:hAnsi="宋体"/>
          <w:sz w:val="24"/>
        </w:rPr>
        <w:t>月；</w:t>
      </w:r>
    </w:p>
    <w:p w:rsidR="00475650" w:rsidRDefault="00475650">
      <w:pPr>
        <w:numPr>
          <w:ilvl w:val="0"/>
          <w:numId w:val="83"/>
        </w:numPr>
        <w:tabs>
          <w:tab w:val="left" w:pos="647"/>
        </w:tabs>
        <w:spacing w:line="360" w:lineRule="auto"/>
        <w:ind w:left="0" w:firstLineChars="200" w:firstLine="480"/>
        <w:rPr>
          <w:rFonts w:hAnsi="宋体"/>
          <w:sz w:val="24"/>
        </w:rPr>
      </w:pPr>
      <w:r>
        <w:rPr>
          <w:rFonts w:hAnsi="宋体"/>
          <w:sz w:val="24"/>
        </w:rPr>
        <w:t>《临湘市鹏程化工有限公司</w:t>
      </w:r>
      <w:r>
        <w:rPr>
          <w:rFonts w:hAnsi="宋体"/>
          <w:sz w:val="24"/>
        </w:rPr>
        <w:t>5</w:t>
      </w:r>
      <w:r>
        <w:rPr>
          <w:rFonts w:hAnsi="宋体"/>
          <w:sz w:val="24"/>
        </w:rPr>
        <w:t>万吨</w:t>
      </w:r>
      <w:r>
        <w:rPr>
          <w:rFonts w:hAnsi="宋体"/>
          <w:sz w:val="24"/>
        </w:rPr>
        <w:t>/</w:t>
      </w:r>
      <w:r>
        <w:rPr>
          <w:rFonts w:hAnsi="宋体"/>
          <w:sz w:val="24"/>
        </w:rPr>
        <w:t>年氯化石蜡</w:t>
      </w:r>
      <w:r>
        <w:rPr>
          <w:rFonts w:hAnsi="宋体"/>
          <w:sz w:val="24"/>
        </w:rPr>
        <w:t>-52</w:t>
      </w:r>
      <w:r>
        <w:rPr>
          <w:rFonts w:hAnsi="宋体"/>
          <w:sz w:val="24"/>
        </w:rPr>
        <w:t>建设你项目阶段性验收工程竣工环境保护验收检测报告》，湖南省环境监测中心站，</w:t>
      </w:r>
      <w:r>
        <w:rPr>
          <w:rFonts w:hAnsi="宋体"/>
          <w:sz w:val="24"/>
        </w:rPr>
        <w:t>2016</w:t>
      </w:r>
      <w:r>
        <w:rPr>
          <w:rFonts w:hAnsi="宋体"/>
          <w:sz w:val="24"/>
        </w:rPr>
        <w:t>年</w:t>
      </w:r>
      <w:r>
        <w:rPr>
          <w:rFonts w:hAnsi="宋体"/>
          <w:sz w:val="24"/>
        </w:rPr>
        <w:t>2</w:t>
      </w:r>
      <w:r>
        <w:rPr>
          <w:rFonts w:hAnsi="宋体"/>
          <w:sz w:val="24"/>
        </w:rPr>
        <w:t>月</w:t>
      </w:r>
      <w:r>
        <w:rPr>
          <w:rFonts w:hAnsi="宋体" w:hint="eastAsia"/>
          <w:sz w:val="24"/>
        </w:rPr>
        <w:t>；</w:t>
      </w:r>
    </w:p>
    <w:p w:rsidR="00475650" w:rsidRDefault="00475650">
      <w:pPr>
        <w:numPr>
          <w:ilvl w:val="0"/>
          <w:numId w:val="83"/>
        </w:numPr>
        <w:tabs>
          <w:tab w:val="left" w:pos="647"/>
        </w:tabs>
        <w:spacing w:line="360" w:lineRule="auto"/>
        <w:ind w:left="0" w:firstLineChars="200" w:firstLine="480"/>
        <w:rPr>
          <w:rFonts w:hAnsi="宋体"/>
          <w:sz w:val="24"/>
        </w:rPr>
      </w:pPr>
      <w:r>
        <w:rPr>
          <w:rFonts w:hAnsi="宋体"/>
          <w:sz w:val="24"/>
        </w:rPr>
        <w:t>《</w:t>
      </w:r>
      <w:r>
        <w:rPr>
          <w:rFonts w:hAnsi="宋体" w:hint="eastAsia"/>
          <w:sz w:val="24"/>
        </w:rPr>
        <w:t>临湘工业园滨江产业区总体</w:t>
      </w:r>
      <w:r>
        <w:rPr>
          <w:rFonts w:hAnsi="宋体"/>
          <w:sz w:val="24"/>
        </w:rPr>
        <w:t>规划》</w:t>
      </w:r>
      <w:r>
        <w:rPr>
          <w:rFonts w:hAnsi="宋体" w:hint="eastAsia"/>
          <w:sz w:val="24"/>
        </w:rPr>
        <w:t>，湖南城市学院规划建筑设计研究院，</w:t>
      </w:r>
      <w:r>
        <w:rPr>
          <w:rFonts w:hAnsi="宋体"/>
          <w:sz w:val="24"/>
        </w:rPr>
        <w:t>201</w:t>
      </w:r>
      <w:r>
        <w:rPr>
          <w:rFonts w:hAnsi="宋体" w:hint="eastAsia"/>
          <w:sz w:val="24"/>
        </w:rPr>
        <w:t>5</w:t>
      </w:r>
      <w:r>
        <w:rPr>
          <w:rFonts w:hAnsi="宋体"/>
          <w:sz w:val="24"/>
        </w:rPr>
        <w:t>年</w:t>
      </w:r>
      <w:r>
        <w:rPr>
          <w:rFonts w:hAnsi="宋体" w:hint="eastAsia"/>
          <w:sz w:val="24"/>
        </w:rPr>
        <w:t>5</w:t>
      </w:r>
      <w:r>
        <w:rPr>
          <w:rFonts w:hAnsi="宋体"/>
          <w:sz w:val="24"/>
        </w:rPr>
        <w:t>月</w:t>
      </w:r>
      <w:r>
        <w:rPr>
          <w:rFonts w:hAnsi="宋体" w:hint="eastAsia"/>
          <w:sz w:val="24"/>
        </w:rPr>
        <w:t>；</w:t>
      </w:r>
    </w:p>
    <w:p w:rsidR="00475650" w:rsidRDefault="00475650">
      <w:pPr>
        <w:numPr>
          <w:ilvl w:val="0"/>
          <w:numId w:val="83"/>
        </w:numPr>
        <w:tabs>
          <w:tab w:val="left" w:pos="647"/>
        </w:tabs>
        <w:spacing w:line="360" w:lineRule="auto"/>
        <w:ind w:left="0" w:firstLineChars="200" w:firstLine="480"/>
        <w:rPr>
          <w:rFonts w:hAnsi="宋体"/>
          <w:sz w:val="24"/>
        </w:rPr>
      </w:pPr>
      <w:r>
        <w:rPr>
          <w:rFonts w:hAnsi="宋体"/>
          <w:sz w:val="24"/>
        </w:rPr>
        <w:t>《临湘</w:t>
      </w:r>
      <w:r>
        <w:rPr>
          <w:rFonts w:hAnsi="宋体" w:hint="eastAsia"/>
          <w:sz w:val="24"/>
        </w:rPr>
        <w:t>工业园滨江产业规划环境影响报告书</w:t>
      </w:r>
      <w:r>
        <w:rPr>
          <w:rFonts w:hAnsi="宋体"/>
          <w:sz w:val="24"/>
        </w:rPr>
        <w:t>》，广州市环境保护工程设计院，</w:t>
      </w:r>
      <w:r>
        <w:rPr>
          <w:rFonts w:hAnsi="宋体" w:hint="eastAsia"/>
          <w:sz w:val="24"/>
        </w:rPr>
        <w:t>2016</w:t>
      </w:r>
      <w:r>
        <w:rPr>
          <w:rFonts w:hAnsi="宋体" w:hint="eastAsia"/>
          <w:sz w:val="24"/>
        </w:rPr>
        <w:t>年</w:t>
      </w:r>
      <w:r>
        <w:rPr>
          <w:rFonts w:hAnsi="宋体" w:hint="eastAsia"/>
          <w:sz w:val="24"/>
        </w:rPr>
        <w:t>1</w:t>
      </w:r>
      <w:r>
        <w:rPr>
          <w:rFonts w:hAnsi="宋体" w:hint="eastAsia"/>
          <w:sz w:val="24"/>
        </w:rPr>
        <w:t>月；</w:t>
      </w:r>
    </w:p>
    <w:p w:rsidR="00475650" w:rsidRDefault="00475650">
      <w:pPr>
        <w:numPr>
          <w:ilvl w:val="0"/>
          <w:numId w:val="83"/>
        </w:numPr>
        <w:tabs>
          <w:tab w:val="left" w:pos="647"/>
        </w:tabs>
        <w:spacing w:line="360" w:lineRule="auto"/>
        <w:ind w:left="0" w:firstLineChars="200" w:firstLine="480"/>
        <w:rPr>
          <w:sz w:val="24"/>
        </w:rPr>
      </w:pPr>
      <w:r>
        <w:rPr>
          <w:rFonts w:hAnsi="宋体"/>
          <w:sz w:val="24"/>
        </w:rPr>
        <w:t>建设单位提供的其他有关资料；</w:t>
      </w:r>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113" w:name="_Toc332292933"/>
      <w:bookmarkStart w:id="114" w:name="_Toc9970"/>
      <w:r>
        <w:rPr>
          <w:rStyle w:val="2Char1Char"/>
          <w:rFonts w:ascii="Times New Roman" w:eastAsia="宋体" w:hAnsi="Times New Roman" w:cs="Times New Roman"/>
          <w:b w:val="0"/>
          <w:sz w:val="28"/>
          <w:szCs w:val="28"/>
        </w:rPr>
        <w:lastRenderedPageBreak/>
        <w:t>1.3</w:t>
      </w:r>
      <w:r>
        <w:rPr>
          <w:rStyle w:val="2Char1Char"/>
          <w:rFonts w:ascii="Times New Roman" w:eastAsia="宋体" w:hAnsi="宋体" w:cs="Times New Roman"/>
          <w:b w:val="0"/>
          <w:sz w:val="28"/>
          <w:szCs w:val="28"/>
        </w:rPr>
        <w:t>评价因子与评价标准</w:t>
      </w:r>
      <w:bookmarkEnd w:id="113"/>
      <w:bookmarkEnd w:id="114"/>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115" w:name="_Toc334014076"/>
      <w:bookmarkStart w:id="116" w:name="_Toc333229863"/>
      <w:bookmarkStart w:id="117" w:name="_Toc332292934"/>
      <w:bookmarkStart w:id="118" w:name="_Toc334080718"/>
      <w:bookmarkStart w:id="119" w:name="_Toc465676937"/>
      <w:bookmarkStart w:id="120" w:name="_Toc31830"/>
      <w:bookmarkStart w:id="121" w:name="_Toc302936692"/>
      <w:bookmarkStart w:id="122" w:name="_Toc270622564"/>
      <w:bookmarkStart w:id="123" w:name="_Toc274984438"/>
      <w:bookmarkStart w:id="124" w:name="_Toc269630450"/>
      <w:bookmarkStart w:id="125" w:name="_Toc269630369"/>
      <w:bookmarkStart w:id="126" w:name="_Toc273462042"/>
      <w:r>
        <w:rPr>
          <w:rStyle w:val="2Char1Char"/>
          <w:rFonts w:ascii="Times New Roman" w:eastAsia="宋体" w:hAnsi="Times New Roman" w:cs="Times New Roman"/>
          <w:b w:val="0"/>
          <w:sz w:val="24"/>
          <w:szCs w:val="24"/>
        </w:rPr>
        <w:t>1.3.1</w:t>
      </w:r>
      <w:r>
        <w:rPr>
          <w:rStyle w:val="2Char1Char"/>
          <w:rFonts w:ascii="Times New Roman" w:eastAsia="宋体" w:hAnsi="宋体" w:cs="Times New Roman"/>
          <w:b w:val="0"/>
          <w:sz w:val="24"/>
          <w:szCs w:val="24"/>
        </w:rPr>
        <w:t>评价因子</w:t>
      </w:r>
      <w:bookmarkEnd w:id="115"/>
      <w:bookmarkEnd w:id="116"/>
      <w:bookmarkEnd w:id="117"/>
      <w:bookmarkEnd w:id="118"/>
      <w:bookmarkEnd w:id="119"/>
      <w:bookmarkEnd w:id="120"/>
    </w:p>
    <w:p w:rsidR="00475650" w:rsidRDefault="00475650">
      <w:pPr>
        <w:spacing w:line="360" w:lineRule="auto"/>
        <w:ind w:firstLineChars="200" w:firstLine="480"/>
        <w:rPr>
          <w:sz w:val="24"/>
        </w:rPr>
      </w:pPr>
      <w:r>
        <w:rPr>
          <w:sz w:val="24"/>
        </w:rPr>
        <w:t>1</w:t>
      </w:r>
      <w:r>
        <w:rPr>
          <w:rFonts w:hAnsi="宋体"/>
          <w:sz w:val="24"/>
        </w:rPr>
        <w:t>、环境影响要素识别</w:t>
      </w:r>
    </w:p>
    <w:p w:rsidR="00475650" w:rsidRDefault="00475650">
      <w:pPr>
        <w:spacing w:line="360" w:lineRule="auto"/>
        <w:ind w:firstLineChars="200" w:firstLine="480"/>
        <w:rPr>
          <w:sz w:val="24"/>
        </w:rPr>
      </w:pPr>
      <w:r>
        <w:rPr>
          <w:rFonts w:hAnsi="宋体"/>
          <w:sz w:val="24"/>
        </w:rPr>
        <w:t>根据工程特点、区域环境特征以及工程对环境的影响性质与程度，对工程的环境影响要素进行识别分析。</w:t>
      </w:r>
    </w:p>
    <w:p w:rsidR="00475650" w:rsidRDefault="00475650">
      <w:pPr>
        <w:pStyle w:val="afffff2"/>
        <w:snapToGrid w:val="0"/>
        <w:spacing w:before="0"/>
        <w:rPr>
          <w:rFonts w:eastAsia="宋体"/>
          <w:sz w:val="24"/>
          <w:szCs w:val="24"/>
        </w:rPr>
      </w:pPr>
      <w:r>
        <w:rPr>
          <w:rFonts w:eastAsia="宋体" w:hAnsi="宋体"/>
          <w:sz w:val="24"/>
          <w:szCs w:val="24"/>
        </w:rPr>
        <w:t>表</w:t>
      </w:r>
      <w:r>
        <w:rPr>
          <w:rFonts w:eastAsia="宋体"/>
          <w:sz w:val="24"/>
          <w:szCs w:val="24"/>
        </w:rPr>
        <w:t xml:space="preserve">1.3-1    </w:t>
      </w:r>
      <w:r>
        <w:rPr>
          <w:rFonts w:eastAsia="宋体" w:hAnsi="宋体"/>
          <w:sz w:val="24"/>
          <w:szCs w:val="24"/>
        </w:rPr>
        <w:t>工程环境影响要素识别表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701"/>
        <w:gridCol w:w="1096"/>
        <w:gridCol w:w="687"/>
        <w:gridCol w:w="689"/>
        <w:gridCol w:w="703"/>
        <w:gridCol w:w="703"/>
        <w:gridCol w:w="701"/>
        <w:gridCol w:w="703"/>
        <w:gridCol w:w="703"/>
        <w:gridCol w:w="703"/>
        <w:gridCol w:w="703"/>
        <w:gridCol w:w="694"/>
      </w:tblGrid>
      <w:tr w:rsidR="00475650">
        <w:trPr>
          <w:jc w:val="center"/>
        </w:trPr>
        <w:tc>
          <w:tcPr>
            <w:tcW w:w="1797" w:type="dxa"/>
            <w:gridSpan w:val="2"/>
            <w:vMerge w:val="restart"/>
            <w:tcBorders>
              <w:tl2br w:val="single" w:sz="4" w:space="0" w:color="auto"/>
            </w:tcBorders>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hAnsi="宋体"/>
                <w:sz w:val="21"/>
                <w:szCs w:val="21"/>
              </w:rPr>
              <w:t>工程行为</w:t>
            </w:r>
          </w:p>
          <w:p w:rsidR="00475650" w:rsidRDefault="00475650" w:rsidP="00BD74CB">
            <w:pPr>
              <w:pStyle w:val="afff7"/>
              <w:snapToGrid w:val="0"/>
              <w:spacing w:beforeLines="10" w:afterLines="10" w:line="240" w:lineRule="exact"/>
              <w:rPr>
                <w:sz w:val="21"/>
                <w:szCs w:val="21"/>
              </w:rPr>
            </w:pPr>
          </w:p>
          <w:p w:rsidR="00475650" w:rsidRDefault="00475650" w:rsidP="00BD74CB">
            <w:pPr>
              <w:pStyle w:val="afff7"/>
              <w:snapToGrid w:val="0"/>
              <w:spacing w:beforeLines="10" w:afterLines="10" w:line="240" w:lineRule="exact"/>
              <w:rPr>
                <w:position w:val="-30"/>
                <w:sz w:val="21"/>
                <w:szCs w:val="21"/>
              </w:rPr>
            </w:pPr>
            <w:r>
              <w:rPr>
                <w:rFonts w:hAnsi="宋体"/>
                <w:sz w:val="21"/>
                <w:szCs w:val="21"/>
              </w:rPr>
              <w:t>环境资源</w:t>
            </w:r>
          </w:p>
        </w:tc>
        <w:tc>
          <w:tcPr>
            <w:tcW w:w="1376" w:type="dxa"/>
            <w:gridSpan w:val="2"/>
            <w:vAlign w:val="center"/>
          </w:tcPr>
          <w:p w:rsidR="00475650" w:rsidRDefault="00475650" w:rsidP="00BD74CB">
            <w:pPr>
              <w:pStyle w:val="afff7"/>
              <w:snapToGrid w:val="0"/>
              <w:spacing w:beforeLines="10" w:afterLines="10" w:line="240" w:lineRule="exact"/>
              <w:rPr>
                <w:sz w:val="21"/>
                <w:szCs w:val="21"/>
              </w:rPr>
            </w:pPr>
            <w:r>
              <w:rPr>
                <w:rFonts w:hAnsi="宋体"/>
                <w:sz w:val="21"/>
                <w:szCs w:val="21"/>
              </w:rPr>
              <w:t>施工期</w:t>
            </w:r>
          </w:p>
        </w:tc>
        <w:tc>
          <w:tcPr>
            <w:tcW w:w="5613" w:type="dxa"/>
            <w:gridSpan w:val="8"/>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hAnsi="宋体"/>
                <w:sz w:val="21"/>
                <w:szCs w:val="21"/>
              </w:rPr>
              <w:t>营运期</w:t>
            </w:r>
          </w:p>
        </w:tc>
      </w:tr>
      <w:tr w:rsidR="00475650">
        <w:trPr>
          <w:jc w:val="center"/>
        </w:trPr>
        <w:tc>
          <w:tcPr>
            <w:tcW w:w="1797" w:type="dxa"/>
            <w:gridSpan w:val="2"/>
            <w:vMerge/>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687"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hAnsi="宋体"/>
                <w:sz w:val="21"/>
                <w:szCs w:val="21"/>
              </w:rPr>
              <w:t>基建</w:t>
            </w:r>
          </w:p>
          <w:p w:rsidR="00475650" w:rsidRDefault="00475650" w:rsidP="00BD74CB">
            <w:pPr>
              <w:pStyle w:val="afff7"/>
              <w:snapToGrid w:val="0"/>
              <w:spacing w:beforeLines="10" w:afterLines="10" w:line="240" w:lineRule="exact"/>
              <w:rPr>
                <w:sz w:val="21"/>
                <w:szCs w:val="21"/>
              </w:rPr>
            </w:pPr>
            <w:r>
              <w:rPr>
                <w:rFonts w:hAnsi="宋体"/>
                <w:sz w:val="21"/>
                <w:szCs w:val="21"/>
              </w:rPr>
              <w:t>工程</w:t>
            </w:r>
          </w:p>
        </w:tc>
        <w:tc>
          <w:tcPr>
            <w:tcW w:w="689"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hAnsi="宋体"/>
                <w:sz w:val="21"/>
                <w:szCs w:val="21"/>
              </w:rPr>
              <w:t>运</w:t>
            </w:r>
          </w:p>
          <w:p w:rsidR="00475650" w:rsidRDefault="00475650" w:rsidP="00BD74CB">
            <w:pPr>
              <w:pStyle w:val="afff7"/>
              <w:snapToGrid w:val="0"/>
              <w:spacing w:beforeLines="10" w:afterLines="10" w:line="240" w:lineRule="exact"/>
              <w:rPr>
                <w:sz w:val="21"/>
                <w:szCs w:val="21"/>
              </w:rPr>
            </w:pPr>
            <w:r>
              <w:rPr>
                <w:rFonts w:hAnsi="宋体"/>
                <w:sz w:val="21"/>
                <w:szCs w:val="21"/>
              </w:rPr>
              <w:t>输</w:t>
            </w: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hAnsi="宋体"/>
                <w:sz w:val="21"/>
                <w:szCs w:val="21"/>
              </w:rPr>
              <w:t>物料</w:t>
            </w:r>
          </w:p>
          <w:p w:rsidR="00475650" w:rsidRDefault="00475650" w:rsidP="00BD74CB">
            <w:pPr>
              <w:pStyle w:val="afff7"/>
              <w:snapToGrid w:val="0"/>
              <w:spacing w:beforeLines="10" w:afterLines="10" w:line="240" w:lineRule="exact"/>
              <w:rPr>
                <w:sz w:val="21"/>
                <w:szCs w:val="21"/>
              </w:rPr>
            </w:pPr>
            <w:r>
              <w:rPr>
                <w:rFonts w:hAnsi="宋体"/>
                <w:sz w:val="21"/>
                <w:szCs w:val="21"/>
              </w:rPr>
              <w:t>运输</w:t>
            </w: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hAnsi="宋体"/>
                <w:sz w:val="21"/>
                <w:szCs w:val="21"/>
              </w:rPr>
              <w:t>生</w:t>
            </w:r>
          </w:p>
          <w:p w:rsidR="00475650" w:rsidRDefault="00475650" w:rsidP="00BD74CB">
            <w:pPr>
              <w:pStyle w:val="afff7"/>
              <w:snapToGrid w:val="0"/>
              <w:spacing w:beforeLines="10" w:afterLines="10" w:line="240" w:lineRule="exact"/>
              <w:rPr>
                <w:sz w:val="21"/>
                <w:szCs w:val="21"/>
              </w:rPr>
            </w:pPr>
            <w:r>
              <w:rPr>
                <w:rFonts w:hAnsi="宋体"/>
                <w:sz w:val="21"/>
                <w:szCs w:val="21"/>
              </w:rPr>
              <w:t>产</w:t>
            </w:r>
          </w:p>
        </w:tc>
        <w:tc>
          <w:tcPr>
            <w:tcW w:w="701"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hAnsi="宋体"/>
                <w:sz w:val="21"/>
                <w:szCs w:val="21"/>
              </w:rPr>
              <w:t>废水</w:t>
            </w:r>
          </w:p>
          <w:p w:rsidR="00475650" w:rsidRDefault="00475650" w:rsidP="00BD74CB">
            <w:pPr>
              <w:pStyle w:val="afff7"/>
              <w:snapToGrid w:val="0"/>
              <w:spacing w:beforeLines="10" w:afterLines="10" w:line="240" w:lineRule="exact"/>
              <w:rPr>
                <w:sz w:val="21"/>
                <w:szCs w:val="21"/>
              </w:rPr>
            </w:pPr>
            <w:r>
              <w:rPr>
                <w:rFonts w:hAnsi="宋体"/>
                <w:sz w:val="21"/>
                <w:szCs w:val="21"/>
              </w:rPr>
              <w:t>排放</w:t>
            </w: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hAnsi="宋体"/>
                <w:sz w:val="21"/>
                <w:szCs w:val="21"/>
              </w:rPr>
              <w:t>废水</w:t>
            </w:r>
          </w:p>
          <w:p w:rsidR="00475650" w:rsidRDefault="00475650" w:rsidP="00BD74CB">
            <w:pPr>
              <w:pStyle w:val="afff7"/>
              <w:snapToGrid w:val="0"/>
              <w:spacing w:beforeLines="10" w:afterLines="10" w:line="240" w:lineRule="exact"/>
              <w:rPr>
                <w:sz w:val="21"/>
                <w:szCs w:val="21"/>
              </w:rPr>
            </w:pPr>
            <w:r>
              <w:rPr>
                <w:rFonts w:hAnsi="宋体"/>
                <w:sz w:val="21"/>
                <w:szCs w:val="21"/>
              </w:rPr>
              <w:t>治理</w:t>
            </w: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hAnsi="宋体"/>
                <w:sz w:val="21"/>
                <w:szCs w:val="21"/>
              </w:rPr>
              <w:t>废气</w:t>
            </w:r>
          </w:p>
          <w:p w:rsidR="00475650" w:rsidRDefault="00475650" w:rsidP="00BD74CB">
            <w:pPr>
              <w:pStyle w:val="afff7"/>
              <w:snapToGrid w:val="0"/>
              <w:spacing w:beforeLines="10" w:afterLines="10" w:line="240" w:lineRule="exact"/>
              <w:rPr>
                <w:sz w:val="21"/>
                <w:szCs w:val="21"/>
              </w:rPr>
            </w:pPr>
            <w:r>
              <w:rPr>
                <w:rFonts w:hAnsi="宋体"/>
                <w:sz w:val="21"/>
                <w:szCs w:val="21"/>
              </w:rPr>
              <w:t>排放</w:t>
            </w: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hAnsi="宋体"/>
                <w:sz w:val="21"/>
                <w:szCs w:val="21"/>
              </w:rPr>
              <w:t>废气</w:t>
            </w:r>
          </w:p>
          <w:p w:rsidR="00475650" w:rsidRDefault="00475650" w:rsidP="00BD74CB">
            <w:pPr>
              <w:pStyle w:val="afff7"/>
              <w:snapToGrid w:val="0"/>
              <w:spacing w:beforeLines="10" w:afterLines="10" w:line="240" w:lineRule="exact"/>
              <w:rPr>
                <w:sz w:val="21"/>
                <w:szCs w:val="21"/>
              </w:rPr>
            </w:pPr>
            <w:r>
              <w:rPr>
                <w:rFonts w:hAnsi="宋体"/>
                <w:sz w:val="21"/>
                <w:szCs w:val="21"/>
              </w:rPr>
              <w:t>治理</w:t>
            </w: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hAnsi="宋体"/>
                <w:sz w:val="21"/>
                <w:szCs w:val="21"/>
              </w:rPr>
              <w:t>废渣</w:t>
            </w:r>
          </w:p>
          <w:p w:rsidR="00475650" w:rsidRDefault="00475650" w:rsidP="00BD74CB">
            <w:pPr>
              <w:pStyle w:val="afff7"/>
              <w:snapToGrid w:val="0"/>
              <w:spacing w:beforeLines="10" w:afterLines="10" w:line="240" w:lineRule="exact"/>
              <w:rPr>
                <w:sz w:val="21"/>
                <w:szCs w:val="21"/>
              </w:rPr>
            </w:pPr>
            <w:r>
              <w:rPr>
                <w:rFonts w:hAnsi="宋体"/>
                <w:sz w:val="21"/>
                <w:szCs w:val="21"/>
              </w:rPr>
              <w:t>堆存</w:t>
            </w:r>
          </w:p>
        </w:tc>
        <w:tc>
          <w:tcPr>
            <w:tcW w:w="694"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hAnsi="宋体"/>
                <w:sz w:val="21"/>
                <w:szCs w:val="21"/>
              </w:rPr>
              <w:t>废渣</w:t>
            </w:r>
          </w:p>
          <w:p w:rsidR="00475650" w:rsidRDefault="00475650" w:rsidP="00BD74CB">
            <w:pPr>
              <w:pStyle w:val="afff7"/>
              <w:snapToGrid w:val="0"/>
              <w:spacing w:beforeLines="10" w:afterLines="10" w:line="240" w:lineRule="exact"/>
              <w:rPr>
                <w:sz w:val="21"/>
                <w:szCs w:val="21"/>
              </w:rPr>
            </w:pPr>
            <w:r>
              <w:rPr>
                <w:rFonts w:hAnsi="宋体"/>
                <w:sz w:val="21"/>
                <w:szCs w:val="21"/>
              </w:rPr>
              <w:t>利用</w:t>
            </w:r>
          </w:p>
        </w:tc>
      </w:tr>
      <w:tr w:rsidR="00475650">
        <w:trPr>
          <w:jc w:val="center"/>
        </w:trPr>
        <w:tc>
          <w:tcPr>
            <w:tcW w:w="701" w:type="dxa"/>
            <w:vMerge w:val="restart"/>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hAnsi="宋体"/>
                <w:sz w:val="21"/>
                <w:szCs w:val="21"/>
              </w:rPr>
              <w:t>社会</w:t>
            </w:r>
          </w:p>
          <w:p w:rsidR="00475650" w:rsidRDefault="00475650" w:rsidP="00BD74CB">
            <w:pPr>
              <w:pStyle w:val="afff7"/>
              <w:snapToGrid w:val="0"/>
              <w:spacing w:beforeLines="10" w:afterLines="10" w:line="240" w:lineRule="exact"/>
              <w:rPr>
                <w:sz w:val="21"/>
                <w:szCs w:val="21"/>
              </w:rPr>
            </w:pPr>
            <w:r>
              <w:rPr>
                <w:rFonts w:hAnsi="宋体"/>
                <w:sz w:val="21"/>
                <w:szCs w:val="21"/>
              </w:rPr>
              <w:t>发展</w:t>
            </w:r>
          </w:p>
        </w:tc>
        <w:tc>
          <w:tcPr>
            <w:tcW w:w="1096"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hAnsi="宋体"/>
                <w:sz w:val="21"/>
                <w:szCs w:val="21"/>
              </w:rPr>
              <w:t>劳动就业</w:t>
            </w:r>
          </w:p>
        </w:tc>
        <w:tc>
          <w:tcPr>
            <w:tcW w:w="687"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ascii="宋体" w:hAnsi="宋体"/>
                <w:sz w:val="21"/>
                <w:szCs w:val="21"/>
              </w:rPr>
              <w:t>△</w:t>
            </w:r>
          </w:p>
        </w:tc>
        <w:tc>
          <w:tcPr>
            <w:tcW w:w="689"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ascii="宋体" w:hAnsi="宋体"/>
                <w:sz w:val="21"/>
                <w:szCs w:val="21"/>
              </w:rPr>
              <w:t>△</w:t>
            </w: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ascii="宋体" w:hAnsi="宋体"/>
                <w:sz w:val="21"/>
                <w:szCs w:val="21"/>
              </w:rPr>
              <w:t>☆</w:t>
            </w: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ascii="宋体" w:hAnsi="宋体"/>
                <w:sz w:val="21"/>
                <w:szCs w:val="21"/>
              </w:rPr>
              <w:t>☆</w:t>
            </w:r>
          </w:p>
        </w:tc>
        <w:tc>
          <w:tcPr>
            <w:tcW w:w="701"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694"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r>
      <w:tr w:rsidR="00475650">
        <w:trPr>
          <w:jc w:val="center"/>
        </w:trPr>
        <w:tc>
          <w:tcPr>
            <w:tcW w:w="701" w:type="dxa"/>
            <w:vMerge/>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1096"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hAnsi="宋体"/>
                <w:sz w:val="21"/>
                <w:szCs w:val="21"/>
              </w:rPr>
              <w:t>经济发展</w:t>
            </w:r>
          </w:p>
        </w:tc>
        <w:tc>
          <w:tcPr>
            <w:tcW w:w="687"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689"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ascii="宋体" w:hAnsi="宋体"/>
                <w:sz w:val="21"/>
                <w:szCs w:val="21"/>
              </w:rPr>
              <w:t>☆</w:t>
            </w:r>
          </w:p>
        </w:tc>
        <w:tc>
          <w:tcPr>
            <w:tcW w:w="701"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694"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ascii="宋体" w:hAnsi="宋体"/>
                <w:sz w:val="21"/>
                <w:szCs w:val="21"/>
              </w:rPr>
              <w:t>☆</w:t>
            </w:r>
          </w:p>
        </w:tc>
      </w:tr>
      <w:tr w:rsidR="00475650">
        <w:trPr>
          <w:jc w:val="center"/>
        </w:trPr>
        <w:tc>
          <w:tcPr>
            <w:tcW w:w="701" w:type="dxa"/>
            <w:vMerge/>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1096"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hAnsi="宋体"/>
                <w:sz w:val="21"/>
                <w:szCs w:val="21"/>
              </w:rPr>
              <w:t>土地作用</w:t>
            </w:r>
          </w:p>
        </w:tc>
        <w:tc>
          <w:tcPr>
            <w:tcW w:w="687"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689"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1"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ascii="宋体" w:hAnsi="宋体"/>
                <w:sz w:val="21"/>
                <w:szCs w:val="21"/>
              </w:rPr>
              <w:t>★</w:t>
            </w:r>
          </w:p>
        </w:tc>
        <w:tc>
          <w:tcPr>
            <w:tcW w:w="694"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r>
      <w:tr w:rsidR="00475650">
        <w:trPr>
          <w:jc w:val="center"/>
        </w:trPr>
        <w:tc>
          <w:tcPr>
            <w:tcW w:w="701" w:type="dxa"/>
            <w:vMerge w:val="restart"/>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hAnsi="宋体"/>
                <w:sz w:val="21"/>
                <w:szCs w:val="21"/>
              </w:rPr>
              <w:t>自然</w:t>
            </w:r>
          </w:p>
          <w:p w:rsidR="00475650" w:rsidRDefault="00475650" w:rsidP="00BD74CB">
            <w:pPr>
              <w:pStyle w:val="afff7"/>
              <w:snapToGrid w:val="0"/>
              <w:spacing w:beforeLines="10" w:afterLines="10" w:line="240" w:lineRule="exact"/>
              <w:rPr>
                <w:sz w:val="21"/>
                <w:szCs w:val="21"/>
              </w:rPr>
            </w:pPr>
            <w:r>
              <w:rPr>
                <w:rFonts w:hAnsi="宋体"/>
                <w:sz w:val="21"/>
                <w:szCs w:val="21"/>
              </w:rPr>
              <w:t>资源</w:t>
            </w:r>
          </w:p>
        </w:tc>
        <w:tc>
          <w:tcPr>
            <w:tcW w:w="1096"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hAnsi="宋体"/>
                <w:sz w:val="21"/>
                <w:szCs w:val="21"/>
              </w:rPr>
              <w:t>地表水体</w:t>
            </w:r>
          </w:p>
        </w:tc>
        <w:tc>
          <w:tcPr>
            <w:tcW w:w="687"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sz w:val="21"/>
                <w:szCs w:val="21"/>
              </w:rPr>
              <w:t>▲</w:t>
            </w:r>
          </w:p>
        </w:tc>
        <w:tc>
          <w:tcPr>
            <w:tcW w:w="689"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1"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ascii="宋体" w:hAnsi="宋体"/>
                <w:sz w:val="21"/>
                <w:szCs w:val="21"/>
              </w:rPr>
              <w:t>★</w:t>
            </w: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ascii="宋体" w:hAnsi="宋体"/>
                <w:sz w:val="21"/>
                <w:szCs w:val="21"/>
              </w:rPr>
              <w:t>☆</w:t>
            </w: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ascii="宋体" w:hAnsi="宋体"/>
                <w:sz w:val="21"/>
                <w:szCs w:val="21"/>
              </w:rPr>
              <w:t>★</w:t>
            </w:r>
          </w:p>
        </w:tc>
        <w:tc>
          <w:tcPr>
            <w:tcW w:w="694"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r>
      <w:tr w:rsidR="00475650">
        <w:trPr>
          <w:jc w:val="center"/>
        </w:trPr>
        <w:tc>
          <w:tcPr>
            <w:tcW w:w="701" w:type="dxa"/>
            <w:vMerge/>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1096"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hAnsi="宋体"/>
                <w:sz w:val="21"/>
                <w:szCs w:val="21"/>
              </w:rPr>
              <w:t>地下水体</w:t>
            </w:r>
          </w:p>
        </w:tc>
        <w:tc>
          <w:tcPr>
            <w:tcW w:w="687"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689"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1"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ascii="宋体" w:hAnsi="宋体"/>
                <w:sz w:val="21"/>
                <w:szCs w:val="21"/>
              </w:rPr>
              <w:t>★</w:t>
            </w:r>
          </w:p>
        </w:tc>
        <w:tc>
          <w:tcPr>
            <w:tcW w:w="694"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ascii="宋体" w:hAnsi="宋体"/>
                <w:sz w:val="21"/>
                <w:szCs w:val="21"/>
              </w:rPr>
              <w:t>☆</w:t>
            </w:r>
          </w:p>
        </w:tc>
      </w:tr>
      <w:tr w:rsidR="00475650">
        <w:trPr>
          <w:jc w:val="center"/>
        </w:trPr>
        <w:tc>
          <w:tcPr>
            <w:tcW w:w="701" w:type="dxa"/>
            <w:vMerge/>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1096"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hAnsi="宋体"/>
                <w:sz w:val="21"/>
                <w:szCs w:val="21"/>
              </w:rPr>
              <w:t>植被</w:t>
            </w:r>
          </w:p>
        </w:tc>
        <w:tc>
          <w:tcPr>
            <w:tcW w:w="687"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sz w:val="21"/>
                <w:szCs w:val="21"/>
              </w:rPr>
              <w:t>▲</w:t>
            </w:r>
          </w:p>
        </w:tc>
        <w:tc>
          <w:tcPr>
            <w:tcW w:w="689"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1"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ascii="宋体" w:hAnsi="宋体"/>
                <w:sz w:val="21"/>
                <w:szCs w:val="21"/>
              </w:rPr>
              <w:t>★</w:t>
            </w: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ascii="宋体" w:hAnsi="宋体"/>
                <w:sz w:val="21"/>
                <w:szCs w:val="21"/>
              </w:rPr>
              <w:t>☆</w:t>
            </w: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694"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r>
      <w:tr w:rsidR="00475650">
        <w:trPr>
          <w:jc w:val="center"/>
        </w:trPr>
        <w:tc>
          <w:tcPr>
            <w:tcW w:w="701" w:type="dxa"/>
            <w:vMerge w:val="restart"/>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hAnsi="宋体"/>
                <w:sz w:val="21"/>
                <w:szCs w:val="21"/>
              </w:rPr>
              <w:t>居民</w:t>
            </w:r>
          </w:p>
          <w:p w:rsidR="00475650" w:rsidRDefault="00475650" w:rsidP="00BD74CB">
            <w:pPr>
              <w:pStyle w:val="afff7"/>
              <w:snapToGrid w:val="0"/>
              <w:spacing w:beforeLines="10" w:afterLines="10" w:line="240" w:lineRule="exact"/>
              <w:rPr>
                <w:sz w:val="21"/>
                <w:szCs w:val="21"/>
              </w:rPr>
            </w:pPr>
            <w:r>
              <w:rPr>
                <w:rFonts w:hAnsi="宋体"/>
                <w:sz w:val="21"/>
                <w:szCs w:val="21"/>
              </w:rPr>
              <w:t>生活</w:t>
            </w:r>
          </w:p>
          <w:p w:rsidR="00475650" w:rsidRDefault="00475650" w:rsidP="00BD74CB">
            <w:pPr>
              <w:pStyle w:val="afff7"/>
              <w:snapToGrid w:val="0"/>
              <w:spacing w:beforeLines="10" w:afterLines="10" w:line="240" w:lineRule="exact"/>
              <w:rPr>
                <w:sz w:val="21"/>
                <w:szCs w:val="21"/>
              </w:rPr>
            </w:pPr>
            <w:r>
              <w:rPr>
                <w:rFonts w:hAnsi="宋体"/>
                <w:sz w:val="21"/>
                <w:szCs w:val="21"/>
              </w:rPr>
              <w:t>质量</w:t>
            </w:r>
          </w:p>
        </w:tc>
        <w:tc>
          <w:tcPr>
            <w:tcW w:w="1096"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hAnsi="宋体"/>
                <w:sz w:val="21"/>
                <w:szCs w:val="21"/>
              </w:rPr>
              <w:t>大气质量</w:t>
            </w:r>
          </w:p>
        </w:tc>
        <w:tc>
          <w:tcPr>
            <w:tcW w:w="687"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sz w:val="21"/>
                <w:szCs w:val="21"/>
              </w:rPr>
              <w:t>▲</w:t>
            </w:r>
          </w:p>
        </w:tc>
        <w:tc>
          <w:tcPr>
            <w:tcW w:w="689"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sz w:val="21"/>
                <w:szCs w:val="21"/>
              </w:rPr>
              <w:t>▲</w:t>
            </w: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sz w:val="21"/>
                <w:szCs w:val="21"/>
              </w:rPr>
              <w:t>▲</w:t>
            </w: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ascii="宋体" w:hAnsi="宋体"/>
                <w:sz w:val="21"/>
                <w:szCs w:val="21"/>
              </w:rPr>
              <w:t>★</w:t>
            </w:r>
          </w:p>
        </w:tc>
        <w:tc>
          <w:tcPr>
            <w:tcW w:w="701"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ascii="宋体" w:hAnsi="宋体"/>
                <w:sz w:val="21"/>
                <w:szCs w:val="21"/>
              </w:rPr>
              <w:t>★</w:t>
            </w: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ascii="宋体" w:hAnsi="宋体"/>
                <w:sz w:val="21"/>
                <w:szCs w:val="21"/>
              </w:rPr>
              <w:t>☆</w:t>
            </w: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694"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r>
      <w:tr w:rsidR="00475650">
        <w:trPr>
          <w:jc w:val="center"/>
        </w:trPr>
        <w:tc>
          <w:tcPr>
            <w:tcW w:w="701" w:type="dxa"/>
            <w:vMerge/>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1096"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hAnsi="宋体"/>
                <w:sz w:val="21"/>
                <w:szCs w:val="21"/>
              </w:rPr>
              <w:t>地表水质</w:t>
            </w:r>
          </w:p>
        </w:tc>
        <w:tc>
          <w:tcPr>
            <w:tcW w:w="687"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sz w:val="21"/>
                <w:szCs w:val="21"/>
              </w:rPr>
              <w:t>▲</w:t>
            </w:r>
          </w:p>
        </w:tc>
        <w:tc>
          <w:tcPr>
            <w:tcW w:w="689"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1"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ascii="宋体" w:hAnsi="宋体"/>
                <w:sz w:val="21"/>
                <w:szCs w:val="21"/>
              </w:rPr>
              <w:t>★</w:t>
            </w: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ascii="宋体" w:hAnsi="宋体"/>
                <w:sz w:val="21"/>
                <w:szCs w:val="21"/>
              </w:rPr>
              <w:t>☆</w:t>
            </w: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ascii="宋体" w:hAnsi="宋体"/>
                <w:sz w:val="21"/>
                <w:szCs w:val="21"/>
              </w:rPr>
              <w:t>★</w:t>
            </w:r>
          </w:p>
        </w:tc>
        <w:tc>
          <w:tcPr>
            <w:tcW w:w="694"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r>
      <w:tr w:rsidR="00475650">
        <w:trPr>
          <w:jc w:val="center"/>
        </w:trPr>
        <w:tc>
          <w:tcPr>
            <w:tcW w:w="701" w:type="dxa"/>
            <w:vMerge/>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1096"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hAnsi="宋体"/>
                <w:sz w:val="21"/>
                <w:szCs w:val="21"/>
              </w:rPr>
              <w:t>声学环境</w:t>
            </w:r>
          </w:p>
        </w:tc>
        <w:tc>
          <w:tcPr>
            <w:tcW w:w="687"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sz w:val="21"/>
                <w:szCs w:val="21"/>
              </w:rPr>
              <w:t>▲</w:t>
            </w:r>
          </w:p>
        </w:tc>
        <w:tc>
          <w:tcPr>
            <w:tcW w:w="689"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sz w:val="21"/>
                <w:szCs w:val="21"/>
              </w:rPr>
              <w:t>▲</w:t>
            </w: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sz w:val="21"/>
                <w:szCs w:val="21"/>
              </w:rPr>
              <w:t>▲</w:t>
            </w: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1"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694"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r>
      <w:tr w:rsidR="00475650">
        <w:trPr>
          <w:jc w:val="center"/>
        </w:trPr>
        <w:tc>
          <w:tcPr>
            <w:tcW w:w="701" w:type="dxa"/>
            <w:vMerge/>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1096"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hAnsi="宋体"/>
                <w:sz w:val="21"/>
                <w:szCs w:val="21"/>
              </w:rPr>
              <w:t>居住条件</w:t>
            </w:r>
          </w:p>
        </w:tc>
        <w:tc>
          <w:tcPr>
            <w:tcW w:w="687"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sz w:val="21"/>
                <w:szCs w:val="21"/>
              </w:rPr>
              <w:t>▲</w:t>
            </w:r>
          </w:p>
        </w:tc>
        <w:tc>
          <w:tcPr>
            <w:tcW w:w="689"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1"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ascii="宋体" w:hAnsi="宋体"/>
                <w:sz w:val="21"/>
                <w:szCs w:val="21"/>
              </w:rPr>
              <w:t>☆</w:t>
            </w: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ascii="宋体" w:hAnsi="宋体"/>
                <w:sz w:val="21"/>
                <w:szCs w:val="21"/>
              </w:rPr>
              <w:t>★</w:t>
            </w: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ascii="宋体" w:hAnsi="宋体"/>
                <w:sz w:val="21"/>
                <w:szCs w:val="21"/>
              </w:rPr>
              <w:t>☆</w:t>
            </w: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694"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r>
      <w:tr w:rsidR="00475650">
        <w:trPr>
          <w:jc w:val="center"/>
        </w:trPr>
        <w:tc>
          <w:tcPr>
            <w:tcW w:w="701" w:type="dxa"/>
            <w:vMerge/>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1096"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hAnsi="宋体"/>
                <w:sz w:val="21"/>
                <w:szCs w:val="21"/>
              </w:rPr>
              <w:t>经济收入</w:t>
            </w:r>
          </w:p>
        </w:tc>
        <w:tc>
          <w:tcPr>
            <w:tcW w:w="687"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689"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ascii="宋体" w:hAnsi="宋体"/>
                <w:sz w:val="21"/>
                <w:szCs w:val="21"/>
              </w:rPr>
              <w:t>☆</w:t>
            </w:r>
          </w:p>
        </w:tc>
        <w:tc>
          <w:tcPr>
            <w:tcW w:w="701"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703"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p>
        </w:tc>
        <w:tc>
          <w:tcPr>
            <w:tcW w:w="694" w:type="dxa"/>
            <w:tcMar>
              <w:left w:w="28" w:type="dxa"/>
              <w:right w:w="28" w:type="dxa"/>
            </w:tcMar>
            <w:vAlign w:val="center"/>
          </w:tcPr>
          <w:p w:rsidR="00475650" w:rsidRDefault="00475650" w:rsidP="00BD74CB">
            <w:pPr>
              <w:pStyle w:val="afff7"/>
              <w:snapToGrid w:val="0"/>
              <w:spacing w:beforeLines="10" w:afterLines="10" w:line="240" w:lineRule="exact"/>
              <w:rPr>
                <w:sz w:val="21"/>
                <w:szCs w:val="21"/>
              </w:rPr>
            </w:pPr>
            <w:r>
              <w:rPr>
                <w:rFonts w:ascii="宋体" w:hAnsi="宋体"/>
                <w:sz w:val="21"/>
                <w:szCs w:val="21"/>
              </w:rPr>
              <w:t>☆</w:t>
            </w:r>
          </w:p>
        </w:tc>
      </w:tr>
    </w:tbl>
    <w:p w:rsidR="00475650" w:rsidRDefault="00475650">
      <w:pPr>
        <w:snapToGrid w:val="0"/>
        <w:spacing w:line="360" w:lineRule="auto"/>
        <w:ind w:firstLine="420"/>
        <w:rPr>
          <w:szCs w:val="21"/>
        </w:rPr>
      </w:pPr>
      <w:r>
        <w:rPr>
          <w:rFonts w:hAnsi="宋体"/>
          <w:szCs w:val="21"/>
        </w:rPr>
        <w:t>注：</w:t>
      </w:r>
      <w:r>
        <w:rPr>
          <w:rFonts w:ascii="宋体" w:hAnsi="宋体"/>
          <w:szCs w:val="21"/>
        </w:rPr>
        <w:t>★</w:t>
      </w:r>
      <w:r>
        <w:rPr>
          <w:szCs w:val="21"/>
        </w:rPr>
        <w:t>/</w:t>
      </w:r>
      <w:r>
        <w:rPr>
          <w:rFonts w:ascii="宋体" w:hAnsi="宋体"/>
          <w:szCs w:val="21"/>
        </w:rPr>
        <w:t>☆</w:t>
      </w:r>
      <w:r>
        <w:rPr>
          <w:rFonts w:hAnsi="宋体"/>
          <w:szCs w:val="21"/>
        </w:rPr>
        <w:t>表示长期不利影响</w:t>
      </w:r>
      <w:r>
        <w:rPr>
          <w:szCs w:val="21"/>
        </w:rPr>
        <w:t>/</w:t>
      </w:r>
      <w:r>
        <w:rPr>
          <w:rFonts w:hAnsi="宋体"/>
          <w:szCs w:val="21"/>
        </w:rPr>
        <w:t>有利影响；</w:t>
      </w:r>
      <w:r>
        <w:rPr>
          <w:szCs w:val="21"/>
        </w:rPr>
        <w:t>▲/</w:t>
      </w:r>
      <w:r>
        <w:rPr>
          <w:rFonts w:ascii="宋体" w:hAnsi="宋体"/>
          <w:szCs w:val="21"/>
        </w:rPr>
        <w:t>△</w:t>
      </w:r>
      <w:r>
        <w:rPr>
          <w:rFonts w:hAnsi="宋体"/>
          <w:szCs w:val="21"/>
        </w:rPr>
        <w:t>表示短期不利影响</w:t>
      </w:r>
      <w:r>
        <w:rPr>
          <w:szCs w:val="21"/>
        </w:rPr>
        <w:t>/</w:t>
      </w:r>
      <w:r>
        <w:rPr>
          <w:rFonts w:hAnsi="宋体"/>
          <w:szCs w:val="21"/>
        </w:rPr>
        <w:t>有利影响，空格表示影响不明显或没有影响。</w:t>
      </w:r>
    </w:p>
    <w:p w:rsidR="00475650" w:rsidRDefault="00475650">
      <w:pPr>
        <w:spacing w:line="360" w:lineRule="auto"/>
        <w:ind w:firstLineChars="200" w:firstLine="480"/>
        <w:rPr>
          <w:sz w:val="24"/>
        </w:rPr>
      </w:pPr>
      <w:r>
        <w:rPr>
          <w:rFonts w:hAnsi="宋体"/>
          <w:sz w:val="24"/>
        </w:rPr>
        <w:t>综合分析认为：</w:t>
      </w:r>
      <w:r>
        <w:rPr>
          <w:sz w:val="24"/>
        </w:rPr>
        <w:t xml:space="preserve"> </w:t>
      </w:r>
    </w:p>
    <w:p w:rsidR="00475650" w:rsidRDefault="00475650">
      <w:pPr>
        <w:spacing w:line="360" w:lineRule="auto"/>
        <w:ind w:firstLineChars="200" w:firstLine="480"/>
        <w:rPr>
          <w:sz w:val="24"/>
        </w:rPr>
      </w:pPr>
      <w:r>
        <w:rPr>
          <w:rFonts w:ascii="宋体" w:hAnsi="宋体"/>
          <w:sz w:val="24"/>
        </w:rPr>
        <w:t>⑴</w:t>
      </w:r>
      <w:r>
        <w:rPr>
          <w:sz w:val="24"/>
        </w:rPr>
        <w:t xml:space="preserve"> </w:t>
      </w:r>
      <w:r>
        <w:rPr>
          <w:rFonts w:hAnsi="宋体"/>
          <w:sz w:val="24"/>
        </w:rPr>
        <w:t>本工程上马后，对区域的劳动就业和经济发展呈有利影响；</w:t>
      </w:r>
    </w:p>
    <w:p w:rsidR="00475650" w:rsidRDefault="00475650">
      <w:pPr>
        <w:spacing w:line="360" w:lineRule="auto"/>
        <w:ind w:firstLineChars="200" w:firstLine="480"/>
        <w:rPr>
          <w:sz w:val="24"/>
        </w:rPr>
      </w:pPr>
      <w:r>
        <w:rPr>
          <w:rFonts w:ascii="宋体" w:hAnsi="宋体"/>
          <w:sz w:val="24"/>
        </w:rPr>
        <w:t>⑵</w:t>
      </w:r>
      <w:r>
        <w:rPr>
          <w:sz w:val="24"/>
        </w:rPr>
        <w:t xml:space="preserve"> </w:t>
      </w:r>
      <w:r>
        <w:rPr>
          <w:rFonts w:hAnsi="宋体"/>
          <w:sz w:val="24"/>
        </w:rPr>
        <w:t>施工期的环境影响：选址工业园公司预留地内，三通一平的工作已在一期工程中完成，</w:t>
      </w:r>
      <w:r>
        <w:rPr>
          <w:rFonts w:hAnsi="宋体" w:hint="eastAsia"/>
          <w:sz w:val="24"/>
        </w:rPr>
        <w:t>目前项目主体工程已基本建成</w:t>
      </w:r>
      <w:r>
        <w:rPr>
          <w:rFonts w:hAnsi="宋体"/>
          <w:sz w:val="24"/>
        </w:rPr>
        <w:t>项目施工期的主要影响为</w:t>
      </w:r>
      <w:r>
        <w:rPr>
          <w:rFonts w:hAnsi="宋体" w:hint="eastAsia"/>
          <w:sz w:val="24"/>
        </w:rPr>
        <w:t>施工废水、</w:t>
      </w:r>
      <w:r>
        <w:rPr>
          <w:rFonts w:hAnsi="宋体"/>
          <w:sz w:val="24"/>
        </w:rPr>
        <w:t>施工扬尘、机械噪声对环境的影响；</w:t>
      </w:r>
    </w:p>
    <w:p w:rsidR="00475650" w:rsidRDefault="00475650">
      <w:pPr>
        <w:spacing w:line="360" w:lineRule="auto"/>
        <w:ind w:firstLineChars="200" w:firstLine="480"/>
        <w:rPr>
          <w:sz w:val="24"/>
        </w:rPr>
      </w:pPr>
      <w:r>
        <w:rPr>
          <w:rFonts w:ascii="宋体" w:hAnsi="宋体"/>
          <w:sz w:val="24"/>
        </w:rPr>
        <w:t>⑶</w:t>
      </w:r>
      <w:r>
        <w:rPr>
          <w:sz w:val="24"/>
        </w:rPr>
        <w:t xml:space="preserve"> </w:t>
      </w:r>
      <w:r>
        <w:rPr>
          <w:rFonts w:hAnsi="宋体"/>
          <w:sz w:val="24"/>
        </w:rPr>
        <w:t>营运期的主要环境影响：废水、废气排放对水环境、环境空气质量的影响；生产设备运转等产生的噪声对环境的影响；废渣堆存及处置对环境可能造成的二次污染；</w:t>
      </w:r>
    </w:p>
    <w:p w:rsidR="00475650" w:rsidRDefault="00475650">
      <w:pPr>
        <w:spacing w:line="360" w:lineRule="auto"/>
        <w:ind w:firstLineChars="200" w:firstLine="480"/>
        <w:rPr>
          <w:sz w:val="24"/>
        </w:rPr>
      </w:pPr>
      <w:r>
        <w:rPr>
          <w:sz w:val="24"/>
        </w:rPr>
        <w:t>2</w:t>
      </w:r>
      <w:r>
        <w:rPr>
          <w:rFonts w:hAnsi="宋体"/>
          <w:sz w:val="24"/>
        </w:rPr>
        <w:t>、污染因子筛选</w:t>
      </w:r>
    </w:p>
    <w:p w:rsidR="00475650" w:rsidRDefault="00475650">
      <w:pPr>
        <w:spacing w:line="360" w:lineRule="auto"/>
        <w:ind w:firstLineChars="200" w:firstLine="480"/>
        <w:rPr>
          <w:sz w:val="24"/>
        </w:rPr>
      </w:pPr>
      <w:r>
        <w:rPr>
          <w:rFonts w:hAnsi="宋体"/>
          <w:sz w:val="24"/>
        </w:rPr>
        <w:t>本项目废水主要是：</w:t>
      </w:r>
      <w:r>
        <w:rPr>
          <w:rFonts w:ascii="宋体" w:hAnsi="宋体"/>
          <w:sz w:val="24"/>
        </w:rPr>
        <w:t>⑴</w:t>
      </w:r>
      <w:r>
        <w:rPr>
          <w:rFonts w:hAnsi="宋体" w:hint="eastAsia"/>
          <w:sz w:val="24"/>
        </w:rPr>
        <w:t>隔油沉淀池</w:t>
      </w:r>
      <w:r>
        <w:rPr>
          <w:rFonts w:hAnsi="宋体"/>
          <w:sz w:val="24"/>
        </w:rPr>
        <w:t>废水，</w:t>
      </w:r>
      <w:r>
        <w:rPr>
          <w:rFonts w:ascii="宋体" w:hAnsi="宋体"/>
          <w:sz w:val="24"/>
        </w:rPr>
        <w:t>⑵</w:t>
      </w:r>
      <w:r>
        <w:rPr>
          <w:rFonts w:hAnsi="宋体"/>
          <w:sz w:val="24"/>
        </w:rPr>
        <w:t>装置平台及地面冲洗水，</w:t>
      </w:r>
      <w:r>
        <w:rPr>
          <w:rFonts w:ascii="宋体" w:hAnsi="宋体"/>
          <w:sz w:val="24"/>
        </w:rPr>
        <w:t>⑶</w:t>
      </w:r>
      <w:r>
        <w:rPr>
          <w:rFonts w:ascii="宋体" w:hAnsi="宋体" w:hint="eastAsia"/>
          <w:sz w:val="24"/>
        </w:rPr>
        <w:t>喷淋塔废水，(4)</w:t>
      </w:r>
      <w:r>
        <w:rPr>
          <w:rFonts w:hAnsi="宋体"/>
          <w:sz w:val="24"/>
        </w:rPr>
        <w:t>生活废水等；</w:t>
      </w:r>
    </w:p>
    <w:p w:rsidR="00475650" w:rsidRDefault="00475650">
      <w:pPr>
        <w:spacing w:line="360" w:lineRule="auto"/>
        <w:ind w:firstLineChars="200" w:firstLine="480"/>
        <w:rPr>
          <w:sz w:val="24"/>
        </w:rPr>
      </w:pPr>
      <w:r>
        <w:rPr>
          <w:rFonts w:hAnsi="宋体"/>
          <w:sz w:val="24"/>
        </w:rPr>
        <w:t>本工程废气污染源为：</w:t>
      </w:r>
      <w:r>
        <w:rPr>
          <w:rFonts w:ascii="宋体" w:hAnsi="宋体"/>
          <w:sz w:val="24"/>
        </w:rPr>
        <w:t>⑴</w:t>
      </w:r>
      <w:r>
        <w:rPr>
          <w:rFonts w:hAnsi="宋体"/>
          <w:sz w:val="24"/>
        </w:rPr>
        <w:t>反应釜废气，</w:t>
      </w:r>
      <w:r>
        <w:rPr>
          <w:rFonts w:ascii="宋体" w:hAnsi="宋体"/>
          <w:sz w:val="24"/>
        </w:rPr>
        <w:t>⑵</w:t>
      </w:r>
      <w:r>
        <w:rPr>
          <w:rFonts w:hAnsi="宋体"/>
          <w:sz w:val="24"/>
        </w:rPr>
        <w:t>破碎</w:t>
      </w:r>
      <w:r>
        <w:rPr>
          <w:rFonts w:hAnsi="宋体" w:hint="eastAsia"/>
          <w:sz w:val="24"/>
        </w:rPr>
        <w:t>废气，</w:t>
      </w:r>
      <w:r>
        <w:rPr>
          <w:rFonts w:ascii="宋体" w:hAnsi="宋体"/>
          <w:sz w:val="24"/>
        </w:rPr>
        <w:t>⑶</w:t>
      </w:r>
      <w:r>
        <w:rPr>
          <w:rFonts w:hAnsi="宋体"/>
          <w:sz w:val="24"/>
        </w:rPr>
        <w:t>包装废气，</w:t>
      </w:r>
      <w:r>
        <w:rPr>
          <w:rFonts w:hAnsi="宋体" w:hint="eastAsia"/>
          <w:sz w:val="24"/>
        </w:rPr>
        <w:t>(4)</w:t>
      </w:r>
      <w:r>
        <w:rPr>
          <w:rFonts w:hAnsi="宋体"/>
          <w:sz w:val="24"/>
        </w:rPr>
        <w:t>烘干废气</w:t>
      </w:r>
      <w:r>
        <w:rPr>
          <w:rFonts w:hAnsi="宋体" w:hint="eastAsia"/>
          <w:sz w:val="24"/>
        </w:rPr>
        <w:t>，</w:t>
      </w:r>
      <w:r>
        <w:rPr>
          <w:rFonts w:hAnsi="宋体" w:hint="eastAsia"/>
          <w:sz w:val="24"/>
        </w:rPr>
        <w:lastRenderedPageBreak/>
        <w:t>(5)</w:t>
      </w:r>
      <w:r>
        <w:rPr>
          <w:rFonts w:hAnsi="宋体" w:hint="eastAsia"/>
          <w:sz w:val="24"/>
        </w:rPr>
        <w:t>压滤车间废气，</w:t>
      </w:r>
      <w:r>
        <w:rPr>
          <w:rFonts w:hAnsi="宋体" w:hint="eastAsia"/>
          <w:sz w:val="24"/>
        </w:rPr>
        <w:t>(6)</w:t>
      </w:r>
      <w:r>
        <w:rPr>
          <w:rFonts w:hAnsi="宋体" w:hint="eastAsia"/>
          <w:sz w:val="24"/>
        </w:rPr>
        <w:t>污水处理站恶臭</w:t>
      </w:r>
      <w:r>
        <w:rPr>
          <w:rFonts w:hAnsi="宋体"/>
          <w:sz w:val="24"/>
        </w:rPr>
        <w:t>等；</w:t>
      </w:r>
    </w:p>
    <w:p w:rsidR="00475650" w:rsidRDefault="00475650">
      <w:pPr>
        <w:spacing w:line="360" w:lineRule="auto"/>
        <w:ind w:firstLineChars="200" w:firstLine="480"/>
        <w:rPr>
          <w:sz w:val="24"/>
        </w:rPr>
      </w:pPr>
      <w:r>
        <w:rPr>
          <w:rFonts w:hAnsi="宋体"/>
          <w:sz w:val="24"/>
        </w:rPr>
        <w:t>本工程固体废物为：</w:t>
      </w:r>
      <w:r>
        <w:rPr>
          <w:rFonts w:ascii="宋体" w:hAnsi="宋体"/>
          <w:sz w:val="24"/>
        </w:rPr>
        <w:t>⑴</w:t>
      </w:r>
      <w:r>
        <w:rPr>
          <w:rFonts w:hAnsi="宋体"/>
          <w:sz w:val="24"/>
        </w:rPr>
        <w:t>废包装物，</w:t>
      </w:r>
      <w:r>
        <w:rPr>
          <w:rFonts w:ascii="宋体" w:hAnsi="宋体"/>
          <w:sz w:val="24"/>
        </w:rPr>
        <w:t>⑵</w:t>
      </w:r>
      <w:r>
        <w:rPr>
          <w:rFonts w:hAnsi="宋体"/>
          <w:sz w:val="24"/>
        </w:rPr>
        <w:t>废水预处理装置产生的污泥，</w:t>
      </w:r>
      <w:r>
        <w:rPr>
          <w:rFonts w:ascii="宋体" w:hAnsi="宋体"/>
          <w:sz w:val="24"/>
        </w:rPr>
        <w:t>⑶</w:t>
      </w:r>
      <w:r>
        <w:rPr>
          <w:rFonts w:hAnsi="宋体"/>
          <w:sz w:val="24"/>
        </w:rPr>
        <w:t>废水预处理产生的盐，⑷生活垃圾；</w:t>
      </w:r>
    </w:p>
    <w:p w:rsidR="00475650" w:rsidRDefault="00475650">
      <w:pPr>
        <w:spacing w:line="360" w:lineRule="auto"/>
        <w:ind w:firstLineChars="200" w:firstLine="480"/>
        <w:rPr>
          <w:sz w:val="24"/>
        </w:rPr>
      </w:pPr>
      <w:r>
        <w:rPr>
          <w:rFonts w:hAnsi="宋体"/>
          <w:sz w:val="24"/>
        </w:rPr>
        <w:t>根据工程工艺特点，确定本项目污染源评价因子和现状评价因子情况如下表：</w:t>
      </w:r>
    </w:p>
    <w:p w:rsidR="00475650" w:rsidRDefault="00475650" w:rsidP="00BD74CB">
      <w:pPr>
        <w:pStyle w:val="afffff2"/>
        <w:overflowPunct/>
        <w:autoSpaceDE/>
        <w:autoSpaceDN/>
        <w:adjustRightInd/>
        <w:snapToGrid w:val="0"/>
        <w:spacing w:beforeLines="50" w:afterLines="5"/>
        <w:ind w:firstLine="0"/>
        <w:textAlignment w:val="auto"/>
        <w:rPr>
          <w:rFonts w:eastAsia="宋体"/>
          <w:snapToGrid w:val="0"/>
          <w:kern w:val="24"/>
          <w:sz w:val="24"/>
          <w:szCs w:val="24"/>
        </w:rPr>
      </w:pPr>
      <w:r>
        <w:rPr>
          <w:rFonts w:eastAsia="宋体" w:hAnsi="宋体"/>
          <w:snapToGrid w:val="0"/>
          <w:kern w:val="24"/>
          <w:sz w:val="24"/>
          <w:szCs w:val="24"/>
        </w:rPr>
        <w:t>表</w:t>
      </w:r>
      <w:r>
        <w:rPr>
          <w:rFonts w:eastAsia="宋体"/>
          <w:snapToGrid w:val="0"/>
          <w:kern w:val="24"/>
          <w:sz w:val="24"/>
          <w:szCs w:val="24"/>
        </w:rPr>
        <w:t xml:space="preserve">1.3-2    </w:t>
      </w:r>
      <w:r>
        <w:rPr>
          <w:rFonts w:eastAsia="宋体" w:hAnsi="宋体"/>
          <w:snapToGrid w:val="0"/>
          <w:kern w:val="24"/>
          <w:sz w:val="24"/>
          <w:szCs w:val="24"/>
        </w:rPr>
        <w:t>污染因子筛选表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151"/>
        <w:gridCol w:w="1509"/>
        <w:gridCol w:w="6286"/>
      </w:tblGrid>
      <w:tr w:rsidR="00475650">
        <w:trPr>
          <w:trHeight w:val="262"/>
          <w:jc w:val="center"/>
        </w:trPr>
        <w:tc>
          <w:tcPr>
            <w:tcW w:w="1151" w:type="dxa"/>
            <w:vAlign w:val="center"/>
          </w:tcPr>
          <w:p w:rsidR="00475650" w:rsidRDefault="00475650">
            <w:pPr>
              <w:pStyle w:val="afffff6"/>
              <w:spacing w:line="216" w:lineRule="auto"/>
              <w:rPr>
                <w:rFonts w:hAnsi="Times New Roman"/>
              </w:rPr>
            </w:pPr>
            <w:r>
              <w:t>评价要素</w:t>
            </w:r>
          </w:p>
        </w:tc>
        <w:tc>
          <w:tcPr>
            <w:tcW w:w="1509" w:type="dxa"/>
            <w:vAlign w:val="center"/>
          </w:tcPr>
          <w:p w:rsidR="00475650" w:rsidRDefault="00475650">
            <w:pPr>
              <w:pStyle w:val="afffff6"/>
              <w:spacing w:line="216" w:lineRule="auto"/>
              <w:rPr>
                <w:rFonts w:hAnsi="Times New Roman"/>
              </w:rPr>
            </w:pPr>
            <w:r>
              <w:t>评价类型</w:t>
            </w:r>
          </w:p>
        </w:tc>
        <w:tc>
          <w:tcPr>
            <w:tcW w:w="6286" w:type="dxa"/>
            <w:vAlign w:val="center"/>
          </w:tcPr>
          <w:p w:rsidR="00475650" w:rsidRDefault="00475650">
            <w:pPr>
              <w:pStyle w:val="afffff6"/>
              <w:spacing w:line="216" w:lineRule="auto"/>
              <w:rPr>
                <w:rFonts w:hAnsi="Times New Roman"/>
              </w:rPr>
            </w:pPr>
            <w:r>
              <w:t>评价因子</w:t>
            </w:r>
          </w:p>
        </w:tc>
      </w:tr>
      <w:tr w:rsidR="00475650">
        <w:trPr>
          <w:trHeight w:val="318"/>
          <w:jc w:val="center"/>
        </w:trPr>
        <w:tc>
          <w:tcPr>
            <w:tcW w:w="1151" w:type="dxa"/>
            <w:vMerge w:val="restart"/>
            <w:vAlign w:val="center"/>
          </w:tcPr>
          <w:p w:rsidR="00475650" w:rsidRDefault="00475650">
            <w:pPr>
              <w:pStyle w:val="afffff6"/>
              <w:spacing w:line="216" w:lineRule="auto"/>
              <w:rPr>
                <w:rFonts w:hAnsi="Times New Roman"/>
              </w:rPr>
            </w:pPr>
            <w:r>
              <w:t>地表水</w:t>
            </w:r>
          </w:p>
        </w:tc>
        <w:tc>
          <w:tcPr>
            <w:tcW w:w="1509" w:type="dxa"/>
            <w:vAlign w:val="center"/>
          </w:tcPr>
          <w:p w:rsidR="00475650" w:rsidRDefault="00475650">
            <w:pPr>
              <w:pStyle w:val="afffff6"/>
              <w:spacing w:line="216" w:lineRule="auto"/>
              <w:rPr>
                <w:rFonts w:hAnsi="Times New Roman"/>
              </w:rPr>
            </w:pPr>
            <w:r>
              <w:t>污染源评价因子</w:t>
            </w:r>
          </w:p>
        </w:tc>
        <w:tc>
          <w:tcPr>
            <w:tcW w:w="6286" w:type="dxa"/>
            <w:vAlign w:val="center"/>
          </w:tcPr>
          <w:p w:rsidR="00475650" w:rsidRDefault="00475650">
            <w:pPr>
              <w:pStyle w:val="afffff6"/>
              <w:spacing w:line="216" w:lineRule="auto"/>
              <w:rPr>
                <w:rFonts w:hAnsi="Times New Roman"/>
              </w:rPr>
            </w:pPr>
            <w:r>
              <w:rPr>
                <w:rFonts w:hAnsi="Times New Roman"/>
              </w:rPr>
              <w:t>pH</w:t>
            </w:r>
            <w:r>
              <w:t>、</w:t>
            </w:r>
            <w:r>
              <w:rPr>
                <w:rFonts w:hAnsi="Times New Roman"/>
              </w:rPr>
              <w:t>CODcr</w:t>
            </w:r>
            <w:r>
              <w:t>、色度、氨氮、</w:t>
            </w:r>
            <w:r>
              <w:rPr>
                <w:rFonts w:hint="eastAsia"/>
              </w:rPr>
              <w:t>挥发酚、盐分、</w:t>
            </w:r>
            <w:r>
              <w:rPr>
                <w:rFonts w:hAnsi="Times New Roman"/>
              </w:rPr>
              <w:t>SS</w:t>
            </w:r>
          </w:p>
        </w:tc>
      </w:tr>
      <w:tr w:rsidR="00475650">
        <w:trPr>
          <w:trHeight w:val="308"/>
          <w:jc w:val="center"/>
        </w:trPr>
        <w:tc>
          <w:tcPr>
            <w:tcW w:w="1151" w:type="dxa"/>
            <w:vMerge/>
            <w:vAlign w:val="center"/>
          </w:tcPr>
          <w:p w:rsidR="00475650" w:rsidRDefault="00475650">
            <w:pPr>
              <w:pStyle w:val="afffff6"/>
              <w:spacing w:line="216" w:lineRule="auto"/>
              <w:rPr>
                <w:rFonts w:hAnsi="Times New Roman"/>
              </w:rPr>
            </w:pPr>
          </w:p>
        </w:tc>
        <w:tc>
          <w:tcPr>
            <w:tcW w:w="1509" w:type="dxa"/>
            <w:vAlign w:val="center"/>
          </w:tcPr>
          <w:p w:rsidR="00475650" w:rsidRDefault="00475650">
            <w:pPr>
              <w:pStyle w:val="afffff6"/>
              <w:spacing w:line="216" w:lineRule="auto"/>
              <w:rPr>
                <w:rFonts w:hAnsi="Times New Roman"/>
              </w:rPr>
            </w:pPr>
            <w:r>
              <w:t>现状评价因子</w:t>
            </w:r>
          </w:p>
        </w:tc>
        <w:tc>
          <w:tcPr>
            <w:tcW w:w="6286" w:type="dxa"/>
            <w:vAlign w:val="center"/>
          </w:tcPr>
          <w:p w:rsidR="00475650" w:rsidRDefault="00475650">
            <w:pPr>
              <w:pStyle w:val="3e"/>
              <w:snapToGrid w:val="0"/>
              <w:spacing w:line="216" w:lineRule="auto"/>
              <w:rPr>
                <w:rFonts w:ascii="Times New Roman" w:hAnsi="Times New Roman"/>
              </w:rPr>
            </w:pPr>
            <w:r>
              <w:rPr>
                <w:rFonts w:ascii="Times New Roman" w:hAnsi="Times New Roman"/>
              </w:rPr>
              <w:t>pH</w:t>
            </w:r>
            <w:r>
              <w:rPr>
                <w:rFonts w:ascii="Times New Roman"/>
              </w:rPr>
              <w:t>、色度、</w:t>
            </w:r>
            <w:r>
              <w:rPr>
                <w:rFonts w:ascii="Times New Roman" w:hAnsi="Times New Roman"/>
              </w:rPr>
              <w:t>COD</w:t>
            </w:r>
            <w:r>
              <w:rPr>
                <w:rFonts w:ascii="Times New Roman" w:hAnsi="Times New Roman"/>
                <w:vertAlign w:val="subscript"/>
              </w:rPr>
              <w:t>Cr</w:t>
            </w:r>
            <w:r>
              <w:rPr>
                <w:rFonts w:ascii="Times New Roman"/>
              </w:rPr>
              <w:t>、氨氮、硫化物、氯化物、石油类、挥发酚</w:t>
            </w:r>
            <w:r>
              <w:rPr>
                <w:rFonts w:ascii="Times New Roman" w:hint="eastAsia"/>
              </w:rPr>
              <w:t>、苯、甲苯、溶解氧</w:t>
            </w:r>
          </w:p>
        </w:tc>
      </w:tr>
      <w:tr w:rsidR="00475650">
        <w:trPr>
          <w:trHeight w:val="288"/>
          <w:jc w:val="center"/>
        </w:trPr>
        <w:tc>
          <w:tcPr>
            <w:tcW w:w="1151" w:type="dxa"/>
            <w:vMerge/>
            <w:vAlign w:val="center"/>
          </w:tcPr>
          <w:p w:rsidR="00475650" w:rsidRDefault="00475650">
            <w:pPr>
              <w:pStyle w:val="afffff6"/>
              <w:spacing w:line="216" w:lineRule="auto"/>
              <w:rPr>
                <w:rFonts w:hAnsi="Times New Roman"/>
              </w:rPr>
            </w:pPr>
          </w:p>
        </w:tc>
        <w:tc>
          <w:tcPr>
            <w:tcW w:w="1509" w:type="dxa"/>
            <w:vAlign w:val="center"/>
          </w:tcPr>
          <w:p w:rsidR="00475650" w:rsidRDefault="00475650">
            <w:pPr>
              <w:pStyle w:val="afffff6"/>
              <w:spacing w:line="216" w:lineRule="auto"/>
              <w:rPr>
                <w:rFonts w:hAnsi="Times New Roman"/>
              </w:rPr>
            </w:pPr>
            <w:r>
              <w:t>预测因子</w:t>
            </w:r>
          </w:p>
        </w:tc>
        <w:tc>
          <w:tcPr>
            <w:tcW w:w="6286" w:type="dxa"/>
            <w:vAlign w:val="center"/>
          </w:tcPr>
          <w:p w:rsidR="00475650" w:rsidRDefault="00475650">
            <w:pPr>
              <w:pStyle w:val="afffff6"/>
              <w:spacing w:line="216" w:lineRule="auto"/>
              <w:rPr>
                <w:rFonts w:hAnsi="Times New Roman"/>
              </w:rPr>
            </w:pPr>
            <w:r>
              <w:rPr>
                <w:rFonts w:hAnsi="Times New Roman"/>
              </w:rPr>
              <w:t>COD</w:t>
            </w:r>
            <w:r>
              <w:rPr>
                <w:rFonts w:hAnsi="Times New Roman"/>
                <w:vertAlign w:val="subscript"/>
              </w:rPr>
              <w:t>Cr</w:t>
            </w:r>
            <w:r>
              <w:t>、氨氮、</w:t>
            </w:r>
            <w:r>
              <w:rPr>
                <w:rFonts w:hint="eastAsia"/>
              </w:rPr>
              <w:t>色度</w:t>
            </w:r>
          </w:p>
        </w:tc>
      </w:tr>
      <w:tr w:rsidR="00475650">
        <w:trPr>
          <w:trHeight w:val="288"/>
          <w:jc w:val="center"/>
        </w:trPr>
        <w:tc>
          <w:tcPr>
            <w:tcW w:w="1151" w:type="dxa"/>
            <w:vAlign w:val="center"/>
          </w:tcPr>
          <w:p w:rsidR="00475650" w:rsidRDefault="00475650">
            <w:pPr>
              <w:pStyle w:val="afffff6"/>
              <w:spacing w:line="216" w:lineRule="auto"/>
              <w:rPr>
                <w:rFonts w:hAnsi="Times New Roman"/>
              </w:rPr>
            </w:pPr>
            <w:r>
              <w:t>地下水</w:t>
            </w:r>
          </w:p>
        </w:tc>
        <w:tc>
          <w:tcPr>
            <w:tcW w:w="1509" w:type="dxa"/>
            <w:vAlign w:val="center"/>
          </w:tcPr>
          <w:p w:rsidR="00475650" w:rsidRDefault="00475650">
            <w:pPr>
              <w:pStyle w:val="afffff6"/>
              <w:spacing w:line="216" w:lineRule="auto"/>
              <w:rPr>
                <w:rFonts w:hAnsi="Times New Roman"/>
              </w:rPr>
            </w:pPr>
            <w:r>
              <w:t>现状评价因子</w:t>
            </w:r>
          </w:p>
        </w:tc>
        <w:tc>
          <w:tcPr>
            <w:tcW w:w="6286" w:type="dxa"/>
            <w:vAlign w:val="center"/>
          </w:tcPr>
          <w:p w:rsidR="00475650" w:rsidRDefault="00475650">
            <w:pPr>
              <w:pStyle w:val="afffff6"/>
              <w:spacing w:line="216" w:lineRule="auto"/>
              <w:rPr>
                <w:rFonts w:hAnsi="Times New Roman"/>
              </w:rPr>
            </w:pPr>
            <w:r>
              <w:rPr>
                <w:rFonts w:hAnsi="Times New Roman"/>
              </w:rPr>
              <w:t>pH</w:t>
            </w:r>
            <w:r>
              <w:t>、高锰酸盐指数、氨氮、色度、挥发酚、硫酸盐、氯化物、硝酸盐、亚硝酸盐</w:t>
            </w:r>
          </w:p>
        </w:tc>
      </w:tr>
      <w:tr w:rsidR="00475650">
        <w:trPr>
          <w:trHeight w:val="254"/>
          <w:jc w:val="center"/>
        </w:trPr>
        <w:tc>
          <w:tcPr>
            <w:tcW w:w="1151" w:type="dxa"/>
            <w:vMerge w:val="restart"/>
            <w:vAlign w:val="center"/>
          </w:tcPr>
          <w:p w:rsidR="00475650" w:rsidRDefault="00475650">
            <w:pPr>
              <w:pStyle w:val="afffff6"/>
              <w:spacing w:line="216" w:lineRule="auto"/>
              <w:rPr>
                <w:rFonts w:hAnsi="Times New Roman"/>
              </w:rPr>
            </w:pPr>
            <w:r>
              <w:t>大气</w:t>
            </w:r>
          </w:p>
        </w:tc>
        <w:tc>
          <w:tcPr>
            <w:tcW w:w="1509" w:type="dxa"/>
            <w:vAlign w:val="center"/>
          </w:tcPr>
          <w:p w:rsidR="00475650" w:rsidRDefault="00475650">
            <w:pPr>
              <w:pStyle w:val="afffff6"/>
              <w:spacing w:line="216" w:lineRule="auto"/>
              <w:rPr>
                <w:rFonts w:hAnsi="Times New Roman"/>
              </w:rPr>
            </w:pPr>
            <w:r>
              <w:t>污染源评价因子</w:t>
            </w:r>
          </w:p>
        </w:tc>
        <w:tc>
          <w:tcPr>
            <w:tcW w:w="6286" w:type="dxa"/>
            <w:vAlign w:val="center"/>
          </w:tcPr>
          <w:p w:rsidR="00475650" w:rsidRDefault="00475650">
            <w:pPr>
              <w:pStyle w:val="afffff6"/>
              <w:spacing w:line="216" w:lineRule="auto"/>
              <w:rPr>
                <w:rFonts w:hAnsi="Times New Roman"/>
              </w:rPr>
            </w:pPr>
            <w:r>
              <w:t>粉尘、氯化氢、氨</w:t>
            </w:r>
          </w:p>
        </w:tc>
      </w:tr>
      <w:tr w:rsidR="00475650">
        <w:trPr>
          <w:trHeight w:val="88"/>
          <w:jc w:val="center"/>
        </w:trPr>
        <w:tc>
          <w:tcPr>
            <w:tcW w:w="1151" w:type="dxa"/>
            <w:vMerge/>
            <w:vAlign w:val="center"/>
          </w:tcPr>
          <w:p w:rsidR="00475650" w:rsidRDefault="00475650">
            <w:pPr>
              <w:pStyle w:val="afffff6"/>
              <w:spacing w:line="216" w:lineRule="auto"/>
              <w:rPr>
                <w:rFonts w:hAnsi="Times New Roman"/>
              </w:rPr>
            </w:pPr>
          </w:p>
        </w:tc>
        <w:tc>
          <w:tcPr>
            <w:tcW w:w="1509" w:type="dxa"/>
            <w:vAlign w:val="center"/>
          </w:tcPr>
          <w:p w:rsidR="00475650" w:rsidRDefault="00475650">
            <w:pPr>
              <w:pStyle w:val="afffff6"/>
              <w:spacing w:line="216" w:lineRule="auto"/>
              <w:rPr>
                <w:rFonts w:hAnsi="Times New Roman"/>
              </w:rPr>
            </w:pPr>
            <w:r>
              <w:t>现状评价因子</w:t>
            </w:r>
          </w:p>
        </w:tc>
        <w:tc>
          <w:tcPr>
            <w:tcW w:w="6286" w:type="dxa"/>
            <w:vAlign w:val="center"/>
          </w:tcPr>
          <w:p w:rsidR="00475650" w:rsidRDefault="00475650">
            <w:pPr>
              <w:pStyle w:val="afffff6"/>
              <w:spacing w:line="216" w:lineRule="auto"/>
              <w:rPr>
                <w:rFonts w:hAnsi="Times New Roman"/>
              </w:rPr>
            </w:pPr>
            <w:r>
              <w:rPr>
                <w:rFonts w:hAnsi="Times New Roman"/>
              </w:rPr>
              <w:t>SO</w:t>
            </w:r>
            <w:r>
              <w:rPr>
                <w:rFonts w:hAnsi="Times New Roman"/>
                <w:vertAlign w:val="subscript"/>
              </w:rPr>
              <w:t>2</w:t>
            </w:r>
            <w:r>
              <w:t>、</w:t>
            </w:r>
            <w:r>
              <w:rPr>
                <w:rFonts w:hAnsi="Times New Roman"/>
              </w:rPr>
              <w:t>NO</w:t>
            </w:r>
            <w:r>
              <w:rPr>
                <w:rFonts w:hAnsi="Times New Roman"/>
                <w:vertAlign w:val="subscript"/>
              </w:rPr>
              <w:t>2</w:t>
            </w:r>
            <w:r>
              <w:t>、</w:t>
            </w:r>
            <w:r>
              <w:rPr>
                <w:rFonts w:hAnsi="Times New Roman"/>
              </w:rPr>
              <w:t>PM</w:t>
            </w:r>
            <w:r>
              <w:rPr>
                <w:rFonts w:hAnsi="Times New Roman"/>
                <w:vertAlign w:val="subscript"/>
              </w:rPr>
              <w:t>10</w:t>
            </w:r>
            <w:r>
              <w:t>、氯化氢、氨</w:t>
            </w:r>
          </w:p>
        </w:tc>
      </w:tr>
      <w:tr w:rsidR="00475650">
        <w:trPr>
          <w:trHeight w:val="295"/>
          <w:jc w:val="center"/>
        </w:trPr>
        <w:tc>
          <w:tcPr>
            <w:tcW w:w="1151" w:type="dxa"/>
            <w:vMerge/>
            <w:vAlign w:val="center"/>
          </w:tcPr>
          <w:p w:rsidR="00475650" w:rsidRDefault="00475650">
            <w:pPr>
              <w:pStyle w:val="afffff6"/>
              <w:spacing w:line="216" w:lineRule="auto"/>
              <w:rPr>
                <w:rFonts w:hAnsi="Times New Roman"/>
              </w:rPr>
            </w:pPr>
          </w:p>
        </w:tc>
        <w:tc>
          <w:tcPr>
            <w:tcW w:w="1509" w:type="dxa"/>
            <w:vAlign w:val="center"/>
          </w:tcPr>
          <w:p w:rsidR="00475650" w:rsidRDefault="00475650">
            <w:pPr>
              <w:pStyle w:val="afffff6"/>
              <w:spacing w:line="216" w:lineRule="auto"/>
              <w:rPr>
                <w:rFonts w:hAnsi="Times New Roman"/>
              </w:rPr>
            </w:pPr>
            <w:r>
              <w:t>预测因子</w:t>
            </w:r>
          </w:p>
        </w:tc>
        <w:tc>
          <w:tcPr>
            <w:tcW w:w="6286" w:type="dxa"/>
            <w:vAlign w:val="center"/>
          </w:tcPr>
          <w:p w:rsidR="00475650" w:rsidRDefault="00475650">
            <w:pPr>
              <w:pStyle w:val="afffff6"/>
              <w:spacing w:line="216" w:lineRule="auto"/>
              <w:rPr>
                <w:rFonts w:hAnsi="Times New Roman"/>
              </w:rPr>
            </w:pPr>
            <w:r>
              <w:t>氯化氢、氨、粉尘</w:t>
            </w:r>
          </w:p>
        </w:tc>
      </w:tr>
      <w:tr w:rsidR="00475650">
        <w:trPr>
          <w:trHeight w:val="210"/>
          <w:jc w:val="center"/>
        </w:trPr>
        <w:tc>
          <w:tcPr>
            <w:tcW w:w="1151" w:type="dxa"/>
            <w:vAlign w:val="center"/>
          </w:tcPr>
          <w:p w:rsidR="00475650" w:rsidRDefault="00475650">
            <w:pPr>
              <w:pStyle w:val="afffff6"/>
              <w:spacing w:line="216" w:lineRule="auto"/>
              <w:rPr>
                <w:rFonts w:hAnsi="Times New Roman"/>
              </w:rPr>
            </w:pPr>
            <w:r>
              <w:t>声</w:t>
            </w:r>
          </w:p>
        </w:tc>
        <w:tc>
          <w:tcPr>
            <w:tcW w:w="1509" w:type="dxa"/>
            <w:vAlign w:val="center"/>
          </w:tcPr>
          <w:p w:rsidR="00475650" w:rsidRDefault="00475650">
            <w:pPr>
              <w:pStyle w:val="afffff6"/>
              <w:spacing w:line="216" w:lineRule="auto"/>
              <w:rPr>
                <w:rFonts w:hAnsi="Times New Roman"/>
              </w:rPr>
            </w:pPr>
            <w:r>
              <w:t>评价因子</w:t>
            </w:r>
          </w:p>
        </w:tc>
        <w:tc>
          <w:tcPr>
            <w:tcW w:w="6286" w:type="dxa"/>
            <w:vAlign w:val="center"/>
          </w:tcPr>
          <w:p w:rsidR="00475650" w:rsidRDefault="00475650">
            <w:pPr>
              <w:pStyle w:val="afffff6"/>
              <w:spacing w:line="216" w:lineRule="auto"/>
              <w:rPr>
                <w:rFonts w:hAnsi="Times New Roman"/>
              </w:rPr>
            </w:pPr>
            <w:r>
              <w:t>等效声级</w:t>
            </w:r>
            <w:r>
              <w:rPr>
                <w:rFonts w:hAnsi="Times New Roman"/>
              </w:rPr>
              <w:t>Leq</w:t>
            </w:r>
            <w:r>
              <w:rPr>
                <w:rFonts w:hAnsi="Times New Roman"/>
                <w:vertAlign w:val="subscript"/>
              </w:rPr>
              <w:t>A</w:t>
            </w:r>
          </w:p>
        </w:tc>
      </w:tr>
      <w:tr w:rsidR="00475650">
        <w:trPr>
          <w:trHeight w:val="210"/>
          <w:jc w:val="center"/>
        </w:trPr>
        <w:tc>
          <w:tcPr>
            <w:tcW w:w="1151" w:type="dxa"/>
            <w:vAlign w:val="center"/>
          </w:tcPr>
          <w:p w:rsidR="00475650" w:rsidRDefault="00475650">
            <w:pPr>
              <w:pStyle w:val="afffff6"/>
              <w:spacing w:line="216" w:lineRule="auto"/>
            </w:pPr>
            <w:r>
              <w:rPr>
                <w:rFonts w:hint="eastAsia"/>
              </w:rPr>
              <w:t>土壤</w:t>
            </w:r>
          </w:p>
        </w:tc>
        <w:tc>
          <w:tcPr>
            <w:tcW w:w="1509" w:type="dxa"/>
            <w:vAlign w:val="center"/>
          </w:tcPr>
          <w:p w:rsidR="00475650" w:rsidRDefault="00475650">
            <w:pPr>
              <w:pStyle w:val="afffff6"/>
              <w:spacing w:line="216" w:lineRule="auto"/>
              <w:rPr>
                <w:rFonts w:hAnsi="Times New Roman"/>
              </w:rPr>
            </w:pPr>
            <w:r>
              <w:t>现状评价因子</w:t>
            </w:r>
          </w:p>
        </w:tc>
        <w:tc>
          <w:tcPr>
            <w:tcW w:w="6286" w:type="dxa"/>
            <w:vAlign w:val="center"/>
          </w:tcPr>
          <w:p w:rsidR="00475650" w:rsidRDefault="00475650">
            <w:pPr>
              <w:pStyle w:val="afffff6"/>
              <w:spacing w:line="216" w:lineRule="auto"/>
              <w:rPr>
                <w:rFonts w:hAnsi="Times New Roman"/>
              </w:rPr>
            </w:pPr>
            <w:r>
              <w:rPr>
                <w:rFonts w:hAnsi="Times New Roman"/>
              </w:rPr>
              <w:t>pH</w:t>
            </w:r>
            <w:r>
              <w:rPr>
                <w:rFonts w:hAnsi="Times New Roman" w:hint="eastAsia"/>
              </w:rPr>
              <w:t>、</w:t>
            </w:r>
            <w:r>
              <w:t>镉</w:t>
            </w:r>
            <w:r>
              <w:rPr>
                <w:rFonts w:hAnsi="Times New Roman" w:hint="eastAsia"/>
              </w:rPr>
              <w:t>、</w:t>
            </w:r>
            <w:r>
              <w:t>汞</w:t>
            </w:r>
            <w:r>
              <w:rPr>
                <w:rFonts w:hAnsi="Times New Roman" w:hint="eastAsia"/>
              </w:rPr>
              <w:t>、</w:t>
            </w:r>
            <w:r>
              <w:t>砷</w:t>
            </w:r>
            <w:r>
              <w:rPr>
                <w:rFonts w:hAnsi="Times New Roman" w:hint="eastAsia"/>
              </w:rPr>
              <w:t>、</w:t>
            </w:r>
            <w:r>
              <w:t>铜</w:t>
            </w:r>
            <w:r>
              <w:rPr>
                <w:rFonts w:hAnsi="Times New Roman" w:hint="eastAsia"/>
              </w:rPr>
              <w:t>、</w:t>
            </w:r>
            <w:r>
              <w:t>铅</w:t>
            </w:r>
            <w:r>
              <w:rPr>
                <w:rFonts w:hAnsi="Times New Roman" w:hint="eastAsia"/>
              </w:rPr>
              <w:t>、</w:t>
            </w:r>
            <w:r>
              <w:t>铬</w:t>
            </w:r>
            <w:r>
              <w:rPr>
                <w:rFonts w:hAnsi="Times New Roman" w:hint="eastAsia"/>
                <w:lang w:val="en-GB"/>
              </w:rPr>
              <w:t>、</w:t>
            </w:r>
            <w:r>
              <w:t>锌</w:t>
            </w:r>
            <w:r>
              <w:rPr>
                <w:rFonts w:hAnsi="Times New Roman" w:hint="eastAsia"/>
              </w:rPr>
              <w:t>、</w:t>
            </w:r>
            <w:r>
              <w:t>镍</w:t>
            </w:r>
          </w:p>
        </w:tc>
      </w:tr>
      <w:tr w:rsidR="00475650">
        <w:trPr>
          <w:trHeight w:val="363"/>
          <w:jc w:val="center"/>
        </w:trPr>
        <w:tc>
          <w:tcPr>
            <w:tcW w:w="1151" w:type="dxa"/>
            <w:vAlign w:val="center"/>
          </w:tcPr>
          <w:p w:rsidR="00475650" w:rsidRDefault="00475650">
            <w:pPr>
              <w:pStyle w:val="afffff6"/>
              <w:spacing w:line="216" w:lineRule="auto"/>
              <w:rPr>
                <w:rFonts w:hAnsi="Times New Roman"/>
              </w:rPr>
            </w:pPr>
            <w:r>
              <w:t>固体废物</w:t>
            </w:r>
          </w:p>
        </w:tc>
        <w:tc>
          <w:tcPr>
            <w:tcW w:w="1509" w:type="dxa"/>
            <w:vAlign w:val="center"/>
          </w:tcPr>
          <w:p w:rsidR="00475650" w:rsidRDefault="00475650">
            <w:pPr>
              <w:pStyle w:val="afffff6"/>
              <w:spacing w:line="216" w:lineRule="auto"/>
              <w:rPr>
                <w:rFonts w:hAnsi="Times New Roman"/>
              </w:rPr>
            </w:pPr>
            <w:r>
              <w:t>产生及评价因子</w:t>
            </w:r>
          </w:p>
        </w:tc>
        <w:tc>
          <w:tcPr>
            <w:tcW w:w="6286" w:type="dxa"/>
            <w:vAlign w:val="center"/>
          </w:tcPr>
          <w:p w:rsidR="00475650" w:rsidRDefault="00475650">
            <w:pPr>
              <w:pStyle w:val="afffff6"/>
              <w:spacing w:line="216" w:lineRule="auto"/>
              <w:rPr>
                <w:rFonts w:hAnsi="Times New Roman"/>
              </w:rPr>
            </w:pPr>
            <w:r>
              <w:t>废包装材料、污泥、生活垃圾</w:t>
            </w:r>
          </w:p>
        </w:tc>
      </w:tr>
      <w:tr w:rsidR="00475650">
        <w:trPr>
          <w:trHeight w:val="170"/>
          <w:jc w:val="center"/>
        </w:trPr>
        <w:tc>
          <w:tcPr>
            <w:tcW w:w="1151" w:type="dxa"/>
            <w:vMerge w:val="restart"/>
            <w:vAlign w:val="center"/>
          </w:tcPr>
          <w:p w:rsidR="00475650" w:rsidRDefault="00475650">
            <w:pPr>
              <w:pStyle w:val="afffff6"/>
              <w:spacing w:line="216" w:lineRule="auto"/>
              <w:rPr>
                <w:rFonts w:hAnsi="Times New Roman"/>
              </w:rPr>
            </w:pPr>
            <w:r>
              <w:t>总量控制</w:t>
            </w:r>
          </w:p>
        </w:tc>
        <w:tc>
          <w:tcPr>
            <w:tcW w:w="1509" w:type="dxa"/>
            <w:vAlign w:val="center"/>
          </w:tcPr>
          <w:p w:rsidR="00475650" w:rsidRDefault="00475650">
            <w:pPr>
              <w:pStyle w:val="afffff6"/>
              <w:spacing w:line="216" w:lineRule="auto"/>
              <w:rPr>
                <w:rFonts w:hAnsi="Times New Roman"/>
              </w:rPr>
            </w:pPr>
            <w:r>
              <w:t>废气</w:t>
            </w:r>
          </w:p>
        </w:tc>
        <w:tc>
          <w:tcPr>
            <w:tcW w:w="6286" w:type="dxa"/>
            <w:vAlign w:val="center"/>
          </w:tcPr>
          <w:p w:rsidR="00475650" w:rsidRDefault="00475650">
            <w:pPr>
              <w:pStyle w:val="afffff6"/>
              <w:spacing w:line="216" w:lineRule="auto"/>
              <w:rPr>
                <w:rFonts w:hAnsi="Times New Roman"/>
              </w:rPr>
            </w:pPr>
            <w:r>
              <w:rPr>
                <w:rFonts w:hAnsi="Times New Roman"/>
              </w:rPr>
              <w:t>/</w:t>
            </w:r>
          </w:p>
        </w:tc>
      </w:tr>
      <w:tr w:rsidR="00475650">
        <w:trPr>
          <w:trHeight w:val="304"/>
          <w:jc w:val="center"/>
        </w:trPr>
        <w:tc>
          <w:tcPr>
            <w:tcW w:w="1151" w:type="dxa"/>
            <w:vMerge/>
            <w:vAlign w:val="center"/>
          </w:tcPr>
          <w:p w:rsidR="00475650" w:rsidRDefault="00475650">
            <w:pPr>
              <w:pStyle w:val="afffff6"/>
              <w:spacing w:line="216" w:lineRule="auto"/>
              <w:rPr>
                <w:rFonts w:hAnsi="Times New Roman"/>
              </w:rPr>
            </w:pPr>
          </w:p>
        </w:tc>
        <w:tc>
          <w:tcPr>
            <w:tcW w:w="1509" w:type="dxa"/>
            <w:vAlign w:val="center"/>
          </w:tcPr>
          <w:p w:rsidR="00475650" w:rsidRDefault="00475650">
            <w:pPr>
              <w:pStyle w:val="afffff6"/>
              <w:spacing w:line="216" w:lineRule="auto"/>
              <w:rPr>
                <w:rFonts w:hAnsi="Times New Roman"/>
              </w:rPr>
            </w:pPr>
            <w:r>
              <w:t>废水</w:t>
            </w:r>
          </w:p>
        </w:tc>
        <w:tc>
          <w:tcPr>
            <w:tcW w:w="6286" w:type="dxa"/>
            <w:vAlign w:val="center"/>
          </w:tcPr>
          <w:p w:rsidR="00475650" w:rsidRDefault="00475650">
            <w:pPr>
              <w:pStyle w:val="afffff6"/>
              <w:spacing w:line="216" w:lineRule="auto"/>
              <w:rPr>
                <w:rFonts w:hAnsi="Times New Roman"/>
              </w:rPr>
            </w:pPr>
            <w:r>
              <w:rPr>
                <w:rFonts w:hAnsi="Times New Roman"/>
              </w:rPr>
              <w:t>COD</w:t>
            </w:r>
            <w:r>
              <w:rPr>
                <w:rFonts w:hAnsi="Times New Roman"/>
                <w:vertAlign w:val="subscript"/>
              </w:rPr>
              <w:t>Cr</w:t>
            </w:r>
            <w:r>
              <w:t>、氨氮</w:t>
            </w:r>
          </w:p>
        </w:tc>
      </w:tr>
    </w:tbl>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127" w:name="_Toc333229864"/>
      <w:bookmarkStart w:id="128" w:name="_Toc334014077"/>
      <w:bookmarkStart w:id="129" w:name="_Toc334080719"/>
      <w:bookmarkStart w:id="130" w:name="_Toc332292935"/>
      <w:bookmarkStart w:id="131" w:name="_Toc465676938"/>
      <w:bookmarkStart w:id="132" w:name="_Toc24305"/>
      <w:r>
        <w:rPr>
          <w:rStyle w:val="2Char1Char"/>
          <w:rFonts w:ascii="Times New Roman" w:eastAsia="宋体" w:hAnsi="Times New Roman" w:cs="Times New Roman"/>
          <w:b w:val="0"/>
          <w:sz w:val="24"/>
          <w:szCs w:val="24"/>
        </w:rPr>
        <w:t>1.3.2</w:t>
      </w:r>
      <w:r>
        <w:rPr>
          <w:rStyle w:val="2Char1Char"/>
          <w:rFonts w:ascii="Times New Roman" w:eastAsia="宋体" w:hAnsi="宋体" w:cs="Times New Roman"/>
          <w:b w:val="0"/>
          <w:sz w:val="24"/>
          <w:szCs w:val="24"/>
        </w:rPr>
        <w:t>评价标准</w:t>
      </w:r>
      <w:bookmarkEnd w:id="127"/>
      <w:bookmarkEnd w:id="128"/>
      <w:bookmarkEnd w:id="129"/>
      <w:bookmarkEnd w:id="130"/>
      <w:bookmarkEnd w:id="131"/>
      <w:bookmarkEnd w:id="132"/>
    </w:p>
    <w:p w:rsidR="00475650" w:rsidRDefault="00475650">
      <w:pPr>
        <w:spacing w:line="360" w:lineRule="auto"/>
        <w:ind w:firstLineChars="200" w:firstLine="480"/>
        <w:rPr>
          <w:kern w:val="0"/>
          <w:sz w:val="24"/>
        </w:rPr>
      </w:pPr>
      <w:r>
        <w:rPr>
          <w:rFonts w:hAnsi="宋体"/>
          <w:kern w:val="0"/>
          <w:sz w:val="24"/>
        </w:rPr>
        <w:t>根据湖南省临湘市环境保护局</w:t>
      </w:r>
      <w:r>
        <w:rPr>
          <w:kern w:val="0"/>
          <w:sz w:val="24"/>
        </w:rPr>
        <w:t>“</w:t>
      </w:r>
      <w:r>
        <w:rPr>
          <w:rFonts w:hAnsi="宋体"/>
          <w:kern w:val="0"/>
          <w:sz w:val="24"/>
        </w:rPr>
        <w:t>关于临湘市鹏程化工有限公司年产</w:t>
      </w:r>
      <w:r>
        <w:rPr>
          <w:kern w:val="0"/>
          <w:sz w:val="24"/>
        </w:rPr>
        <w:t>6000</w:t>
      </w:r>
      <w:r>
        <w:rPr>
          <w:rFonts w:hAnsi="宋体"/>
          <w:kern w:val="0"/>
          <w:sz w:val="24"/>
        </w:rPr>
        <w:t>吨弱酸性染料建设项目环境影响评价执行标准的函</w:t>
      </w:r>
      <w:r>
        <w:rPr>
          <w:kern w:val="0"/>
          <w:sz w:val="24"/>
        </w:rPr>
        <w:t>”</w:t>
      </w:r>
      <w:r>
        <w:rPr>
          <w:rFonts w:hAnsi="宋体"/>
          <w:kern w:val="0"/>
          <w:sz w:val="24"/>
        </w:rPr>
        <w:t>，拟建项目采用的评价标准如下：</w:t>
      </w:r>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133" w:name="_Toc334014078"/>
      <w:bookmarkStart w:id="134" w:name="_Toc334080720"/>
      <w:bookmarkStart w:id="135" w:name="_Toc333229865"/>
      <w:bookmarkStart w:id="136" w:name="_Toc332292936"/>
      <w:bookmarkStart w:id="137" w:name="_Toc448999044"/>
      <w:bookmarkStart w:id="138" w:name="_Toc465676939"/>
      <w:bookmarkStart w:id="139" w:name="_Toc5945"/>
      <w:r>
        <w:rPr>
          <w:rStyle w:val="2Char1Char"/>
          <w:rFonts w:ascii="Times New Roman" w:eastAsia="宋体" w:hAnsi="Times New Roman" w:cs="Times New Roman"/>
          <w:b w:val="0"/>
          <w:sz w:val="24"/>
          <w:szCs w:val="24"/>
        </w:rPr>
        <w:t>1.3.2.1</w:t>
      </w:r>
      <w:r>
        <w:rPr>
          <w:rStyle w:val="2Char1Char"/>
          <w:rFonts w:ascii="Times New Roman" w:eastAsia="宋体" w:hAnsi="宋体" w:cs="Times New Roman"/>
          <w:b w:val="0"/>
          <w:sz w:val="24"/>
          <w:szCs w:val="24"/>
        </w:rPr>
        <w:t>环境质量标准</w:t>
      </w:r>
      <w:bookmarkEnd w:id="121"/>
      <w:bookmarkEnd w:id="122"/>
      <w:bookmarkEnd w:id="123"/>
      <w:bookmarkEnd w:id="124"/>
      <w:bookmarkEnd w:id="125"/>
      <w:bookmarkEnd w:id="126"/>
      <w:bookmarkEnd w:id="133"/>
      <w:bookmarkEnd w:id="134"/>
      <w:bookmarkEnd w:id="135"/>
      <w:bookmarkEnd w:id="136"/>
      <w:bookmarkEnd w:id="137"/>
      <w:bookmarkEnd w:id="138"/>
      <w:bookmarkEnd w:id="139"/>
    </w:p>
    <w:p w:rsidR="00475650" w:rsidRDefault="00475650">
      <w:pPr>
        <w:spacing w:line="360" w:lineRule="auto"/>
        <w:ind w:firstLineChars="200" w:firstLine="480"/>
        <w:outlineLvl w:val="0"/>
        <w:rPr>
          <w:kern w:val="0"/>
          <w:sz w:val="24"/>
        </w:rPr>
      </w:pPr>
      <w:bookmarkStart w:id="140" w:name="_Toc334080721"/>
      <w:bookmarkStart w:id="141" w:name="_Toc334014079"/>
      <w:bookmarkStart w:id="142" w:name="_Toc333229866"/>
      <w:bookmarkStart w:id="143" w:name="_Toc448999045"/>
      <w:bookmarkStart w:id="144" w:name="_Toc465676940"/>
      <w:bookmarkStart w:id="145" w:name="_Toc29893"/>
      <w:r>
        <w:rPr>
          <w:rFonts w:ascii="宋体" w:hAnsi="宋体"/>
          <w:kern w:val="0"/>
          <w:sz w:val="24"/>
        </w:rPr>
        <w:t>⑴</w:t>
      </w:r>
      <w:r>
        <w:rPr>
          <w:kern w:val="0"/>
          <w:sz w:val="24"/>
        </w:rPr>
        <w:t xml:space="preserve"> </w:t>
      </w:r>
      <w:r>
        <w:rPr>
          <w:rFonts w:hAnsi="宋体"/>
          <w:kern w:val="0"/>
          <w:sz w:val="24"/>
        </w:rPr>
        <w:t>环境空气</w:t>
      </w:r>
      <w:bookmarkEnd w:id="140"/>
      <w:bookmarkEnd w:id="141"/>
      <w:bookmarkEnd w:id="142"/>
      <w:bookmarkEnd w:id="143"/>
      <w:bookmarkEnd w:id="144"/>
      <w:bookmarkEnd w:id="145"/>
    </w:p>
    <w:p w:rsidR="00475650" w:rsidRDefault="00475650">
      <w:pPr>
        <w:spacing w:line="360" w:lineRule="auto"/>
        <w:ind w:firstLineChars="200" w:firstLine="480"/>
        <w:rPr>
          <w:kern w:val="0"/>
          <w:sz w:val="24"/>
        </w:rPr>
      </w:pPr>
      <w:r>
        <w:rPr>
          <w:rFonts w:hAnsi="宋体"/>
          <w:kern w:val="0"/>
          <w:sz w:val="24"/>
        </w:rPr>
        <w:t>执行《环境空气质量标准》</w:t>
      </w:r>
      <w:r>
        <w:rPr>
          <w:rFonts w:hAnsi="宋体" w:hint="eastAsia"/>
          <w:kern w:val="0"/>
          <w:sz w:val="24"/>
        </w:rPr>
        <w:t>（</w:t>
      </w:r>
      <w:r>
        <w:rPr>
          <w:kern w:val="0"/>
          <w:sz w:val="24"/>
        </w:rPr>
        <w:t>GB3095-2012</w:t>
      </w:r>
      <w:r>
        <w:rPr>
          <w:rFonts w:hint="eastAsia"/>
          <w:kern w:val="0"/>
          <w:sz w:val="24"/>
        </w:rPr>
        <w:t>）</w:t>
      </w:r>
      <w:r>
        <w:rPr>
          <w:rFonts w:hAnsi="宋体"/>
          <w:kern w:val="0"/>
          <w:sz w:val="24"/>
        </w:rPr>
        <w:t>中的二级标准，该标准中未包含</w:t>
      </w:r>
      <w:r>
        <w:rPr>
          <w:rFonts w:hAnsi="宋体" w:hint="eastAsia"/>
          <w:kern w:val="0"/>
          <w:sz w:val="24"/>
        </w:rPr>
        <w:t>的特征</w:t>
      </w:r>
      <w:r>
        <w:rPr>
          <w:rFonts w:hAnsi="宋体"/>
          <w:kern w:val="0"/>
          <w:sz w:val="24"/>
        </w:rPr>
        <w:t>因子执行《工业企业设计卫生标准》</w:t>
      </w:r>
      <w:r>
        <w:rPr>
          <w:rFonts w:hAnsi="宋体" w:hint="eastAsia"/>
          <w:kern w:val="0"/>
          <w:sz w:val="24"/>
        </w:rPr>
        <w:t>（</w:t>
      </w:r>
      <w:r>
        <w:rPr>
          <w:kern w:val="0"/>
          <w:sz w:val="24"/>
        </w:rPr>
        <w:t>TJ36-79</w:t>
      </w:r>
      <w:r>
        <w:rPr>
          <w:rFonts w:hint="eastAsia"/>
          <w:kern w:val="0"/>
          <w:sz w:val="24"/>
        </w:rPr>
        <w:t>）</w:t>
      </w:r>
      <w:r>
        <w:rPr>
          <w:rFonts w:hAnsi="宋体"/>
          <w:kern w:val="0"/>
          <w:sz w:val="24"/>
        </w:rPr>
        <w:t>中</w:t>
      </w:r>
      <w:r>
        <w:rPr>
          <w:kern w:val="0"/>
          <w:sz w:val="24"/>
        </w:rPr>
        <w:t>“</w:t>
      </w:r>
      <w:r>
        <w:rPr>
          <w:rFonts w:hAnsi="宋体"/>
          <w:kern w:val="0"/>
          <w:sz w:val="24"/>
        </w:rPr>
        <w:t>居住区大气中有害物质的最高容许浓度</w:t>
      </w:r>
      <w:r>
        <w:rPr>
          <w:kern w:val="0"/>
          <w:sz w:val="24"/>
        </w:rPr>
        <w:t>”</w:t>
      </w:r>
      <w:r>
        <w:rPr>
          <w:rFonts w:hAnsi="宋体"/>
          <w:kern w:val="0"/>
          <w:sz w:val="24"/>
        </w:rPr>
        <w:t>。</w:t>
      </w:r>
    </w:p>
    <w:p w:rsidR="00475650" w:rsidRDefault="00475650">
      <w:pPr>
        <w:pStyle w:val="19"/>
        <w:numPr>
          <w:ilvl w:val="0"/>
          <w:numId w:val="0"/>
        </w:numPr>
        <w:tabs>
          <w:tab w:val="left" w:pos="3780"/>
        </w:tabs>
        <w:snapToGrid w:val="0"/>
        <w:spacing w:before="0" w:line="360" w:lineRule="auto"/>
        <w:rPr>
          <w:rFonts w:ascii="Times New Roman" w:eastAsia="宋体"/>
          <w:b w:val="0"/>
          <w:bCs/>
          <w:sz w:val="24"/>
          <w:szCs w:val="24"/>
        </w:rPr>
      </w:pPr>
      <w:r>
        <w:rPr>
          <w:rFonts w:ascii="Times New Roman" w:eastAsia="宋体" w:hAnsi="宋体"/>
          <w:b w:val="0"/>
          <w:bCs/>
          <w:spacing w:val="0"/>
          <w:sz w:val="24"/>
          <w:szCs w:val="24"/>
        </w:rPr>
        <w:t>表</w:t>
      </w:r>
      <w:r>
        <w:rPr>
          <w:rFonts w:ascii="Times New Roman" w:eastAsia="宋体"/>
          <w:b w:val="0"/>
          <w:bCs/>
          <w:spacing w:val="0"/>
          <w:sz w:val="24"/>
          <w:szCs w:val="24"/>
        </w:rPr>
        <w:t xml:space="preserve">1.3-3    </w:t>
      </w:r>
      <w:r>
        <w:rPr>
          <w:rFonts w:ascii="Times New Roman" w:eastAsia="宋体" w:hAnsi="宋体"/>
          <w:b w:val="0"/>
          <w:bCs/>
          <w:spacing w:val="0"/>
          <w:sz w:val="24"/>
          <w:szCs w:val="24"/>
        </w:rPr>
        <w:t>环境空气质量标准一览表</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666"/>
        <w:gridCol w:w="1658"/>
        <w:gridCol w:w="1877"/>
        <w:gridCol w:w="2320"/>
        <w:gridCol w:w="2334"/>
      </w:tblGrid>
      <w:tr w:rsidR="00475650">
        <w:trPr>
          <w:trHeight w:val="160"/>
          <w:jc w:val="center"/>
        </w:trPr>
        <w:tc>
          <w:tcPr>
            <w:tcW w:w="666" w:type="dxa"/>
            <w:tcBorders>
              <w:top w:val="single" w:sz="12" w:space="0" w:color="auto"/>
              <w:left w:val="single" w:sz="12" w:space="0" w:color="auto"/>
            </w:tcBorders>
            <w:vAlign w:val="center"/>
          </w:tcPr>
          <w:p w:rsidR="00475650" w:rsidRDefault="00475650">
            <w:pPr>
              <w:pStyle w:val="afff7"/>
              <w:snapToGrid w:val="0"/>
              <w:spacing w:line="228" w:lineRule="auto"/>
              <w:rPr>
                <w:sz w:val="21"/>
                <w:szCs w:val="21"/>
              </w:rPr>
            </w:pPr>
            <w:r>
              <w:rPr>
                <w:rFonts w:hAnsi="宋体"/>
                <w:sz w:val="21"/>
                <w:szCs w:val="21"/>
              </w:rPr>
              <w:t>序号</w:t>
            </w:r>
          </w:p>
        </w:tc>
        <w:tc>
          <w:tcPr>
            <w:tcW w:w="1658" w:type="dxa"/>
            <w:tcBorders>
              <w:top w:val="single" w:sz="12" w:space="0" w:color="auto"/>
            </w:tcBorders>
            <w:vAlign w:val="center"/>
          </w:tcPr>
          <w:p w:rsidR="00475650" w:rsidRDefault="00475650">
            <w:pPr>
              <w:pStyle w:val="afff7"/>
              <w:snapToGrid w:val="0"/>
              <w:spacing w:line="228" w:lineRule="auto"/>
              <w:rPr>
                <w:sz w:val="21"/>
                <w:szCs w:val="21"/>
              </w:rPr>
            </w:pPr>
            <w:r>
              <w:rPr>
                <w:rFonts w:hAnsi="宋体"/>
                <w:sz w:val="21"/>
                <w:szCs w:val="21"/>
              </w:rPr>
              <w:t>污染物名称</w:t>
            </w:r>
          </w:p>
        </w:tc>
        <w:tc>
          <w:tcPr>
            <w:tcW w:w="1877" w:type="dxa"/>
            <w:tcBorders>
              <w:top w:val="single" w:sz="12" w:space="0" w:color="auto"/>
            </w:tcBorders>
            <w:vAlign w:val="center"/>
          </w:tcPr>
          <w:p w:rsidR="00475650" w:rsidRDefault="00475650">
            <w:pPr>
              <w:pStyle w:val="afff7"/>
              <w:snapToGrid w:val="0"/>
              <w:spacing w:line="228" w:lineRule="auto"/>
              <w:rPr>
                <w:sz w:val="21"/>
                <w:szCs w:val="21"/>
              </w:rPr>
            </w:pPr>
            <w:r>
              <w:rPr>
                <w:rFonts w:hAnsi="宋体"/>
                <w:sz w:val="21"/>
                <w:szCs w:val="21"/>
              </w:rPr>
              <w:t>取值时间</w:t>
            </w:r>
          </w:p>
        </w:tc>
        <w:tc>
          <w:tcPr>
            <w:tcW w:w="2320" w:type="dxa"/>
            <w:tcBorders>
              <w:top w:val="single" w:sz="12" w:space="0" w:color="auto"/>
            </w:tcBorders>
            <w:vAlign w:val="center"/>
          </w:tcPr>
          <w:p w:rsidR="00475650" w:rsidRDefault="00475650">
            <w:pPr>
              <w:pStyle w:val="afff7"/>
              <w:snapToGrid w:val="0"/>
              <w:spacing w:line="228" w:lineRule="auto"/>
              <w:rPr>
                <w:sz w:val="21"/>
                <w:szCs w:val="21"/>
              </w:rPr>
            </w:pPr>
            <w:r>
              <w:rPr>
                <w:rFonts w:hAnsi="宋体"/>
                <w:sz w:val="21"/>
                <w:szCs w:val="21"/>
              </w:rPr>
              <w:t>二级标准（</w:t>
            </w:r>
            <w:r>
              <w:rPr>
                <w:sz w:val="21"/>
                <w:szCs w:val="21"/>
              </w:rPr>
              <w:t>mg/m</w:t>
            </w:r>
            <w:r>
              <w:rPr>
                <w:sz w:val="21"/>
                <w:szCs w:val="21"/>
                <w:vertAlign w:val="superscript"/>
              </w:rPr>
              <w:t>3</w:t>
            </w:r>
            <w:r>
              <w:rPr>
                <w:rFonts w:hAnsi="宋体"/>
                <w:sz w:val="21"/>
                <w:szCs w:val="21"/>
              </w:rPr>
              <w:t>）</w:t>
            </w:r>
          </w:p>
        </w:tc>
        <w:tc>
          <w:tcPr>
            <w:tcW w:w="2334" w:type="dxa"/>
            <w:tcBorders>
              <w:top w:val="single" w:sz="12" w:space="0" w:color="auto"/>
              <w:right w:val="single" w:sz="12" w:space="0" w:color="auto"/>
            </w:tcBorders>
            <w:vAlign w:val="center"/>
          </w:tcPr>
          <w:p w:rsidR="00475650" w:rsidRDefault="00475650">
            <w:pPr>
              <w:pStyle w:val="afff7"/>
              <w:snapToGrid w:val="0"/>
              <w:spacing w:line="228" w:lineRule="auto"/>
              <w:rPr>
                <w:sz w:val="21"/>
                <w:szCs w:val="21"/>
              </w:rPr>
            </w:pPr>
            <w:r>
              <w:rPr>
                <w:rFonts w:hAnsi="宋体"/>
                <w:sz w:val="21"/>
                <w:szCs w:val="21"/>
              </w:rPr>
              <w:t>标准来源</w:t>
            </w:r>
          </w:p>
        </w:tc>
      </w:tr>
      <w:tr w:rsidR="00475650">
        <w:trPr>
          <w:trHeight w:val="160"/>
          <w:jc w:val="center"/>
        </w:trPr>
        <w:tc>
          <w:tcPr>
            <w:tcW w:w="666" w:type="dxa"/>
            <w:vMerge w:val="restart"/>
            <w:tcBorders>
              <w:left w:val="single" w:sz="12" w:space="0" w:color="auto"/>
            </w:tcBorders>
            <w:vAlign w:val="center"/>
          </w:tcPr>
          <w:p w:rsidR="00475650" w:rsidRDefault="00475650">
            <w:pPr>
              <w:pStyle w:val="afff7"/>
              <w:snapToGrid w:val="0"/>
              <w:spacing w:line="228" w:lineRule="auto"/>
              <w:rPr>
                <w:sz w:val="21"/>
                <w:szCs w:val="21"/>
              </w:rPr>
            </w:pPr>
            <w:r>
              <w:rPr>
                <w:sz w:val="21"/>
                <w:szCs w:val="21"/>
              </w:rPr>
              <w:t>1</w:t>
            </w:r>
          </w:p>
        </w:tc>
        <w:tc>
          <w:tcPr>
            <w:tcW w:w="1658" w:type="dxa"/>
            <w:vMerge w:val="restart"/>
            <w:vAlign w:val="center"/>
          </w:tcPr>
          <w:p w:rsidR="00475650" w:rsidRDefault="00475650">
            <w:pPr>
              <w:pStyle w:val="afff7"/>
              <w:snapToGrid w:val="0"/>
              <w:spacing w:line="228" w:lineRule="auto"/>
              <w:rPr>
                <w:sz w:val="21"/>
                <w:szCs w:val="21"/>
              </w:rPr>
            </w:pPr>
            <w:r>
              <w:rPr>
                <w:sz w:val="21"/>
                <w:szCs w:val="21"/>
              </w:rPr>
              <w:t>SO</w:t>
            </w:r>
            <w:r>
              <w:rPr>
                <w:sz w:val="21"/>
                <w:szCs w:val="21"/>
                <w:vertAlign w:val="subscript"/>
              </w:rPr>
              <w:t>2</w:t>
            </w:r>
          </w:p>
        </w:tc>
        <w:tc>
          <w:tcPr>
            <w:tcW w:w="1877" w:type="dxa"/>
            <w:vAlign w:val="center"/>
          </w:tcPr>
          <w:p w:rsidR="00475650" w:rsidRDefault="00475650">
            <w:pPr>
              <w:pStyle w:val="afff7"/>
              <w:snapToGrid w:val="0"/>
              <w:spacing w:line="228" w:lineRule="auto"/>
              <w:rPr>
                <w:sz w:val="21"/>
                <w:szCs w:val="21"/>
              </w:rPr>
            </w:pPr>
            <w:r>
              <w:rPr>
                <w:rFonts w:hAnsi="宋体"/>
                <w:sz w:val="21"/>
                <w:szCs w:val="21"/>
              </w:rPr>
              <w:t>年平均</w:t>
            </w:r>
          </w:p>
        </w:tc>
        <w:tc>
          <w:tcPr>
            <w:tcW w:w="2320" w:type="dxa"/>
            <w:vAlign w:val="center"/>
          </w:tcPr>
          <w:p w:rsidR="00475650" w:rsidRDefault="00475650">
            <w:pPr>
              <w:pStyle w:val="afff7"/>
              <w:snapToGrid w:val="0"/>
              <w:spacing w:line="228" w:lineRule="auto"/>
              <w:rPr>
                <w:sz w:val="21"/>
                <w:szCs w:val="21"/>
              </w:rPr>
            </w:pPr>
            <w:r>
              <w:rPr>
                <w:sz w:val="21"/>
                <w:szCs w:val="21"/>
              </w:rPr>
              <w:t>0.06</w:t>
            </w:r>
          </w:p>
        </w:tc>
        <w:tc>
          <w:tcPr>
            <w:tcW w:w="2334" w:type="dxa"/>
            <w:vMerge w:val="restart"/>
            <w:tcBorders>
              <w:right w:val="single" w:sz="12" w:space="0" w:color="auto"/>
            </w:tcBorders>
            <w:vAlign w:val="center"/>
          </w:tcPr>
          <w:p w:rsidR="00475650" w:rsidRDefault="00475650">
            <w:pPr>
              <w:pStyle w:val="afff7"/>
              <w:snapToGrid w:val="0"/>
              <w:spacing w:line="228" w:lineRule="auto"/>
              <w:rPr>
                <w:sz w:val="21"/>
                <w:szCs w:val="21"/>
              </w:rPr>
            </w:pPr>
          </w:p>
          <w:p w:rsidR="00475650" w:rsidRDefault="00475650">
            <w:pPr>
              <w:pStyle w:val="afff7"/>
              <w:snapToGrid w:val="0"/>
              <w:spacing w:line="228" w:lineRule="auto"/>
              <w:rPr>
                <w:sz w:val="21"/>
                <w:szCs w:val="21"/>
              </w:rPr>
            </w:pPr>
          </w:p>
          <w:p w:rsidR="00475650" w:rsidRDefault="00475650">
            <w:pPr>
              <w:pStyle w:val="afff7"/>
              <w:snapToGrid w:val="0"/>
              <w:spacing w:line="228" w:lineRule="auto"/>
              <w:rPr>
                <w:sz w:val="21"/>
                <w:szCs w:val="21"/>
              </w:rPr>
            </w:pPr>
            <w:r>
              <w:rPr>
                <w:rFonts w:hAnsi="宋体"/>
                <w:sz w:val="21"/>
                <w:szCs w:val="21"/>
              </w:rPr>
              <w:t>《环境大气质量标准》</w:t>
            </w:r>
          </w:p>
          <w:p w:rsidR="00475650" w:rsidRDefault="00475650">
            <w:pPr>
              <w:pStyle w:val="afff7"/>
              <w:snapToGrid w:val="0"/>
              <w:spacing w:line="228" w:lineRule="auto"/>
              <w:rPr>
                <w:sz w:val="21"/>
                <w:szCs w:val="21"/>
              </w:rPr>
            </w:pPr>
            <w:r>
              <w:rPr>
                <w:rFonts w:hAnsi="宋体"/>
                <w:sz w:val="21"/>
                <w:szCs w:val="21"/>
              </w:rPr>
              <w:t>（</w:t>
            </w:r>
            <w:r>
              <w:rPr>
                <w:sz w:val="21"/>
                <w:szCs w:val="21"/>
              </w:rPr>
              <w:t>GB3095-2012</w:t>
            </w:r>
            <w:r>
              <w:rPr>
                <w:rFonts w:hAnsi="宋体"/>
                <w:sz w:val="21"/>
                <w:szCs w:val="21"/>
              </w:rPr>
              <w:t>）</w:t>
            </w:r>
          </w:p>
        </w:tc>
      </w:tr>
      <w:tr w:rsidR="00475650">
        <w:trPr>
          <w:trHeight w:val="160"/>
          <w:jc w:val="center"/>
        </w:trPr>
        <w:tc>
          <w:tcPr>
            <w:tcW w:w="666" w:type="dxa"/>
            <w:vMerge/>
            <w:tcBorders>
              <w:left w:val="single" w:sz="12" w:space="0" w:color="auto"/>
            </w:tcBorders>
            <w:vAlign w:val="center"/>
          </w:tcPr>
          <w:p w:rsidR="00475650" w:rsidRDefault="00475650">
            <w:pPr>
              <w:pStyle w:val="afff7"/>
              <w:snapToGrid w:val="0"/>
              <w:spacing w:line="228" w:lineRule="auto"/>
              <w:rPr>
                <w:sz w:val="21"/>
                <w:szCs w:val="21"/>
              </w:rPr>
            </w:pPr>
          </w:p>
        </w:tc>
        <w:tc>
          <w:tcPr>
            <w:tcW w:w="1658" w:type="dxa"/>
            <w:vMerge/>
            <w:vAlign w:val="center"/>
          </w:tcPr>
          <w:p w:rsidR="00475650" w:rsidRDefault="00475650">
            <w:pPr>
              <w:pStyle w:val="afff7"/>
              <w:snapToGrid w:val="0"/>
              <w:spacing w:line="228" w:lineRule="auto"/>
              <w:rPr>
                <w:sz w:val="21"/>
                <w:szCs w:val="21"/>
              </w:rPr>
            </w:pPr>
          </w:p>
        </w:tc>
        <w:tc>
          <w:tcPr>
            <w:tcW w:w="1877" w:type="dxa"/>
            <w:vAlign w:val="center"/>
          </w:tcPr>
          <w:p w:rsidR="00475650" w:rsidRDefault="00475650">
            <w:pPr>
              <w:pStyle w:val="afff7"/>
              <w:snapToGrid w:val="0"/>
              <w:spacing w:line="228" w:lineRule="auto"/>
              <w:rPr>
                <w:sz w:val="21"/>
                <w:szCs w:val="21"/>
              </w:rPr>
            </w:pPr>
            <w:r>
              <w:rPr>
                <w:rFonts w:hAnsi="宋体"/>
                <w:sz w:val="21"/>
                <w:szCs w:val="21"/>
              </w:rPr>
              <w:t>日平均</w:t>
            </w:r>
          </w:p>
        </w:tc>
        <w:tc>
          <w:tcPr>
            <w:tcW w:w="2320" w:type="dxa"/>
            <w:vAlign w:val="center"/>
          </w:tcPr>
          <w:p w:rsidR="00475650" w:rsidRDefault="00475650">
            <w:pPr>
              <w:pStyle w:val="afff7"/>
              <w:snapToGrid w:val="0"/>
              <w:spacing w:line="228" w:lineRule="auto"/>
              <w:rPr>
                <w:sz w:val="21"/>
                <w:szCs w:val="21"/>
              </w:rPr>
            </w:pPr>
            <w:r>
              <w:rPr>
                <w:sz w:val="21"/>
                <w:szCs w:val="21"/>
              </w:rPr>
              <w:t>0.15</w:t>
            </w:r>
          </w:p>
        </w:tc>
        <w:tc>
          <w:tcPr>
            <w:tcW w:w="2334" w:type="dxa"/>
            <w:vMerge/>
            <w:tcBorders>
              <w:right w:val="single" w:sz="12" w:space="0" w:color="auto"/>
            </w:tcBorders>
            <w:vAlign w:val="center"/>
          </w:tcPr>
          <w:p w:rsidR="00475650" w:rsidRDefault="00475650">
            <w:pPr>
              <w:pStyle w:val="afff7"/>
              <w:snapToGrid w:val="0"/>
              <w:spacing w:line="228" w:lineRule="auto"/>
              <w:rPr>
                <w:sz w:val="21"/>
                <w:szCs w:val="21"/>
              </w:rPr>
            </w:pPr>
          </w:p>
        </w:tc>
      </w:tr>
      <w:tr w:rsidR="00475650">
        <w:trPr>
          <w:trHeight w:val="160"/>
          <w:jc w:val="center"/>
        </w:trPr>
        <w:tc>
          <w:tcPr>
            <w:tcW w:w="666" w:type="dxa"/>
            <w:vMerge/>
            <w:tcBorders>
              <w:left w:val="single" w:sz="12" w:space="0" w:color="auto"/>
            </w:tcBorders>
            <w:vAlign w:val="center"/>
          </w:tcPr>
          <w:p w:rsidR="00475650" w:rsidRDefault="00475650">
            <w:pPr>
              <w:pStyle w:val="afff7"/>
              <w:snapToGrid w:val="0"/>
              <w:spacing w:line="228" w:lineRule="auto"/>
              <w:rPr>
                <w:sz w:val="21"/>
                <w:szCs w:val="21"/>
              </w:rPr>
            </w:pPr>
          </w:p>
        </w:tc>
        <w:tc>
          <w:tcPr>
            <w:tcW w:w="1658" w:type="dxa"/>
            <w:vMerge/>
            <w:vAlign w:val="center"/>
          </w:tcPr>
          <w:p w:rsidR="00475650" w:rsidRDefault="00475650">
            <w:pPr>
              <w:pStyle w:val="afff7"/>
              <w:snapToGrid w:val="0"/>
              <w:spacing w:line="228" w:lineRule="auto"/>
              <w:rPr>
                <w:sz w:val="21"/>
                <w:szCs w:val="21"/>
              </w:rPr>
            </w:pPr>
          </w:p>
        </w:tc>
        <w:tc>
          <w:tcPr>
            <w:tcW w:w="1877" w:type="dxa"/>
            <w:vAlign w:val="center"/>
          </w:tcPr>
          <w:p w:rsidR="00475650" w:rsidRDefault="00475650">
            <w:pPr>
              <w:pStyle w:val="afff7"/>
              <w:snapToGrid w:val="0"/>
              <w:spacing w:line="228" w:lineRule="auto"/>
              <w:rPr>
                <w:sz w:val="21"/>
                <w:szCs w:val="21"/>
              </w:rPr>
            </w:pPr>
            <w:r>
              <w:rPr>
                <w:sz w:val="21"/>
                <w:szCs w:val="21"/>
              </w:rPr>
              <w:t>1</w:t>
            </w:r>
            <w:r>
              <w:rPr>
                <w:rFonts w:hAnsi="宋体"/>
                <w:sz w:val="21"/>
                <w:szCs w:val="21"/>
              </w:rPr>
              <w:t>小时平均</w:t>
            </w:r>
          </w:p>
        </w:tc>
        <w:tc>
          <w:tcPr>
            <w:tcW w:w="2320" w:type="dxa"/>
            <w:vAlign w:val="center"/>
          </w:tcPr>
          <w:p w:rsidR="00475650" w:rsidRDefault="00475650">
            <w:pPr>
              <w:pStyle w:val="afff7"/>
              <w:snapToGrid w:val="0"/>
              <w:spacing w:line="228" w:lineRule="auto"/>
              <w:rPr>
                <w:sz w:val="21"/>
                <w:szCs w:val="21"/>
              </w:rPr>
            </w:pPr>
            <w:r>
              <w:rPr>
                <w:sz w:val="21"/>
                <w:szCs w:val="21"/>
              </w:rPr>
              <w:t>0.50</w:t>
            </w:r>
          </w:p>
        </w:tc>
        <w:tc>
          <w:tcPr>
            <w:tcW w:w="2334" w:type="dxa"/>
            <w:vMerge/>
            <w:tcBorders>
              <w:right w:val="single" w:sz="12" w:space="0" w:color="auto"/>
            </w:tcBorders>
            <w:vAlign w:val="center"/>
          </w:tcPr>
          <w:p w:rsidR="00475650" w:rsidRDefault="00475650">
            <w:pPr>
              <w:pStyle w:val="afff7"/>
              <w:snapToGrid w:val="0"/>
              <w:spacing w:line="228" w:lineRule="auto"/>
              <w:rPr>
                <w:sz w:val="21"/>
                <w:szCs w:val="21"/>
              </w:rPr>
            </w:pPr>
          </w:p>
        </w:tc>
      </w:tr>
      <w:tr w:rsidR="00475650">
        <w:trPr>
          <w:trHeight w:val="160"/>
          <w:jc w:val="center"/>
        </w:trPr>
        <w:tc>
          <w:tcPr>
            <w:tcW w:w="666" w:type="dxa"/>
            <w:vMerge w:val="restart"/>
            <w:tcBorders>
              <w:left w:val="single" w:sz="12" w:space="0" w:color="auto"/>
            </w:tcBorders>
            <w:vAlign w:val="center"/>
          </w:tcPr>
          <w:p w:rsidR="00475650" w:rsidRDefault="00475650">
            <w:pPr>
              <w:pStyle w:val="afff7"/>
              <w:snapToGrid w:val="0"/>
              <w:spacing w:line="228" w:lineRule="auto"/>
              <w:rPr>
                <w:sz w:val="21"/>
                <w:szCs w:val="21"/>
              </w:rPr>
            </w:pPr>
            <w:r>
              <w:rPr>
                <w:sz w:val="21"/>
                <w:szCs w:val="21"/>
              </w:rPr>
              <w:t>2</w:t>
            </w:r>
          </w:p>
        </w:tc>
        <w:tc>
          <w:tcPr>
            <w:tcW w:w="1658" w:type="dxa"/>
            <w:vMerge w:val="restart"/>
            <w:vAlign w:val="center"/>
          </w:tcPr>
          <w:p w:rsidR="00475650" w:rsidRDefault="00475650">
            <w:pPr>
              <w:pStyle w:val="afff7"/>
              <w:snapToGrid w:val="0"/>
              <w:spacing w:line="228" w:lineRule="auto"/>
              <w:rPr>
                <w:sz w:val="21"/>
                <w:szCs w:val="21"/>
              </w:rPr>
            </w:pPr>
            <w:r>
              <w:rPr>
                <w:sz w:val="21"/>
                <w:szCs w:val="21"/>
              </w:rPr>
              <w:t>NO</w:t>
            </w:r>
            <w:r>
              <w:rPr>
                <w:sz w:val="21"/>
                <w:szCs w:val="21"/>
                <w:vertAlign w:val="subscript"/>
              </w:rPr>
              <w:t>2</w:t>
            </w:r>
          </w:p>
        </w:tc>
        <w:tc>
          <w:tcPr>
            <w:tcW w:w="1877" w:type="dxa"/>
            <w:vAlign w:val="center"/>
          </w:tcPr>
          <w:p w:rsidR="00475650" w:rsidRDefault="00475650">
            <w:pPr>
              <w:pStyle w:val="afff7"/>
              <w:snapToGrid w:val="0"/>
              <w:spacing w:line="228" w:lineRule="auto"/>
              <w:rPr>
                <w:sz w:val="21"/>
                <w:szCs w:val="21"/>
              </w:rPr>
            </w:pPr>
            <w:r>
              <w:rPr>
                <w:rFonts w:hAnsi="宋体"/>
                <w:sz w:val="21"/>
                <w:szCs w:val="21"/>
              </w:rPr>
              <w:t>年平均</w:t>
            </w:r>
          </w:p>
        </w:tc>
        <w:tc>
          <w:tcPr>
            <w:tcW w:w="2320" w:type="dxa"/>
            <w:vAlign w:val="center"/>
          </w:tcPr>
          <w:p w:rsidR="00475650" w:rsidRDefault="00475650">
            <w:pPr>
              <w:pStyle w:val="afff7"/>
              <w:snapToGrid w:val="0"/>
              <w:spacing w:line="228" w:lineRule="auto"/>
              <w:rPr>
                <w:sz w:val="21"/>
                <w:szCs w:val="21"/>
              </w:rPr>
            </w:pPr>
            <w:r>
              <w:rPr>
                <w:sz w:val="21"/>
                <w:szCs w:val="21"/>
              </w:rPr>
              <w:t>0.04</w:t>
            </w:r>
          </w:p>
        </w:tc>
        <w:tc>
          <w:tcPr>
            <w:tcW w:w="2334" w:type="dxa"/>
            <w:vMerge/>
            <w:tcBorders>
              <w:right w:val="single" w:sz="12" w:space="0" w:color="auto"/>
            </w:tcBorders>
            <w:vAlign w:val="center"/>
          </w:tcPr>
          <w:p w:rsidR="00475650" w:rsidRDefault="00475650">
            <w:pPr>
              <w:pStyle w:val="afff7"/>
              <w:snapToGrid w:val="0"/>
              <w:spacing w:line="228" w:lineRule="auto"/>
              <w:rPr>
                <w:sz w:val="21"/>
                <w:szCs w:val="21"/>
              </w:rPr>
            </w:pPr>
          </w:p>
        </w:tc>
      </w:tr>
      <w:tr w:rsidR="00475650">
        <w:trPr>
          <w:trHeight w:val="160"/>
          <w:jc w:val="center"/>
        </w:trPr>
        <w:tc>
          <w:tcPr>
            <w:tcW w:w="666" w:type="dxa"/>
            <w:vMerge/>
            <w:tcBorders>
              <w:left w:val="single" w:sz="12" w:space="0" w:color="auto"/>
            </w:tcBorders>
            <w:vAlign w:val="center"/>
          </w:tcPr>
          <w:p w:rsidR="00475650" w:rsidRDefault="00475650">
            <w:pPr>
              <w:pStyle w:val="afff7"/>
              <w:snapToGrid w:val="0"/>
              <w:spacing w:line="228" w:lineRule="auto"/>
              <w:rPr>
                <w:sz w:val="21"/>
                <w:szCs w:val="21"/>
              </w:rPr>
            </w:pPr>
          </w:p>
        </w:tc>
        <w:tc>
          <w:tcPr>
            <w:tcW w:w="1658" w:type="dxa"/>
            <w:vMerge/>
            <w:vAlign w:val="center"/>
          </w:tcPr>
          <w:p w:rsidR="00475650" w:rsidRDefault="00475650">
            <w:pPr>
              <w:pStyle w:val="afff7"/>
              <w:snapToGrid w:val="0"/>
              <w:spacing w:line="228" w:lineRule="auto"/>
              <w:rPr>
                <w:sz w:val="21"/>
                <w:szCs w:val="21"/>
              </w:rPr>
            </w:pPr>
          </w:p>
        </w:tc>
        <w:tc>
          <w:tcPr>
            <w:tcW w:w="1877" w:type="dxa"/>
            <w:vAlign w:val="center"/>
          </w:tcPr>
          <w:p w:rsidR="00475650" w:rsidRDefault="00475650">
            <w:pPr>
              <w:pStyle w:val="afff7"/>
              <w:snapToGrid w:val="0"/>
              <w:spacing w:line="228" w:lineRule="auto"/>
              <w:rPr>
                <w:sz w:val="21"/>
                <w:szCs w:val="21"/>
              </w:rPr>
            </w:pPr>
            <w:r>
              <w:rPr>
                <w:rFonts w:hAnsi="宋体"/>
                <w:sz w:val="21"/>
                <w:szCs w:val="21"/>
              </w:rPr>
              <w:t>日平均</w:t>
            </w:r>
          </w:p>
        </w:tc>
        <w:tc>
          <w:tcPr>
            <w:tcW w:w="2320" w:type="dxa"/>
            <w:vAlign w:val="center"/>
          </w:tcPr>
          <w:p w:rsidR="00475650" w:rsidRDefault="00475650">
            <w:pPr>
              <w:pStyle w:val="afff7"/>
              <w:snapToGrid w:val="0"/>
              <w:spacing w:line="228" w:lineRule="auto"/>
              <w:rPr>
                <w:sz w:val="21"/>
                <w:szCs w:val="21"/>
              </w:rPr>
            </w:pPr>
            <w:r>
              <w:rPr>
                <w:sz w:val="21"/>
                <w:szCs w:val="21"/>
              </w:rPr>
              <w:t>0.08</w:t>
            </w:r>
          </w:p>
        </w:tc>
        <w:tc>
          <w:tcPr>
            <w:tcW w:w="2334" w:type="dxa"/>
            <w:vMerge/>
            <w:tcBorders>
              <w:right w:val="single" w:sz="12" w:space="0" w:color="auto"/>
            </w:tcBorders>
            <w:vAlign w:val="center"/>
          </w:tcPr>
          <w:p w:rsidR="00475650" w:rsidRDefault="00475650">
            <w:pPr>
              <w:pStyle w:val="afff7"/>
              <w:snapToGrid w:val="0"/>
              <w:spacing w:line="228" w:lineRule="auto"/>
              <w:rPr>
                <w:sz w:val="21"/>
                <w:szCs w:val="21"/>
              </w:rPr>
            </w:pPr>
          </w:p>
        </w:tc>
      </w:tr>
      <w:tr w:rsidR="00475650">
        <w:trPr>
          <w:trHeight w:val="160"/>
          <w:jc w:val="center"/>
        </w:trPr>
        <w:tc>
          <w:tcPr>
            <w:tcW w:w="666" w:type="dxa"/>
            <w:vMerge/>
            <w:tcBorders>
              <w:left w:val="single" w:sz="12" w:space="0" w:color="auto"/>
            </w:tcBorders>
            <w:vAlign w:val="center"/>
          </w:tcPr>
          <w:p w:rsidR="00475650" w:rsidRDefault="00475650">
            <w:pPr>
              <w:pStyle w:val="afff7"/>
              <w:snapToGrid w:val="0"/>
              <w:spacing w:line="228" w:lineRule="auto"/>
              <w:rPr>
                <w:sz w:val="21"/>
                <w:szCs w:val="21"/>
              </w:rPr>
            </w:pPr>
          </w:p>
        </w:tc>
        <w:tc>
          <w:tcPr>
            <w:tcW w:w="1658" w:type="dxa"/>
            <w:vMerge/>
            <w:vAlign w:val="center"/>
          </w:tcPr>
          <w:p w:rsidR="00475650" w:rsidRDefault="00475650">
            <w:pPr>
              <w:pStyle w:val="afff7"/>
              <w:snapToGrid w:val="0"/>
              <w:spacing w:line="228" w:lineRule="auto"/>
              <w:rPr>
                <w:sz w:val="21"/>
                <w:szCs w:val="21"/>
              </w:rPr>
            </w:pPr>
          </w:p>
        </w:tc>
        <w:tc>
          <w:tcPr>
            <w:tcW w:w="1877" w:type="dxa"/>
            <w:vAlign w:val="center"/>
          </w:tcPr>
          <w:p w:rsidR="00475650" w:rsidRDefault="00475650">
            <w:pPr>
              <w:pStyle w:val="afff7"/>
              <w:snapToGrid w:val="0"/>
              <w:spacing w:line="228" w:lineRule="auto"/>
              <w:rPr>
                <w:sz w:val="21"/>
                <w:szCs w:val="21"/>
              </w:rPr>
            </w:pPr>
            <w:r>
              <w:rPr>
                <w:sz w:val="21"/>
                <w:szCs w:val="21"/>
              </w:rPr>
              <w:t>1</w:t>
            </w:r>
            <w:r>
              <w:rPr>
                <w:rFonts w:hAnsi="宋体"/>
                <w:sz w:val="21"/>
                <w:szCs w:val="21"/>
              </w:rPr>
              <w:t>小时平均</w:t>
            </w:r>
          </w:p>
        </w:tc>
        <w:tc>
          <w:tcPr>
            <w:tcW w:w="2320" w:type="dxa"/>
            <w:vAlign w:val="center"/>
          </w:tcPr>
          <w:p w:rsidR="00475650" w:rsidRDefault="00475650">
            <w:pPr>
              <w:pStyle w:val="afff7"/>
              <w:snapToGrid w:val="0"/>
              <w:spacing w:line="228" w:lineRule="auto"/>
              <w:rPr>
                <w:sz w:val="21"/>
                <w:szCs w:val="21"/>
              </w:rPr>
            </w:pPr>
            <w:r>
              <w:rPr>
                <w:sz w:val="21"/>
                <w:szCs w:val="21"/>
              </w:rPr>
              <w:t>0.20</w:t>
            </w:r>
          </w:p>
        </w:tc>
        <w:tc>
          <w:tcPr>
            <w:tcW w:w="2334" w:type="dxa"/>
            <w:vMerge/>
            <w:tcBorders>
              <w:right w:val="single" w:sz="12" w:space="0" w:color="auto"/>
            </w:tcBorders>
            <w:vAlign w:val="center"/>
          </w:tcPr>
          <w:p w:rsidR="00475650" w:rsidRDefault="00475650">
            <w:pPr>
              <w:pStyle w:val="afff7"/>
              <w:snapToGrid w:val="0"/>
              <w:spacing w:line="228" w:lineRule="auto"/>
              <w:rPr>
                <w:sz w:val="21"/>
                <w:szCs w:val="21"/>
              </w:rPr>
            </w:pPr>
          </w:p>
        </w:tc>
      </w:tr>
      <w:tr w:rsidR="00475650">
        <w:trPr>
          <w:trHeight w:val="160"/>
          <w:jc w:val="center"/>
        </w:trPr>
        <w:tc>
          <w:tcPr>
            <w:tcW w:w="666" w:type="dxa"/>
            <w:vMerge w:val="restart"/>
            <w:tcBorders>
              <w:left w:val="single" w:sz="12" w:space="0" w:color="auto"/>
            </w:tcBorders>
            <w:vAlign w:val="center"/>
          </w:tcPr>
          <w:p w:rsidR="00475650" w:rsidRDefault="00475650">
            <w:pPr>
              <w:pStyle w:val="afff7"/>
              <w:snapToGrid w:val="0"/>
              <w:spacing w:line="228" w:lineRule="auto"/>
              <w:rPr>
                <w:sz w:val="21"/>
                <w:szCs w:val="21"/>
              </w:rPr>
            </w:pPr>
            <w:r>
              <w:rPr>
                <w:sz w:val="21"/>
                <w:szCs w:val="21"/>
              </w:rPr>
              <w:t>3</w:t>
            </w:r>
          </w:p>
        </w:tc>
        <w:tc>
          <w:tcPr>
            <w:tcW w:w="1658" w:type="dxa"/>
            <w:vMerge w:val="restart"/>
            <w:vAlign w:val="center"/>
          </w:tcPr>
          <w:p w:rsidR="00475650" w:rsidRDefault="00475650">
            <w:pPr>
              <w:pStyle w:val="afff7"/>
              <w:snapToGrid w:val="0"/>
              <w:spacing w:line="228" w:lineRule="auto"/>
              <w:rPr>
                <w:sz w:val="21"/>
                <w:szCs w:val="21"/>
              </w:rPr>
            </w:pPr>
            <w:r>
              <w:rPr>
                <w:sz w:val="21"/>
                <w:szCs w:val="21"/>
              </w:rPr>
              <w:t>PM</w:t>
            </w:r>
            <w:r>
              <w:rPr>
                <w:sz w:val="21"/>
                <w:szCs w:val="21"/>
                <w:vertAlign w:val="subscript"/>
              </w:rPr>
              <w:t>10</w:t>
            </w:r>
          </w:p>
        </w:tc>
        <w:tc>
          <w:tcPr>
            <w:tcW w:w="1877" w:type="dxa"/>
            <w:vAlign w:val="center"/>
          </w:tcPr>
          <w:p w:rsidR="00475650" w:rsidRDefault="00475650">
            <w:pPr>
              <w:pStyle w:val="afff7"/>
              <w:snapToGrid w:val="0"/>
              <w:spacing w:line="228" w:lineRule="auto"/>
              <w:rPr>
                <w:sz w:val="21"/>
                <w:szCs w:val="21"/>
              </w:rPr>
            </w:pPr>
            <w:r>
              <w:rPr>
                <w:rFonts w:hAnsi="宋体"/>
                <w:sz w:val="21"/>
                <w:szCs w:val="21"/>
              </w:rPr>
              <w:t>年平均</w:t>
            </w:r>
          </w:p>
        </w:tc>
        <w:tc>
          <w:tcPr>
            <w:tcW w:w="2320" w:type="dxa"/>
            <w:vAlign w:val="center"/>
          </w:tcPr>
          <w:p w:rsidR="00475650" w:rsidRDefault="00475650">
            <w:pPr>
              <w:pStyle w:val="afff7"/>
              <w:snapToGrid w:val="0"/>
              <w:spacing w:line="228" w:lineRule="auto"/>
              <w:rPr>
                <w:sz w:val="21"/>
                <w:szCs w:val="21"/>
              </w:rPr>
            </w:pPr>
            <w:r>
              <w:rPr>
                <w:sz w:val="21"/>
                <w:szCs w:val="21"/>
              </w:rPr>
              <w:t>0.07</w:t>
            </w:r>
          </w:p>
        </w:tc>
        <w:tc>
          <w:tcPr>
            <w:tcW w:w="2334" w:type="dxa"/>
            <w:vMerge/>
            <w:tcBorders>
              <w:right w:val="single" w:sz="12" w:space="0" w:color="auto"/>
            </w:tcBorders>
            <w:vAlign w:val="center"/>
          </w:tcPr>
          <w:p w:rsidR="00475650" w:rsidRDefault="00475650">
            <w:pPr>
              <w:pStyle w:val="afff7"/>
              <w:snapToGrid w:val="0"/>
              <w:spacing w:line="228" w:lineRule="auto"/>
              <w:rPr>
                <w:sz w:val="21"/>
                <w:szCs w:val="21"/>
              </w:rPr>
            </w:pPr>
          </w:p>
        </w:tc>
      </w:tr>
      <w:tr w:rsidR="00475650">
        <w:trPr>
          <w:trHeight w:val="160"/>
          <w:jc w:val="center"/>
        </w:trPr>
        <w:tc>
          <w:tcPr>
            <w:tcW w:w="666" w:type="dxa"/>
            <w:vMerge/>
            <w:tcBorders>
              <w:left w:val="single" w:sz="12" w:space="0" w:color="auto"/>
            </w:tcBorders>
            <w:vAlign w:val="center"/>
          </w:tcPr>
          <w:p w:rsidR="00475650" w:rsidRDefault="00475650">
            <w:pPr>
              <w:pStyle w:val="afff7"/>
              <w:snapToGrid w:val="0"/>
              <w:spacing w:line="228" w:lineRule="auto"/>
              <w:rPr>
                <w:sz w:val="21"/>
                <w:szCs w:val="21"/>
              </w:rPr>
            </w:pPr>
          </w:p>
        </w:tc>
        <w:tc>
          <w:tcPr>
            <w:tcW w:w="1658" w:type="dxa"/>
            <w:vMerge/>
            <w:vAlign w:val="center"/>
          </w:tcPr>
          <w:p w:rsidR="00475650" w:rsidRDefault="00475650">
            <w:pPr>
              <w:pStyle w:val="afff7"/>
              <w:snapToGrid w:val="0"/>
              <w:spacing w:line="228" w:lineRule="auto"/>
              <w:rPr>
                <w:sz w:val="21"/>
                <w:szCs w:val="21"/>
              </w:rPr>
            </w:pPr>
          </w:p>
        </w:tc>
        <w:tc>
          <w:tcPr>
            <w:tcW w:w="1877" w:type="dxa"/>
            <w:vAlign w:val="center"/>
          </w:tcPr>
          <w:p w:rsidR="00475650" w:rsidRDefault="00475650">
            <w:pPr>
              <w:pStyle w:val="afff7"/>
              <w:snapToGrid w:val="0"/>
              <w:spacing w:line="228" w:lineRule="auto"/>
              <w:rPr>
                <w:sz w:val="21"/>
                <w:szCs w:val="21"/>
              </w:rPr>
            </w:pPr>
            <w:r>
              <w:rPr>
                <w:rFonts w:hAnsi="宋体"/>
                <w:sz w:val="21"/>
                <w:szCs w:val="21"/>
              </w:rPr>
              <w:t>日平均</w:t>
            </w:r>
          </w:p>
        </w:tc>
        <w:tc>
          <w:tcPr>
            <w:tcW w:w="2320" w:type="dxa"/>
            <w:vAlign w:val="center"/>
          </w:tcPr>
          <w:p w:rsidR="00475650" w:rsidRDefault="00475650">
            <w:pPr>
              <w:pStyle w:val="afff7"/>
              <w:snapToGrid w:val="0"/>
              <w:spacing w:line="228" w:lineRule="auto"/>
              <w:rPr>
                <w:sz w:val="21"/>
                <w:szCs w:val="21"/>
              </w:rPr>
            </w:pPr>
            <w:r>
              <w:rPr>
                <w:sz w:val="21"/>
                <w:szCs w:val="21"/>
              </w:rPr>
              <w:t>0.15</w:t>
            </w:r>
          </w:p>
        </w:tc>
        <w:tc>
          <w:tcPr>
            <w:tcW w:w="2334" w:type="dxa"/>
            <w:vMerge/>
            <w:tcBorders>
              <w:right w:val="single" w:sz="12" w:space="0" w:color="auto"/>
            </w:tcBorders>
            <w:vAlign w:val="center"/>
          </w:tcPr>
          <w:p w:rsidR="00475650" w:rsidRDefault="00475650">
            <w:pPr>
              <w:pStyle w:val="afff7"/>
              <w:snapToGrid w:val="0"/>
              <w:spacing w:line="228" w:lineRule="auto"/>
              <w:rPr>
                <w:sz w:val="21"/>
                <w:szCs w:val="21"/>
              </w:rPr>
            </w:pPr>
          </w:p>
        </w:tc>
      </w:tr>
      <w:tr w:rsidR="00475650">
        <w:trPr>
          <w:trHeight w:val="160"/>
          <w:jc w:val="center"/>
        </w:trPr>
        <w:tc>
          <w:tcPr>
            <w:tcW w:w="666" w:type="dxa"/>
            <w:tcBorders>
              <w:left w:val="single" w:sz="12" w:space="0" w:color="auto"/>
            </w:tcBorders>
            <w:vAlign w:val="center"/>
          </w:tcPr>
          <w:p w:rsidR="00475650" w:rsidRDefault="00475650">
            <w:pPr>
              <w:pStyle w:val="afffffffff2"/>
              <w:snapToGrid w:val="0"/>
              <w:spacing w:line="228" w:lineRule="auto"/>
              <w:jc w:val="center"/>
              <w:rPr>
                <w:rFonts w:ascii="Times New Roman" w:hAnsi="Times New Roman" w:cs="Times New Roman"/>
              </w:rPr>
            </w:pPr>
            <w:r>
              <w:rPr>
                <w:rFonts w:ascii="Times New Roman" w:hAnsi="Times New Roman" w:cs="Times New Roman"/>
              </w:rPr>
              <w:t>4</w:t>
            </w:r>
          </w:p>
        </w:tc>
        <w:tc>
          <w:tcPr>
            <w:tcW w:w="1658" w:type="dxa"/>
            <w:vAlign w:val="center"/>
          </w:tcPr>
          <w:p w:rsidR="00475650" w:rsidRDefault="00475650">
            <w:pPr>
              <w:pStyle w:val="afffffffff2"/>
              <w:snapToGrid w:val="0"/>
              <w:spacing w:line="228" w:lineRule="auto"/>
              <w:jc w:val="center"/>
              <w:rPr>
                <w:rFonts w:ascii="Times New Roman" w:hAnsi="Times New Roman" w:cs="Times New Roman"/>
              </w:rPr>
            </w:pPr>
            <w:r>
              <w:rPr>
                <w:rFonts w:ascii="Times New Roman" w:hAnsi="宋体" w:cs="Times New Roman"/>
              </w:rPr>
              <w:t>氨</w:t>
            </w:r>
          </w:p>
        </w:tc>
        <w:tc>
          <w:tcPr>
            <w:tcW w:w="1877" w:type="dxa"/>
            <w:vAlign w:val="center"/>
          </w:tcPr>
          <w:p w:rsidR="00475650" w:rsidRDefault="00475650">
            <w:pPr>
              <w:pStyle w:val="afffffffff2"/>
              <w:snapToGrid w:val="0"/>
              <w:spacing w:line="228" w:lineRule="auto"/>
              <w:jc w:val="center"/>
              <w:rPr>
                <w:rFonts w:ascii="Times New Roman" w:hAnsi="Times New Roman" w:cs="Times New Roman"/>
              </w:rPr>
            </w:pPr>
            <w:r>
              <w:rPr>
                <w:rFonts w:ascii="Times New Roman" w:hAnsi="宋体" w:cs="Times New Roman"/>
              </w:rPr>
              <w:t>一次</w:t>
            </w:r>
          </w:p>
        </w:tc>
        <w:tc>
          <w:tcPr>
            <w:tcW w:w="2320" w:type="dxa"/>
            <w:vAlign w:val="center"/>
          </w:tcPr>
          <w:p w:rsidR="00475650" w:rsidRDefault="00475650">
            <w:pPr>
              <w:pStyle w:val="afffffffff2"/>
              <w:snapToGrid w:val="0"/>
              <w:spacing w:line="228" w:lineRule="auto"/>
              <w:jc w:val="center"/>
              <w:rPr>
                <w:rFonts w:ascii="Times New Roman" w:hAnsi="Times New Roman" w:cs="Times New Roman"/>
              </w:rPr>
            </w:pPr>
            <w:r>
              <w:rPr>
                <w:rFonts w:ascii="Times New Roman" w:hAnsi="Times New Roman" w:cs="Times New Roman"/>
              </w:rPr>
              <w:t>0.20</w:t>
            </w:r>
          </w:p>
        </w:tc>
        <w:tc>
          <w:tcPr>
            <w:tcW w:w="2334" w:type="dxa"/>
            <w:vMerge w:val="restart"/>
            <w:tcBorders>
              <w:right w:val="single" w:sz="12" w:space="0" w:color="auto"/>
            </w:tcBorders>
            <w:vAlign w:val="center"/>
          </w:tcPr>
          <w:p w:rsidR="00475650" w:rsidRDefault="00475650">
            <w:pPr>
              <w:pStyle w:val="afffffffff2"/>
              <w:snapToGrid w:val="0"/>
              <w:spacing w:line="228" w:lineRule="auto"/>
              <w:jc w:val="center"/>
              <w:rPr>
                <w:rFonts w:ascii="Times New Roman" w:hAnsi="Times New Roman" w:cs="Times New Roman"/>
                <w:kern w:val="0"/>
              </w:rPr>
            </w:pPr>
            <w:r>
              <w:rPr>
                <w:rFonts w:ascii="Times New Roman" w:hAnsi="宋体" w:cs="Times New Roman"/>
                <w:kern w:val="0"/>
              </w:rPr>
              <w:t>《工业企业设计卫生标准》（</w:t>
            </w:r>
            <w:r>
              <w:rPr>
                <w:rFonts w:ascii="Times New Roman" w:hAnsi="Times New Roman" w:cs="Times New Roman"/>
                <w:kern w:val="0"/>
              </w:rPr>
              <w:t>TJ36-79</w:t>
            </w:r>
            <w:r>
              <w:rPr>
                <w:rFonts w:ascii="Times New Roman" w:hAnsi="宋体" w:cs="Times New Roman"/>
                <w:kern w:val="0"/>
              </w:rPr>
              <w:t>）表</w:t>
            </w:r>
            <w:r>
              <w:rPr>
                <w:rFonts w:ascii="Times New Roman" w:hAnsi="Times New Roman" w:cs="Times New Roman"/>
                <w:kern w:val="0"/>
              </w:rPr>
              <w:t>1</w:t>
            </w:r>
            <w:r>
              <w:rPr>
                <w:rFonts w:ascii="Times New Roman" w:hAnsi="宋体" w:cs="Times New Roman"/>
                <w:kern w:val="0"/>
              </w:rPr>
              <w:t>，居住区大气中有害物质的最高允许浓度</w:t>
            </w:r>
          </w:p>
        </w:tc>
      </w:tr>
      <w:tr w:rsidR="00475650">
        <w:trPr>
          <w:trHeight w:val="160"/>
          <w:jc w:val="center"/>
        </w:trPr>
        <w:tc>
          <w:tcPr>
            <w:tcW w:w="666" w:type="dxa"/>
            <w:vMerge w:val="restart"/>
            <w:tcBorders>
              <w:left w:val="single" w:sz="12" w:space="0" w:color="auto"/>
            </w:tcBorders>
            <w:vAlign w:val="center"/>
          </w:tcPr>
          <w:p w:rsidR="00475650" w:rsidRDefault="00475650">
            <w:r>
              <w:t>5</w:t>
            </w:r>
          </w:p>
        </w:tc>
        <w:tc>
          <w:tcPr>
            <w:tcW w:w="1658" w:type="dxa"/>
            <w:vMerge w:val="restart"/>
            <w:vAlign w:val="center"/>
          </w:tcPr>
          <w:p w:rsidR="00475650" w:rsidRDefault="00475650">
            <w:pPr>
              <w:ind w:firstLineChars="150" w:firstLine="315"/>
            </w:pPr>
            <w:r>
              <w:rPr>
                <w:rFonts w:hAnsi="宋体"/>
              </w:rPr>
              <w:t>氯化氢</w:t>
            </w:r>
          </w:p>
        </w:tc>
        <w:tc>
          <w:tcPr>
            <w:tcW w:w="1877" w:type="dxa"/>
            <w:vAlign w:val="center"/>
          </w:tcPr>
          <w:p w:rsidR="00475650" w:rsidRDefault="00475650">
            <w:r>
              <w:rPr>
                <w:rFonts w:hAnsi="宋体"/>
              </w:rPr>
              <w:t>一次</w:t>
            </w:r>
          </w:p>
        </w:tc>
        <w:tc>
          <w:tcPr>
            <w:tcW w:w="2320" w:type="dxa"/>
            <w:vAlign w:val="center"/>
          </w:tcPr>
          <w:p w:rsidR="00475650" w:rsidRDefault="00475650">
            <w:r>
              <w:t>0.05</w:t>
            </w:r>
          </w:p>
        </w:tc>
        <w:tc>
          <w:tcPr>
            <w:tcW w:w="2334" w:type="dxa"/>
            <w:vMerge/>
            <w:tcBorders>
              <w:right w:val="single" w:sz="12" w:space="0" w:color="auto"/>
            </w:tcBorders>
            <w:vAlign w:val="center"/>
          </w:tcPr>
          <w:p w:rsidR="00475650" w:rsidRDefault="00475650">
            <w:pPr>
              <w:rPr>
                <w:kern w:val="0"/>
              </w:rPr>
            </w:pPr>
          </w:p>
        </w:tc>
      </w:tr>
      <w:tr w:rsidR="00475650">
        <w:trPr>
          <w:trHeight w:val="160"/>
          <w:jc w:val="center"/>
        </w:trPr>
        <w:tc>
          <w:tcPr>
            <w:tcW w:w="666" w:type="dxa"/>
            <w:vMerge/>
            <w:tcBorders>
              <w:left w:val="single" w:sz="12" w:space="0" w:color="auto"/>
            </w:tcBorders>
            <w:vAlign w:val="center"/>
          </w:tcPr>
          <w:p w:rsidR="00475650" w:rsidRDefault="00475650"/>
        </w:tc>
        <w:tc>
          <w:tcPr>
            <w:tcW w:w="1658" w:type="dxa"/>
            <w:vMerge/>
            <w:vAlign w:val="center"/>
          </w:tcPr>
          <w:p w:rsidR="00475650" w:rsidRDefault="00475650"/>
        </w:tc>
        <w:tc>
          <w:tcPr>
            <w:tcW w:w="1877" w:type="dxa"/>
            <w:vAlign w:val="center"/>
          </w:tcPr>
          <w:p w:rsidR="00475650" w:rsidRDefault="00475650">
            <w:r>
              <w:rPr>
                <w:rFonts w:hAnsi="宋体"/>
              </w:rPr>
              <w:t>日平均</w:t>
            </w:r>
          </w:p>
        </w:tc>
        <w:tc>
          <w:tcPr>
            <w:tcW w:w="2320" w:type="dxa"/>
            <w:vAlign w:val="center"/>
          </w:tcPr>
          <w:p w:rsidR="00475650" w:rsidRDefault="00475650">
            <w:r>
              <w:t>0.015</w:t>
            </w:r>
          </w:p>
        </w:tc>
        <w:tc>
          <w:tcPr>
            <w:tcW w:w="2334" w:type="dxa"/>
            <w:vMerge/>
            <w:tcBorders>
              <w:right w:val="single" w:sz="12" w:space="0" w:color="auto"/>
            </w:tcBorders>
            <w:vAlign w:val="center"/>
          </w:tcPr>
          <w:p w:rsidR="00475650" w:rsidRDefault="00475650">
            <w:pPr>
              <w:rPr>
                <w:kern w:val="0"/>
              </w:rPr>
            </w:pPr>
          </w:p>
        </w:tc>
      </w:tr>
    </w:tbl>
    <w:p w:rsidR="00475650" w:rsidRDefault="00475650">
      <w:pPr>
        <w:spacing w:line="312" w:lineRule="auto"/>
        <w:ind w:firstLineChars="200" w:firstLine="480"/>
        <w:rPr>
          <w:kern w:val="0"/>
          <w:sz w:val="24"/>
        </w:rPr>
      </w:pPr>
      <w:r>
        <w:rPr>
          <w:rFonts w:ascii="宋体" w:hAnsi="宋体"/>
          <w:kern w:val="0"/>
          <w:sz w:val="24"/>
        </w:rPr>
        <w:t>⑵</w:t>
      </w:r>
      <w:r>
        <w:rPr>
          <w:kern w:val="0"/>
          <w:sz w:val="24"/>
        </w:rPr>
        <w:t xml:space="preserve"> </w:t>
      </w:r>
      <w:r>
        <w:rPr>
          <w:rFonts w:hAnsi="宋体"/>
          <w:kern w:val="0"/>
          <w:sz w:val="24"/>
        </w:rPr>
        <w:t>地表水</w:t>
      </w:r>
    </w:p>
    <w:p w:rsidR="00475650" w:rsidRDefault="00475650">
      <w:pPr>
        <w:spacing w:line="312" w:lineRule="auto"/>
        <w:ind w:firstLineChars="200" w:firstLine="480"/>
        <w:rPr>
          <w:kern w:val="0"/>
          <w:sz w:val="24"/>
        </w:rPr>
      </w:pPr>
      <w:r>
        <w:rPr>
          <w:rFonts w:hAnsi="宋体"/>
          <w:kern w:val="0"/>
          <w:sz w:val="24"/>
        </w:rPr>
        <w:t>长江评价河段执行《地表水环境质量标准》</w:t>
      </w:r>
      <w:r>
        <w:rPr>
          <w:rFonts w:hAnsi="宋体" w:hint="eastAsia"/>
          <w:kern w:val="0"/>
          <w:sz w:val="24"/>
        </w:rPr>
        <w:t>（</w:t>
      </w:r>
      <w:r>
        <w:rPr>
          <w:kern w:val="0"/>
          <w:sz w:val="24"/>
        </w:rPr>
        <w:t>GB3838—2002</w:t>
      </w:r>
      <w:r>
        <w:rPr>
          <w:rFonts w:hint="eastAsia"/>
          <w:kern w:val="0"/>
          <w:sz w:val="24"/>
        </w:rPr>
        <w:t>）</w:t>
      </w:r>
      <w:r>
        <w:rPr>
          <w:rFonts w:hAnsi="宋体"/>
          <w:kern w:val="0"/>
          <w:sz w:val="24"/>
        </w:rPr>
        <w:t>中的</w:t>
      </w:r>
      <w:r>
        <w:rPr>
          <w:sz w:val="24"/>
        </w:rPr>
        <w:t>III</w:t>
      </w:r>
      <w:r>
        <w:rPr>
          <w:rFonts w:hAnsi="宋体"/>
          <w:kern w:val="0"/>
          <w:sz w:val="24"/>
        </w:rPr>
        <w:t>类标准。</w:t>
      </w:r>
    </w:p>
    <w:p w:rsidR="00475650" w:rsidRDefault="00475650">
      <w:pPr>
        <w:pStyle w:val="19"/>
        <w:numPr>
          <w:ilvl w:val="0"/>
          <w:numId w:val="0"/>
        </w:numPr>
        <w:tabs>
          <w:tab w:val="left" w:pos="3780"/>
        </w:tabs>
        <w:snapToGrid w:val="0"/>
        <w:spacing w:before="0" w:line="312" w:lineRule="auto"/>
        <w:rPr>
          <w:rFonts w:ascii="Times New Roman" w:eastAsia="宋体"/>
          <w:b w:val="0"/>
          <w:bCs/>
          <w:spacing w:val="0"/>
          <w:sz w:val="24"/>
          <w:szCs w:val="24"/>
        </w:rPr>
      </w:pPr>
      <w:r>
        <w:rPr>
          <w:rFonts w:ascii="Times New Roman" w:eastAsia="宋体" w:hAnsi="宋体"/>
          <w:b w:val="0"/>
          <w:bCs/>
          <w:spacing w:val="0"/>
          <w:sz w:val="24"/>
          <w:szCs w:val="24"/>
        </w:rPr>
        <w:t>表</w:t>
      </w:r>
      <w:r>
        <w:rPr>
          <w:rFonts w:ascii="Times New Roman" w:eastAsia="宋体"/>
          <w:b w:val="0"/>
          <w:bCs/>
          <w:spacing w:val="0"/>
          <w:sz w:val="24"/>
          <w:szCs w:val="24"/>
        </w:rPr>
        <w:t xml:space="preserve">1.3-4    </w:t>
      </w:r>
      <w:r>
        <w:rPr>
          <w:rFonts w:ascii="Times New Roman" w:eastAsia="宋体" w:hAnsi="宋体"/>
          <w:b w:val="0"/>
          <w:bCs/>
          <w:spacing w:val="0"/>
          <w:sz w:val="24"/>
          <w:szCs w:val="24"/>
        </w:rPr>
        <w:t>地表水环境质量标准一览表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tblPr>
      <w:tblGrid>
        <w:gridCol w:w="1050"/>
        <w:gridCol w:w="2791"/>
        <w:gridCol w:w="1636"/>
        <w:gridCol w:w="3283"/>
      </w:tblGrid>
      <w:tr w:rsidR="00475650">
        <w:trPr>
          <w:trHeight w:val="160"/>
          <w:jc w:val="center"/>
        </w:trPr>
        <w:tc>
          <w:tcPr>
            <w:tcW w:w="1050" w:type="dxa"/>
            <w:vAlign w:val="center"/>
          </w:tcPr>
          <w:p w:rsidR="00475650" w:rsidRDefault="00475650">
            <w:pPr>
              <w:pStyle w:val="afff7"/>
              <w:snapToGrid w:val="0"/>
              <w:spacing w:line="240" w:lineRule="auto"/>
              <w:rPr>
                <w:sz w:val="21"/>
                <w:szCs w:val="21"/>
              </w:rPr>
            </w:pPr>
            <w:r>
              <w:rPr>
                <w:rFonts w:hAnsi="宋体"/>
                <w:sz w:val="21"/>
                <w:szCs w:val="21"/>
              </w:rPr>
              <w:t>序号</w:t>
            </w:r>
          </w:p>
        </w:tc>
        <w:tc>
          <w:tcPr>
            <w:tcW w:w="2791" w:type="dxa"/>
            <w:vAlign w:val="center"/>
          </w:tcPr>
          <w:p w:rsidR="00475650" w:rsidRDefault="00475650">
            <w:pPr>
              <w:pStyle w:val="afff7"/>
              <w:snapToGrid w:val="0"/>
              <w:spacing w:line="240" w:lineRule="auto"/>
              <w:rPr>
                <w:sz w:val="21"/>
                <w:szCs w:val="21"/>
              </w:rPr>
            </w:pPr>
            <w:r>
              <w:rPr>
                <w:rFonts w:hAnsi="宋体"/>
                <w:sz w:val="21"/>
                <w:szCs w:val="21"/>
              </w:rPr>
              <w:t>项目</w:t>
            </w:r>
          </w:p>
        </w:tc>
        <w:tc>
          <w:tcPr>
            <w:tcW w:w="1636" w:type="dxa"/>
            <w:vAlign w:val="center"/>
          </w:tcPr>
          <w:p w:rsidR="00475650" w:rsidRDefault="00475650">
            <w:pPr>
              <w:pStyle w:val="afff7"/>
              <w:snapToGrid w:val="0"/>
              <w:spacing w:line="240" w:lineRule="auto"/>
              <w:rPr>
                <w:sz w:val="21"/>
                <w:szCs w:val="21"/>
              </w:rPr>
            </w:pPr>
            <w:r>
              <w:rPr>
                <w:rFonts w:ascii="宋体" w:hAnsi="宋体"/>
                <w:sz w:val="21"/>
                <w:szCs w:val="21"/>
              </w:rPr>
              <w:t>Ⅲ</w:t>
            </w:r>
            <w:r>
              <w:rPr>
                <w:rFonts w:hAnsi="宋体"/>
                <w:sz w:val="21"/>
                <w:szCs w:val="21"/>
              </w:rPr>
              <w:t>类标准值（</w:t>
            </w:r>
            <w:r>
              <w:rPr>
                <w:sz w:val="21"/>
                <w:szCs w:val="21"/>
              </w:rPr>
              <w:t>mg/L</w:t>
            </w:r>
            <w:r>
              <w:rPr>
                <w:rFonts w:hAnsi="宋体"/>
                <w:sz w:val="21"/>
                <w:szCs w:val="21"/>
              </w:rPr>
              <w:t>）</w:t>
            </w:r>
          </w:p>
        </w:tc>
        <w:tc>
          <w:tcPr>
            <w:tcW w:w="3283" w:type="dxa"/>
            <w:vAlign w:val="center"/>
          </w:tcPr>
          <w:p w:rsidR="00475650" w:rsidRDefault="00475650">
            <w:pPr>
              <w:pStyle w:val="afff7"/>
              <w:snapToGrid w:val="0"/>
              <w:spacing w:line="240" w:lineRule="auto"/>
              <w:rPr>
                <w:sz w:val="21"/>
                <w:szCs w:val="21"/>
              </w:rPr>
            </w:pPr>
            <w:r>
              <w:rPr>
                <w:rFonts w:hAnsi="宋体"/>
                <w:sz w:val="21"/>
                <w:szCs w:val="21"/>
              </w:rPr>
              <w:t>标准来源</w:t>
            </w:r>
          </w:p>
        </w:tc>
      </w:tr>
      <w:tr w:rsidR="00475650">
        <w:trPr>
          <w:trHeight w:val="160"/>
          <w:jc w:val="center"/>
        </w:trPr>
        <w:tc>
          <w:tcPr>
            <w:tcW w:w="1050" w:type="dxa"/>
            <w:vAlign w:val="center"/>
          </w:tcPr>
          <w:p w:rsidR="00475650" w:rsidRDefault="00475650">
            <w:pPr>
              <w:pStyle w:val="afff7"/>
              <w:snapToGrid w:val="0"/>
              <w:spacing w:line="240" w:lineRule="auto"/>
              <w:rPr>
                <w:sz w:val="21"/>
                <w:szCs w:val="21"/>
              </w:rPr>
            </w:pPr>
            <w:r>
              <w:rPr>
                <w:sz w:val="21"/>
                <w:szCs w:val="21"/>
              </w:rPr>
              <w:t>1</w:t>
            </w:r>
          </w:p>
        </w:tc>
        <w:tc>
          <w:tcPr>
            <w:tcW w:w="2791" w:type="dxa"/>
            <w:vAlign w:val="center"/>
          </w:tcPr>
          <w:p w:rsidR="00475650" w:rsidRDefault="00475650">
            <w:pPr>
              <w:pStyle w:val="afff7"/>
              <w:snapToGrid w:val="0"/>
              <w:spacing w:line="240" w:lineRule="auto"/>
              <w:rPr>
                <w:sz w:val="21"/>
                <w:szCs w:val="21"/>
              </w:rPr>
            </w:pPr>
            <w:r>
              <w:rPr>
                <w:sz w:val="21"/>
                <w:szCs w:val="21"/>
              </w:rPr>
              <w:t>pH</w:t>
            </w:r>
          </w:p>
        </w:tc>
        <w:tc>
          <w:tcPr>
            <w:tcW w:w="1636" w:type="dxa"/>
            <w:vAlign w:val="center"/>
          </w:tcPr>
          <w:p w:rsidR="00475650" w:rsidRDefault="00475650">
            <w:pPr>
              <w:pStyle w:val="afff7"/>
              <w:snapToGrid w:val="0"/>
              <w:spacing w:line="240" w:lineRule="auto"/>
              <w:rPr>
                <w:sz w:val="21"/>
                <w:szCs w:val="21"/>
              </w:rPr>
            </w:pPr>
            <w:r>
              <w:rPr>
                <w:sz w:val="21"/>
                <w:szCs w:val="21"/>
              </w:rPr>
              <w:t>6-9</w:t>
            </w:r>
          </w:p>
        </w:tc>
        <w:tc>
          <w:tcPr>
            <w:tcW w:w="3283" w:type="dxa"/>
            <w:vMerge w:val="restart"/>
            <w:vAlign w:val="center"/>
          </w:tcPr>
          <w:p w:rsidR="00475650" w:rsidRDefault="00475650">
            <w:pPr>
              <w:pStyle w:val="afff7"/>
              <w:snapToGrid w:val="0"/>
              <w:spacing w:line="240" w:lineRule="auto"/>
              <w:rPr>
                <w:sz w:val="21"/>
                <w:szCs w:val="21"/>
              </w:rPr>
            </w:pPr>
            <w:r>
              <w:rPr>
                <w:rFonts w:hAnsi="宋体"/>
                <w:sz w:val="21"/>
                <w:szCs w:val="21"/>
              </w:rPr>
              <w:t>《地表水环境质量标准》（</w:t>
            </w:r>
            <w:r>
              <w:rPr>
                <w:sz w:val="21"/>
                <w:szCs w:val="21"/>
              </w:rPr>
              <w:t>GB3838</w:t>
            </w:r>
            <w:r>
              <w:rPr>
                <w:rFonts w:hAnsi="宋体"/>
                <w:sz w:val="21"/>
                <w:szCs w:val="21"/>
              </w:rPr>
              <w:t>－</w:t>
            </w:r>
            <w:r>
              <w:rPr>
                <w:sz w:val="21"/>
                <w:szCs w:val="21"/>
              </w:rPr>
              <w:t>2002</w:t>
            </w:r>
            <w:r>
              <w:rPr>
                <w:rFonts w:hAnsi="宋体"/>
                <w:sz w:val="21"/>
                <w:szCs w:val="21"/>
              </w:rPr>
              <w:t>）</w:t>
            </w:r>
          </w:p>
        </w:tc>
      </w:tr>
      <w:tr w:rsidR="00475650">
        <w:trPr>
          <w:trHeight w:val="160"/>
          <w:jc w:val="center"/>
        </w:trPr>
        <w:tc>
          <w:tcPr>
            <w:tcW w:w="1050" w:type="dxa"/>
            <w:vAlign w:val="center"/>
          </w:tcPr>
          <w:p w:rsidR="00475650" w:rsidRDefault="00475650">
            <w:pPr>
              <w:pStyle w:val="afff7"/>
              <w:snapToGrid w:val="0"/>
              <w:spacing w:line="240" w:lineRule="auto"/>
              <w:rPr>
                <w:sz w:val="21"/>
                <w:szCs w:val="21"/>
              </w:rPr>
            </w:pPr>
            <w:r>
              <w:rPr>
                <w:sz w:val="21"/>
                <w:szCs w:val="21"/>
              </w:rPr>
              <w:t>2</w:t>
            </w:r>
          </w:p>
        </w:tc>
        <w:tc>
          <w:tcPr>
            <w:tcW w:w="2791" w:type="dxa"/>
            <w:vAlign w:val="center"/>
          </w:tcPr>
          <w:p w:rsidR="00475650" w:rsidRDefault="00475650">
            <w:pPr>
              <w:pStyle w:val="afff7"/>
              <w:snapToGrid w:val="0"/>
              <w:spacing w:line="240" w:lineRule="auto"/>
              <w:rPr>
                <w:sz w:val="21"/>
                <w:szCs w:val="21"/>
              </w:rPr>
            </w:pPr>
            <w:r>
              <w:rPr>
                <w:rFonts w:hAnsi="宋体"/>
                <w:sz w:val="21"/>
                <w:szCs w:val="21"/>
              </w:rPr>
              <w:t>色度</w:t>
            </w:r>
          </w:p>
        </w:tc>
        <w:tc>
          <w:tcPr>
            <w:tcW w:w="1636" w:type="dxa"/>
            <w:vAlign w:val="center"/>
          </w:tcPr>
          <w:p w:rsidR="00475650" w:rsidRDefault="00475650">
            <w:pPr>
              <w:pStyle w:val="afff7"/>
              <w:snapToGrid w:val="0"/>
              <w:spacing w:line="240" w:lineRule="auto"/>
              <w:rPr>
                <w:sz w:val="21"/>
                <w:szCs w:val="21"/>
              </w:rPr>
            </w:pPr>
            <w:r>
              <w:rPr>
                <w:sz w:val="21"/>
                <w:szCs w:val="21"/>
              </w:rPr>
              <w:t>/</w:t>
            </w:r>
          </w:p>
        </w:tc>
        <w:tc>
          <w:tcPr>
            <w:tcW w:w="3283" w:type="dxa"/>
            <w:vMerge/>
            <w:vAlign w:val="center"/>
          </w:tcPr>
          <w:p w:rsidR="00475650" w:rsidRDefault="00475650">
            <w:pPr>
              <w:pStyle w:val="afff7"/>
              <w:snapToGrid w:val="0"/>
              <w:spacing w:line="240" w:lineRule="auto"/>
              <w:rPr>
                <w:sz w:val="21"/>
                <w:szCs w:val="21"/>
              </w:rPr>
            </w:pPr>
          </w:p>
        </w:tc>
      </w:tr>
      <w:tr w:rsidR="00475650">
        <w:trPr>
          <w:trHeight w:val="160"/>
          <w:jc w:val="center"/>
        </w:trPr>
        <w:tc>
          <w:tcPr>
            <w:tcW w:w="1050" w:type="dxa"/>
            <w:vAlign w:val="center"/>
          </w:tcPr>
          <w:p w:rsidR="00475650" w:rsidRDefault="00475650">
            <w:pPr>
              <w:pStyle w:val="afff7"/>
              <w:snapToGrid w:val="0"/>
              <w:spacing w:line="240" w:lineRule="auto"/>
              <w:rPr>
                <w:sz w:val="21"/>
                <w:szCs w:val="21"/>
              </w:rPr>
            </w:pPr>
            <w:r>
              <w:rPr>
                <w:sz w:val="21"/>
                <w:szCs w:val="21"/>
              </w:rPr>
              <w:t>3</w:t>
            </w:r>
          </w:p>
        </w:tc>
        <w:tc>
          <w:tcPr>
            <w:tcW w:w="2791" w:type="dxa"/>
            <w:vAlign w:val="center"/>
          </w:tcPr>
          <w:p w:rsidR="00475650" w:rsidRDefault="00475650">
            <w:pPr>
              <w:pStyle w:val="afff7"/>
              <w:snapToGrid w:val="0"/>
              <w:spacing w:line="240" w:lineRule="auto"/>
              <w:rPr>
                <w:sz w:val="21"/>
                <w:szCs w:val="21"/>
              </w:rPr>
            </w:pPr>
            <w:r>
              <w:rPr>
                <w:sz w:val="21"/>
                <w:szCs w:val="21"/>
              </w:rPr>
              <w:t>COD</w:t>
            </w:r>
            <w:r>
              <w:rPr>
                <w:sz w:val="21"/>
                <w:szCs w:val="21"/>
                <w:vertAlign w:val="subscript"/>
              </w:rPr>
              <w:t>Cr</w:t>
            </w:r>
          </w:p>
        </w:tc>
        <w:tc>
          <w:tcPr>
            <w:tcW w:w="1636" w:type="dxa"/>
            <w:vAlign w:val="center"/>
          </w:tcPr>
          <w:p w:rsidR="00475650" w:rsidRDefault="00475650">
            <w:pPr>
              <w:pStyle w:val="afff7"/>
              <w:snapToGrid w:val="0"/>
              <w:spacing w:line="240" w:lineRule="auto"/>
              <w:rPr>
                <w:sz w:val="21"/>
                <w:szCs w:val="21"/>
              </w:rPr>
            </w:pPr>
            <w:r>
              <w:rPr>
                <w:sz w:val="21"/>
                <w:szCs w:val="21"/>
              </w:rPr>
              <w:t>≤20</w:t>
            </w:r>
          </w:p>
        </w:tc>
        <w:tc>
          <w:tcPr>
            <w:tcW w:w="3283" w:type="dxa"/>
            <w:vMerge/>
            <w:vAlign w:val="center"/>
          </w:tcPr>
          <w:p w:rsidR="00475650" w:rsidRDefault="00475650">
            <w:pPr>
              <w:pStyle w:val="afff7"/>
              <w:snapToGrid w:val="0"/>
              <w:spacing w:line="240" w:lineRule="auto"/>
              <w:rPr>
                <w:sz w:val="21"/>
                <w:szCs w:val="21"/>
              </w:rPr>
            </w:pPr>
          </w:p>
        </w:tc>
      </w:tr>
      <w:tr w:rsidR="00475650">
        <w:trPr>
          <w:trHeight w:val="160"/>
          <w:jc w:val="center"/>
        </w:trPr>
        <w:tc>
          <w:tcPr>
            <w:tcW w:w="1050" w:type="dxa"/>
            <w:vAlign w:val="center"/>
          </w:tcPr>
          <w:p w:rsidR="00475650" w:rsidRDefault="00475650">
            <w:pPr>
              <w:pStyle w:val="afff7"/>
              <w:snapToGrid w:val="0"/>
              <w:spacing w:line="240" w:lineRule="auto"/>
              <w:rPr>
                <w:sz w:val="21"/>
                <w:szCs w:val="21"/>
              </w:rPr>
            </w:pPr>
            <w:r>
              <w:rPr>
                <w:sz w:val="21"/>
                <w:szCs w:val="21"/>
              </w:rPr>
              <w:t>4</w:t>
            </w:r>
          </w:p>
        </w:tc>
        <w:tc>
          <w:tcPr>
            <w:tcW w:w="2791" w:type="dxa"/>
            <w:vAlign w:val="center"/>
          </w:tcPr>
          <w:p w:rsidR="00475650" w:rsidRDefault="00475650">
            <w:pPr>
              <w:pStyle w:val="afff7"/>
              <w:snapToGrid w:val="0"/>
              <w:spacing w:line="240" w:lineRule="auto"/>
              <w:rPr>
                <w:sz w:val="21"/>
                <w:szCs w:val="21"/>
              </w:rPr>
            </w:pPr>
            <w:r>
              <w:rPr>
                <w:rFonts w:hAnsi="宋体"/>
                <w:sz w:val="21"/>
                <w:szCs w:val="21"/>
              </w:rPr>
              <w:t>氨氮</w:t>
            </w:r>
          </w:p>
        </w:tc>
        <w:tc>
          <w:tcPr>
            <w:tcW w:w="1636" w:type="dxa"/>
            <w:vAlign w:val="center"/>
          </w:tcPr>
          <w:p w:rsidR="00475650" w:rsidRDefault="00475650">
            <w:pPr>
              <w:pStyle w:val="afff7"/>
              <w:snapToGrid w:val="0"/>
              <w:spacing w:line="240" w:lineRule="auto"/>
              <w:rPr>
                <w:sz w:val="21"/>
                <w:szCs w:val="21"/>
              </w:rPr>
            </w:pPr>
            <w:r>
              <w:rPr>
                <w:sz w:val="21"/>
                <w:szCs w:val="21"/>
              </w:rPr>
              <w:t>≤1.0</w:t>
            </w:r>
          </w:p>
        </w:tc>
        <w:tc>
          <w:tcPr>
            <w:tcW w:w="3283" w:type="dxa"/>
            <w:vMerge/>
            <w:vAlign w:val="center"/>
          </w:tcPr>
          <w:p w:rsidR="00475650" w:rsidRDefault="00475650">
            <w:pPr>
              <w:pStyle w:val="afff7"/>
              <w:snapToGrid w:val="0"/>
              <w:spacing w:line="240" w:lineRule="auto"/>
              <w:rPr>
                <w:sz w:val="21"/>
                <w:szCs w:val="21"/>
              </w:rPr>
            </w:pPr>
          </w:p>
        </w:tc>
      </w:tr>
      <w:tr w:rsidR="00475650">
        <w:trPr>
          <w:trHeight w:val="160"/>
          <w:jc w:val="center"/>
        </w:trPr>
        <w:tc>
          <w:tcPr>
            <w:tcW w:w="1050" w:type="dxa"/>
            <w:vAlign w:val="center"/>
          </w:tcPr>
          <w:p w:rsidR="00475650" w:rsidRDefault="00475650">
            <w:pPr>
              <w:pStyle w:val="afff7"/>
              <w:snapToGrid w:val="0"/>
              <w:spacing w:line="240" w:lineRule="auto"/>
              <w:rPr>
                <w:sz w:val="21"/>
                <w:szCs w:val="21"/>
              </w:rPr>
            </w:pPr>
            <w:r>
              <w:rPr>
                <w:sz w:val="21"/>
                <w:szCs w:val="21"/>
              </w:rPr>
              <w:t>5</w:t>
            </w:r>
          </w:p>
        </w:tc>
        <w:tc>
          <w:tcPr>
            <w:tcW w:w="2791" w:type="dxa"/>
            <w:vAlign w:val="center"/>
          </w:tcPr>
          <w:p w:rsidR="00475650" w:rsidRDefault="00475650">
            <w:pPr>
              <w:pStyle w:val="afff7"/>
              <w:snapToGrid w:val="0"/>
              <w:spacing w:line="240" w:lineRule="auto"/>
              <w:rPr>
                <w:sz w:val="21"/>
                <w:szCs w:val="21"/>
              </w:rPr>
            </w:pPr>
            <w:r>
              <w:rPr>
                <w:rFonts w:hAnsi="宋体"/>
                <w:sz w:val="21"/>
                <w:szCs w:val="21"/>
              </w:rPr>
              <w:t>硫化物</w:t>
            </w:r>
          </w:p>
        </w:tc>
        <w:tc>
          <w:tcPr>
            <w:tcW w:w="1636" w:type="dxa"/>
            <w:vAlign w:val="center"/>
          </w:tcPr>
          <w:p w:rsidR="00475650" w:rsidRDefault="00475650">
            <w:pPr>
              <w:pStyle w:val="afff7"/>
              <w:snapToGrid w:val="0"/>
              <w:spacing w:line="240" w:lineRule="auto"/>
              <w:rPr>
                <w:sz w:val="21"/>
                <w:szCs w:val="21"/>
              </w:rPr>
            </w:pPr>
            <w:r>
              <w:rPr>
                <w:sz w:val="21"/>
                <w:szCs w:val="21"/>
              </w:rPr>
              <w:t>≤0.2</w:t>
            </w:r>
          </w:p>
        </w:tc>
        <w:tc>
          <w:tcPr>
            <w:tcW w:w="3283" w:type="dxa"/>
            <w:vMerge/>
            <w:vAlign w:val="center"/>
          </w:tcPr>
          <w:p w:rsidR="00475650" w:rsidRDefault="00475650">
            <w:pPr>
              <w:pStyle w:val="afff7"/>
              <w:snapToGrid w:val="0"/>
              <w:spacing w:line="240" w:lineRule="auto"/>
              <w:rPr>
                <w:sz w:val="21"/>
                <w:szCs w:val="21"/>
              </w:rPr>
            </w:pPr>
          </w:p>
        </w:tc>
      </w:tr>
      <w:tr w:rsidR="00475650">
        <w:trPr>
          <w:trHeight w:val="160"/>
          <w:jc w:val="center"/>
        </w:trPr>
        <w:tc>
          <w:tcPr>
            <w:tcW w:w="1050" w:type="dxa"/>
            <w:vAlign w:val="center"/>
          </w:tcPr>
          <w:p w:rsidR="00475650" w:rsidRDefault="00475650">
            <w:pPr>
              <w:pStyle w:val="afff7"/>
              <w:snapToGrid w:val="0"/>
              <w:spacing w:line="240" w:lineRule="auto"/>
              <w:rPr>
                <w:sz w:val="21"/>
                <w:szCs w:val="21"/>
              </w:rPr>
            </w:pPr>
            <w:r>
              <w:rPr>
                <w:sz w:val="21"/>
                <w:szCs w:val="21"/>
              </w:rPr>
              <w:t>7</w:t>
            </w:r>
          </w:p>
        </w:tc>
        <w:tc>
          <w:tcPr>
            <w:tcW w:w="2791" w:type="dxa"/>
            <w:vAlign w:val="center"/>
          </w:tcPr>
          <w:p w:rsidR="00475650" w:rsidRDefault="00475650">
            <w:pPr>
              <w:pStyle w:val="afff7"/>
              <w:snapToGrid w:val="0"/>
              <w:spacing w:line="240" w:lineRule="auto"/>
              <w:rPr>
                <w:sz w:val="21"/>
                <w:szCs w:val="21"/>
              </w:rPr>
            </w:pPr>
            <w:r>
              <w:rPr>
                <w:rFonts w:hAnsi="宋体"/>
                <w:sz w:val="21"/>
                <w:szCs w:val="21"/>
              </w:rPr>
              <w:t>甲苯</w:t>
            </w:r>
          </w:p>
        </w:tc>
        <w:tc>
          <w:tcPr>
            <w:tcW w:w="1636" w:type="dxa"/>
            <w:vAlign w:val="center"/>
          </w:tcPr>
          <w:p w:rsidR="00475650" w:rsidRDefault="00475650">
            <w:pPr>
              <w:pStyle w:val="afff7"/>
              <w:snapToGrid w:val="0"/>
              <w:spacing w:line="240" w:lineRule="auto"/>
              <w:rPr>
                <w:sz w:val="21"/>
                <w:szCs w:val="21"/>
              </w:rPr>
            </w:pPr>
            <w:r>
              <w:rPr>
                <w:sz w:val="21"/>
                <w:szCs w:val="21"/>
              </w:rPr>
              <w:t>≤0.7</w:t>
            </w:r>
          </w:p>
        </w:tc>
        <w:tc>
          <w:tcPr>
            <w:tcW w:w="3283" w:type="dxa"/>
            <w:vMerge/>
            <w:vAlign w:val="center"/>
          </w:tcPr>
          <w:p w:rsidR="00475650" w:rsidRDefault="00475650">
            <w:pPr>
              <w:pStyle w:val="afff7"/>
              <w:snapToGrid w:val="0"/>
              <w:spacing w:line="240" w:lineRule="auto"/>
              <w:rPr>
                <w:sz w:val="21"/>
                <w:szCs w:val="21"/>
              </w:rPr>
            </w:pPr>
          </w:p>
        </w:tc>
      </w:tr>
      <w:tr w:rsidR="00475650">
        <w:trPr>
          <w:trHeight w:val="160"/>
          <w:jc w:val="center"/>
        </w:trPr>
        <w:tc>
          <w:tcPr>
            <w:tcW w:w="1050" w:type="dxa"/>
            <w:vAlign w:val="center"/>
          </w:tcPr>
          <w:p w:rsidR="00475650" w:rsidRDefault="00475650">
            <w:pPr>
              <w:pStyle w:val="afff7"/>
              <w:snapToGrid w:val="0"/>
              <w:spacing w:line="240" w:lineRule="auto"/>
              <w:rPr>
                <w:sz w:val="21"/>
                <w:szCs w:val="21"/>
              </w:rPr>
            </w:pPr>
            <w:r>
              <w:rPr>
                <w:sz w:val="21"/>
                <w:szCs w:val="21"/>
              </w:rPr>
              <w:t>8</w:t>
            </w:r>
          </w:p>
        </w:tc>
        <w:tc>
          <w:tcPr>
            <w:tcW w:w="2791" w:type="dxa"/>
            <w:vAlign w:val="center"/>
          </w:tcPr>
          <w:p w:rsidR="00475650" w:rsidRDefault="00475650">
            <w:pPr>
              <w:pStyle w:val="afff7"/>
              <w:snapToGrid w:val="0"/>
              <w:spacing w:line="240" w:lineRule="auto"/>
              <w:rPr>
                <w:sz w:val="21"/>
                <w:szCs w:val="21"/>
              </w:rPr>
            </w:pPr>
            <w:r>
              <w:rPr>
                <w:rFonts w:hAnsi="宋体"/>
                <w:sz w:val="21"/>
                <w:szCs w:val="21"/>
              </w:rPr>
              <w:t>磷酸盐</w:t>
            </w:r>
          </w:p>
        </w:tc>
        <w:tc>
          <w:tcPr>
            <w:tcW w:w="1636" w:type="dxa"/>
            <w:vAlign w:val="center"/>
          </w:tcPr>
          <w:p w:rsidR="00475650" w:rsidRDefault="00475650">
            <w:pPr>
              <w:pStyle w:val="afff7"/>
              <w:snapToGrid w:val="0"/>
              <w:spacing w:line="240" w:lineRule="auto"/>
              <w:rPr>
                <w:sz w:val="21"/>
                <w:szCs w:val="21"/>
              </w:rPr>
            </w:pPr>
            <w:r>
              <w:rPr>
                <w:sz w:val="21"/>
                <w:szCs w:val="21"/>
              </w:rPr>
              <w:t>/</w:t>
            </w:r>
          </w:p>
        </w:tc>
        <w:tc>
          <w:tcPr>
            <w:tcW w:w="3283" w:type="dxa"/>
            <w:vMerge/>
            <w:vAlign w:val="center"/>
          </w:tcPr>
          <w:p w:rsidR="00475650" w:rsidRDefault="00475650">
            <w:pPr>
              <w:pStyle w:val="afff7"/>
              <w:snapToGrid w:val="0"/>
              <w:spacing w:line="240" w:lineRule="auto"/>
              <w:rPr>
                <w:sz w:val="21"/>
                <w:szCs w:val="21"/>
              </w:rPr>
            </w:pPr>
          </w:p>
        </w:tc>
      </w:tr>
      <w:tr w:rsidR="00475650">
        <w:trPr>
          <w:trHeight w:val="160"/>
          <w:jc w:val="center"/>
        </w:trPr>
        <w:tc>
          <w:tcPr>
            <w:tcW w:w="1050" w:type="dxa"/>
            <w:vAlign w:val="center"/>
          </w:tcPr>
          <w:p w:rsidR="00475650" w:rsidRDefault="00475650">
            <w:pPr>
              <w:pStyle w:val="afff7"/>
              <w:snapToGrid w:val="0"/>
              <w:spacing w:line="240" w:lineRule="auto"/>
              <w:rPr>
                <w:sz w:val="21"/>
                <w:szCs w:val="21"/>
              </w:rPr>
            </w:pPr>
            <w:r>
              <w:rPr>
                <w:sz w:val="21"/>
                <w:szCs w:val="21"/>
              </w:rPr>
              <w:t>9</w:t>
            </w:r>
          </w:p>
        </w:tc>
        <w:tc>
          <w:tcPr>
            <w:tcW w:w="2791" w:type="dxa"/>
            <w:vAlign w:val="center"/>
          </w:tcPr>
          <w:p w:rsidR="00475650" w:rsidRDefault="00475650">
            <w:pPr>
              <w:pStyle w:val="afff7"/>
              <w:snapToGrid w:val="0"/>
              <w:spacing w:line="240" w:lineRule="auto"/>
              <w:rPr>
                <w:sz w:val="21"/>
                <w:szCs w:val="21"/>
              </w:rPr>
            </w:pPr>
            <w:r>
              <w:rPr>
                <w:rFonts w:hAnsi="宋体"/>
                <w:sz w:val="21"/>
                <w:szCs w:val="21"/>
              </w:rPr>
              <w:t>硫酸盐</w:t>
            </w:r>
          </w:p>
        </w:tc>
        <w:tc>
          <w:tcPr>
            <w:tcW w:w="1636" w:type="dxa"/>
            <w:vAlign w:val="center"/>
          </w:tcPr>
          <w:p w:rsidR="00475650" w:rsidRDefault="00475650">
            <w:pPr>
              <w:pStyle w:val="afff7"/>
              <w:snapToGrid w:val="0"/>
              <w:spacing w:line="240" w:lineRule="auto"/>
              <w:rPr>
                <w:sz w:val="21"/>
                <w:szCs w:val="21"/>
              </w:rPr>
            </w:pPr>
            <w:r>
              <w:rPr>
                <w:sz w:val="21"/>
                <w:szCs w:val="21"/>
              </w:rPr>
              <w:t>250</w:t>
            </w:r>
          </w:p>
        </w:tc>
        <w:tc>
          <w:tcPr>
            <w:tcW w:w="3283" w:type="dxa"/>
            <w:vMerge/>
            <w:vAlign w:val="center"/>
          </w:tcPr>
          <w:p w:rsidR="00475650" w:rsidRDefault="00475650">
            <w:pPr>
              <w:pStyle w:val="afff7"/>
              <w:snapToGrid w:val="0"/>
              <w:spacing w:line="240" w:lineRule="auto"/>
              <w:rPr>
                <w:sz w:val="21"/>
                <w:szCs w:val="21"/>
              </w:rPr>
            </w:pPr>
          </w:p>
        </w:tc>
      </w:tr>
      <w:tr w:rsidR="00475650">
        <w:trPr>
          <w:trHeight w:val="160"/>
          <w:jc w:val="center"/>
        </w:trPr>
        <w:tc>
          <w:tcPr>
            <w:tcW w:w="1050" w:type="dxa"/>
            <w:vAlign w:val="center"/>
          </w:tcPr>
          <w:p w:rsidR="00475650" w:rsidRDefault="00475650">
            <w:pPr>
              <w:pStyle w:val="afff7"/>
              <w:snapToGrid w:val="0"/>
              <w:spacing w:line="240" w:lineRule="auto"/>
              <w:rPr>
                <w:sz w:val="21"/>
                <w:szCs w:val="21"/>
              </w:rPr>
            </w:pPr>
            <w:r>
              <w:rPr>
                <w:sz w:val="21"/>
                <w:szCs w:val="21"/>
              </w:rPr>
              <w:t>10</w:t>
            </w:r>
          </w:p>
        </w:tc>
        <w:tc>
          <w:tcPr>
            <w:tcW w:w="2791" w:type="dxa"/>
            <w:vAlign w:val="center"/>
          </w:tcPr>
          <w:p w:rsidR="00475650" w:rsidRDefault="00475650">
            <w:pPr>
              <w:pStyle w:val="afff7"/>
              <w:snapToGrid w:val="0"/>
              <w:spacing w:line="240" w:lineRule="auto"/>
              <w:rPr>
                <w:sz w:val="21"/>
                <w:szCs w:val="21"/>
              </w:rPr>
            </w:pPr>
            <w:r>
              <w:rPr>
                <w:rFonts w:hAnsi="宋体"/>
                <w:sz w:val="21"/>
                <w:szCs w:val="21"/>
              </w:rPr>
              <w:t>氯化物</w:t>
            </w:r>
          </w:p>
        </w:tc>
        <w:tc>
          <w:tcPr>
            <w:tcW w:w="1636" w:type="dxa"/>
            <w:vAlign w:val="center"/>
          </w:tcPr>
          <w:p w:rsidR="00475650" w:rsidRDefault="00475650">
            <w:pPr>
              <w:pStyle w:val="afff7"/>
              <w:snapToGrid w:val="0"/>
              <w:spacing w:line="240" w:lineRule="auto"/>
              <w:rPr>
                <w:sz w:val="21"/>
                <w:szCs w:val="21"/>
              </w:rPr>
            </w:pPr>
            <w:r>
              <w:rPr>
                <w:sz w:val="21"/>
                <w:szCs w:val="21"/>
              </w:rPr>
              <w:t>250</w:t>
            </w:r>
          </w:p>
        </w:tc>
        <w:tc>
          <w:tcPr>
            <w:tcW w:w="3283" w:type="dxa"/>
            <w:vMerge/>
            <w:vAlign w:val="center"/>
          </w:tcPr>
          <w:p w:rsidR="00475650" w:rsidRDefault="00475650">
            <w:pPr>
              <w:pStyle w:val="afff7"/>
              <w:snapToGrid w:val="0"/>
              <w:spacing w:line="240" w:lineRule="auto"/>
              <w:rPr>
                <w:sz w:val="21"/>
                <w:szCs w:val="21"/>
              </w:rPr>
            </w:pPr>
          </w:p>
        </w:tc>
      </w:tr>
      <w:tr w:rsidR="00475650">
        <w:trPr>
          <w:trHeight w:val="160"/>
          <w:jc w:val="center"/>
        </w:trPr>
        <w:tc>
          <w:tcPr>
            <w:tcW w:w="1050" w:type="dxa"/>
            <w:vAlign w:val="center"/>
          </w:tcPr>
          <w:p w:rsidR="00475650" w:rsidRDefault="00475650">
            <w:pPr>
              <w:pStyle w:val="afff7"/>
              <w:snapToGrid w:val="0"/>
              <w:spacing w:line="240" w:lineRule="auto"/>
              <w:rPr>
                <w:sz w:val="21"/>
                <w:szCs w:val="21"/>
              </w:rPr>
            </w:pPr>
            <w:r>
              <w:rPr>
                <w:sz w:val="21"/>
                <w:szCs w:val="21"/>
              </w:rPr>
              <w:t>12</w:t>
            </w:r>
          </w:p>
        </w:tc>
        <w:tc>
          <w:tcPr>
            <w:tcW w:w="2791" w:type="dxa"/>
            <w:vAlign w:val="center"/>
          </w:tcPr>
          <w:p w:rsidR="00475650" w:rsidRDefault="00475650">
            <w:pPr>
              <w:pStyle w:val="afff7"/>
              <w:snapToGrid w:val="0"/>
              <w:spacing w:line="240" w:lineRule="auto"/>
              <w:rPr>
                <w:sz w:val="21"/>
                <w:szCs w:val="21"/>
              </w:rPr>
            </w:pPr>
            <w:r>
              <w:rPr>
                <w:rFonts w:hAnsi="宋体"/>
                <w:sz w:val="21"/>
                <w:szCs w:val="21"/>
              </w:rPr>
              <w:t>全盐量</w:t>
            </w:r>
          </w:p>
        </w:tc>
        <w:tc>
          <w:tcPr>
            <w:tcW w:w="1636" w:type="dxa"/>
            <w:vAlign w:val="center"/>
          </w:tcPr>
          <w:p w:rsidR="00475650" w:rsidRDefault="00475650">
            <w:pPr>
              <w:pStyle w:val="afff7"/>
              <w:snapToGrid w:val="0"/>
              <w:spacing w:line="240" w:lineRule="auto"/>
              <w:rPr>
                <w:sz w:val="21"/>
                <w:szCs w:val="21"/>
              </w:rPr>
            </w:pPr>
            <w:r>
              <w:rPr>
                <w:rFonts w:hint="eastAsia"/>
                <w:sz w:val="21"/>
                <w:szCs w:val="21"/>
              </w:rPr>
              <w:t>/</w:t>
            </w:r>
          </w:p>
        </w:tc>
        <w:tc>
          <w:tcPr>
            <w:tcW w:w="3283" w:type="dxa"/>
            <w:vMerge/>
            <w:vAlign w:val="center"/>
          </w:tcPr>
          <w:p w:rsidR="00475650" w:rsidRDefault="00475650">
            <w:pPr>
              <w:pStyle w:val="afff7"/>
              <w:snapToGrid w:val="0"/>
              <w:spacing w:line="240" w:lineRule="auto"/>
              <w:rPr>
                <w:sz w:val="21"/>
                <w:szCs w:val="21"/>
              </w:rPr>
            </w:pPr>
          </w:p>
        </w:tc>
      </w:tr>
      <w:tr w:rsidR="00475650">
        <w:trPr>
          <w:trHeight w:val="160"/>
          <w:jc w:val="center"/>
        </w:trPr>
        <w:tc>
          <w:tcPr>
            <w:tcW w:w="1050" w:type="dxa"/>
            <w:vAlign w:val="center"/>
          </w:tcPr>
          <w:p w:rsidR="00475650" w:rsidRDefault="00475650">
            <w:pPr>
              <w:pStyle w:val="afff7"/>
              <w:snapToGrid w:val="0"/>
              <w:spacing w:line="240" w:lineRule="auto"/>
              <w:rPr>
                <w:sz w:val="21"/>
                <w:szCs w:val="21"/>
              </w:rPr>
            </w:pPr>
            <w:r>
              <w:rPr>
                <w:sz w:val="21"/>
                <w:szCs w:val="21"/>
              </w:rPr>
              <w:t>13</w:t>
            </w:r>
          </w:p>
        </w:tc>
        <w:tc>
          <w:tcPr>
            <w:tcW w:w="2791" w:type="dxa"/>
            <w:vAlign w:val="center"/>
          </w:tcPr>
          <w:p w:rsidR="00475650" w:rsidRDefault="00475650">
            <w:pPr>
              <w:pStyle w:val="afff7"/>
              <w:snapToGrid w:val="0"/>
              <w:spacing w:line="240" w:lineRule="auto"/>
              <w:rPr>
                <w:sz w:val="21"/>
                <w:szCs w:val="21"/>
              </w:rPr>
            </w:pPr>
            <w:r>
              <w:rPr>
                <w:rFonts w:hAnsi="宋体"/>
                <w:sz w:val="21"/>
                <w:szCs w:val="21"/>
              </w:rPr>
              <w:t>石油类</w:t>
            </w:r>
          </w:p>
        </w:tc>
        <w:tc>
          <w:tcPr>
            <w:tcW w:w="1636" w:type="dxa"/>
            <w:vAlign w:val="center"/>
          </w:tcPr>
          <w:p w:rsidR="00475650" w:rsidRDefault="00475650">
            <w:pPr>
              <w:pStyle w:val="afff7"/>
              <w:snapToGrid w:val="0"/>
              <w:spacing w:line="240" w:lineRule="auto"/>
              <w:rPr>
                <w:sz w:val="21"/>
                <w:szCs w:val="21"/>
              </w:rPr>
            </w:pPr>
            <w:r>
              <w:rPr>
                <w:sz w:val="21"/>
                <w:szCs w:val="21"/>
              </w:rPr>
              <w:t>≤0.05</w:t>
            </w:r>
          </w:p>
        </w:tc>
        <w:tc>
          <w:tcPr>
            <w:tcW w:w="3283" w:type="dxa"/>
            <w:vMerge/>
            <w:vAlign w:val="center"/>
          </w:tcPr>
          <w:p w:rsidR="00475650" w:rsidRDefault="00475650">
            <w:pPr>
              <w:pStyle w:val="afff7"/>
              <w:snapToGrid w:val="0"/>
              <w:spacing w:line="240" w:lineRule="auto"/>
              <w:rPr>
                <w:sz w:val="21"/>
                <w:szCs w:val="21"/>
              </w:rPr>
            </w:pPr>
          </w:p>
        </w:tc>
      </w:tr>
      <w:tr w:rsidR="00475650">
        <w:trPr>
          <w:trHeight w:val="160"/>
          <w:jc w:val="center"/>
        </w:trPr>
        <w:tc>
          <w:tcPr>
            <w:tcW w:w="1050" w:type="dxa"/>
            <w:vAlign w:val="center"/>
          </w:tcPr>
          <w:p w:rsidR="00475650" w:rsidRDefault="00475650">
            <w:pPr>
              <w:pStyle w:val="afff7"/>
              <w:snapToGrid w:val="0"/>
              <w:spacing w:line="240" w:lineRule="auto"/>
              <w:rPr>
                <w:sz w:val="21"/>
                <w:szCs w:val="21"/>
              </w:rPr>
            </w:pPr>
            <w:r>
              <w:rPr>
                <w:sz w:val="21"/>
                <w:szCs w:val="21"/>
              </w:rPr>
              <w:t>15</w:t>
            </w:r>
          </w:p>
        </w:tc>
        <w:tc>
          <w:tcPr>
            <w:tcW w:w="2791" w:type="dxa"/>
            <w:vAlign w:val="center"/>
          </w:tcPr>
          <w:p w:rsidR="00475650" w:rsidRDefault="00475650">
            <w:pPr>
              <w:pStyle w:val="afff7"/>
              <w:snapToGrid w:val="0"/>
              <w:spacing w:line="240" w:lineRule="auto"/>
              <w:rPr>
                <w:sz w:val="21"/>
                <w:szCs w:val="21"/>
              </w:rPr>
            </w:pPr>
            <w:r>
              <w:rPr>
                <w:rFonts w:hAnsi="宋体"/>
                <w:sz w:val="21"/>
                <w:szCs w:val="21"/>
              </w:rPr>
              <w:t>挥发酚</w:t>
            </w:r>
          </w:p>
        </w:tc>
        <w:tc>
          <w:tcPr>
            <w:tcW w:w="1636" w:type="dxa"/>
            <w:vAlign w:val="center"/>
          </w:tcPr>
          <w:p w:rsidR="00475650" w:rsidRDefault="00475650">
            <w:pPr>
              <w:pStyle w:val="afff7"/>
              <w:snapToGrid w:val="0"/>
              <w:spacing w:line="240" w:lineRule="auto"/>
              <w:rPr>
                <w:sz w:val="21"/>
                <w:szCs w:val="21"/>
              </w:rPr>
            </w:pPr>
            <w:r>
              <w:rPr>
                <w:sz w:val="21"/>
                <w:szCs w:val="21"/>
              </w:rPr>
              <w:t>≤0.005</w:t>
            </w:r>
          </w:p>
        </w:tc>
        <w:tc>
          <w:tcPr>
            <w:tcW w:w="3283" w:type="dxa"/>
            <w:vMerge/>
            <w:vAlign w:val="center"/>
          </w:tcPr>
          <w:p w:rsidR="00475650" w:rsidRDefault="00475650">
            <w:pPr>
              <w:pStyle w:val="afff7"/>
              <w:snapToGrid w:val="0"/>
              <w:spacing w:line="240" w:lineRule="auto"/>
              <w:rPr>
                <w:sz w:val="21"/>
                <w:szCs w:val="21"/>
              </w:rPr>
            </w:pPr>
          </w:p>
        </w:tc>
      </w:tr>
      <w:tr w:rsidR="00475650">
        <w:trPr>
          <w:trHeight w:val="160"/>
          <w:jc w:val="center"/>
        </w:trPr>
        <w:tc>
          <w:tcPr>
            <w:tcW w:w="1050" w:type="dxa"/>
            <w:vAlign w:val="center"/>
          </w:tcPr>
          <w:p w:rsidR="00475650" w:rsidRDefault="00475650">
            <w:pPr>
              <w:pStyle w:val="afff7"/>
              <w:snapToGrid w:val="0"/>
              <w:spacing w:line="240" w:lineRule="auto"/>
              <w:rPr>
                <w:sz w:val="21"/>
                <w:szCs w:val="21"/>
              </w:rPr>
            </w:pPr>
            <w:r>
              <w:rPr>
                <w:sz w:val="21"/>
                <w:szCs w:val="21"/>
              </w:rPr>
              <w:t>16</w:t>
            </w:r>
          </w:p>
        </w:tc>
        <w:tc>
          <w:tcPr>
            <w:tcW w:w="2791" w:type="dxa"/>
            <w:vAlign w:val="center"/>
          </w:tcPr>
          <w:p w:rsidR="00475650" w:rsidRDefault="00475650">
            <w:pPr>
              <w:pStyle w:val="afff7"/>
              <w:snapToGrid w:val="0"/>
              <w:spacing w:line="240" w:lineRule="auto"/>
              <w:rPr>
                <w:sz w:val="21"/>
                <w:szCs w:val="21"/>
              </w:rPr>
            </w:pPr>
            <w:r>
              <w:rPr>
                <w:rFonts w:hAnsi="宋体"/>
                <w:sz w:val="21"/>
                <w:szCs w:val="21"/>
              </w:rPr>
              <w:t>二甲苯</w:t>
            </w:r>
          </w:p>
        </w:tc>
        <w:tc>
          <w:tcPr>
            <w:tcW w:w="1636" w:type="dxa"/>
            <w:vAlign w:val="center"/>
          </w:tcPr>
          <w:p w:rsidR="00475650" w:rsidRDefault="00475650">
            <w:pPr>
              <w:pStyle w:val="afff7"/>
              <w:snapToGrid w:val="0"/>
              <w:spacing w:line="240" w:lineRule="auto"/>
              <w:rPr>
                <w:sz w:val="21"/>
                <w:szCs w:val="21"/>
              </w:rPr>
            </w:pPr>
            <w:r>
              <w:rPr>
                <w:sz w:val="21"/>
                <w:szCs w:val="21"/>
              </w:rPr>
              <w:t>≤0.5</w:t>
            </w:r>
          </w:p>
        </w:tc>
        <w:tc>
          <w:tcPr>
            <w:tcW w:w="3283" w:type="dxa"/>
            <w:vMerge/>
            <w:vAlign w:val="center"/>
          </w:tcPr>
          <w:p w:rsidR="00475650" w:rsidRDefault="00475650">
            <w:pPr>
              <w:pStyle w:val="afff7"/>
              <w:snapToGrid w:val="0"/>
              <w:spacing w:line="240" w:lineRule="auto"/>
              <w:rPr>
                <w:sz w:val="21"/>
                <w:szCs w:val="21"/>
              </w:rPr>
            </w:pPr>
          </w:p>
        </w:tc>
      </w:tr>
    </w:tbl>
    <w:p w:rsidR="00475650" w:rsidRDefault="00475650">
      <w:pPr>
        <w:spacing w:line="360" w:lineRule="auto"/>
        <w:ind w:firstLineChars="200" w:firstLine="480"/>
        <w:rPr>
          <w:kern w:val="0"/>
          <w:sz w:val="24"/>
        </w:rPr>
      </w:pPr>
      <w:r>
        <w:rPr>
          <w:rFonts w:ascii="宋体" w:hAnsi="宋体"/>
          <w:kern w:val="0"/>
          <w:sz w:val="24"/>
        </w:rPr>
        <w:t>⑶</w:t>
      </w:r>
      <w:r>
        <w:rPr>
          <w:kern w:val="0"/>
          <w:sz w:val="24"/>
        </w:rPr>
        <w:t xml:space="preserve"> </w:t>
      </w:r>
      <w:r>
        <w:rPr>
          <w:rFonts w:hAnsi="宋体"/>
          <w:kern w:val="0"/>
          <w:sz w:val="24"/>
        </w:rPr>
        <w:t>声环境</w:t>
      </w:r>
    </w:p>
    <w:p w:rsidR="00475650" w:rsidRDefault="00475650">
      <w:pPr>
        <w:spacing w:line="360" w:lineRule="auto"/>
        <w:ind w:firstLineChars="200" w:firstLine="480"/>
        <w:rPr>
          <w:sz w:val="24"/>
        </w:rPr>
      </w:pPr>
      <w:r>
        <w:rPr>
          <w:rFonts w:hAnsi="宋体"/>
          <w:bCs/>
          <w:sz w:val="24"/>
        </w:rPr>
        <w:t>区域声环境：执行《声环境质量标准》（</w:t>
      </w:r>
      <w:r>
        <w:rPr>
          <w:bCs/>
          <w:sz w:val="24"/>
        </w:rPr>
        <w:t>GB3096-2008</w:t>
      </w:r>
      <w:r>
        <w:rPr>
          <w:rFonts w:hAnsi="宋体"/>
          <w:bCs/>
          <w:sz w:val="24"/>
        </w:rPr>
        <w:t>）中</w:t>
      </w:r>
      <w:r>
        <w:rPr>
          <w:bCs/>
          <w:sz w:val="24"/>
        </w:rPr>
        <w:t>3</w:t>
      </w:r>
      <w:r>
        <w:rPr>
          <w:rFonts w:hAnsi="宋体"/>
          <w:bCs/>
          <w:sz w:val="24"/>
        </w:rPr>
        <w:t>类区标准，道路两侧执行</w:t>
      </w:r>
      <w:r>
        <w:rPr>
          <w:bCs/>
          <w:sz w:val="24"/>
        </w:rPr>
        <w:t>4a</w:t>
      </w:r>
      <w:r>
        <w:rPr>
          <w:rFonts w:hAnsi="宋体"/>
          <w:bCs/>
          <w:sz w:val="24"/>
        </w:rPr>
        <w:t>类区标准</w:t>
      </w:r>
      <w:r>
        <w:rPr>
          <w:rFonts w:hAnsi="宋体"/>
          <w:sz w:val="24"/>
        </w:rPr>
        <w:t>。</w:t>
      </w:r>
    </w:p>
    <w:p w:rsidR="00475650" w:rsidRDefault="00475650">
      <w:pPr>
        <w:pStyle w:val="19"/>
        <w:numPr>
          <w:ilvl w:val="0"/>
          <w:numId w:val="0"/>
        </w:numPr>
        <w:tabs>
          <w:tab w:val="left" w:pos="3780"/>
        </w:tabs>
        <w:snapToGrid w:val="0"/>
        <w:spacing w:before="0" w:line="360" w:lineRule="auto"/>
        <w:rPr>
          <w:rFonts w:ascii="Times New Roman" w:eastAsia="宋体"/>
          <w:b w:val="0"/>
          <w:bCs/>
          <w:sz w:val="24"/>
          <w:szCs w:val="24"/>
        </w:rPr>
      </w:pPr>
      <w:r>
        <w:rPr>
          <w:rFonts w:ascii="Times New Roman" w:eastAsia="宋体" w:hAnsi="宋体"/>
          <w:b w:val="0"/>
          <w:bCs/>
          <w:sz w:val="24"/>
          <w:szCs w:val="24"/>
        </w:rPr>
        <w:t>表</w:t>
      </w:r>
      <w:r>
        <w:rPr>
          <w:rFonts w:ascii="Times New Roman" w:eastAsia="宋体"/>
          <w:b w:val="0"/>
          <w:bCs/>
          <w:sz w:val="24"/>
          <w:szCs w:val="24"/>
        </w:rPr>
        <w:t xml:space="preserve">1.3-5    </w:t>
      </w:r>
      <w:r>
        <w:rPr>
          <w:rFonts w:ascii="Times New Roman" w:eastAsia="宋体" w:hAnsi="宋体"/>
          <w:b w:val="0"/>
          <w:bCs/>
          <w:sz w:val="24"/>
          <w:szCs w:val="24"/>
        </w:rPr>
        <w:t>声环境质量标准一览表</w:t>
      </w: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tblPr>
      <w:tblGrid>
        <w:gridCol w:w="1014"/>
        <w:gridCol w:w="2584"/>
        <w:gridCol w:w="2582"/>
        <w:gridCol w:w="2766"/>
      </w:tblGrid>
      <w:tr w:rsidR="00475650">
        <w:trPr>
          <w:jc w:val="center"/>
        </w:trPr>
        <w:tc>
          <w:tcPr>
            <w:tcW w:w="1014" w:type="dxa"/>
            <w:vAlign w:val="center"/>
          </w:tcPr>
          <w:p w:rsidR="00475650" w:rsidRDefault="00475650">
            <w:pPr>
              <w:pStyle w:val="afff7"/>
              <w:snapToGrid w:val="0"/>
              <w:spacing w:line="240" w:lineRule="exact"/>
              <w:rPr>
                <w:sz w:val="21"/>
                <w:szCs w:val="21"/>
              </w:rPr>
            </w:pPr>
            <w:r>
              <w:rPr>
                <w:rFonts w:hAnsi="宋体"/>
                <w:sz w:val="21"/>
                <w:szCs w:val="21"/>
              </w:rPr>
              <w:t>类别</w:t>
            </w:r>
          </w:p>
        </w:tc>
        <w:tc>
          <w:tcPr>
            <w:tcW w:w="2584" w:type="dxa"/>
            <w:vAlign w:val="center"/>
          </w:tcPr>
          <w:p w:rsidR="00475650" w:rsidRDefault="00475650">
            <w:pPr>
              <w:pStyle w:val="afff7"/>
              <w:snapToGrid w:val="0"/>
              <w:spacing w:line="240" w:lineRule="exact"/>
              <w:rPr>
                <w:sz w:val="21"/>
                <w:szCs w:val="21"/>
              </w:rPr>
            </w:pPr>
            <w:r>
              <w:rPr>
                <w:rFonts w:hAnsi="宋体"/>
                <w:sz w:val="21"/>
                <w:szCs w:val="21"/>
              </w:rPr>
              <w:t>昼间（等效声级</w:t>
            </w:r>
            <w:r>
              <w:rPr>
                <w:sz w:val="21"/>
                <w:szCs w:val="21"/>
              </w:rPr>
              <w:t>LAeq:dB</w:t>
            </w:r>
            <w:r>
              <w:rPr>
                <w:rFonts w:hAnsi="宋体"/>
                <w:sz w:val="21"/>
                <w:szCs w:val="21"/>
              </w:rPr>
              <w:t>）</w:t>
            </w:r>
          </w:p>
        </w:tc>
        <w:tc>
          <w:tcPr>
            <w:tcW w:w="2582" w:type="dxa"/>
            <w:vAlign w:val="center"/>
          </w:tcPr>
          <w:p w:rsidR="00475650" w:rsidRDefault="00475650">
            <w:pPr>
              <w:pStyle w:val="afff7"/>
              <w:snapToGrid w:val="0"/>
              <w:spacing w:line="240" w:lineRule="exact"/>
              <w:rPr>
                <w:sz w:val="21"/>
                <w:szCs w:val="21"/>
              </w:rPr>
            </w:pPr>
            <w:r>
              <w:rPr>
                <w:rFonts w:hAnsi="宋体"/>
                <w:sz w:val="21"/>
                <w:szCs w:val="21"/>
              </w:rPr>
              <w:t>夜间（等效声级</w:t>
            </w:r>
            <w:r>
              <w:rPr>
                <w:sz w:val="21"/>
                <w:szCs w:val="21"/>
              </w:rPr>
              <w:t>LAeq:dB</w:t>
            </w:r>
            <w:r>
              <w:rPr>
                <w:rFonts w:hAnsi="宋体"/>
                <w:sz w:val="21"/>
                <w:szCs w:val="21"/>
              </w:rPr>
              <w:t>）</w:t>
            </w:r>
          </w:p>
        </w:tc>
        <w:tc>
          <w:tcPr>
            <w:tcW w:w="2766" w:type="dxa"/>
            <w:vAlign w:val="center"/>
          </w:tcPr>
          <w:p w:rsidR="00475650" w:rsidRDefault="00475650">
            <w:pPr>
              <w:pStyle w:val="afff7"/>
              <w:snapToGrid w:val="0"/>
              <w:spacing w:line="240" w:lineRule="exact"/>
              <w:rPr>
                <w:sz w:val="21"/>
                <w:szCs w:val="21"/>
              </w:rPr>
            </w:pPr>
            <w:r>
              <w:rPr>
                <w:rFonts w:hAnsi="宋体"/>
                <w:sz w:val="21"/>
                <w:szCs w:val="21"/>
              </w:rPr>
              <w:t>标准来源</w:t>
            </w:r>
          </w:p>
        </w:tc>
      </w:tr>
      <w:tr w:rsidR="00475650">
        <w:trPr>
          <w:jc w:val="center"/>
        </w:trPr>
        <w:tc>
          <w:tcPr>
            <w:tcW w:w="1014" w:type="dxa"/>
            <w:vAlign w:val="center"/>
          </w:tcPr>
          <w:p w:rsidR="00475650" w:rsidRDefault="00475650">
            <w:pPr>
              <w:pStyle w:val="afff7"/>
              <w:snapToGrid w:val="0"/>
              <w:spacing w:line="240" w:lineRule="exact"/>
              <w:rPr>
                <w:sz w:val="21"/>
                <w:szCs w:val="21"/>
              </w:rPr>
            </w:pPr>
            <w:r>
              <w:rPr>
                <w:sz w:val="21"/>
                <w:szCs w:val="21"/>
              </w:rPr>
              <w:t>3</w:t>
            </w:r>
          </w:p>
        </w:tc>
        <w:tc>
          <w:tcPr>
            <w:tcW w:w="2584" w:type="dxa"/>
            <w:vAlign w:val="center"/>
          </w:tcPr>
          <w:p w:rsidR="00475650" w:rsidRDefault="00475650">
            <w:pPr>
              <w:pStyle w:val="afff7"/>
              <w:snapToGrid w:val="0"/>
              <w:spacing w:line="240" w:lineRule="exact"/>
              <w:rPr>
                <w:sz w:val="21"/>
                <w:szCs w:val="21"/>
              </w:rPr>
            </w:pPr>
            <w:r>
              <w:rPr>
                <w:sz w:val="21"/>
                <w:szCs w:val="21"/>
              </w:rPr>
              <w:t>65</w:t>
            </w:r>
          </w:p>
        </w:tc>
        <w:tc>
          <w:tcPr>
            <w:tcW w:w="2582" w:type="dxa"/>
            <w:vAlign w:val="center"/>
          </w:tcPr>
          <w:p w:rsidR="00475650" w:rsidRDefault="00475650">
            <w:pPr>
              <w:pStyle w:val="afff7"/>
              <w:snapToGrid w:val="0"/>
              <w:spacing w:line="240" w:lineRule="exact"/>
              <w:rPr>
                <w:sz w:val="21"/>
                <w:szCs w:val="21"/>
              </w:rPr>
            </w:pPr>
            <w:r>
              <w:rPr>
                <w:sz w:val="21"/>
                <w:szCs w:val="21"/>
              </w:rPr>
              <w:t>55</w:t>
            </w:r>
          </w:p>
        </w:tc>
        <w:tc>
          <w:tcPr>
            <w:tcW w:w="2766" w:type="dxa"/>
            <w:vMerge w:val="restart"/>
            <w:vAlign w:val="center"/>
          </w:tcPr>
          <w:p w:rsidR="00475650" w:rsidRDefault="00475650">
            <w:pPr>
              <w:pStyle w:val="afff7"/>
              <w:snapToGrid w:val="0"/>
              <w:spacing w:line="240" w:lineRule="exact"/>
              <w:rPr>
                <w:sz w:val="21"/>
                <w:szCs w:val="21"/>
              </w:rPr>
            </w:pPr>
            <w:r>
              <w:rPr>
                <w:rFonts w:hAnsi="宋体"/>
                <w:sz w:val="21"/>
                <w:szCs w:val="21"/>
              </w:rPr>
              <w:t>《声环境质量标准》（</w:t>
            </w:r>
            <w:r>
              <w:rPr>
                <w:sz w:val="21"/>
                <w:szCs w:val="21"/>
              </w:rPr>
              <w:t>GB3096-2008</w:t>
            </w:r>
            <w:r>
              <w:rPr>
                <w:rFonts w:hAnsi="宋体"/>
                <w:sz w:val="21"/>
                <w:szCs w:val="21"/>
              </w:rPr>
              <w:t>）</w:t>
            </w:r>
          </w:p>
        </w:tc>
      </w:tr>
      <w:tr w:rsidR="00475650">
        <w:trPr>
          <w:jc w:val="center"/>
        </w:trPr>
        <w:tc>
          <w:tcPr>
            <w:tcW w:w="1014" w:type="dxa"/>
            <w:vAlign w:val="center"/>
          </w:tcPr>
          <w:p w:rsidR="00475650" w:rsidRDefault="00475650">
            <w:pPr>
              <w:pStyle w:val="afff7"/>
              <w:snapToGrid w:val="0"/>
              <w:spacing w:line="240" w:lineRule="exact"/>
              <w:rPr>
                <w:sz w:val="21"/>
                <w:szCs w:val="21"/>
              </w:rPr>
            </w:pPr>
            <w:r>
              <w:rPr>
                <w:sz w:val="21"/>
                <w:szCs w:val="21"/>
              </w:rPr>
              <w:t>4a</w:t>
            </w:r>
          </w:p>
        </w:tc>
        <w:tc>
          <w:tcPr>
            <w:tcW w:w="2584" w:type="dxa"/>
            <w:vAlign w:val="center"/>
          </w:tcPr>
          <w:p w:rsidR="00475650" w:rsidRDefault="00475650">
            <w:pPr>
              <w:pStyle w:val="afff7"/>
              <w:snapToGrid w:val="0"/>
              <w:spacing w:line="240" w:lineRule="exact"/>
              <w:rPr>
                <w:sz w:val="21"/>
                <w:szCs w:val="21"/>
              </w:rPr>
            </w:pPr>
            <w:r>
              <w:rPr>
                <w:sz w:val="21"/>
                <w:szCs w:val="21"/>
              </w:rPr>
              <w:t>70</w:t>
            </w:r>
          </w:p>
        </w:tc>
        <w:tc>
          <w:tcPr>
            <w:tcW w:w="2582" w:type="dxa"/>
            <w:vAlign w:val="center"/>
          </w:tcPr>
          <w:p w:rsidR="00475650" w:rsidRDefault="00475650">
            <w:pPr>
              <w:pStyle w:val="afff7"/>
              <w:snapToGrid w:val="0"/>
              <w:spacing w:line="240" w:lineRule="exact"/>
              <w:rPr>
                <w:sz w:val="21"/>
                <w:szCs w:val="21"/>
              </w:rPr>
            </w:pPr>
            <w:r>
              <w:rPr>
                <w:sz w:val="21"/>
                <w:szCs w:val="21"/>
              </w:rPr>
              <w:t>55</w:t>
            </w:r>
          </w:p>
        </w:tc>
        <w:tc>
          <w:tcPr>
            <w:tcW w:w="2766" w:type="dxa"/>
            <w:vMerge/>
            <w:vAlign w:val="center"/>
          </w:tcPr>
          <w:p w:rsidR="00475650" w:rsidRDefault="00475650">
            <w:pPr>
              <w:pStyle w:val="afff7"/>
              <w:snapToGrid w:val="0"/>
              <w:spacing w:line="240" w:lineRule="exact"/>
              <w:rPr>
                <w:sz w:val="21"/>
                <w:szCs w:val="21"/>
              </w:rPr>
            </w:pPr>
          </w:p>
        </w:tc>
      </w:tr>
    </w:tbl>
    <w:p w:rsidR="00475650" w:rsidRDefault="00475650">
      <w:pPr>
        <w:snapToGrid w:val="0"/>
        <w:spacing w:line="360" w:lineRule="auto"/>
        <w:ind w:firstLineChars="200" w:firstLine="480"/>
        <w:rPr>
          <w:kern w:val="0"/>
          <w:sz w:val="24"/>
        </w:rPr>
      </w:pPr>
      <w:r>
        <w:rPr>
          <w:rFonts w:ascii="宋体" w:hAnsi="宋体"/>
          <w:kern w:val="0"/>
          <w:sz w:val="24"/>
        </w:rPr>
        <w:t>⑷</w:t>
      </w:r>
      <w:r>
        <w:rPr>
          <w:rFonts w:hAnsi="宋体"/>
          <w:kern w:val="0"/>
          <w:sz w:val="24"/>
        </w:rPr>
        <w:t>地下水</w:t>
      </w:r>
    </w:p>
    <w:p w:rsidR="00475650" w:rsidRDefault="00475650">
      <w:pPr>
        <w:snapToGrid w:val="0"/>
        <w:spacing w:line="360" w:lineRule="auto"/>
        <w:ind w:firstLineChars="200" w:firstLine="480"/>
        <w:rPr>
          <w:sz w:val="24"/>
        </w:rPr>
      </w:pPr>
      <w:r>
        <w:rPr>
          <w:rFonts w:hAnsi="宋体"/>
          <w:sz w:val="24"/>
        </w:rPr>
        <w:t>地下水执行《地下水质量标准》（</w:t>
      </w:r>
      <w:r>
        <w:rPr>
          <w:sz w:val="24"/>
        </w:rPr>
        <w:t>GB/T14848-93</w:t>
      </w:r>
      <w:r>
        <w:rPr>
          <w:rFonts w:hAnsi="宋体"/>
          <w:sz w:val="24"/>
        </w:rPr>
        <w:t>）中</w:t>
      </w:r>
      <w:r>
        <w:rPr>
          <w:sz w:val="24"/>
        </w:rPr>
        <w:t>“</w:t>
      </w:r>
      <w:r>
        <w:rPr>
          <w:rFonts w:ascii="宋体" w:hAnsi="宋体"/>
          <w:sz w:val="24"/>
        </w:rPr>
        <w:t>Ⅲ</w:t>
      </w:r>
      <w:r>
        <w:rPr>
          <w:rFonts w:hAnsi="宋体"/>
          <w:sz w:val="24"/>
        </w:rPr>
        <w:t>类</w:t>
      </w:r>
      <w:r>
        <w:rPr>
          <w:sz w:val="24"/>
        </w:rPr>
        <w:t>”</w:t>
      </w:r>
      <w:r>
        <w:rPr>
          <w:rFonts w:hAnsi="宋体"/>
          <w:sz w:val="24"/>
        </w:rPr>
        <w:t>标准，该标准中未列的石油类、硫化物等参照《生活饮用水卫生标准》（</w:t>
      </w:r>
      <w:r>
        <w:rPr>
          <w:sz w:val="24"/>
        </w:rPr>
        <w:t>GB5749-2006</w:t>
      </w:r>
      <w:r>
        <w:rPr>
          <w:rFonts w:hAnsi="宋体"/>
          <w:sz w:val="24"/>
        </w:rPr>
        <w:t>），详见表</w:t>
      </w:r>
      <w:r>
        <w:rPr>
          <w:sz w:val="24"/>
        </w:rPr>
        <w:t>1.3-6</w:t>
      </w:r>
      <w:r>
        <w:rPr>
          <w:rFonts w:hAnsi="宋体"/>
          <w:sz w:val="24"/>
        </w:rPr>
        <w:t>。</w:t>
      </w:r>
    </w:p>
    <w:p w:rsidR="00475650" w:rsidRDefault="00475650">
      <w:pPr>
        <w:pStyle w:val="19"/>
        <w:numPr>
          <w:ilvl w:val="0"/>
          <w:numId w:val="0"/>
        </w:numPr>
        <w:tabs>
          <w:tab w:val="left" w:pos="3780"/>
        </w:tabs>
        <w:snapToGrid w:val="0"/>
        <w:spacing w:before="0" w:line="360" w:lineRule="auto"/>
        <w:rPr>
          <w:rFonts w:ascii="Times New Roman" w:eastAsia="宋体"/>
          <w:b w:val="0"/>
          <w:bCs/>
          <w:sz w:val="24"/>
          <w:szCs w:val="24"/>
        </w:rPr>
      </w:pPr>
      <w:r>
        <w:rPr>
          <w:rFonts w:ascii="Times New Roman" w:eastAsia="宋体" w:hAnsi="宋体"/>
          <w:b w:val="0"/>
          <w:bCs/>
          <w:sz w:val="24"/>
          <w:szCs w:val="24"/>
        </w:rPr>
        <w:t>表</w:t>
      </w:r>
      <w:r>
        <w:rPr>
          <w:rFonts w:ascii="Times New Roman" w:eastAsia="宋体"/>
          <w:b w:val="0"/>
          <w:bCs/>
          <w:sz w:val="24"/>
          <w:szCs w:val="24"/>
        </w:rPr>
        <w:t xml:space="preserve">1.3-6    </w:t>
      </w:r>
      <w:r>
        <w:rPr>
          <w:rFonts w:ascii="Times New Roman" w:eastAsia="宋体" w:hAnsi="宋体"/>
          <w:b w:val="0"/>
          <w:bCs/>
          <w:sz w:val="24"/>
          <w:szCs w:val="24"/>
        </w:rPr>
        <w:t>地下水质量标准一览表</w:t>
      </w: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tblPr>
      <w:tblGrid>
        <w:gridCol w:w="814"/>
        <w:gridCol w:w="2580"/>
        <w:gridCol w:w="1796"/>
        <w:gridCol w:w="3756"/>
      </w:tblGrid>
      <w:tr w:rsidR="00475650">
        <w:trPr>
          <w:jc w:val="center"/>
        </w:trPr>
        <w:tc>
          <w:tcPr>
            <w:tcW w:w="814" w:type="dxa"/>
            <w:vAlign w:val="center"/>
          </w:tcPr>
          <w:p w:rsidR="00475650" w:rsidRDefault="00475650">
            <w:pPr>
              <w:pStyle w:val="afff7"/>
              <w:snapToGrid w:val="0"/>
              <w:spacing w:line="240" w:lineRule="exact"/>
              <w:rPr>
                <w:sz w:val="21"/>
                <w:szCs w:val="21"/>
              </w:rPr>
            </w:pPr>
            <w:r>
              <w:rPr>
                <w:rFonts w:hAnsi="宋体"/>
                <w:sz w:val="21"/>
                <w:szCs w:val="21"/>
              </w:rPr>
              <w:t>序号</w:t>
            </w:r>
          </w:p>
        </w:tc>
        <w:tc>
          <w:tcPr>
            <w:tcW w:w="2580" w:type="dxa"/>
            <w:vAlign w:val="center"/>
          </w:tcPr>
          <w:p w:rsidR="00475650" w:rsidRDefault="00475650">
            <w:pPr>
              <w:pStyle w:val="afff7"/>
              <w:snapToGrid w:val="0"/>
              <w:spacing w:line="240" w:lineRule="exact"/>
              <w:rPr>
                <w:sz w:val="21"/>
                <w:szCs w:val="21"/>
              </w:rPr>
            </w:pPr>
            <w:r>
              <w:rPr>
                <w:rFonts w:hAnsi="宋体"/>
                <w:sz w:val="21"/>
                <w:szCs w:val="21"/>
              </w:rPr>
              <w:t>项</w:t>
            </w:r>
            <w:r>
              <w:rPr>
                <w:sz w:val="21"/>
                <w:szCs w:val="21"/>
              </w:rPr>
              <w:t xml:space="preserve"> </w:t>
            </w:r>
            <w:r>
              <w:rPr>
                <w:rFonts w:hAnsi="宋体"/>
                <w:sz w:val="21"/>
                <w:szCs w:val="21"/>
              </w:rPr>
              <w:t>目</w:t>
            </w:r>
          </w:p>
        </w:tc>
        <w:tc>
          <w:tcPr>
            <w:tcW w:w="1796" w:type="dxa"/>
            <w:vAlign w:val="center"/>
          </w:tcPr>
          <w:p w:rsidR="00475650" w:rsidRDefault="00475650">
            <w:pPr>
              <w:pStyle w:val="afff7"/>
              <w:snapToGrid w:val="0"/>
              <w:spacing w:line="240" w:lineRule="exact"/>
              <w:rPr>
                <w:sz w:val="21"/>
                <w:szCs w:val="21"/>
              </w:rPr>
            </w:pPr>
            <w:r>
              <w:rPr>
                <w:rFonts w:hAnsi="宋体"/>
                <w:sz w:val="21"/>
                <w:szCs w:val="21"/>
              </w:rPr>
              <w:t>标准值（</w:t>
            </w:r>
            <w:r>
              <w:rPr>
                <w:sz w:val="21"/>
                <w:szCs w:val="21"/>
              </w:rPr>
              <w:t>mg/L</w:t>
            </w:r>
            <w:r>
              <w:rPr>
                <w:rFonts w:hAnsi="宋体"/>
                <w:sz w:val="21"/>
                <w:szCs w:val="21"/>
              </w:rPr>
              <w:t>）</w:t>
            </w:r>
          </w:p>
        </w:tc>
        <w:tc>
          <w:tcPr>
            <w:tcW w:w="3756" w:type="dxa"/>
            <w:vAlign w:val="center"/>
          </w:tcPr>
          <w:p w:rsidR="00475650" w:rsidRDefault="00475650">
            <w:pPr>
              <w:pStyle w:val="afff7"/>
              <w:snapToGrid w:val="0"/>
              <w:spacing w:line="240" w:lineRule="exact"/>
              <w:rPr>
                <w:sz w:val="21"/>
                <w:szCs w:val="21"/>
              </w:rPr>
            </w:pPr>
            <w:r>
              <w:rPr>
                <w:rFonts w:hAnsi="宋体"/>
                <w:sz w:val="21"/>
                <w:szCs w:val="21"/>
              </w:rPr>
              <w:t>标</w:t>
            </w:r>
            <w:r>
              <w:rPr>
                <w:sz w:val="21"/>
                <w:szCs w:val="21"/>
              </w:rPr>
              <w:t xml:space="preserve"> </w:t>
            </w:r>
            <w:r>
              <w:rPr>
                <w:rFonts w:hAnsi="宋体"/>
                <w:sz w:val="21"/>
                <w:szCs w:val="21"/>
              </w:rPr>
              <w:t>准</w:t>
            </w:r>
            <w:r>
              <w:rPr>
                <w:sz w:val="21"/>
                <w:szCs w:val="21"/>
              </w:rPr>
              <w:t xml:space="preserve"> </w:t>
            </w:r>
            <w:r>
              <w:rPr>
                <w:rFonts w:hAnsi="宋体"/>
                <w:sz w:val="21"/>
                <w:szCs w:val="21"/>
              </w:rPr>
              <w:t>来</w:t>
            </w:r>
            <w:r>
              <w:rPr>
                <w:sz w:val="21"/>
                <w:szCs w:val="21"/>
              </w:rPr>
              <w:t xml:space="preserve"> </w:t>
            </w:r>
            <w:r>
              <w:rPr>
                <w:rFonts w:hAnsi="宋体"/>
                <w:sz w:val="21"/>
                <w:szCs w:val="21"/>
              </w:rPr>
              <w:t>源</w:t>
            </w:r>
          </w:p>
        </w:tc>
      </w:tr>
      <w:tr w:rsidR="00475650">
        <w:trPr>
          <w:jc w:val="center"/>
        </w:trPr>
        <w:tc>
          <w:tcPr>
            <w:tcW w:w="814" w:type="dxa"/>
            <w:vAlign w:val="center"/>
          </w:tcPr>
          <w:p w:rsidR="00475650" w:rsidRDefault="00475650">
            <w:pPr>
              <w:pStyle w:val="afff7"/>
              <w:snapToGrid w:val="0"/>
              <w:spacing w:line="240" w:lineRule="exact"/>
              <w:rPr>
                <w:sz w:val="21"/>
                <w:szCs w:val="21"/>
              </w:rPr>
            </w:pPr>
            <w:r>
              <w:rPr>
                <w:sz w:val="21"/>
                <w:szCs w:val="21"/>
              </w:rPr>
              <w:t>1</w:t>
            </w:r>
          </w:p>
        </w:tc>
        <w:tc>
          <w:tcPr>
            <w:tcW w:w="2580" w:type="dxa"/>
            <w:vAlign w:val="center"/>
          </w:tcPr>
          <w:p w:rsidR="00475650" w:rsidRDefault="00475650">
            <w:pPr>
              <w:pStyle w:val="afff7"/>
              <w:snapToGrid w:val="0"/>
              <w:spacing w:line="240" w:lineRule="exact"/>
              <w:rPr>
                <w:sz w:val="21"/>
                <w:szCs w:val="21"/>
              </w:rPr>
            </w:pPr>
            <w:r>
              <w:rPr>
                <w:sz w:val="21"/>
                <w:szCs w:val="21"/>
              </w:rPr>
              <w:t>pH</w:t>
            </w:r>
          </w:p>
        </w:tc>
        <w:tc>
          <w:tcPr>
            <w:tcW w:w="1796" w:type="dxa"/>
            <w:vAlign w:val="center"/>
          </w:tcPr>
          <w:p w:rsidR="00475650" w:rsidRDefault="00475650">
            <w:pPr>
              <w:pStyle w:val="afff7"/>
              <w:snapToGrid w:val="0"/>
              <w:spacing w:line="240" w:lineRule="exact"/>
              <w:rPr>
                <w:sz w:val="21"/>
                <w:szCs w:val="21"/>
              </w:rPr>
            </w:pPr>
            <w:r>
              <w:rPr>
                <w:sz w:val="21"/>
                <w:szCs w:val="21"/>
              </w:rPr>
              <w:t>6.5</w:t>
            </w:r>
            <w:r>
              <w:rPr>
                <w:rFonts w:hAnsi="宋体"/>
                <w:sz w:val="21"/>
                <w:szCs w:val="21"/>
              </w:rPr>
              <w:t>～</w:t>
            </w:r>
            <w:r>
              <w:rPr>
                <w:sz w:val="21"/>
                <w:szCs w:val="21"/>
              </w:rPr>
              <w:t>8.5</w:t>
            </w:r>
          </w:p>
        </w:tc>
        <w:tc>
          <w:tcPr>
            <w:tcW w:w="3756" w:type="dxa"/>
            <w:vMerge w:val="restart"/>
            <w:vAlign w:val="center"/>
          </w:tcPr>
          <w:p w:rsidR="00475650" w:rsidRDefault="00475650">
            <w:pPr>
              <w:pStyle w:val="afff7"/>
              <w:snapToGrid w:val="0"/>
              <w:spacing w:line="240" w:lineRule="exact"/>
              <w:rPr>
                <w:sz w:val="21"/>
                <w:szCs w:val="21"/>
              </w:rPr>
            </w:pPr>
            <w:r>
              <w:rPr>
                <w:rFonts w:hAnsi="宋体"/>
                <w:sz w:val="21"/>
                <w:szCs w:val="21"/>
              </w:rPr>
              <w:t>《地下水质量标准》</w:t>
            </w:r>
          </w:p>
          <w:p w:rsidR="00475650" w:rsidRDefault="00475650">
            <w:pPr>
              <w:pStyle w:val="afff7"/>
              <w:snapToGrid w:val="0"/>
              <w:spacing w:line="240" w:lineRule="exact"/>
              <w:rPr>
                <w:sz w:val="21"/>
                <w:szCs w:val="21"/>
              </w:rPr>
            </w:pPr>
            <w:r>
              <w:rPr>
                <w:rFonts w:hAnsi="宋体"/>
                <w:sz w:val="21"/>
                <w:szCs w:val="21"/>
              </w:rPr>
              <w:t>（</w:t>
            </w:r>
            <w:r>
              <w:rPr>
                <w:sz w:val="21"/>
                <w:szCs w:val="21"/>
              </w:rPr>
              <w:t>GB/T14848</w:t>
            </w:r>
            <w:r>
              <w:rPr>
                <w:rFonts w:hAnsi="宋体"/>
                <w:sz w:val="21"/>
                <w:szCs w:val="21"/>
              </w:rPr>
              <w:t>－</w:t>
            </w:r>
            <w:r>
              <w:rPr>
                <w:sz w:val="21"/>
                <w:szCs w:val="21"/>
              </w:rPr>
              <w:t>93</w:t>
            </w:r>
            <w:r>
              <w:rPr>
                <w:rFonts w:hAnsi="宋体"/>
                <w:sz w:val="21"/>
                <w:szCs w:val="21"/>
              </w:rPr>
              <w:t>）中</w:t>
            </w:r>
            <w:r>
              <w:rPr>
                <w:sz w:val="21"/>
                <w:szCs w:val="21"/>
              </w:rPr>
              <w:t>“</w:t>
            </w:r>
            <w:r>
              <w:rPr>
                <w:rFonts w:ascii="宋体" w:hAnsi="宋体"/>
                <w:sz w:val="21"/>
                <w:szCs w:val="21"/>
              </w:rPr>
              <w:t>Ⅲ</w:t>
            </w:r>
            <w:r>
              <w:rPr>
                <w:rFonts w:hAnsi="宋体"/>
                <w:sz w:val="21"/>
                <w:szCs w:val="21"/>
              </w:rPr>
              <w:t>类</w:t>
            </w:r>
            <w:r>
              <w:rPr>
                <w:sz w:val="21"/>
                <w:szCs w:val="21"/>
              </w:rPr>
              <w:t>”</w:t>
            </w:r>
            <w:r>
              <w:rPr>
                <w:rFonts w:hAnsi="宋体"/>
                <w:sz w:val="21"/>
                <w:szCs w:val="21"/>
              </w:rPr>
              <w:t>标准</w:t>
            </w:r>
          </w:p>
        </w:tc>
      </w:tr>
      <w:tr w:rsidR="00475650">
        <w:trPr>
          <w:jc w:val="center"/>
        </w:trPr>
        <w:tc>
          <w:tcPr>
            <w:tcW w:w="814" w:type="dxa"/>
            <w:vAlign w:val="center"/>
          </w:tcPr>
          <w:p w:rsidR="00475650" w:rsidRDefault="00475650">
            <w:pPr>
              <w:pStyle w:val="afff7"/>
              <w:snapToGrid w:val="0"/>
              <w:spacing w:line="240" w:lineRule="exact"/>
              <w:rPr>
                <w:sz w:val="21"/>
                <w:szCs w:val="21"/>
              </w:rPr>
            </w:pPr>
            <w:r>
              <w:rPr>
                <w:sz w:val="21"/>
                <w:szCs w:val="21"/>
              </w:rPr>
              <w:t>2</w:t>
            </w:r>
          </w:p>
        </w:tc>
        <w:tc>
          <w:tcPr>
            <w:tcW w:w="2580" w:type="dxa"/>
            <w:vAlign w:val="center"/>
          </w:tcPr>
          <w:p w:rsidR="00475650" w:rsidRDefault="00475650">
            <w:pPr>
              <w:pStyle w:val="afff7"/>
              <w:snapToGrid w:val="0"/>
              <w:spacing w:line="240" w:lineRule="exact"/>
              <w:rPr>
                <w:sz w:val="21"/>
                <w:szCs w:val="21"/>
              </w:rPr>
            </w:pPr>
            <w:r>
              <w:rPr>
                <w:rFonts w:hAnsi="宋体"/>
                <w:sz w:val="21"/>
                <w:szCs w:val="21"/>
              </w:rPr>
              <w:t>高锰酸盐指数</w:t>
            </w:r>
          </w:p>
        </w:tc>
        <w:tc>
          <w:tcPr>
            <w:tcW w:w="1796" w:type="dxa"/>
            <w:vAlign w:val="center"/>
          </w:tcPr>
          <w:p w:rsidR="00475650" w:rsidRDefault="00475650">
            <w:pPr>
              <w:pStyle w:val="afff7"/>
              <w:snapToGrid w:val="0"/>
              <w:spacing w:line="240" w:lineRule="exact"/>
              <w:rPr>
                <w:sz w:val="21"/>
                <w:szCs w:val="21"/>
              </w:rPr>
            </w:pPr>
            <w:r>
              <w:rPr>
                <w:sz w:val="21"/>
                <w:szCs w:val="21"/>
              </w:rPr>
              <w:t>≤3.0</w:t>
            </w:r>
          </w:p>
        </w:tc>
        <w:tc>
          <w:tcPr>
            <w:tcW w:w="3756" w:type="dxa"/>
            <w:vMerge/>
            <w:vAlign w:val="center"/>
          </w:tcPr>
          <w:p w:rsidR="00475650" w:rsidRDefault="00475650">
            <w:pPr>
              <w:pStyle w:val="afff7"/>
              <w:snapToGrid w:val="0"/>
              <w:spacing w:line="240" w:lineRule="exact"/>
              <w:rPr>
                <w:sz w:val="21"/>
                <w:szCs w:val="21"/>
              </w:rPr>
            </w:pPr>
          </w:p>
        </w:tc>
      </w:tr>
      <w:tr w:rsidR="00475650">
        <w:trPr>
          <w:jc w:val="center"/>
        </w:trPr>
        <w:tc>
          <w:tcPr>
            <w:tcW w:w="814" w:type="dxa"/>
            <w:vAlign w:val="center"/>
          </w:tcPr>
          <w:p w:rsidR="00475650" w:rsidRDefault="00475650">
            <w:pPr>
              <w:pStyle w:val="afff7"/>
              <w:snapToGrid w:val="0"/>
              <w:spacing w:line="240" w:lineRule="exact"/>
              <w:rPr>
                <w:sz w:val="21"/>
                <w:szCs w:val="21"/>
              </w:rPr>
            </w:pPr>
            <w:r>
              <w:rPr>
                <w:sz w:val="21"/>
                <w:szCs w:val="21"/>
              </w:rPr>
              <w:t>3</w:t>
            </w:r>
          </w:p>
        </w:tc>
        <w:tc>
          <w:tcPr>
            <w:tcW w:w="2580" w:type="dxa"/>
            <w:vAlign w:val="center"/>
          </w:tcPr>
          <w:p w:rsidR="00475650" w:rsidRDefault="00475650">
            <w:pPr>
              <w:pStyle w:val="afff7"/>
              <w:snapToGrid w:val="0"/>
              <w:spacing w:line="240" w:lineRule="exact"/>
              <w:rPr>
                <w:sz w:val="21"/>
                <w:szCs w:val="21"/>
              </w:rPr>
            </w:pPr>
            <w:r>
              <w:rPr>
                <w:rFonts w:hAnsi="宋体"/>
                <w:sz w:val="21"/>
                <w:szCs w:val="21"/>
              </w:rPr>
              <w:t>氨氮（</w:t>
            </w:r>
            <w:r>
              <w:rPr>
                <w:sz w:val="21"/>
                <w:szCs w:val="21"/>
              </w:rPr>
              <w:t>NH</w:t>
            </w:r>
            <w:r>
              <w:rPr>
                <w:sz w:val="21"/>
                <w:szCs w:val="21"/>
                <w:vertAlign w:val="subscript"/>
              </w:rPr>
              <w:t>4</w:t>
            </w:r>
            <w:r>
              <w:rPr>
                <w:rFonts w:hAnsi="宋体"/>
                <w:sz w:val="21"/>
                <w:szCs w:val="21"/>
              </w:rPr>
              <w:t>）</w:t>
            </w:r>
          </w:p>
        </w:tc>
        <w:tc>
          <w:tcPr>
            <w:tcW w:w="1796" w:type="dxa"/>
            <w:vAlign w:val="center"/>
          </w:tcPr>
          <w:p w:rsidR="00475650" w:rsidRDefault="00475650">
            <w:pPr>
              <w:pStyle w:val="afff7"/>
              <w:snapToGrid w:val="0"/>
              <w:spacing w:line="240" w:lineRule="exact"/>
              <w:rPr>
                <w:sz w:val="21"/>
                <w:szCs w:val="21"/>
              </w:rPr>
            </w:pPr>
            <w:r>
              <w:rPr>
                <w:sz w:val="21"/>
                <w:szCs w:val="21"/>
              </w:rPr>
              <w:t>≤0.2</w:t>
            </w:r>
          </w:p>
        </w:tc>
        <w:tc>
          <w:tcPr>
            <w:tcW w:w="3756" w:type="dxa"/>
            <w:vMerge/>
            <w:vAlign w:val="center"/>
          </w:tcPr>
          <w:p w:rsidR="00475650" w:rsidRDefault="00475650">
            <w:pPr>
              <w:pStyle w:val="afff7"/>
              <w:snapToGrid w:val="0"/>
              <w:spacing w:line="240" w:lineRule="exact"/>
              <w:rPr>
                <w:sz w:val="21"/>
                <w:szCs w:val="21"/>
              </w:rPr>
            </w:pPr>
          </w:p>
        </w:tc>
      </w:tr>
      <w:tr w:rsidR="00475650">
        <w:trPr>
          <w:jc w:val="center"/>
        </w:trPr>
        <w:tc>
          <w:tcPr>
            <w:tcW w:w="814" w:type="dxa"/>
            <w:vAlign w:val="center"/>
          </w:tcPr>
          <w:p w:rsidR="00475650" w:rsidRDefault="00475650">
            <w:pPr>
              <w:pStyle w:val="afff7"/>
              <w:snapToGrid w:val="0"/>
              <w:spacing w:line="240" w:lineRule="exact"/>
              <w:rPr>
                <w:sz w:val="21"/>
                <w:szCs w:val="21"/>
              </w:rPr>
            </w:pPr>
            <w:r>
              <w:rPr>
                <w:sz w:val="21"/>
                <w:szCs w:val="21"/>
              </w:rPr>
              <w:t>5</w:t>
            </w:r>
          </w:p>
        </w:tc>
        <w:tc>
          <w:tcPr>
            <w:tcW w:w="2580" w:type="dxa"/>
            <w:vAlign w:val="center"/>
          </w:tcPr>
          <w:p w:rsidR="00475650" w:rsidRDefault="00475650">
            <w:pPr>
              <w:pStyle w:val="afff7"/>
              <w:snapToGrid w:val="0"/>
              <w:spacing w:line="240" w:lineRule="exact"/>
              <w:rPr>
                <w:sz w:val="21"/>
                <w:szCs w:val="21"/>
              </w:rPr>
            </w:pPr>
            <w:r>
              <w:rPr>
                <w:rFonts w:hAnsi="宋体"/>
                <w:sz w:val="21"/>
                <w:szCs w:val="21"/>
              </w:rPr>
              <w:t>色度</w:t>
            </w:r>
          </w:p>
        </w:tc>
        <w:tc>
          <w:tcPr>
            <w:tcW w:w="1796" w:type="dxa"/>
            <w:vAlign w:val="center"/>
          </w:tcPr>
          <w:p w:rsidR="00475650" w:rsidRDefault="00475650">
            <w:pPr>
              <w:pStyle w:val="afff7"/>
              <w:snapToGrid w:val="0"/>
              <w:spacing w:line="240" w:lineRule="exact"/>
              <w:rPr>
                <w:sz w:val="21"/>
                <w:szCs w:val="21"/>
              </w:rPr>
            </w:pPr>
            <w:r>
              <w:rPr>
                <w:sz w:val="21"/>
                <w:szCs w:val="21"/>
              </w:rPr>
              <w:t>≤15</w:t>
            </w:r>
          </w:p>
        </w:tc>
        <w:tc>
          <w:tcPr>
            <w:tcW w:w="3756" w:type="dxa"/>
            <w:vMerge/>
            <w:vAlign w:val="center"/>
          </w:tcPr>
          <w:p w:rsidR="00475650" w:rsidRDefault="00475650">
            <w:pPr>
              <w:pStyle w:val="afff7"/>
              <w:snapToGrid w:val="0"/>
              <w:spacing w:line="240" w:lineRule="exact"/>
              <w:rPr>
                <w:sz w:val="21"/>
                <w:szCs w:val="21"/>
              </w:rPr>
            </w:pPr>
          </w:p>
        </w:tc>
      </w:tr>
      <w:tr w:rsidR="00475650">
        <w:trPr>
          <w:jc w:val="center"/>
        </w:trPr>
        <w:tc>
          <w:tcPr>
            <w:tcW w:w="814" w:type="dxa"/>
            <w:vAlign w:val="center"/>
          </w:tcPr>
          <w:p w:rsidR="00475650" w:rsidRDefault="00475650">
            <w:pPr>
              <w:pStyle w:val="afff7"/>
              <w:snapToGrid w:val="0"/>
              <w:spacing w:line="240" w:lineRule="exact"/>
              <w:rPr>
                <w:sz w:val="21"/>
                <w:szCs w:val="21"/>
              </w:rPr>
            </w:pPr>
            <w:r>
              <w:rPr>
                <w:sz w:val="21"/>
                <w:szCs w:val="21"/>
              </w:rPr>
              <w:t>6</w:t>
            </w:r>
          </w:p>
        </w:tc>
        <w:tc>
          <w:tcPr>
            <w:tcW w:w="2580" w:type="dxa"/>
            <w:vAlign w:val="center"/>
          </w:tcPr>
          <w:p w:rsidR="00475650" w:rsidRDefault="00475650">
            <w:pPr>
              <w:pStyle w:val="afff7"/>
              <w:snapToGrid w:val="0"/>
              <w:spacing w:line="240" w:lineRule="exact"/>
              <w:rPr>
                <w:sz w:val="21"/>
                <w:szCs w:val="21"/>
              </w:rPr>
            </w:pPr>
            <w:r>
              <w:rPr>
                <w:rFonts w:hAnsi="宋体"/>
                <w:sz w:val="21"/>
                <w:szCs w:val="21"/>
              </w:rPr>
              <w:t>挥发酚</w:t>
            </w:r>
          </w:p>
        </w:tc>
        <w:tc>
          <w:tcPr>
            <w:tcW w:w="1796" w:type="dxa"/>
            <w:vAlign w:val="center"/>
          </w:tcPr>
          <w:p w:rsidR="00475650" w:rsidRDefault="00475650">
            <w:pPr>
              <w:pStyle w:val="afff7"/>
              <w:snapToGrid w:val="0"/>
              <w:spacing w:line="240" w:lineRule="exact"/>
              <w:rPr>
                <w:sz w:val="21"/>
                <w:szCs w:val="21"/>
              </w:rPr>
            </w:pPr>
            <w:r>
              <w:rPr>
                <w:sz w:val="21"/>
                <w:szCs w:val="21"/>
              </w:rPr>
              <w:t>≤0.002</w:t>
            </w:r>
          </w:p>
        </w:tc>
        <w:tc>
          <w:tcPr>
            <w:tcW w:w="3756" w:type="dxa"/>
            <w:vMerge/>
            <w:vAlign w:val="center"/>
          </w:tcPr>
          <w:p w:rsidR="00475650" w:rsidRDefault="00475650">
            <w:pPr>
              <w:pStyle w:val="afff7"/>
              <w:snapToGrid w:val="0"/>
              <w:spacing w:line="240" w:lineRule="exact"/>
              <w:rPr>
                <w:sz w:val="21"/>
                <w:szCs w:val="21"/>
              </w:rPr>
            </w:pPr>
          </w:p>
        </w:tc>
      </w:tr>
      <w:tr w:rsidR="00475650">
        <w:trPr>
          <w:jc w:val="center"/>
        </w:trPr>
        <w:tc>
          <w:tcPr>
            <w:tcW w:w="814" w:type="dxa"/>
            <w:vAlign w:val="center"/>
          </w:tcPr>
          <w:p w:rsidR="00475650" w:rsidRDefault="00475650">
            <w:pPr>
              <w:pStyle w:val="afff7"/>
              <w:snapToGrid w:val="0"/>
              <w:spacing w:line="240" w:lineRule="exact"/>
              <w:rPr>
                <w:sz w:val="21"/>
                <w:szCs w:val="21"/>
              </w:rPr>
            </w:pPr>
            <w:r>
              <w:rPr>
                <w:sz w:val="21"/>
                <w:szCs w:val="21"/>
              </w:rPr>
              <w:lastRenderedPageBreak/>
              <w:t>7</w:t>
            </w:r>
          </w:p>
        </w:tc>
        <w:tc>
          <w:tcPr>
            <w:tcW w:w="2580" w:type="dxa"/>
            <w:vAlign w:val="center"/>
          </w:tcPr>
          <w:p w:rsidR="00475650" w:rsidRDefault="00475650">
            <w:pPr>
              <w:pStyle w:val="afff7"/>
              <w:snapToGrid w:val="0"/>
              <w:spacing w:line="240" w:lineRule="exact"/>
              <w:rPr>
                <w:sz w:val="21"/>
                <w:szCs w:val="21"/>
              </w:rPr>
            </w:pPr>
            <w:r>
              <w:rPr>
                <w:rFonts w:hAnsi="宋体"/>
                <w:sz w:val="21"/>
                <w:szCs w:val="21"/>
              </w:rPr>
              <w:t>硫酸盐</w:t>
            </w:r>
          </w:p>
        </w:tc>
        <w:tc>
          <w:tcPr>
            <w:tcW w:w="1796" w:type="dxa"/>
            <w:vAlign w:val="center"/>
          </w:tcPr>
          <w:p w:rsidR="00475650" w:rsidRDefault="00475650">
            <w:pPr>
              <w:pStyle w:val="afff7"/>
              <w:snapToGrid w:val="0"/>
              <w:spacing w:line="240" w:lineRule="exact"/>
              <w:rPr>
                <w:sz w:val="21"/>
                <w:szCs w:val="21"/>
              </w:rPr>
            </w:pPr>
            <w:r>
              <w:rPr>
                <w:sz w:val="21"/>
                <w:szCs w:val="21"/>
              </w:rPr>
              <w:t>≤250</w:t>
            </w:r>
          </w:p>
        </w:tc>
        <w:tc>
          <w:tcPr>
            <w:tcW w:w="3756" w:type="dxa"/>
            <w:vMerge/>
            <w:vAlign w:val="center"/>
          </w:tcPr>
          <w:p w:rsidR="00475650" w:rsidRDefault="00475650">
            <w:pPr>
              <w:pStyle w:val="afff7"/>
              <w:snapToGrid w:val="0"/>
              <w:spacing w:line="240" w:lineRule="exact"/>
              <w:rPr>
                <w:sz w:val="21"/>
                <w:szCs w:val="21"/>
              </w:rPr>
            </w:pPr>
          </w:p>
        </w:tc>
      </w:tr>
      <w:tr w:rsidR="00475650">
        <w:trPr>
          <w:jc w:val="center"/>
        </w:trPr>
        <w:tc>
          <w:tcPr>
            <w:tcW w:w="814" w:type="dxa"/>
            <w:vAlign w:val="center"/>
          </w:tcPr>
          <w:p w:rsidR="00475650" w:rsidRDefault="00475650">
            <w:pPr>
              <w:pStyle w:val="afff7"/>
              <w:snapToGrid w:val="0"/>
              <w:spacing w:line="240" w:lineRule="exact"/>
              <w:rPr>
                <w:sz w:val="21"/>
                <w:szCs w:val="21"/>
              </w:rPr>
            </w:pPr>
            <w:r>
              <w:rPr>
                <w:sz w:val="21"/>
                <w:szCs w:val="21"/>
              </w:rPr>
              <w:t>8</w:t>
            </w:r>
          </w:p>
        </w:tc>
        <w:tc>
          <w:tcPr>
            <w:tcW w:w="2580" w:type="dxa"/>
            <w:vAlign w:val="center"/>
          </w:tcPr>
          <w:p w:rsidR="00475650" w:rsidRDefault="00475650">
            <w:pPr>
              <w:pStyle w:val="afff7"/>
              <w:snapToGrid w:val="0"/>
              <w:spacing w:line="240" w:lineRule="exact"/>
              <w:rPr>
                <w:sz w:val="21"/>
                <w:szCs w:val="21"/>
              </w:rPr>
            </w:pPr>
            <w:r>
              <w:rPr>
                <w:rFonts w:hAnsi="宋体"/>
                <w:sz w:val="21"/>
                <w:szCs w:val="21"/>
              </w:rPr>
              <w:t>氯化物</w:t>
            </w:r>
          </w:p>
        </w:tc>
        <w:tc>
          <w:tcPr>
            <w:tcW w:w="1796" w:type="dxa"/>
            <w:vAlign w:val="center"/>
          </w:tcPr>
          <w:p w:rsidR="00475650" w:rsidRDefault="00475650">
            <w:pPr>
              <w:pStyle w:val="afff7"/>
              <w:snapToGrid w:val="0"/>
              <w:spacing w:line="240" w:lineRule="exact"/>
              <w:rPr>
                <w:sz w:val="21"/>
                <w:szCs w:val="21"/>
              </w:rPr>
            </w:pPr>
            <w:r>
              <w:rPr>
                <w:sz w:val="21"/>
                <w:szCs w:val="21"/>
              </w:rPr>
              <w:t>≤250</w:t>
            </w:r>
          </w:p>
        </w:tc>
        <w:tc>
          <w:tcPr>
            <w:tcW w:w="3756" w:type="dxa"/>
            <w:vMerge/>
            <w:vAlign w:val="center"/>
          </w:tcPr>
          <w:p w:rsidR="00475650" w:rsidRDefault="00475650">
            <w:pPr>
              <w:pStyle w:val="afff7"/>
              <w:snapToGrid w:val="0"/>
              <w:spacing w:line="240" w:lineRule="exact"/>
              <w:rPr>
                <w:sz w:val="21"/>
                <w:szCs w:val="21"/>
              </w:rPr>
            </w:pPr>
          </w:p>
        </w:tc>
      </w:tr>
      <w:tr w:rsidR="00475650">
        <w:trPr>
          <w:jc w:val="center"/>
        </w:trPr>
        <w:tc>
          <w:tcPr>
            <w:tcW w:w="814" w:type="dxa"/>
            <w:vAlign w:val="center"/>
          </w:tcPr>
          <w:p w:rsidR="00475650" w:rsidRDefault="00475650">
            <w:pPr>
              <w:pStyle w:val="afff7"/>
              <w:snapToGrid w:val="0"/>
              <w:spacing w:line="240" w:lineRule="exact"/>
              <w:rPr>
                <w:sz w:val="21"/>
                <w:szCs w:val="21"/>
              </w:rPr>
            </w:pPr>
            <w:r>
              <w:rPr>
                <w:sz w:val="21"/>
                <w:szCs w:val="21"/>
              </w:rPr>
              <w:t>9</w:t>
            </w:r>
          </w:p>
        </w:tc>
        <w:tc>
          <w:tcPr>
            <w:tcW w:w="2580" w:type="dxa"/>
            <w:vAlign w:val="center"/>
          </w:tcPr>
          <w:p w:rsidR="00475650" w:rsidRDefault="00475650">
            <w:pPr>
              <w:pStyle w:val="afff7"/>
              <w:snapToGrid w:val="0"/>
              <w:spacing w:line="240" w:lineRule="exact"/>
              <w:rPr>
                <w:sz w:val="21"/>
                <w:szCs w:val="21"/>
              </w:rPr>
            </w:pPr>
            <w:r>
              <w:rPr>
                <w:rFonts w:hAnsi="宋体"/>
                <w:sz w:val="21"/>
                <w:szCs w:val="21"/>
              </w:rPr>
              <w:t>硝酸盐</w:t>
            </w:r>
          </w:p>
        </w:tc>
        <w:tc>
          <w:tcPr>
            <w:tcW w:w="1796" w:type="dxa"/>
            <w:vAlign w:val="center"/>
          </w:tcPr>
          <w:p w:rsidR="00475650" w:rsidRDefault="00475650">
            <w:pPr>
              <w:pStyle w:val="afff7"/>
              <w:snapToGrid w:val="0"/>
              <w:spacing w:line="240" w:lineRule="exact"/>
              <w:rPr>
                <w:sz w:val="21"/>
                <w:szCs w:val="21"/>
              </w:rPr>
            </w:pPr>
            <w:r>
              <w:rPr>
                <w:sz w:val="21"/>
                <w:szCs w:val="21"/>
              </w:rPr>
              <w:t>≤20</w:t>
            </w:r>
          </w:p>
        </w:tc>
        <w:tc>
          <w:tcPr>
            <w:tcW w:w="3756" w:type="dxa"/>
            <w:vMerge/>
            <w:vAlign w:val="center"/>
          </w:tcPr>
          <w:p w:rsidR="00475650" w:rsidRDefault="00475650">
            <w:pPr>
              <w:pStyle w:val="afff7"/>
              <w:snapToGrid w:val="0"/>
              <w:spacing w:line="240" w:lineRule="exact"/>
              <w:rPr>
                <w:sz w:val="21"/>
                <w:szCs w:val="21"/>
              </w:rPr>
            </w:pPr>
          </w:p>
        </w:tc>
      </w:tr>
      <w:tr w:rsidR="00475650">
        <w:trPr>
          <w:jc w:val="center"/>
        </w:trPr>
        <w:tc>
          <w:tcPr>
            <w:tcW w:w="814" w:type="dxa"/>
            <w:vAlign w:val="center"/>
          </w:tcPr>
          <w:p w:rsidR="00475650" w:rsidRDefault="00475650">
            <w:pPr>
              <w:pStyle w:val="afff7"/>
              <w:snapToGrid w:val="0"/>
              <w:spacing w:line="240" w:lineRule="exact"/>
              <w:rPr>
                <w:sz w:val="21"/>
                <w:szCs w:val="21"/>
              </w:rPr>
            </w:pPr>
            <w:r>
              <w:rPr>
                <w:sz w:val="21"/>
                <w:szCs w:val="21"/>
              </w:rPr>
              <w:t>10</w:t>
            </w:r>
          </w:p>
        </w:tc>
        <w:tc>
          <w:tcPr>
            <w:tcW w:w="2580" w:type="dxa"/>
            <w:vAlign w:val="center"/>
          </w:tcPr>
          <w:p w:rsidR="00475650" w:rsidRDefault="00475650">
            <w:pPr>
              <w:pStyle w:val="afff7"/>
              <w:snapToGrid w:val="0"/>
              <w:spacing w:line="240" w:lineRule="exact"/>
              <w:rPr>
                <w:sz w:val="21"/>
                <w:szCs w:val="21"/>
              </w:rPr>
            </w:pPr>
            <w:r>
              <w:rPr>
                <w:rFonts w:hAnsi="宋体"/>
                <w:sz w:val="21"/>
                <w:szCs w:val="21"/>
              </w:rPr>
              <w:t>亚硝酸盐</w:t>
            </w:r>
          </w:p>
        </w:tc>
        <w:tc>
          <w:tcPr>
            <w:tcW w:w="1796" w:type="dxa"/>
            <w:vAlign w:val="center"/>
          </w:tcPr>
          <w:p w:rsidR="00475650" w:rsidRDefault="00475650">
            <w:pPr>
              <w:pStyle w:val="afff7"/>
              <w:snapToGrid w:val="0"/>
              <w:spacing w:line="240" w:lineRule="exact"/>
              <w:rPr>
                <w:sz w:val="21"/>
                <w:szCs w:val="21"/>
              </w:rPr>
            </w:pPr>
            <w:r>
              <w:rPr>
                <w:sz w:val="21"/>
                <w:szCs w:val="21"/>
              </w:rPr>
              <w:t>≤0.02</w:t>
            </w:r>
          </w:p>
        </w:tc>
        <w:tc>
          <w:tcPr>
            <w:tcW w:w="3756" w:type="dxa"/>
            <w:vMerge/>
            <w:vAlign w:val="center"/>
          </w:tcPr>
          <w:p w:rsidR="00475650" w:rsidRDefault="00475650">
            <w:pPr>
              <w:pStyle w:val="afff7"/>
              <w:snapToGrid w:val="0"/>
              <w:spacing w:line="240" w:lineRule="exact"/>
              <w:rPr>
                <w:sz w:val="21"/>
                <w:szCs w:val="21"/>
              </w:rPr>
            </w:pPr>
          </w:p>
        </w:tc>
      </w:tr>
    </w:tbl>
    <w:p w:rsidR="00475650" w:rsidRDefault="00475650">
      <w:pPr>
        <w:snapToGrid w:val="0"/>
        <w:spacing w:line="300" w:lineRule="auto"/>
        <w:ind w:firstLineChars="200" w:firstLine="480"/>
        <w:rPr>
          <w:kern w:val="0"/>
          <w:sz w:val="24"/>
        </w:rPr>
      </w:pPr>
      <w:bookmarkStart w:id="146" w:name="_Toc334014080"/>
      <w:bookmarkStart w:id="147" w:name="_Toc270622565"/>
      <w:bookmarkStart w:id="148" w:name="_Toc334080722"/>
      <w:bookmarkStart w:id="149" w:name="_Toc332292937"/>
      <w:bookmarkStart w:id="150" w:name="_Toc333229867"/>
      <w:bookmarkStart w:id="151" w:name="_Toc269630451"/>
      <w:bookmarkStart w:id="152" w:name="_Toc269630370"/>
      <w:bookmarkStart w:id="153" w:name="_Toc302936693"/>
      <w:bookmarkStart w:id="154" w:name="_Toc448999046"/>
      <w:r>
        <w:rPr>
          <w:rFonts w:hAnsi="宋体"/>
          <w:kern w:val="0"/>
          <w:sz w:val="24"/>
        </w:rPr>
        <w:t>（</w:t>
      </w:r>
      <w:r>
        <w:rPr>
          <w:kern w:val="0"/>
          <w:sz w:val="24"/>
        </w:rPr>
        <w:t>5</w:t>
      </w:r>
      <w:r>
        <w:rPr>
          <w:rFonts w:hAnsi="宋体"/>
          <w:kern w:val="0"/>
          <w:sz w:val="24"/>
        </w:rPr>
        <w:t>）土壤</w:t>
      </w:r>
    </w:p>
    <w:p w:rsidR="00475650" w:rsidRDefault="00475650">
      <w:pPr>
        <w:snapToGrid w:val="0"/>
        <w:spacing w:line="300" w:lineRule="auto"/>
        <w:ind w:firstLineChars="150" w:firstLine="360"/>
        <w:rPr>
          <w:sz w:val="24"/>
        </w:rPr>
      </w:pPr>
      <w:r>
        <w:rPr>
          <w:rFonts w:hAnsi="宋体"/>
          <w:sz w:val="24"/>
        </w:rPr>
        <w:t>评价区域内土壤环境质量现状调查执行《土壤环境质量标准》（</w:t>
      </w:r>
      <w:r>
        <w:rPr>
          <w:sz w:val="24"/>
        </w:rPr>
        <w:t>GB15618</w:t>
      </w:r>
      <w:r>
        <w:rPr>
          <w:rFonts w:hAnsi="宋体"/>
          <w:sz w:val="24"/>
        </w:rPr>
        <w:t>－</w:t>
      </w:r>
      <w:r>
        <w:rPr>
          <w:sz w:val="24"/>
        </w:rPr>
        <w:t>1995</w:t>
      </w:r>
      <w:r>
        <w:rPr>
          <w:rFonts w:hAnsi="宋体"/>
          <w:sz w:val="24"/>
        </w:rPr>
        <w:t>）中的二级标准，详见表</w:t>
      </w:r>
      <w:r>
        <w:rPr>
          <w:rFonts w:hint="eastAsia"/>
          <w:sz w:val="24"/>
        </w:rPr>
        <w:t>1.3-7</w:t>
      </w:r>
      <w:r>
        <w:rPr>
          <w:rFonts w:hAnsi="宋体"/>
          <w:sz w:val="24"/>
        </w:rPr>
        <w:t>。</w:t>
      </w:r>
    </w:p>
    <w:p w:rsidR="00475650" w:rsidRDefault="00475650">
      <w:pPr>
        <w:pStyle w:val="19"/>
        <w:numPr>
          <w:ilvl w:val="0"/>
          <w:numId w:val="0"/>
        </w:numPr>
        <w:tabs>
          <w:tab w:val="left" w:pos="3780"/>
        </w:tabs>
        <w:spacing w:before="0" w:line="460" w:lineRule="exact"/>
        <w:rPr>
          <w:rFonts w:ascii="Times New Roman" w:eastAsia="宋体"/>
          <w:sz w:val="24"/>
          <w:szCs w:val="24"/>
        </w:rPr>
      </w:pPr>
      <w:r>
        <w:rPr>
          <w:rFonts w:ascii="Times New Roman" w:eastAsia="宋体" w:hAnsi="宋体"/>
          <w:sz w:val="24"/>
          <w:szCs w:val="24"/>
        </w:rPr>
        <w:t>表</w:t>
      </w:r>
      <w:r>
        <w:rPr>
          <w:rFonts w:ascii="Times New Roman" w:eastAsia="宋体" w:hint="eastAsia"/>
          <w:sz w:val="24"/>
          <w:szCs w:val="24"/>
        </w:rPr>
        <w:t>1.3-7</w:t>
      </w:r>
      <w:r>
        <w:rPr>
          <w:rFonts w:ascii="Times New Roman" w:eastAsia="宋体" w:hAnsi="宋体"/>
          <w:sz w:val="24"/>
          <w:szCs w:val="24"/>
        </w:rPr>
        <w:t>土壤环境质量标准值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991"/>
        <w:gridCol w:w="1636"/>
        <w:gridCol w:w="1306"/>
        <w:gridCol w:w="1234"/>
        <w:gridCol w:w="1225"/>
        <w:gridCol w:w="2225"/>
      </w:tblGrid>
      <w:tr w:rsidR="00475650">
        <w:trPr>
          <w:cantSplit/>
          <w:trHeight w:val="68"/>
          <w:jc w:val="center"/>
        </w:trPr>
        <w:tc>
          <w:tcPr>
            <w:tcW w:w="991"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宋体" w:cs="Times New Roman"/>
              </w:rPr>
              <w:t>序号</w:t>
            </w:r>
          </w:p>
        </w:tc>
        <w:tc>
          <w:tcPr>
            <w:tcW w:w="1636"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宋体" w:cs="Times New Roman"/>
              </w:rPr>
              <w:t>项</w:t>
            </w:r>
            <w:r>
              <w:rPr>
                <w:rFonts w:ascii="Times New Roman" w:hAnsi="Times New Roman" w:cs="Times New Roman"/>
              </w:rPr>
              <w:t xml:space="preserve"> </w:t>
            </w:r>
            <w:r>
              <w:rPr>
                <w:rFonts w:ascii="Times New Roman" w:hAnsi="宋体" w:cs="Times New Roman"/>
              </w:rPr>
              <w:t>目</w:t>
            </w:r>
          </w:p>
        </w:tc>
        <w:tc>
          <w:tcPr>
            <w:tcW w:w="3765" w:type="dxa"/>
            <w:gridSpan w:val="3"/>
            <w:vAlign w:val="center"/>
          </w:tcPr>
          <w:p w:rsidR="00475650" w:rsidRDefault="00475650">
            <w:pPr>
              <w:pStyle w:val="afffffffff2"/>
              <w:spacing w:line="260" w:lineRule="exact"/>
              <w:jc w:val="center"/>
              <w:rPr>
                <w:rFonts w:ascii="Times New Roman" w:hAnsi="Times New Roman" w:cs="Times New Roman"/>
              </w:rPr>
            </w:pPr>
            <w:r>
              <w:rPr>
                <w:rFonts w:ascii="Times New Roman" w:hAnsi="宋体" w:cs="Times New Roman"/>
              </w:rPr>
              <w:t>标准值（</w:t>
            </w:r>
            <w:r>
              <w:rPr>
                <w:rFonts w:ascii="Times New Roman" w:hAnsi="Times New Roman" w:cs="Times New Roman"/>
              </w:rPr>
              <w:t>mg/kg</w:t>
            </w:r>
            <w:r>
              <w:rPr>
                <w:rFonts w:ascii="Times New Roman" w:hAnsi="宋体" w:cs="Times New Roman"/>
              </w:rPr>
              <w:t>）</w:t>
            </w:r>
          </w:p>
        </w:tc>
        <w:tc>
          <w:tcPr>
            <w:tcW w:w="2225" w:type="dxa"/>
            <w:vAlign w:val="center"/>
          </w:tcPr>
          <w:p w:rsidR="00475650" w:rsidRDefault="00475650">
            <w:pPr>
              <w:pStyle w:val="afffffffff2"/>
              <w:spacing w:line="260" w:lineRule="exact"/>
              <w:rPr>
                <w:rFonts w:ascii="Times New Roman" w:hAnsi="Times New Roman" w:cs="Times New Roman"/>
              </w:rPr>
            </w:pPr>
            <w:r>
              <w:rPr>
                <w:rFonts w:ascii="Times New Roman" w:hAnsi="宋体" w:cs="Times New Roman"/>
              </w:rPr>
              <w:t>标</w:t>
            </w:r>
            <w:r>
              <w:rPr>
                <w:rFonts w:ascii="Times New Roman" w:hAnsi="Times New Roman" w:cs="Times New Roman"/>
              </w:rPr>
              <w:t xml:space="preserve"> </w:t>
            </w:r>
            <w:r>
              <w:rPr>
                <w:rFonts w:ascii="Times New Roman" w:hAnsi="宋体" w:cs="Times New Roman"/>
              </w:rPr>
              <w:t>准</w:t>
            </w:r>
            <w:r>
              <w:rPr>
                <w:rFonts w:ascii="Times New Roman" w:hAnsi="Times New Roman" w:cs="Times New Roman"/>
              </w:rPr>
              <w:t xml:space="preserve"> </w:t>
            </w:r>
            <w:r>
              <w:rPr>
                <w:rFonts w:ascii="Times New Roman" w:hAnsi="宋体" w:cs="Times New Roman"/>
              </w:rPr>
              <w:t>来</w:t>
            </w:r>
            <w:r>
              <w:rPr>
                <w:rFonts w:ascii="Times New Roman" w:hAnsi="Times New Roman" w:cs="Times New Roman"/>
              </w:rPr>
              <w:t xml:space="preserve"> </w:t>
            </w:r>
            <w:r>
              <w:rPr>
                <w:rFonts w:ascii="Times New Roman" w:hAnsi="宋体" w:cs="Times New Roman"/>
              </w:rPr>
              <w:t>源</w:t>
            </w:r>
          </w:p>
        </w:tc>
      </w:tr>
      <w:tr w:rsidR="00475650">
        <w:trPr>
          <w:cantSplit/>
          <w:jc w:val="center"/>
        </w:trPr>
        <w:tc>
          <w:tcPr>
            <w:tcW w:w="991"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1</w:t>
            </w:r>
          </w:p>
        </w:tc>
        <w:tc>
          <w:tcPr>
            <w:tcW w:w="1636"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pH</w:t>
            </w:r>
          </w:p>
        </w:tc>
        <w:tc>
          <w:tcPr>
            <w:tcW w:w="1306"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&lt;6.5</w:t>
            </w:r>
          </w:p>
        </w:tc>
        <w:tc>
          <w:tcPr>
            <w:tcW w:w="1234"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6.5</w:t>
            </w:r>
            <w:r>
              <w:rPr>
                <w:rFonts w:ascii="Times New Roman" w:hAnsi="宋体" w:cs="Times New Roman"/>
              </w:rPr>
              <w:t>～</w:t>
            </w:r>
            <w:r>
              <w:rPr>
                <w:rFonts w:ascii="Times New Roman" w:hAnsi="Times New Roman" w:cs="Times New Roman"/>
              </w:rPr>
              <w:t>7.5</w:t>
            </w:r>
          </w:p>
        </w:tc>
        <w:tc>
          <w:tcPr>
            <w:tcW w:w="1225"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&gt;7.5</w:t>
            </w:r>
          </w:p>
        </w:tc>
        <w:tc>
          <w:tcPr>
            <w:tcW w:w="2225" w:type="dxa"/>
            <w:vMerge w:val="restart"/>
            <w:vAlign w:val="center"/>
          </w:tcPr>
          <w:p w:rsidR="00475650" w:rsidRDefault="00475650">
            <w:pPr>
              <w:pStyle w:val="afffffffff2"/>
              <w:spacing w:line="260" w:lineRule="exact"/>
              <w:rPr>
                <w:rFonts w:ascii="Times New Roman" w:hAnsi="Times New Roman" w:cs="Times New Roman"/>
              </w:rPr>
            </w:pPr>
            <w:r>
              <w:rPr>
                <w:rFonts w:ascii="Times New Roman" w:hAnsi="宋体" w:cs="Times New Roman"/>
              </w:rPr>
              <w:t>《土壤环境质量标准》</w:t>
            </w:r>
          </w:p>
          <w:p w:rsidR="00475650" w:rsidRDefault="00475650">
            <w:pPr>
              <w:pStyle w:val="afffffffff2"/>
              <w:spacing w:line="260" w:lineRule="exact"/>
              <w:rPr>
                <w:rFonts w:ascii="Times New Roman" w:hAnsi="Times New Roman" w:cs="Times New Roman"/>
              </w:rPr>
            </w:pPr>
            <w:r>
              <w:rPr>
                <w:rFonts w:ascii="Times New Roman" w:hAnsi="宋体" w:cs="Times New Roman"/>
              </w:rPr>
              <w:t>（</w:t>
            </w:r>
            <w:r>
              <w:rPr>
                <w:rFonts w:ascii="Times New Roman" w:hAnsi="Times New Roman" w:cs="Times New Roman"/>
              </w:rPr>
              <w:t>GB15618</w:t>
            </w:r>
            <w:r>
              <w:rPr>
                <w:rFonts w:ascii="Times New Roman" w:hAnsi="宋体" w:cs="Times New Roman"/>
              </w:rPr>
              <w:t>－</w:t>
            </w:r>
            <w:r>
              <w:rPr>
                <w:rFonts w:ascii="Times New Roman" w:hAnsi="Times New Roman" w:cs="Times New Roman"/>
              </w:rPr>
              <w:t>1995</w:t>
            </w:r>
            <w:r>
              <w:rPr>
                <w:rFonts w:ascii="Times New Roman" w:hAnsi="宋体" w:cs="Times New Roman"/>
              </w:rPr>
              <w:t>）</w:t>
            </w:r>
          </w:p>
          <w:p w:rsidR="00475650" w:rsidRDefault="00475650">
            <w:pPr>
              <w:pStyle w:val="afffffffff2"/>
              <w:spacing w:line="260" w:lineRule="exact"/>
              <w:rPr>
                <w:rFonts w:ascii="Times New Roman" w:hAnsi="Times New Roman" w:cs="Times New Roman"/>
              </w:rPr>
            </w:pPr>
            <w:r>
              <w:rPr>
                <w:rFonts w:ascii="Times New Roman" w:hAnsi="宋体" w:cs="Times New Roman"/>
              </w:rPr>
              <w:t>中</w:t>
            </w:r>
            <w:r>
              <w:rPr>
                <w:rFonts w:ascii="Times New Roman" w:hAnsi="Times New Roman" w:cs="Times New Roman"/>
              </w:rPr>
              <w:t>“</w:t>
            </w:r>
            <w:r>
              <w:rPr>
                <w:rFonts w:ascii="Times New Roman" w:hAnsi="宋体" w:cs="Times New Roman"/>
              </w:rPr>
              <w:t>二级</w:t>
            </w:r>
            <w:r>
              <w:rPr>
                <w:rFonts w:ascii="Times New Roman" w:hAnsi="Times New Roman" w:cs="Times New Roman"/>
              </w:rPr>
              <w:t>”</w:t>
            </w:r>
            <w:r>
              <w:rPr>
                <w:rFonts w:ascii="Times New Roman" w:hAnsi="宋体" w:cs="Times New Roman"/>
              </w:rPr>
              <w:t>标准</w:t>
            </w:r>
            <w:r>
              <w:rPr>
                <w:rFonts w:ascii="Times New Roman" w:hAnsi="Times New Roman" w:cs="Times New Roman"/>
              </w:rPr>
              <w:t xml:space="preserve"> </w:t>
            </w:r>
          </w:p>
        </w:tc>
      </w:tr>
      <w:tr w:rsidR="00475650">
        <w:trPr>
          <w:cantSplit/>
          <w:trHeight w:val="108"/>
          <w:jc w:val="center"/>
        </w:trPr>
        <w:tc>
          <w:tcPr>
            <w:tcW w:w="991"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2</w:t>
            </w:r>
          </w:p>
        </w:tc>
        <w:tc>
          <w:tcPr>
            <w:tcW w:w="1636"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宋体" w:cs="Times New Roman"/>
              </w:rPr>
              <w:t>镉</w:t>
            </w:r>
            <w:r>
              <w:rPr>
                <w:rFonts w:ascii="Times New Roman" w:hAnsi="Times New Roman" w:cs="Times New Roman"/>
              </w:rPr>
              <w:t>≤</w:t>
            </w:r>
          </w:p>
        </w:tc>
        <w:tc>
          <w:tcPr>
            <w:tcW w:w="1306"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0.30</w:t>
            </w:r>
          </w:p>
        </w:tc>
        <w:tc>
          <w:tcPr>
            <w:tcW w:w="1234"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0.3</w:t>
            </w:r>
          </w:p>
        </w:tc>
        <w:tc>
          <w:tcPr>
            <w:tcW w:w="1225"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1.0</w:t>
            </w:r>
          </w:p>
        </w:tc>
        <w:tc>
          <w:tcPr>
            <w:tcW w:w="2225" w:type="dxa"/>
            <w:vMerge/>
            <w:vAlign w:val="center"/>
          </w:tcPr>
          <w:p w:rsidR="00475650" w:rsidRDefault="00475650">
            <w:pPr>
              <w:pStyle w:val="afffffffff2"/>
              <w:spacing w:line="260" w:lineRule="exact"/>
              <w:rPr>
                <w:rFonts w:ascii="Times New Roman" w:hAnsi="Times New Roman" w:cs="Times New Roman"/>
              </w:rPr>
            </w:pPr>
          </w:p>
        </w:tc>
      </w:tr>
      <w:tr w:rsidR="00475650">
        <w:trPr>
          <w:cantSplit/>
          <w:trHeight w:val="240"/>
          <w:jc w:val="center"/>
        </w:trPr>
        <w:tc>
          <w:tcPr>
            <w:tcW w:w="991"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3</w:t>
            </w:r>
          </w:p>
        </w:tc>
        <w:tc>
          <w:tcPr>
            <w:tcW w:w="1636"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宋体" w:cs="Times New Roman"/>
              </w:rPr>
              <w:t>汞</w:t>
            </w:r>
            <w:r>
              <w:rPr>
                <w:rFonts w:ascii="Times New Roman" w:hAnsi="Times New Roman" w:cs="Times New Roman"/>
              </w:rPr>
              <w:t>≤</w:t>
            </w:r>
          </w:p>
        </w:tc>
        <w:tc>
          <w:tcPr>
            <w:tcW w:w="1306"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0.30</w:t>
            </w:r>
          </w:p>
        </w:tc>
        <w:tc>
          <w:tcPr>
            <w:tcW w:w="1234"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0.50</w:t>
            </w:r>
          </w:p>
        </w:tc>
        <w:tc>
          <w:tcPr>
            <w:tcW w:w="1225"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1.0</w:t>
            </w:r>
          </w:p>
        </w:tc>
        <w:tc>
          <w:tcPr>
            <w:tcW w:w="2225" w:type="dxa"/>
            <w:vMerge/>
            <w:vAlign w:val="center"/>
          </w:tcPr>
          <w:p w:rsidR="00475650" w:rsidRDefault="00475650">
            <w:pPr>
              <w:pStyle w:val="afffffffff2"/>
              <w:spacing w:line="260" w:lineRule="exact"/>
              <w:rPr>
                <w:rFonts w:ascii="Times New Roman" w:hAnsi="Times New Roman" w:cs="Times New Roman"/>
              </w:rPr>
            </w:pPr>
          </w:p>
        </w:tc>
      </w:tr>
      <w:tr w:rsidR="00475650">
        <w:trPr>
          <w:cantSplit/>
          <w:trHeight w:val="171"/>
          <w:jc w:val="center"/>
        </w:trPr>
        <w:tc>
          <w:tcPr>
            <w:tcW w:w="991"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4</w:t>
            </w:r>
          </w:p>
        </w:tc>
        <w:tc>
          <w:tcPr>
            <w:tcW w:w="1636"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宋体" w:cs="Times New Roman"/>
              </w:rPr>
              <w:t>砷</w:t>
            </w:r>
            <w:r>
              <w:rPr>
                <w:rFonts w:ascii="Times New Roman" w:hAnsi="Times New Roman" w:cs="Times New Roman"/>
              </w:rPr>
              <w:t>(</w:t>
            </w:r>
            <w:r>
              <w:rPr>
                <w:rFonts w:ascii="Times New Roman" w:hAnsi="宋体" w:cs="Times New Roman"/>
              </w:rPr>
              <w:t>旱地</w:t>
            </w:r>
            <w:r>
              <w:rPr>
                <w:rFonts w:ascii="Times New Roman" w:hAnsi="Times New Roman" w:cs="Times New Roman"/>
              </w:rPr>
              <w:t>)≤</w:t>
            </w:r>
          </w:p>
        </w:tc>
        <w:tc>
          <w:tcPr>
            <w:tcW w:w="1306"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40</w:t>
            </w:r>
          </w:p>
        </w:tc>
        <w:tc>
          <w:tcPr>
            <w:tcW w:w="1234"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30</w:t>
            </w:r>
          </w:p>
        </w:tc>
        <w:tc>
          <w:tcPr>
            <w:tcW w:w="1225"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25</w:t>
            </w:r>
          </w:p>
        </w:tc>
        <w:tc>
          <w:tcPr>
            <w:tcW w:w="2225" w:type="dxa"/>
            <w:vMerge/>
            <w:vAlign w:val="center"/>
          </w:tcPr>
          <w:p w:rsidR="00475650" w:rsidRDefault="00475650">
            <w:pPr>
              <w:pStyle w:val="afffffffff2"/>
              <w:spacing w:line="260" w:lineRule="exact"/>
              <w:rPr>
                <w:rFonts w:ascii="Times New Roman" w:hAnsi="Times New Roman" w:cs="Times New Roman"/>
              </w:rPr>
            </w:pPr>
          </w:p>
        </w:tc>
      </w:tr>
      <w:tr w:rsidR="00475650">
        <w:trPr>
          <w:cantSplit/>
          <w:trHeight w:val="171"/>
          <w:jc w:val="center"/>
        </w:trPr>
        <w:tc>
          <w:tcPr>
            <w:tcW w:w="991"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5</w:t>
            </w:r>
          </w:p>
        </w:tc>
        <w:tc>
          <w:tcPr>
            <w:tcW w:w="1636"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宋体" w:cs="Times New Roman"/>
              </w:rPr>
              <w:t>铜</w:t>
            </w:r>
            <w:r>
              <w:rPr>
                <w:rFonts w:ascii="Times New Roman" w:hAnsi="Times New Roman" w:cs="Times New Roman"/>
              </w:rPr>
              <w:t>(</w:t>
            </w:r>
            <w:r>
              <w:rPr>
                <w:rFonts w:ascii="Times New Roman" w:hAnsi="宋体" w:cs="Times New Roman"/>
              </w:rPr>
              <w:t>农田等</w:t>
            </w:r>
            <w:r>
              <w:rPr>
                <w:rFonts w:ascii="Times New Roman" w:hAnsi="Times New Roman" w:cs="Times New Roman"/>
              </w:rPr>
              <w:t>)≤</w:t>
            </w:r>
          </w:p>
        </w:tc>
        <w:tc>
          <w:tcPr>
            <w:tcW w:w="1306"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50</w:t>
            </w:r>
          </w:p>
        </w:tc>
        <w:tc>
          <w:tcPr>
            <w:tcW w:w="1234"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100</w:t>
            </w:r>
          </w:p>
        </w:tc>
        <w:tc>
          <w:tcPr>
            <w:tcW w:w="1225"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100</w:t>
            </w:r>
          </w:p>
        </w:tc>
        <w:tc>
          <w:tcPr>
            <w:tcW w:w="2225" w:type="dxa"/>
            <w:vMerge/>
            <w:vAlign w:val="center"/>
          </w:tcPr>
          <w:p w:rsidR="00475650" w:rsidRDefault="00475650">
            <w:pPr>
              <w:pStyle w:val="afffffffff2"/>
              <w:spacing w:line="260" w:lineRule="exact"/>
              <w:rPr>
                <w:rFonts w:ascii="Times New Roman" w:hAnsi="Times New Roman" w:cs="Times New Roman"/>
              </w:rPr>
            </w:pPr>
          </w:p>
        </w:tc>
      </w:tr>
      <w:tr w:rsidR="00475650">
        <w:trPr>
          <w:cantSplit/>
          <w:trHeight w:val="171"/>
          <w:jc w:val="center"/>
        </w:trPr>
        <w:tc>
          <w:tcPr>
            <w:tcW w:w="991"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6</w:t>
            </w:r>
          </w:p>
        </w:tc>
        <w:tc>
          <w:tcPr>
            <w:tcW w:w="1636"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宋体" w:cs="Times New Roman"/>
              </w:rPr>
              <w:t>铅</w:t>
            </w:r>
            <w:r>
              <w:rPr>
                <w:rFonts w:ascii="Times New Roman" w:hAnsi="Times New Roman" w:cs="Times New Roman"/>
              </w:rPr>
              <w:t>≤</w:t>
            </w:r>
          </w:p>
        </w:tc>
        <w:tc>
          <w:tcPr>
            <w:tcW w:w="1306"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250</w:t>
            </w:r>
          </w:p>
        </w:tc>
        <w:tc>
          <w:tcPr>
            <w:tcW w:w="1234"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300</w:t>
            </w:r>
          </w:p>
        </w:tc>
        <w:tc>
          <w:tcPr>
            <w:tcW w:w="1225"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350</w:t>
            </w:r>
          </w:p>
        </w:tc>
        <w:tc>
          <w:tcPr>
            <w:tcW w:w="2225" w:type="dxa"/>
            <w:vMerge/>
            <w:vAlign w:val="center"/>
          </w:tcPr>
          <w:p w:rsidR="00475650" w:rsidRDefault="00475650">
            <w:pPr>
              <w:pStyle w:val="afffffffff2"/>
              <w:spacing w:line="260" w:lineRule="exact"/>
              <w:rPr>
                <w:rFonts w:ascii="Times New Roman" w:hAnsi="Times New Roman" w:cs="Times New Roman"/>
              </w:rPr>
            </w:pPr>
          </w:p>
        </w:tc>
      </w:tr>
      <w:tr w:rsidR="00475650">
        <w:trPr>
          <w:cantSplit/>
          <w:jc w:val="center"/>
        </w:trPr>
        <w:tc>
          <w:tcPr>
            <w:tcW w:w="991"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7</w:t>
            </w:r>
          </w:p>
        </w:tc>
        <w:tc>
          <w:tcPr>
            <w:tcW w:w="1636"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宋体" w:cs="Times New Roman"/>
              </w:rPr>
              <w:t>铬</w:t>
            </w:r>
            <w:r>
              <w:rPr>
                <w:rFonts w:ascii="Times New Roman" w:hAnsi="Times New Roman" w:cs="Times New Roman"/>
                <w:lang w:val="en-GB"/>
              </w:rPr>
              <w:t>(</w:t>
            </w:r>
            <w:r>
              <w:rPr>
                <w:rFonts w:ascii="Times New Roman" w:hAnsi="宋体" w:cs="Times New Roman"/>
                <w:lang w:val="en-GB"/>
              </w:rPr>
              <w:t>旱地</w:t>
            </w:r>
            <w:r>
              <w:rPr>
                <w:rFonts w:ascii="Times New Roman" w:hAnsi="Times New Roman" w:cs="Times New Roman"/>
                <w:lang w:val="en-GB"/>
              </w:rPr>
              <w:t>)</w:t>
            </w:r>
            <w:r>
              <w:rPr>
                <w:rFonts w:ascii="Times New Roman" w:hAnsi="Times New Roman" w:cs="Times New Roman"/>
              </w:rPr>
              <w:t>≤</w:t>
            </w:r>
          </w:p>
        </w:tc>
        <w:tc>
          <w:tcPr>
            <w:tcW w:w="1306"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150</w:t>
            </w:r>
          </w:p>
        </w:tc>
        <w:tc>
          <w:tcPr>
            <w:tcW w:w="1234"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200</w:t>
            </w:r>
          </w:p>
        </w:tc>
        <w:tc>
          <w:tcPr>
            <w:tcW w:w="1225"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250</w:t>
            </w:r>
          </w:p>
        </w:tc>
        <w:tc>
          <w:tcPr>
            <w:tcW w:w="2225" w:type="dxa"/>
            <w:vMerge/>
            <w:vAlign w:val="center"/>
          </w:tcPr>
          <w:p w:rsidR="00475650" w:rsidRDefault="00475650">
            <w:pPr>
              <w:pStyle w:val="afffffffff2"/>
              <w:spacing w:line="260" w:lineRule="exact"/>
              <w:rPr>
                <w:rFonts w:ascii="Times New Roman" w:hAnsi="Times New Roman" w:cs="Times New Roman"/>
              </w:rPr>
            </w:pPr>
          </w:p>
        </w:tc>
      </w:tr>
      <w:tr w:rsidR="00475650">
        <w:trPr>
          <w:cantSplit/>
          <w:jc w:val="center"/>
        </w:trPr>
        <w:tc>
          <w:tcPr>
            <w:tcW w:w="991"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8</w:t>
            </w:r>
          </w:p>
        </w:tc>
        <w:tc>
          <w:tcPr>
            <w:tcW w:w="1636"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宋体" w:cs="Times New Roman"/>
              </w:rPr>
              <w:t>锌</w:t>
            </w:r>
            <w:r>
              <w:rPr>
                <w:rFonts w:ascii="Times New Roman" w:hAnsi="Times New Roman" w:cs="Times New Roman"/>
              </w:rPr>
              <w:t>≤</w:t>
            </w:r>
          </w:p>
        </w:tc>
        <w:tc>
          <w:tcPr>
            <w:tcW w:w="1306"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200</w:t>
            </w:r>
          </w:p>
        </w:tc>
        <w:tc>
          <w:tcPr>
            <w:tcW w:w="1234"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250</w:t>
            </w:r>
          </w:p>
        </w:tc>
        <w:tc>
          <w:tcPr>
            <w:tcW w:w="1225"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300</w:t>
            </w:r>
          </w:p>
        </w:tc>
        <w:tc>
          <w:tcPr>
            <w:tcW w:w="2225" w:type="dxa"/>
            <w:vMerge/>
            <w:vAlign w:val="center"/>
          </w:tcPr>
          <w:p w:rsidR="00475650" w:rsidRDefault="00475650">
            <w:pPr>
              <w:pStyle w:val="afffffffff2"/>
              <w:spacing w:line="260" w:lineRule="exact"/>
              <w:rPr>
                <w:rFonts w:ascii="Times New Roman" w:hAnsi="Times New Roman" w:cs="Times New Roman"/>
              </w:rPr>
            </w:pPr>
          </w:p>
        </w:tc>
      </w:tr>
      <w:tr w:rsidR="00475650">
        <w:trPr>
          <w:cantSplit/>
          <w:jc w:val="center"/>
        </w:trPr>
        <w:tc>
          <w:tcPr>
            <w:tcW w:w="991"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9</w:t>
            </w:r>
          </w:p>
        </w:tc>
        <w:tc>
          <w:tcPr>
            <w:tcW w:w="1636"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宋体" w:cs="Times New Roman"/>
              </w:rPr>
              <w:t>镍</w:t>
            </w:r>
            <w:r>
              <w:rPr>
                <w:rFonts w:ascii="Times New Roman" w:hAnsi="Times New Roman" w:cs="Times New Roman"/>
              </w:rPr>
              <w:t>≤</w:t>
            </w:r>
          </w:p>
        </w:tc>
        <w:tc>
          <w:tcPr>
            <w:tcW w:w="1306"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40</w:t>
            </w:r>
          </w:p>
        </w:tc>
        <w:tc>
          <w:tcPr>
            <w:tcW w:w="1234"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50</w:t>
            </w:r>
          </w:p>
        </w:tc>
        <w:tc>
          <w:tcPr>
            <w:tcW w:w="1225" w:type="dxa"/>
            <w:vAlign w:val="center"/>
          </w:tcPr>
          <w:p w:rsidR="00475650" w:rsidRDefault="00475650">
            <w:pPr>
              <w:pStyle w:val="afffffffff2"/>
              <w:spacing w:line="260" w:lineRule="exact"/>
              <w:jc w:val="center"/>
              <w:rPr>
                <w:rFonts w:ascii="Times New Roman" w:hAnsi="Times New Roman" w:cs="Times New Roman"/>
              </w:rPr>
            </w:pPr>
            <w:r>
              <w:rPr>
                <w:rFonts w:ascii="Times New Roman" w:hAnsi="Times New Roman" w:cs="Times New Roman"/>
              </w:rPr>
              <w:t>60</w:t>
            </w:r>
          </w:p>
        </w:tc>
        <w:tc>
          <w:tcPr>
            <w:tcW w:w="2225" w:type="dxa"/>
            <w:vMerge/>
            <w:vAlign w:val="center"/>
          </w:tcPr>
          <w:p w:rsidR="00475650" w:rsidRDefault="00475650">
            <w:pPr>
              <w:pStyle w:val="afffffffff2"/>
              <w:spacing w:line="260" w:lineRule="exact"/>
              <w:rPr>
                <w:rFonts w:ascii="Times New Roman" w:hAnsi="Times New Roman" w:cs="Times New Roman"/>
              </w:rPr>
            </w:pPr>
          </w:p>
        </w:tc>
      </w:tr>
    </w:tbl>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p>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155" w:name="_Toc465676941"/>
      <w:bookmarkStart w:id="156" w:name="_Toc5354"/>
      <w:r>
        <w:rPr>
          <w:rStyle w:val="2Char1Char"/>
          <w:rFonts w:ascii="Times New Roman" w:eastAsia="宋体" w:hAnsi="Times New Roman" w:cs="Times New Roman"/>
          <w:b w:val="0"/>
          <w:sz w:val="24"/>
          <w:szCs w:val="24"/>
        </w:rPr>
        <w:t>1.3.2.2</w:t>
      </w:r>
      <w:r>
        <w:rPr>
          <w:rStyle w:val="2Char1Char"/>
          <w:rFonts w:ascii="Times New Roman" w:eastAsia="宋体" w:hAnsi="宋体" w:cs="Times New Roman"/>
          <w:b w:val="0"/>
          <w:sz w:val="24"/>
          <w:szCs w:val="24"/>
        </w:rPr>
        <w:t>污染物排放标准</w:t>
      </w:r>
      <w:bookmarkEnd w:id="146"/>
      <w:bookmarkEnd w:id="147"/>
      <w:bookmarkEnd w:id="148"/>
      <w:bookmarkEnd w:id="149"/>
      <w:bookmarkEnd w:id="150"/>
      <w:bookmarkEnd w:id="151"/>
      <w:bookmarkEnd w:id="152"/>
      <w:bookmarkEnd w:id="153"/>
      <w:bookmarkEnd w:id="154"/>
      <w:bookmarkEnd w:id="155"/>
      <w:bookmarkEnd w:id="156"/>
    </w:p>
    <w:p w:rsidR="00475650" w:rsidRDefault="00475650">
      <w:pPr>
        <w:snapToGrid w:val="0"/>
        <w:spacing w:line="360" w:lineRule="auto"/>
        <w:ind w:firstLineChars="200" w:firstLine="480"/>
        <w:rPr>
          <w:sz w:val="24"/>
        </w:rPr>
      </w:pPr>
      <w:bookmarkStart w:id="157" w:name="_Toc273462043"/>
      <w:r>
        <w:rPr>
          <w:rFonts w:hAnsi="宋体"/>
          <w:sz w:val="24"/>
        </w:rPr>
        <w:t>（</w:t>
      </w:r>
      <w:r>
        <w:rPr>
          <w:sz w:val="24"/>
        </w:rPr>
        <w:t>1</w:t>
      </w:r>
      <w:r>
        <w:rPr>
          <w:rFonts w:hAnsi="宋体"/>
          <w:sz w:val="24"/>
        </w:rPr>
        <w:t>）废气</w:t>
      </w:r>
      <w:bookmarkEnd w:id="157"/>
    </w:p>
    <w:p w:rsidR="00475650" w:rsidRDefault="00475650">
      <w:pPr>
        <w:snapToGrid w:val="0"/>
        <w:spacing w:line="360" w:lineRule="auto"/>
        <w:ind w:firstLineChars="200" w:firstLine="480"/>
        <w:rPr>
          <w:sz w:val="24"/>
        </w:rPr>
      </w:pPr>
      <w:r>
        <w:rPr>
          <w:rFonts w:hAnsi="宋体" w:hint="eastAsia"/>
          <w:sz w:val="24"/>
        </w:rPr>
        <w:t>恶臭废气执行</w:t>
      </w:r>
      <w:r>
        <w:rPr>
          <w:rFonts w:hAnsi="宋体"/>
          <w:sz w:val="24"/>
        </w:rPr>
        <w:t>《</w:t>
      </w:r>
      <w:r>
        <w:rPr>
          <w:rFonts w:hAnsi="宋体" w:hint="eastAsia"/>
          <w:sz w:val="24"/>
        </w:rPr>
        <w:t>恶臭污染物排放标准</w:t>
      </w:r>
      <w:r>
        <w:rPr>
          <w:rFonts w:hAnsi="宋体"/>
          <w:sz w:val="24"/>
        </w:rPr>
        <w:t>》</w:t>
      </w:r>
      <w:r>
        <w:rPr>
          <w:rFonts w:hAnsi="宋体" w:hint="eastAsia"/>
          <w:sz w:val="24"/>
        </w:rPr>
        <w:t>（</w:t>
      </w:r>
      <w:r>
        <w:rPr>
          <w:sz w:val="24"/>
        </w:rPr>
        <w:t>GB</w:t>
      </w:r>
      <w:r>
        <w:rPr>
          <w:rFonts w:hint="eastAsia"/>
          <w:sz w:val="24"/>
        </w:rPr>
        <w:t>14554-93</w:t>
      </w:r>
      <w:r>
        <w:rPr>
          <w:rFonts w:hint="eastAsia"/>
          <w:sz w:val="24"/>
        </w:rPr>
        <w:t>）中二级（新扩改）标准；其他工艺废气执行</w:t>
      </w:r>
      <w:r>
        <w:rPr>
          <w:rFonts w:hAnsi="宋体"/>
          <w:sz w:val="24"/>
        </w:rPr>
        <w:t>《</w:t>
      </w:r>
      <w:r>
        <w:rPr>
          <w:rFonts w:hAnsi="宋体" w:hint="eastAsia"/>
          <w:sz w:val="24"/>
        </w:rPr>
        <w:t>大气污染物综合排放标准</w:t>
      </w:r>
      <w:r>
        <w:rPr>
          <w:rFonts w:hAnsi="宋体"/>
          <w:sz w:val="24"/>
        </w:rPr>
        <w:t>》</w:t>
      </w:r>
      <w:r>
        <w:rPr>
          <w:rFonts w:hAnsi="宋体" w:hint="eastAsia"/>
          <w:sz w:val="24"/>
        </w:rPr>
        <w:t>（</w:t>
      </w:r>
      <w:r>
        <w:rPr>
          <w:sz w:val="24"/>
        </w:rPr>
        <w:t>GB</w:t>
      </w:r>
      <w:r>
        <w:rPr>
          <w:rFonts w:hint="eastAsia"/>
          <w:sz w:val="24"/>
        </w:rPr>
        <w:t>16297-96</w:t>
      </w:r>
      <w:r>
        <w:rPr>
          <w:rFonts w:hint="eastAsia"/>
          <w:sz w:val="24"/>
        </w:rPr>
        <w:t>）表</w:t>
      </w:r>
      <w:r>
        <w:rPr>
          <w:rFonts w:hint="eastAsia"/>
          <w:sz w:val="24"/>
        </w:rPr>
        <w:t>2</w:t>
      </w:r>
      <w:r>
        <w:rPr>
          <w:rFonts w:hint="eastAsia"/>
          <w:sz w:val="24"/>
        </w:rPr>
        <w:t>二级标准。</w:t>
      </w:r>
    </w:p>
    <w:p w:rsidR="00475650" w:rsidRDefault="00475650">
      <w:pPr>
        <w:snapToGrid w:val="0"/>
        <w:spacing w:line="360" w:lineRule="auto"/>
        <w:ind w:firstLineChars="200" w:firstLine="480"/>
        <w:rPr>
          <w:sz w:val="24"/>
        </w:rPr>
      </w:pPr>
      <w:r>
        <w:rPr>
          <w:rFonts w:hAnsi="宋体"/>
          <w:sz w:val="24"/>
        </w:rPr>
        <w:t>标准执行详见表</w:t>
      </w:r>
      <w:r>
        <w:rPr>
          <w:sz w:val="24"/>
        </w:rPr>
        <w:t>1.3-</w:t>
      </w:r>
      <w:r>
        <w:rPr>
          <w:rFonts w:hint="eastAsia"/>
          <w:sz w:val="24"/>
        </w:rPr>
        <w:t>8</w:t>
      </w:r>
      <w:r>
        <w:rPr>
          <w:rFonts w:hAnsi="宋体"/>
          <w:sz w:val="24"/>
        </w:rPr>
        <w:t>。</w:t>
      </w:r>
    </w:p>
    <w:p w:rsidR="00475650" w:rsidRDefault="00475650">
      <w:pPr>
        <w:spacing w:line="360" w:lineRule="auto"/>
        <w:jc w:val="center"/>
        <w:rPr>
          <w:bCs/>
          <w:sz w:val="24"/>
        </w:rPr>
      </w:pPr>
      <w:r>
        <w:rPr>
          <w:rFonts w:hAnsi="宋体"/>
          <w:bCs/>
          <w:sz w:val="24"/>
        </w:rPr>
        <w:t>表</w:t>
      </w:r>
      <w:r>
        <w:rPr>
          <w:bCs/>
          <w:sz w:val="24"/>
        </w:rPr>
        <w:t>1.3-</w:t>
      </w:r>
      <w:r>
        <w:rPr>
          <w:rFonts w:hint="eastAsia"/>
          <w:bCs/>
          <w:sz w:val="24"/>
        </w:rPr>
        <w:t>8</w:t>
      </w:r>
      <w:r>
        <w:rPr>
          <w:bCs/>
          <w:sz w:val="24"/>
        </w:rPr>
        <w:t xml:space="preserve">    </w:t>
      </w:r>
      <w:r>
        <w:rPr>
          <w:rFonts w:hAnsi="宋体"/>
          <w:bCs/>
          <w:sz w:val="24"/>
        </w:rPr>
        <w:t>废气污染物排放标准一览表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161"/>
        <w:gridCol w:w="1157"/>
        <w:gridCol w:w="1257"/>
        <w:gridCol w:w="1221"/>
        <w:gridCol w:w="1065"/>
        <w:gridCol w:w="1477"/>
        <w:gridCol w:w="1608"/>
      </w:tblGrid>
      <w:tr w:rsidR="00475650">
        <w:trPr>
          <w:trHeight w:val="227"/>
          <w:tblHeader/>
          <w:jc w:val="center"/>
        </w:trPr>
        <w:tc>
          <w:tcPr>
            <w:tcW w:w="1161" w:type="dxa"/>
            <w:vMerge w:val="restart"/>
            <w:vAlign w:val="center"/>
          </w:tcPr>
          <w:p w:rsidR="00475650" w:rsidRDefault="00475650">
            <w:pPr>
              <w:pStyle w:val="afffffffff2"/>
              <w:snapToGrid w:val="0"/>
              <w:spacing w:line="216" w:lineRule="auto"/>
              <w:jc w:val="center"/>
              <w:rPr>
                <w:rFonts w:ascii="Times New Roman" w:hAnsi="Times New Roman" w:cs="Times New Roman"/>
              </w:rPr>
            </w:pPr>
            <w:r>
              <w:rPr>
                <w:rFonts w:ascii="Times New Roman" w:hAnsi="宋体" w:cs="Times New Roman"/>
              </w:rPr>
              <w:t>废气污染源名称</w:t>
            </w:r>
          </w:p>
        </w:tc>
        <w:tc>
          <w:tcPr>
            <w:tcW w:w="1157" w:type="dxa"/>
            <w:vMerge w:val="restart"/>
            <w:vAlign w:val="center"/>
          </w:tcPr>
          <w:p w:rsidR="00475650" w:rsidRDefault="00475650">
            <w:pPr>
              <w:pStyle w:val="afffffffff2"/>
              <w:snapToGrid w:val="0"/>
              <w:spacing w:line="216" w:lineRule="auto"/>
              <w:jc w:val="center"/>
              <w:rPr>
                <w:rFonts w:ascii="Times New Roman" w:hAnsi="Times New Roman" w:cs="Times New Roman"/>
              </w:rPr>
            </w:pPr>
            <w:r>
              <w:rPr>
                <w:rFonts w:ascii="Times New Roman" w:hAnsi="宋体" w:cs="Times New Roman"/>
              </w:rPr>
              <w:t>污染物</w:t>
            </w:r>
          </w:p>
        </w:tc>
        <w:tc>
          <w:tcPr>
            <w:tcW w:w="1257" w:type="dxa"/>
            <w:vMerge w:val="restart"/>
            <w:vAlign w:val="center"/>
          </w:tcPr>
          <w:p w:rsidR="00475650" w:rsidRDefault="00475650">
            <w:pPr>
              <w:pStyle w:val="afffffffff2"/>
              <w:snapToGrid w:val="0"/>
              <w:spacing w:line="216" w:lineRule="auto"/>
              <w:jc w:val="center"/>
              <w:rPr>
                <w:rFonts w:ascii="Times New Roman" w:hAnsi="Times New Roman" w:cs="Times New Roman"/>
              </w:rPr>
            </w:pPr>
            <w:r>
              <w:rPr>
                <w:rFonts w:ascii="Times New Roman" w:hAnsi="宋体" w:cs="Times New Roman"/>
              </w:rPr>
              <w:t>最高允许排放浓度（</w:t>
            </w:r>
            <w:r>
              <w:rPr>
                <w:rFonts w:ascii="Times New Roman" w:hAnsi="Times New Roman" w:cs="Times New Roman"/>
              </w:rPr>
              <w:t>mg/m</w:t>
            </w:r>
            <w:r>
              <w:rPr>
                <w:rFonts w:ascii="Times New Roman" w:hAnsi="Times New Roman" w:cs="Times New Roman"/>
                <w:vertAlign w:val="superscript"/>
              </w:rPr>
              <w:t>3</w:t>
            </w:r>
            <w:r>
              <w:rPr>
                <w:rFonts w:ascii="Times New Roman" w:hAnsi="宋体" w:cs="Times New Roman"/>
              </w:rPr>
              <w:t>）</w:t>
            </w:r>
          </w:p>
        </w:tc>
        <w:tc>
          <w:tcPr>
            <w:tcW w:w="2286" w:type="dxa"/>
            <w:gridSpan w:val="2"/>
            <w:vAlign w:val="center"/>
          </w:tcPr>
          <w:p w:rsidR="00475650" w:rsidRDefault="00475650">
            <w:pPr>
              <w:pStyle w:val="afffffffff2"/>
              <w:snapToGrid w:val="0"/>
              <w:spacing w:line="216" w:lineRule="auto"/>
              <w:jc w:val="center"/>
              <w:rPr>
                <w:rFonts w:ascii="Times New Roman" w:hAnsi="Times New Roman" w:cs="Times New Roman"/>
              </w:rPr>
            </w:pPr>
            <w:r>
              <w:rPr>
                <w:rFonts w:ascii="Times New Roman" w:hAnsi="宋体" w:cs="Times New Roman"/>
              </w:rPr>
              <w:t>最高允许排放速率</w:t>
            </w:r>
            <w:r>
              <w:rPr>
                <w:rFonts w:ascii="Times New Roman" w:hAnsi="Times New Roman" w:cs="Times New Roman"/>
              </w:rPr>
              <w:t>kg/h</w:t>
            </w:r>
          </w:p>
        </w:tc>
        <w:tc>
          <w:tcPr>
            <w:tcW w:w="1477" w:type="dxa"/>
            <w:vMerge w:val="restart"/>
            <w:vAlign w:val="center"/>
          </w:tcPr>
          <w:p w:rsidR="00475650" w:rsidRDefault="00475650">
            <w:pPr>
              <w:pStyle w:val="afffffffff2"/>
              <w:snapToGrid w:val="0"/>
              <w:spacing w:line="216" w:lineRule="auto"/>
              <w:jc w:val="center"/>
              <w:rPr>
                <w:rFonts w:ascii="Times New Roman" w:hAnsi="Times New Roman" w:cs="Times New Roman"/>
              </w:rPr>
            </w:pPr>
            <w:r>
              <w:rPr>
                <w:rFonts w:ascii="Times New Roman" w:hAnsi="宋体" w:cs="Times New Roman"/>
              </w:rPr>
              <w:t>无组织排放监控浓度限值（</w:t>
            </w:r>
            <w:r>
              <w:rPr>
                <w:rFonts w:ascii="Times New Roman" w:hAnsi="Times New Roman" w:cs="Times New Roman"/>
              </w:rPr>
              <w:t>mg/m</w:t>
            </w:r>
            <w:r>
              <w:rPr>
                <w:rFonts w:ascii="Times New Roman" w:hAnsi="Times New Roman" w:cs="Times New Roman"/>
                <w:vertAlign w:val="superscript"/>
              </w:rPr>
              <w:t>3</w:t>
            </w:r>
            <w:r>
              <w:rPr>
                <w:rFonts w:ascii="Times New Roman" w:hAnsi="宋体" w:cs="Times New Roman"/>
              </w:rPr>
              <w:t>）</w:t>
            </w:r>
          </w:p>
        </w:tc>
        <w:tc>
          <w:tcPr>
            <w:tcW w:w="1608" w:type="dxa"/>
            <w:vMerge w:val="restart"/>
            <w:vAlign w:val="center"/>
          </w:tcPr>
          <w:p w:rsidR="00475650" w:rsidRDefault="00475650">
            <w:pPr>
              <w:pStyle w:val="afffffffff2"/>
              <w:snapToGrid w:val="0"/>
              <w:spacing w:line="216" w:lineRule="auto"/>
              <w:jc w:val="center"/>
              <w:rPr>
                <w:rFonts w:ascii="Times New Roman" w:hAnsi="Times New Roman" w:cs="Times New Roman"/>
              </w:rPr>
            </w:pPr>
            <w:r>
              <w:rPr>
                <w:rFonts w:ascii="Times New Roman" w:hAnsi="宋体" w:cs="Times New Roman"/>
              </w:rPr>
              <w:t>标准来源</w:t>
            </w:r>
          </w:p>
        </w:tc>
      </w:tr>
      <w:tr w:rsidR="00475650">
        <w:trPr>
          <w:trHeight w:val="227"/>
          <w:tblHeader/>
          <w:jc w:val="center"/>
        </w:trPr>
        <w:tc>
          <w:tcPr>
            <w:tcW w:w="1161" w:type="dxa"/>
            <w:vMerge/>
            <w:vAlign w:val="center"/>
          </w:tcPr>
          <w:p w:rsidR="00475650" w:rsidRDefault="00475650">
            <w:pPr>
              <w:pStyle w:val="afffffffff2"/>
              <w:snapToGrid w:val="0"/>
              <w:spacing w:line="216" w:lineRule="auto"/>
              <w:jc w:val="center"/>
              <w:rPr>
                <w:rFonts w:ascii="Times New Roman" w:hAnsi="Times New Roman" w:cs="Times New Roman"/>
              </w:rPr>
            </w:pPr>
          </w:p>
        </w:tc>
        <w:tc>
          <w:tcPr>
            <w:tcW w:w="1157" w:type="dxa"/>
            <w:vMerge/>
            <w:vAlign w:val="center"/>
          </w:tcPr>
          <w:p w:rsidR="00475650" w:rsidRDefault="00475650">
            <w:pPr>
              <w:pStyle w:val="afffffffff2"/>
              <w:snapToGrid w:val="0"/>
              <w:spacing w:line="216" w:lineRule="auto"/>
              <w:jc w:val="center"/>
              <w:rPr>
                <w:rFonts w:ascii="Times New Roman" w:hAnsi="Times New Roman" w:cs="Times New Roman"/>
              </w:rPr>
            </w:pPr>
          </w:p>
        </w:tc>
        <w:tc>
          <w:tcPr>
            <w:tcW w:w="1257" w:type="dxa"/>
            <w:vMerge/>
            <w:vAlign w:val="center"/>
          </w:tcPr>
          <w:p w:rsidR="00475650" w:rsidRDefault="00475650">
            <w:pPr>
              <w:pStyle w:val="afffffffff2"/>
              <w:snapToGrid w:val="0"/>
              <w:spacing w:line="216" w:lineRule="auto"/>
              <w:jc w:val="center"/>
              <w:rPr>
                <w:rFonts w:ascii="Times New Roman" w:hAnsi="Times New Roman" w:cs="Times New Roman"/>
              </w:rPr>
            </w:pPr>
          </w:p>
        </w:tc>
        <w:tc>
          <w:tcPr>
            <w:tcW w:w="1221" w:type="dxa"/>
            <w:vAlign w:val="center"/>
          </w:tcPr>
          <w:p w:rsidR="00475650" w:rsidRDefault="00475650">
            <w:pPr>
              <w:pStyle w:val="afffffffff2"/>
              <w:snapToGrid w:val="0"/>
              <w:spacing w:line="216" w:lineRule="auto"/>
              <w:jc w:val="center"/>
              <w:rPr>
                <w:rFonts w:ascii="Times New Roman" w:hAnsi="Times New Roman" w:cs="Times New Roman"/>
              </w:rPr>
            </w:pPr>
            <w:r>
              <w:rPr>
                <w:rFonts w:ascii="Times New Roman" w:hAnsi="宋体" w:cs="Times New Roman"/>
              </w:rPr>
              <w:t>二级</w:t>
            </w:r>
          </w:p>
        </w:tc>
        <w:tc>
          <w:tcPr>
            <w:tcW w:w="1065" w:type="dxa"/>
            <w:vAlign w:val="center"/>
          </w:tcPr>
          <w:p w:rsidR="00475650" w:rsidRDefault="00475650">
            <w:pPr>
              <w:pStyle w:val="afffffffff2"/>
              <w:snapToGrid w:val="0"/>
              <w:spacing w:line="216" w:lineRule="auto"/>
              <w:jc w:val="center"/>
              <w:rPr>
                <w:rFonts w:ascii="Times New Roman" w:hAnsi="Times New Roman" w:cs="Times New Roman"/>
              </w:rPr>
            </w:pPr>
            <w:r>
              <w:rPr>
                <w:rFonts w:ascii="Times New Roman" w:hAnsi="宋体" w:cs="Times New Roman"/>
              </w:rPr>
              <w:t>排气筒高度（</w:t>
            </w:r>
            <w:r>
              <w:rPr>
                <w:rFonts w:ascii="Times New Roman" w:hAnsi="Times New Roman" w:cs="Times New Roman"/>
              </w:rPr>
              <w:t>m</w:t>
            </w:r>
            <w:r>
              <w:rPr>
                <w:rFonts w:ascii="Times New Roman" w:hAnsi="宋体" w:cs="Times New Roman"/>
              </w:rPr>
              <w:t>）</w:t>
            </w:r>
          </w:p>
        </w:tc>
        <w:tc>
          <w:tcPr>
            <w:tcW w:w="1477" w:type="dxa"/>
            <w:vMerge/>
            <w:vAlign w:val="center"/>
          </w:tcPr>
          <w:p w:rsidR="00475650" w:rsidRDefault="00475650">
            <w:pPr>
              <w:pStyle w:val="afffffffff2"/>
              <w:snapToGrid w:val="0"/>
              <w:spacing w:line="216" w:lineRule="auto"/>
              <w:jc w:val="center"/>
              <w:rPr>
                <w:rFonts w:ascii="Times New Roman" w:hAnsi="Times New Roman" w:cs="Times New Roman"/>
              </w:rPr>
            </w:pPr>
          </w:p>
        </w:tc>
        <w:tc>
          <w:tcPr>
            <w:tcW w:w="1608" w:type="dxa"/>
            <w:vMerge/>
            <w:vAlign w:val="center"/>
          </w:tcPr>
          <w:p w:rsidR="00475650" w:rsidRDefault="00475650">
            <w:pPr>
              <w:pStyle w:val="afffffffff2"/>
              <w:snapToGrid w:val="0"/>
              <w:spacing w:line="216" w:lineRule="auto"/>
              <w:jc w:val="center"/>
              <w:rPr>
                <w:rFonts w:ascii="Times New Roman" w:hAnsi="Times New Roman" w:cs="Times New Roman"/>
              </w:rPr>
            </w:pPr>
          </w:p>
        </w:tc>
      </w:tr>
      <w:tr w:rsidR="00475650">
        <w:trPr>
          <w:trHeight w:val="227"/>
          <w:tblHeader/>
          <w:jc w:val="center"/>
        </w:trPr>
        <w:tc>
          <w:tcPr>
            <w:tcW w:w="1161" w:type="dxa"/>
            <w:vMerge w:val="restart"/>
            <w:vAlign w:val="center"/>
          </w:tcPr>
          <w:p w:rsidR="00475650" w:rsidRDefault="00475650">
            <w:pPr>
              <w:pStyle w:val="afffffffff2"/>
              <w:snapToGrid w:val="0"/>
              <w:spacing w:line="216" w:lineRule="auto"/>
              <w:jc w:val="center"/>
              <w:rPr>
                <w:rFonts w:ascii="Times New Roman" w:hAnsi="Times New Roman" w:cs="Times New Roman"/>
              </w:rPr>
            </w:pPr>
            <w:r>
              <w:rPr>
                <w:rFonts w:ascii="Times New Roman" w:hAnsi="宋体" w:cs="Times New Roman"/>
              </w:rPr>
              <w:t>工业废气</w:t>
            </w:r>
          </w:p>
        </w:tc>
        <w:tc>
          <w:tcPr>
            <w:tcW w:w="1157" w:type="dxa"/>
            <w:vAlign w:val="center"/>
          </w:tcPr>
          <w:p w:rsidR="00475650" w:rsidRDefault="00475650">
            <w:pPr>
              <w:pStyle w:val="afffffffff2"/>
              <w:snapToGrid w:val="0"/>
              <w:spacing w:line="216" w:lineRule="auto"/>
              <w:jc w:val="center"/>
              <w:rPr>
                <w:rFonts w:ascii="Times New Roman" w:hAnsi="Times New Roman" w:cs="Times New Roman"/>
              </w:rPr>
            </w:pPr>
            <w:r>
              <w:rPr>
                <w:rFonts w:ascii="Times New Roman" w:hAnsi="宋体" w:cs="Times New Roman"/>
              </w:rPr>
              <w:t>氯化氢</w:t>
            </w:r>
          </w:p>
        </w:tc>
        <w:tc>
          <w:tcPr>
            <w:tcW w:w="1257" w:type="dxa"/>
            <w:vAlign w:val="center"/>
          </w:tcPr>
          <w:p w:rsidR="00475650" w:rsidRDefault="00475650">
            <w:pPr>
              <w:pStyle w:val="afffffffff2"/>
              <w:snapToGrid w:val="0"/>
              <w:spacing w:line="216" w:lineRule="auto"/>
              <w:jc w:val="center"/>
              <w:rPr>
                <w:rFonts w:ascii="Times New Roman" w:hAnsi="Times New Roman" w:cs="Times New Roman"/>
              </w:rPr>
            </w:pPr>
            <w:r>
              <w:rPr>
                <w:rFonts w:ascii="Times New Roman" w:hAnsi="Times New Roman" w:cs="Times New Roman"/>
              </w:rPr>
              <w:t>100</w:t>
            </w:r>
          </w:p>
        </w:tc>
        <w:tc>
          <w:tcPr>
            <w:tcW w:w="1221" w:type="dxa"/>
            <w:vAlign w:val="center"/>
          </w:tcPr>
          <w:p w:rsidR="00475650" w:rsidRDefault="00475650">
            <w:pPr>
              <w:pStyle w:val="afffffffff2"/>
              <w:snapToGrid w:val="0"/>
              <w:spacing w:line="216" w:lineRule="auto"/>
              <w:jc w:val="center"/>
              <w:rPr>
                <w:rFonts w:ascii="Times New Roman" w:hAnsi="Times New Roman" w:cs="Times New Roman"/>
              </w:rPr>
            </w:pPr>
            <w:r>
              <w:rPr>
                <w:rFonts w:ascii="Times New Roman" w:hAnsi="Times New Roman" w:cs="Times New Roman"/>
              </w:rPr>
              <w:t>0.</w:t>
            </w:r>
            <w:r>
              <w:rPr>
                <w:rFonts w:ascii="Times New Roman" w:hAnsi="Times New Roman" w:cs="Times New Roman" w:hint="eastAsia"/>
              </w:rPr>
              <w:t>26</w:t>
            </w:r>
          </w:p>
        </w:tc>
        <w:tc>
          <w:tcPr>
            <w:tcW w:w="1065" w:type="dxa"/>
            <w:vAlign w:val="center"/>
          </w:tcPr>
          <w:p w:rsidR="00475650" w:rsidRDefault="00475650">
            <w:pPr>
              <w:pStyle w:val="afffffffff2"/>
              <w:snapToGrid w:val="0"/>
              <w:spacing w:line="216" w:lineRule="auto"/>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5</w:t>
            </w:r>
          </w:p>
        </w:tc>
        <w:tc>
          <w:tcPr>
            <w:tcW w:w="1477" w:type="dxa"/>
            <w:vAlign w:val="center"/>
          </w:tcPr>
          <w:p w:rsidR="00475650" w:rsidRDefault="00475650">
            <w:pPr>
              <w:pStyle w:val="afffffffff2"/>
              <w:snapToGrid w:val="0"/>
              <w:spacing w:line="216" w:lineRule="auto"/>
              <w:jc w:val="center"/>
              <w:rPr>
                <w:rFonts w:ascii="Times New Roman" w:hAnsi="Times New Roman" w:cs="Times New Roman"/>
              </w:rPr>
            </w:pPr>
            <w:r>
              <w:rPr>
                <w:rFonts w:ascii="Times New Roman" w:hAnsi="Times New Roman" w:cs="Times New Roman"/>
              </w:rPr>
              <w:t>0.2</w:t>
            </w:r>
          </w:p>
        </w:tc>
        <w:tc>
          <w:tcPr>
            <w:tcW w:w="1608" w:type="dxa"/>
            <w:vMerge w:val="restart"/>
            <w:vAlign w:val="center"/>
          </w:tcPr>
          <w:p w:rsidR="00475650" w:rsidRDefault="00475650">
            <w:pPr>
              <w:pStyle w:val="afffffffff2"/>
              <w:snapToGrid w:val="0"/>
              <w:spacing w:line="216" w:lineRule="auto"/>
              <w:jc w:val="center"/>
              <w:rPr>
                <w:rFonts w:ascii="Times New Roman" w:hAnsi="Times New Roman" w:cs="Times New Roman"/>
              </w:rPr>
            </w:pPr>
            <w:r>
              <w:rPr>
                <w:rFonts w:ascii="Times New Roman" w:hAnsi="Times New Roman" w:cs="Times New Roman"/>
              </w:rPr>
              <w:t>GB16297-1996</w:t>
            </w:r>
          </w:p>
          <w:p w:rsidR="00475650" w:rsidRDefault="00475650">
            <w:pPr>
              <w:pStyle w:val="afffffffff2"/>
              <w:snapToGrid w:val="0"/>
              <w:spacing w:line="216" w:lineRule="auto"/>
              <w:jc w:val="center"/>
              <w:rPr>
                <w:rFonts w:ascii="Times New Roman" w:hAnsi="Times New Roman" w:cs="Times New Roman"/>
              </w:rPr>
            </w:pPr>
            <w:r>
              <w:rPr>
                <w:rFonts w:ascii="Times New Roman" w:hAnsi="宋体" w:cs="Times New Roman"/>
              </w:rPr>
              <w:t>表</w:t>
            </w:r>
            <w:r>
              <w:rPr>
                <w:rFonts w:ascii="Times New Roman" w:hAnsi="Times New Roman" w:cs="Times New Roman"/>
              </w:rPr>
              <w:t>2</w:t>
            </w:r>
            <w:r>
              <w:rPr>
                <w:rFonts w:ascii="Times New Roman" w:hAnsi="宋体" w:cs="Times New Roman"/>
              </w:rPr>
              <w:t>中二级标准</w:t>
            </w:r>
          </w:p>
        </w:tc>
      </w:tr>
      <w:tr w:rsidR="00475650">
        <w:trPr>
          <w:trHeight w:val="227"/>
          <w:tblHeader/>
          <w:jc w:val="center"/>
        </w:trPr>
        <w:tc>
          <w:tcPr>
            <w:tcW w:w="1161" w:type="dxa"/>
            <w:vMerge/>
            <w:vAlign w:val="center"/>
          </w:tcPr>
          <w:p w:rsidR="00475650" w:rsidRDefault="00475650">
            <w:pPr>
              <w:pStyle w:val="afffffffff2"/>
              <w:snapToGrid w:val="0"/>
              <w:spacing w:line="216" w:lineRule="auto"/>
              <w:jc w:val="center"/>
              <w:rPr>
                <w:rFonts w:ascii="Times New Roman" w:hAnsi="Times New Roman" w:cs="Times New Roman"/>
              </w:rPr>
            </w:pPr>
          </w:p>
        </w:tc>
        <w:tc>
          <w:tcPr>
            <w:tcW w:w="1157" w:type="dxa"/>
            <w:vAlign w:val="center"/>
          </w:tcPr>
          <w:p w:rsidR="00475650" w:rsidRDefault="00475650">
            <w:pPr>
              <w:pStyle w:val="afffffffff2"/>
              <w:snapToGrid w:val="0"/>
              <w:spacing w:line="216" w:lineRule="auto"/>
              <w:jc w:val="center"/>
              <w:rPr>
                <w:rFonts w:ascii="Times New Roman" w:hAnsi="Times New Roman" w:cs="Times New Roman"/>
              </w:rPr>
            </w:pPr>
            <w:r>
              <w:rPr>
                <w:rFonts w:ascii="Times New Roman" w:hAnsi="宋体" w:cs="Times New Roman"/>
              </w:rPr>
              <w:t>颗粒物</w:t>
            </w:r>
          </w:p>
        </w:tc>
        <w:tc>
          <w:tcPr>
            <w:tcW w:w="1257" w:type="dxa"/>
            <w:vAlign w:val="center"/>
          </w:tcPr>
          <w:p w:rsidR="00475650" w:rsidRDefault="00475650">
            <w:pPr>
              <w:pStyle w:val="afffffffff2"/>
              <w:snapToGrid w:val="0"/>
              <w:spacing w:line="216" w:lineRule="auto"/>
              <w:jc w:val="center"/>
              <w:rPr>
                <w:rFonts w:ascii="Times New Roman" w:hAnsi="Times New Roman" w:cs="Times New Roman"/>
              </w:rPr>
            </w:pPr>
            <w:r>
              <w:rPr>
                <w:rFonts w:ascii="Times New Roman" w:hAnsi="Times New Roman" w:cs="Times New Roman"/>
              </w:rPr>
              <w:t>18</w:t>
            </w:r>
          </w:p>
        </w:tc>
        <w:tc>
          <w:tcPr>
            <w:tcW w:w="1221" w:type="dxa"/>
            <w:vAlign w:val="center"/>
          </w:tcPr>
          <w:p w:rsidR="00475650" w:rsidRDefault="00475650">
            <w:pPr>
              <w:pStyle w:val="afffffffff2"/>
              <w:snapToGrid w:val="0"/>
              <w:spacing w:line="216" w:lineRule="auto"/>
              <w:jc w:val="center"/>
              <w:rPr>
                <w:rFonts w:ascii="Times New Roman" w:hAnsi="Times New Roman" w:cs="Times New Roman"/>
              </w:rPr>
            </w:pPr>
            <w:r>
              <w:rPr>
                <w:rFonts w:ascii="Times New Roman" w:hAnsi="Times New Roman" w:cs="Times New Roman"/>
              </w:rPr>
              <w:t>0.</w:t>
            </w:r>
            <w:r>
              <w:rPr>
                <w:rFonts w:ascii="Times New Roman" w:hAnsi="Times New Roman" w:cs="Times New Roman" w:hint="eastAsia"/>
              </w:rPr>
              <w:t>51</w:t>
            </w:r>
          </w:p>
        </w:tc>
        <w:tc>
          <w:tcPr>
            <w:tcW w:w="1065" w:type="dxa"/>
            <w:vAlign w:val="center"/>
          </w:tcPr>
          <w:p w:rsidR="00475650" w:rsidRDefault="00475650">
            <w:pPr>
              <w:pStyle w:val="afffffffff2"/>
              <w:snapToGrid w:val="0"/>
              <w:spacing w:line="216" w:lineRule="auto"/>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5</w:t>
            </w:r>
          </w:p>
        </w:tc>
        <w:tc>
          <w:tcPr>
            <w:tcW w:w="1477" w:type="dxa"/>
            <w:vAlign w:val="center"/>
          </w:tcPr>
          <w:p w:rsidR="00475650" w:rsidRDefault="00475650">
            <w:pPr>
              <w:pStyle w:val="afffffffff2"/>
              <w:snapToGrid w:val="0"/>
              <w:spacing w:line="216" w:lineRule="auto"/>
              <w:jc w:val="center"/>
              <w:rPr>
                <w:rFonts w:ascii="Times New Roman" w:hAnsi="Times New Roman" w:cs="Times New Roman"/>
              </w:rPr>
            </w:pPr>
            <w:r>
              <w:rPr>
                <w:rFonts w:ascii="Times New Roman" w:hAnsi="宋体" w:cs="Times New Roman"/>
              </w:rPr>
              <w:t>肉眼不可见</w:t>
            </w:r>
          </w:p>
        </w:tc>
        <w:tc>
          <w:tcPr>
            <w:tcW w:w="1608" w:type="dxa"/>
            <w:vMerge/>
            <w:vAlign w:val="center"/>
          </w:tcPr>
          <w:p w:rsidR="00475650" w:rsidRDefault="00475650">
            <w:pPr>
              <w:pStyle w:val="afffffffff2"/>
              <w:snapToGrid w:val="0"/>
              <w:spacing w:line="216" w:lineRule="auto"/>
              <w:jc w:val="center"/>
              <w:rPr>
                <w:rFonts w:ascii="Times New Roman" w:hAnsi="Times New Roman" w:cs="Times New Roman"/>
              </w:rPr>
            </w:pPr>
          </w:p>
        </w:tc>
      </w:tr>
      <w:tr w:rsidR="00475650">
        <w:trPr>
          <w:trHeight w:val="227"/>
          <w:tblHeader/>
          <w:jc w:val="center"/>
        </w:trPr>
        <w:tc>
          <w:tcPr>
            <w:tcW w:w="1161" w:type="dxa"/>
            <w:vMerge/>
            <w:vAlign w:val="center"/>
          </w:tcPr>
          <w:p w:rsidR="00475650" w:rsidRDefault="00475650">
            <w:pPr>
              <w:pStyle w:val="afffffffff2"/>
              <w:snapToGrid w:val="0"/>
              <w:spacing w:line="216" w:lineRule="auto"/>
              <w:jc w:val="center"/>
              <w:rPr>
                <w:rFonts w:ascii="Times New Roman" w:hAnsi="Times New Roman" w:cs="Times New Roman"/>
              </w:rPr>
            </w:pPr>
          </w:p>
        </w:tc>
        <w:tc>
          <w:tcPr>
            <w:tcW w:w="1157" w:type="dxa"/>
            <w:vAlign w:val="center"/>
          </w:tcPr>
          <w:p w:rsidR="00475650" w:rsidRDefault="00475650">
            <w:pPr>
              <w:pStyle w:val="afffffffff2"/>
              <w:snapToGrid w:val="0"/>
              <w:spacing w:line="216" w:lineRule="auto"/>
              <w:jc w:val="center"/>
              <w:rPr>
                <w:rFonts w:ascii="Times New Roman" w:hAnsi="Times New Roman" w:cs="Times New Roman"/>
              </w:rPr>
            </w:pPr>
            <w:r>
              <w:rPr>
                <w:rFonts w:ascii="Times New Roman" w:hAnsi="宋体" w:cs="Times New Roman"/>
              </w:rPr>
              <w:t>氨</w:t>
            </w:r>
          </w:p>
        </w:tc>
        <w:tc>
          <w:tcPr>
            <w:tcW w:w="1257" w:type="dxa"/>
            <w:vAlign w:val="center"/>
          </w:tcPr>
          <w:p w:rsidR="00475650" w:rsidRDefault="00475650">
            <w:pPr>
              <w:pStyle w:val="afffffffff2"/>
              <w:snapToGrid w:val="0"/>
              <w:spacing w:line="216" w:lineRule="auto"/>
              <w:jc w:val="center"/>
              <w:rPr>
                <w:rFonts w:ascii="Times New Roman" w:hAnsi="Times New Roman" w:cs="Times New Roman"/>
              </w:rPr>
            </w:pPr>
            <w:r>
              <w:rPr>
                <w:rFonts w:ascii="Times New Roman" w:hAnsi="Times New Roman" w:cs="Times New Roman"/>
              </w:rPr>
              <w:t>/</w:t>
            </w:r>
          </w:p>
        </w:tc>
        <w:tc>
          <w:tcPr>
            <w:tcW w:w="1221" w:type="dxa"/>
            <w:vAlign w:val="center"/>
          </w:tcPr>
          <w:p w:rsidR="00475650" w:rsidRDefault="00475650">
            <w:pPr>
              <w:pStyle w:val="afffffffff2"/>
              <w:snapToGrid w:val="0"/>
              <w:spacing w:line="216" w:lineRule="auto"/>
              <w:jc w:val="center"/>
              <w:rPr>
                <w:rFonts w:ascii="Times New Roman" w:hAnsi="Times New Roman" w:cs="Times New Roman"/>
              </w:rPr>
            </w:pPr>
            <w:r>
              <w:rPr>
                <w:rFonts w:ascii="Times New Roman" w:hAnsi="Times New Roman" w:cs="Times New Roman"/>
              </w:rPr>
              <w:t>/</w:t>
            </w:r>
          </w:p>
        </w:tc>
        <w:tc>
          <w:tcPr>
            <w:tcW w:w="1065" w:type="dxa"/>
            <w:vAlign w:val="center"/>
          </w:tcPr>
          <w:p w:rsidR="00475650" w:rsidRDefault="00475650">
            <w:pPr>
              <w:pStyle w:val="afffffffff2"/>
              <w:snapToGrid w:val="0"/>
              <w:spacing w:line="216" w:lineRule="auto"/>
              <w:jc w:val="center"/>
              <w:rPr>
                <w:rFonts w:ascii="Times New Roman" w:hAnsi="Times New Roman" w:cs="Times New Roman"/>
              </w:rPr>
            </w:pPr>
            <w:r>
              <w:rPr>
                <w:rFonts w:ascii="Times New Roman" w:hAnsi="Times New Roman" w:cs="Times New Roman"/>
              </w:rPr>
              <w:t>/</w:t>
            </w:r>
          </w:p>
        </w:tc>
        <w:tc>
          <w:tcPr>
            <w:tcW w:w="1477" w:type="dxa"/>
            <w:vAlign w:val="center"/>
          </w:tcPr>
          <w:p w:rsidR="00475650" w:rsidRDefault="00475650">
            <w:pPr>
              <w:pStyle w:val="afffffffff2"/>
              <w:snapToGrid w:val="0"/>
              <w:spacing w:line="216" w:lineRule="auto"/>
              <w:jc w:val="center"/>
              <w:rPr>
                <w:rFonts w:ascii="Times New Roman" w:hAnsi="Times New Roman" w:cs="Times New Roman"/>
              </w:rPr>
            </w:pPr>
            <w:r>
              <w:rPr>
                <w:rFonts w:ascii="Times New Roman" w:hAnsi="Times New Roman" w:cs="Times New Roman"/>
              </w:rPr>
              <w:t>1.5</w:t>
            </w:r>
          </w:p>
        </w:tc>
        <w:tc>
          <w:tcPr>
            <w:tcW w:w="1608" w:type="dxa"/>
            <w:vAlign w:val="center"/>
          </w:tcPr>
          <w:p w:rsidR="00475650" w:rsidRDefault="00475650">
            <w:pPr>
              <w:pStyle w:val="afffffffff2"/>
              <w:snapToGrid w:val="0"/>
              <w:spacing w:line="216" w:lineRule="auto"/>
              <w:jc w:val="center"/>
              <w:rPr>
                <w:rFonts w:ascii="Times New Roman" w:hAnsi="Times New Roman" w:cs="Times New Roman"/>
              </w:rPr>
            </w:pPr>
            <w:r>
              <w:rPr>
                <w:rFonts w:ascii="Times New Roman" w:hAnsi="Times New Roman" w:cs="Times New Roman"/>
              </w:rPr>
              <w:t>GB14554-93</w:t>
            </w:r>
          </w:p>
        </w:tc>
      </w:tr>
    </w:tbl>
    <w:p w:rsidR="00475650" w:rsidRDefault="00475650">
      <w:pPr>
        <w:snapToGrid w:val="0"/>
        <w:spacing w:line="360" w:lineRule="auto"/>
        <w:ind w:firstLineChars="200" w:firstLine="480"/>
        <w:rPr>
          <w:sz w:val="24"/>
        </w:rPr>
      </w:pPr>
      <w:r>
        <w:rPr>
          <w:rFonts w:hAnsi="宋体"/>
          <w:sz w:val="24"/>
        </w:rPr>
        <w:t>（</w:t>
      </w:r>
      <w:r>
        <w:rPr>
          <w:sz w:val="24"/>
        </w:rPr>
        <w:t>2</w:t>
      </w:r>
      <w:r>
        <w:rPr>
          <w:rFonts w:hAnsi="宋体"/>
          <w:sz w:val="24"/>
        </w:rPr>
        <w:t>）废水</w:t>
      </w:r>
    </w:p>
    <w:p w:rsidR="00475650" w:rsidRDefault="00475650">
      <w:pPr>
        <w:snapToGrid w:val="0"/>
        <w:spacing w:line="360" w:lineRule="auto"/>
        <w:ind w:firstLineChars="200" w:firstLine="480"/>
        <w:rPr>
          <w:rFonts w:hAnsi="宋体"/>
          <w:sz w:val="24"/>
        </w:rPr>
      </w:pPr>
      <w:r>
        <w:rPr>
          <w:rFonts w:hAnsi="宋体" w:hint="eastAsia"/>
          <w:sz w:val="24"/>
        </w:rPr>
        <w:t>经预处理达到临湘市工业园滨江产业示范区污水处理厂接纳标准</w:t>
      </w:r>
      <w:r>
        <w:rPr>
          <w:rFonts w:hAnsi="宋体"/>
          <w:sz w:val="24"/>
        </w:rPr>
        <w:t>。</w:t>
      </w:r>
    </w:p>
    <w:p w:rsidR="00475650" w:rsidRDefault="00475650">
      <w:pPr>
        <w:pStyle w:val="19"/>
        <w:numPr>
          <w:ilvl w:val="0"/>
          <w:numId w:val="0"/>
        </w:numPr>
        <w:tabs>
          <w:tab w:val="left" w:pos="3780"/>
        </w:tabs>
        <w:spacing w:before="0" w:line="240" w:lineRule="auto"/>
        <w:rPr>
          <w:rFonts w:ascii="Times New Roman" w:eastAsia="宋体"/>
          <w:b w:val="0"/>
          <w:bCs/>
          <w:sz w:val="24"/>
          <w:szCs w:val="24"/>
        </w:rPr>
      </w:pPr>
      <w:r>
        <w:rPr>
          <w:rFonts w:ascii="Times New Roman" w:eastAsia="宋体" w:hAnsi="宋体"/>
          <w:b w:val="0"/>
          <w:bCs/>
          <w:sz w:val="24"/>
          <w:szCs w:val="24"/>
        </w:rPr>
        <w:t>表</w:t>
      </w:r>
      <w:r>
        <w:rPr>
          <w:rFonts w:ascii="Times New Roman" w:eastAsia="宋体"/>
          <w:b w:val="0"/>
          <w:bCs/>
          <w:sz w:val="24"/>
          <w:szCs w:val="24"/>
        </w:rPr>
        <w:t>1.3-</w:t>
      </w:r>
      <w:r>
        <w:rPr>
          <w:rFonts w:ascii="Times New Roman" w:eastAsia="宋体" w:hint="eastAsia"/>
          <w:b w:val="0"/>
          <w:bCs/>
          <w:sz w:val="24"/>
          <w:szCs w:val="24"/>
        </w:rPr>
        <w:t>9</w:t>
      </w:r>
      <w:r>
        <w:rPr>
          <w:rFonts w:ascii="Times New Roman" w:eastAsia="宋体"/>
          <w:b w:val="0"/>
          <w:bCs/>
          <w:sz w:val="24"/>
          <w:szCs w:val="24"/>
        </w:rPr>
        <w:t xml:space="preserve">    </w:t>
      </w:r>
      <w:r>
        <w:rPr>
          <w:rFonts w:ascii="Times New Roman" w:eastAsia="宋体" w:hAnsi="宋体"/>
          <w:b w:val="0"/>
          <w:bCs/>
          <w:sz w:val="24"/>
          <w:szCs w:val="24"/>
        </w:rPr>
        <w:t>废水污染物排放标准一览表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85" w:type="dxa"/>
          <w:bottom w:w="85" w:type="dxa"/>
        </w:tblCellMar>
        <w:tblLook w:val="0000"/>
      </w:tblPr>
      <w:tblGrid>
        <w:gridCol w:w="892"/>
        <w:gridCol w:w="3260"/>
        <w:gridCol w:w="1777"/>
        <w:gridCol w:w="3017"/>
      </w:tblGrid>
      <w:tr w:rsidR="00475650">
        <w:trPr>
          <w:trHeight w:hRule="exact" w:val="284"/>
          <w:jc w:val="center"/>
        </w:trPr>
        <w:tc>
          <w:tcPr>
            <w:tcW w:w="892" w:type="dxa"/>
            <w:vAlign w:val="center"/>
          </w:tcPr>
          <w:p w:rsidR="00475650" w:rsidRDefault="00475650">
            <w:pPr>
              <w:pStyle w:val="afffffffff2"/>
              <w:snapToGrid w:val="0"/>
              <w:spacing w:line="216" w:lineRule="auto"/>
              <w:jc w:val="center"/>
              <w:rPr>
                <w:rFonts w:ascii="Times New Roman" w:hAnsi="宋体" w:cs="Times New Roman"/>
              </w:rPr>
            </w:pPr>
            <w:r>
              <w:rPr>
                <w:rFonts w:ascii="Times New Roman" w:hAnsi="宋体" w:cs="Times New Roman"/>
              </w:rPr>
              <w:t>污染物</w:t>
            </w:r>
          </w:p>
          <w:p w:rsidR="00475650" w:rsidRDefault="00475650">
            <w:pPr>
              <w:pStyle w:val="afffffffff2"/>
              <w:snapToGrid w:val="0"/>
              <w:spacing w:line="216" w:lineRule="auto"/>
              <w:jc w:val="center"/>
              <w:rPr>
                <w:rFonts w:ascii="Times New Roman" w:hAnsi="宋体" w:cs="Times New Roman"/>
              </w:rPr>
            </w:pPr>
            <w:r>
              <w:rPr>
                <w:rFonts w:ascii="Times New Roman" w:hAnsi="宋体" w:cs="Times New Roman"/>
              </w:rPr>
              <w:t>类型</w:t>
            </w:r>
          </w:p>
        </w:tc>
        <w:tc>
          <w:tcPr>
            <w:tcW w:w="3260" w:type="dxa"/>
            <w:vAlign w:val="center"/>
          </w:tcPr>
          <w:p w:rsidR="00475650" w:rsidRDefault="00475650">
            <w:pPr>
              <w:pStyle w:val="afffffffff2"/>
              <w:snapToGrid w:val="0"/>
              <w:spacing w:line="216" w:lineRule="auto"/>
              <w:jc w:val="center"/>
              <w:rPr>
                <w:rFonts w:ascii="Times New Roman" w:hAnsi="宋体" w:cs="Times New Roman"/>
              </w:rPr>
            </w:pPr>
            <w:r>
              <w:rPr>
                <w:rFonts w:ascii="Times New Roman" w:hAnsi="宋体" w:cs="Times New Roman"/>
              </w:rPr>
              <w:t>标准名称及级（类）别</w:t>
            </w:r>
          </w:p>
        </w:tc>
        <w:tc>
          <w:tcPr>
            <w:tcW w:w="1777" w:type="dxa"/>
            <w:vAlign w:val="center"/>
          </w:tcPr>
          <w:p w:rsidR="00475650" w:rsidRDefault="00475650">
            <w:pPr>
              <w:pStyle w:val="afffffffff2"/>
              <w:snapToGrid w:val="0"/>
              <w:spacing w:line="216" w:lineRule="auto"/>
              <w:jc w:val="center"/>
              <w:rPr>
                <w:rFonts w:ascii="Times New Roman" w:hAnsi="宋体" w:cs="Times New Roman"/>
              </w:rPr>
            </w:pPr>
            <w:r>
              <w:rPr>
                <w:rFonts w:ascii="Times New Roman" w:hAnsi="宋体" w:cs="Times New Roman"/>
              </w:rPr>
              <w:t>污染因子</w:t>
            </w:r>
          </w:p>
        </w:tc>
        <w:tc>
          <w:tcPr>
            <w:tcW w:w="3017" w:type="dxa"/>
            <w:vAlign w:val="center"/>
          </w:tcPr>
          <w:p w:rsidR="00475650" w:rsidRDefault="00475650">
            <w:pPr>
              <w:pStyle w:val="afffffffff2"/>
              <w:snapToGrid w:val="0"/>
              <w:spacing w:line="216" w:lineRule="auto"/>
              <w:jc w:val="center"/>
              <w:rPr>
                <w:rFonts w:ascii="Times New Roman" w:hAnsi="宋体" w:cs="Times New Roman"/>
              </w:rPr>
            </w:pPr>
            <w:r>
              <w:rPr>
                <w:rFonts w:ascii="Times New Roman" w:hAnsi="宋体" w:cs="Times New Roman"/>
              </w:rPr>
              <w:t>标准值</w:t>
            </w:r>
          </w:p>
        </w:tc>
      </w:tr>
      <w:tr w:rsidR="00475650">
        <w:trPr>
          <w:trHeight w:hRule="exact" w:val="284"/>
          <w:jc w:val="center"/>
        </w:trPr>
        <w:tc>
          <w:tcPr>
            <w:tcW w:w="892" w:type="dxa"/>
            <w:vMerge w:val="restart"/>
            <w:vAlign w:val="center"/>
          </w:tcPr>
          <w:p w:rsidR="00475650" w:rsidRDefault="00475650">
            <w:pPr>
              <w:pStyle w:val="afffffffff2"/>
              <w:snapToGrid w:val="0"/>
              <w:spacing w:line="216" w:lineRule="auto"/>
              <w:jc w:val="center"/>
              <w:rPr>
                <w:rFonts w:ascii="Times New Roman" w:hAnsi="宋体" w:cs="Times New Roman"/>
              </w:rPr>
            </w:pPr>
            <w:r>
              <w:rPr>
                <w:rFonts w:ascii="Times New Roman" w:hAnsi="宋体" w:cs="Times New Roman"/>
              </w:rPr>
              <w:t>废水</w:t>
            </w:r>
          </w:p>
        </w:tc>
        <w:tc>
          <w:tcPr>
            <w:tcW w:w="3260" w:type="dxa"/>
            <w:vMerge w:val="restart"/>
            <w:vAlign w:val="center"/>
          </w:tcPr>
          <w:p w:rsidR="00475650" w:rsidRDefault="00475650">
            <w:pPr>
              <w:pStyle w:val="afffffffff2"/>
              <w:snapToGrid w:val="0"/>
              <w:spacing w:line="216" w:lineRule="auto"/>
              <w:jc w:val="center"/>
              <w:rPr>
                <w:rFonts w:ascii="Times New Roman" w:hAnsi="宋体" w:cs="Times New Roman"/>
              </w:rPr>
            </w:pPr>
            <w:r>
              <w:rPr>
                <w:rFonts w:ascii="Times New Roman" w:hAnsi="宋体" w:cs="Times New Roman" w:hint="eastAsia"/>
              </w:rPr>
              <w:t>临湘市工业园滨江产业示范区污水处理厂接纳标准</w:t>
            </w:r>
          </w:p>
        </w:tc>
        <w:tc>
          <w:tcPr>
            <w:tcW w:w="1777" w:type="dxa"/>
            <w:vAlign w:val="center"/>
          </w:tcPr>
          <w:p w:rsidR="00475650" w:rsidRDefault="00475650">
            <w:pPr>
              <w:pStyle w:val="afffffffff2"/>
              <w:snapToGrid w:val="0"/>
              <w:spacing w:line="216" w:lineRule="auto"/>
              <w:jc w:val="center"/>
              <w:rPr>
                <w:rFonts w:ascii="Times New Roman" w:hAnsi="宋体" w:cs="Times New Roman"/>
              </w:rPr>
            </w:pPr>
            <w:r>
              <w:rPr>
                <w:rFonts w:ascii="Times New Roman" w:hAnsi="宋体" w:cs="Times New Roman"/>
              </w:rPr>
              <w:t>pH</w:t>
            </w:r>
          </w:p>
        </w:tc>
        <w:tc>
          <w:tcPr>
            <w:tcW w:w="3017" w:type="dxa"/>
            <w:vAlign w:val="center"/>
          </w:tcPr>
          <w:p w:rsidR="00475650" w:rsidRDefault="00475650">
            <w:pPr>
              <w:pStyle w:val="afffffffff2"/>
              <w:snapToGrid w:val="0"/>
              <w:spacing w:line="216" w:lineRule="auto"/>
              <w:jc w:val="center"/>
              <w:rPr>
                <w:rFonts w:ascii="Times New Roman" w:hAnsi="宋体" w:cs="Times New Roman"/>
              </w:rPr>
            </w:pPr>
            <w:r>
              <w:rPr>
                <w:rFonts w:ascii="Times New Roman" w:hAnsi="宋体" w:cs="Times New Roman"/>
              </w:rPr>
              <w:t>6-9</w:t>
            </w:r>
          </w:p>
        </w:tc>
      </w:tr>
      <w:tr w:rsidR="00475650">
        <w:trPr>
          <w:trHeight w:hRule="exact" w:val="284"/>
          <w:jc w:val="center"/>
        </w:trPr>
        <w:tc>
          <w:tcPr>
            <w:tcW w:w="892" w:type="dxa"/>
            <w:vMerge/>
            <w:vAlign w:val="center"/>
          </w:tcPr>
          <w:p w:rsidR="00475650" w:rsidRDefault="00475650">
            <w:pPr>
              <w:pStyle w:val="afffffffff2"/>
              <w:snapToGrid w:val="0"/>
              <w:spacing w:line="216" w:lineRule="auto"/>
              <w:jc w:val="center"/>
              <w:rPr>
                <w:rFonts w:ascii="Times New Roman" w:hAnsi="宋体" w:cs="Times New Roman"/>
              </w:rPr>
            </w:pPr>
          </w:p>
        </w:tc>
        <w:tc>
          <w:tcPr>
            <w:tcW w:w="3260" w:type="dxa"/>
            <w:vMerge/>
            <w:vAlign w:val="center"/>
          </w:tcPr>
          <w:p w:rsidR="00475650" w:rsidRDefault="00475650">
            <w:pPr>
              <w:pStyle w:val="afffffffff2"/>
              <w:snapToGrid w:val="0"/>
              <w:spacing w:line="216" w:lineRule="auto"/>
              <w:jc w:val="center"/>
              <w:rPr>
                <w:rFonts w:ascii="Times New Roman" w:hAnsi="宋体" w:cs="Times New Roman"/>
              </w:rPr>
            </w:pPr>
          </w:p>
        </w:tc>
        <w:tc>
          <w:tcPr>
            <w:tcW w:w="1777" w:type="dxa"/>
            <w:vAlign w:val="center"/>
          </w:tcPr>
          <w:p w:rsidR="00475650" w:rsidRDefault="00475650">
            <w:pPr>
              <w:pStyle w:val="afffffffff2"/>
              <w:snapToGrid w:val="0"/>
              <w:spacing w:line="216" w:lineRule="auto"/>
              <w:jc w:val="center"/>
              <w:rPr>
                <w:rFonts w:ascii="Times New Roman" w:hAnsi="宋体" w:cs="Times New Roman"/>
              </w:rPr>
            </w:pPr>
            <w:r>
              <w:rPr>
                <w:rFonts w:ascii="Times New Roman" w:hAnsi="宋体" w:cs="Times New Roman"/>
              </w:rPr>
              <w:t>COD</w:t>
            </w:r>
          </w:p>
        </w:tc>
        <w:tc>
          <w:tcPr>
            <w:tcW w:w="3017" w:type="dxa"/>
            <w:vAlign w:val="center"/>
          </w:tcPr>
          <w:p w:rsidR="00475650" w:rsidRDefault="00475650">
            <w:pPr>
              <w:pStyle w:val="afffffffff2"/>
              <w:snapToGrid w:val="0"/>
              <w:spacing w:line="216" w:lineRule="auto"/>
              <w:jc w:val="center"/>
              <w:rPr>
                <w:rFonts w:ascii="Times New Roman" w:hAnsi="宋体" w:cs="Times New Roman"/>
              </w:rPr>
            </w:pPr>
            <w:r>
              <w:rPr>
                <w:rFonts w:ascii="Times New Roman" w:hAnsi="宋体" w:cs="Times New Roman"/>
              </w:rPr>
              <w:t>≤</w:t>
            </w:r>
            <w:r>
              <w:rPr>
                <w:rFonts w:ascii="Times New Roman" w:hAnsi="宋体" w:cs="Times New Roman" w:hint="eastAsia"/>
              </w:rPr>
              <w:t>5</w:t>
            </w:r>
            <w:r>
              <w:rPr>
                <w:rFonts w:ascii="Times New Roman" w:hAnsi="宋体" w:cs="Times New Roman"/>
              </w:rPr>
              <w:t>00mg/L</w:t>
            </w:r>
          </w:p>
        </w:tc>
      </w:tr>
      <w:tr w:rsidR="00475650">
        <w:trPr>
          <w:trHeight w:hRule="exact" w:val="284"/>
          <w:jc w:val="center"/>
        </w:trPr>
        <w:tc>
          <w:tcPr>
            <w:tcW w:w="892" w:type="dxa"/>
            <w:vMerge/>
            <w:vAlign w:val="center"/>
          </w:tcPr>
          <w:p w:rsidR="00475650" w:rsidRDefault="00475650">
            <w:pPr>
              <w:pStyle w:val="afffffffff2"/>
              <w:snapToGrid w:val="0"/>
              <w:spacing w:line="216" w:lineRule="auto"/>
              <w:jc w:val="center"/>
              <w:rPr>
                <w:rFonts w:ascii="Times New Roman" w:hAnsi="宋体" w:cs="Times New Roman"/>
              </w:rPr>
            </w:pPr>
          </w:p>
        </w:tc>
        <w:tc>
          <w:tcPr>
            <w:tcW w:w="3260" w:type="dxa"/>
            <w:vMerge/>
            <w:vAlign w:val="center"/>
          </w:tcPr>
          <w:p w:rsidR="00475650" w:rsidRDefault="00475650">
            <w:pPr>
              <w:pStyle w:val="afffffffff2"/>
              <w:snapToGrid w:val="0"/>
              <w:spacing w:line="216" w:lineRule="auto"/>
              <w:jc w:val="center"/>
              <w:rPr>
                <w:rFonts w:ascii="Times New Roman" w:hAnsi="宋体" w:cs="Times New Roman"/>
              </w:rPr>
            </w:pPr>
          </w:p>
        </w:tc>
        <w:tc>
          <w:tcPr>
            <w:tcW w:w="1777" w:type="dxa"/>
            <w:vAlign w:val="center"/>
          </w:tcPr>
          <w:p w:rsidR="00475650" w:rsidRDefault="00475650">
            <w:pPr>
              <w:pStyle w:val="afffffffff2"/>
              <w:snapToGrid w:val="0"/>
              <w:spacing w:line="216" w:lineRule="auto"/>
              <w:jc w:val="center"/>
              <w:rPr>
                <w:rFonts w:ascii="Times New Roman" w:hAnsi="宋体" w:cs="Times New Roman"/>
              </w:rPr>
            </w:pPr>
            <w:r>
              <w:rPr>
                <w:rFonts w:ascii="Times New Roman" w:hAnsi="宋体" w:cs="Times New Roman" w:hint="eastAsia"/>
              </w:rPr>
              <w:t>挥发酚</w:t>
            </w:r>
          </w:p>
        </w:tc>
        <w:tc>
          <w:tcPr>
            <w:tcW w:w="3017" w:type="dxa"/>
            <w:vAlign w:val="center"/>
          </w:tcPr>
          <w:p w:rsidR="00475650" w:rsidRDefault="00475650">
            <w:pPr>
              <w:pStyle w:val="afffffffff2"/>
              <w:snapToGrid w:val="0"/>
              <w:spacing w:line="216" w:lineRule="auto"/>
              <w:jc w:val="center"/>
              <w:rPr>
                <w:rFonts w:ascii="Times New Roman" w:hAnsi="宋体" w:cs="Times New Roman"/>
              </w:rPr>
            </w:pPr>
            <w:r>
              <w:rPr>
                <w:rFonts w:ascii="Times New Roman" w:hAnsi="宋体" w:cs="Times New Roman" w:hint="eastAsia"/>
              </w:rPr>
              <w:t>/</w:t>
            </w:r>
          </w:p>
        </w:tc>
      </w:tr>
      <w:tr w:rsidR="00475650">
        <w:trPr>
          <w:trHeight w:hRule="exact" w:val="284"/>
          <w:jc w:val="center"/>
        </w:trPr>
        <w:tc>
          <w:tcPr>
            <w:tcW w:w="892" w:type="dxa"/>
            <w:vMerge/>
            <w:vAlign w:val="center"/>
          </w:tcPr>
          <w:p w:rsidR="00475650" w:rsidRDefault="00475650">
            <w:pPr>
              <w:pStyle w:val="afffffffff2"/>
              <w:snapToGrid w:val="0"/>
              <w:spacing w:line="216" w:lineRule="auto"/>
              <w:jc w:val="center"/>
              <w:rPr>
                <w:rFonts w:ascii="Times New Roman" w:hAnsi="宋体" w:cs="Times New Roman"/>
              </w:rPr>
            </w:pPr>
          </w:p>
        </w:tc>
        <w:tc>
          <w:tcPr>
            <w:tcW w:w="3260" w:type="dxa"/>
            <w:vMerge/>
            <w:vAlign w:val="center"/>
          </w:tcPr>
          <w:p w:rsidR="00475650" w:rsidRDefault="00475650">
            <w:pPr>
              <w:pStyle w:val="afffffffff2"/>
              <w:snapToGrid w:val="0"/>
              <w:spacing w:line="216" w:lineRule="auto"/>
              <w:jc w:val="center"/>
              <w:rPr>
                <w:rFonts w:ascii="Times New Roman" w:hAnsi="宋体" w:cs="Times New Roman"/>
              </w:rPr>
            </w:pPr>
          </w:p>
        </w:tc>
        <w:tc>
          <w:tcPr>
            <w:tcW w:w="1777" w:type="dxa"/>
            <w:vAlign w:val="center"/>
          </w:tcPr>
          <w:p w:rsidR="00475650" w:rsidRDefault="00475650">
            <w:pPr>
              <w:pStyle w:val="afffffffff2"/>
              <w:snapToGrid w:val="0"/>
              <w:spacing w:line="216" w:lineRule="auto"/>
              <w:jc w:val="center"/>
              <w:rPr>
                <w:rFonts w:ascii="Times New Roman" w:hAnsi="宋体" w:cs="Times New Roman"/>
              </w:rPr>
            </w:pPr>
            <w:r>
              <w:rPr>
                <w:rFonts w:ascii="Times New Roman" w:hAnsi="宋体" w:cs="Times New Roman"/>
              </w:rPr>
              <w:t>色度</w:t>
            </w:r>
          </w:p>
        </w:tc>
        <w:tc>
          <w:tcPr>
            <w:tcW w:w="3017" w:type="dxa"/>
            <w:vAlign w:val="center"/>
          </w:tcPr>
          <w:p w:rsidR="00475650" w:rsidRDefault="00475650">
            <w:pPr>
              <w:pStyle w:val="afffffffff2"/>
              <w:snapToGrid w:val="0"/>
              <w:spacing w:line="216" w:lineRule="auto"/>
              <w:jc w:val="center"/>
              <w:rPr>
                <w:rFonts w:ascii="Times New Roman" w:hAnsi="宋体" w:cs="Times New Roman"/>
              </w:rPr>
            </w:pPr>
            <w:r>
              <w:rPr>
                <w:rFonts w:ascii="Times New Roman" w:hAnsi="宋体" w:cs="Times New Roman"/>
              </w:rPr>
              <w:t>/</w:t>
            </w:r>
          </w:p>
        </w:tc>
      </w:tr>
      <w:tr w:rsidR="00475650">
        <w:trPr>
          <w:trHeight w:hRule="exact" w:val="284"/>
          <w:jc w:val="center"/>
        </w:trPr>
        <w:tc>
          <w:tcPr>
            <w:tcW w:w="892" w:type="dxa"/>
            <w:vMerge/>
            <w:vAlign w:val="center"/>
          </w:tcPr>
          <w:p w:rsidR="00475650" w:rsidRDefault="00475650">
            <w:pPr>
              <w:pStyle w:val="afffffffff2"/>
              <w:snapToGrid w:val="0"/>
              <w:spacing w:line="216" w:lineRule="auto"/>
              <w:jc w:val="center"/>
              <w:rPr>
                <w:rFonts w:ascii="Times New Roman" w:hAnsi="宋体" w:cs="Times New Roman"/>
              </w:rPr>
            </w:pPr>
          </w:p>
        </w:tc>
        <w:tc>
          <w:tcPr>
            <w:tcW w:w="3260" w:type="dxa"/>
            <w:vMerge/>
            <w:vAlign w:val="center"/>
          </w:tcPr>
          <w:p w:rsidR="00475650" w:rsidRDefault="00475650">
            <w:pPr>
              <w:pStyle w:val="afffffffff2"/>
              <w:snapToGrid w:val="0"/>
              <w:spacing w:line="216" w:lineRule="auto"/>
              <w:jc w:val="center"/>
              <w:rPr>
                <w:rFonts w:ascii="Times New Roman" w:hAnsi="宋体" w:cs="Times New Roman"/>
              </w:rPr>
            </w:pPr>
          </w:p>
        </w:tc>
        <w:tc>
          <w:tcPr>
            <w:tcW w:w="1777" w:type="dxa"/>
            <w:vAlign w:val="center"/>
          </w:tcPr>
          <w:p w:rsidR="00475650" w:rsidRDefault="00475650">
            <w:pPr>
              <w:pStyle w:val="afffffffff2"/>
              <w:snapToGrid w:val="0"/>
              <w:spacing w:line="216" w:lineRule="auto"/>
              <w:jc w:val="center"/>
              <w:rPr>
                <w:rFonts w:ascii="Times New Roman" w:hAnsi="宋体" w:cs="Times New Roman"/>
              </w:rPr>
            </w:pPr>
            <w:r>
              <w:rPr>
                <w:rFonts w:ascii="Times New Roman" w:hAnsi="宋体" w:cs="Times New Roman"/>
              </w:rPr>
              <w:t>NH</w:t>
            </w:r>
            <w:r>
              <w:rPr>
                <w:rFonts w:ascii="Times New Roman" w:hAnsi="宋体" w:cs="Times New Roman"/>
                <w:vertAlign w:val="subscript"/>
              </w:rPr>
              <w:t>3</w:t>
            </w:r>
            <w:r>
              <w:rPr>
                <w:rFonts w:ascii="Times New Roman" w:hAnsi="宋体" w:cs="Times New Roman"/>
              </w:rPr>
              <w:t>-N</w:t>
            </w:r>
          </w:p>
        </w:tc>
        <w:tc>
          <w:tcPr>
            <w:tcW w:w="3017" w:type="dxa"/>
            <w:vAlign w:val="center"/>
          </w:tcPr>
          <w:p w:rsidR="00475650" w:rsidRDefault="00475650">
            <w:pPr>
              <w:pStyle w:val="afffffffff2"/>
              <w:snapToGrid w:val="0"/>
              <w:spacing w:line="216" w:lineRule="auto"/>
              <w:jc w:val="center"/>
              <w:rPr>
                <w:rFonts w:ascii="Times New Roman" w:hAnsi="宋体" w:cs="Times New Roman"/>
              </w:rPr>
            </w:pPr>
            <w:r>
              <w:rPr>
                <w:rFonts w:ascii="Times New Roman" w:hAnsi="宋体" w:cs="Times New Roman"/>
              </w:rPr>
              <w:t>≤</w:t>
            </w:r>
            <w:r>
              <w:rPr>
                <w:rFonts w:ascii="Times New Roman" w:hAnsi="宋体" w:cs="Times New Roman" w:hint="eastAsia"/>
              </w:rPr>
              <w:t>27</w:t>
            </w:r>
            <w:r>
              <w:rPr>
                <w:rFonts w:ascii="Times New Roman" w:hAnsi="宋体" w:cs="Times New Roman"/>
              </w:rPr>
              <w:t xml:space="preserve"> mg/L</w:t>
            </w:r>
          </w:p>
        </w:tc>
      </w:tr>
      <w:tr w:rsidR="00475650">
        <w:trPr>
          <w:trHeight w:hRule="exact" w:val="284"/>
          <w:jc w:val="center"/>
        </w:trPr>
        <w:tc>
          <w:tcPr>
            <w:tcW w:w="892" w:type="dxa"/>
            <w:vMerge/>
            <w:vAlign w:val="center"/>
          </w:tcPr>
          <w:p w:rsidR="00475650" w:rsidRDefault="00475650">
            <w:pPr>
              <w:pStyle w:val="afffffffff2"/>
              <w:snapToGrid w:val="0"/>
              <w:spacing w:line="216" w:lineRule="auto"/>
              <w:jc w:val="center"/>
              <w:rPr>
                <w:rFonts w:ascii="Times New Roman" w:hAnsi="宋体" w:cs="Times New Roman"/>
              </w:rPr>
            </w:pPr>
          </w:p>
        </w:tc>
        <w:tc>
          <w:tcPr>
            <w:tcW w:w="3260" w:type="dxa"/>
            <w:vMerge/>
            <w:vAlign w:val="center"/>
          </w:tcPr>
          <w:p w:rsidR="00475650" w:rsidRDefault="00475650">
            <w:pPr>
              <w:pStyle w:val="afffffffff2"/>
              <w:snapToGrid w:val="0"/>
              <w:spacing w:line="216" w:lineRule="auto"/>
              <w:jc w:val="center"/>
              <w:rPr>
                <w:rFonts w:ascii="Times New Roman" w:hAnsi="宋体" w:cs="Times New Roman"/>
              </w:rPr>
            </w:pPr>
          </w:p>
        </w:tc>
        <w:tc>
          <w:tcPr>
            <w:tcW w:w="1777" w:type="dxa"/>
            <w:vAlign w:val="center"/>
          </w:tcPr>
          <w:p w:rsidR="00475650" w:rsidRDefault="00475650">
            <w:pPr>
              <w:pStyle w:val="afffffffff2"/>
              <w:snapToGrid w:val="0"/>
              <w:spacing w:line="216" w:lineRule="auto"/>
              <w:jc w:val="center"/>
              <w:rPr>
                <w:rFonts w:ascii="Times New Roman" w:hAnsi="宋体" w:cs="Times New Roman"/>
              </w:rPr>
            </w:pPr>
            <w:r>
              <w:rPr>
                <w:rFonts w:ascii="Times New Roman" w:hAnsi="宋体" w:cs="Times New Roman"/>
              </w:rPr>
              <w:t>SS</w:t>
            </w:r>
          </w:p>
        </w:tc>
        <w:tc>
          <w:tcPr>
            <w:tcW w:w="3017" w:type="dxa"/>
            <w:vAlign w:val="center"/>
          </w:tcPr>
          <w:p w:rsidR="00475650" w:rsidRDefault="00475650">
            <w:pPr>
              <w:pStyle w:val="afffffffff2"/>
              <w:snapToGrid w:val="0"/>
              <w:spacing w:line="216" w:lineRule="auto"/>
              <w:jc w:val="center"/>
              <w:rPr>
                <w:rFonts w:ascii="Times New Roman" w:hAnsi="宋体" w:cs="Times New Roman"/>
              </w:rPr>
            </w:pPr>
            <w:r>
              <w:rPr>
                <w:rFonts w:ascii="Times New Roman" w:hAnsi="宋体" w:cs="Times New Roman"/>
              </w:rPr>
              <w:t>≤</w:t>
            </w:r>
            <w:r>
              <w:rPr>
                <w:rFonts w:ascii="Times New Roman" w:hAnsi="宋体" w:cs="Times New Roman" w:hint="eastAsia"/>
              </w:rPr>
              <w:t>350</w:t>
            </w:r>
            <w:r>
              <w:rPr>
                <w:rFonts w:ascii="Times New Roman" w:hAnsi="宋体" w:cs="Times New Roman"/>
              </w:rPr>
              <w:t>mg/L</w:t>
            </w:r>
          </w:p>
        </w:tc>
      </w:tr>
      <w:tr w:rsidR="00475650">
        <w:trPr>
          <w:trHeight w:hRule="exact" w:val="284"/>
          <w:jc w:val="center"/>
        </w:trPr>
        <w:tc>
          <w:tcPr>
            <w:tcW w:w="892" w:type="dxa"/>
            <w:vMerge/>
            <w:vAlign w:val="center"/>
          </w:tcPr>
          <w:p w:rsidR="00475650" w:rsidRDefault="00475650">
            <w:pPr>
              <w:pStyle w:val="afffffffff2"/>
              <w:snapToGrid w:val="0"/>
              <w:spacing w:line="216" w:lineRule="auto"/>
              <w:jc w:val="center"/>
              <w:rPr>
                <w:rFonts w:ascii="Times New Roman" w:hAnsi="宋体" w:cs="Times New Roman"/>
              </w:rPr>
            </w:pPr>
          </w:p>
        </w:tc>
        <w:tc>
          <w:tcPr>
            <w:tcW w:w="3260" w:type="dxa"/>
            <w:vMerge/>
            <w:vAlign w:val="center"/>
          </w:tcPr>
          <w:p w:rsidR="00475650" w:rsidRDefault="00475650">
            <w:pPr>
              <w:pStyle w:val="afffffffff2"/>
              <w:snapToGrid w:val="0"/>
              <w:spacing w:line="216" w:lineRule="auto"/>
              <w:jc w:val="center"/>
              <w:rPr>
                <w:rFonts w:ascii="Times New Roman" w:hAnsi="宋体" w:cs="Times New Roman"/>
              </w:rPr>
            </w:pPr>
          </w:p>
        </w:tc>
        <w:tc>
          <w:tcPr>
            <w:tcW w:w="1777" w:type="dxa"/>
            <w:vAlign w:val="center"/>
          </w:tcPr>
          <w:p w:rsidR="00475650" w:rsidRDefault="00475650">
            <w:pPr>
              <w:pStyle w:val="afffffffff2"/>
              <w:snapToGrid w:val="0"/>
              <w:spacing w:line="216" w:lineRule="auto"/>
              <w:jc w:val="center"/>
              <w:rPr>
                <w:rFonts w:ascii="Times New Roman" w:hAnsi="宋体" w:cs="Times New Roman"/>
              </w:rPr>
            </w:pPr>
            <w:r>
              <w:rPr>
                <w:rFonts w:ascii="Times New Roman" w:hAnsi="宋体" w:cs="Times New Roman" w:hint="eastAsia"/>
              </w:rPr>
              <w:t>盐分</w:t>
            </w:r>
          </w:p>
        </w:tc>
        <w:tc>
          <w:tcPr>
            <w:tcW w:w="3017" w:type="dxa"/>
            <w:vAlign w:val="center"/>
          </w:tcPr>
          <w:p w:rsidR="00475650" w:rsidRDefault="00475650">
            <w:pPr>
              <w:pStyle w:val="afffffffff2"/>
              <w:snapToGrid w:val="0"/>
              <w:spacing w:line="216" w:lineRule="auto"/>
              <w:jc w:val="center"/>
              <w:rPr>
                <w:rFonts w:ascii="Times New Roman" w:hAnsi="宋体" w:cs="Times New Roman"/>
              </w:rPr>
            </w:pPr>
            <w:r>
              <w:rPr>
                <w:rFonts w:ascii="Times New Roman" w:hAnsi="宋体" w:cs="Times New Roman"/>
              </w:rPr>
              <w:t>≤</w:t>
            </w:r>
            <w:r>
              <w:rPr>
                <w:rFonts w:ascii="Times New Roman" w:hAnsi="宋体" w:cs="Times New Roman" w:hint="eastAsia"/>
              </w:rPr>
              <w:t>10</w:t>
            </w:r>
            <w:r>
              <w:rPr>
                <w:rFonts w:ascii="Times New Roman" w:hAnsi="宋体" w:cs="Times New Roman"/>
              </w:rPr>
              <w:t>00mg/L</w:t>
            </w:r>
          </w:p>
        </w:tc>
      </w:tr>
    </w:tbl>
    <w:p w:rsidR="00475650" w:rsidRDefault="00475650">
      <w:pPr>
        <w:pStyle w:val="afffffffff2"/>
        <w:spacing w:line="260" w:lineRule="exact"/>
        <w:jc w:val="center"/>
        <w:rPr>
          <w:rFonts w:ascii="Times New Roman" w:hAnsi="宋体" w:cs="Times New Roman"/>
        </w:rPr>
      </w:pPr>
    </w:p>
    <w:p w:rsidR="00475650" w:rsidRDefault="00475650">
      <w:pPr>
        <w:snapToGrid w:val="0"/>
        <w:spacing w:line="360" w:lineRule="auto"/>
        <w:ind w:firstLineChars="200" w:firstLine="480"/>
        <w:rPr>
          <w:kern w:val="0"/>
          <w:sz w:val="24"/>
        </w:rPr>
      </w:pPr>
      <w:r>
        <w:rPr>
          <w:rFonts w:hAnsi="宋体"/>
          <w:kern w:val="0"/>
          <w:sz w:val="24"/>
        </w:rPr>
        <w:t>（</w:t>
      </w:r>
      <w:r>
        <w:rPr>
          <w:kern w:val="0"/>
          <w:sz w:val="24"/>
        </w:rPr>
        <w:t>3</w:t>
      </w:r>
      <w:r>
        <w:rPr>
          <w:rFonts w:hAnsi="宋体"/>
          <w:kern w:val="0"/>
          <w:sz w:val="24"/>
        </w:rPr>
        <w:t>）噪声</w:t>
      </w:r>
    </w:p>
    <w:p w:rsidR="00475650" w:rsidRDefault="00475650">
      <w:pPr>
        <w:snapToGrid w:val="0"/>
        <w:spacing w:line="360" w:lineRule="auto"/>
        <w:ind w:firstLineChars="200" w:firstLine="480"/>
        <w:rPr>
          <w:kern w:val="0"/>
          <w:sz w:val="24"/>
        </w:rPr>
      </w:pPr>
      <w:r>
        <w:rPr>
          <w:rFonts w:hAnsi="宋体"/>
          <w:kern w:val="0"/>
          <w:sz w:val="24"/>
        </w:rPr>
        <w:t>厂界噪声排放执行《工业企业厂界环境噪声排放标准》（</w:t>
      </w:r>
      <w:r>
        <w:rPr>
          <w:kern w:val="0"/>
          <w:sz w:val="24"/>
        </w:rPr>
        <w:t>GB12348-2008</w:t>
      </w:r>
      <w:r>
        <w:rPr>
          <w:rFonts w:hAnsi="宋体"/>
          <w:kern w:val="0"/>
          <w:sz w:val="24"/>
        </w:rPr>
        <w:t>）</w:t>
      </w:r>
      <w:r>
        <w:rPr>
          <w:kern w:val="0"/>
          <w:sz w:val="24"/>
        </w:rPr>
        <w:t>3</w:t>
      </w:r>
      <w:r>
        <w:rPr>
          <w:rFonts w:hAnsi="宋体"/>
          <w:kern w:val="0"/>
          <w:sz w:val="24"/>
        </w:rPr>
        <w:t>、</w:t>
      </w:r>
      <w:r>
        <w:rPr>
          <w:kern w:val="0"/>
          <w:sz w:val="24"/>
        </w:rPr>
        <w:t>4</w:t>
      </w:r>
      <w:r>
        <w:rPr>
          <w:rFonts w:hAnsi="宋体"/>
          <w:kern w:val="0"/>
          <w:sz w:val="24"/>
        </w:rPr>
        <w:t>类区排放限值，施工期噪声执行《建筑施工场界环境噪声排放标准》（</w:t>
      </w:r>
      <w:r>
        <w:rPr>
          <w:kern w:val="0"/>
          <w:sz w:val="24"/>
        </w:rPr>
        <w:t>GB12523-2011</w:t>
      </w:r>
      <w:r>
        <w:rPr>
          <w:rFonts w:hAnsi="宋体"/>
          <w:kern w:val="0"/>
          <w:sz w:val="24"/>
        </w:rPr>
        <w:t>）限值，详见表</w:t>
      </w:r>
      <w:r>
        <w:rPr>
          <w:kern w:val="0"/>
          <w:sz w:val="24"/>
        </w:rPr>
        <w:t>1.3-</w:t>
      </w:r>
      <w:r>
        <w:rPr>
          <w:rFonts w:hint="eastAsia"/>
          <w:kern w:val="0"/>
          <w:sz w:val="24"/>
        </w:rPr>
        <w:t>10</w:t>
      </w:r>
      <w:r>
        <w:rPr>
          <w:rFonts w:hAnsi="宋体"/>
          <w:kern w:val="0"/>
          <w:sz w:val="24"/>
        </w:rPr>
        <w:t>。</w:t>
      </w:r>
    </w:p>
    <w:p w:rsidR="00475650" w:rsidRDefault="00475650">
      <w:pPr>
        <w:snapToGrid w:val="0"/>
        <w:spacing w:line="360" w:lineRule="auto"/>
        <w:ind w:firstLineChars="200" w:firstLine="480"/>
        <w:jc w:val="center"/>
        <w:rPr>
          <w:bCs/>
          <w:kern w:val="0"/>
          <w:sz w:val="24"/>
        </w:rPr>
      </w:pPr>
      <w:r>
        <w:rPr>
          <w:rFonts w:hAnsi="宋体"/>
          <w:bCs/>
          <w:kern w:val="0"/>
          <w:sz w:val="24"/>
        </w:rPr>
        <w:t>表</w:t>
      </w:r>
      <w:r>
        <w:rPr>
          <w:bCs/>
          <w:kern w:val="0"/>
          <w:sz w:val="24"/>
        </w:rPr>
        <w:t>1.3-</w:t>
      </w:r>
      <w:r>
        <w:rPr>
          <w:rFonts w:hint="eastAsia"/>
          <w:bCs/>
          <w:kern w:val="0"/>
          <w:sz w:val="24"/>
        </w:rPr>
        <w:t>10</w:t>
      </w:r>
      <w:r>
        <w:rPr>
          <w:bCs/>
          <w:kern w:val="0"/>
          <w:sz w:val="24"/>
        </w:rPr>
        <w:t xml:space="preserve">    </w:t>
      </w:r>
      <w:r>
        <w:rPr>
          <w:rFonts w:hAnsi="宋体"/>
          <w:bCs/>
          <w:kern w:val="0"/>
          <w:sz w:val="24"/>
        </w:rPr>
        <w:t>厂界噪声执行标准一览表</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246"/>
        <w:gridCol w:w="1133"/>
        <w:gridCol w:w="1258"/>
        <w:gridCol w:w="1385"/>
        <w:gridCol w:w="3924"/>
      </w:tblGrid>
      <w:tr w:rsidR="00475650">
        <w:trPr>
          <w:jc w:val="center"/>
        </w:trPr>
        <w:tc>
          <w:tcPr>
            <w:tcW w:w="1246" w:type="dxa"/>
            <w:vMerge w:val="restart"/>
            <w:tcBorders>
              <w:top w:val="single" w:sz="12" w:space="0" w:color="auto"/>
              <w:left w:val="single" w:sz="12" w:space="0" w:color="auto"/>
            </w:tcBorders>
            <w:vAlign w:val="center"/>
          </w:tcPr>
          <w:p w:rsidR="00475650" w:rsidRDefault="00475650" w:rsidP="00BD74CB">
            <w:pPr>
              <w:pStyle w:val="afff7"/>
              <w:snapToGrid w:val="0"/>
              <w:spacing w:beforeLines="32" w:afterLines="20" w:line="240" w:lineRule="exact"/>
              <w:rPr>
                <w:sz w:val="21"/>
                <w:szCs w:val="21"/>
              </w:rPr>
            </w:pPr>
            <w:r>
              <w:rPr>
                <w:rFonts w:hAnsi="宋体"/>
                <w:sz w:val="21"/>
                <w:szCs w:val="21"/>
              </w:rPr>
              <w:t>位置</w:t>
            </w:r>
          </w:p>
        </w:tc>
        <w:tc>
          <w:tcPr>
            <w:tcW w:w="1133" w:type="dxa"/>
            <w:vMerge w:val="restart"/>
            <w:tcBorders>
              <w:top w:val="single" w:sz="12" w:space="0" w:color="auto"/>
            </w:tcBorders>
            <w:vAlign w:val="center"/>
          </w:tcPr>
          <w:p w:rsidR="00475650" w:rsidRDefault="00475650" w:rsidP="00BD74CB">
            <w:pPr>
              <w:pStyle w:val="afff7"/>
              <w:snapToGrid w:val="0"/>
              <w:spacing w:beforeLines="32" w:afterLines="20" w:line="240" w:lineRule="exact"/>
              <w:rPr>
                <w:sz w:val="21"/>
                <w:szCs w:val="21"/>
              </w:rPr>
            </w:pPr>
            <w:r>
              <w:rPr>
                <w:rFonts w:hAnsi="宋体"/>
                <w:sz w:val="21"/>
                <w:szCs w:val="21"/>
              </w:rPr>
              <w:t>类别</w:t>
            </w:r>
          </w:p>
        </w:tc>
        <w:tc>
          <w:tcPr>
            <w:tcW w:w="2643" w:type="dxa"/>
            <w:gridSpan w:val="2"/>
            <w:tcBorders>
              <w:top w:val="single" w:sz="12" w:space="0" w:color="auto"/>
            </w:tcBorders>
            <w:vAlign w:val="center"/>
          </w:tcPr>
          <w:p w:rsidR="00475650" w:rsidRDefault="00475650" w:rsidP="00BD74CB">
            <w:pPr>
              <w:pStyle w:val="afff7"/>
              <w:snapToGrid w:val="0"/>
              <w:spacing w:beforeLines="32" w:afterLines="20" w:line="240" w:lineRule="exact"/>
              <w:rPr>
                <w:sz w:val="21"/>
                <w:szCs w:val="21"/>
              </w:rPr>
            </w:pPr>
            <w:r>
              <w:rPr>
                <w:rFonts w:hAnsi="宋体"/>
                <w:sz w:val="21"/>
                <w:szCs w:val="21"/>
              </w:rPr>
              <w:t>噪声级</w:t>
            </w:r>
            <w:r>
              <w:rPr>
                <w:sz w:val="21"/>
                <w:szCs w:val="21"/>
              </w:rPr>
              <w:t xml:space="preserve"> dB</w:t>
            </w:r>
            <w:r>
              <w:rPr>
                <w:rFonts w:hAnsi="宋体"/>
                <w:sz w:val="21"/>
                <w:szCs w:val="21"/>
              </w:rPr>
              <w:t>（</w:t>
            </w:r>
            <w:r>
              <w:rPr>
                <w:sz w:val="21"/>
                <w:szCs w:val="21"/>
              </w:rPr>
              <w:t>A</w:t>
            </w:r>
            <w:r>
              <w:rPr>
                <w:rFonts w:hAnsi="宋体"/>
                <w:sz w:val="21"/>
                <w:szCs w:val="21"/>
              </w:rPr>
              <w:t>）</w:t>
            </w:r>
          </w:p>
        </w:tc>
        <w:tc>
          <w:tcPr>
            <w:tcW w:w="3924" w:type="dxa"/>
            <w:vMerge w:val="restart"/>
            <w:tcBorders>
              <w:top w:val="single" w:sz="12" w:space="0" w:color="auto"/>
              <w:right w:val="single" w:sz="12" w:space="0" w:color="auto"/>
            </w:tcBorders>
            <w:vAlign w:val="center"/>
          </w:tcPr>
          <w:p w:rsidR="00475650" w:rsidRDefault="00475650" w:rsidP="00BD74CB">
            <w:pPr>
              <w:pStyle w:val="afffffffff2"/>
              <w:snapToGrid w:val="0"/>
              <w:spacing w:beforeLines="32" w:afterLines="20" w:line="240" w:lineRule="exact"/>
              <w:jc w:val="center"/>
              <w:rPr>
                <w:rFonts w:ascii="Times New Roman" w:hAnsi="Times New Roman" w:cs="Times New Roman"/>
              </w:rPr>
            </w:pPr>
            <w:r>
              <w:rPr>
                <w:rFonts w:ascii="Times New Roman" w:hAnsi="宋体" w:cs="Times New Roman"/>
              </w:rPr>
              <w:t>标准来源</w:t>
            </w:r>
          </w:p>
        </w:tc>
      </w:tr>
      <w:tr w:rsidR="00475650">
        <w:trPr>
          <w:jc w:val="center"/>
        </w:trPr>
        <w:tc>
          <w:tcPr>
            <w:tcW w:w="1246" w:type="dxa"/>
            <w:vMerge/>
            <w:tcBorders>
              <w:left w:val="single" w:sz="12" w:space="0" w:color="auto"/>
            </w:tcBorders>
            <w:vAlign w:val="center"/>
          </w:tcPr>
          <w:p w:rsidR="00475650" w:rsidRDefault="00475650" w:rsidP="00BD74CB">
            <w:pPr>
              <w:pStyle w:val="afff7"/>
              <w:snapToGrid w:val="0"/>
              <w:spacing w:beforeLines="32" w:afterLines="20" w:line="240" w:lineRule="exact"/>
              <w:rPr>
                <w:sz w:val="21"/>
                <w:szCs w:val="21"/>
              </w:rPr>
            </w:pPr>
          </w:p>
        </w:tc>
        <w:tc>
          <w:tcPr>
            <w:tcW w:w="1133" w:type="dxa"/>
            <w:vMerge/>
            <w:vAlign w:val="center"/>
          </w:tcPr>
          <w:p w:rsidR="00475650" w:rsidRDefault="00475650" w:rsidP="00BD74CB">
            <w:pPr>
              <w:pStyle w:val="afff7"/>
              <w:snapToGrid w:val="0"/>
              <w:spacing w:beforeLines="32" w:afterLines="20" w:line="240" w:lineRule="exact"/>
              <w:rPr>
                <w:sz w:val="21"/>
                <w:szCs w:val="21"/>
              </w:rPr>
            </w:pPr>
          </w:p>
        </w:tc>
        <w:tc>
          <w:tcPr>
            <w:tcW w:w="1258" w:type="dxa"/>
            <w:vAlign w:val="center"/>
          </w:tcPr>
          <w:p w:rsidR="00475650" w:rsidRDefault="00475650" w:rsidP="00BD74CB">
            <w:pPr>
              <w:pStyle w:val="afff7"/>
              <w:snapToGrid w:val="0"/>
              <w:spacing w:beforeLines="32" w:afterLines="20" w:line="240" w:lineRule="exact"/>
              <w:rPr>
                <w:sz w:val="21"/>
                <w:szCs w:val="21"/>
              </w:rPr>
            </w:pPr>
            <w:r>
              <w:rPr>
                <w:rFonts w:hAnsi="宋体"/>
                <w:sz w:val="21"/>
                <w:szCs w:val="21"/>
              </w:rPr>
              <w:t>昼间</w:t>
            </w:r>
          </w:p>
        </w:tc>
        <w:tc>
          <w:tcPr>
            <w:tcW w:w="1385" w:type="dxa"/>
            <w:vAlign w:val="center"/>
          </w:tcPr>
          <w:p w:rsidR="00475650" w:rsidRDefault="00475650" w:rsidP="00BD74CB">
            <w:pPr>
              <w:pStyle w:val="afff7"/>
              <w:snapToGrid w:val="0"/>
              <w:spacing w:beforeLines="32" w:afterLines="20" w:line="240" w:lineRule="exact"/>
              <w:rPr>
                <w:sz w:val="21"/>
                <w:szCs w:val="21"/>
              </w:rPr>
            </w:pPr>
            <w:r>
              <w:rPr>
                <w:rFonts w:hAnsi="宋体"/>
                <w:sz w:val="21"/>
                <w:szCs w:val="21"/>
              </w:rPr>
              <w:t>夜间</w:t>
            </w:r>
          </w:p>
        </w:tc>
        <w:tc>
          <w:tcPr>
            <w:tcW w:w="3924" w:type="dxa"/>
            <w:vMerge/>
            <w:tcBorders>
              <w:right w:val="single" w:sz="12" w:space="0" w:color="auto"/>
            </w:tcBorders>
            <w:vAlign w:val="center"/>
          </w:tcPr>
          <w:p w:rsidR="00475650" w:rsidRDefault="00475650" w:rsidP="00BD74CB">
            <w:pPr>
              <w:pStyle w:val="afffffffff2"/>
              <w:snapToGrid w:val="0"/>
              <w:spacing w:beforeLines="32" w:afterLines="20" w:line="240" w:lineRule="exact"/>
              <w:jc w:val="center"/>
              <w:rPr>
                <w:rFonts w:ascii="Times New Roman" w:hAnsi="Times New Roman" w:cs="Times New Roman"/>
              </w:rPr>
            </w:pPr>
          </w:p>
        </w:tc>
      </w:tr>
      <w:tr w:rsidR="00475650">
        <w:trPr>
          <w:jc w:val="center"/>
        </w:trPr>
        <w:tc>
          <w:tcPr>
            <w:tcW w:w="1246" w:type="dxa"/>
            <w:vMerge w:val="restart"/>
            <w:tcBorders>
              <w:left w:val="single" w:sz="12" w:space="0" w:color="auto"/>
            </w:tcBorders>
            <w:vAlign w:val="center"/>
          </w:tcPr>
          <w:p w:rsidR="00475650" w:rsidRDefault="00475650" w:rsidP="00BD74CB">
            <w:pPr>
              <w:pStyle w:val="afff7"/>
              <w:snapToGrid w:val="0"/>
              <w:spacing w:beforeLines="32" w:afterLines="20" w:line="240" w:lineRule="exact"/>
              <w:rPr>
                <w:sz w:val="21"/>
                <w:szCs w:val="21"/>
              </w:rPr>
            </w:pPr>
            <w:r>
              <w:rPr>
                <w:rFonts w:hAnsi="宋体"/>
                <w:sz w:val="21"/>
                <w:szCs w:val="21"/>
              </w:rPr>
              <w:t>运行期厂界</w:t>
            </w:r>
          </w:p>
        </w:tc>
        <w:tc>
          <w:tcPr>
            <w:tcW w:w="1133" w:type="dxa"/>
            <w:tcBorders>
              <w:bottom w:val="single" w:sz="4" w:space="0" w:color="auto"/>
            </w:tcBorders>
            <w:vAlign w:val="center"/>
          </w:tcPr>
          <w:p w:rsidR="00475650" w:rsidRDefault="00475650" w:rsidP="00BD74CB">
            <w:pPr>
              <w:pStyle w:val="afff7"/>
              <w:snapToGrid w:val="0"/>
              <w:spacing w:beforeLines="32" w:afterLines="20" w:line="240" w:lineRule="exact"/>
              <w:rPr>
                <w:sz w:val="21"/>
                <w:szCs w:val="21"/>
              </w:rPr>
            </w:pPr>
            <w:r>
              <w:rPr>
                <w:sz w:val="21"/>
                <w:szCs w:val="21"/>
              </w:rPr>
              <w:t>3</w:t>
            </w:r>
          </w:p>
        </w:tc>
        <w:tc>
          <w:tcPr>
            <w:tcW w:w="1258" w:type="dxa"/>
            <w:tcBorders>
              <w:bottom w:val="single" w:sz="4" w:space="0" w:color="auto"/>
            </w:tcBorders>
            <w:vAlign w:val="center"/>
          </w:tcPr>
          <w:p w:rsidR="00475650" w:rsidRDefault="00475650" w:rsidP="00BD74CB">
            <w:pPr>
              <w:pStyle w:val="afff7"/>
              <w:snapToGrid w:val="0"/>
              <w:spacing w:beforeLines="32" w:afterLines="20" w:line="240" w:lineRule="exact"/>
              <w:rPr>
                <w:sz w:val="21"/>
                <w:szCs w:val="21"/>
              </w:rPr>
            </w:pPr>
            <w:r>
              <w:rPr>
                <w:sz w:val="21"/>
                <w:szCs w:val="21"/>
              </w:rPr>
              <w:t>65</w:t>
            </w:r>
          </w:p>
        </w:tc>
        <w:tc>
          <w:tcPr>
            <w:tcW w:w="1385" w:type="dxa"/>
            <w:tcBorders>
              <w:bottom w:val="single" w:sz="4" w:space="0" w:color="auto"/>
            </w:tcBorders>
            <w:vAlign w:val="center"/>
          </w:tcPr>
          <w:p w:rsidR="00475650" w:rsidRDefault="00475650" w:rsidP="00BD74CB">
            <w:pPr>
              <w:pStyle w:val="afff7"/>
              <w:snapToGrid w:val="0"/>
              <w:spacing w:beforeLines="32" w:afterLines="20" w:line="240" w:lineRule="exact"/>
              <w:rPr>
                <w:sz w:val="21"/>
                <w:szCs w:val="21"/>
              </w:rPr>
            </w:pPr>
            <w:r>
              <w:rPr>
                <w:sz w:val="21"/>
                <w:szCs w:val="21"/>
              </w:rPr>
              <w:t>55</w:t>
            </w:r>
          </w:p>
        </w:tc>
        <w:tc>
          <w:tcPr>
            <w:tcW w:w="3924" w:type="dxa"/>
            <w:vMerge w:val="restart"/>
            <w:tcBorders>
              <w:right w:val="single" w:sz="12" w:space="0" w:color="auto"/>
            </w:tcBorders>
            <w:vAlign w:val="center"/>
          </w:tcPr>
          <w:p w:rsidR="00475650" w:rsidRDefault="00475650" w:rsidP="00BD74CB">
            <w:pPr>
              <w:pStyle w:val="afffffffff2"/>
              <w:snapToGrid w:val="0"/>
              <w:spacing w:beforeLines="32" w:afterLines="20" w:line="240" w:lineRule="exact"/>
              <w:jc w:val="center"/>
              <w:rPr>
                <w:rFonts w:ascii="Times New Roman" w:hAnsi="Times New Roman" w:cs="Times New Roman"/>
              </w:rPr>
            </w:pPr>
            <w:r>
              <w:rPr>
                <w:rFonts w:ascii="Times New Roman" w:hAnsi="宋体" w:cs="Times New Roman"/>
                <w:bCs/>
              </w:rPr>
              <w:t>《工业企业厂界环境噪声排放标准》</w:t>
            </w:r>
          </w:p>
          <w:p w:rsidR="00475650" w:rsidRDefault="00475650" w:rsidP="00BD74CB">
            <w:pPr>
              <w:pStyle w:val="afffffffff2"/>
              <w:snapToGrid w:val="0"/>
              <w:spacing w:beforeLines="32" w:afterLines="20" w:line="240" w:lineRule="exact"/>
              <w:jc w:val="center"/>
              <w:rPr>
                <w:rFonts w:ascii="Times New Roman" w:hAnsi="Times New Roman" w:cs="Times New Roman"/>
              </w:rPr>
            </w:pPr>
            <w:r>
              <w:rPr>
                <w:rFonts w:ascii="Times New Roman" w:hAnsi="宋体" w:cs="Times New Roman"/>
                <w:bCs/>
              </w:rPr>
              <w:t>（</w:t>
            </w:r>
            <w:r>
              <w:rPr>
                <w:rFonts w:ascii="Times New Roman" w:hAnsi="Times New Roman" w:cs="Times New Roman"/>
                <w:bCs/>
              </w:rPr>
              <w:t>GB12348-2008</w:t>
            </w:r>
            <w:r>
              <w:rPr>
                <w:rFonts w:ascii="Times New Roman" w:hAnsi="宋体" w:cs="Times New Roman"/>
                <w:bCs/>
              </w:rPr>
              <w:t>）</w:t>
            </w:r>
          </w:p>
        </w:tc>
      </w:tr>
      <w:tr w:rsidR="00475650">
        <w:trPr>
          <w:jc w:val="center"/>
        </w:trPr>
        <w:tc>
          <w:tcPr>
            <w:tcW w:w="1246" w:type="dxa"/>
            <w:vMerge/>
            <w:tcBorders>
              <w:left w:val="single" w:sz="12" w:space="0" w:color="auto"/>
            </w:tcBorders>
            <w:vAlign w:val="center"/>
          </w:tcPr>
          <w:p w:rsidR="00475650" w:rsidRDefault="00475650" w:rsidP="00BD74CB">
            <w:pPr>
              <w:pStyle w:val="afff7"/>
              <w:snapToGrid w:val="0"/>
              <w:spacing w:beforeLines="32" w:afterLines="20" w:line="240" w:lineRule="exact"/>
              <w:rPr>
                <w:sz w:val="21"/>
                <w:szCs w:val="21"/>
              </w:rPr>
            </w:pPr>
          </w:p>
        </w:tc>
        <w:tc>
          <w:tcPr>
            <w:tcW w:w="1133" w:type="dxa"/>
            <w:tcBorders>
              <w:top w:val="single" w:sz="4" w:space="0" w:color="auto"/>
              <w:bottom w:val="single" w:sz="4" w:space="0" w:color="auto"/>
            </w:tcBorders>
            <w:vAlign w:val="center"/>
          </w:tcPr>
          <w:p w:rsidR="00475650" w:rsidRDefault="00475650" w:rsidP="00BD74CB">
            <w:pPr>
              <w:pStyle w:val="afff7"/>
              <w:snapToGrid w:val="0"/>
              <w:spacing w:beforeLines="32" w:afterLines="20" w:line="240" w:lineRule="exact"/>
              <w:rPr>
                <w:sz w:val="21"/>
                <w:szCs w:val="21"/>
              </w:rPr>
            </w:pPr>
            <w:r>
              <w:rPr>
                <w:sz w:val="21"/>
                <w:szCs w:val="21"/>
              </w:rPr>
              <w:t>4</w:t>
            </w:r>
          </w:p>
        </w:tc>
        <w:tc>
          <w:tcPr>
            <w:tcW w:w="1258" w:type="dxa"/>
            <w:tcBorders>
              <w:top w:val="single" w:sz="4" w:space="0" w:color="auto"/>
              <w:bottom w:val="single" w:sz="4" w:space="0" w:color="auto"/>
            </w:tcBorders>
            <w:vAlign w:val="center"/>
          </w:tcPr>
          <w:p w:rsidR="00475650" w:rsidRDefault="00475650" w:rsidP="00BD74CB">
            <w:pPr>
              <w:pStyle w:val="afff7"/>
              <w:snapToGrid w:val="0"/>
              <w:spacing w:beforeLines="32" w:afterLines="20" w:line="240" w:lineRule="exact"/>
              <w:rPr>
                <w:sz w:val="21"/>
                <w:szCs w:val="21"/>
              </w:rPr>
            </w:pPr>
            <w:r>
              <w:rPr>
                <w:sz w:val="21"/>
                <w:szCs w:val="21"/>
              </w:rPr>
              <w:t>70</w:t>
            </w:r>
          </w:p>
        </w:tc>
        <w:tc>
          <w:tcPr>
            <w:tcW w:w="1385" w:type="dxa"/>
            <w:tcBorders>
              <w:top w:val="single" w:sz="4" w:space="0" w:color="auto"/>
              <w:bottom w:val="single" w:sz="4" w:space="0" w:color="auto"/>
            </w:tcBorders>
            <w:vAlign w:val="center"/>
          </w:tcPr>
          <w:p w:rsidR="00475650" w:rsidRDefault="00475650" w:rsidP="00BD74CB">
            <w:pPr>
              <w:pStyle w:val="afff7"/>
              <w:snapToGrid w:val="0"/>
              <w:spacing w:beforeLines="32" w:afterLines="20" w:line="240" w:lineRule="exact"/>
              <w:rPr>
                <w:sz w:val="21"/>
                <w:szCs w:val="21"/>
              </w:rPr>
            </w:pPr>
            <w:r>
              <w:rPr>
                <w:sz w:val="21"/>
                <w:szCs w:val="21"/>
              </w:rPr>
              <w:t>55</w:t>
            </w:r>
          </w:p>
        </w:tc>
        <w:tc>
          <w:tcPr>
            <w:tcW w:w="3924" w:type="dxa"/>
            <w:vMerge/>
            <w:tcBorders>
              <w:right w:val="single" w:sz="12" w:space="0" w:color="auto"/>
            </w:tcBorders>
            <w:vAlign w:val="center"/>
          </w:tcPr>
          <w:p w:rsidR="00475650" w:rsidRDefault="00475650" w:rsidP="00BD74CB">
            <w:pPr>
              <w:pStyle w:val="afffffffff2"/>
              <w:snapToGrid w:val="0"/>
              <w:spacing w:beforeLines="32" w:afterLines="20" w:line="240" w:lineRule="exact"/>
              <w:jc w:val="center"/>
              <w:rPr>
                <w:rFonts w:ascii="Times New Roman" w:hAnsi="Times New Roman" w:cs="Times New Roman"/>
                <w:bCs/>
              </w:rPr>
            </w:pPr>
          </w:p>
        </w:tc>
      </w:tr>
      <w:tr w:rsidR="00475650">
        <w:trPr>
          <w:jc w:val="center"/>
        </w:trPr>
        <w:tc>
          <w:tcPr>
            <w:tcW w:w="1246" w:type="dxa"/>
            <w:tcBorders>
              <w:left w:val="single" w:sz="12" w:space="0" w:color="auto"/>
              <w:bottom w:val="single" w:sz="12" w:space="0" w:color="auto"/>
            </w:tcBorders>
            <w:vAlign w:val="center"/>
          </w:tcPr>
          <w:p w:rsidR="00475650" w:rsidRDefault="00475650" w:rsidP="00BD74CB">
            <w:pPr>
              <w:pStyle w:val="afff7"/>
              <w:snapToGrid w:val="0"/>
              <w:spacing w:beforeLines="32" w:afterLines="20" w:line="240" w:lineRule="exact"/>
              <w:rPr>
                <w:sz w:val="21"/>
                <w:szCs w:val="21"/>
              </w:rPr>
            </w:pPr>
            <w:r>
              <w:rPr>
                <w:rFonts w:hAnsi="宋体"/>
                <w:sz w:val="21"/>
                <w:szCs w:val="21"/>
              </w:rPr>
              <w:t>施工期场界</w:t>
            </w:r>
          </w:p>
        </w:tc>
        <w:tc>
          <w:tcPr>
            <w:tcW w:w="1133" w:type="dxa"/>
            <w:tcBorders>
              <w:top w:val="single" w:sz="4" w:space="0" w:color="auto"/>
              <w:bottom w:val="single" w:sz="12" w:space="0" w:color="auto"/>
            </w:tcBorders>
            <w:vAlign w:val="center"/>
          </w:tcPr>
          <w:p w:rsidR="00475650" w:rsidRDefault="00475650" w:rsidP="00BD74CB">
            <w:pPr>
              <w:pStyle w:val="afff7"/>
              <w:snapToGrid w:val="0"/>
              <w:spacing w:beforeLines="32" w:afterLines="20" w:line="240" w:lineRule="exact"/>
              <w:rPr>
                <w:sz w:val="21"/>
                <w:szCs w:val="21"/>
              </w:rPr>
            </w:pPr>
            <w:r>
              <w:rPr>
                <w:sz w:val="21"/>
                <w:szCs w:val="21"/>
              </w:rPr>
              <w:t>/</w:t>
            </w:r>
          </w:p>
        </w:tc>
        <w:tc>
          <w:tcPr>
            <w:tcW w:w="1258" w:type="dxa"/>
            <w:tcBorders>
              <w:top w:val="single" w:sz="4" w:space="0" w:color="auto"/>
              <w:bottom w:val="single" w:sz="12" w:space="0" w:color="auto"/>
            </w:tcBorders>
            <w:vAlign w:val="center"/>
          </w:tcPr>
          <w:p w:rsidR="00475650" w:rsidRDefault="00475650" w:rsidP="00BD74CB">
            <w:pPr>
              <w:pStyle w:val="afff7"/>
              <w:snapToGrid w:val="0"/>
              <w:spacing w:beforeLines="32" w:afterLines="20" w:line="240" w:lineRule="exact"/>
              <w:rPr>
                <w:sz w:val="21"/>
                <w:szCs w:val="21"/>
              </w:rPr>
            </w:pPr>
            <w:r>
              <w:rPr>
                <w:sz w:val="21"/>
                <w:szCs w:val="21"/>
              </w:rPr>
              <w:t>70</w:t>
            </w:r>
          </w:p>
        </w:tc>
        <w:tc>
          <w:tcPr>
            <w:tcW w:w="1385" w:type="dxa"/>
            <w:tcBorders>
              <w:top w:val="single" w:sz="4" w:space="0" w:color="auto"/>
              <w:bottom w:val="single" w:sz="12" w:space="0" w:color="auto"/>
            </w:tcBorders>
            <w:vAlign w:val="center"/>
          </w:tcPr>
          <w:p w:rsidR="00475650" w:rsidRDefault="00475650" w:rsidP="00BD74CB">
            <w:pPr>
              <w:pStyle w:val="afff7"/>
              <w:snapToGrid w:val="0"/>
              <w:spacing w:beforeLines="32" w:afterLines="20" w:line="240" w:lineRule="exact"/>
              <w:rPr>
                <w:sz w:val="21"/>
                <w:szCs w:val="21"/>
              </w:rPr>
            </w:pPr>
            <w:r>
              <w:rPr>
                <w:sz w:val="21"/>
                <w:szCs w:val="21"/>
              </w:rPr>
              <w:t>55</w:t>
            </w:r>
          </w:p>
        </w:tc>
        <w:tc>
          <w:tcPr>
            <w:tcW w:w="3924" w:type="dxa"/>
            <w:tcBorders>
              <w:bottom w:val="single" w:sz="12" w:space="0" w:color="auto"/>
              <w:right w:val="single" w:sz="12" w:space="0" w:color="auto"/>
            </w:tcBorders>
            <w:vAlign w:val="center"/>
          </w:tcPr>
          <w:p w:rsidR="00475650" w:rsidRDefault="00475650" w:rsidP="00BD74CB">
            <w:pPr>
              <w:pStyle w:val="afffffffff2"/>
              <w:snapToGrid w:val="0"/>
              <w:spacing w:beforeLines="32" w:afterLines="20" w:line="240" w:lineRule="exact"/>
              <w:jc w:val="center"/>
              <w:rPr>
                <w:rFonts w:ascii="Times New Roman" w:hAnsi="Times New Roman" w:cs="Times New Roman"/>
                <w:bCs/>
              </w:rPr>
            </w:pPr>
            <w:r>
              <w:rPr>
                <w:rFonts w:ascii="Times New Roman" w:hAnsi="宋体" w:cs="Times New Roman"/>
              </w:rPr>
              <w:t>《建筑施工场界环境噪声标准》（</w:t>
            </w:r>
            <w:r>
              <w:rPr>
                <w:rFonts w:ascii="Times New Roman" w:hAnsi="Times New Roman" w:cs="Times New Roman"/>
              </w:rPr>
              <w:t>GB12348</w:t>
            </w:r>
            <w:r>
              <w:rPr>
                <w:rFonts w:ascii="Times New Roman" w:hAnsi="宋体" w:cs="Times New Roman"/>
              </w:rPr>
              <w:t>－</w:t>
            </w:r>
            <w:r>
              <w:rPr>
                <w:rFonts w:ascii="Times New Roman" w:hAnsi="Times New Roman" w:cs="Times New Roman"/>
              </w:rPr>
              <w:t>2011</w:t>
            </w:r>
            <w:r>
              <w:rPr>
                <w:rFonts w:ascii="Times New Roman" w:hAnsi="宋体" w:cs="Times New Roman"/>
              </w:rPr>
              <w:t>）</w:t>
            </w:r>
          </w:p>
        </w:tc>
      </w:tr>
    </w:tbl>
    <w:p w:rsidR="00475650" w:rsidRDefault="00475650">
      <w:pPr>
        <w:snapToGrid w:val="0"/>
        <w:spacing w:line="360" w:lineRule="auto"/>
        <w:ind w:firstLineChars="200" w:firstLine="480"/>
        <w:rPr>
          <w:kern w:val="0"/>
          <w:sz w:val="24"/>
        </w:rPr>
      </w:pPr>
      <w:r>
        <w:rPr>
          <w:rFonts w:hAnsi="宋体"/>
          <w:kern w:val="0"/>
          <w:sz w:val="24"/>
        </w:rPr>
        <w:t>（</w:t>
      </w:r>
      <w:r>
        <w:rPr>
          <w:kern w:val="0"/>
          <w:sz w:val="24"/>
        </w:rPr>
        <w:t>4</w:t>
      </w:r>
      <w:r>
        <w:rPr>
          <w:rFonts w:hAnsi="宋体"/>
          <w:kern w:val="0"/>
          <w:sz w:val="24"/>
        </w:rPr>
        <w:t>）工业固体废物</w:t>
      </w:r>
    </w:p>
    <w:p w:rsidR="00475650" w:rsidRDefault="00475650">
      <w:pPr>
        <w:snapToGrid w:val="0"/>
        <w:spacing w:line="360" w:lineRule="auto"/>
        <w:ind w:firstLineChars="200" w:firstLine="480"/>
        <w:rPr>
          <w:sz w:val="24"/>
        </w:rPr>
      </w:pPr>
      <w:r>
        <w:rPr>
          <w:rFonts w:hAnsi="宋体"/>
          <w:kern w:val="0"/>
          <w:sz w:val="24"/>
        </w:rPr>
        <w:t>一般废物的处理处置执行《一般工业固体废物贮存、处置场污染控制标准》（</w:t>
      </w:r>
      <w:r>
        <w:rPr>
          <w:kern w:val="0"/>
          <w:sz w:val="24"/>
        </w:rPr>
        <w:t>GB18599</w:t>
      </w:r>
      <w:r>
        <w:rPr>
          <w:rFonts w:hAnsi="宋体"/>
          <w:kern w:val="0"/>
          <w:sz w:val="24"/>
        </w:rPr>
        <w:t>－</w:t>
      </w:r>
      <w:r>
        <w:rPr>
          <w:kern w:val="0"/>
          <w:sz w:val="24"/>
        </w:rPr>
        <w:t>2001</w:t>
      </w:r>
      <w:r>
        <w:rPr>
          <w:rFonts w:hAnsi="宋体"/>
          <w:kern w:val="0"/>
          <w:sz w:val="24"/>
        </w:rPr>
        <w:t>）；危险废物的处理</w:t>
      </w:r>
      <w:r>
        <w:rPr>
          <w:kern w:val="0"/>
          <w:sz w:val="24"/>
        </w:rPr>
        <w:t>/</w:t>
      </w:r>
      <w:r>
        <w:rPr>
          <w:rFonts w:hAnsi="宋体"/>
          <w:kern w:val="0"/>
          <w:sz w:val="24"/>
        </w:rPr>
        <w:t>处置执行《危险废物贮存污染控制标准》（</w:t>
      </w:r>
      <w:r>
        <w:rPr>
          <w:kern w:val="0"/>
          <w:sz w:val="24"/>
        </w:rPr>
        <w:t>GB18597-2001</w:t>
      </w:r>
      <w:r>
        <w:rPr>
          <w:rFonts w:hAnsi="宋体"/>
          <w:kern w:val="0"/>
          <w:sz w:val="24"/>
        </w:rPr>
        <w:t>）、《危险废物填埋污染控制标准》（</w:t>
      </w:r>
      <w:r>
        <w:rPr>
          <w:kern w:val="0"/>
          <w:sz w:val="24"/>
        </w:rPr>
        <w:t>GB18598-2001</w:t>
      </w:r>
      <w:r>
        <w:rPr>
          <w:rFonts w:hAnsi="宋体"/>
          <w:kern w:val="0"/>
          <w:sz w:val="24"/>
        </w:rPr>
        <w:t>）；固体废物危险性质鉴别执行《危险废物鉴别标准</w:t>
      </w:r>
      <w:r>
        <w:rPr>
          <w:kern w:val="0"/>
          <w:sz w:val="24"/>
        </w:rPr>
        <w:t>·</w:t>
      </w:r>
      <w:r>
        <w:rPr>
          <w:rFonts w:hAnsi="宋体"/>
          <w:kern w:val="0"/>
          <w:sz w:val="24"/>
        </w:rPr>
        <w:t>浸出毒性鉴别》（</w:t>
      </w:r>
      <w:r>
        <w:rPr>
          <w:kern w:val="0"/>
          <w:sz w:val="24"/>
        </w:rPr>
        <w:t>GB5085.3-2007</w:t>
      </w:r>
      <w:r>
        <w:rPr>
          <w:rFonts w:hAnsi="宋体"/>
          <w:kern w:val="0"/>
          <w:sz w:val="24"/>
        </w:rPr>
        <w:t>）的有关规定。</w:t>
      </w:r>
    </w:p>
    <w:p w:rsidR="00475650" w:rsidRDefault="00475650">
      <w:pPr>
        <w:pStyle w:val="h"/>
        <w:snapToGrid w:val="0"/>
        <w:spacing w:before="0" w:after="0" w:line="360" w:lineRule="auto"/>
        <w:ind w:firstLine="0"/>
        <w:outlineLvl w:val="0"/>
        <w:rPr>
          <w:rStyle w:val="2Char1Char"/>
          <w:rFonts w:ascii="Times New Roman" w:eastAsia="宋体" w:hAnsi="Times New Roman" w:cs="Times New Roman"/>
          <w:b w:val="0"/>
          <w:sz w:val="28"/>
          <w:szCs w:val="28"/>
        </w:rPr>
      </w:pPr>
      <w:bookmarkStart w:id="158" w:name="_Toc203815126"/>
      <w:bookmarkStart w:id="159" w:name="_Toc270622556"/>
      <w:bookmarkStart w:id="160" w:name="_Toc161748568"/>
      <w:bookmarkStart w:id="161" w:name="_Toc269809126"/>
      <w:bookmarkStart w:id="162" w:name="_Toc269630361"/>
      <w:bookmarkStart w:id="163" w:name="_Toc135533230"/>
      <w:bookmarkStart w:id="164" w:name="_Toc332292938"/>
      <w:bookmarkStart w:id="165" w:name="_Toc26191"/>
      <w:r>
        <w:rPr>
          <w:rStyle w:val="2Char1Char"/>
          <w:rFonts w:ascii="Times New Roman" w:eastAsia="宋体" w:hAnsi="Times New Roman" w:cs="Times New Roman"/>
          <w:b w:val="0"/>
          <w:sz w:val="28"/>
          <w:szCs w:val="28"/>
        </w:rPr>
        <w:t>1.4</w:t>
      </w:r>
      <w:r>
        <w:rPr>
          <w:rStyle w:val="2Char1Char"/>
          <w:rFonts w:ascii="Times New Roman" w:eastAsia="宋体" w:hAnsi="宋体" w:cs="Times New Roman"/>
          <w:b w:val="0"/>
          <w:sz w:val="28"/>
          <w:szCs w:val="28"/>
        </w:rPr>
        <w:t>评价工作等级及</w:t>
      </w:r>
      <w:bookmarkEnd w:id="158"/>
      <w:bookmarkEnd w:id="159"/>
      <w:bookmarkEnd w:id="160"/>
      <w:bookmarkEnd w:id="161"/>
      <w:bookmarkEnd w:id="162"/>
      <w:bookmarkEnd w:id="163"/>
      <w:r>
        <w:rPr>
          <w:rStyle w:val="2Char1Char"/>
          <w:rFonts w:ascii="Times New Roman" w:eastAsia="宋体" w:hAnsi="宋体" w:cs="Times New Roman"/>
          <w:b w:val="0"/>
          <w:sz w:val="28"/>
          <w:szCs w:val="28"/>
        </w:rPr>
        <w:t>评价重点</w:t>
      </w:r>
      <w:bookmarkEnd w:id="164"/>
      <w:bookmarkEnd w:id="165"/>
    </w:p>
    <w:p w:rsidR="00475650" w:rsidRDefault="00475650">
      <w:pPr>
        <w:pStyle w:val="h"/>
        <w:snapToGrid w:val="0"/>
        <w:spacing w:before="0" w:after="0" w:line="360" w:lineRule="auto"/>
        <w:ind w:firstLine="0"/>
        <w:outlineLvl w:val="1"/>
        <w:rPr>
          <w:rStyle w:val="2Char1Char"/>
          <w:rFonts w:ascii="Times New Roman" w:eastAsia="宋体" w:hAnsi="Times New Roman" w:cs="Times New Roman"/>
          <w:b w:val="0"/>
          <w:sz w:val="24"/>
          <w:szCs w:val="24"/>
        </w:rPr>
      </w:pPr>
      <w:bookmarkStart w:id="166" w:name="_Toc332292939"/>
      <w:bookmarkStart w:id="167" w:name="_Toc333229869"/>
      <w:bookmarkStart w:id="168" w:name="_Toc334014082"/>
      <w:bookmarkStart w:id="169" w:name="_Toc334080724"/>
      <w:bookmarkStart w:id="170" w:name="_Toc465676943"/>
      <w:bookmarkStart w:id="171" w:name="_Toc2066"/>
      <w:bookmarkStart w:id="172" w:name="_Toc273462036"/>
      <w:bookmarkStart w:id="173" w:name="_Toc274984433"/>
      <w:bookmarkStart w:id="174" w:name="_Toc269630444"/>
      <w:bookmarkStart w:id="175" w:name="_Toc269630362"/>
      <w:bookmarkStart w:id="176" w:name="_Toc270622557"/>
      <w:bookmarkStart w:id="177" w:name="_Toc302936686"/>
      <w:r>
        <w:rPr>
          <w:rStyle w:val="2Char1Char"/>
          <w:rFonts w:ascii="Times New Roman" w:eastAsia="宋体" w:hAnsi="Times New Roman" w:cs="Times New Roman"/>
          <w:b w:val="0"/>
          <w:sz w:val="24"/>
          <w:szCs w:val="24"/>
        </w:rPr>
        <w:t>1.4.1</w:t>
      </w:r>
      <w:r>
        <w:rPr>
          <w:rStyle w:val="2Char1Char"/>
          <w:rFonts w:ascii="Times New Roman" w:eastAsia="宋体" w:hAnsi="宋体" w:cs="Times New Roman"/>
          <w:b w:val="0"/>
          <w:sz w:val="24"/>
          <w:szCs w:val="24"/>
        </w:rPr>
        <w:t>评价工作等级</w:t>
      </w:r>
      <w:bookmarkEnd w:id="166"/>
      <w:bookmarkEnd w:id="167"/>
      <w:bookmarkEnd w:id="168"/>
      <w:bookmarkEnd w:id="169"/>
      <w:bookmarkEnd w:id="170"/>
      <w:bookmarkEnd w:id="171"/>
    </w:p>
    <w:p w:rsidR="00475650" w:rsidRDefault="00475650">
      <w:pPr>
        <w:pStyle w:val="h"/>
        <w:snapToGrid w:val="0"/>
        <w:spacing w:before="0" w:after="0" w:line="360" w:lineRule="auto"/>
        <w:ind w:firstLine="0"/>
        <w:outlineLvl w:val="1"/>
        <w:rPr>
          <w:rStyle w:val="2Char1Char"/>
          <w:rFonts w:ascii="Times New Roman" w:eastAsia="宋体" w:hAnsi="Times New Roman" w:cs="Times New Roman"/>
          <w:b w:val="0"/>
          <w:sz w:val="24"/>
          <w:szCs w:val="24"/>
        </w:rPr>
      </w:pPr>
      <w:bookmarkStart w:id="178" w:name="_Toc332292940"/>
      <w:bookmarkStart w:id="179" w:name="_Toc333229870"/>
      <w:bookmarkStart w:id="180" w:name="_Toc334080725"/>
      <w:bookmarkStart w:id="181" w:name="_Toc334014083"/>
      <w:bookmarkStart w:id="182" w:name="_Toc448999049"/>
      <w:bookmarkStart w:id="183" w:name="_Toc465676944"/>
      <w:bookmarkStart w:id="184" w:name="_Toc7839"/>
      <w:r>
        <w:rPr>
          <w:rStyle w:val="2Char1Char"/>
          <w:rFonts w:ascii="Times New Roman" w:eastAsia="宋体" w:hAnsi="Times New Roman" w:cs="Times New Roman"/>
          <w:b w:val="0"/>
          <w:sz w:val="24"/>
          <w:szCs w:val="24"/>
        </w:rPr>
        <w:t>1.4.1.1</w:t>
      </w:r>
      <w:r>
        <w:rPr>
          <w:rStyle w:val="2Char1Char"/>
          <w:rFonts w:ascii="Times New Roman" w:eastAsia="宋体" w:hAnsi="宋体" w:cs="Times New Roman"/>
          <w:b w:val="0"/>
          <w:sz w:val="24"/>
          <w:szCs w:val="24"/>
        </w:rPr>
        <w:t>环境空气</w:t>
      </w:r>
      <w:bookmarkEnd w:id="172"/>
      <w:bookmarkEnd w:id="173"/>
      <w:bookmarkEnd w:id="174"/>
      <w:bookmarkEnd w:id="175"/>
      <w:bookmarkEnd w:id="176"/>
      <w:bookmarkEnd w:id="177"/>
      <w:bookmarkEnd w:id="178"/>
      <w:bookmarkEnd w:id="179"/>
      <w:bookmarkEnd w:id="180"/>
      <w:bookmarkEnd w:id="181"/>
      <w:bookmarkEnd w:id="182"/>
      <w:bookmarkEnd w:id="183"/>
      <w:bookmarkEnd w:id="184"/>
    </w:p>
    <w:p w:rsidR="00475650" w:rsidRDefault="00475650">
      <w:pPr>
        <w:snapToGrid w:val="0"/>
        <w:spacing w:line="360" w:lineRule="auto"/>
        <w:ind w:firstLineChars="200" w:firstLine="480"/>
        <w:rPr>
          <w:sz w:val="24"/>
        </w:rPr>
      </w:pPr>
      <w:r>
        <w:rPr>
          <w:rFonts w:hAnsi="宋体"/>
          <w:sz w:val="24"/>
        </w:rPr>
        <w:t>（</w:t>
      </w:r>
      <w:r>
        <w:rPr>
          <w:sz w:val="24"/>
        </w:rPr>
        <w:t>1</w:t>
      </w:r>
      <w:r>
        <w:rPr>
          <w:rFonts w:hAnsi="宋体"/>
          <w:sz w:val="24"/>
        </w:rPr>
        <w:t>）评价等级</w:t>
      </w:r>
    </w:p>
    <w:p w:rsidR="00475650" w:rsidRDefault="00475650">
      <w:pPr>
        <w:snapToGrid w:val="0"/>
        <w:spacing w:line="360" w:lineRule="auto"/>
        <w:ind w:firstLineChars="200" w:firstLine="480"/>
        <w:rPr>
          <w:sz w:val="24"/>
        </w:rPr>
      </w:pPr>
      <w:r>
        <w:rPr>
          <w:rFonts w:hAnsi="宋体"/>
          <w:sz w:val="24"/>
        </w:rPr>
        <w:t>本工程点源排放的主要环境空气污染物为粉尘。根据《环境影响评价技术导则</w:t>
      </w:r>
      <w:r>
        <w:rPr>
          <w:sz w:val="24"/>
        </w:rPr>
        <w:t>—</w:t>
      </w:r>
      <w:r>
        <w:rPr>
          <w:rFonts w:hAnsi="宋体"/>
          <w:sz w:val="24"/>
        </w:rPr>
        <w:t>大气环境》（</w:t>
      </w:r>
      <w:r>
        <w:rPr>
          <w:sz w:val="24"/>
        </w:rPr>
        <w:t>HJ2.2-2008</w:t>
      </w:r>
      <w:r>
        <w:rPr>
          <w:rFonts w:hAnsi="宋体"/>
          <w:sz w:val="24"/>
        </w:rPr>
        <w:t>）的规定，采用导则推荐的</w:t>
      </w:r>
      <w:r>
        <w:rPr>
          <w:sz w:val="24"/>
        </w:rPr>
        <w:t>SCREEN3</w:t>
      </w:r>
      <w:r>
        <w:rPr>
          <w:rFonts w:hAnsi="宋体"/>
          <w:sz w:val="24"/>
        </w:rPr>
        <w:t>模型分别计算它们的最大地面浓度占标率</w:t>
      </w:r>
      <w:r>
        <w:rPr>
          <w:sz w:val="24"/>
        </w:rPr>
        <w:t>Pi</w:t>
      </w:r>
      <w:r>
        <w:rPr>
          <w:rFonts w:hAnsi="宋体"/>
          <w:sz w:val="24"/>
        </w:rPr>
        <w:t>及不同距离分布，其中</w:t>
      </w:r>
      <w:r>
        <w:rPr>
          <w:sz w:val="24"/>
        </w:rPr>
        <w:t>Pi</w:t>
      </w:r>
      <w:r>
        <w:rPr>
          <w:rFonts w:hAnsi="宋体"/>
          <w:sz w:val="24"/>
        </w:rPr>
        <w:t>定义为：</w:t>
      </w:r>
    </w:p>
    <w:p w:rsidR="00475650" w:rsidRDefault="007C19B0">
      <w:pPr>
        <w:spacing w:line="360" w:lineRule="auto"/>
        <w:ind w:firstLineChars="200" w:firstLine="480"/>
        <w:rPr>
          <w:sz w:val="24"/>
        </w:rPr>
      </w:pPr>
      <w:r>
        <w:rPr>
          <w:noProof/>
          <w:sz w:val="24"/>
        </w:rPr>
        <w:drawing>
          <wp:anchor distT="0" distB="0" distL="114300" distR="114300" simplePos="0" relativeHeight="251644928" behindDoc="0" locked="0" layoutInCell="1" allowOverlap="1">
            <wp:simplePos x="0" y="0"/>
            <wp:positionH relativeFrom="column">
              <wp:posOffset>303530</wp:posOffset>
            </wp:positionH>
            <wp:positionV relativeFrom="paragraph">
              <wp:posOffset>43180</wp:posOffset>
            </wp:positionV>
            <wp:extent cx="1026795" cy="448310"/>
            <wp:effectExtent l="0" t="0" r="1905" b="0"/>
            <wp:wrapSquare wrapText="left"/>
            <wp:docPr id="20213" name="图片 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 name="图片 8170"/>
                    <pic:cNvPicPr>
                      <a:picLocks noChangeAspect="1" noChangeArrowheads="1"/>
                    </pic:cNvPicPr>
                  </pic:nvPicPr>
                  <pic:blipFill>
                    <a:blip r:embed="rId9" cstate="print"/>
                    <a:srcRect/>
                    <a:stretch>
                      <a:fillRect/>
                    </a:stretch>
                  </pic:blipFill>
                  <pic:spPr>
                    <a:xfrm>
                      <a:off x="0" y="0"/>
                      <a:ext cx="1026795" cy="448310"/>
                    </a:xfrm>
                    <a:prstGeom prst="rect">
                      <a:avLst/>
                    </a:prstGeom>
                    <a:noFill/>
                    <a:ln w="9525">
                      <a:noFill/>
                      <a:miter lim="800000"/>
                      <a:headEnd/>
                      <a:tailEnd/>
                    </a:ln>
                  </pic:spPr>
                </pic:pic>
              </a:graphicData>
            </a:graphic>
          </wp:anchor>
        </w:drawing>
      </w:r>
    </w:p>
    <w:p w:rsidR="00475650" w:rsidRDefault="00475650">
      <w:pPr>
        <w:tabs>
          <w:tab w:val="left" w:pos="1080"/>
        </w:tabs>
        <w:spacing w:line="360" w:lineRule="auto"/>
        <w:rPr>
          <w:sz w:val="24"/>
        </w:rPr>
      </w:pPr>
    </w:p>
    <w:p w:rsidR="00475650" w:rsidRDefault="00475650">
      <w:pPr>
        <w:spacing w:line="360" w:lineRule="auto"/>
        <w:ind w:firstLineChars="200" w:firstLine="480"/>
        <w:rPr>
          <w:sz w:val="24"/>
        </w:rPr>
      </w:pPr>
      <w:r>
        <w:rPr>
          <w:rFonts w:hAnsi="宋体"/>
          <w:sz w:val="24"/>
        </w:rPr>
        <w:t>式中：</w:t>
      </w:r>
      <w:r>
        <w:rPr>
          <w:sz w:val="24"/>
        </w:rPr>
        <w:t>Pi—</w:t>
      </w:r>
      <w:r>
        <w:rPr>
          <w:rFonts w:hAnsi="宋体"/>
          <w:sz w:val="24"/>
        </w:rPr>
        <w:t>第</w:t>
      </w:r>
      <w:r>
        <w:rPr>
          <w:sz w:val="24"/>
        </w:rPr>
        <w:t>i</w:t>
      </w:r>
      <w:r>
        <w:rPr>
          <w:rFonts w:hAnsi="宋体"/>
          <w:sz w:val="24"/>
        </w:rPr>
        <w:t>个污染物的最大地面浓度占标率，</w:t>
      </w:r>
      <w:r>
        <w:rPr>
          <w:sz w:val="24"/>
        </w:rPr>
        <w:t>%</w:t>
      </w:r>
      <w:r>
        <w:rPr>
          <w:rFonts w:hAnsi="宋体"/>
          <w:sz w:val="24"/>
        </w:rPr>
        <w:t>；</w:t>
      </w:r>
    </w:p>
    <w:p w:rsidR="00475650" w:rsidRDefault="00475650">
      <w:pPr>
        <w:spacing w:line="360" w:lineRule="auto"/>
        <w:ind w:firstLineChars="200" w:firstLine="480"/>
        <w:rPr>
          <w:sz w:val="24"/>
        </w:rPr>
      </w:pPr>
      <w:r>
        <w:rPr>
          <w:sz w:val="24"/>
        </w:rPr>
        <w:lastRenderedPageBreak/>
        <w:t>Ci—</w:t>
      </w:r>
      <w:r>
        <w:rPr>
          <w:rFonts w:hAnsi="宋体"/>
          <w:sz w:val="24"/>
        </w:rPr>
        <w:t>采用估算模式计算出的第</w:t>
      </w:r>
      <w:r>
        <w:rPr>
          <w:sz w:val="24"/>
        </w:rPr>
        <w:t>i</w:t>
      </w:r>
      <w:r>
        <w:rPr>
          <w:rFonts w:hAnsi="宋体"/>
          <w:sz w:val="24"/>
        </w:rPr>
        <w:t>个污染物的最大地面浓度，</w:t>
      </w:r>
      <w:r>
        <w:rPr>
          <w:sz w:val="24"/>
        </w:rPr>
        <w:t>mg/Nm</w:t>
      </w:r>
      <w:r>
        <w:rPr>
          <w:sz w:val="24"/>
          <w:vertAlign w:val="superscript"/>
        </w:rPr>
        <w:t>3</w:t>
      </w:r>
      <w:r>
        <w:rPr>
          <w:rFonts w:hAnsi="宋体"/>
          <w:sz w:val="24"/>
        </w:rPr>
        <w:t>；</w:t>
      </w:r>
    </w:p>
    <w:p w:rsidR="00475650" w:rsidRDefault="00475650">
      <w:pPr>
        <w:spacing w:line="360" w:lineRule="auto"/>
        <w:ind w:firstLineChars="200" w:firstLine="480"/>
        <w:rPr>
          <w:sz w:val="24"/>
        </w:rPr>
      </w:pPr>
      <w:r>
        <w:rPr>
          <w:sz w:val="24"/>
        </w:rPr>
        <w:t>C</w:t>
      </w:r>
      <w:r>
        <w:rPr>
          <w:sz w:val="24"/>
          <w:vertAlign w:val="subscript"/>
        </w:rPr>
        <w:t>0i</w:t>
      </w:r>
      <w:r>
        <w:rPr>
          <w:sz w:val="24"/>
        </w:rPr>
        <w:t>—</w:t>
      </w:r>
      <w:r>
        <w:rPr>
          <w:rFonts w:hAnsi="宋体"/>
          <w:sz w:val="24"/>
        </w:rPr>
        <w:t>污染物评价标准，</w:t>
      </w:r>
      <w:r>
        <w:rPr>
          <w:sz w:val="24"/>
        </w:rPr>
        <w:t>mg/Nm</w:t>
      </w:r>
      <w:r>
        <w:rPr>
          <w:sz w:val="24"/>
          <w:vertAlign w:val="superscript"/>
        </w:rPr>
        <w:t>3</w:t>
      </w:r>
      <w:r>
        <w:rPr>
          <w:rFonts w:hAnsi="宋体"/>
          <w:sz w:val="24"/>
        </w:rPr>
        <w:t>。</w:t>
      </w:r>
    </w:p>
    <w:p w:rsidR="00475650" w:rsidRDefault="00475650">
      <w:pPr>
        <w:spacing w:line="360" w:lineRule="auto"/>
        <w:ind w:firstLineChars="200" w:firstLine="480"/>
        <w:rPr>
          <w:rFonts w:hAnsi="宋体"/>
          <w:sz w:val="24"/>
        </w:rPr>
      </w:pPr>
      <w:r>
        <w:rPr>
          <w:rFonts w:hAnsi="宋体"/>
          <w:sz w:val="24"/>
        </w:rPr>
        <w:t>污染物排放量及计算参数见表</w:t>
      </w:r>
      <w:r>
        <w:rPr>
          <w:sz w:val="24"/>
        </w:rPr>
        <w:t>1.4-1</w:t>
      </w:r>
      <w:r>
        <w:rPr>
          <w:rFonts w:hAnsi="宋体"/>
          <w:sz w:val="24"/>
        </w:rPr>
        <w:t>，评价等级判别见表</w:t>
      </w:r>
      <w:r>
        <w:rPr>
          <w:sz w:val="24"/>
        </w:rPr>
        <w:t>1.4-2</w:t>
      </w:r>
      <w:r>
        <w:rPr>
          <w:rFonts w:hAnsi="宋体"/>
          <w:sz w:val="24"/>
        </w:rPr>
        <w:t>，污染物最大落地浓度占标率见表</w:t>
      </w:r>
      <w:r>
        <w:rPr>
          <w:sz w:val="24"/>
        </w:rPr>
        <w:t>1.4-3</w:t>
      </w:r>
      <w:r>
        <w:rPr>
          <w:rFonts w:hAnsi="宋体"/>
          <w:sz w:val="24"/>
        </w:rPr>
        <w:t>。从表上可知，各污染物质最大占标率</w:t>
      </w:r>
      <w:r>
        <w:rPr>
          <w:sz w:val="24"/>
        </w:rPr>
        <w:t>Pmax</w:t>
      </w:r>
      <w:r>
        <w:rPr>
          <w:rFonts w:hAnsi="宋体"/>
          <w:sz w:val="24"/>
        </w:rPr>
        <w:t>小于</w:t>
      </w:r>
      <w:r>
        <w:rPr>
          <w:sz w:val="24"/>
        </w:rPr>
        <w:t>10%</w:t>
      </w:r>
      <w:r>
        <w:rPr>
          <w:rFonts w:hAnsi="宋体"/>
          <w:sz w:val="24"/>
        </w:rPr>
        <w:t>，按《环境影响评价技术导则　大气环境》（</w:t>
      </w:r>
      <w:r>
        <w:rPr>
          <w:sz w:val="24"/>
        </w:rPr>
        <w:t>HJ2.2-2008</w:t>
      </w:r>
      <w:r>
        <w:rPr>
          <w:rFonts w:hAnsi="宋体"/>
          <w:sz w:val="24"/>
        </w:rPr>
        <w:t>），本工程空气环境评价工作等级定为三级。</w:t>
      </w:r>
    </w:p>
    <w:p w:rsidR="00475650" w:rsidRDefault="00475650">
      <w:pPr>
        <w:spacing w:line="360" w:lineRule="auto"/>
        <w:jc w:val="center"/>
        <w:rPr>
          <w:rFonts w:hAnsi="宋体"/>
          <w:sz w:val="24"/>
        </w:rPr>
      </w:pPr>
      <w:r>
        <w:rPr>
          <w:rFonts w:hAnsi="宋体"/>
          <w:sz w:val="24"/>
        </w:rPr>
        <w:t>表</w:t>
      </w:r>
      <w:r>
        <w:rPr>
          <w:sz w:val="24"/>
        </w:rPr>
        <w:t xml:space="preserve">1.4-1    </w:t>
      </w:r>
      <w:r>
        <w:rPr>
          <w:rFonts w:hAnsi="宋体"/>
          <w:sz w:val="24"/>
        </w:rPr>
        <w:t>估算模式所需参数表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635"/>
        <w:gridCol w:w="1710"/>
        <w:gridCol w:w="1165"/>
        <w:gridCol w:w="850"/>
        <w:gridCol w:w="1134"/>
        <w:gridCol w:w="1214"/>
        <w:gridCol w:w="707"/>
        <w:gridCol w:w="705"/>
        <w:gridCol w:w="826"/>
      </w:tblGrid>
      <w:tr w:rsidR="00475650">
        <w:trPr>
          <w:trHeight w:val="255"/>
          <w:jc w:val="center"/>
        </w:trPr>
        <w:tc>
          <w:tcPr>
            <w:tcW w:w="635" w:type="dxa"/>
            <w:vMerge w:val="restart"/>
            <w:tcBorders>
              <w:right w:val="single" w:sz="4" w:space="0" w:color="auto"/>
            </w:tcBorders>
            <w:vAlign w:val="center"/>
          </w:tcPr>
          <w:p w:rsidR="00475650" w:rsidRDefault="00475650">
            <w:pPr>
              <w:snapToGrid w:val="0"/>
              <w:spacing w:line="240" w:lineRule="exact"/>
              <w:jc w:val="center"/>
              <w:rPr>
                <w:szCs w:val="21"/>
              </w:rPr>
            </w:pPr>
            <w:r>
              <w:rPr>
                <w:rFonts w:hAnsi="宋体"/>
                <w:szCs w:val="21"/>
              </w:rPr>
              <w:t>废气</w:t>
            </w:r>
            <w:r>
              <w:rPr>
                <w:rFonts w:hAnsi="宋体" w:hint="eastAsia"/>
                <w:szCs w:val="21"/>
              </w:rPr>
              <w:t>类型</w:t>
            </w:r>
          </w:p>
        </w:tc>
        <w:tc>
          <w:tcPr>
            <w:tcW w:w="1710" w:type="dxa"/>
            <w:vMerge w:val="restart"/>
            <w:tcBorders>
              <w:left w:val="single" w:sz="4" w:space="0" w:color="auto"/>
              <w:right w:val="single" w:sz="4" w:space="0" w:color="auto"/>
            </w:tcBorders>
            <w:vAlign w:val="center"/>
          </w:tcPr>
          <w:p w:rsidR="00475650" w:rsidRDefault="00475650">
            <w:pPr>
              <w:jc w:val="center"/>
              <w:rPr>
                <w:szCs w:val="21"/>
              </w:rPr>
            </w:pPr>
            <w:r>
              <w:rPr>
                <w:rFonts w:hAnsi="宋体"/>
                <w:szCs w:val="21"/>
              </w:rPr>
              <w:t>废气来源</w:t>
            </w:r>
          </w:p>
        </w:tc>
        <w:tc>
          <w:tcPr>
            <w:tcW w:w="1165" w:type="dxa"/>
            <w:vMerge w:val="restart"/>
            <w:tcBorders>
              <w:right w:val="single" w:sz="4" w:space="0" w:color="auto"/>
            </w:tcBorders>
            <w:vAlign w:val="center"/>
          </w:tcPr>
          <w:p w:rsidR="00475650" w:rsidRDefault="00475650">
            <w:pPr>
              <w:snapToGrid w:val="0"/>
              <w:spacing w:line="240" w:lineRule="exact"/>
              <w:jc w:val="center"/>
              <w:rPr>
                <w:szCs w:val="21"/>
              </w:rPr>
            </w:pPr>
            <w:r>
              <w:rPr>
                <w:rFonts w:hAnsi="宋体"/>
                <w:szCs w:val="21"/>
              </w:rPr>
              <w:t>气量</w:t>
            </w:r>
            <w:r>
              <w:rPr>
                <w:szCs w:val="21"/>
              </w:rPr>
              <w:t>m</w:t>
            </w:r>
            <w:r>
              <w:rPr>
                <w:szCs w:val="21"/>
                <w:vertAlign w:val="superscript"/>
              </w:rPr>
              <w:t>3</w:t>
            </w:r>
            <w:r>
              <w:rPr>
                <w:szCs w:val="21"/>
              </w:rPr>
              <w:t>/h</w:t>
            </w:r>
          </w:p>
        </w:tc>
        <w:tc>
          <w:tcPr>
            <w:tcW w:w="850" w:type="dxa"/>
            <w:vMerge w:val="restart"/>
            <w:tcBorders>
              <w:left w:val="single" w:sz="4" w:space="0" w:color="auto"/>
              <w:right w:val="single" w:sz="4" w:space="0" w:color="auto"/>
            </w:tcBorders>
            <w:vAlign w:val="center"/>
          </w:tcPr>
          <w:p w:rsidR="00475650" w:rsidRDefault="00475650">
            <w:pPr>
              <w:snapToGrid w:val="0"/>
              <w:spacing w:line="240" w:lineRule="exact"/>
              <w:jc w:val="center"/>
              <w:rPr>
                <w:szCs w:val="21"/>
              </w:rPr>
            </w:pPr>
            <w:r>
              <w:rPr>
                <w:rFonts w:hAnsi="宋体"/>
                <w:szCs w:val="21"/>
              </w:rPr>
              <w:t>主要污染物</w:t>
            </w:r>
          </w:p>
        </w:tc>
        <w:tc>
          <w:tcPr>
            <w:tcW w:w="1134" w:type="dxa"/>
            <w:vMerge w:val="restart"/>
            <w:tcBorders>
              <w:left w:val="single" w:sz="4" w:space="0" w:color="auto"/>
              <w:right w:val="single" w:sz="4" w:space="0" w:color="auto"/>
            </w:tcBorders>
            <w:vAlign w:val="center"/>
          </w:tcPr>
          <w:p w:rsidR="00475650" w:rsidRDefault="00475650">
            <w:pPr>
              <w:snapToGrid w:val="0"/>
              <w:spacing w:line="240" w:lineRule="exact"/>
              <w:jc w:val="center"/>
              <w:rPr>
                <w:szCs w:val="21"/>
              </w:rPr>
            </w:pPr>
            <w:r>
              <w:rPr>
                <w:rFonts w:hAnsi="宋体"/>
                <w:szCs w:val="21"/>
              </w:rPr>
              <w:t>排放浓度</w:t>
            </w:r>
            <w:r>
              <w:rPr>
                <w:szCs w:val="21"/>
              </w:rPr>
              <w:t>mg/m</w:t>
            </w:r>
            <w:r>
              <w:rPr>
                <w:szCs w:val="21"/>
                <w:vertAlign w:val="superscript"/>
              </w:rPr>
              <w:t>3</w:t>
            </w:r>
          </w:p>
        </w:tc>
        <w:tc>
          <w:tcPr>
            <w:tcW w:w="1214" w:type="dxa"/>
            <w:vMerge w:val="restart"/>
            <w:tcBorders>
              <w:right w:val="single" w:sz="4" w:space="0" w:color="auto"/>
            </w:tcBorders>
            <w:vAlign w:val="center"/>
          </w:tcPr>
          <w:p w:rsidR="00475650" w:rsidRDefault="00475650">
            <w:pPr>
              <w:snapToGrid w:val="0"/>
              <w:spacing w:line="240" w:lineRule="exact"/>
              <w:ind w:firstLineChars="50" w:firstLine="105"/>
              <w:jc w:val="center"/>
              <w:rPr>
                <w:szCs w:val="21"/>
              </w:rPr>
            </w:pPr>
            <w:r>
              <w:rPr>
                <w:rFonts w:hAnsi="宋体"/>
                <w:szCs w:val="21"/>
              </w:rPr>
              <w:t>排放速度</w:t>
            </w:r>
            <w:r>
              <w:rPr>
                <w:szCs w:val="21"/>
              </w:rPr>
              <w:t>g/h</w:t>
            </w:r>
          </w:p>
        </w:tc>
        <w:tc>
          <w:tcPr>
            <w:tcW w:w="2238" w:type="dxa"/>
            <w:gridSpan w:val="3"/>
            <w:tcBorders>
              <w:left w:val="single" w:sz="4" w:space="0" w:color="auto"/>
              <w:bottom w:val="single" w:sz="4" w:space="0" w:color="auto"/>
              <w:right w:val="single" w:sz="4" w:space="0" w:color="auto"/>
            </w:tcBorders>
            <w:vAlign w:val="center"/>
          </w:tcPr>
          <w:p w:rsidR="00475650" w:rsidRDefault="00475650">
            <w:pPr>
              <w:jc w:val="center"/>
              <w:rPr>
                <w:szCs w:val="21"/>
              </w:rPr>
            </w:pPr>
            <w:r>
              <w:rPr>
                <w:rFonts w:hAnsi="宋体"/>
                <w:szCs w:val="21"/>
              </w:rPr>
              <w:t>排气筒参数</w:t>
            </w:r>
          </w:p>
        </w:tc>
      </w:tr>
      <w:tr w:rsidR="00475650">
        <w:trPr>
          <w:trHeight w:val="210"/>
          <w:jc w:val="center"/>
        </w:trPr>
        <w:tc>
          <w:tcPr>
            <w:tcW w:w="635" w:type="dxa"/>
            <w:vMerge/>
            <w:tcBorders>
              <w:right w:val="single" w:sz="4" w:space="0" w:color="auto"/>
            </w:tcBorders>
            <w:vAlign w:val="center"/>
          </w:tcPr>
          <w:p w:rsidR="00475650" w:rsidRDefault="00475650">
            <w:pPr>
              <w:jc w:val="center"/>
              <w:rPr>
                <w:szCs w:val="21"/>
              </w:rPr>
            </w:pPr>
          </w:p>
        </w:tc>
        <w:tc>
          <w:tcPr>
            <w:tcW w:w="1710" w:type="dxa"/>
            <w:vMerge/>
            <w:tcBorders>
              <w:left w:val="single" w:sz="4" w:space="0" w:color="auto"/>
              <w:right w:val="single" w:sz="4" w:space="0" w:color="auto"/>
            </w:tcBorders>
            <w:vAlign w:val="center"/>
          </w:tcPr>
          <w:p w:rsidR="00475650" w:rsidRDefault="00475650">
            <w:pPr>
              <w:jc w:val="center"/>
              <w:rPr>
                <w:szCs w:val="21"/>
              </w:rPr>
            </w:pPr>
          </w:p>
        </w:tc>
        <w:tc>
          <w:tcPr>
            <w:tcW w:w="1165" w:type="dxa"/>
            <w:vMerge/>
            <w:tcBorders>
              <w:right w:val="single" w:sz="4" w:space="0" w:color="auto"/>
            </w:tcBorders>
            <w:vAlign w:val="center"/>
          </w:tcPr>
          <w:p w:rsidR="00475650" w:rsidRDefault="00475650">
            <w:pPr>
              <w:jc w:val="center"/>
              <w:rPr>
                <w:szCs w:val="21"/>
              </w:rPr>
            </w:pPr>
          </w:p>
        </w:tc>
        <w:tc>
          <w:tcPr>
            <w:tcW w:w="850" w:type="dxa"/>
            <w:vMerge/>
            <w:tcBorders>
              <w:left w:val="single" w:sz="4" w:space="0" w:color="auto"/>
              <w:right w:val="single" w:sz="4" w:space="0" w:color="auto"/>
            </w:tcBorders>
            <w:vAlign w:val="center"/>
          </w:tcPr>
          <w:p w:rsidR="00475650" w:rsidRDefault="00475650">
            <w:pPr>
              <w:jc w:val="center"/>
              <w:rPr>
                <w:szCs w:val="21"/>
              </w:rPr>
            </w:pPr>
          </w:p>
        </w:tc>
        <w:tc>
          <w:tcPr>
            <w:tcW w:w="1134" w:type="dxa"/>
            <w:vMerge/>
            <w:tcBorders>
              <w:left w:val="single" w:sz="4" w:space="0" w:color="auto"/>
              <w:right w:val="single" w:sz="4" w:space="0" w:color="auto"/>
            </w:tcBorders>
            <w:vAlign w:val="center"/>
          </w:tcPr>
          <w:p w:rsidR="00475650" w:rsidRDefault="00475650">
            <w:pPr>
              <w:jc w:val="center"/>
              <w:rPr>
                <w:szCs w:val="21"/>
              </w:rPr>
            </w:pPr>
          </w:p>
        </w:tc>
        <w:tc>
          <w:tcPr>
            <w:tcW w:w="1214" w:type="dxa"/>
            <w:vMerge/>
            <w:tcBorders>
              <w:right w:val="single" w:sz="4" w:space="0" w:color="auto"/>
            </w:tcBorders>
            <w:vAlign w:val="center"/>
          </w:tcPr>
          <w:p w:rsidR="00475650" w:rsidRDefault="00475650">
            <w:pPr>
              <w:jc w:val="center"/>
              <w:rPr>
                <w:szCs w:val="21"/>
              </w:rPr>
            </w:pPr>
          </w:p>
        </w:tc>
        <w:tc>
          <w:tcPr>
            <w:tcW w:w="707" w:type="dxa"/>
            <w:tcBorders>
              <w:top w:val="single" w:sz="4" w:space="0" w:color="auto"/>
              <w:left w:val="single" w:sz="4" w:space="0" w:color="auto"/>
              <w:right w:val="single" w:sz="4" w:space="0" w:color="auto"/>
            </w:tcBorders>
            <w:vAlign w:val="center"/>
          </w:tcPr>
          <w:p w:rsidR="00475650" w:rsidRDefault="00475650">
            <w:pPr>
              <w:jc w:val="center"/>
              <w:rPr>
                <w:szCs w:val="21"/>
              </w:rPr>
            </w:pPr>
            <w:r>
              <w:rPr>
                <w:rFonts w:hAnsi="宋体"/>
                <w:szCs w:val="21"/>
              </w:rPr>
              <w:t>高</w:t>
            </w:r>
            <w:r>
              <w:rPr>
                <w:szCs w:val="21"/>
              </w:rPr>
              <w:t>m</w:t>
            </w:r>
          </w:p>
        </w:tc>
        <w:tc>
          <w:tcPr>
            <w:tcW w:w="705" w:type="dxa"/>
            <w:tcBorders>
              <w:top w:val="single" w:sz="4" w:space="0" w:color="auto"/>
              <w:left w:val="single" w:sz="4" w:space="0" w:color="auto"/>
              <w:right w:val="single" w:sz="4" w:space="0" w:color="auto"/>
            </w:tcBorders>
            <w:vAlign w:val="center"/>
          </w:tcPr>
          <w:p w:rsidR="00475650" w:rsidRDefault="00475650">
            <w:pPr>
              <w:jc w:val="center"/>
              <w:rPr>
                <w:szCs w:val="21"/>
              </w:rPr>
            </w:pPr>
            <w:r>
              <w:rPr>
                <w:rFonts w:hAnsi="宋体"/>
                <w:szCs w:val="21"/>
              </w:rPr>
              <w:t>口径</w:t>
            </w:r>
            <w:r>
              <w:rPr>
                <w:szCs w:val="21"/>
              </w:rPr>
              <w:t>m</w:t>
            </w:r>
          </w:p>
        </w:tc>
        <w:tc>
          <w:tcPr>
            <w:tcW w:w="826" w:type="dxa"/>
            <w:tcBorders>
              <w:top w:val="single" w:sz="4" w:space="0" w:color="auto"/>
              <w:left w:val="single" w:sz="4" w:space="0" w:color="auto"/>
              <w:right w:val="single" w:sz="4" w:space="0" w:color="auto"/>
            </w:tcBorders>
            <w:vAlign w:val="center"/>
          </w:tcPr>
          <w:p w:rsidR="00475650" w:rsidRDefault="00475650">
            <w:pPr>
              <w:jc w:val="center"/>
              <w:rPr>
                <w:szCs w:val="21"/>
              </w:rPr>
            </w:pPr>
            <w:r>
              <w:rPr>
                <w:rFonts w:hAnsi="宋体"/>
                <w:szCs w:val="21"/>
              </w:rPr>
              <w:t>温度℃</w:t>
            </w:r>
          </w:p>
        </w:tc>
      </w:tr>
      <w:tr w:rsidR="00475650">
        <w:trPr>
          <w:trHeight w:val="340"/>
          <w:jc w:val="center"/>
        </w:trPr>
        <w:tc>
          <w:tcPr>
            <w:tcW w:w="635" w:type="dxa"/>
            <w:vMerge w:val="restart"/>
            <w:tcBorders>
              <w:right w:val="single" w:sz="4" w:space="0" w:color="auto"/>
            </w:tcBorders>
            <w:vAlign w:val="center"/>
          </w:tcPr>
          <w:p w:rsidR="00475650" w:rsidRDefault="00475650">
            <w:pPr>
              <w:jc w:val="center"/>
              <w:rPr>
                <w:szCs w:val="21"/>
              </w:rPr>
            </w:pPr>
            <w:r>
              <w:rPr>
                <w:rFonts w:hint="eastAsia"/>
                <w:szCs w:val="21"/>
              </w:rPr>
              <w:t>有组织废气</w:t>
            </w:r>
          </w:p>
        </w:tc>
        <w:tc>
          <w:tcPr>
            <w:tcW w:w="1710" w:type="dxa"/>
            <w:tcBorders>
              <w:left w:val="single" w:sz="4" w:space="0" w:color="auto"/>
              <w:right w:val="single" w:sz="4" w:space="0" w:color="auto"/>
            </w:tcBorders>
            <w:vAlign w:val="center"/>
          </w:tcPr>
          <w:p w:rsidR="00475650" w:rsidRDefault="00475650">
            <w:pPr>
              <w:ind w:firstLineChars="150" w:firstLine="315"/>
              <w:rPr>
                <w:szCs w:val="21"/>
              </w:rPr>
            </w:pPr>
            <w:r>
              <w:rPr>
                <w:rFonts w:hAnsi="宋体" w:hint="eastAsia"/>
                <w:szCs w:val="21"/>
              </w:rPr>
              <w:t>反应釜废气</w:t>
            </w:r>
          </w:p>
        </w:tc>
        <w:tc>
          <w:tcPr>
            <w:tcW w:w="1165" w:type="dxa"/>
            <w:vMerge w:val="restart"/>
            <w:tcBorders>
              <w:right w:val="single" w:sz="4" w:space="0" w:color="auto"/>
            </w:tcBorders>
            <w:vAlign w:val="center"/>
          </w:tcPr>
          <w:p w:rsidR="00475650" w:rsidRDefault="00475650">
            <w:pPr>
              <w:jc w:val="center"/>
              <w:rPr>
                <w:szCs w:val="21"/>
              </w:rPr>
            </w:pPr>
            <w:r>
              <w:rPr>
                <w:rFonts w:hint="eastAsia"/>
                <w:szCs w:val="21"/>
              </w:rPr>
              <w:t>15000</w:t>
            </w:r>
          </w:p>
          <w:p w:rsidR="00475650" w:rsidRDefault="00475650">
            <w:pPr>
              <w:jc w:val="center"/>
              <w:rPr>
                <w:szCs w:val="21"/>
              </w:rPr>
            </w:pPr>
            <w:r>
              <w:rPr>
                <w:rFonts w:hint="eastAsia"/>
                <w:szCs w:val="21"/>
              </w:rPr>
              <w:t>(4.1667)</w:t>
            </w:r>
          </w:p>
        </w:tc>
        <w:tc>
          <w:tcPr>
            <w:tcW w:w="850" w:type="dxa"/>
            <w:vMerge w:val="restart"/>
            <w:tcBorders>
              <w:left w:val="single" w:sz="4" w:space="0" w:color="auto"/>
              <w:right w:val="single" w:sz="4" w:space="0" w:color="auto"/>
            </w:tcBorders>
            <w:vAlign w:val="center"/>
          </w:tcPr>
          <w:p w:rsidR="00475650" w:rsidRDefault="00475650">
            <w:pPr>
              <w:jc w:val="center"/>
              <w:rPr>
                <w:szCs w:val="21"/>
              </w:rPr>
            </w:pPr>
            <w:r>
              <w:rPr>
                <w:rFonts w:hint="eastAsia"/>
                <w:szCs w:val="21"/>
              </w:rPr>
              <w:t>氯化氢</w:t>
            </w:r>
          </w:p>
        </w:tc>
        <w:tc>
          <w:tcPr>
            <w:tcW w:w="1134" w:type="dxa"/>
            <w:vMerge w:val="restart"/>
            <w:tcBorders>
              <w:left w:val="single" w:sz="4" w:space="0" w:color="auto"/>
              <w:right w:val="single" w:sz="4" w:space="0" w:color="auto"/>
            </w:tcBorders>
            <w:vAlign w:val="center"/>
          </w:tcPr>
          <w:p w:rsidR="00475650" w:rsidRDefault="00475650">
            <w:pPr>
              <w:jc w:val="center"/>
              <w:rPr>
                <w:szCs w:val="21"/>
              </w:rPr>
            </w:pPr>
            <w:r>
              <w:rPr>
                <w:rFonts w:hint="eastAsia"/>
                <w:szCs w:val="21"/>
              </w:rPr>
              <w:t>6.733</w:t>
            </w:r>
          </w:p>
        </w:tc>
        <w:tc>
          <w:tcPr>
            <w:tcW w:w="1214" w:type="dxa"/>
            <w:vMerge w:val="restart"/>
            <w:tcBorders>
              <w:right w:val="single" w:sz="4" w:space="0" w:color="auto"/>
            </w:tcBorders>
            <w:vAlign w:val="center"/>
          </w:tcPr>
          <w:p w:rsidR="00475650" w:rsidRDefault="00475650">
            <w:pPr>
              <w:jc w:val="center"/>
              <w:rPr>
                <w:szCs w:val="21"/>
              </w:rPr>
            </w:pPr>
            <w:r>
              <w:rPr>
                <w:rFonts w:hint="eastAsia"/>
                <w:szCs w:val="21"/>
              </w:rPr>
              <w:t>101</w:t>
            </w:r>
          </w:p>
          <w:p w:rsidR="00475650" w:rsidRDefault="00475650">
            <w:pPr>
              <w:jc w:val="center"/>
              <w:rPr>
                <w:szCs w:val="21"/>
              </w:rPr>
            </w:pPr>
            <w:r>
              <w:rPr>
                <w:rFonts w:hint="eastAsia"/>
                <w:szCs w:val="21"/>
              </w:rPr>
              <w:t>（</w:t>
            </w:r>
            <w:r>
              <w:rPr>
                <w:rFonts w:hint="eastAsia"/>
                <w:szCs w:val="21"/>
              </w:rPr>
              <w:t>0.0281</w:t>
            </w:r>
            <w:r>
              <w:rPr>
                <w:rFonts w:hint="eastAsia"/>
                <w:szCs w:val="21"/>
              </w:rPr>
              <w:t>）</w:t>
            </w:r>
          </w:p>
        </w:tc>
        <w:tc>
          <w:tcPr>
            <w:tcW w:w="707" w:type="dxa"/>
            <w:vMerge w:val="restart"/>
            <w:tcBorders>
              <w:left w:val="single" w:sz="4" w:space="0" w:color="auto"/>
              <w:right w:val="single" w:sz="4" w:space="0" w:color="auto"/>
            </w:tcBorders>
            <w:vAlign w:val="center"/>
          </w:tcPr>
          <w:p w:rsidR="00475650" w:rsidRDefault="00475650">
            <w:pPr>
              <w:jc w:val="center"/>
              <w:rPr>
                <w:szCs w:val="21"/>
              </w:rPr>
            </w:pPr>
            <w:r>
              <w:rPr>
                <w:rFonts w:hint="eastAsia"/>
                <w:szCs w:val="21"/>
              </w:rPr>
              <w:t>15</w:t>
            </w:r>
          </w:p>
        </w:tc>
        <w:tc>
          <w:tcPr>
            <w:tcW w:w="705" w:type="dxa"/>
            <w:vMerge w:val="restart"/>
            <w:tcBorders>
              <w:left w:val="single" w:sz="4" w:space="0" w:color="auto"/>
              <w:right w:val="single" w:sz="4" w:space="0" w:color="auto"/>
            </w:tcBorders>
            <w:vAlign w:val="center"/>
          </w:tcPr>
          <w:p w:rsidR="00475650" w:rsidRDefault="00475650">
            <w:pPr>
              <w:jc w:val="center"/>
              <w:rPr>
                <w:szCs w:val="21"/>
              </w:rPr>
            </w:pPr>
            <w:r>
              <w:rPr>
                <w:szCs w:val="21"/>
              </w:rPr>
              <w:t>0.</w:t>
            </w:r>
            <w:r>
              <w:rPr>
                <w:rFonts w:hint="eastAsia"/>
                <w:szCs w:val="21"/>
              </w:rPr>
              <w:t>6</w:t>
            </w:r>
          </w:p>
        </w:tc>
        <w:tc>
          <w:tcPr>
            <w:tcW w:w="826" w:type="dxa"/>
            <w:vMerge w:val="restart"/>
            <w:tcBorders>
              <w:left w:val="single" w:sz="4" w:space="0" w:color="auto"/>
              <w:right w:val="single" w:sz="4" w:space="0" w:color="auto"/>
            </w:tcBorders>
            <w:vAlign w:val="center"/>
          </w:tcPr>
          <w:p w:rsidR="00475650" w:rsidRDefault="00475650">
            <w:pPr>
              <w:jc w:val="center"/>
              <w:rPr>
                <w:szCs w:val="21"/>
              </w:rPr>
            </w:pPr>
            <w:r>
              <w:rPr>
                <w:rFonts w:hint="eastAsia"/>
                <w:szCs w:val="21"/>
              </w:rPr>
              <w:t>25</w:t>
            </w:r>
          </w:p>
        </w:tc>
      </w:tr>
      <w:tr w:rsidR="00475650">
        <w:trPr>
          <w:trHeight w:val="340"/>
          <w:jc w:val="center"/>
        </w:trPr>
        <w:tc>
          <w:tcPr>
            <w:tcW w:w="635" w:type="dxa"/>
            <w:vMerge/>
            <w:tcBorders>
              <w:right w:val="single" w:sz="4" w:space="0" w:color="auto"/>
            </w:tcBorders>
            <w:vAlign w:val="center"/>
          </w:tcPr>
          <w:p w:rsidR="00475650" w:rsidRDefault="00475650">
            <w:pPr>
              <w:jc w:val="center"/>
              <w:rPr>
                <w:szCs w:val="21"/>
              </w:rPr>
            </w:pPr>
          </w:p>
        </w:tc>
        <w:tc>
          <w:tcPr>
            <w:tcW w:w="1710" w:type="dxa"/>
            <w:tcBorders>
              <w:left w:val="single" w:sz="4" w:space="0" w:color="auto"/>
              <w:right w:val="single" w:sz="4" w:space="0" w:color="auto"/>
            </w:tcBorders>
            <w:vAlign w:val="center"/>
          </w:tcPr>
          <w:p w:rsidR="00475650" w:rsidRDefault="00475650">
            <w:pPr>
              <w:jc w:val="center"/>
              <w:rPr>
                <w:szCs w:val="21"/>
              </w:rPr>
            </w:pPr>
            <w:r>
              <w:rPr>
                <w:rFonts w:hAnsi="宋体" w:hint="eastAsia"/>
                <w:szCs w:val="21"/>
              </w:rPr>
              <w:t>烘干废气</w:t>
            </w:r>
          </w:p>
        </w:tc>
        <w:tc>
          <w:tcPr>
            <w:tcW w:w="1165" w:type="dxa"/>
            <w:vMerge/>
            <w:tcBorders>
              <w:right w:val="single" w:sz="4" w:space="0" w:color="auto"/>
            </w:tcBorders>
            <w:vAlign w:val="center"/>
          </w:tcPr>
          <w:p w:rsidR="00475650" w:rsidRDefault="00475650">
            <w:pPr>
              <w:jc w:val="center"/>
              <w:rPr>
                <w:szCs w:val="21"/>
              </w:rPr>
            </w:pPr>
          </w:p>
        </w:tc>
        <w:tc>
          <w:tcPr>
            <w:tcW w:w="850" w:type="dxa"/>
            <w:vMerge/>
            <w:tcBorders>
              <w:left w:val="single" w:sz="4" w:space="0" w:color="auto"/>
              <w:right w:val="single" w:sz="4" w:space="0" w:color="auto"/>
            </w:tcBorders>
            <w:vAlign w:val="center"/>
          </w:tcPr>
          <w:p w:rsidR="00475650" w:rsidRDefault="00475650">
            <w:pPr>
              <w:jc w:val="center"/>
              <w:rPr>
                <w:szCs w:val="21"/>
              </w:rPr>
            </w:pPr>
          </w:p>
        </w:tc>
        <w:tc>
          <w:tcPr>
            <w:tcW w:w="1134" w:type="dxa"/>
            <w:vMerge/>
            <w:tcBorders>
              <w:left w:val="single" w:sz="4" w:space="0" w:color="auto"/>
              <w:right w:val="single" w:sz="4" w:space="0" w:color="auto"/>
            </w:tcBorders>
            <w:vAlign w:val="center"/>
          </w:tcPr>
          <w:p w:rsidR="00475650" w:rsidRDefault="00475650">
            <w:pPr>
              <w:jc w:val="center"/>
              <w:rPr>
                <w:szCs w:val="21"/>
              </w:rPr>
            </w:pPr>
          </w:p>
        </w:tc>
        <w:tc>
          <w:tcPr>
            <w:tcW w:w="1214" w:type="dxa"/>
            <w:vMerge/>
            <w:tcBorders>
              <w:right w:val="single" w:sz="4" w:space="0" w:color="auto"/>
            </w:tcBorders>
            <w:vAlign w:val="center"/>
          </w:tcPr>
          <w:p w:rsidR="00475650" w:rsidRDefault="00475650">
            <w:pPr>
              <w:jc w:val="center"/>
              <w:rPr>
                <w:szCs w:val="21"/>
              </w:rPr>
            </w:pPr>
          </w:p>
        </w:tc>
        <w:tc>
          <w:tcPr>
            <w:tcW w:w="707" w:type="dxa"/>
            <w:vMerge/>
            <w:tcBorders>
              <w:left w:val="single" w:sz="4" w:space="0" w:color="auto"/>
              <w:right w:val="single" w:sz="4" w:space="0" w:color="auto"/>
            </w:tcBorders>
            <w:vAlign w:val="center"/>
          </w:tcPr>
          <w:p w:rsidR="00475650" w:rsidRDefault="00475650">
            <w:pPr>
              <w:jc w:val="center"/>
              <w:rPr>
                <w:szCs w:val="21"/>
              </w:rPr>
            </w:pPr>
          </w:p>
        </w:tc>
        <w:tc>
          <w:tcPr>
            <w:tcW w:w="705" w:type="dxa"/>
            <w:vMerge/>
            <w:tcBorders>
              <w:left w:val="single" w:sz="4" w:space="0" w:color="auto"/>
              <w:right w:val="single" w:sz="4" w:space="0" w:color="auto"/>
            </w:tcBorders>
            <w:vAlign w:val="center"/>
          </w:tcPr>
          <w:p w:rsidR="00475650" w:rsidRDefault="00475650">
            <w:pPr>
              <w:jc w:val="center"/>
              <w:rPr>
                <w:szCs w:val="21"/>
              </w:rPr>
            </w:pPr>
          </w:p>
        </w:tc>
        <w:tc>
          <w:tcPr>
            <w:tcW w:w="826" w:type="dxa"/>
            <w:vMerge/>
            <w:tcBorders>
              <w:left w:val="single" w:sz="4" w:space="0" w:color="auto"/>
              <w:right w:val="single" w:sz="4" w:space="0" w:color="auto"/>
            </w:tcBorders>
            <w:vAlign w:val="center"/>
          </w:tcPr>
          <w:p w:rsidR="00475650" w:rsidRDefault="00475650">
            <w:pPr>
              <w:jc w:val="center"/>
              <w:rPr>
                <w:szCs w:val="21"/>
              </w:rPr>
            </w:pPr>
          </w:p>
        </w:tc>
      </w:tr>
      <w:tr w:rsidR="00475650">
        <w:trPr>
          <w:trHeight w:val="340"/>
          <w:jc w:val="center"/>
        </w:trPr>
        <w:tc>
          <w:tcPr>
            <w:tcW w:w="635" w:type="dxa"/>
            <w:vMerge/>
            <w:tcBorders>
              <w:right w:val="single" w:sz="4" w:space="0" w:color="auto"/>
            </w:tcBorders>
            <w:vAlign w:val="center"/>
          </w:tcPr>
          <w:p w:rsidR="00475650" w:rsidRDefault="00475650">
            <w:pPr>
              <w:jc w:val="center"/>
              <w:rPr>
                <w:szCs w:val="21"/>
              </w:rPr>
            </w:pPr>
          </w:p>
        </w:tc>
        <w:tc>
          <w:tcPr>
            <w:tcW w:w="1710" w:type="dxa"/>
            <w:tcBorders>
              <w:left w:val="single" w:sz="4" w:space="0" w:color="auto"/>
              <w:right w:val="single" w:sz="4" w:space="0" w:color="auto"/>
            </w:tcBorders>
            <w:vAlign w:val="center"/>
          </w:tcPr>
          <w:p w:rsidR="00475650" w:rsidRDefault="00475650">
            <w:pPr>
              <w:jc w:val="center"/>
              <w:rPr>
                <w:rFonts w:hAnsi="宋体"/>
                <w:szCs w:val="21"/>
              </w:rPr>
            </w:pPr>
            <w:r>
              <w:rPr>
                <w:rFonts w:hAnsi="宋体" w:hint="eastAsia"/>
                <w:szCs w:val="21"/>
              </w:rPr>
              <w:t>破碎废气</w:t>
            </w:r>
          </w:p>
        </w:tc>
        <w:tc>
          <w:tcPr>
            <w:tcW w:w="1165" w:type="dxa"/>
            <w:vMerge/>
            <w:tcBorders>
              <w:right w:val="single" w:sz="4" w:space="0" w:color="auto"/>
            </w:tcBorders>
            <w:vAlign w:val="center"/>
          </w:tcPr>
          <w:p w:rsidR="00475650" w:rsidRDefault="00475650">
            <w:pPr>
              <w:jc w:val="center"/>
              <w:rPr>
                <w:szCs w:val="21"/>
              </w:rPr>
            </w:pPr>
          </w:p>
        </w:tc>
        <w:tc>
          <w:tcPr>
            <w:tcW w:w="850" w:type="dxa"/>
            <w:vMerge w:val="restart"/>
            <w:tcBorders>
              <w:left w:val="single" w:sz="4" w:space="0" w:color="auto"/>
              <w:right w:val="single" w:sz="4" w:space="0" w:color="auto"/>
            </w:tcBorders>
            <w:vAlign w:val="center"/>
          </w:tcPr>
          <w:p w:rsidR="00475650" w:rsidRDefault="00475650">
            <w:pPr>
              <w:jc w:val="center"/>
              <w:rPr>
                <w:szCs w:val="21"/>
              </w:rPr>
            </w:pPr>
            <w:r>
              <w:rPr>
                <w:rFonts w:hint="eastAsia"/>
                <w:szCs w:val="21"/>
              </w:rPr>
              <w:t>氨气</w:t>
            </w:r>
          </w:p>
        </w:tc>
        <w:tc>
          <w:tcPr>
            <w:tcW w:w="1134" w:type="dxa"/>
            <w:vMerge w:val="restart"/>
            <w:tcBorders>
              <w:left w:val="single" w:sz="4" w:space="0" w:color="auto"/>
              <w:right w:val="single" w:sz="4" w:space="0" w:color="auto"/>
            </w:tcBorders>
            <w:vAlign w:val="center"/>
          </w:tcPr>
          <w:p w:rsidR="00475650" w:rsidRDefault="00475650">
            <w:pPr>
              <w:jc w:val="center"/>
              <w:rPr>
                <w:szCs w:val="21"/>
              </w:rPr>
            </w:pPr>
            <w:r>
              <w:rPr>
                <w:rFonts w:hint="eastAsia"/>
                <w:szCs w:val="21"/>
              </w:rPr>
              <w:t>2.4</w:t>
            </w:r>
          </w:p>
        </w:tc>
        <w:tc>
          <w:tcPr>
            <w:tcW w:w="1214" w:type="dxa"/>
            <w:vMerge w:val="restart"/>
            <w:tcBorders>
              <w:right w:val="single" w:sz="4" w:space="0" w:color="auto"/>
            </w:tcBorders>
            <w:vAlign w:val="center"/>
          </w:tcPr>
          <w:p w:rsidR="00475650" w:rsidRDefault="00475650">
            <w:pPr>
              <w:jc w:val="center"/>
              <w:rPr>
                <w:szCs w:val="21"/>
              </w:rPr>
            </w:pPr>
            <w:r>
              <w:rPr>
                <w:rFonts w:hint="eastAsia"/>
                <w:szCs w:val="21"/>
              </w:rPr>
              <w:t>36</w:t>
            </w:r>
          </w:p>
          <w:p w:rsidR="00475650" w:rsidRDefault="00475650">
            <w:pPr>
              <w:jc w:val="center"/>
              <w:rPr>
                <w:szCs w:val="21"/>
              </w:rPr>
            </w:pPr>
            <w:r>
              <w:rPr>
                <w:rFonts w:hint="eastAsia"/>
                <w:szCs w:val="21"/>
              </w:rPr>
              <w:t>（</w:t>
            </w:r>
            <w:r>
              <w:rPr>
                <w:rFonts w:hint="eastAsia"/>
                <w:szCs w:val="21"/>
              </w:rPr>
              <w:t>0.01</w:t>
            </w:r>
            <w:r>
              <w:rPr>
                <w:rFonts w:hint="eastAsia"/>
                <w:szCs w:val="21"/>
              </w:rPr>
              <w:t>）</w:t>
            </w:r>
          </w:p>
        </w:tc>
        <w:tc>
          <w:tcPr>
            <w:tcW w:w="707" w:type="dxa"/>
            <w:vMerge/>
            <w:tcBorders>
              <w:left w:val="single" w:sz="4" w:space="0" w:color="auto"/>
              <w:right w:val="single" w:sz="4" w:space="0" w:color="auto"/>
            </w:tcBorders>
            <w:vAlign w:val="center"/>
          </w:tcPr>
          <w:p w:rsidR="00475650" w:rsidRDefault="00475650">
            <w:pPr>
              <w:jc w:val="center"/>
              <w:rPr>
                <w:szCs w:val="21"/>
              </w:rPr>
            </w:pPr>
          </w:p>
        </w:tc>
        <w:tc>
          <w:tcPr>
            <w:tcW w:w="705" w:type="dxa"/>
            <w:vMerge/>
            <w:tcBorders>
              <w:left w:val="single" w:sz="4" w:space="0" w:color="auto"/>
              <w:right w:val="single" w:sz="4" w:space="0" w:color="auto"/>
            </w:tcBorders>
            <w:vAlign w:val="center"/>
          </w:tcPr>
          <w:p w:rsidR="00475650" w:rsidRDefault="00475650">
            <w:pPr>
              <w:jc w:val="center"/>
              <w:rPr>
                <w:szCs w:val="21"/>
              </w:rPr>
            </w:pPr>
          </w:p>
        </w:tc>
        <w:tc>
          <w:tcPr>
            <w:tcW w:w="826" w:type="dxa"/>
            <w:vMerge/>
            <w:tcBorders>
              <w:left w:val="single" w:sz="4" w:space="0" w:color="auto"/>
              <w:right w:val="single" w:sz="4" w:space="0" w:color="auto"/>
            </w:tcBorders>
            <w:vAlign w:val="center"/>
          </w:tcPr>
          <w:p w:rsidR="00475650" w:rsidRDefault="00475650">
            <w:pPr>
              <w:jc w:val="center"/>
              <w:rPr>
                <w:szCs w:val="21"/>
              </w:rPr>
            </w:pPr>
          </w:p>
        </w:tc>
      </w:tr>
      <w:tr w:rsidR="00475650">
        <w:trPr>
          <w:trHeight w:val="340"/>
          <w:jc w:val="center"/>
        </w:trPr>
        <w:tc>
          <w:tcPr>
            <w:tcW w:w="635" w:type="dxa"/>
            <w:vMerge/>
            <w:tcBorders>
              <w:right w:val="single" w:sz="4" w:space="0" w:color="auto"/>
            </w:tcBorders>
            <w:vAlign w:val="center"/>
          </w:tcPr>
          <w:p w:rsidR="00475650" w:rsidRDefault="00475650">
            <w:pPr>
              <w:jc w:val="center"/>
              <w:rPr>
                <w:szCs w:val="21"/>
              </w:rPr>
            </w:pPr>
          </w:p>
        </w:tc>
        <w:tc>
          <w:tcPr>
            <w:tcW w:w="1710" w:type="dxa"/>
            <w:tcBorders>
              <w:left w:val="single" w:sz="4" w:space="0" w:color="auto"/>
              <w:right w:val="single" w:sz="4" w:space="0" w:color="auto"/>
            </w:tcBorders>
            <w:vAlign w:val="center"/>
          </w:tcPr>
          <w:p w:rsidR="00475650" w:rsidRDefault="00475650">
            <w:pPr>
              <w:jc w:val="center"/>
              <w:rPr>
                <w:rFonts w:hAnsi="宋体"/>
                <w:szCs w:val="21"/>
              </w:rPr>
            </w:pPr>
            <w:r>
              <w:rPr>
                <w:rFonts w:hAnsi="宋体" w:hint="eastAsia"/>
                <w:szCs w:val="21"/>
              </w:rPr>
              <w:t>包装废气</w:t>
            </w:r>
          </w:p>
        </w:tc>
        <w:tc>
          <w:tcPr>
            <w:tcW w:w="1165" w:type="dxa"/>
            <w:vMerge/>
            <w:tcBorders>
              <w:right w:val="single" w:sz="4" w:space="0" w:color="auto"/>
            </w:tcBorders>
            <w:vAlign w:val="center"/>
          </w:tcPr>
          <w:p w:rsidR="00475650" w:rsidRDefault="00475650">
            <w:pPr>
              <w:jc w:val="center"/>
              <w:rPr>
                <w:szCs w:val="21"/>
              </w:rPr>
            </w:pPr>
          </w:p>
        </w:tc>
        <w:tc>
          <w:tcPr>
            <w:tcW w:w="850" w:type="dxa"/>
            <w:vMerge/>
            <w:tcBorders>
              <w:left w:val="single" w:sz="4" w:space="0" w:color="auto"/>
              <w:right w:val="single" w:sz="4" w:space="0" w:color="auto"/>
            </w:tcBorders>
            <w:vAlign w:val="center"/>
          </w:tcPr>
          <w:p w:rsidR="00475650" w:rsidRDefault="00475650">
            <w:pPr>
              <w:jc w:val="center"/>
              <w:rPr>
                <w:rFonts w:hAnsi="宋体"/>
                <w:szCs w:val="21"/>
              </w:rPr>
            </w:pPr>
          </w:p>
        </w:tc>
        <w:tc>
          <w:tcPr>
            <w:tcW w:w="1134" w:type="dxa"/>
            <w:vMerge/>
            <w:tcBorders>
              <w:left w:val="single" w:sz="4" w:space="0" w:color="auto"/>
              <w:right w:val="single" w:sz="4" w:space="0" w:color="auto"/>
            </w:tcBorders>
            <w:vAlign w:val="center"/>
          </w:tcPr>
          <w:p w:rsidR="00475650" w:rsidRDefault="00475650">
            <w:pPr>
              <w:jc w:val="center"/>
              <w:rPr>
                <w:szCs w:val="21"/>
              </w:rPr>
            </w:pPr>
          </w:p>
        </w:tc>
        <w:tc>
          <w:tcPr>
            <w:tcW w:w="1214" w:type="dxa"/>
            <w:vMerge/>
            <w:tcBorders>
              <w:right w:val="single" w:sz="4" w:space="0" w:color="auto"/>
            </w:tcBorders>
            <w:vAlign w:val="center"/>
          </w:tcPr>
          <w:p w:rsidR="00475650" w:rsidRDefault="00475650">
            <w:pPr>
              <w:jc w:val="center"/>
              <w:rPr>
                <w:szCs w:val="21"/>
              </w:rPr>
            </w:pPr>
          </w:p>
        </w:tc>
        <w:tc>
          <w:tcPr>
            <w:tcW w:w="707" w:type="dxa"/>
            <w:vMerge/>
            <w:tcBorders>
              <w:left w:val="single" w:sz="4" w:space="0" w:color="auto"/>
              <w:right w:val="single" w:sz="4" w:space="0" w:color="auto"/>
            </w:tcBorders>
            <w:vAlign w:val="center"/>
          </w:tcPr>
          <w:p w:rsidR="00475650" w:rsidRDefault="00475650">
            <w:pPr>
              <w:jc w:val="center"/>
              <w:rPr>
                <w:szCs w:val="21"/>
              </w:rPr>
            </w:pPr>
          </w:p>
        </w:tc>
        <w:tc>
          <w:tcPr>
            <w:tcW w:w="705" w:type="dxa"/>
            <w:vMerge/>
            <w:tcBorders>
              <w:left w:val="single" w:sz="4" w:space="0" w:color="auto"/>
              <w:right w:val="single" w:sz="4" w:space="0" w:color="auto"/>
            </w:tcBorders>
            <w:vAlign w:val="center"/>
          </w:tcPr>
          <w:p w:rsidR="00475650" w:rsidRDefault="00475650">
            <w:pPr>
              <w:jc w:val="center"/>
              <w:rPr>
                <w:szCs w:val="21"/>
              </w:rPr>
            </w:pPr>
          </w:p>
        </w:tc>
        <w:tc>
          <w:tcPr>
            <w:tcW w:w="826" w:type="dxa"/>
            <w:vMerge/>
            <w:tcBorders>
              <w:left w:val="single" w:sz="4" w:space="0" w:color="auto"/>
              <w:right w:val="single" w:sz="4" w:space="0" w:color="auto"/>
            </w:tcBorders>
            <w:vAlign w:val="center"/>
          </w:tcPr>
          <w:p w:rsidR="00475650" w:rsidRDefault="00475650">
            <w:pPr>
              <w:jc w:val="center"/>
              <w:rPr>
                <w:szCs w:val="21"/>
              </w:rPr>
            </w:pPr>
          </w:p>
        </w:tc>
      </w:tr>
      <w:tr w:rsidR="00475650">
        <w:trPr>
          <w:trHeight w:val="340"/>
          <w:jc w:val="center"/>
        </w:trPr>
        <w:tc>
          <w:tcPr>
            <w:tcW w:w="635" w:type="dxa"/>
            <w:vMerge/>
            <w:tcBorders>
              <w:right w:val="single" w:sz="4" w:space="0" w:color="auto"/>
            </w:tcBorders>
            <w:vAlign w:val="center"/>
          </w:tcPr>
          <w:p w:rsidR="00475650" w:rsidRDefault="00475650">
            <w:pPr>
              <w:jc w:val="center"/>
              <w:rPr>
                <w:szCs w:val="21"/>
              </w:rPr>
            </w:pPr>
          </w:p>
        </w:tc>
        <w:tc>
          <w:tcPr>
            <w:tcW w:w="1710" w:type="dxa"/>
            <w:tcBorders>
              <w:left w:val="single" w:sz="4" w:space="0" w:color="auto"/>
              <w:right w:val="single" w:sz="4" w:space="0" w:color="auto"/>
            </w:tcBorders>
            <w:vAlign w:val="center"/>
          </w:tcPr>
          <w:p w:rsidR="00475650" w:rsidRDefault="00475650">
            <w:pPr>
              <w:jc w:val="center"/>
              <w:rPr>
                <w:rFonts w:hAnsi="宋体"/>
                <w:szCs w:val="21"/>
              </w:rPr>
            </w:pPr>
            <w:r>
              <w:rPr>
                <w:rFonts w:hAnsi="宋体" w:hint="eastAsia"/>
                <w:szCs w:val="21"/>
              </w:rPr>
              <w:t>污水处理站废气</w:t>
            </w:r>
          </w:p>
        </w:tc>
        <w:tc>
          <w:tcPr>
            <w:tcW w:w="1165" w:type="dxa"/>
            <w:vMerge/>
            <w:tcBorders>
              <w:right w:val="single" w:sz="4" w:space="0" w:color="auto"/>
            </w:tcBorders>
            <w:vAlign w:val="center"/>
          </w:tcPr>
          <w:p w:rsidR="00475650" w:rsidRDefault="00475650">
            <w:pPr>
              <w:jc w:val="center"/>
              <w:rPr>
                <w:szCs w:val="21"/>
              </w:rPr>
            </w:pPr>
          </w:p>
        </w:tc>
        <w:tc>
          <w:tcPr>
            <w:tcW w:w="850" w:type="dxa"/>
            <w:vMerge w:val="restart"/>
            <w:tcBorders>
              <w:left w:val="single" w:sz="4" w:space="0" w:color="auto"/>
              <w:right w:val="single" w:sz="4" w:space="0" w:color="auto"/>
            </w:tcBorders>
            <w:vAlign w:val="center"/>
          </w:tcPr>
          <w:p w:rsidR="00475650" w:rsidRDefault="00475650">
            <w:pPr>
              <w:jc w:val="center"/>
              <w:rPr>
                <w:szCs w:val="21"/>
              </w:rPr>
            </w:pPr>
            <w:r>
              <w:rPr>
                <w:rFonts w:hint="eastAsia"/>
                <w:szCs w:val="21"/>
              </w:rPr>
              <w:t>粉尘</w:t>
            </w:r>
          </w:p>
        </w:tc>
        <w:tc>
          <w:tcPr>
            <w:tcW w:w="1134" w:type="dxa"/>
            <w:vMerge w:val="restart"/>
            <w:tcBorders>
              <w:left w:val="single" w:sz="4" w:space="0" w:color="auto"/>
              <w:right w:val="single" w:sz="4" w:space="0" w:color="auto"/>
            </w:tcBorders>
            <w:vAlign w:val="center"/>
          </w:tcPr>
          <w:p w:rsidR="00475650" w:rsidRDefault="00475650">
            <w:pPr>
              <w:jc w:val="center"/>
              <w:rPr>
                <w:szCs w:val="21"/>
              </w:rPr>
            </w:pPr>
            <w:r>
              <w:rPr>
                <w:rFonts w:hint="eastAsia"/>
                <w:szCs w:val="21"/>
              </w:rPr>
              <w:t>10.533</w:t>
            </w:r>
          </w:p>
        </w:tc>
        <w:tc>
          <w:tcPr>
            <w:tcW w:w="1214" w:type="dxa"/>
            <w:vMerge w:val="restart"/>
            <w:tcBorders>
              <w:right w:val="single" w:sz="4" w:space="0" w:color="auto"/>
            </w:tcBorders>
            <w:vAlign w:val="center"/>
          </w:tcPr>
          <w:p w:rsidR="00475650" w:rsidRDefault="00475650">
            <w:pPr>
              <w:jc w:val="center"/>
              <w:rPr>
                <w:szCs w:val="21"/>
              </w:rPr>
            </w:pPr>
            <w:r>
              <w:rPr>
                <w:rFonts w:hint="eastAsia"/>
                <w:szCs w:val="21"/>
              </w:rPr>
              <w:t>158</w:t>
            </w:r>
          </w:p>
          <w:p w:rsidR="00475650" w:rsidRDefault="00475650">
            <w:pPr>
              <w:jc w:val="center"/>
              <w:rPr>
                <w:szCs w:val="21"/>
              </w:rPr>
            </w:pPr>
            <w:r>
              <w:rPr>
                <w:rFonts w:hint="eastAsia"/>
                <w:szCs w:val="21"/>
              </w:rPr>
              <w:t>（</w:t>
            </w:r>
            <w:r>
              <w:rPr>
                <w:rFonts w:hint="eastAsia"/>
                <w:szCs w:val="21"/>
              </w:rPr>
              <w:t>0.044</w:t>
            </w:r>
            <w:r>
              <w:rPr>
                <w:rFonts w:hint="eastAsia"/>
                <w:szCs w:val="21"/>
              </w:rPr>
              <w:t>）</w:t>
            </w:r>
          </w:p>
        </w:tc>
        <w:tc>
          <w:tcPr>
            <w:tcW w:w="707" w:type="dxa"/>
            <w:vMerge/>
            <w:tcBorders>
              <w:left w:val="single" w:sz="4" w:space="0" w:color="auto"/>
              <w:right w:val="single" w:sz="4" w:space="0" w:color="auto"/>
            </w:tcBorders>
            <w:vAlign w:val="center"/>
          </w:tcPr>
          <w:p w:rsidR="00475650" w:rsidRDefault="00475650">
            <w:pPr>
              <w:jc w:val="center"/>
              <w:rPr>
                <w:szCs w:val="21"/>
              </w:rPr>
            </w:pPr>
          </w:p>
        </w:tc>
        <w:tc>
          <w:tcPr>
            <w:tcW w:w="705" w:type="dxa"/>
            <w:vMerge/>
            <w:tcBorders>
              <w:left w:val="single" w:sz="4" w:space="0" w:color="auto"/>
              <w:right w:val="single" w:sz="4" w:space="0" w:color="auto"/>
            </w:tcBorders>
            <w:vAlign w:val="center"/>
          </w:tcPr>
          <w:p w:rsidR="00475650" w:rsidRDefault="00475650">
            <w:pPr>
              <w:jc w:val="center"/>
              <w:rPr>
                <w:szCs w:val="21"/>
              </w:rPr>
            </w:pPr>
          </w:p>
        </w:tc>
        <w:tc>
          <w:tcPr>
            <w:tcW w:w="826" w:type="dxa"/>
            <w:vMerge/>
            <w:tcBorders>
              <w:left w:val="single" w:sz="4" w:space="0" w:color="auto"/>
              <w:right w:val="single" w:sz="4" w:space="0" w:color="auto"/>
            </w:tcBorders>
            <w:vAlign w:val="center"/>
          </w:tcPr>
          <w:p w:rsidR="00475650" w:rsidRDefault="00475650">
            <w:pPr>
              <w:jc w:val="center"/>
              <w:rPr>
                <w:szCs w:val="21"/>
              </w:rPr>
            </w:pPr>
          </w:p>
        </w:tc>
      </w:tr>
      <w:tr w:rsidR="00475650">
        <w:trPr>
          <w:trHeight w:val="340"/>
          <w:jc w:val="center"/>
        </w:trPr>
        <w:tc>
          <w:tcPr>
            <w:tcW w:w="635" w:type="dxa"/>
            <w:vMerge/>
            <w:tcBorders>
              <w:right w:val="single" w:sz="4" w:space="0" w:color="auto"/>
            </w:tcBorders>
            <w:vAlign w:val="center"/>
          </w:tcPr>
          <w:p w:rsidR="00475650" w:rsidRDefault="00475650">
            <w:pPr>
              <w:jc w:val="center"/>
              <w:rPr>
                <w:szCs w:val="21"/>
              </w:rPr>
            </w:pPr>
          </w:p>
        </w:tc>
        <w:tc>
          <w:tcPr>
            <w:tcW w:w="1710" w:type="dxa"/>
            <w:tcBorders>
              <w:left w:val="single" w:sz="4" w:space="0" w:color="auto"/>
              <w:right w:val="single" w:sz="4" w:space="0" w:color="auto"/>
            </w:tcBorders>
            <w:vAlign w:val="center"/>
          </w:tcPr>
          <w:p w:rsidR="00475650" w:rsidRDefault="00475650">
            <w:pPr>
              <w:jc w:val="center"/>
              <w:rPr>
                <w:rFonts w:hAnsi="宋体"/>
                <w:szCs w:val="21"/>
              </w:rPr>
            </w:pPr>
            <w:r>
              <w:rPr>
                <w:rFonts w:hAnsi="宋体" w:hint="eastAsia"/>
                <w:szCs w:val="21"/>
              </w:rPr>
              <w:t>隔膜压滤废气</w:t>
            </w:r>
          </w:p>
        </w:tc>
        <w:tc>
          <w:tcPr>
            <w:tcW w:w="1165" w:type="dxa"/>
            <w:vMerge/>
            <w:tcBorders>
              <w:right w:val="single" w:sz="4" w:space="0" w:color="auto"/>
            </w:tcBorders>
            <w:vAlign w:val="center"/>
          </w:tcPr>
          <w:p w:rsidR="00475650" w:rsidRDefault="00475650">
            <w:pPr>
              <w:jc w:val="center"/>
              <w:rPr>
                <w:szCs w:val="21"/>
              </w:rPr>
            </w:pPr>
          </w:p>
        </w:tc>
        <w:tc>
          <w:tcPr>
            <w:tcW w:w="850" w:type="dxa"/>
            <w:vMerge/>
            <w:tcBorders>
              <w:left w:val="single" w:sz="4" w:space="0" w:color="auto"/>
              <w:right w:val="single" w:sz="4" w:space="0" w:color="auto"/>
            </w:tcBorders>
            <w:vAlign w:val="center"/>
          </w:tcPr>
          <w:p w:rsidR="00475650" w:rsidRDefault="00475650">
            <w:pPr>
              <w:jc w:val="center"/>
              <w:rPr>
                <w:rFonts w:hAnsi="宋体"/>
                <w:szCs w:val="21"/>
              </w:rPr>
            </w:pPr>
          </w:p>
        </w:tc>
        <w:tc>
          <w:tcPr>
            <w:tcW w:w="1134" w:type="dxa"/>
            <w:vMerge/>
            <w:tcBorders>
              <w:left w:val="single" w:sz="4" w:space="0" w:color="auto"/>
              <w:right w:val="single" w:sz="4" w:space="0" w:color="auto"/>
            </w:tcBorders>
            <w:vAlign w:val="center"/>
          </w:tcPr>
          <w:p w:rsidR="00475650" w:rsidRDefault="00475650">
            <w:pPr>
              <w:jc w:val="center"/>
              <w:rPr>
                <w:szCs w:val="21"/>
              </w:rPr>
            </w:pPr>
          </w:p>
        </w:tc>
        <w:tc>
          <w:tcPr>
            <w:tcW w:w="1214" w:type="dxa"/>
            <w:vMerge/>
            <w:tcBorders>
              <w:right w:val="single" w:sz="4" w:space="0" w:color="auto"/>
            </w:tcBorders>
            <w:vAlign w:val="center"/>
          </w:tcPr>
          <w:p w:rsidR="00475650" w:rsidRDefault="00475650">
            <w:pPr>
              <w:jc w:val="center"/>
              <w:rPr>
                <w:szCs w:val="21"/>
              </w:rPr>
            </w:pPr>
          </w:p>
        </w:tc>
        <w:tc>
          <w:tcPr>
            <w:tcW w:w="707" w:type="dxa"/>
            <w:vMerge/>
            <w:tcBorders>
              <w:left w:val="single" w:sz="4" w:space="0" w:color="auto"/>
              <w:right w:val="single" w:sz="4" w:space="0" w:color="auto"/>
            </w:tcBorders>
            <w:vAlign w:val="center"/>
          </w:tcPr>
          <w:p w:rsidR="00475650" w:rsidRDefault="00475650">
            <w:pPr>
              <w:jc w:val="center"/>
              <w:rPr>
                <w:szCs w:val="21"/>
              </w:rPr>
            </w:pPr>
          </w:p>
        </w:tc>
        <w:tc>
          <w:tcPr>
            <w:tcW w:w="705" w:type="dxa"/>
            <w:vMerge/>
            <w:tcBorders>
              <w:left w:val="single" w:sz="4" w:space="0" w:color="auto"/>
              <w:right w:val="single" w:sz="4" w:space="0" w:color="auto"/>
            </w:tcBorders>
            <w:vAlign w:val="center"/>
          </w:tcPr>
          <w:p w:rsidR="00475650" w:rsidRDefault="00475650">
            <w:pPr>
              <w:jc w:val="center"/>
              <w:rPr>
                <w:szCs w:val="21"/>
              </w:rPr>
            </w:pPr>
          </w:p>
        </w:tc>
        <w:tc>
          <w:tcPr>
            <w:tcW w:w="826" w:type="dxa"/>
            <w:vMerge/>
            <w:tcBorders>
              <w:left w:val="single" w:sz="4" w:space="0" w:color="auto"/>
              <w:right w:val="single" w:sz="4" w:space="0" w:color="auto"/>
            </w:tcBorders>
            <w:vAlign w:val="center"/>
          </w:tcPr>
          <w:p w:rsidR="00475650" w:rsidRDefault="00475650">
            <w:pPr>
              <w:jc w:val="center"/>
              <w:rPr>
                <w:szCs w:val="21"/>
              </w:rPr>
            </w:pPr>
          </w:p>
        </w:tc>
      </w:tr>
    </w:tbl>
    <w:p w:rsidR="00475650" w:rsidRDefault="00475650">
      <w:pPr>
        <w:spacing w:line="360" w:lineRule="auto"/>
        <w:jc w:val="center"/>
        <w:rPr>
          <w:rFonts w:hAnsi="宋体"/>
          <w:sz w:val="24"/>
        </w:rPr>
      </w:pPr>
    </w:p>
    <w:p w:rsidR="00475650" w:rsidRDefault="00475650">
      <w:pPr>
        <w:spacing w:line="360" w:lineRule="auto"/>
        <w:jc w:val="center"/>
        <w:rPr>
          <w:sz w:val="24"/>
        </w:rPr>
      </w:pPr>
      <w:r>
        <w:rPr>
          <w:rFonts w:hAnsi="宋体"/>
          <w:sz w:val="24"/>
        </w:rPr>
        <w:t>表</w:t>
      </w:r>
      <w:r>
        <w:rPr>
          <w:sz w:val="24"/>
        </w:rPr>
        <w:t xml:space="preserve">1.4-2   </w:t>
      </w:r>
      <w:r>
        <w:rPr>
          <w:rFonts w:hAnsi="宋体"/>
          <w:sz w:val="24"/>
        </w:rPr>
        <w:t>评价等级分析判据表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695"/>
        <w:gridCol w:w="5251"/>
      </w:tblGrid>
      <w:tr w:rsidR="00475650">
        <w:trPr>
          <w:jc w:val="center"/>
        </w:trPr>
        <w:tc>
          <w:tcPr>
            <w:tcW w:w="3695" w:type="dxa"/>
            <w:vAlign w:val="center"/>
          </w:tcPr>
          <w:p w:rsidR="00475650" w:rsidRDefault="00475650" w:rsidP="00BD74CB">
            <w:pPr>
              <w:snapToGrid w:val="0"/>
              <w:spacing w:beforeLines="20" w:afterLines="20" w:line="240" w:lineRule="exact"/>
              <w:jc w:val="center"/>
              <w:rPr>
                <w:szCs w:val="21"/>
              </w:rPr>
            </w:pPr>
            <w:r>
              <w:rPr>
                <w:rFonts w:hAnsi="宋体"/>
                <w:szCs w:val="21"/>
              </w:rPr>
              <w:t>评价等级</w:t>
            </w:r>
          </w:p>
        </w:tc>
        <w:tc>
          <w:tcPr>
            <w:tcW w:w="5251" w:type="dxa"/>
            <w:vAlign w:val="center"/>
          </w:tcPr>
          <w:p w:rsidR="00475650" w:rsidRDefault="00475650" w:rsidP="00BD74CB">
            <w:pPr>
              <w:snapToGrid w:val="0"/>
              <w:spacing w:beforeLines="20" w:afterLines="20" w:line="240" w:lineRule="exact"/>
              <w:jc w:val="center"/>
              <w:rPr>
                <w:szCs w:val="21"/>
              </w:rPr>
            </w:pPr>
            <w:r>
              <w:rPr>
                <w:rFonts w:hAnsi="宋体"/>
                <w:szCs w:val="21"/>
              </w:rPr>
              <w:t>评价工作分级判据</w:t>
            </w:r>
          </w:p>
        </w:tc>
      </w:tr>
      <w:tr w:rsidR="00475650">
        <w:trPr>
          <w:jc w:val="center"/>
        </w:trPr>
        <w:tc>
          <w:tcPr>
            <w:tcW w:w="3695" w:type="dxa"/>
            <w:vAlign w:val="center"/>
          </w:tcPr>
          <w:p w:rsidR="00475650" w:rsidRDefault="00475650" w:rsidP="00BD74CB">
            <w:pPr>
              <w:snapToGrid w:val="0"/>
              <w:spacing w:beforeLines="20" w:afterLines="20" w:line="240" w:lineRule="exact"/>
              <w:jc w:val="center"/>
              <w:rPr>
                <w:szCs w:val="21"/>
              </w:rPr>
            </w:pPr>
            <w:r>
              <w:rPr>
                <w:rFonts w:hAnsi="宋体"/>
                <w:szCs w:val="21"/>
              </w:rPr>
              <w:t>一级</w:t>
            </w:r>
          </w:p>
        </w:tc>
        <w:tc>
          <w:tcPr>
            <w:tcW w:w="5251" w:type="dxa"/>
            <w:vAlign w:val="center"/>
          </w:tcPr>
          <w:p w:rsidR="00475650" w:rsidRDefault="00475650" w:rsidP="00BD74CB">
            <w:pPr>
              <w:snapToGrid w:val="0"/>
              <w:spacing w:beforeLines="20" w:afterLines="20" w:line="240" w:lineRule="exact"/>
              <w:jc w:val="center"/>
              <w:rPr>
                <w:szCs w:val="21"/>
              </w:rPr>
            </w:pPr>
            <w:r>
              <w:rPr>
                <w:szCs w:val="21"/>
              </w:rPr>
              <w:t>P</w:t>
            </w:r>
            <w:r>
              <w:rPr>
                <w:szCs w:val="21"/>
                <w:vertAlign w:val="subscript"/>
              </w:rPr>
              <w:t>Max</w:t>
            </w:r>
            <w:r>
              <w:rPr>
                <w:szCs w:val="21"/>
              </w:rPr>
              <w:t>≥80</w:t>
            </w:r>
            <w:r>
              <w:rPr>
                <w:rFonts w:hAnsi="宋体"/>
                <w:szCs w:val="21"/>
              </w:rPr>
              <w:t>％且</w:t>
            </w:r>
            <w:r>
              <w:rPr>
                <w:szCs w:val="21"/>
              </w:rPr>
              <w:t>D</w:t>
            </w:r>
            <w:r>
              <w:rPr>
                <w:szCs w:val="21"/>
                <w:vertAlign w:val="subscript"/>
              </w:rPr>
              <w:t>10</w:t>
            </w:r>
            <w:r>
              <w:rPr>
                <w:rFonts w:hAnsi="宋体"/>
                <w:szCs w:val="21"/>
                <w:vertAlign w:val="subscript"/>
              </w:rPr>
              <w:t>％</w:t>
            </w:r>
            <w:r>
              <w:rPr>
                <w:szCs w:val="21"/>
              </w:rPr>
              <w:t>≥5km</w:t>
            </w:r>
          </w:p>
        </w:tc>
      </w:tr>
      <w:tr w:rsidR="00475650">
        <w:trPr>
          <w:jc w:val="center"/>
        </w:trPr>
        <w:tc>
          <w:tcPr>
            <w:tcW w:w="3695" w:type="dxa"/>
            <w:vAlign w:val="center"/>
          </w:tcPr>
          <w:p w:rsidR="00475650" w:rsidRDefault="00475650" w:rsidP="00BD74CB">
            <w:pPr>
              <w:snapToGrid w:val="0"/>
              <w:spacing w:beforeLines="20" w:afterLines="20" w:line="240" w:lineRule="exact"/>
              <w:jc w:val="center"/>
              <w:rPr>
                <w:szCs w:val="21"/>
              </w:rPr>
            </w:pPr>
            <w:r>
              <w:rPr>
                <w:rFonts w:hAnsi="宋体"/>
                <w:szCs w:val="21"/>
              </w:rPr>
              <w:t>二级</w:t>
            </w:r>
          </w:p>
        </w:tc>
        <w:tc>
          <w:tcPr>
            <w:tcW w:w="5251" w:type="dxa"/>
            <w:vAlign w:val="center"/>
          </w:tcPr>
          <w:p w:rsidR="00475650" w:rsidRDefault="00475650" w:rsidP="00BD74CB">
            <w:pPr>
              <w:snapToGrid w:val="0"/>
              <w:spacing w:beforeLines="20" w:afterLines="20" w:line="240" w:lineRule="exact"/>
              <w:jc w:val="center"/>
              <w:rPr>
                <w:szCs w:val="21"/>
              </w:rPr>
            </w:pPr>
            <w:r>
              <w:rPr>
                <w:rFonts w:hAnsi="宋体"/>
                <w:szCs w:val="21"/>
              </w:rPr>
              <w:t>其它</w:t>
            </w:r>
          </w:p>
        </w:tc>
      </w:tr>
      <w:tr w:rsidR="00475650">
        <w:trPr>
          <w:jc w:val="center"/>
        </w:trPr>
        <w:tc>
          <w:tcPr>
            <w:tcW w:w="3695" w:type="dxa"/>
            <w:vAlign w:val="center"/>
          </w:tcPr>
          <w:p w:rsidR="00475650" w:rsidRDefault="00475650" w:rsidP="00BD74CB">
            <w:pPr>
              <w:snapToGrid w:val="0"/>
              <w:spacing w:beforeLines="20" w:afterLines="20" w:line="240" w:lineRule="exact"/>
              <w:jc w:val="center"/>
              <w:rPr>
                <w:szCs w:val="21"/>
              </w:rPr>
            </w:pPr>
            <w:r>
              <w:rPr>
                <w:rFonts w:hAnsi="宋体"/>
                <w:szCs w:val="21"/>
              </w:rPr>
              <w:t>三级</w:t>
            </w:r>
          </w:p>
        </w:tc>
        <w:tc>
          <w:tcPr>
            <w:tcW w:w="5251" w:type="dxa"/>
            <w:vAlign w:val="center"/>
          </w:tcPr>
          <w:p w:rsidR="00475650" w:rsidRDefault="00475650" w:rsidP="00BD74CB">
            <w:pPr>
              <w:snapToGrid w:val="0"/>
              <w:spacing w:beforeLines="20" w:afterLines="20" w:line="240" w:lineRule="exact"/>
              <w:jc w:val="center"/>
              <w:rPr>
                <w:szCs w:val="21"/>
              </w:rPr>
            </w:pPr>
            <w:r>
              <w:rPr>
                <w:szCs w:val="21"/>
              </w:rPr>
              <w:t>P</w:t>
            </w:r>
            <w:r>
              <w:rPr>
                <w:szCs w:val="21"/>
                <w:vertAlign w:val="subscript"/>
              </w:rPr>
              <w:t>Max</w:t>
            </w:r>
            <w:r>
              <w:rPr>
                <w:szCs w:val="21"/>
              </w:rPr>
              <w:t>≤10</w:t>
            </w:r>
            <w:r>
              <w:rPr>
                <w:rFonts w:hAnsi="宋体"/>
                <w:szCs w:val="21"/>
              </w:rPr>
              <w:t>％或</w:t>
            </w:r>
            <w:r>
              <w:rPr>
                <w:szCs w:val="21"/>
              </w:rPr>
              <w:t>D</w:t>
            </w:r>
            <w:r>
              <w:rPr>
                <w:szCs w:val="21"/>
                <w:vertAlign w:val="subscript"/>
              </w:rPr>
              <w:t>10</w:t>
            </w:r>
            <w:r>
              <w:rPr>
                <w:rFonts w:hAnsi="宋体"/>
                <w:szCs w:val="21"/>
                <w:vertAlign w:val="subscript"/>
              </w:rPr>
              <w:t>％</w:t>
            </w:r>
            <w:r>
              <w:rPr>
                <w:rFonts w:hAnsi="宋体"/>
                <w:szCs w:val="21"/>
              </w:rPr>
              <w:t>＜污染源距厂界最近距离</w:t>
            </w:r>
          </w:p>
        </w:tc>
      </w:tr>
    </w:tbl>
    <w:p w:rsidR="00475650" w:rsidRDefault="00475650">
      <w:pPr>
        <w:spacing w:line="360" w:lineRule="auto"/>
        <w:jc w:val="center"/>
        <w:rPr>
          <w:rFonts w:hAnsi="宋体"/>
          <w:sz w:val="24"/>
        </w:rPr>
      </w:pPr>
    </w:p>
    <w:p w:rsidR="00475650" w:rsidRDefault="00475650">
      <w:pPr>
        <w:spacing w:line="360" w:lineRule="auto"/>
        <w:jc w:val="center"/>
        <w:rPr>
          <w:rFonts w:hAnsi="宋体"/>
          <w:sz w:val="24"/>
        </w:rPr>
      </w:pPr>
      <w:r>
        <w:rPr>
          <w:rFonts w:hAnsi="宋体"/>
          <w:sz w:val="24"/>
        </w:rPr>
        <w:t>表</w:t>
      </w:r>
      <w:r>
        <w:rPr>
          <w:sz w:val="24"/>
        </w:rPr>
        <w:t xml:space="preserve">1.4-3    </w:t>
      </w:r>
      <w:r>
        <w:rPr>
          <w:rFonts w:hAnsi="宋体"/>
          <w:sz w:val="24"/>
        </w:rPr>
        <w:t>估算模式计算结果表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126"/>
        <w:gridCol w:w="936"/>
        <w:gridCol w:w="1086"/>
        <w:gridCol w:w="896"/>
        <w:gridCol w:w="1557"/>
        <w:gridCol w:w="1118"/>
        <w:gridCol w:w="1118"/>
        <w:gridCol w:w="1109"/>
      </w:tblGrid>
      <w:tr w:rsidR="00475650">
        <w:trPr>
          <w:jc w:val="center"/>
        </w:trPr>
        <w:tc>
          <w:tcPr>
            <w:tcW w:w="1126" w:type="dxa"/>
            <w:vAlign w:val="center"/>
          </w:tcPr>
          <w:p w:rsidR="00475650" w:rsidRDefault="00475650" w:rsidP="00BD74CB">
            <w:pPr>
              <w:snapToGrid w:val="0"/>
              <w:spacing w:beforeLines="10" w:afterLines="10"/>
              <w:jc w:val="center"/>
              <w:rPr>
                <w:szCs w:val="21"/>
              </w:rPr>
            </w:pPr>
            <w:r>
              <w:rPr>
                <w:rFonts w:hAnsi="宋体"/>
                <w:szCs w:val="21"/>
              </w:rPr>
              <w:t>污染源</w:t>
            </w:r>
          </w:p>
        </w:tc>
        <w:tc>
          <w:tcPr>
            <w:tcW w:w="936" w:type="dxa"/>
            <w:vAlign w:val="center"/>
          </w:tcPr>
          <w:p w:rsidR="00475650" w:rsidRDefault="00475650" w:rsidP="00BD74CB">
            <w:pPr>
              <w:snapToGrid w:val="0"/>
              <w:spacing w:beforeLines="10" w:afterLines="10"/>
              <w:jc w:val="center"/>
              <w:rPr>
                <w:szCs w:val="21"/>
              </w:rPr>
            </w:pPr>
            <w:r>
              <w:rPr>
                <w:rFonts w:hAnsi="宋体"/>
                <w:szCs w:val="21"/>
              </w:rPr>
              <w:t>污染物</w:t>
            </w:r>
          </w:p>
        </w:tc>
        <w:tc>
          <w:tcPr>
            <w:tcW w:w="1086" w:type="dxa"/>
            <w:vAlign w:val="center"/>
          </w:tcPr>
          <w:p w:rsidR="00475650" w:rsidRDefault="00475650" w:rsidP="00BD74CB">
            <w:pPr>
              <w:snapToGrid w:val="0"/>
              <w:spacing w:beforeLines="10" w:afterLines="10"/>
              <w:jc w:val="center"/>
              <w:rPr>
                <w:szCs w:val="21"/>
              </w:rPr>
            </w:pPr>
            <w:r>
              <w:rPr>
                <w:rFonts w:hAnsi="宋体"/>
                <w:szCs w:val="21"/>
              </w:rPr>
              <w:t>最大落地浓度</w:t>
            </w:r>
            <w:r>
              <w:rPr>
                <w:szCs w:val="21"/>
              </w:rPr>
              <w:t>ug/m</w:t>
            </w:r>
            <w:r>
              <w:rPr>
                <w:szCs w:val="21"/>
                <w:vertAlign w:val="superscript"/>
              </w:rPr>
              <w:t>3</w:t>
            </w:r>
          </w:p>
        </w:tc>
        <w:tc>
          <w:tcPr>
            <w:tcW w:w="896" w:type="dxa"/>
            <w:vAlign w:val="center"/>
          </w:tcPr>
          <w:p w:rsidR="00475650" w:rsidRDefault="00475650" w:rsidP="00BD74CB">
            <w:pPr>
              <w:snapToGrid w:val="0"/>
              <w:spacing w:beforeLines="10" w:afterLines="10"/>
              <w:jc w:val="center"/>
              <w:rPr>
                <w:szCs w:val="21"/>
              </w:rPr>
            </w:pPr>
            <w:r>
              <w:rPr>
                <w:rFonts w:hAnsi="宋体"/>
                <w:szCs w:val="21"/>
              </w:rPr>
              <w:t>最大落地距离</w:t>
            </w:r>
            <w:r>
              <w:rPr>
                <w:szCs w:val="21"/>
              </w:rPr>
              <w:t>m</w:t>
            </w:r>
          </w:p>
        </w:tc>
        <w:tc>
          <w:tcPr>
            <w:tcW w:w="1557" w:type="dxa"/>
            <w:vAlign w:val="center"/>
          </w:tcPr>
          <w:p w:rsidR="00475650" w:rsidRDefault="00475650" w:rsidP="00BD74CB">
            <w:pPr>
              <w:snapToGrid w:val="0"/>
              <w:spacing w:beforeLines="10" w:afterLines="10"/>
              <w:jc w:val="center"/>
              <w:rPr>
                <w:szCs w:val="21"/>
              </w:rPr>
            </w:pPr>
            <w:r>
              <w:rPr>
                <w:rFonts w:hAnsi="宋体"/>
                <w:szCs w:val="21"/>
              </w:rPr>
              <w:t>地面浓度达标准限值</w:t>
            </w:r>
            <w:r>
              <w:rPr>
                <w:szCs w:val="21"/>
              </w:rPr>
              <w:t>10%</w:t>
            </w:r>
            <w:r>
              <w:rPr>
                <w:rFonts w:hAnsi="宋体"/>
                <w:szCs w:val="21"/>
              </w:rPr>
              <w:t>时对应的最远距离</w:t>
            </w:r>
            <w:r>
              <w:rPr>
                <w:szCs w:val="21"/>
              </w:rPr>
              <w:t>[m]</w:t>
            </w:r>
          </w:p>
        </w:tc>
        <w:tc>
          <w:tcPr>
            <w:tcW w:w="1118" w:type="dxa"/>
            <w:vAlign w:val="center"/>
          </w:tcPr>
          <w:p w:rsidR="00475650" w:rsidRDefault="00475650" w:rsidP="00BD74CB">
            <w:pPr>
              <w:snapToGrid w:val="0"/>
              <w:spacing w:beforeLines="10" w:afterLines="10"/>
              <w:jc w:val="center"/>
              <w:rPr>
                <w:szCs w:val="21"/>
              </w:rPr>
            </w:pPr>
            <w:r>
              <w:rPr>
                <w:rFonts w:hAnsi="宋体"/>
                <w:szCs w:val="21"/>
              </w:rPr>
              <w:t>评价标准</w:t>
            </w:r>
            <w:r>
              <w:rPr>
                <w:szCs w:val="21"/>
              </w:rPr>
              <w:t>[ug/m</w:t>
            </w:r>
            <w:r>
              <w:rPr>
                <w:szCs w:val="21"/>
                <w:vertAlign w:val="superscript"/>
              </w:rPr>
              <w:t>3</w:t>
            </w:r>
            <w:r>
              <w:rPr>
                <w:szCs w:val="21"/>
              </w:rPr>
              <w:t>]</w:t>
            </w:r>
          </w:p>
        </w:tc>
        <w:tc>
          <w:tcPr>
            <w:tcW w:w="1118" w:type="dxa"/>
            <w:vAlign w:val="center"/>
          </w:tcPr>
          <w:p w:rsidR="00475650" w:rsidRDefault="00475650" w:rsidP="00BD74CB">
            <w:pPr>
              <w:snapToGrid w:val="0"/>
              <w:spacing w:beforeLines="10" w:afterLines="10"/>
              <w:jc w:val="center"/>
              <w:rPr>
                <w:szCs w:val="21"/>
              </w:rPr>
            </w:pPr>
            <w:r>
              <w:rPr>
                <w:rFonts w:hAnsi="宋体"/>
                <w:szCs w:val="21"/>
              </w:rPr>
              <w:t>最大落地浓度占标率</w:t>
            </w:r>
            <w:r>
              <w:rPr>
                <w:szCs w:val="21"/>
              </w:rPr>
              <w:t>P</w:t>
            </w:r>
            <w:r>
              <w:rPr>
                <w:szCs w:val="21"/>
                <w:vertAlign w:val="subscript"/>
              </w:rPr>
              <w:t>i</w:t>
            </w:r>
            <w:r>
              <w:rPr>
                <w:szCs w:val="21"/>
              </w:rPr>
              <w:t>%</w:t>
            </w:r>
          </w:p>
        </w:tc>
        <w:tc>
          <w:tcPr>
            <w:tcW w:w="1109" w:type="dxa"/>
            <w:vAlign w:val="center"/>
          </w:tcPr>
          <w:p w:rsidR="00475650" w:rsidRDefault="00475650" w:rsidP="00BD74CB">
            <w:pPr>
              <w:snapToGrid w:val="0"/>
              <w:spacing w:beforeLines="10" w:afterLines="10"/>
              <w:jc w:val="center"/>
              <w:rPr>
                <w:szCs w:val="21"/>
              </w:rPr>
            </w:pPr>
            <w:r>
              <w:rPr>
                <w:rFonts w:hAnsi="宋体"/>
                <w:szCs w:val="21"/>
              </w:rPr>
              <w:t>评价等级</w:t>
            </w:r>
          </w:p>
        </w:tc>
      </w:tr>
      <w:tr w:rsidR="00475650">
        <w:trPr>
          <w:jc w:val="center"/>
        </w:trPr>
        <w:tc>
          <w:tcPr>
            <w:tcW w:w="1126" w:type="dxa"/>
            <w:vMerge w:val="restart"/>
            <w:vAlign w:val="center"/>
          </w:tcPr>
          <w:p w:rsidR="00475650" w:rsidRDefault="00475650" w:rsidP="00BD74CB">
            <w:pPr>
              <w:snapToGrid w:val="0"/>
              <w:spacing w:beforeLines="10" w:afterLines="10"/>
              <w:jc w:val="center"/>
              <w:rPr>
                <w:szCs w:val="21"/>
              </w:rPr>
            </w:pPr>
            <w:r>
              <w:rPr>
                <w:rFonts w:hAnsi="宋体" w:hint="eastAsia"/>
                <w:szCs w:val="21"/>
              </w:rPr>
              <w:t>集中排气筒</w:t>
            </w:r>
          </w:p>
        </w:tc>
        <w:tc>
          <w:tcPr>
            <w:tcW w:w="936" w:type="dxa"/>
            <w:vAlign w:val="center"/>
          </w:tcPr>
          <w:p w:rsidR="00475650" w:rsidRDefault="00475650" w:rsidP="00BD74CB">
            <w:pPr>
              <w:snapToGrid w:val="0"/>
              <w:spacing w:beforeLines="10" w:afterLines="10"/>
              <w:jc w:val="center"/>
              <w:rPr>
                <w:szCs w:val="21"/>
              </w:rPr>
            </w:pPr>
            <w:r>
              <w:rPr>
                <w:rFonts w:hAnsi="宋体"/>
                <w:szCs w:val="21"/>
              </w:rPr>
              <w:t>粉尘</w:t>
            </w:r>
          </w:p>
        </w:tc>
        <w:tc>
          <w:tcPr>
            <w:tcW w:w="1086" w:type="dxa"/>
            <w:vAlign w:val="center"/>
          </w:tcPr>
          <w:p w:rsidR="00475650" w:rsidRDefault="00475650" w:rsidP="00BD74CB">
            <w:pPr>
              <w:snapToGrid w:val="0"/>
              <w:spacing w:beforeLines="10" w:afterLines="10"/>
              <w:jc w:val="center"/>
              <w:rPr>
                <w:szCs w:val="21"/>
              </w:rPr>
            </w:pPr>
            <w:r>
              <w:rPr>
                <w:rFonts w:hint="eastAsia"/>
                <w:szCs w:val="21"/>
              </w:rPr>
              <w:t>3.881</w:t>
            </w:r>
          </w:p>
        </w:tc>
        <w:tc>
          <w:tcPr>
            <w:tcW w:w="896" w:type="dxa"/>
            <w:vAlign w:val="center"/>
          </w:tcPr>
          <w:p w:rsidR="00475650" w:rsidRDefault="00475650" w:rsidP="00BD74CB">
            <w:pPr>
              <w:snapToGrid w:val="0"/>
              <w:spacing w:beforeLines="10" w:afterLines="10"/>
              <w:jc w:val="center"/>
              <w:rPr>
                <w:szCs w:val="21"/>
              </w:rPr>
            </w:pPr>
            <w:r>
              <w:rPr>
                <w:rFonts w:hint="eastAsia"/>
                <w:szCs w:val="21"/>
              </w:rPr>
              <w:t>325</w:t>
            </w:r>
          </w:p>
        </w:tc>
        <w:tc>
          <w:tcPr>
            <w:tcW w:w="1557" w:type="dxa"/>
            <w:vAlign w:val="center"/>
          </w:tcPr>
          <w:p w:rsidR="00475650" w:rsidRDefault="00475650" w:rsidP="00BD74CB">
            <w:pPr>
              <w:snapToGrid w:val="0"/>
              <w:spacing w:beforeLines="10" w:afterLines="10"/>
              <w:jc w:val="center"/>
              <w:rPr>
                <w:szCs w:val="21"/>
              </w:rPr>
            </w:pPr>
            <w:r>
              <w:rPr>
                <w:szCs w:val="21"/>
              </w:rPr>
              <w:t>——</w:t>
            </w:r>
          </w:p>
        </w:tc>
        <w:tc>
          <w:tcPr>
            <w:tcW w:w="1118" w:type="dxa"/>
            <w:vAlign w:val="center"/>
          </w:tcPr>
          <w:p w:rsidR="00475650" w:rsidRDefault="00475650" w:rsidP="00BD74CB">
            <w:pPr>
              <w:snapToGrid w:val="0"/>
              <w:spacing w:beforeLines="10" w:afterLines="10"/>
              <w:jc w:val="center"/>
              <w:rPr>
                <w:szCs w:val="21"/>
              </w:rPr>
            </w:pPr>
            <w:r>
              <w:rPr>
                <w:szCs w:val="21"/>
              </w:rPr>
              <w:t>450</w:t>
            </w:r>
          </w:p>
        </w:tc>
        <w:tc>
          <w:tcPr>
            <w:tcW w:w="1118" w:type="dxa"/>
            <w:vAlign w:val="center"/>
          </w:tcPr>
          <w:p w:rsidR="00475650" w:rsidRDefault="00475650" w:rsidP="00BD74CB">
            <w:pPr>
              <w:snapToGrid w:val="0"/>
              <w:spacing w:beforeLines="10" w:afterLines="10"/>
              <w:jc w:val="center"/>
              <w:rPr>
                <w:szCs w:val="21"/>
              </w:rPr>
            </w:pPr>
            <w:r>
              <w:rPr>
                <w:rFonts w:hint="eastAsia"/>
                <w:szCs w:val="21"/>
              </w:rPr>
              <w:t>0.862</w:t>
            </w:r>
          </w:p>
        </w:tc>
        <w:tc>
          <w:tcPr>
            <w:tcW w:w="1109" w:type="dxa"/>
            <w:vMerge w:val="restart"/>
            <w:vAlign w:val="center"/>
          </w:tcPr>
          <w:p w:rsidR="00475650" w:rsidRDefault="00475650" w:rsidP="00BD74CB">
            <w:pPr>
              <w:snapToGrid w:val="0"/>
              <w:spacing w:beforeLines="10" w:afterLines="10"/>
              <w:jc w:val="center"/>
              <w:rPr>
                <w:szCs w:val="21"/>
              </w:rPr>
            </w:pPr>
            <w:r>
              <w:rPr>
                <w:rFonts w:hAnsi="宋体"/>
                <w:szCs w:val="21"/>
              </w:rPr>
              <w:t>三级</w:t>
            </w:r>
          </w:p>
        </w:tc>
      </w:tr>
      <w:tr w:rsidR="00475650">
        <w:trPr>
          <w:jc w:val="center"/>
        </w:trPr>
        <w:tc>
          <w:tcPr>
            <w:tcW w:w="1126" w:type="dxa"/>
            <w:vMerge/>
            <w:vAlign w:val="center"/>
          </w:tcPr>
          <w:p w:rsidR="00475650" w:rsidRDefault="00475650" w:rsidP="00BD74CB">
            <w:pPr>
              <w:snapToGrid w:val="0"/>
              <w:spacing w:beforeLines="10" w:afterLines="10"/>
              <w:jc w:val="center"/>
              <w:rPr>
                <w:rFonts w:hAnsi="宋体"/>
                <w:szCs w:val="21"/>
              </w:rPr>
            </w:pPr>
          </w:p>
        </w:tc>
        <w:tc>
          <w:tcPr>
            <w:tcW w:w="936" w:type="dxa"/>
            <w:vAlign w:val="center"/>
          </w:tcPr>
          <w:p w:rsidR="00475650" w:rsidRDefault="00475650" w:rsidP="00BD74CB">
            <w:pPr>
              <w:snapToGrid w:val="0"/>
              <w:spacing w:beforeLines="10" w:afterLines="10"/>
              <w:jc w:val="center"/>
              <w:rPr>
                <w:rFonts w:hAnsi="宋体"/>
                <w:szCs w:val="21"/>
              </w:rPr>
            </w:pPr>
            <w:r>
              <w:rPr>
                <w:rFonts w:hAnsi="宋体" w:hint="eastAsia"/>
                <w:szCs w:val="21"/>
              </w:rPr>
              <w:t>氯化氢</w:t>
            </w:r>
          </w:p>
        </w:tc>
        <w:tc>
          <w:tcPr>
            <w:tcW w:w="1086" w:type="dxa"/>
            <w:vAlign w:val="center"/>
          </w:tcPr>
          <w:p w:rsidR="00475650" w:rsidRDefault="00475650" w:rsidP="00BD74CB">
            <w:pPr>
              <w:snapToGrid w:val="0"/>
              <w:spacing w:beforeLines="10" w:afterLines="10"/>
              <w:jc w:val="center"/>
              <w:rPr>
                <w:szCs w:val="21"/>
              </w:rPr>
            </w:pPr>
            <w:r>
              <w:rPr>
                <w:rFonts w:hint="eastAsia"/>
                <w:szCs w:val="21"/>
              </w:rPr>
              <w:t>2.479</w:t>
            </w:r>
          </w:p>
        </w:tc>
        <w:tc>
          <w:tcPr>
            <w:tcW w:w="896" w:type="dxa"/>
            <w:vAlign w:val="center"/>
          </w:tcPr>
          <w:p w:rsidR="00475650" w:rsidRDefault="00475650" w:rsidP="00BD74CB">
            <w:pPr>
              <w:snapToGrid w:val="0"/>
              <w:spacing w:beforeLines="10" w:afterLines="10"/>
              <w:jc w:val="center"/>
              <w:rPr>
                <w:szCs w:val="21"/>
              </w:rPr>
            </w:pPr>
            <w:r>
              <w:rPr>
                <w:rFonts w:hint="eastAsia"/>
                <w:szCs w:val="21"/>
              </w:rPr>
              <w:t>325</w:t>
            </w:r>
          </w:p>
        </w:tc>
        <w:tc>
          <w:tcPr>
            <w:tcW w:w="1557" w:type="dxa"/>
            <w:vAlign w:val="center"/>
          </w:tcPr>
          <w:p w:rsidR="00475650" w:rsidRDefault="00475650" w:rsidP="00BD74CB">
            <w:pPr>
              <w:snapToGrid w:val="0"/>
              <w:spacing w:beforeLines="10" w:afterLines="10"/>
              <w:jc w:val="center"/>
              <w:rPr>
                <w:szCs w:val="21"/>
              </w:rPr>
            </w:pPr>
          </w:p>
        </w:tc>
        <w:tc>
          <w:tcPr>
            <w:tcW w:w="1118" w:type="dxa"/>
            <w:vAlign w:val="center"/>
          </w:tcPr>
          <w:p w:rsidR="00475650" w:rsidRDefault="00475650" w:rsidP="00BD74CB">
            <w:pPr>
              <w:snapToGrid w:val="0"/>
              <w:spacing w:beforeLines="10" w:afterLines="10"/>
              <w:jc w:val="center"/>
              <w:rPr>
                <w:szCs w:val="21"/>
              </w:rPr>
            </w:pPr>
            <w:r>
              <w:rPr>
                <w:rFonts w:hint="eastAsia"/>
                <w:szCs w:val="21"/>
              </w:rPr>
              <w:t>50</w:t>
            </w:r>
          </w:p>
        </w:tc>
        <w:tc>
          <w:tcPr>
            <w:tcW w:w="1118" w:type="dxa"/>
            <w:vAlign w:val="center"/>
          </w:tcPr>
          <w:p w:rsidR="00475650" w:rsidRDefault="00475650" w:rsidP="00BD74CB">
            <w:pPr>
              <w:snapToGrid w:val="0"/>
              <w:spacing w:beforeLines="10" w:afterLines="10"/>
              <w:jc w:val="center"/>
              <w:rPr>
                <w:szCs w:val="21"/>
              </w:rPr>
            </w:pPr>
            <w:r>
              <w:rPr>
                <w:rFonts w:hint="eastAsia"/>
                <w:szCs w:val="21"/>
              </w:rPr>
              <w:t>4.958</w:t>
            </w:r>
          </w:p>
        </w:tc>
        <w:tc>
          <w:tcPr>
            <w:tcW w:w="1109" w:type="dxa"/>
            <w:vMerge/>
            <w:vAlign w:val="center"/>
          </w:tcPr>
          <w:p w:rsidR="00475650" w:rsidRDefault="00475650" w:rsidP="00BD74CB">
            <w:pPr>
              <w:snapToGrid w:val="0"/>
              <w:spacing w:beforeLines="10" w:afterLines="10"/>
              <w:jc w:val="center"/>
              <w:rPr>
                <w:szCs w:val="21"/>
              </w:rPr>
            </w:pPr>
          </w:p>
        </w:tc>
      </w:tr>
      <w:tr w:rsidR="00475650">
        <w:trPr>
          <w:jc w:val="center"/>
        </w:trPr>
        <w:tc>
          <w:tcPr>
            <w:tcW w:w="1126" w:type="dxa"/>
            <w:vMerge/>
            <w:vAlign w:val="center"/>
          </w:tcPr>
          <w:p w:rsidR="00475650" w:rsidRDefault="00475650" w:rsidP="00BD74CB">
            <w:pPr>
              <w:snapToGrid w:val="0"/>
              <w:spacing w:beforeLines="10" w:afterLines="10"/>
              <w:jc w:val="center"/>
              <w:rPr>
                <w:rFonts w:hAnsi="宋体"/>
                <w:szCs w:val="21"/>
              </w:rPr>
            </w:pPr>
          </w:p>
        </w:tc>
        <w:tc>
          <w:tcPr>
            <w:tcW w:w="936" w:type="dxa"/>
            <w:vAlign w:val="center"/>
          </w:tcPr>
          <w:p w:rsidR="00475650" w:rsidRDefault="00475650" w:rsidP="00BD74CB">
            <w:pPr>
              <w:snapToGrid w:val="0"/>
              <w:spacing w:beforeLines="10" w:afterLines="10"/>
              <w:jc w:val="center"/>
              <w:rPr>
                <w:rFonts w:hAnsi="宋体"/>
                <w:szCs w:val="21"/>
              </w:rPr>
            </w:pPr>
            <w:r>
              <w:rPr>
                <w:rFonts w:hAnsi="宋体" w:hint="eastAsia"/>
                <w:szCs w:val="21"/>
              </w:rPr>
              <w:t>氨气</w:t>
            </w:r>
          </w:p>
        </w:tc>
        <w:tc>
          <w:tcPr>
            <w:tcW w:w="1086" w:type="dxa"/>
            <w:vAlign w:val="center"/>
          </w:tcPr>
          <w:p w:rsidR="00475650" w:rsidRDefault="00475650" w:rsidP="00BD74CB">
            <w:pPr>
              <w:snapToGrid w:val="0"/>
              <w:spacing w:beforeLines="10" w:afterLines="10"/>
              <w:jc w:val="center"/>
              <w:rPr>
                <w:szCs w:val="21"/>
              </w:rPr>
            </w:pPr>
            <w:r>
              <w:rPr>
                <w:rFonts w:hint="eastAsia"/>
                <w:szCs w:val="21"/>
              </w:rPr>
              <w:t>0.882</w:t>
            </w:r>
          </w:p>
        </w:tc>
        <w:tc>
          <w:tcPr>
            <w:tcW w:w="896" w:type="dxa"/>
            <w:vAlign w:val="center"/>
          </w:tcPr>
          <w:p w:rsidR="00475650" w:rsidRDefault="00475650" w:rsidP="00BD74CB">
            <w:pPr>
              <w:snapToGrid w:val="0"/>
              <w:spacing w:beforeLines="10" w:afterLines="10"/>
              <w:jc w:val="center"/>
              <w:rPr>
                <w:szCs w:val="21"/>
              </w:rPr>
            </w:pPr>
            <w:r>
              <w:rPr>
                <w:rFonts w:hint="eastAsia"/>
                <w:szCs w:val="21"/>
              </w:rPr>
              <w:t>325</w:t>
            </w:r>
          </w:p>
        </w:tc>
        <w:tc>
          <w:tcPr>
            <w:tcW w:w="1557" w:type="dxa"/>
            <w:vAlign w:val="center"/>
          </w:tcPr>
          <w:p w:rsidR="00475650" w:rsidRDefault="00475650" w:rsidP="00BD74CB">
            <w:pPr>
              <w:snapToGrid w:val="0"/>
              <w:spacing w:beforeLines="10" w:afterLines="10"/>
              <w:jc w:val="center"/>
              <w:rPr>
                <w:szCs w:val="21"/>
              </w:rPr>
            </w:pPr>
          </w:p>
        </w:tc>
        <w:tc>
          <w:tcPr>
            <w:tcW w:w="1118" w:type="dxa"/>
            <w:vAlign w:val="center"/>
          </w:tcPr>
          <w:p w:rsidR="00475650" w:rsidRDefault="00475650" w:rsidP="00BD74CB">
            <w:pPr>
              <w:snapToGrid w:val="0"/>
              <w:spacing w:beforeLines="10" w:afterLines="10"/>
              <w:jc w:val="center"/>
              <w:rPr>
                <w:szCs w:val="21"/>
              </w:rPr>
            </w:pPr>
            <w:r>
              <w:rPr>
                <w:rFonts w:hint="eastAsia"/>
                <w:szCs w:val="21"/>
              </w:rPr>
              <w:t>200</w:t>
            </w:r>
          </w:p>
        </w:tc>
        <w:tc>
          <w:tcPr>
            <w:tcW w:w="1118" w:type="dxa"/>
            <w:vAlign w:val="center"/>
          </w:tcPr>
          <w:p w:rsidR="00475650" w:rsidRDefault="00475650" w:rsidP="00BD74CB">
            <w:pPr>
              <w:snapToGrid w:val="0"/>
              <w:spacing w:beforeLines="10" w:afterLines="10"/>
              <w:jc w:val="center"/>
              <w:rPr>
                <w:szCs w:val="21"/>
              </w:rPr>
            </w:pPr>
            <w:r>
              <w:rPr>
                <w:rFonts w:hint="eastAsia"/>
                <w:szCs w:val="21"/>
              </w:rPr>
              <w:t>0.441</w:t>
            </w:r>
          </w:p>
        </w:tc>
        <w:tc>
          <w:tcPr>
            <w:tcW w:w="1109" w:type="dxa"/>
            <w:vMerge/>
            <w:vAlign w:val="center"/>
          </w:tcPr>
          <w:p w:rsidR="00475650" w:rsidRDefault="00475650" w:rsidP="00BD74CB">
            <w:pPr>
              <w:snapToGrid w:val="0"/>
              <w:spacing w:beforeLines="10" w:afterLines="10"/>
              <w:jc w:val="center"/>
              <w:rPr>
                <w:szCs w:val="21"/>
              </w:rPr>
            </w:pPr>
          </w:p>
        </w:tc>
      </w:tr>
    </w:tbl>
    <w:p w:rsidR="00475650" w:rsidRDefault="00475650">
      <w:pPr>
        <w:spacing w:line="360" w:lineRule="auto"/>
        <w:ind w:firstLineChars="200" w:firstLine="480"/>
        <w:rPr>
          <w:rFonts w:hAnsi="宋体"/>
          <w:sz w:val="24"/>
        </w:rPr>
      </w:pPr>
    </w:p>
    <w:p w:rsidR="00475650" w:rsidRDefault="00475650">
      <w:pPr>
        <w:spacing w:line="360" w:lineRule="auto"/>
        <w:ind w:firstLineChars="200" w:firstLine="480"/>
        <w:rPr>
          <w:sz w:val="24"/>
        </w:rPr>
      </w:pPr>
      <w:r>
        <w:rPr>
          <w:rFonts w:hAnsi="宋体"/>
          <w:sz w:val="24"/>
        </w:rPr>
        <w:t>（</w:t>
      </w:r>
      <w:r>
        <w:rPr>
          <w:sz w:val="24"/>
        </w:rPr>
        <w:t>2</w:t>
      </w:r>
      <w:r>
        <w:rPr>
          <w:rFonts w:hAnsi="宋体"/>
          <w:sz w:val="24"/>
        </w:rPr>
        <w:t>）评价范围：根据《环境影响评价技术导则</w:t>
      </w:r>
      <w:r>
        <w:rPr>
          <w:sz w:val="24"/>
        </w:rPr>
        <w:t>——</w:t>
      </w:r>
      <w:r>
        <w:rPr>
          <w:rFonts w:hAnsi="宋体"/>
          <w:sz w:val="24"/>
        </w:rPr>
        <w:t>大气环境》</w:t>
      </w:r>
      <w:r>
        <w:rPr>
          <w:sz w:val="24"/>
        </w:rPr>
        <w:t>HJ2.2-2008</w:t>
      </w:r>
      <w:r>
        <w:rPr>
          <w:rFonts w:hAnsi="宋体"/>
          <w:sz w:val="24"/>
        </w:rPr>
        <w:t>，本项目大气评价范围以项目区为中心，半径</w:t>
      </w:r>
      <w:r>
        <w:rPr>
          <w:sz w:val="24"/>
        </w:rPr>
        <w:t>2.5km</w:t>
      </w:r>
      <w:r>
        <w:rPr>
          <w:rFonts w:hAnsi="宋体"/>
          <w:sz w:val="24"/>
        </w:rPr>
        <w:t>的圆形范围。</w:t>
      </w:r>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185" w:name="_Toc334014084"/>
      <w:bookmarkStart w:id="186" w:name="_Toc332292941"/>
      <w:bookmarkStart w:id="187" w:name="_Toc270622558"/>
      <w:bookmarkStart w:id="188" w:name="_Toc269630363"/>
      <w:bookmarkStart w:id="189" w:name="_Toc302936687"/>
      <w:bookmarkStart w:id="190" w:name="_Toc269630445"/>
      <w:bookmarkStart w:id="191" w:name="_Toc333229871"/>
      <w:bookmarkStart w:id="192" w:name="_Toc334080726"/>
      <w:bookmarkStart w:id="193" w:name="_Toc448999050"/>
      <w:bookmarkStart w:id="194" w:name="_Toc465676945"/>
      <w:bookmarkStart w:id="195" w:name="_Toc28265"/>
      <w:r>
        <w:rPr>
          <w:rStyle w:val="2Char1Char"/>
          <w:rFonts w:ascii="Times New Roman" w:eastAsia="宋体" w:hAnsi="Times New Roman" w:cs="Times New Roman"/>
          <w:b w:val="0"/>
          <w:sz w:val="24"/>
          <w:szCs w:val="24"/>
        </w:rPr>
        <w:lastRenderedPageBreak/>
        <w:t>1.4.1.2</w:t>
      </w:r>
      <w:r>
        <w:rPr>
          <w:rStyle w:val="2Char1Char"/>
          <w:rFonts w:ascii="Times New Roman" w:eastAsia="宋体" w:hAnsi="宋体" w:cs="Times New Roman"/>
          <w:b w:val="0"/>
          <w:sz w:val="24"/>
          <w:szCs w:val="24"/>
        </w:rPr>
        <w:t>水环境</w:t>
      </w:r>
      <w:bookmarkEnd w:id="185"/>
      <w:bookmarkEnd w:id="186"/>
      <w:bookmarkEnd w:id="187"/>
      <w:bookmarkEnd w:id="188"/>
      <w:bookmarkEnd w:id="189"/>
      <w:bookmarkEnd w:id="190"/>
      <w:bookmarkEnd w:id="191"/>
      <w:bookmarkEnd w:id="192"/>
      <w:bookmarkEnd w:id="193"/>
      <w:bookmarkEnd w:id="194"/>
      <w:bookmarkEnd w:id="195"/>
    </w:p>
    <w:p w:rsidR="00475650" w:rsidRDefault="00475650">
      <w:pPr>
        <w:spacing w:line="360" w:lineRule="auto"/>
        <w:ind w:firstLineChars="200" w:firstLine="480"/>
        <w:rPr>
          <w:sz w:val="24"/>
        </w:rPr>
      </w:pPr>
      <w:r>
        <w:rPr>
          <w:sz w:val="24"/>
        </w:rPr>
        <w:t>1</w:t>
      </w:r>
      <w:r>
        <w:rPr>
          <w:rFonts w:hAnsi="宋体"/>
          <w:sz w:val="24"/>
        </w:rPr>
        <w:t>、地表水</w:t>
      </w:r>
    </w:p>
    <w:p w:rsidR="00475650" w:rsidRDefault="00475650">
      <w:pPr>
        <w:pStyle w:val="2fa"/>
        <w:spacing w:after="0" w:line="360" w:lineRule="auto"/>
        <w:ind w:leftChars="0" w:left="0" w:firstLineChars="200" w:firstLine="480"/>
        <w:rPr>
          <w:sz w:val="24"/>
        </w:rPr>
      </w:pPr>
      <w:r>
        <w:rPr>
          <w:sz w:val="24"/>
        </w:rPr>
        <w:t>(1)</w:t>
      </w:r>
      <w:r>
        <w:rPr>
          <w:rFonts w:hAnsi="宋体"/>
          <w:sz w:val="24"/>
        </w:rPr>
        <w:t>评价等级</w:t>
      </w:r>
    </w:p>
    <w:p w:rsidR="00475650" w:rsidRDefault="00475650">
      <w:pPr>
        <w:spacing w:line="360" w:lineRule="auto"/>
        <w:ind w:firstLineChars="200" w:firstLine="480"/>
        <w:rPr>
          <w:sz w:val="24"/>
        </w:rPr>
      </w:pPr>
      <w:r>
        <w:rPr>
          <w:rFonts w:hAnsi="宋体"/>
          <w:sz w:val="24"/>
        </w:rPr>
        <w:t>项目外排水量约为</w:t>
      </w:r>
      <w:r>
        <w:rPr>
          <w:rFonts w:hint="eastAsia"/>
          <w:sz w:val="24"/>
        </w:rPr>
        <w:t>623.1</w:t>
      </w:r>
      <w:r>
        <w:rPr>
          <w:sz w:val="24"/>
        </w:rPr>
        <w:t>m</w:t>
      </w:r>
      <w:r>
        <w:rPr>
          <w:sz w:val="24"/>
          <w:vertAlign w:val="superscript"/>
        </w:rPr>
        <w:t>3</w:t>
      </w:r>
      <w:r>
        <w:rPr>
          <w:sz w:val="24"/>
        </w:rPr>
        <w:t>/d</w:t>
      </w:r>
      <w:r>
        <w:rPr>
          <w:rFonts w:hAnsi="宋体"/>
          <w:sz w:val="24"/>
        </w:rPr>
        <w:t>（</w:t>
      </w:r>
      <w:r>
        <w:rPr>
          <w:sz w:val="24"/>
        </w:rPr>
        <w:t>200 m</w:t>
      </w:r>
      <w:r>
        <w:rPr>
          <w:sz w:val="24"/>
          <w:vertAlign w:val="superscript"/>
        </w:rPr>
        <w:t>3</w:t>
      </w:r>
      <w:r>
        <w:rPr>
          <w:sz w:val="24"/>
        </w:rPr>
        <w:t>/d</w:t>
      </w:r>
      <w:r>
        <w:rPr>
          <w:rFonts w:hAnsi="宋体"/>
          <w:sz w:val="24"/>
        </w:rPr>
        <w:t>＜</w:t>
      </w:r>
      <w:r>
        <w:rPr>
          <w:sz w:val="24"/>
        </w:rPr>
        <w:t>Q</w:t>
      </w:r>
      <w:r>
        <w:rPr>
          <w:rFonts w:hAnsi="宋体"/>
          <w:sz w:val="24"/>
        </w:rPr>
        <w:t>＜</w:t>
      </w:r>
      <w:r>
        <w:rPr>
          <w:rFonts w:hint="eastAsia"/>
          <w:sz w:val="24"/>
        </w:rPr>
        <w:t>10</w:t>
      </w:r>
      <w:r>
        <w:rPr>
          <w:sz w:val="24"/>
        </w:rPr>
        <w:t>00 m</w:t>
      </w:r>
      <w:r>
        <w:rPr>
          <w:sz w:val="24"/>
          <w:vertAlign w:val="superscript"/>
        </w:rPr>
        <w:t>3</w:t>
      </w:r>
      <w:r>
        <w:rPr>
          <w:sz w:val="24"/>
        </w:rPr>
        <w:t>/d</w:t>
      </w:r>
      <w:r>
        <w:rPr>
          <w:rFonts w:hAnsi="宋体"/>
          <w:sz w:val="24"/>
        </w:rPr>
        <w:t>），水质复杂程度为中等，经处理后外排园区污水处理厂，最终的纳污水体为长江，属于大河，三类水体，根据《环境影响评价技术导则</w:t>
      </w:r>
      <w:r>
        <w:rPr>
          <w:sz w:val="24"/>
        </w:rPr>
        <w:t>-</w:t>
      </w:r>
      <w:r>
        <w:rPr>
          <w:rFonts w:hAnsi="宋体"/>
          <w:sz w:val="24"/>
        </w:rPr>
        <w:t>地面水环境》（</w:t>
      </w:r>
      <w:r>
        <w:rPr>
          <w:sz w:val="24"/>
        </w:rPr>
        <w:t>HJ/T2.3—93</w:t>
      </w:r>
      <w:r>
        <w:rPr>
          <w:rFonts w:hAnsi="宋体"/>
          <w:sz w:val="24"/>
        </w:rPr>
        <w:t>）之规定，水环境影响评价</w:t>
      </w:r>
      <w:r>
        <w:rPr>
          <w:rFonts w:hAnsi="宋体" w:hint="eastAsia"/>
          <w:sz w:val="24"/>
        </w:rPr>
        <w:t>为三级</w:t>
      </w:r>
      <w:r>
        <w:rPr>
          <w:rFonts w:hAnsi="宋体"/>
          <w:sz w:val="24"/>
        </w:rPr>
        <w:t>。</w:t>
      </w:r>
    </w:p>
    <w:p w:rsidR="00475650" w:rsidRDefault="00475650">
      <w:pPr>
        <w:pStyle w:val="2fa"/>
        <w:spacing w:after="0" w:line="360" w:lineRule="auto"/>
        <w:ind w:leftChars="0" w:left="0" w:firstLineChars="200" w:firstLine="480"/>
        <w:rPr>
          <w:sz w:val="24"/>
        </w:rPr>
      </w:pPr>
      <w:r>
        <w:rPr>
          <w:sz w:val="24"/>
        </w:rPr>
        <w:t xml:space="preserve"> (2)</w:t>
      </w:r>
      <w:r>
        <w:rPr>
          <w:rFonts w:hAnsi="宋体"/>
          <w:sz w:val="24"/>
        </w:rPr>
        <w:t>评价范围</w:t>
      </w:r>
    </w:p>
    <w:p w:rsidR="00475650" w:rsidRDefault="00475650">
      <w:pPr>
        <w:pStyle w:val="2fa"/>
        <w:spacing w:after="0" w:line="360" w:lineRule="auto"/>
        <w:ind w:leftChars="0" w:left="0" w:firstLineChars="200" w:firstLine="480"/>
        <w:rPr>
          <w:sz w:val="24"/>
        </w:rPr>
      </w:pPr>
      <w:r>
        <w:rPr>
          <w:rFonts w:hAnsi="宋体"/>
          <w:sz w:val="24"/>
        </w:rPr>
        <w:t>地表水评价范围为园区污水处理厂在长江上的排污口上游</w:t>
      </w:r>
      <w:r>
        <w:rPr>
          <w:sz w:val="24"/>
        </w:rPr>
        <w:t>500m</w:t>
      </w:r>
      <w:r>
        <w:rPr>
          <w:rFonts w:hAnsi="宋体"/>
          <w:sz w:val="24"/>
        </w:rPr>
        <w:t>至下游</w:t>
      </w:r>
      <w:r>
        <w:rPr>
          <w:sz w:val="24"/>
        </w:rPr>
        <w:t>5000m</w:t>
      </w:r>
      <w:r>
        <w:rPr>
          <w:rFonts w:hAnsi="宋体"/>
          <w:sz w:val="24"/>
        </w:rPr>
        <w:t>江段。</w:t>
      </w:r>
    </w:p>
    <w:p w:rsidR="00475650" w:rsidRDefault="00475650">
      <w:pPr>
        <w:pStyle w:val="2fa"/>
        <w:spacing w:after="0" w:line="360" w:lineRule="auto"/>
        <w:ind w:leftChars="0" w:left="0" w:firstLineChars="200" w:firstLine="480"/>
        <w:rPr>
          <w:sz w:val="24"/>
        </w:rPr>
      </w:pPr>
      <w:r>
        <w:rPr>
          <w:sz w:val="24"/>
        </w:rPr>
        <w:t>2</w:t>
      </w:r>
      <w:r>
        <w:rPr>
          <w:rFonts w:hAnsi="宋体"/>
          <w:sz w:val="24"/>
        </w:rPr>
        <w:t>、地下水</w:t>
      </w:r>
    </w:p>
    <w:p w:rsidR="00475650" w:rsidRDefault="00475650">
      <w:pPr>
        <w:pStyle w:val="2fa"/>
        <w:spacing w:after="0" w:line="360" w:lineRule="auto"/>
        <w:ind w:leftChars="0" w:left="0" w:firstLineChars="200" w:firstLine="480"/>
        <w:rPr>
          <w:sz w:val="24"/>
        </w:rPr>
      </w:pPr>
      <w:r>
        <w:rPr>
          <w:sz w:val="24"/>
        </w:rPr>
        <w:t>(1)</w:t>
      </w:r>
      <w:r>
        <w:rPr>
          <w:rFonts w:hAnsi="宋体"/>
          <w:sz w:val="24"/>
        </w:rPr>
        <w:t>评价等级</w:t>
      </w:r>
    </w:p>
    <w:p w:rsidR="00475650" w:rsidRDefault="00475650">
      <w:pPr>
        <w:pStyle w:val="2fa"/>
        <w:spacing w:after="0" w:line="360" w:lineRule="auto"/>
        <w:ind w:leftChars="0" w:left="0" w:firstLineChars="200" w:firstLine="480"/>
        <w:rPr>
          <w:sz w:val="24"/>
        </w:rPr>
      </w:pPr>
      <w:r>
        <w:rPr>
          <w:rFonts w:hAnsi="宋体"/>
          <w:sz w:val="24"/>
        </w:rPr>
        <w:t>根据现场调查，本项目为</w:t>
      </w:r>
      <w:r>
        <w:rPr>
          <w:rFonts w:ascii="宋体" w:hAnsi="宋体"/>
          <w:sz w:val="24"/>
        </w:rPr>
        <w:t>Ⅰ</w:t>
      </w:r>
      <w:r>
        <w:rPr>
          <w:rFonts w:hAnsi="宋体"/>
          <w:sz w:val="24"/>
        </w:rPr>
        <w:t>类建设项目，位于工业园区化工用地范围内，地下水环境不敏感，废水经预处理后纳入工业园污水处理厂处理，生产车间、罐区、装置区、运输道路等作业场所均采用水泥防渗地坪，透水性弱，根据《环境影响评价技术导则</w:t>
      </w:r>
      <w:r>
        <w:rPr>
          <w:sz w:val="24"/>
        </w:rPr>
        <w:t>-</w:t>
      </w:r>
      <w:r>
        <w:rPr>
          <w:rFonts w:hAnsi="宋体"/>
          <w:sz w:val="24"/>
        </w:rPr>
        <w:t>地下水环境》的规定，地下水评价按二级评价开展工作。</w:t>
      </w:r>
    </w:p>
    <w:p w:rsidR="00475650" w:rsidRDefault="00475650">
      <w:pPr>
        <w:pStyle w:val="2fa"/>
        <w:spacing w:after="0" w:line="360" w:lineRule="auto"/>
        <w:ind w:leftChars="0" w:left="0" w:firstLineChars="200" w:firstLine="480"/>
        <w:rPr>
          <w:sz w:val="24"/>
        </w:rPr>
      </w:pPr>
      <w:r>
        <w:rPr>
          <w:sz w:val="24"/>
        </w:rPr>
        <w:t>(2)</w:t>
      </w:r>
      <w:r>
        <w:rPr>
          <w:rFonts w:hAnsi="宋体"/>
          <w:sz w:val="24"/>
        </w:rPr>
        <w:t>评价范围</w:t>
      </w:r>
    </w:p>
    <w:p w:rsidR="00475650" w:rsidRDefault="00475650">
      <w:pPr>
        <w:pStyle w:val="2fa"/>
        <w:spacing w:after="0" w:line="360" w:lineRule="auto"/>
        <w:ind w:leftChars="0" w:left="0" w:firstLineChars="200" w:firstLine="480"/>
        <w:rPr>
          <w:sz w:val="24"/>
        </w:rPr>
      </w:pPr>
      <w:r>
        <w:rPr>
          <w:rFonts w:hAnsi="宋体"/>
          <w:sz w:val="24"/>
        </w:rPr>
        <w:t>项目位于园区内，地下水评价范围为项目所在地周边</w:t>
      </w:r>
      <w:r>
        <w:rPr>
          <w:sz w:val="24"/>
        </w:rPr>
        <w:t>1km</w:t>
      </w:r>
      <w:r>
        <w:rPr>
          <w:sz w:val="24"/>
          <w:vertAlign w:val="superscript"/>
        </w:rPr>
        <w:t>2</w:t>
      </w:r>
      <w:r>
        <w:rPr>
          <w:rFonts w:hAnsi="宋体"/>
          <w:sz w:val="24"/>
        </w:rPr>
        <w:t>的范围内。</w:t>
      </w:r>
    </w:p>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196" w:name="_Toc274984434"/>
      <w:bookmarkStart w:id="197" w:name="_Toc273462037"/>
      <w:bookmarkStart w:id="198" w:name="_Toc270622559"/>
      <w:bookmarkStart w:id="199" w:name="_Toc332292942"/>
      <w:bookmarkStart w:id="200" w:name="_Toc333229872"/>
      <w:bookmarkStart w:id="201" w:name="_Toc334080727"/>
      <w:bookmarkStart w:id="202" w:name="_Toc269630446"/>
      <w:bookmarkStart w:id="203" w:name="_Toc302936688"/>
      <w:bookmarkStart w:id="204" w:name="_Toc334014085"/>
      <w:bookmarkStart w:id="205" w:name="_Toc269630364"/>
      <w:bookmarkStart w:id="206" w:name="_Toc448999051"/>
      <w:bookmarkStart w:id="207" w:name="_Toc465676946"/>
      <w:bookmarkStart w:id="208" w:name="_Toc28649"/>
      <w:r>
        <w:rPr>
          <w:rStyle w:val="2Char1Char"/>
          <w:rFonts w:ascii="Times New Roman" w:eastAsia="宋体" w:hAnsi="Times New Roman" w:cs="Times New Roman"/>
          <w:b w:val="0"/>
          <w:sz w:val="24"/>
          <w:szCs w:val="24"/>
        </w:rPr>
        <w:t>1.4.1.3</w:t>
      </w:r>
      <w:r>
        <w:rPr>
          <w:rStyle w:val="2Char1Char"/>
          <w:rFonts w:ascii="Times New Roman" w:eastAsia="宋体" w:hAnsi="宋体" w:cs="Times New Roman"/>
          <w:b w:val="0"/>
          <w:sz w:val="24"/>
          <w:szCs w:val="24"/>
        </w:rPr>
        <w:t>声环境评价工作及评价范围</w:t>
      </w:r>
      <w:bookmarkEnd w:id="196"/>
      <w:bookmarkEnd w:id="197"/>
      <w:bookmarkEnd w:id="198"/>
      <w:bookmarkEnd w:id="199"/>
      <w:bookmarkEnd w:id="200"/>
      <w:bookmarkEnd w:id="201"/>
      <w:bookmarkEnd w:id="202"/>
      <w:bookmarkEnd w:id="203"/>
      <w:bookmarkEnd w:id="204"/>
      <w:bookmarkEnd w:id="205"/>
      <w:bookmarkEnd w:id="206"/>
      <w:bookmarkEnd w:id="207"/>
      <w:bookmarkEnd w:id="208"/>
    </w:p>
    <w:p w:rsidR="00475650" w:rsidRDefault="00475650">
      <w:pPr>
        <w:pStyle w:val="2fa"/>
        <w:spacing w:after="0" w:line="360" w:lineRule="auto"/>
        <w:ind w:leftChars="0" w:left="0" w:firstLineChars="200" w:firstLine="480"/>
        <w:outlineLvl w:val="0"/>
        <w:rPr>
          <w:sz w:val="24"/>
        </w:rPr>
      </w:pPr>
      <w:bookmarkStart w:id="209" w:name="_Toc334080728"/>
      <w:bookmarkStart w:id="210" w:name="_Toc333229873"/>
      <w:bookmarkStart w:id="211" w:name="_Toc334014086"/>
      <w:bookmarkStart w:id="212" w:name="_Toc448999052"/>
      <w:bookmarkStart w:id="213" w:name="_Toc465676947"/>
      <w:bookmarkStart w:id="214" w:name="_Toc22337"/>
      <w:bookmarkStart w:id="215" w:name="_Toc135533231"/>
      <w:r>
        <w:rPr>
          <w:rFonts w:hAnsi="宋体"/>
          <w:sz w:val="24"/>
        </w:rPr>
        <w:t>（</w:t>
      </w:r>
      <w:r>
        <w:rPr>
          <w:sz w:val="24"/>
        </w:rPr>
        <w:t>1</w:t>
      </w:r>
      <w:r>
        <w:rPr>
          <w:rFonts w:hAnsi="宋体"/>
          <w:sz w:val="24"/>
        </w:rPr>
        <w:t>）评价等级</w:t>
      </w:r>
      <w:bookmarkEnd w:id="209"/>
      <w:bookmarkEnd w:id="210"/>
      <w:bookmarkEnd w:id="211"/>
      <w:bookmarkEnd w:id="212"/>
      <w:bookmarkEnd w:id="213"/>
      <w:bookmarkEnd w:id="214"/>
    </w:p>
    <w:p w:rsidR="00475650" w:rsidRDefault="00475650">
      <w:pPr>
        <w:pStyle w:val="2fa"/>
        <w:spacing w:after="0" w:line="360" w:lineRule="auto"/>
        <w:ind w:leftChars="0" w:left="0" w:firstLineChars="200" w:firstLine="480"/>
        <w:rPr>
          <w:kern w:val="0"/>
          <w:sz w:val="24"/>
        </w:rPr>
      </w:pPr>
      <w:r>
        <w:rPr>
          <w:rFonts w:hAnsi="宋体"/>
          <w:kern w:val="0"/>
          <w:sz w:val="24"/>
        </w:rPr>
        <w:t>拟建项目用地范围属于工业用地，为声环境功能</w:t>
      </w:r>
      <w:r>
        <w:rPr>
          <w:kern w:val="0"/>
          <w:sz w:val="24"/>
        </w:rPr>
        <w:t>3</w:t>
      </w:r>
      <w:r>
        <w:rPr>
          <w:rFonts w:hAnsi="宋体"/>
          <w:kern w:val="0"/>
          <w:sz w:val="24"/>
        </w:rPr>
        <w:t>类区，厂界外</w:t>
      </w:r>
      <w:r>
        <w:rPr>
          <w:kern w:val="0"/>
          <w:sz w:val="24"/>
        </w:rPr>
        <w:t>200m</w:t>
      </w:r>
      <w:r>
        <w:rPr>
          <w:rFonts w:hAnsi="宋体"/>
          <w:kern w:val="0"/>
          <w:sz w:val="24"/>
        </w:rPr>
        <w:t>范围内无声环境敏感点，在采取有效地降噪措施后生产噪声对外环境影响较小；根据《环境影响评价技术导则</w:t>
      </w:r>
      <w:r>
        <w:rPr>
          <w:kern w:val="0"/>
          <w:sz w:val="24"/>
        </w:rPr>
        <w:t>·</w:t>
      </w:r>
      <w:r>
        <w:rPr>
          <w:rFonts w:hAnsi="宋体"/>
          <w:kern w:val="0"/>
          <w:sz w:val="24"/>
        </w:rPr>
        <w:t>声环境》</w:t>
      </w:r>
      <w:r>
        <w:rPr>
          <w:sz w:val="24"/>
        </w:rPr>
        <w:t>HJ2.4-2009</w:t>
      </w:r>
      <w:r>
        <w:rPr>
          <w:rFonts w:hAnsi="宋体"/>
          <w:sz w:val="24"/>
        </w:rPr>
        <w:t>，本次评价对声环境影响评价定为二级。</w:t>
      </w:r>
    </w:p>
    <w:p w:rsidR="00475650" w:rsidRDefault="00475650">
      <w:pPr>
        <w:pStyle w:val="2fa"/>
        <w:spacing w:after="0" w:line="360" w:lineRule="auto"/>
        <w:ind w:leftChars="0" w:left="0" w:firstLineChars="200" w:firstLine="480"/>
        <w:rPr>
          <w:sz w:val="24"/>
        </w:rPr>
      </w:pPr>
      <w:bookmarkStart w:id="216" w:name="_Toc273462038"/>
      <w:r>
        <w:rPr>
          <w:rFonts w:hAnsi="宋体"/>
          <w:sz w:val="24"/>
        </w:rPr>
        <w:t>（</w:t>
      </w:r>
      <w:r>
        <w:rPr>
          <w:sz w:val="24"/>
        </w:rPr>
        <w:t>2</w:t>
      </w:r>
      <w:r>
        <w:rPr>
          <w:rFonts w:hAnsi="宋体"/>
          <w:sz w:val="24"/>
        </w:rPr>
        <w:t>）评价范围</w:t>
      </w:r>
      <w:bookmarkEnd w:id="216"/>
    </w:p>
    <w:p w:rsidR="00475650" w:rsidRDefault="00475650">
      <w:pPr>
        <w:pStyle w:val="2fa"/>
        <w:spacing w:after="0" w:line="360" w:lineRule="auto"/>
        <w:ind w:leftChars="0" w:left="0" w:firstLineChars="200" w:firstLine="480"/>
        <w:rPr>
          <w:sz w:val="24"/>
        </w:rPr>
      </w:pPr>
      <w:bookmarkStart w:id="217" w:name="_Toc270622560"/>
      <w:bookmarkStart w:id="218" w:name="_Toc269630365"/>
      <w:bookmarkStart w:id="219" w:name="_Toc269630447"/>
      <w:r>
        <w:rPr>
          <w:rFonts w:hAnsi="宋体"/>
          <w:sz w:val="24"/>
        </w:rPr>
        <w:t>厂界外</w:t>
      </w:r>
      <w:r>
        <w:rPr>
          <w:sz w:val="24"/>
        </w:rPr>
        <w:t>200m</w:t>
      </w:r>
      <w:r>
        <w:rPr>
          <w:rFonts w:hAnsi="宋体"/>
          <w:sz w:val="24"/>
        </w:rPr>
        <w:t>范围。</w:t>
      </w:r>
    </w:p>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220" w:name="_Toc270622561"/>
      <w:bookmarkStart w:id="221" w:name="_Toc269630366"/>
      <w:bookmarkStart w:id="222" w:name="_Toc302936689"/>
      <w:bookmarkStart w:id="223" w:name="_Toc269630448"/>
      <w:bookmarkStart w:id="224" w:name="_Toc333229874"/>
      <w:bookmarkStart w:id="225" w:name="_Toc334080729"/>
      <w:bookmarkStart w:id="226" w:name="_Toc274984436"/>
      <w:bookmarkStart w:id="227" w:name="_Toc448999053"/>
      <w:bookmarkStart w:id="228" w:name="_Toc465676948"/>
      <w:bookmarkStart w:id="229" w:name="_Toc25181"/>
      <w:bookmarkStart w:id="230" w:name="_Toc334014087"/>
      <w:bookmarkStart w:id="231" w:name="_Toc273462040"/>
      <w:bookmarkStart w:id="232" w:name="_Toc332292943"/>
      <w:bookmarkEnd w:id="217"/>
      <w:bookmarkEnd w:id="218"/>
      <w:bookmarkEnd w:id="219"/>
      <w:r>
        <w:rPr>
          <w:rStyle w:val="2Char1Char"/>
          <w:rFonts w:ascii="Times New Roman" w:eastAsia="宋体" w:hAnsi="Times New Roman" w:cs="Times New Roman"/>
          <w:b w:val="0"/>
          <w:sz w:val="24"/>
          <w:szCs w:val="24"/>
        </w:rPr>
        <w:t xml:space="preserve">1.4.1.4 </w:t>
      </w:r>
      <w:r>
        <w:rPr>
          <w:rStyle w:val="2Char1Char"/>
          <w:rFonts w:ascii="Times New Roman" w:eastAsia="宋体" w:hAnsi="宋体" w:cs="Times New Roman"/>
          <w:b w:val="0"/>
          <w:sz w:val="24"/>
          <w:szCs w:val="24"/>
        </w:rPr>
        <w:t>生态环境</w:t>
      </w:r>
      <w:bookmarkEnd w:id="220"/>
      <w:bookmarkEnd w:id="221"/>
      <w:bookmarkEnd w:id="222"/>
      <w:bookmarkEnd w:id="223"/>
      <w:bookmarkEnd w:id="224"/>
      <w:bookmarkEnd w:id="225"/>
      <w:bookmarkEnd w:id="226"/>
      <w:bookmarkEnd w:id="227"/>
      <w:bookmarkEnd w:id="228"/>
      <w:bookmarkEnd w:id="229"/>
      <w:bookmarkEnd w:id="230"/>
      <w:bookmarkEnd w:id="231"/>
      <w:bookmarkEnd w:id="232"/>
    </w:p>
    <w:p w:rsidR="00475650" w:rsidRDefault="00475650">
      <w:pPr>
        <w:pStyle w:val="2fa"/>
        <w:spacing w:after="0" w:line="360" w:lineRule="auto"/>
        <w:ind w:leftChars="0" w:left="0" w:firstLineChars="200" w:firstLine="480"/>
        <w:outlineLvl w:val="0"/>
        <w:rPr>
          <w:sz w:val="24"/>
        </w:rPr>
      </w:pPr>
      <w:bookmarkStart w:id="233" w:name="_Toc334080730"/>
      <w:bookmarkStart w:id="234" w:name="_Toc334014088"/>
      <w:bookmarkStart w:id="235" w:name="_Toc333229875"/>
      <w:bookmarkStart w:id="236" w:name="_Toc448999054"/>
      <w:bookmarkStart w:id="237" w:name="_Toc465676949"/>
      <w:bookmarkStart w:id="238" w:name="_Toc12175"/>
      <w:r>
        <w:rPr>
          <w:sz w:val="24"/>
        </w:rPr>
        <w:t>(1)</w:t>
      </w:r>
      <w:r>
        <w:rPr>
          <w:rFonts w:hAnsi="宋体"/>
          <w:sz w:val="24"/>
        </w:rPr>
        <w:t>评价等级</w:t>
      </w:r>
      <w:bookmarkEnd w:id="233"/>
      <w:bookmarkEnd w:id="234"/>
      <w:bookmarkEnd w:id="235"/>
      <w:bookmarkEnd w:id="236"/>
      <w:bookmarkEnd w:id="237"/>
      <w:bookmarkEnd w:id="238"/>
    </w:p>
    <w:p w:rsidR="00475650" w:rsidRDefault="00475650">
      <w:pPr>
        <w:pStyle w:val="2fa"/>
        <w:spacing w:after="0" w:line="360" w:lineRule="auto"/>
        <w:ind w:leftChars="0" w:left="0" w:firstLineChars="200" w:firstLine="480"/>
        <w:rPr>
          <w:sz w:val="24"/>
        </w:rPr>
      </w:pPr>
      <w:r>
        <w:rPr>
          <w:rFonts w:hAnsi="宋体"/>
          <w:sz w:val="24"/>
        </w:rPr>
        <w:t>拟建项目工程占地面积远远小于</w:t>
      </w:r>
      <w:r>
        <w:rPr>
          <w:sz w:val="24"/>
        </w:rPr>
        <w:t>2km</w:t>
      </w:r>
      <w:r>
        <w:rPr>
          <w:sz w:val="24"/>
          <w:vertAlign w:val="superscript"/>
        </w:rPr>
        <w:t>2</w:t>
      </w:r>
      <w:r>
        <w:rPr>
          <w:rFonts w:hAnsi="宋体"/>
          <w:sz w:val="24"/>
        </w:rPr>
        <w:t>，项目的影响区域无珍稀动、植物分布，生态环境较简单</w:t>
      </w:r>
      <w:r>
        <w:rPr>
          <w:rFonts w:hAnsi="宋体" w:hint="eastAsia"/>
          <w:sz w:val="24"/>
        </w:rPr>
        <w:t>，项目位于园区现有工厂占地范围内，不另新征地</w:t>
      </w:r>
      <w:r>
        <w:rPr>
          <w:rFonts w:hAnsi="宋体"/>
          <w:sz w:val="24"/>
        </w:rPr>
        <w:t>。依据《环境影</w:t>
      </w:r>
      <w:r>
        <w:rPr>
          <w:rFonts w:hAnsi="宋体"/>
          <w:sz w:val="24"/>
        </w:rPr>
        <w:lastRenderedPageBreak/>
        <w:t>响评价技术导则</w:t>
      </w:r>
      <w:r>
        <w:rPr>
          <w:sz w:val="24"/>
        </w:rPr>
        <w:t xml:space="preserve"> </w:t>
      </w:r>
      <w:r>
        <w:rPr>
          <w:rFonts w:hAnsi="宋体"/>
          <w:sz w:val="24"/>
        </w:rPr>
        <w:t>生态影响》（</w:t>
      </w:r>
      <w:r>
        <w:rPr>
          <w:sz w:val="24"/>
        </w:rPr>
        <w:t>HJ19-2011</w:t>
      </w:r>
      <w:r>
        <w:rPr>
          <w:rFonts w:hAnsi="宋体"/>
          <w:sz w:val="24"/>
        </w:rPr>
        <w:t>），本次生态评价仅做一般性分析。</w:t>
      </w:r>
    </w:p>
    <w:p w:rsidR="00475650" w:rsidRDefault="00475650">
      <w:pPr>
        <w:pStyle w:val="2fa"/>
        <w:spacing w:after="0" w:line="360" w:lineRule="auto"/>
        <w:ind w:leftChars="0" w:left="0" w:firstLineChars="200" w:firstLine="480"/>
        <w:outlineLvl w:val="0"/>
        <w:rPr>
          <w:sz w:val="24"/>
        </w:rPr>
      </w:pPr>
      <w:bookmarkStart w:id="239" w:name="_Toc448999055"/>
      <w:bookmarkStart w:id="240" w:name="_Toc465676950"/>
      <w:bookmarkStart w:id="241" w:name="_Toc9881"/>
      <w:bookmarkStart w:id="242" w:name="_Toc334080731"/>
      <w:bookmarkStart w:id="243" w:name="_Toc333229876"/>
      <w:bookmarkStart w:id="244" w:name="_Toc334014089"/>
      <w:r>
        <w:rPr>
          <w:rFonts w:hAnsi="宋体"/>
          <w:sz w:val="24"/>
        </w:rPr>
        <w:t>（</w:t>
      </w:r>
      <w:r>
        <w:rPr>
          <w:sz w:val="24"/>
        </w:rPr>
        <w:t>2</w:t>
      </w:r>
      <w:r>
        <w:rPr>
          <w:rFonts w:hAnsi="宋体"/>
          <w:sz w:val="24"/>
        </w:rPr>
        <w:t>）评价范围</w:t>
      </w:r>
      <w:bookmarkEnd w:id="239"/>
      <w:bookmarkEnd w:id="240"/>
      <w:bookmarkEnd w:id="241"/>
      <w:bookmarkEnd w:id="242"/>
      <w:bookmarkEnd w:id="243"/>
      <w:bookmarkEnd w:id="244"/>
    </w:p>
    <w:p w:rsidR="00475650" w:rsidRDefault="00475650">
      <w:pPr>
        <w:pStyle w:val="2fa"/>
        <w:snapToGrid w:val="0"/>
        <w:spacing w:after="0" w:line="348" w:lineRule="auto"/>
        <w:ind w:leftChars="0" w:left="0" w:firstLineChars="200" w:firstLine="480"/>
        <w:rPr>
          <w:sz w:val="24"/>
        </w:rPr>
      </w:pPr>
      <w:r>
        <w:rPr>
          <w:rFonts w:hAnsi="宋体"/>
          <w:sz w:val="24"/>
        </w:rPr>
        <w:t>参照《环境影响评价技术导则</w:t>
      </w:r>
      <w:r>
        <w:rPr>
          <w:sz w:val="24"/>
        </w:rPr>
        <w:t xml:space="preserve"> </w:t>
      </w:r>
      <w:r>
        <w:rPr>
          <w:rFonts w:hAnsi="宋体"/>
          <w:sz w:val="24"/>
        </w:rPr>
        <w:t>生态影响》（</w:t>
      </w:r>
      <w:r>
        <w:rPr>
          <w:sz w:val="24"/>
        </w:rPr>
        <w:t>HJ19-2011</w:t>
      </w:r>
      <w:r>
        <w:rPr>
          <w:rFonts w:hAnsi="宋体"/>
          <w:sz w:val="24"/>
        </w:rPr>
        <w:t>），</w:t>
      </w:r>
      <w:bookmarkStart w:id="245" w:name="_Toc269630367"/>
      <w:bookmarkStart w:id="246" w:name="_Toc270622562"/>
      <w:bookmarkStart w:id="247" w:name="_Toc302936690"/>
      <w:bookmarkStart w:id="248" w:name="_Toc269630449"/>
      <w:r>
        <w:rPr>
          <w:rFonts w:hAnsi="宋体"/>
          <w:sz w:val="24"/>
        </w:rPr>
        <w:t>本次生态环境评价范围拟定为项目周围</w:t>
      </w:r>
      <w:r>
        <w:rPr>
          <w:sz w:val="24"/>
        </w:rPr>
        <w:t>200m</w:t>
      </w:r>
      <w:r>
        <w:rPr>
          <w:rFonts w:hAnsi="宋体"/>
          <w:sz w:val="24"/>
        </w:rPr>
        <w:t>。</w:t>
      </w:r>
    </w:p>
    <w:p w:rsidR="00475650" w:rsidRDefault="00475650">
      <w:pPr>
        <w:pStyle w:val="h"/>
        <w:snapToGrid w:val="0"/>
        <w:spacing w:before="0" w:after="0" w:line="348" w:lineRule="auto"/>
        <w:ind w:firstLine="0"/>
        <w:outlineLvl w:val="0"/>
        <w:rPr>
          <w:rStyle w:val="2Char1Char"/>
          <w:rFonts w:ascii="Times New Roman" w:eastAsia="宋体" w:hAnsi="Times New Roman" w:cs="Times New Roman"/>
          <w:b w:val="0"/>
          <w:sz w:val="24"/>
          <w:szCs w:val="24"/>
        </w:rPr>
      </w:pPr>
      <w:bookmarkStart w:id="249" w:name="_Toc332292944"/>
      <w:bookmarkStart w:id="250" w:name="_Toc334014090"/>
      <w:bookmarkStart w:id="251" w:name="_Toc333229877"/>
      <w:bookmarkStart w:id="252" w:name="_Toc334080732"/>
      <w:bookmarkStart w:id="253" w:name="_Toc448999056"/>
      <w:bookmarkStart w:id="254" w:name="_Toc465676951"/>
      <w:bookmarkStart w:id="255" w:name="_Toc26375"/>
      <w:r>
        <w:rPr>
          <w:rStyle w:val="2Char1Char"/>
          <w:rFonts w:ascii="Times New Roman" w:eastAsia="宋体" w:hAnsi="Times New Roman" w:cs="Times New Roman"/>
          <w:b w:val="0"/>
          <w:sz w:val="24"/>
          <w:szCs w:val="24"/>
        </w:rPr>
        <w:t>1.4.1.5</w:t>
      </w:r>
      <w:r>
        <w:rPr>
          <w:rStyle w:val="2Char1Char"/>
          <w:rFonts w:ascii="Times New Roman" w:eastAsia="宋体" w:hAnsi="宋体" w:cs="Times New Roman"/>
          <w:b w:val="0"/>
          <w:sz w:val="24"/>
          <w:szCs w:val="24"/>
        </w:rPr>
        <w:t>环境风险评价</w:t>
      </w:r>
      <w:bookmarkEnd w:id="245"/>
      <w:bookmarkEnd w:id="246"/>
      <w:bookmarkEnd w:id="247"/>
      <w:bookmarkEnd w:id="248"/>
      <w:bookmarkEnd w:id="249"/>
      <w:bookmarkEnd w:id="250"/>
      <w:bookmarkEnd w:id="251"/>
      <w:bookmarkEnd w:id="252"/>
      <w:bookmarkEnd w:id="253"/>
      <w:bookmarkEnd w:id="254"/>
      <w:bookmarkEnd w:id="255"/>
    </w:p>
    <w:p w:rsidR="00475650" w:rsidRDefault="00475650">
      <w:pPr>
        <w:pStyle w:val="2fa"/>
        <w:snapToGrid w:val="0"/>
        <w:spacing w:after="0" w:line="348" w:lineRule="auto"/>
        <w:ind w:leftChars="0" w:left="0" w:firstLineChars="200" w:firstLine="480"/>
        <w:rPr>
          <w:sz w:val="24"/>
        </w:rPr>
      </w:pPr>
      <w:r>
        <w:rPr>
          <w:rFonts w:hAnsi="宋体"/>
          <w:sz w:val="24"/>
        </w:rPr>
        <w:t>（</w:t>
      </w:r>
      <w:r>
        <w:rPr>
          <w:sz w:val="24"/>
        </w:rPr>
        <w:t>1</w:t>
      </w:r>
      <w:r>
        <w:rPr>
          <w:rFonts w:hAnsi="宋体"/>
          <w:sz w:val="24"/>
        </w:rPr>
        <w:t>）评价等级</w:t>
      </w:r>
    </w:p>
    <w:p w:rsidR="00475650" w:rsidRDefault="00475650">
      <w:pPr>
        <w:snapToGrid w:val="0"/>
        <w:spacing w:line="348" w:lineRule="auto"/>
        <w:ind w:firstLineChars="200" w:firstLine="480"/>
        <w:rPr>
          <w:sz w:val="24"/>
        </w:rPr>
      </w:pPr>
      <w:r>
        <w:rPr>
          <w:rFonts w:hAnsi="宋体"/>
          <w:sz w:val="24"/>
        </w:rPr>
        <w:t>根据本项目风险章节的重大危险源辨识结果：本项目风险物质储量未超过临界量，未构成重大危险源，且项目区位于工业园内，不属于敏感地区，根据《建设项目环境风险评价技术导则》</w:t>
      </w:r>
      <w:r>
        <w:rPr>
          <w:sz w:val="24"/>
        </w:rPr>
        <w:t>(HJ/T169-2004)</w:t>
      </w:r>
      <w:r>
        <w:rPr>
          <w:rFonts w:hAnsi="宋体"/>
          <w:sz w:val="24"/>
        </w:rPr>
        <w:t>中关于风险评价等级的划分方法，本工程风险评价定为二级。</w:t>
      </w:r>
    </w:p>
    <w:p w:rsidR="00475650" w:rsidRDefault="00475650">
      <w:pPr>
        <w:pStyle w:val="2fa"/>
        <w:snapToGrid w:val="0"/>
        <w:spacing w:after="0" w:line="348" w:lineRule="auto"/>
        <w:ind w:leftChars="0" w:left="0" w:firstLineChars="200" w:firstLine="480"/>
        <w:outlineLvl w:val="0"/>
        <w:rPr>
          <w:sz w:val="24"/>
        </w:rPr>
      </w:pPr>
      <w:bookmarkStart w:id="256" w:name="_Toc448999057"/>
      <w:bookmarkStart w:id="257" w:name="_Toc465676952"/>
      <w:bookmarkStart w:id="258" w:name="_Toc12491"/>
      <w:bookmarkStart w:id="259" w:name="_Toc334080733"/>
      <w:bookmarkStart w:id="260" w:name="_Toc333229878"/>
      <w:bookmarkStart w:id="261" w:name="_Toc334014091"/>
      <w:r>
        <w:rPr>
          <w:rFonts w:hAnsi="宋体"/>
          <w:sz w:val="24"/>
        </w:rPr>
        <w:t>（</w:t>
      </w:r>
      <w:r>
        <w:rPr>
          <w:sz w:val="24"/>
        </w:rPr>
        <w:t>2</w:t>
      </w:r>
      <w:r>
        <w:rPr>
          <w:rFonts w:hAnsi="宋体"/>
          <w:sz w:val="24"/>
        </w:rPr>
        <w:t>）评价范围</w:t>
      </w:r>
      <w:bookmarkEnd w:id="256"/>
      <w:bookmarkEnd w:id="257"/>
      <w:bookmarkEnd w:id="258"/>
      <w:bookmarkEnd w:id="259"/>
      <w:bookmarkEnd w:id="260"/>
      <w:bookmarkEnd w:id="261"/>
    </w:p>
    <w:p w:rsidR="00475650" w:rsidRDefault="00475650">
      <w:pPr>
        <w:pStyle w:val="2fa"/>
        <w:snapToGrid w:val="0"/>
        <w:spacing w:after="0" w:line="348" w:lineRule="auto"/>
        <w:ind w:leftChars="0" w:left="0" w:firstLineChars="200" w:firstLine="480"/>
        <w:rPr>
          <w:sz w:val="24"/>
        </w:rPr>
      </w:pPr>
      <w:r>
        <w:rPr>
          <w:rFonts w:hAnsi="宋体"/>
          <w:sz w:val="24"/>
        </w:rPr>
        <w:t>厂址周围半径</w:t>
      </w:r>
      <w:r>
        <w:rPr>
          <w:sz w:val="24"/>
        </w:rPr>
        <w:t>3.0km</w:t>
      </w:r>
      <w:r>
        <w:rPr>
          <w:rFonts w:hAnsi="宋体"/>
          <w:sz w:val="24"/>
        </w:rPr>
        <w:t>范围环境敏感点、人口集中区等。</w:t>
      </w:r>
    </w:p>
    <w:p w:rsidR="00475650" w:rsidRDefault="00475650">
      <w:pPr>
        <w:pStyle w:val="h"/>
        <w:snapToGrid w:val="0"/>
        <w:spacing w:before="0" w:after="0" w:line="348" w:lineRule="auto"/>
        <w:ind w:firstLine="0"/>
        <w:outlineLvl w:val="0"/>
        <w:rPr>
          <w:rStyle w:val="2Char1Char"/>
          <w:rFonts w:ascii="Times New Roman" w:eastAsia="宋体" w:hAnsi="Times New Roman" w:cs="Times New Roman"/>
          <w:b w:val="0"/>
          <w:sz w:val="24"/>
          <w:szCs w:val="24"/>
        </w:rPr>
      </w:pPr>
      <w:bookmarkStart w:id="262" w:name="_Toc332292945"/>
      <w:bookmarkStart w:id="263" w:name="_Toc465676953"/>
      <w:bookmarkStart w:id="264" w:name="_Toc32579"/>
      <w:bookmarkStart w:id="265" w:name="_Toc334080734"/>
      <w:bookmarkStart w:id="266" w:name="_Toc334014092"/>
      <w:bookmarkStart w:id="267" w:name="_Toc333229879"/>
      <w:r>
        <w:rPr>
          <w:rStyle w:val="2Char1Char"/>
          <w:rFonts w:ascii="Times New Roman" w:eastAsia="宋体" w:hAnsi="Times New Roman" w:cs="Times New Roman"/>
          <w:b w:val="0"/>
          <w:sz w:val="24"/>
          <w:szCs w:val="24"/>
        </w:rPr>
        <w:t>1.4.2</w:t>
      </w:r>
      <w:r>
        <w:rPr>
          <w:rStyle w:val="2Char1Char"/>
          <w:rFonts w:ascii="Times New Roman" w:eastAsia="宋体" w:hAnsi="宋体" w:cs="Times New Roman"/>
          <w:b w:val="0"/>
          <w:sz w:val="24"/>
          <w:szCs w:val="24"/>
        </w:rPr>
        <w:t>工作重点</w:t>
      </w:r>
      <w:bookmarkEnd w:id="262"/>
      <w:bookmarkEnd w:id="263"/>
      <w:bookmarkEnd w:id="264"/>
      <w:bookmarkEnd w:id="265"/>
      <w:bookmarkEnd w:id="266"/>
      <w:bookmarkEnd w:id="267"/>
    </w:p>
    <w:p w:rsidR="00475650" w:rsidRDefault="00475650">
      <w:pPr>
        <w:snapToGrid w:val="0"/>
        <w:spacing w:line="348" w:lineRule="auto"/>
        <w:ind w:firstLineChars="200" w:firstLine="480"/>
        <w:rPr>
          <w:kern w:val="0"/>
          <w:sz w:val="24"/>
        </w:rPr>
      </w:pPr>
      <w:r>
        <w:rPr>
          <w:rFonts w:hAnsi="宋体"/>
          <w:kern w:val="0"/>
          <w:sz w:val="24"/>
        </w:rPr>
        <w:t>根据本项目工程情况以及周围区域环境特点，本次环评的工作重点是：</w:t>
      </w:r>
    </w:p>
    <w:p w:rsidR="00475650" w:rsidRDefault="00475650">
      <w:pPr>
        <w:snapToGrid w:val="0"/>
        <w:spacing w:line="348" w:lineRule="auto"/>
        <w:ind w:firstLineChars="200" w:firstLine="480"/>
        <w:rPr>
          <w:kern w:val="0"/>
          <w:sz w:val="24"/>
        </w:rPr>
      </w:pPr>
      <w:r>
        <w:rPr>
          <w:rFonts w:hAnsi="宋体"/>
          <w:kern w:val="0"/>
          <w:sz w:val="24"/>
        </w:rPr>
        <w:t>（</w:t>
      </w:r>
      <w:r>
        <w:rPr>
          <w:kern w:val="0"/>
          <w:sz w:val="24"/>
        </w:rPr>
        <w:t>1</w:t>
      </w:r>
      <w:r>
        <w:rPr>
          <w:rFonts w:hAnsi="宋体"/>
          <w:kern w:val="0"/>
          <w:sz w:val="24"/>
        </w:rPr>
        <w:t>）工程分析：本工程生产工艺和排污特征分析；</w:t>
      </w:r>
    </w:p>
    <w:p w:rsidR="00475650" w:rsidRDefault="00475650">
      <w:pPr>
        <w:snapToGrid w:val="0"/>
        <w:spacing w:line="348" w:lineRule="auto"/>
        <w:ind w:firstLineChars="200" w:firstLine="480"/>
        <w:rPr>
          <w:kern w:val="0"/>
          <w:sz w:val="24"/>
        </w:rPr>
      </w:pPr>
      <w:r>
        <w:rPr>
          <w:rFonts w:hAnsi="宋体"/>
          <w:kern w:val="0"/>
          <w:sz w:val="24"/>
        </w:rPr>
        <w:t>（</w:t>
      </w:r>
      <w:r>
        <w:rPr>
          <w:kern w:val="0"/>
          <w:sz w:val="24"/>
        </w:rPr>
        <w:t>2</w:t>
      </w:r>
      <w:r>
        <w:rPr>
          <w:rFonts w:hAnsi="宋体"/>
          <w:kern w:val="0"/>
          <w:sz w:val="24"/>
        </w:rPr>
        <w:t>）工程拟采取的污染防治措施可行性论证（尤其是废气和废水治理措施），提出相关的环保措施要求和建议；</w:t>
      </w:r>
    </w:p>
    <w:p w:rsidR="00475650" w:rsidRDefault="00475650">
      <w:pPr>
        <w:snapToGrid w:val="0"/>
        <w:spacing w:line="348" w:lineRule="auto"/>
        <w:ind w:firstLineChars="200" w:firstLine="480"/>
        <w:rPr>
          <w:sz w:val="24"/>
        </w:rPr>
      </w:pPr>
      <w:r>
        <w:rPr>
          <w:rFonts w:hAnsi="宋体"/>
          <w:kern w:val="0"/>
          <w:sz w:val="24"/>
        </w:rPr>
        <w:t>（</w:t>
      </w:r>
      <w:r>
        <w:rPr>
          <w:kern w:val="0"/>
          <w:sz w:val="24"/>
        </w:rPr>
        <w:t>3</w:t>
      </w:r>
      <w:r>
        <w:rPr>
          <w:rFonts w:hAnsi="宋体"/>
          <w:kern w:val="0"/>
          <w:sz w:val="24"/>
        </w:rPr>
        <w:t>）做好工程水平衡和物料平衡专题。加强</w:t>
      </w:r>
      <w:r>
        <w:rPr>
          <w:rFonts w:hAnsi="宋体"/>
          <w:sz w:val="24"/>
        </w:rPr>
        <w:t>大气环境影响评价，分析、预测拟建项目建成后对环境保护目标的影响；</w:t>
      </w:r>
    </w:p>
    <w:p w:rsidR="00475650" w:rsidRDefault="00475650">
      <w:pPr>
        <w:snapToGrid w:val="0"/>
        <w:spacing w:line="348" w:lineRule="auto"/>
        <w:ind w:firstLineChars="200" w:firstLine="480"/>
        <w:rPr>
          <w:kern w:val="0"/>
          <w:sz w:val="24"/>
        </w:rPr>
      </w:pPr>
      <w:r>
        <w:rPr>
          <w:rFonts w:hAnsi="宋体"/>
          <w:kern w:val="0"/>
          <w:sz w:val="24"/>
        </w:rPr>
        <w:t>（</w:t>
      </w:r>
      <w:r>
        <w:rPr>
          <w:kern w:val="0"/>
          <w:sz w:val="24"/>
        </w:rPr>
        <w:t>4</w:t>
      </w:r>
      <w:r>
        <w:rPr>
          <w:rFonts w:hAnsi="宋体"/>
          <w:kern w:val="0"/>
          <w:sz w:val="24"/>
        </w:rPr>
        <w:t>）做好环境风险评价，分析项目事故风险因素，提出事故防范措施和应急措施；</w:t>
      </w:r>
    </w:p>
    <w:p w:rsidR="00475650" w:rsidRDefault="00475650">
      <w:pPr>
        <w:pStyle w:val="af4"/>
        <w:snapToGrid w:val="0"/>
        <w:spacing w:line="348" w:lineRule="auto"/>
        <w:ind w:firstLine="480"/>
        <w:rPr>
          <w:rFonts w:hAnsi="宋体"/>
          <w:sz w:val="24"/>
          <w:szCs w:val="24"/>
        </w:rPr>
      </w:pPr>
      <w:r>
        <w:rPr>
          <w:rFonts w:hAnsi="宋体"/>
          <w:kern w:val="0"/>
          <w:sz w:val="24"/>
          <w:szCs w:val="24"/>
        </w:rPr>
        <w:t>（</w:t>
      </w:r>
      <w:r>
        <w:rPr>
          <w:kern w:val="0"/>
          <w:sz w:val="24"/>
          <w:szCs w:val="24"/>
        </w:rPr>
        <w:t>5</w:t>
      </w:r>
      <w:r>
        <w:rPr>
          <w:rFonts w:hAnsi="宋体"/>
          <w:kern w:val="0"/>
          <w:sz w:val="24"/>
          <w:szCs w:val="24"/>
        </w:rPr>
        <w:t>）结合国家相关产业政策和环保政策、</w:t>
      </w:r>
      <w:r>
        <w:rPr>
          <w:rFonts w:hAnsi="宋体"/>
          <w:sz w:val="24"/>
          <w:szCs w:val="24"/>
        </w:rPr>
        <w:t>评价区域的城市发展总体规划和环境保护规划、工程所在地的环境质量现状及环境特征来论述该项目选址和平面布置的可行性和合理性。</w:t>
      </w:r>
    </w:p>
    <w:p w:rsidR="00475650" w:rsidRDefault="00475650">
      <w:pPr>
        <w:pStyle w:val="af4"/>
        <w:snapToGrid w:val="0"/>
        <w:spacing w:line="348" w:lineRule="auto"/>
        <w:ind w:firstLine="480"/>
        <w:rPr>
          <w:rFonts w:hAnsi="宋体"/>
          <w:sz w:val="24"/>
          <w:szCs w:val="24"/>
        </w:rPr>
      </w:pPr>
    </w:p>
    <w:p w:rsidR="00475650" w:rsidRDefault="00475650">
      <w:pPr>
        <w:pStyle w:val="h"/>
        <w:snapToGrid w:val="0"/>
        <w:spacing w:before="0" w:after="0" w:line="348" w:lineRule="auto"/>
        <w:ind w:firstLine="0"/>
        <w:outlineLvl w:val="0"/>
        <w:rPr>
          <w:rStyle w:val="2Char1Char"/>
          <w:rFonts w:ascii="Times New Roman" w:eastAsia="宋体" w:hAnsi="Times New Roman" w:cs="Times New Roman"/>
          <w:b w:val="0"/>
          <w:sz w:val="28"/>
          <w:szCs w:val="28"/>
        </w:rPr>
      </w:pPr>
      <w:bookmarkStart w:id="268" w:name="_Toc161748571"/>
      <w:bookmarkStart w:id="269" w:name="_Toc269630375"/>
      <w:bookmarkStart w:id="270" w:name="_Toc135533233"/>
      <w:bookmarkStart w:id="271" w:name="_Toc270622569"/>
      <w:bookmarkStart w:id="272" w:name="_Toc203815129"/>
      <w:bookmarkStart w:id="273" w:name="_Toc269809130"/>
      <w:bookmarkStart w:id="274" w:name="_Toc332292947"/>
      <w:bookmarkStart w:id="275" w:name="_Toc27070"/>
      <w:bookmarkEnd w:id="215"/>
      <w:r>
        <w:rPr>
          <w:rStyle w:val="2Char1Char"/>
          <w:rFonts w:ascii="Times New Roman" w:eastAsia="宋体" w:hAnsi="Times New Roman" w:cs="Times New Roman"/>
          <w:b w:val="0"/>
          <w:sz w:val="28"/>
          <w:szCs w:val="28"/>
        </w:rPr>
        <w:t>1.</w:t>
      </w:r>
      <w:bookmarkStart w:id="276" w:name="_Toc269630441"/>
      <w:bookmarkStart w:id="277" w:name="_Toc269630358"/>
      <w:bookmarkStart w:id="278" w:name="_Toc274984430"/>
      <w:bookmarkStart w:id="279" w:name="_Toc273462033"/>
      <w:bookmarkStart w:id="280" w:name="_Toc270622553"/>
      <w:bookmarkEnd w:id="268"/>
      <w:bookmarkEnd w:id="269"/>
      <w:bookmarkEnd w:id="270"/>
      <w:bookmarkEnd w:id="271"/>
      <w:bookmarkEnd w:id="272"/>
      <w:bookmarkEnd w:id="273"/>
      <w:r>
        <w:rPr>
          <w:rStyle w:val="2Char1Char"/>
          <w:rFonts w:ascii="Times New Roman" w:eastAsia="宋体" w:hAnsi="Times New Roman" w:cs="Times New Roman"/>
          <w:b w:val="0"/>
          <w:sz w:val="28"/>
          <w:szCs w:val="28"/>
        </w:rPr>
        <w:t>5</w:t>
      </w:r>
      <w:r>
        <w:rPr>
          <w:rStyle w:val="2Char1Char"/>
          <w:rFonts w:ascii="Times New Roman" w:eastAsia="宋体" w:hAnsi="宋体" w:cs="Times New Roman"/>
          <w:b w:val="0"/>
          <w:sz w:val="28"/>
          <w:szCs w:val="28"/>
        </w:rPr>
        <w:t>相关规划及环境功能区划</w:t>
      </w:r>
      <w:bookmarkEnd w:id="274"/>
      <w:bookmarkEnd w:id="275"/>
    </w:p>
    <w:p w:rsidR="00475650" w:rsidRDefault="00475650">
      <w:pPr>
        <w:tabs>
          <w:tab w:val="left" w:pos="6858"/>
        </w:tabs>
        <w:snapToGrid w:val="0"/>
        <w:spacing w:line="348" w:lineRule="auto"/>
        <w:ind w:firstLineChars="200" w:firstLine="480"/>
        <w:rPr>
          <w:rFonts w:hAnsi="宋体"/>
          <w:sz w:val="24"/>
        </w:rPr>
      </w:pPr>
      <w:r>
        <w:rPr>
          <w:rFonts w:hAnsi="宋体"/>
          <w:sz w:val="24"/>
        </w:rPr>
        <w:t>与本项目有关的规划及环境功能区划如下：</w:t>
      </w:r>
    </w:p>
    <w:p w:rsidR="00475650" w:rsidRDefault="00475650">
      <w:pPr>
        <w:tabs>
          <w:tab w:val="left" w:pos="6858"/>
        </w:tabs>
        <w:snapToGrid w:val="0"/>
        <w:spacing w:line="348" w:lineRule="auto"/>
        <w:ind w:firstLineChars="200" w:firstLine="480"/>
        <w:rPr>
          <w:rFonts w:hAnsi="宋体"/>
          <w:sz w:val="24"/>
        </w:rPr>
      </w:pPr>
    </w:p>
    <w:p w:rsidR="00475650" w:rsidRDefault="00475650">
      <w:pPr>
        <w:tabs>
          <w:tab w:val="left" w:pos="6858"/>
        </w:tabs>
        <w:snapToGrid w:val="0"/>
        <w:spacing w:line="348" w:lineRule="auto"/>
        <w:ind w:firstLineChars="200" w:firstLine="480"/>
        <w:rPr>
          <w:rFonts w:hAnsi="宋体"/>
          <w:sz w:val="24"/>
        </w:rPr>
      </w:pPr>
    </w:p>
    <w:p w:rsidR="00475650" w:rsidRDefault="00475650">
      <w:pPr>
        <w:tabs>
          <w:tab w:val="left" w:pos="6858"/>
        </w:tabs>
        <w:snapToGrid w:val="0"/>
        <w:spacing w:line="348" w:lineRule="auto"/>
        <w:ind w:firstLineChars="200" w:firstLine="480"/>
        <w:jc w:val="center"/>
        <w:rPr>
          <w:sz w:val="24"/>
        </w:rPr>
      </w:pPr>
      <w:r>
        <w:rPr>
          <w:rFonts w:hAnsi="宋体"/>
          <w:sz w:val="24"/>
        </w:rPr>
        <w:t>表</w:t>
      </w:r>
      <w:r>
        <w:rPr>
          <w:sz w:val="24"/>
        </w:rPr>
        <w:t xml:space="preserve">1.5-1    </w:t>
      </w:r>
      <w:r>
        <w:rPr>
          <w:rFonts w:hAnsi="宋体"/>
          <w:sz w:val="24"/>
        </w:rPr>
        <w:t>项目相关规划及环境功能区划一览表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578"/>
        <w:gridCol w:w="3840"/>
        <w:gridCol w:w="3736"/>
      </w:tblGrid>
      <w:tr w:rsidR="00475650">
        <w:tc>
          <w:tcPr>
            <w:tcW w:w="1578" w:type="dxa"/>
          </w:tcPr>
          <w:p w:rsidR="00475650" w:rsidRDefault="00475650">
            <w:pPr>
              <w:tabs>
                <w:tab w:val="left" w:pos="6858"/>
              </w:tabs>
              <w:snapToGrid w:val="0"/>
              <w:spacing w:line="360" w:lineRule="auto"/>
              <w:rPr>
                <w:szCs w:val="21"/>
              </w:rPr>
            </w:pPr>
            <w:r>
              <w:rPr>
                <w:rFonts w:hAnsi="宋体"/>
                <w:szCs w:val="21"/>
              </w:rPr>
              <w:lastRenderedPageBreak/>
              <w:t>项目</w:t>
            </w:r>
          </w:p>
        </w:tc>
        <w:tc>
          <w:tcPr>
            <w:tcW w:w="3840" w:type="dxa"/>
          </w:tcPr>
          <w:p w:rsidR="00475650" w:rsidRDefault="00475650">
            <w:pPr>
              <w:tabs>
                <w:tab w:val="left" w:pos="6858"/>
              </w:tabs>
              <w:snapToGrid w:val="0"/>
              <w:spacing w:line="360" w:lineRule="auto"/>
              <w:rPr>
                <w:szCs w:val="21"/>
              </w:rPr>
            </w:pPr>
            <w:r>
              <w:rPr>
                <w:rFonts w:hAnsi="宋体"/>
                <w:szCs w:val="21"/>
              </w:rPr>
              <w:t>名称</w:t>
            </w:r>
          </w:p>
        </w:tc>
        <w:tc>
          <w:tcPr>
            <w:tcW w:w="3736" w:type="dxa"/>
          </w:tcPr>
          <w:p w:rsidR="00475650" w:rsidRDefault="00475650">
            <w:pPr>
              <w:tabs>
                <w:tab w:val="left" w:pos="6858"/>
              </w:tabs>
              <w:snapToGrid w:val="0"/>
              <w:spacing w:line="360" w:lineRule="auto"/>
              <w:rPr>
                <w:szCs w:val="21"/>
              </w:rPr>
            </w:pPr>
            <w:r>
              <w:rPr>
                <w:rFonts w:hAnsi="宋体"/>
                <w:szCs w:val="21"/>
              </w:rPr>
              <w:t>说明</w:t>
            </w:r>
          </w:p>
        </w:tc>
      </w:tr>
      <w:tr w:rsidR="00475650">
        <w:tc>
          <w:tcPr>
            <w:tcW w:w="1578" w:type="dxa"/>
            <w:vMerge w:val="restart"/>
          </w:tcPr>
          <w:p w:rsidR="00475650" w:rsidRDefault="00475650">
            <w:pPr>
              <w:tabs>
                <w:tab w:val="left" w:pos="6858"/>
              </w:tabs>
              <w:snapToGrid w:val="0"/>
              <w:rPr>
                <w:szCs w:val="21"/>
              </w:rPr>
            </w:pPr>
            <w:r>
              <w:rPr>
                <w:rFonts w:hAnsi="宋体"/>
                <w:szCs w:val="21"/>
              </w:rPr>
              <w:t>城市发展及工业园区规划</w:t>
            </w:r>
          </w:p>
        </w:tc>
        <w:tc>
          <w:tcPr>
            <w:tcW w:w="3840" w:type="dxa"/>
          </w:tcPr>
          <w:p w:rsidR="00475650" w:rsidRDefault="00475650">
            <w:pPr>
              <w:tabs>
                <w:tab w:val="left" w:pos="6858"/>
              </w:tabs>
              <w:snapToGrid w:val="0"/>
              <w:rPr>
                <w:szCs w:val="21"/>
              </w:rPr>
            </w:pPr>
            <w:r>
              <w:rPr>
                <w:rFonts w:hAnsi="宋体"/>
                <w:szCs w:val="21"/>
              </w:rPr>
              <w:t>《岳阳市城市总体规划</w:t>
            </w:r>
            <w:r>
              <w:rPr>
                <w:szCs w:val="21"/>
              </w:rPr>
              <w:t>(200</w:t>
            </w:r>
            <w:r>
              <w:rPr>
                <w:rFonts w:hint="eastAsia"/>
                <w:szCs w:val="21"/>
              </w:rPr>
              <w:t>8</w:t>
            </w:r>
            <w:r>
              <w:rPr>
                <w:szCs w:val="21"/>
              </w:rPr>
              <w:t>~20</w:t>
            </w:r>
            <w:r>
              <w:rPr>
                <w:rFonts w:hint="eastAsia"/>
                <w:szCs w:val="21"/>
              </w:rPr>
              <w:t>30</w:t>
            </w:r>
            <w:r>
              <w:rPr>
                <w:szCs w:val="21"/>
              </w:rPr>
              <w:t>)</w:t>
            </w:r>
            <w:r>
              <w:rPr>
                <w:rFonts w:hAnsi="宋体"/>
                <w:szCs w:val="21"/>
              </w:rPr>
              <w:t>》</w:t>
            </w:r>
          </w:p>
        </w:tc>
        <w:tc>
          <w:tcPr>
            <w:tcW w:w="3736" w:type="dxa"/>
            <w:vMerge w:val="restart"/>
          </w:tcPr>
          <w:p w:rsidR="00475650" w:rsidRDefault="00475650">
            <w:pPr>
              <w:tabs>
                <w:tab w:val="left" w:pos="6858"/>
              </w:tabs>
              <w:snapToGrid w:val="0"/>
              <w:rPr>
                <w:szCs w:val="21"/>
              </w:rPr>
            </w:pPr>
            <w:r>
              <w:rPr>
                <w:rFonts w:hAnsi="宋体"/>
                <w:szCs w:val="21"/>
              </w:rPr>
              <w:t>项目占地属于临湘工业园滨江产业区（</w:t>
            </w:r>
            <w:r>
              <w:rPr>
                <w:rFonts w:hAnsi="宋体" w:hint="eastAsia"/>
                <w:szCs w:val="21"/>
              </w:rPr>
              <w:t>原</w:t>
            </w:r>
            <w:r>
              <w:rPr>
                <w:rFonts w:hAnsi="宋体"/>
                <w:szCs w:val="21"/>
              </w:rPr>
              <w:t>湖南省临湘工业园儒溪工业区）三类工业用地</w:t>
            </w:r>
            <w:r>
              <w:rPr>
                <w:rFonts w:hAnsi="宋体" w:hint="eastAsia"/>
                <w:szCs w:val="21"/>
              </w:rPr>
              <w:t>（绿色化工组团）</w:t>
            </w:r>
          </w:p>
        </w:tc>
      </w:tr>
      <w:tr w:rsidR="00475650">
        <w:tc>
          <w:tcPr>
            <w:tcW w:w="1578" w:type="dxa"/>
            <w:vMerge/>
          </w:tcPr>
          <w:p w:rsidR="00475650" w:rsidRDefault="00475650">
            <w:pPr>
              <w:tabs>
                <w:tab w:val="left" w:pos="6858"/>
              </w:tabs>
              <w:snapToGrid w:val="0"/>
              <w:rPr>
                <w:szCs w:val="21"/>
              </w:rPr>
            </w:pPr>
          </w:p>
        </w:tc>
        <w:tc>
          <w:tcPr>
            <w:tcW w:w="3840" w:type="dxa"/>
          </w:tcPr>
          <w:p w:rsidR="00475650" w:rsidRDefault="00475650">
            <w:pPr>
              <w:tabs>
                <w:tab w:val="left" w:pos="6858"/>
              </w:tabs>
              <w:snapToGrid w:val="0"/>
              <w:rPr>
                <w:szCs w:val="21"/>
              </w:rPr>
            </w:pPr>
            <w:r>
              <w:rPr>
                <w:rFonts w:hAnsi="宋体"/>
                <w:szCs w:val="21"/>
              </w:rPr>
              <w:t>《湖南省临湘工业园儒溪工业区</w:t>
            </w:r>
            <w:r>
              <w:rPr>
                <w:szCs w:val="21"/>
              </w:rPr>
              <w:t>——</w:t>
            </w:r>
            <w:r>
              <w:rPr>
                <w:rFonts w:hAnsi="宋体"/>
                <w:szCs w:val="21"/>
              </w:rPr>
              <w:t>土地利用规划》</w:t>
            </w:r>
          </w:p>
        </w:tc>
        <w:tc>
          <w:tcPr>
            <w:tcW w:w="3736" w:type="dxa"/>
            <w:vMerge/>
          </w:tcPr>
          <w:p w:rsidR="00475650" w:rsidRDefault="00475650">
            <w:pPr>
              <w:tabs>
                <w:tab w:val="left" w:pos="6858"/>
              </w:tabs>
              <w:snapToGrid w:val="0"/>
              <w:rPr>
                <w:szCs w:val="21"/>
              </w:rPr>
            </w:pPr>
          </w:p>
        </w:tc>
      </w:tr>
      <w:tr w:rsidR="00475650">
        <w:tc>
          <w:tcPr>
            <w:tcW w:w="1578" w:type="dxa"/>
            <w:vMerge w:val="restart"/>
          </w:tcPr>
          <w:p w:rsidR="00475650" w:rsidRDefault="00475650">
            <w:pPr>
              <w:tabs>
                <w:tab w:val="left" w:pos="6858"/>
              </w:tabs>
              <w:snapToGrid w:val="0"/>
              <w:rPr>
                <w:szCs w:val="21"/>
              </w:rPr>
            </w:pPr>
            <w:r>
              <w:rPr>
                <w:rFonts w:hAnsi="宋体"/>
                <w:szCs w:val="21"/>
              </w:rPr>
              <w:t>环境功能区划及环境保护规划</w:t>
            </w:r>
          </w:p>
        </w:tc>
        <w:tc>
          <w:tcPr>
            <w:tcW w:w="3840" w:type="dxa"/>
          </w:tcPr>
          <w:p w:rsidR="00475650" w:rsidRDefault="00475650">
            <w:pPr>
              <w:tabs>
                <w:tab w:val="left" w:pos="6858"/>
              </w:tabs>
              <w:snapToGrid w:val="0"/>
              <w:rPr>
                <w:szCs w:val="21"/>
              </w:rPr>
            </w:pPr>
            <w:r>
              <w:rPr>
                <w:rFonts w:hAnsi="宋体"/>
                <w:szCs w:val="21"/>
              </w:rPr>
              <w:t>《湖南省主要水系地表水环境功能区划》</w:t>
            </w:r>
            <w:r>
              <w:rPr>
                <w:szCs w:val="21"/>
              </w:rPr>
              <w:t>DB43/023-2005</w:t>
            </w:r>
          </w:p>
        </w:tc>
        <w:tc>
          <w:tcPr>
            <w:tcW w:w="3736" w:type="dxa"/>
            <w:vMerge w:val="restart"/>
          </w:tcPr>
          <w:p w:rsidR="00475650" w:rsidRDefault="00475650">
            <w:pPr>
              <w:tabs>
                <w:tab w:val="left" w:pos="6858"/>
              </w:tabs>
              <w:snapToGrid w:val="0"/>
              <w:rPr>
                <w:szCs w:val="21"/>
              </w:rPr>
            </w:pPr>
            <w:r>
              <w:rPr>
                <w:rFonts w:hAnsi="宋体"/>
                <w:szCs w:val="21"/>
              </w:rPr>
              <w:t>地表水体为长江段</w:t>
            </w:r>
            <w:r>
              <w:rPr>
                <w:rFonts w:ascii="宋体" w:hAnsi="宋体"/>
                <w:szCs w:val="21"/>
              </w:rPr>
              <w:t>Ⅲ</w:t>
            </w:r>
            <w:r>
              <w:rPr>
                <w:rFonts w:hAnsi="宋体"/>
                <w:szCs w:val="21"/>
              </w:rPr>
              <w:t>类水域功能区；环境大气质量为二类功能区中的一般工业区；声环境为以工业生产为主要功能的</w:t>
            </w:r>
            <w:r>
              <w:rPr>
                <w:szCs w:val="21"/>
              </w:rPr>
              <w:t>3</w:t>
            </w:r>
            <w:r>
              <w:rPr>
                <w:rFonts w:hAnsi="宋体"/>
                <w:szCs w:val="21"/>
              </w:rPr>
              <w:t>类声环境功能区</w:t>
            </w:r>
          </w:p>
        </w:tc>
      </w:tr>
      <w:tr w:rsidR="00475650">
        <w:tc>
          <w:tcPr>
            <w:tcW w:w="1578" w:type="dxa"/>
            <w:vMerge/>
          </w:tcPr>
          <w:p w:rsidR="00475650" w:rsidRDefault="00475650">
            <w:pPr>
              <w:tabs>
                <w:tab w:val="left" w:pos="6858"/>
              </w:tabs>
              <w:snapToGrid w:val="0"/>
              <w:rPr>
                <w:szCs w:val="21"/>
              </w:rPr>
            </w:pPr>
          </w:p>
        </w:tc>
        <w:tc>
          <w:tcPr>
            <w:tcW w:w="3840" w:type="dxa"/>
          </w:tcPr>
          <w:p w:rsidR="00475650" w:rsidRDefault="00475650">
            <w:pPr>
              <w:tabs>
                <w:tab w:val="left" w:pos="6858"/>
              </w:tabs>
              <w:snapToGrid w:val="0"/>
              <w:rPr>
                <w:szCs w:val="21"/>
              </w:rPr>
            </w:pPr>
            <w:r>
              <w:rPr>
                <w:rFonts w:hAnsi="宋体"/>
                <w:szCs w:val="21"/>
              </w:rPr>
              <w:t>《湖南省饮用水源地环境保护规划》</w:t>
            </w:r>
          </w:p>
        </w:tc>
        <w:tc>
          <w:tcPr>
            <w:tcW w:w="3736" w:type="dxa"/>
            <w:vMerge/>
          </w:tcPr>
          <w:p w:rsidR="00475650" w:rsidRDefault="00475650">
            <w:pPr>
              <w:tabs>
                <w:tab w:val="left" w:pos="6858"/>
              </w:tabs>
              <w:snapToGrid w:val="0"/>
              <w:rPr>
                <w:szCs w:val="21"/>
              </w:rPr>
            </w:pPr>
          </w:p>
        </w:tc>
      </w:tr>
      <w:tr w:rsidR="00475650">
        <w:tc>
          <w:tcPr>
            <w:tcW w:w="1578" w:type="dxa"/>
            <w:vMerge/>
          </w:tcPr>
          <w:p w:rsidR="00475650" w:rsidRDefault="00475650">
            <w:pPr>
              <w:tabs>
                <w:tab w:val="left" w:pos="6858"/>
              </w:tabs>
              <w:snapToGrid w:val="0"/>
              <w:rPr>
                <w:szCs w:val="21"/>
              </w:rPr>
            </w:pPr>
          </w:p>
        </w:tc>
        <w:tc>
          <w:tcPr>
            <w:tcW w:w="3840" w:type="dxa"/>
          </w:tcPr>
          <w:p w:rsidR="00475650" w:rsidRDefault="00475650">
            <w:pPr>
              <w:tabs>
                <w:tab w:val="left" w:pos="6858"/>
              </w:tabs>
              <w:snapToGrid w:val="0"/>
              <w:rPr>
                <w:szCs w:val="21"/>
              </w:rPr>
            </w:pPr>
            <w:r>
              <w:rPr>
                <w:rFonts w:hAnsi="宋体"/>
                <w:szCs w:val="21"/>
              </w:rPr>
              <w:t>《环境大气质量功能区划分原则与技术方法》（</w:t>
            </w:r>
            <w:r>
              <w:rPr>
                <w:szCs w:val="21"/>
              </w:rPr>
              <w:t>HJ/T 14-1996</w:t>
            </w:r>
            <w:r>
              <w:rPr>
                <w:rFonts w:hAnsi="宋体"/>
                <w:szCs w:val="21"/>
              </w:rPr>
              <w:t>）</w:t>
            </w:r>
          </w:p>
        </w:tc>
        <w:tc>
          <w:tcPr>
            <w:tcW w:w="3736" w:type="dxa"/>
            <w:vMerge/>
          </w:tcPr>
          <w:p w:rsidR="00475650" w:rsidRDefault="00475650">
            <w:pPr>
              <w:tabs>
                <w:tab w:val="left" w:pos="6858"/>
              </w:tabs>
              <w:snapToGrid w:val="0"/>
              <w:rPr>
                <w:szCs w:val="21"/>
              </w:rPr>
            </w:pPr>
          </w:p>
        </w:tc>
      </w:tr>
    </w:tbl>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281" w:name="_Toc23831"/>
      <w:bookmarkEnd w:id="276"/>
      <w:bookmarkEnd w:id="277"/>
      <w:bookmarkEnd w:id="278"/>
      <w:bookmarkEnd w:id="279"/>
      <w:bookmarkEnd w:id="280"/>
      <w:r>
        <w:rPr>
          <w:rStyle w:val="2Char1Char"/>
          <w:rFonts w:ascii="Times New Roman" w:eastAsia="宋体" w:hAnsi="Times New Roman" w:cs="Times New Roman"/>
          <w:b w:val="0"/>
          <w:sz w:val="28"/>
          <w:szCs w:val="28"/>
        </w:rPr>
        <w:t xml:space="preserve">1.6 </w:t>
      </w:r>
      <w:r>
        <w:rPr>
          <w:rStyle w:val="2Char1Char"/>
          <w:rFonts w:ascii="Times New Roman" w:eastAsia="宋体" w:hAnsi="宋体" w:cs="Times New Roman"/>
          <w:b w:val="0"/>
          <w:sz w:val="28"/>
          <w:szCs w:val="28"/>
        </w:rPr>
        <w:t>主要环境保护目标</w:t>
      </w:r>
      <w:bookmarkEnd w:id="281"/>
    </w:p>
    <w:p w:rsidR="00475650" w:rsidRDefault="00475650">
      <w:pPr>
        <w:tabs>
          <w:tab w:val="left" w:pos="6858"/>
        </w:tabs>
        <w:snapToGrid w:val="0"/>
        <w:spacing w:line="360" w:lineRule="auto"/>
        <w:ind w:firstLineChars="200" w:firstLine="480"/>
        <w:rPr>
          <w:rFonts w:hAnsi="宋体"/>
          <w:kern w:val="10"/>
          <w:sz w:val="24"/>
        </w:rPr>
      </w:pPr>
      <w:r>
        <w:rPr>
          <w:rFonts w:hAnsi="宋体"/>
          <w:kern w:val="10"/>
          <w:sz w:val="24"/>
        </w:rPr>
        <w:t>根据本次环评拟定的评价工作等级，从现场踏勘和环境敏感点分布情况来看，项目位于工业园内，厂界外均为工业装置；本工程环境保护目标见表</w:t>
      </w:r>
      <w:r>
        <w:rPr>
          <w:kern w:val="10"/>
          <w:sz w:val="24"/>
        </w:rPr>
        <w:t>1.6-1</w:t>
      </w:r>
      <w:r>
        <w:rPr>
          <w:rFonts w:hAnsi="宋体"/>
          <w:kern w:val="10"/>
          <w:sz w:val="24"/>
        </w:rPr>
        <w:t>。环境保护目标分布图见附图。</w:t>
      </w:r>
    </w:p>
    <w:p w:rsidR="00475650" w:rsidRDefault="00475650">
      <w:pPr>
        <w:snapToGrid w:val="0"/>
        <w:spacing w:line="360" w:lineRule="auto"/>
        <w:jc w:val="center"/>
        <w:rPr>
          <w:rFonts w:hAnsi="宋体"/>
          <w:bCs/>
          <w:sz w:val="24"/>
        </w:rPr>
      </w:pPr>
      <w:r>
        <w:rPr>
          <w:rFonts w:hAnsi="宋体"/>
          <w:bCs/>
          <w:sz w:val="24"/>
        </w:rPr>
        <w:t>表</w:t>
      </w:r>
      <w:r>
        <w:rPr>
          <w:bCs/>
          <w:sz w:val="24"/>
        </w:rPr>
        <w:t xml:space="preserve">1.6-1  </w:t>
      </w:r>
      <w:r>
        <w:rPr>
          <w:rFonts w:hAnsi="宋体"/>
          <w:bCs/>
          <w:sz w:val="24"/>
        </w:rPr>
        <w:t>工程环境保护目标一览表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936"/>
        <w:gridCol w:w="1773"/>
        <w:gridCol w:w="2049"/>
        <w:gridCol w:w="1385"/>
        <w:gridCol w:w="1385"/>
        <w:gridCol w:w="1418"/>
      </w:tblGrid>
      <w:tr w:rsidR="00475650">
        <w:trPr>
          <w:trHeight w:val="180"/>
          <w:jc w:val="center"/>
        </w:trPr>
        <w:tc>
          <w:tcPr>
            <w:tcW w:w="936" w:type="dxa"/>
            <w:tcBorders>
              <w:top w:val="single" w:sz="12" w:space="0" w:color="auto"/>
              <w:left w:val="single" w:sz="12"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Calibri" w:hAnsi="宋体" w:hint="eastAsia"/>
                <w:kern w:val="0"/>
              </w:rPr>
              <w:t>类别</w:t>
            </w:r>
          </w:p>
        </w:tc>
        <w:tc>
          <w:tcPr>
            <w:tcW w:w="1773" w:type="dxa"/>
            <w:tcBorders>
              <w:top w:val="single" w:sz="12"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宋体" w:hAnsi="宋体" w:cs="宋体" w:hint="eastAsia"/>
                <w:kern w:val="0"/>
              </w:rPr>
              <w:t>名称</w:t>
            </w:r>
          </w:p>
        </w:tc>
        <w:tc>
          <w:tcPr>
            <w:tcW w:w="2049" w:type="dxa"/>
            <w:tcBorders>
              <w:top w:val="single" w:sz="12"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宋体" w:hAnsi="宋体" w:cs="宋体" w:hint="eastAsia"/>
                <w:kern w:val="0"/>
              </w:rPr>
              <w:t>与本项目方位距离</w:t>
            </w:r>
          </w:p>
        </w:tc>
        <w:tc>
          <w:tcPr>
            <w:tcW w:w="1385" w:type="dxa"/>
            <w:tcBorders>
              <w:top w:val="single" w:sz="12"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宋体" w:hAnsi="宋体" w:cs="宋体" w:hint="eastAsia"/>
                <w:kern w:val="0"/>
              </w:rPr>
              <w:t>规模</w:t>
            </w:r>
          </w:p>
        </w:tc>
        <w:tc>
          <w:tcPr>
            <w:tcW w:w="1385" w:type="dxa"/>
            <w:tcBorders>
              <w:top w:val="single" w:sz="12"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宋体" w:hAnsi="宋体" w:cs="宋体" w:hint="eastAsia"/>
                <w:kern w:val="0"/>
              </w:rPr>
              <w:t>功能</w:t>
            </w:r>
          </w:p>
        </w:tc>
        <w:tc>
          <w:tcPr>
            <w:tcW w:w="1418" w:type="dxa"/>
            <w:tcBorders>
              <w:top w:val="single" w:sz="12" w:space="0" w:color="auto"/>
              <w:left w:val="single" w:sz="6" w:space="0" w:color="auto"/>
              <w:bottom w:val="single" w:sz="6" w:space="0" w:color="auto"/>
              <w:right w:val="single" w:sz="12" w:space="0" w:color="auto"/>
            </w:tcBorders>
            <w:vAlign w:val="center"/>
          </w:tcPr>
          <w:p w:rsidR="00475650" w:rsidRDefault="00475650">
            <w:pPr>
              <w:widowControl/>
              <w:snapToGrid w:val="0"/>
              <w:spacing w:line="216" w:lineRule="auto"/>
              <w:jc w:val="center"/>
              <w:rPr>
                <w:rFonts w:ascii="Calibri" w:hAnsi="Calibri"/>
                <w:kern w:val="0"/>
              </w:rPr>
            </w:pPr>
            <w:r>
              <w:rPr>
                <w:rFonts w:ascii="宋体" w:hAnsi="宋体" w:cs="宋体" w:hint="eastAsia"/>
                <w:kern w:val="0"/>
              </w:rPr>
              <w:t>保护级别</w:t>
            </w:r>
          </w:p>
        </w:tc>
      </w:tr>
      <w:tr w:rsidR="00475650">
        <w:trPr>
          <w:trHeight w:val="180"/>
          <w:jc w:val="center"/>
        </w:trPr>
        <w:tc>
          <w:tcPr>
            <w:tcW w:w="936" w:type="dxa"/>
            <w:vMerge w:val="restart"/>
            <w:tcBorders>
              <w:top w:val="single" w:sz="6" w:space="0" w:color="auto"/>
              <w:left w:val="single" w:sz="12"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宋体" w:hAnsi="宋体" w:cs="宋体" w:hint="eastAsia"/>
                <w:kern w:val="0"/>
              </w:rPr>
              <w:t>水环境</w:t>
            </w:r>
          </w:p>
        </w:tc>
        <w:tc>
          <w:tcPr>
            <w:tcW w:w="1773" w:type="dxa"/>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宋体" w:hAnsi="宋体" w:cs="宋体" w:hint="eastAsia"/>
                <w:kern w:val="0"/>
              </w:rPr>
              <w:t>长江</w:t>
            </w:r>
          </w:p>
        </w:tc>
        <w:tc>
          <w:tcPr>
            <w:tcW w:w="2049" w:type="dxa"/>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Calibri" w:hAnsi="Calibri"/>
                <w:kern w:val="0"/>
              </w:rPr>
              <w:t>W 260m</w:t>
            </w:r>
          </w:p>
        </w:tc>
        <w:tc>
          <w:tcPr>
            <w:tcW w:w="1385" w:type="dxa"/>
            <w:tcBorders>
              <w:top w:val="single" w:sz="6" w:space="0" w:color="auto"/>
              <w:left w:val="single" w:sz="6" w:space="0" w:color="auto"/>
              <w:bottom w:val="single" w:sz="6" w:space="0" w:color="auto"/>
              <w:right w:val="single" w:sz="6" w:space="0" w:color="auto"/>
            </w:tcBorders>
            <w:vAlign w:val="center"/>
          </w:tcPr>
          <w:p w:rsidR="00475650" w:rsidRDefault="00475650">
            <w:pPr>
              <w:snapToGrid w:val="0"/>
              <w:spacing w:line="216" w:lineRule="auto"/>
              <w:jc w:val="center"/>
              <w:rPr>
                <w:rFonts w:ascii="Calibri" w:hAnsi="Calibri"/>
                <w:kern w:val="0"/>
              </w:rPr>
            </w:pPr>
            <w:r>
              <w:rPr>
                <w:rFonts w:ascii="宋体" w:hAnsi="宋体" w:cs="宋体" w:hint="eastAsia"/>
                <w:kern w:val="0"/>
              </w:rPr>
              <w:t>大河</w:t>
            </w:r>
          </w:p>
        </w:tc>
        <w:tc>
          <w:tcPr>
            <w:tcW w:w="1385" w:type="dxa"/>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宋体" w:hAnsi="宋体" w:cs="宋体" w:hint="eastAsia"/>
                <w:kern w:val="0"/>
              </w:rPr>
              <w:t>渔业用水</w:t>
            </w:r>
          </w:p>
        </w:tc>
        <w:tc>
          <w:tcPr>
            <w:tcW w:w="1418" w:type="dxa"/>
            <w:vMerge w:val="restart"/>
            <w:tcBorders>
              <w:top w:val="single" w:sz="6" w:space="0" w:color="auto"/>
              <w:left w:val="single" w:sz="6" w:space="0" w:color="auto"/>
              <w:bottom w:val="single" w:sz="6" w:space="0" w:color="auto"/>
              <w:right w:val="single" w:sz="12" w:space="0" w:color="auto"/>
            </w:tcBorders>
            <w:vAlign w:val="center"/>
          </w:tcPr>
          <w:p w:rsidR="00475650" w:rsidRDefault="00475650">
            <w:pPr>
              <w:widowControl/>
              <w:snapToGrid w:val="0"/>
              <w:spacing w:line="216" w:lineRule="auto"/>
              <w:jc w:val="center"/>
              <w:rPr>
                <w:rFonts w:ascii="Calibri" w:hAnsi="Calibri"/>
                <w:kern w:val="0"/>
              </w:rPr>
            </w:pPr>
            <w:r>
              <w:rPr>
                <w:rFonts w:ascii="Calibri" w:hAnsi="Calibri"/>
                <w:kern w:val="0"/>
              </w:rPr>
              <w:t>GB3838-2002 III</w:t>
            </w:r>
            <w:r>
              <w:rPr>
                <w:rFonts w:ascii="宋体" w:hAnsi="宋体" w:cs="宋体" w:hint="eastAsia"/>
                <w:kern w:val="0"/>
              </w:rPr>
              <w:t>类</w:t>
            </w:r>
          </w:p>
        </w:tc>
      </w:tr>
      <w:tr w:rsidR="00475650">
        <w:trPr>
          <w:trHeight w:val="180"/>
          <w:jc w:val="center"/>
        </w:trPr>
        <w:tc>
          <w:tcPr>
            <w:tcW w:w="936" w:type="dxa"/>
            <w:vMerge/>
            <w:tcBorders>
              <w:top w:val="single" w:sz="6" w:space="0" w:color="auto"/>
              <w:left w:val="single" w:sz="12" w:space="0" w:color="auto"/>
              <w:bottom w:val="single" w:sz="6" w:space="0" w:color="auto"/>
              <w:right w:val="single" w:sz="6" w:space="0" w:color="auto"/>
            </w:tcBorders>
            <w:vAlign w:val="center"/>
          </w:tcPr>
          <w:p w:rsidR="00475650" w:rsidRDefault="00475650">
            <w:pPr>
              <w:widowControl/>
              <w:jc w:val="left"/>
              <w:rPr>
                <w:rFonts w:ascii="Calibri" w:hAnsi="Calibri"/>
                <w:kern w:val="0"/>
              </w:rPr>
            </w:pPr>
          </w:p>
        </w:tc>
        <w:tc>
          <w:tcPr>
            <w:tcW w:w="1773" w:type="dxa"/>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宋体" w:hAnsi="宋体" w:cs="宋体" w:hint="eastAsia"/>
                <w:kern w:val="0"/>
              </w:rPr>
              <w:t>园区取水口</w:t>
            </w:r>
          </w:p>
        </w:tc>
        <w:tc>
          <w:tcPr>
            <w:tcW w:w="2049" w:type="dxa"/>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Calibri" w:hAnsi="Calibri"/>
                <w:kern w:val="0"/>
              </w:rPr>
              <w:t>SW 810m</w:t>
            </w:r>
          </w:p>
        </w:tc>
        <w:tc>
          <w:tcPr>
            <w:tcW w:w="1385" w:type="dxa"/>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宋体" w:hAnsi="宋体" w:cs="宋体" w:hint="eastAsia"/>
                <w:kern w:val="0"/>
              </w:rPr>
              <w:t>规划</w:t>
            </w:r>
            <w:r>
              <w:rPr>
                <w:rFonts w:ascii="Calibri" w:hAnsi="Calibri"/>
                <w:kern w:val="0"/>
              </w:rPr>
              <w:t>11</w:t>
            </w:r>
            <w:r>
              <w:rPr>
                <w:rFonts w:ascii="宋体" w:hAnsi="宋体" w:cs="宋体" w:hint="eastAsia"/>
                <w:kern w:val="0"/>
              </w:rPr>
              <w:t>万</w:t>
            </w:r>
            <w:r>
              <w:rPr>
                <w:rFonts w:ascii="Calibri" w:hAnsi="Calibri"/>
                <w:kern w:val="0"/>
              </w:rPr>
              <w:t>t/d</w:t>
            </w:r>
          </w:p>
          <w:p w:rsidR="00475650" w:rsidRDefault="00475650">
            <w:pPr>
              <w:widowControl/>
              <w:snapToGrid w:val="0"/>
              <w:spacing w:line="216" w:lineRule="auto"/>
              <w:jc w:val="center"/>
              <w:rPr>
                <w:rFonts w:ascii="Calibri" w:hAnsi="Calibri"/>
                <w:kern w:val="0"/>
              </w:rPr>
            </w:pPr>
            <w:r>
              <w:rPr>
                <w:rFonts w:ascii="宋体" w:hAnsi="宋体" w:cs="宋体" w:hint="eastAsia"/>
                <w:kern w:val="0"/>
              </w:rPr>
              <w:t>己建</w:t>
            </w:r>
          </w:p>
        </w:tc>
        <w:tc>
          <w:tcPr>
            <w:tcW w:w="1385" w:type="dxa"/>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宋体" w:hAnsi="宋体" w:cs="宋体" w:hint="eastAsia"/>
                <w:kern w:val="0"/>
              </w:rPr>
              <w:t>规划生活及工业取水口</w:t>
            </w:r>
          </w:p>
        </w:tc>
        <w:tc>
          <w:tcPr>
            <w:tcW w:w="1418" w:type="dxa"/>
            <w:vMerge/>
            <w:tcBorders>
              <w:top w:val="single" w:sz="6" w:space="0" w:color="auto"/>
              <w:left w:val="single" w:sz="6" w:space="0" w:color="auto"/>
              <w:bottom w:val="single" w:sz="6" w:space="0" w:color="auto"/>
              <w:right w:val="single" w:sz="12" w:space="0" w:color="auto"/>
            </w:tcBorders>
            <w:vAlign w:val="center"/>
          </w:tcPr>
          <w:p w:rsidR="00475650" w:rsidRDefault="00475650">
            <w:pPr>
              <w:widowControl/>
              <w:jc w:val="left"/>
              <w:rPr>
                <w:rFonts w:ascii="Calibri" w:hAnsi="Calibri"/>
                <w:kern w:val="0"/>
              </w:rPr>
            </w:pPr>
          </w:p>
        </w:tc>
      </w:tr>
      <w:tr w:rsidR="00475650">
        <w:trPr>
          <w:trHeight w:val="180"/>
          <w:jc w:val="center"/>
        </w:trPr>
        <w:tc>
          <w:tcPr>
            <w:tcW w:w="936" w:type="dxa"/>
            <w:vMerge/>
            <w:tcBorders>
              <w:top w:val="single" w:sz="6" w:space="0" w:color="auto"/>
              <w:left w:val="single" w:sz="12" w:space="0" w:color="auto"/>
              <w:bottom w:val="single" w:sz="6" w:space="0" w:color="auto"/>
              <w:right w:val="single" w:sz="6" w:space="0" w:color="auto"/>
            </w:tcBorders>
            <w:vAlign w:val="center"/>
          </w:tcPr>
          <w:p w:rsidR="00475650" w:rsidRDefault="00475650">
            <w:pPr>
              <w:widowControl/>
              <w:jc w:val="left"/>
              <w:rPr>
                <w:rFonts w:ascii="Calibri" w:hAnsi="Calibri"/>
                <w:kern w:val="0"/>
              </w:rPr>
            </w:pPr>
          </w:p>
        </w:tc>
        <w:tc>
          <w:tcPr>
            <w:tcW w:w="1773" w:type="dxa"/>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宋体" w:hAnsi="宋体" w:cs="宋体" w:hint="eastAsia"/>
                <w:kern w:val="0"/>
              </w:rPr>
              <w:t>洋溪湖</w:t>
            </w:r>
          </w:p>
        </w:tc>
        <w:tc>
          <w:tcPr>
            <w:tcW w:w="2049" w:type="dxa"/>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Calibri" w:hAnsi="Calibri"/>
                <w:kern w:val="0"/>
              </w:rPr>
              <w:t>ENE 1350m</w:t>
            </w:r>
          </w:p>
        </w:tc>
        <w:tc>
          <w:tcPr>
            <w:tcW w:w="1385" w:type="dxa"/>
            <w:tcBorders>
              <w:top w:val="single" w:sz="6" w:space="0" w:color="auto"/>
              <w:left w:val="single" w:sz="6" w:space="0" w:color="auto"/>
              <w:bottom w:val="single" w:sz="6" w:space="0" w:color="auto"/>
              <w:right w:val="single" w:sz="6" w:space="0" w:color="auto"/>
            </w:tcBorders>
            <w:vAlign w:val="center"/>
          </w:tcPr>
          <w:p w:rsidR="00475650" w:rsidRDefault="00475650">
            <w:pPr>
              <w:snapToGrid w:val="0"/>
              <w:spacing w:line="216" w:lineRule="auto"/>
              <w:jc w:val="center"/>
              <w:rPr>
                <w:rFonts w:ascii="Calibri" w:hAnsi="Calibri"/>
                <w:kern w:val="0"/>
              </w:rPr>
            </w:pPr>
            <w:r>
              <w:rPr>
                <w:rFonts w:ascii="宋体" w:hAnsi="宋体" w:cs="宋体" w:hint="eastAsia"/>
                <w:kern w:val="0"/>
              </w:rPr>
              <w:t>小湖</w:t>
            </w:r>
          </w:p>
        </w:tc>
        <w:tc>
          <w:tcPr>
            <w:tcW w:w="1385" w:type="dxa"/>
            <w:tcBorders>
              <w:top w:val="single" w:sz="6" w:space="0" w:color="auto"/>
              <w:left w:val="single" w:sz="6" w:space="0" w:color="auto"/>
              <w:bottom w:val="single" w:sz="6" w:space="0" w:color="auto"/>
              <w:right w:val="single" w:sz="6" w:space="0" w:color="auto"/>
            </w:tcBorders>
            <w:vAlign w:val="center"/>
          </w:tcPr>
          <w:p w:rsidR="00475650" w:rsidRDefault="00475650">
            <w:pPr>
              <w:snapToGrid w:val="0"/>
              <w:spacing w:line="216" w:lineRule="auto"/>
              <w:jc w:val="center"/>
              <w:rPr>
                <w:rFonts w:ascii="Calibri" w:hAnsi="Calibri"/>
                <w:kern w:val="0"/>
              </w:rPr>
            </w:pPr>
            <w:r>
              <w:rPr>
                <w:rFonts w:ascii="宋体" w:hAnsi="宋体" w:cs="宋体" w:hint="eastAsia"/>
                <w:kern w:val="0"/>
              </w:rPr>
              <w:t>渔业用水</w:t>
            </w:r>
          </w:p>
        </w:tc>
        <w:tc>
          <w:tcPr>
            <w:tcW w:w="1418" w:type="dxa"/>
            <w:vMerge/>
            <w:tcBorders>
              <w:top w:val="single" w:sz="6" w:space="0" w:color="auto"/>
              <w:left w:val="single" w:sz="6" w:space="0" w:color="auto"/>
              <w:bottom w:val="single" w:sz="6" w:space="0" w:color="auto"/>
              <w:right w:val="single" w:sz="12" w:space="0" w:color="auto"/>
            </w:tcBorders>
            <w:vAlign w:val="center"/>
          </w:tcPr>
          <w:p w:rsidR="00475650" w:rsidRDefault="00475650">
            <w:pPr>
              <w:widowControl/>
              <w:jc w:val="left"/>
              <w:rPr>
                <w:rFonts w:ascii="Calibri" w:hAnsi="Calibri"/>
                <w:kern w:val="0"/>
              </w:rPr>
            </w:pPr>
          </w:p>
        </w:tc>
      </w:tr>
      <w:tr w:rsidR="00475650">
        <w:trPr>
          <w:trHeight w:val="180"/>
          <w:jc w:val="center"/>
        </w:trPr>
        <w:tc>
          <w:tcPr>
            <w:tcW w:w="936" w:type="dxa"/>
            <w:vMerge w:val="restart"/>
            <w:tcBorders>
              <w:top w:val="single" w:sz="6" w:space="0" w:color="auto"/>
              <w:left w:val="single" w:sz="12" w:space="0" w:color="auto"/>
              <w:bottom w:val="single" w:sz="6" w:space="0" w:color="auto"/>
              <w:right w:val="single" w:sz="6" w:space="0" w:color="auto"/>
            </w:tcBorders>
            <w:vAlign w:val="center"/>
          </w:tcPr>
          <w:p w:rsidR="00475650" w:rsidRDefault="00475650">
            <w:pPr>
              <w:snapToGrid w:val="0"/>
              <w:spacing w:line="216" w:lineRule="auto"/>
              <w:jc w:val="center"/>
              <w:rPr>
                <w:rFonts w:ascii="Calibri" w:hAnsi="Calibri"/>
                <w:kern w:val="0"/>
              </w:rPr>
            </w:pPr>
            <w:r>
              <w:rPr>
                <w:rFonts w:ascii="宋体" w:hAnsi="宋体" w:cs="宋体" w:hint="eastAsia"/>
                <w:kern w:val="0"/>
              </w:rPr>
              <w:t>大气</w:t>
            </w:r>
          </w:p>
          <w:p w:rsidR="00475650" w:rsidRDefault="00475650">
            <w:pPr>
              <w:snapToGrid w:val="0"/>
              <w:spacing w:line="216" w:lineRule="auto"/>
              <w:jc w:val="center"/>
              <w:rPr>
                <w:rFonts w:ascii="Calibri" w:hAnsi="Calibri"/>
                <w:kern w:val="0"/>
              </w:rPr>
            </w:pPr>
            <w:r>
              <w:rPr>
                <w:rFonts w:ascii="宋体" w:hAnsi="宋体" w:cs="宋体" w:hint="eastAsia"/>
                <w:kern w:val="0"/>
              </w:rPr>
              <w:t>环境</w:t>
            </w:r>
          </w:p>
        </w:tc>
        <w:tc>
          <w:tcPr>
            <w:tcW w:w="1773" w:type="dxa"/>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宋体" w:hAnsi="宋体" w:cs="宋体" w:hint="eastAsia"/>
                <w:kern w:val="0"/>
              </w:rPr>
              <w:t>儒溪镇白马矶居民点</w:t>
            </w:r>
          </w:p>
        </w:tc>
        <w:tc>
          <w:tcPr>
            <w:tcW w:w="2049" w:type="dxa"/>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Calibri" w:hAnsi="Calibri"/>
                <w:kern w:val="0"/>
              </w:rPr>
              <w:t>NNE1599~2500m</w:t>
            </w:r>
          </w:p>
        </w:tc>
        <w:tc>
          <w:tcPr>
            <w:tcW w:w="1385" w:type="dxa"/>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Calibri" w:hAnsi="Calibri"/>
                <w:kern w:val="0"/>
              </w:rPr>
              <w:t>175</w:t>
            </w:r>
            <w:r>
              <w:rPr>
                <w:rFonts w:ascii="宋体" w:hAnsi="宋体" w:cs="宋体" w:hint="eastAsia"/>
                <w:kern w:val="0"/>
              </w:rPr>
              <w:t>户约</w:t>
            </w:r>
            <w:r>
              <w:rPr>
                <w:rFonts w:ascii="Calibri" w:hAnsi="Calibri"/>
                <w:kern w:val="0"/>
              </w:rPr>
              <w:t>726</w:t>
            </w:r>
            <w:r>
              <w:rPr>
                <w:rFonts w:ascii="宋体" w:hAnsi="宋体" w:cs="宋体" w:hint="eastAsia"/>
                <w:kern w:val="0"/>
              </w:rPr>
              <w:t>人</w:t>
            </w:r>
          </w:p>
        </w:tc>
        <w:tc>
          <w:tcPr>
            <w:tcW w:w="1385" w:type="dxa"/>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宋体" w:hAnsi="宋体" w:cs="宋体" w:hint="eastAsia"/>
                <w:kern w:val="0"/>
              </w:rPr>
              <w:t>居住</w:t>
            </w:r>
          </w:p>
        </w:tc>
        <w:tc>
          <w:tcPr>
            <w:tcW w:w="1418" w:type="dxa"/>
            <w:vMerge w:val="restart"/>
            <w:tcBorders>
              <w:top w:val="single" w:sz="6" w:space="0" w:color="auto"/>
              <w:left w:val="single" w:sz="6" w:space="0" w:color="auto"/>
              <w:bottom w:val="single" w:sz="6" w:space="0" w:color="auto"/>
              <w:right w:val="single" w:sz="12" w:space="0" w:color="auto"/>
            </w:tcBorders>
            <w:vAlign w:val="center"/>
          </w:tcPr>
          <w:p w:rsidR="00475650" w:rsidRDefault="00475650">
            <w:pPr>
              <w:snapToGrid w:val="0"/>
              <w:spacing w:line="216" w:lineRule="auto"/>
              <w:jc w:val="center"/>
              <w:rPr>
                <w:rFonts w:ascii="Calibri" w:hAnsi="Calibri"/>
                <w:kern w:val="0"/>
              </w:rPr>
            </w:pPr>
            <w:r>
              <w:rPr>
                <w:rFonts w:ascii="Calibri" w:hAnsi="Calibri"/>
                <w:kern w:val="0"/>
              </w:rPr>
              <w:t>GB3095-2012</w:t>
            </w:r>
            <w:r>
              <w:rPr>
                <w:rFonts w:ascii="宋体" w:hAnsi="宋体" w:cs="宋体" w:hint="eastAsia"/>
                <w:kern w:val="0"/>
              </w:rPr>
              <w:t>二类</w:t>
            </w:r>
            <w:r>
              <w:rPr>
                <w:rFonts w:ascii="Calibri" w:hAnsi="Calibri"/>
                <w:kern w:val="0"/>
              </w:rPr>
              <w:t xml:space="preserve"> </w:t>
            </w:r>
          </w:p>
        </w:tc>
      </w:tr>
      <w:tr w:rsidR="00475650">
        <w:trPr>
          <w:trHeight w:val="287"/>
          <w:jc w:val="center"/>
        </w:trPr>
        <w:tc>
          <w:tcPr>
            <w:tcW w:w="936" w:type="dxa"/>
            <w:vMerge/>
            <w:tcBorders>
              <w:top w:val="single" w:sz="6" w:space="0" w:color="auto"/>
              <w:left w:val="single" w:sz="12" w:space="0" w:color="auto"/>
              <w:bottom w:val="single" w:sz="6" w:space="0" w:color="auto"/>
              <w:right w:val="single" w:sz="6" w:space="0" w:color="auto"/>
            </w:tcBorders>
            <w:vAlign w:val="center"/>
          </w:tcPr>
          <w:p w:rsidR="00475650" w:rsidRDefault="00475650">
            <w:pPr>
              <w:widowControl/>
              <w:jc w:val="left"/>
              <w:rPr>
                <w:rFonts w:ascii="Calibri" w:hAnsi="Calibri"/>
                <w:kern w:val="0"/>
              </w:rPr>
            </w:pPr>
          </w:p>
        </w:tc>
        <w:tc>
          <w:tcPr>
            <w:tcW w:w="1773" w:type="dxa"/>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宋体" w:hAnsi="宋体" w:cs="宋体" w:hint="eastAsia"/>
                <w:kern w:val="0"/>
              </w:rPr>
              <w:t>儒溪中学</w:t>
            </w:r>
          </w:p>
        </w:tc>
        <w:tc>
          <w:tcPr>
            <w:tcW w:w="2049" w:type="dxa"/>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Calibri" w:hAnsi="Calibri"/>
                <w:kern w:val="0"/>
              </w:rPr>
              <w:t>NNE 2310m</w:t>
            </w:r>
          </w:p>
        </w:tc>
        <w:tc>
          <w:tcPr>
            <w:tcW w:w="1385" w:type="dxa"/>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Calibri" w:hAnsi="Calibri"/>
                <w:kern w:val="0"/>
              </w:rPr>
              <w:t>8</w:t>
            </w:r>
            <w:r>
              <w:rPr>
                <w:rFonts w:ascii="宋体" w:hAnsi="宋体" w:cs="宋体" w:hint="eastAsia"/>
                <w:kern w:val="0"/>
              </w:rPr>
              <w:t>班，</w:t>
            </w:r>
            <w:r>
              <w:rPr>
                <w:rFonts w:ascii="Calibri" w:hAnsi="Calibri"/>
                <w:kern w:val="0"/>
              </w:rPr>
              <w:t>435</w:t>
            </w:r>
            <w:r>
              <w:rPr>
                <w:rFonts w:ascii="宋体" w:hAnsi="宋体" w:cs="宋体" w:hint="eastAsia"/>
                <w:kern w:val="0"/>
              </w:rPr>
              <w:t>人</w:t>
            </w:r>
          </w:p>
        </w:tc>
        <w:tc>
          <w:tcPr>
            <w:tcW w:w="1385" w:type="dxa"/>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宋体" w:hAnsi="宋体" w:cs="宋体" w:hint="eastAsia"/>
                <w:kern w:val="0"/>
              </w:rPr>
              <w:t>文教</w:t>
            </w:r>
          </w:p>
        </w:tc>
        <w:tc>
          <w:tcPr>
            <w:tcW w:w="1418" w:type="dxa"/>
            <w:vMerge/>
            <w:tcBorders>
              <w:top w:val="single" w:sz="6" w:space="0" w:color="auto"/>
              <w:left w:val="single" w:sz="6" w:space="0" w:color="auto"/>
              <w:bottom w:val="single" w:sz="6" w:space="0" w:color="auto"/>
              <w:right w:val="single" w:sz="12" w:space="0" w:color="auto"/>
            </w:tcBorders>
            <w:vAlign w:val="center"/>
          </w:tcPr>
          <w:p w:rsidR="00475650" w:rsidRDefault="00475650">
            <w:pPr>
              <w:widowControl/>
              <w:jc w:val="left"/>
              <w:rPr>
                <w:rFonts w:ascii="Calibri" w:hAnsi="Calibri"/>
                <w:kern w:val="0"/>
              </w:rPr>
            </w:pPr>
          </w:p>
        </w:tc>
      </w:tr>
      <w:tr w:rsidR="00475650">
        <w:trPr>
          <w:trHeight w:val="180"/>
          <w:jc w:val="center"/>
        </w:trPr>
        <w:tc>
          <w:tcPr>
            <w:tcW w:w="936" w:type="dxa"/>
            <w:vMerge/>
            <w:tcBorders>
              <w:top w:val="single" w:sz="6" w:space="0" w:color="auto"/>
              <w:left w:val="single" w:sz="12" w:space="0" w:color="auto"/>
              <w:bottom w:val="single" w:sz="6" w:space="0" w:color="auto"/>
              <w:right w:val="single" w:sz="6" w:space="0" w:color="auto"/>
            </w:tcBorders>
            <w:vAlign w:val="center"/>
          </w:tcPr>
          <w:p w:rsidR="00475650" w:rsidRDefault="00475650">
            <w:pPr>
              <w:widowControl/>
              <w:jc w:val="left"/>
              <w:rPr>
                <w:rFonts w:ascii="Calibri" w:hAnsi="Calibri"/>
                <w:kern w:val="0"/>
              </w:rPr>
            </w:pPr>
          </w:p>
        </w:tc>
        <w:tc>
          <w:tcPr>
            <w:tcW w:w="1773" w:type="dxa"/>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宋体" w:hAnsi="宋体" w:cs="宋体" w:hint="eastAsia"/>
                <w:kern w:val="0"/>
              </w:rPr>
              <w:t>鸭栏村居民点</w:t>
            </w:r>
          </w:p>
        </w:tc>
        <w:tc>
          <w:tcPr>
            <w:tcW w:w="2049" w:type="dxa"/>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Calibri" w:hAnsi="Calibri"/>
                <w:kern w:val="0"/>
              </w:rPr>
              <w:t>NNE 2940~5066m</w:t>
            </w:r>
          </w:p>
        </w:tc>
        <w:tc>
          <w:tcPr>
            <w:tcW w:w="1385" w:type="dxa"/>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Calibri" w:hAnsi="Calibri"/>
                <w:kern w:val="0"/>
              </w:rPr>
              <w:t>160</w:t>
            </w:r>
            <w:r>
              <w:rPr>
                <w:rFonts w:ascii="宋体" w:hAnsi="宋体" w:cs="宋体" w:hint="eastAsia"/>
                <w:kern w:val="0"/>
              </w:rPr>
              <w:t>户约</w:t>
            </w:r>
            <w:r>
              <w:rPr>
                <w:rFonts w:ascii="Calibri" w:hAnsi="Calibri"/>
                <w:kern w:val="0"/>
              </w:rPr>
              <w:t>500</w:t>
            </w:r>
            <w:r>
              <w:rPr>
                <w:rFonts w:ascii="宋体" w:hAnsi="宋体" w:cs="宋体" w:hint="eastAsia"/>
                <w:kern w:val="0"/>
              </w:rPr>
              <w:t>人</w:t>
            </w:r>
          </w:p>
        </w:tc>
        <w:tc>
          <w:tcPr>
            <w:tcW w:w="1385" w:type="dxa"/>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宋体" w:hAnsi="宋体" w:cs="宋体" w:hint="eastAsia"/>
                <w:kern w:val="0"/>
              </w:rPr>
              <w:t>居住</w:t>
            </w:r>
          </w:p>
        </w:tc>
        <w:tc>
          <w:tcPr>
            <w:tcW w:w="1418" w:type="dxa"/>
            <w:vMerge/>
            <w:tcBorders>
              <w:top w:val="single" w:sz="6" w:space="0" w:color="auto"/>
              <w:left w:val="single" w:sz="6" w:space="0" w:color="auto"/>
              <w:bottom w:val="single" w:sz="6" w:space="0" w:color="auto"/>
              <w:right w:val="single" w:sz="12" w:space="0" w:color="auto"/>
            </w:tcBorders>
            <w:vAlign w:val="center"/>
          </w:tcPr>
          <w:p w:rsidR="00475650" w:rsidRDefault="00475650">
            <w:pPr>
              <w:widowControl/>
              <w:jc w:val="left"/>
              <w:rPr>
                <w:rFonts w:ascii="Calibri" w:hAnsi="Calibri"/>
                <w:kern w:val="0"/>
              </w:rPr>
            </w:pPr>
          </w:p>
        </w:tc>
      </w:tr>
      <w:tr w:rsidR="00475650">
        <w:trPr>
          <w:trHeight w:val="180"/>
          <w:jc w:val="center"/>
        </w:trPr>
        <w:tc>
          <w:tcPr>
            <w:tcW w:w="936" w:type="dxa"/>
            <w:vMerge/>
            <w:tcBorders>
              <w:top w:val="single" w:sz="6" w:space="0" w:color="auto"/>
              <w:left w:val="single" w:sz="12" w:space="0" w:color="auto"/>
              <w:bottom w:val="single" w:sz="6" w:space="0" w:color="auto"/>
              <w:right w:val="single" w:sz="6" w:space="0" w:color="auto"/>
            </w:tcBorders>
            <w:vAlign w:val="center"/>
          </w:tcPr>
          <w:p w:rsidR="00475650" w:rsidRDefault="00475650">
            <w:pPr>
              <w:widowControl/>
              <w:jc w:val="left"/>
              <w:rPr>
                <w:rFonts w:ascii="Calibri" w:hAnsi="Calibri"/>
                <w:kern w:val="0"/>
              </w:rPr>
            </w:pPr>
          </w:p>
        </w:tc>
        <w:tc>
          <w:tcPr>
            <w:tcW w:w="1773" w:type="dxa"/>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宋体" w:hAnsi="宋体" w:cs="宋体" w:hint="eastAsia"/>
                <w:kern w:val="0"/>
              </w:rPr>
              <w:t>儒溪村</w:t>
            </w:r>
            <w:r>
              <w:rPr>
                <w:rFonts w:ascii="Calibri" w:hAnsi="Calibri" w:hint="eastAsia"/>
                <w:kern w:val="0"/>
              </w:rPr>
              <w:t>居民点</w:t>
            </w:r>
          </w:p>
        </w:tc>
        <w:tc>
          <w:tcPr>
            <w:tcW w:w="2049" w:type="dxa"/>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Calibri" w:hAnsi="Calibri" w:hint="eastAsia"/>
                <w:kern w:val="0"/>
              </w:rPr>
              <w:t>WE</w:t>
            </w:r>
            <w:r>
              <w:rPr>
                <w:rFonts w:ascii="Calibri" w:hAnsi="Calibri" w:hint="eastAsia"/>
                <w:kern w:val="0"/>
              </w:rPr>
              <w:t>，</w:t>
            </w:r>
            <w:r>
              <w:rPr>
                <w:rFonts w:ascii="Calibri" w:hAnsi="Calibri"/>
                <w:kern w:val="0"/>
              </w:rPr>
              <w:t>S</w:t>
            </w:r>
            <w:r>
              <w:rPr>
                <w:rFonts w:ascii="Calibri" w:hAnsi="Calibri" w:hint="eastAsia"/>
                <w:kern w:val="0"/>
              </w:rPr>
              <w:t>，</w:t>
            </w:r>
            <w:r>
              <w:rPr>
                <w:rFonts w:ascii="Calibri" w:hAnsi="Calibri" w:hint="eastAsia"/>
                <w:kern w:val="0"/>
              </w:rPr>
              <w:t>NE</w:t>
            </w:r>
            <w:r>
              <w:rPr>
                <w:rFonts w:ascii="Calibri" w:hAnsi="Calibri"/>
                <w:kern w:val="0"/>
              </w:rPr>
              <w:t xml:space="preserve"> </w:t>
            </w:r>
            <w:r>
              <w:rPr>
                <w:rFonts w:ascii="Calibri" w:hAnsi="Calibri" w:hint="eastAsia"/>
                <w:kern w:val="0"/>
              </w:rPr>
              <w:t>540</w:t>
            </w:r>
            <w:r>
              <w:rPr>
                <w:rFonts w:ascii="Calibri" w:hAnsi="Calibri"/>
                <w:kern w:val="0"/>
              </w:rPr>
              <w:t>~</w:t>
            </w:r>
            <w:r>
              <w:rPr>
                <w:rFonts w:ascii="Calibri" w:hAnsi="Calibri" w:hint="eastAsia"/>
                <w:kern w:val="0"/>
              </w:rPr>
              <w:t>1400</w:t>
            </w:r>
            <w:r>
              <w:rPr>
                <w:rFonts w:ascii="Calibri" w:hAnsi="Calibri"/>
                <w:kern w:val="0"/>
              </w:rPr>
              <w:t>m</w:t>
            </w:r>
            <w:r>
              <w:rPr>
                <w:rFonts w:ascii="Calibri" w:hAnsi="Calibri" w:hint="eastAsia"/>
                <w:kern w:val="0"/>
              </w:rPr>
              <w:t>；</w:t>
            </w:r>
          </w:p>
        </w:tc>
        <w:tc>
          <w:tcPr>
            <w:tcW w:w="1385" w:type="dxa"/>
            <w:tcBorders>
              <w:top w:val="single" w:sz="6" w:space="0" w:color="auto"/>
              <w:left w:val="single" w:sz="6" w:space="0" w:color="auto"/>
              <w:bottom w:val="single" w:sz="6" w:space="0" w:color="auto"/>
              <w:right w:val="single" w:sz="6" w:space="0" w:color="auto"/>
            </w:tcBorders>
            <w:vAlign w:val="center"/>
          </w:tcPr>
          <w:p w:rsidR="00475650" w:rsidRDefault="00475650">
            <w:pPr>
              <w:snapToGrid w:val="0"/>
              <w:spacing w:line="216" w:lineRule="auto"/>
              <w:jc w:val="center"/>
              <w:rPr>
                <w:rFonts w:ascii="Calibri" w:hAnsi="Calibri"/>
                <w:kern w:val="0"/>
              </w:rPr>
            </w:pPr>
            <w:r>
              <w:rPr>
                <w:rFonts w:ascii="Calibri" w:hAnsi="Calibri"/>
                <w:kern w:val="0"/>
              </w:rPr>
              <w:t>90</w:t>
            </w:r>
            <w:r>
              <w:rPr>
                <w:rFonts w:ascii="宋体" w:hAnsi="宋体" w:cs="宋体" w:hint="eastAsia"/>
                <w:kern w:val="0"/>
              </w:rPr>
              <w:t>户约</w:t>
            </w:r>
            <w:r>
              <w:rPr>
                <w:rFonts w:ascii="Calibri" w:hAnsi="Calibri"/>
                <w:kern w:val="0"/>
              </w:rPr>
              <w:t>300</w:t>
            </w:r>
            <w:r>
              <w:rPr>
                <w:rFonts w:ascii="宋体" w:hAnsi="宋体" w:cs="宋体" w:hint="eastAsia"/>
                <w:kern w:val="0"/>
              </w:rPr>
              <w:t>人</w:t>
            </w:r>
          </w:p>
        </w:tc>
        <w:tc>
          <w:tcPr>
            <w:tcW w:w="1385" w:type="dxa"/>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宋体" w:hAnsi="宋体" w:cs="宋体" w:hint="eastAsia"/>
                <w:kern w:val="0"/>
              </w:rPr>
              <w:t>居住</w:t>
            </w:r>
          </w:p>
        </w:tc>
        <w:tc>
          <w:tcPr>
            <w:tcW w:w="1418" w:type="dxa"/>
            <w:vMerge/>
            <w:tcBorders>
              <w:top w:val="single" w:sz="6" w:space="0" w:color="auto"/>
              <w:left w:val="single" w:sz="6" w:space="0" w:color="auto"/>
              <w:bottom w:val="single" w:sz="6" w:space="0" w:color="auto"/>
              <w:right w:val="single" w:sz="12" w:space="0" w:color="auto"/>
            </w:tcBorders>
            <w:vAlign w:val="center"/>
          </w:tcPr>
          <w:p w:rsidR="00475650" w:rsidRDefault="00475650">
            <w:pPr>
              <w:widowControl/>
              <w:jc w:val="left"/>
              <w:rPr>
                <w:rFonts w:ascii="Calibri" w:hAnsi="Calibri"/>
                <w:kern w:val="0"/>
              </w:rPr>
            </w:pPr>
          </w:p>
        </w:tc>
      </w:tr>
      <w:tr w:rsidR="00475650">
        <w:trPr>
          <w:trHeight w:val="180"/>
          <w:jc w:val="center"/>
        </w:trPr>
        <w:tc>
          <w:tcPr>
            <w:tcW w:w="936" w:type="dxa"/>
            <w:vMerge/>
            <w:tcBorders>
              <w:top w:val="single" w:sz="6" w:space="0" w:color="auto"/>
              <w:left w:val="single" w:sz="12" w:space="0" w:color="auto"/>
              <w:bottom w:val="single" w:sz="6" w:space="0" w:color="auto"/>
              <w:right w:val="single" w:sz="6" w:space="0" w:color="auto"/>
            </w:tcBorders>
            <w:vAlign w:val="center"/>
          </w:tcPr>
          <w:p w:rsidR="00475650" w:rsidRDefault="00475650">
            <w:pPr>
              <w:widowControl/>
              <w:jc w:val="left"/>
              <w:rPr>
                <w:rFonts w:ascii="Calibri" w:hAnsi="Calibri"/>
                <w:kern w:val="0"/>
              </w:rPr>
            </w:pPr>
          </w:p>
        </w:tc>
        <w:tc>
          <w:tcPr>
            <w:tcW w:w="1773" w:type="dxa"/>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宋体" w:hAnsi="宋体" w:cs="宋体" w:hint="eastAsia"/>
                <w:kern w:val="0"/>
              </w:rPr>
              <w:t>新港村居民点</w:t>
            </w:r>
          </w:p>
        </w:tc>
        <w:tc>
          <w:tcPr>
            <w:tcW w:w="2049" w:type="dxa"/>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Calibri" w:hAnsi="Calibri"/>
                <w:kern w:val="0"/>
              </w:rPr>
              <w:t>SWS 1656~2500m</w:t>
            </w:r>
          </w:p>
        </w:tc>
        <w:tc>
          <w:tcPr>
            <w:tcW w:w="1385" w:type="dxa"/>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Calibri" w:hAnsi="Calibri"/>
                <w:kern w:val="0"/>
              </w:rPr>
              <w:t>90</w:t>
            </w:r>
            <w:r>
              <w:rPr>
                <w:rFonts w:ascii="宋体" w:hAnsi="宋体" w:cs="宋体" w:hint="eastAsia"/>
                <w:kern w:val="0"/>
              </w:rPr>
              <w:t>户</w:t>
            </w:r>
          </w:p>
          <w:p w:rsidR="00475650" w:rsidRDefault="00475650">
            <w:pPr>
              <w:widowControl/>
              <w:snapToGrid w:val="0"/>
              <w:spacing w:line="216" w:lineRule="auto"/>
              <w:jc w:val="center"/>
              <w:rPr>
                <w:rFonts w:ascii="Calibri" w:hAnsi="Calibri"/>
                <w:kern w:val="0"/>
              </w:rPr>
            </w:pPr>
            <w:r>
              <w:rPr>
                <w:rFonts w:ascii="宋体" w:hAnsi="宋体" w:cs="宋体" w:hint="eastAsia"/>
                <w:kern w:val="0"/>
              </w:rPr>
              <w:t>约</w:t>
            </w:r>
            <w:r>
              <w:rPr>
                <w:rFonts w:ascii="Calibri" w:hAnsi="Calibri"/>
                <w:kern w:val="0"/>
              </w:rPr>
              <w:t>270</w:t>
            </w:r>
            <w:r>
              <w:rPr>
                <w:rFonts w:ascii="宋体" w:hAnsi="宋体" w:cs="宋体" w:hint="eastAsia"/>
                <w:kern w:val="0"/>
              </w:rPr>
              <w:t>人</w:t>
            </w:r>
          </w:p>
        </w:tc>
        <w:tc>
          <w:tcPr>
            <w:tcW w:w="1385" w:type="dxa"/>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宋体" w:hAnsi="宋体" w:cs="宋体" w:hint="eastAsia"/>
                <w:kern w:val="0"/>
              </w:rPr>
              <w:t>居住</w:t>
            </w:r>
          </w:p>
        </w:tc>
        <w:tc>
          <w:tcPr>
            <w:tcW w:w="1418" w:type="dxa"/>
            <w:vMerge/>
            <w:tcBorders>
              <w:top w:val="single" w:sz="6" w:space="0" w:color="auto"/>
              <w:left w:val="single" w:sz="6" w:space="0" w:color="auto"/>
              <w:bottom w:val="single" w:sz="6" w:space="0" w:color="auto"/>
              <w:right w:val="single" w:sz="12" w:space="0" w:color="auto"/>
            </w:tcBorders>
            <w:vAlign w:val="center"/>
          </w:tcPr>
          <w:p w:rsidR="00475650" w:rsidRDefault="00475650">
            <w:pPr>
              <w:widowControl/>
              <w:jc w:val="left"/>
              <w:rPr>
                <w:rFonts w:ascii="Calibri" w:hAnsi="Calibri"/>
                <w:kern w:val="0"/>
              </w:rPr>
            </w:pPr>
          </w:p>
        </w:tc>
      </w:tr>
      <w:tr w:rsidR="00475650">
        <w:trPr>
          <w:trHeight w:val="180"/>
          <w:jc w:val="center"/>
        </w:trPr>
        <w:tc>
          <w:tcPr>
            <w:tcW w:w="936" w:type="dxa"/>
            <w:tcBorders>
              <w:top w:val="single" w:sz="6" w:space="0" w:color="auto"/>
              <w:left w:val="single" w:sz="12"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宋体" w:hAnsi="宋体" w:cs="宋体" w:hint="eastAsia"/>
                <w:kern w:val="0"/>
              </w:rPr>
              <w:t>声环境</w:t>
            </w:r>
          </w:p>
        </w:tc>
        <w:tc>
          <w:tcPr>
            <w:tcW w:w="1773" w:type="dxa"/>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Calibri" w:hAnsi="Calibri"/>
                <w:kern w:val="0"/>
              </w:rPr>
              <w:t>200m</w:t>
            </w:r>
            <w:r>
              <w:rPr>
                <w:rFonts w:ascii="宋体" w:hAnsi="宋体" w:cs="宋体" w:hint="eastAsia"/>
                <w:kern w:val="0"/>
              </w:rPr>
              <w:t>范围无居民</w:t>
            </w:r>
          </w:p>
        </w:tc>
        <w:tc>
          <w:tcPr>
            <w:tcW w:w="2049" w:type="dxa"/>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宋体" w:hAnsi="宋体" w:cs="宋体" w:hint="eastAsia"/>
                <w:kern w:val="0"/>
              </w:rPr>
              <w:t>－</w:t>
            </w:r>
          </w:p>
        </w:tc>
        <w:tc>
          <w:tcPr>
            <w:tcW w:w="1385" w:type="dxa"/>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宋体" w:hAnsi="宋体" w:cs="宋体" w:hint="eastAsia"/>
                <w:kern w:val="0"/>
              </w:rPr>
              <w:t>－</w:t>
            </w:r>
          </w:p>
        </w:tc>
        <w:tc>
          <w:tcPr>
            <w:tcW w:w="1385" w:type="dxa"/>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宋体" w:hAnsi="宋体" w:cs="宋体" w:hint="eastAsia"/>
                <w:kern w:val="0"/>
              </w:rPr>
              <w:t>－</w:t>
            </w:r>
          </w:p>
        </w:tc>
        <w:tc>
          <w:tcPr>
            <w:tcW w:w="1418" w:type="dxa"/>
            <w:tcBorders>
              <w:top w:val="single" w:sz="6" w:space="0" w:color="auto"/>
              <w:left w:val="single" w:sz="6" w:space="0" w:color="auto"/>
              <w:bottom w:val="single" w:sz="6" w:space="0" w:color="auto"/>
              <w:right w:val="single" w:sz="12" w:space="0" w:color="auto"/>
            </w:tcBorders>
            <w:vAlign w:val="center"/>
          </w:tcPr>
          <w:p w:rsidR="00475650" w:rsidRDefault="00475650">
            <w:pPr>
              <w:widowControl/>
              <w:snapToGrid w:val="0"/>
              <w:spacing w:line="216" w:lineRule="auto"/>
              <w:jc w:val="center"/>
              <w:rPr>
                <w:rFonts w:ascii="Calibri" w:hAnsi="Calibri"/>
                <w:kern w:val="0"/>
              </w:rPr>
            </w:pPr>
            <w:r>
              <w:rPr>
                <w:rFonts w:ascii="Calibri" w:hAnsi="Calibri"/>
                <w:kern w:val="0"/>
              </w:rPr>
              <w:t>GB3096-2008</w:t>
            </w:r>
            <w:r>
              <w:rPr>
                <w:rFonts w:ascii="宋体" w:hAnsi="宋体" w:cs="宋体" w:hint="eastAsia"/>
                <w:kern w:val="0"/>
              </w:rPr>
              <w:t>中</w:t>
            </w:r>
            <w:r>
              <w:rPr>
                <w:rFonts w:ascii="Calibri" w:hAnsi="Calibri"/>
                <w:kern w:val="0"/>
              </w:rPr>
              <w:t>3</w:t>
            </w:r>
            <w:r>
              <w:rPr>
                <w:rFonts w:ascii="宋体" w:hAnsi="宋体" w:cs="宋体" w:hint="eastAsia"/>
                <w:kern w:val="0"/>
              </w:rPr>
              <w:t>类</w:t>
            </w:r>
          </w:p>
        </w:tc>
      </w:tr>
      <w:tr w:rsidR="00475650">
        <w:trPr>
          <w:trHeight w:val="180"/>
          <w:jc w:val="center"/>
        </w:trPr>
        <w:tc>
          <w:tcPr>
            <w:tcW w:w="936" w:type="dxa"/>
            <w:tcBorders>
              <w:top w:val="single" w:sz="6" w:space="0" w:color="auto"/>
              <w:left w:val="single" w:sz="12"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宋体" w:hAnsi="宋体" w:cs="宋体" w:hint="eastAsia"/>
                <w:kern w:val="0"/>
              </w:rPr>
              <w:t>生态环境</w:t>
            </w:r>
          </w:p>
        </w:tc>
        <w:tc>
          <w:tcPr>
            <w:tcW w:w="1773" w:type="dxa"/>
            <w:tcBorders>
              <w:top w:val="single" w:sz="6" w:space="0" w:color="auto"/>
              <w:left w:val="single" w:sz="6" w:space="0" w:color="auto"/>
              <w:bottom w:val="single" w:sz="6" w:space="0" w:color="auto"/>
              <w:right w:val="single" w:sz="6" w:space="0" w:color="auto"/>
            </w:tcBorders>
            <w:vAlign w:val="center"/>
          </w:tcPr>
          <w:p w:rsidR="00475650" w:rsidRDefault="00475650">
            <w:pPr>
              <w:rPr>
                <w:rFonts w:ascii="Calibri" w:hAnsi="Calibri"/>
                <w:kern w:val="0"/>
              </w:rPr>
            </w:pPr>
            <w:r>
              <w:rPr>
                <w:rFonts w:ascii="宋体" w:hAnsi="宋体" w:cs="宋体" w:hint="eastAsia"/>
                <w:kern w:val="0"/>
              </w:rPr>
              <w:t>白鱀豚保护区</w:t>
            </w:r>
          </w:p>
          <w:p w:rsidR="00475650" w:rsidRDefault="00475650">
            <w:pPr>
              <w:widowControl/>
              <w:snapToGrid w:val="0"/>
              <w:spacing w:line="216" w:lineRule="auto"/>
              <w:jc w:val="center"/>
              <w:rPr>
                <w:rFonts w:ascii="Calibri" w:hAnsi="Calibri"/>
                <w:kern w:val="0"/>
              </w:rPr>
            </w:pPr>
          </w:p>
        </w:tc>
        <w:tc>
          <w:tcPr>
            <w:tcW w:w="4819" w:type="dxa"/>
            <w:gridSpan w:val="3"/>
            <w:tcBorders>
              <w:top w:val="single" w:sz="6" w:space="0" w:color="auto"/>
              <w:left w:val="single" w:sz="6" w:space="0" w:color="auto"/>
              <w:bottom w:val="single" w:sz="6"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宋体" w:hAnsi="宋体" w:cs="宋体" w:hint="eastAsia"/>
                <w:kern w:val="0"/>
              </w:rPr>
              <w:t>工业园排水口下游位于长江新螺段白鱀豚国家级自然保护区实验区内，位于保护区起点下游约</w:t>
            </w:r>
            <w:r>
              <w:rPr>
                <w:rFonts w:ascii="Calibri" w:hAnsi="Calibri"/>
                <w:kern w:val="0"/>
              </w:rPr>
              <w:t>1.8km</w:t>
            </w:r>
            <w:r>
              <w:rPr>
                <w:rFonts w:ascii="宋体" w:hAnsi="宋体" w:cs="宋体" w:hint="eastAsia"/>
                <w:kern w:val="0"/>
              </w:rPr>
              <w:t>，距离最近洲滩</w:t>
            </w:r>
            <w:r>
              <w:rPr>
                <w:rFonts w:ascii="Calibri" w:hAnsi="Calibri"/>
                <w:kern w:val="0"/>
              </w:rPr>
              <w:t>13.2km</w:t>
            </w:r>
            <w:r>
              <w:rPr>
                <w:rFonts w:ascii="宋体" w:hAnsi="宋体" w:cs="宋体" w:hint="eastAsia"/>
                <w:kern w:val="0"/>
              </w:rPr>
              <w:t>，距离南门洲（核心区）</w:t>
            </w:r>
            <w:r>
              <w:rPr>
                <w:rFonts w:ascii="Calibri" w:hAnsi="Calibri"/>
                <w:kern w:val="0"/>
              </w:rPr>
              <w:t>15</w:t>
            </w:r>
            <w:r>
              <w:rPr>
                <w:rFonts w:ascii="宋体" w:hAnsi="宋体" w:cs="宋体" w:hint="eastAsia"/>
                <w:kern w:val="0"/>
              </w:rPr>
              <w:t>公里</w:t>
            </w:r>
          </w:p>
        </w:tc>
        <w:tc>
          <w:tcPr>
            <w:tcW w:w="1418" w:type="dxa"/>
            <w:tcBorders>
              <w:top w:val="single" w:sz="6" w:space="0" w:color="auto"/>
              <w:left w:val="single" w:sz="6" w:space="0" w:color="auto"/>
              <w:bottom w:val="single" w:sz="6" w:space="0" w:color="auto"/>
              <w:right w:val="single" w:sz="12" w:space="0" w:color="auto"/>
            </w:tcBorders>
            <w:vAlign w:val="center"/>
          </w:tcPr>
          <w:p w:rsidR="00475650" w:rsidRDefault="00475650">
            <w:pPr>
              <w:widowControl/>
              <w:snapToGrid w:val="0"/>
              <w:spacing w:line="216" w:lineRule="auto"/>
              <w:jc w:val="center"/>
              <w:rPr>
                <w:rFonts w:ascii="Calibri" w:hAnsi="Calibri"/>
                <w:kern w:val="0"/>
              </w:rPr>
            </w:pPr>
            <w:r>
              <w:rPr>
                <w:rFonts w:ascii="宋体" w:hAnsi="宋体" w:cs="宋体" w:hint="eastAsia"/>
                <w:kern w:val="0"/>
              </w:rPr>
              <w:t>国家级</w:t>
            </w:r>
          </w:p>
        </w:tc>
      </w:tr>
      <w:tr w:rsidR="00475650">
        <w:trPr>
          <w:trHeight w:val="180"/>
          <w:jc w:val="center"/>
        </w:trPr>
        <w:tc>
          <w:tcPr>
            <w:tcW w:w="936" w:type="dxa"/>
            <w:tcBorders>
              <w:top w:val="single" w:sz="6" w:space="0" w:color="auto"/>
              <w:left w:val="single" w:sz="12" w:space="0" w:color="auto"/>
              <w:bottom w:val="single" w:sz="12"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宋体" w:hAnsi="宋体" w:cs="宋体" w:hint="eastAsia"/>
                <w:kern w:val="0"/>
              </w:rPr>
              <w:t>文物重点保护区</w:t>
            </w:r>
          </w:p>
        </w:tc>
        <w:tc>
          <w:tcPr>
            <w:tcW w:w="1773" w:type="dxa"/>
            <w:tcBorders>
              <w:top w:val="single" w:sz="6" w:space="0" w:color="auto"/>
              <w:left w:val="single" w:sz="6" w:space="0" w:color="auto"/>
              <w:bottom w:val="single" w:sz="12"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宋体" w:hAnsi="宋体" w:cs="宋体" w:hint="eastAsia"/>
                <w:kern w:val="0"/>
              </w:rPr>
              <w:t>临湘塔</w:t>
            </w:r>
          </w:p>
        </w:tc>
        <w:tc>
          <w:tcPr>
            <w:tcW w:w="2049" w:type="dxa"/>
            <w:tcBorders>
              <w:top w:val="single" w:sz="6" w:space="0" w:color="auto"/>
              <w:left w:val="single" w:sz="6" w:space="0" w:color="auto"/>
              <w:bottom w:val="single" w:sz="12"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Calibri" w:hAnsi="Calibri"/>
                <w:kern w:val="0"/>
              </w:rPr>
              <w:t>SW</w:t>
            </w:r>
            <w:r>
              <w:rPr>
                <w:rFonts w:ascii="宋体" w:hAnsi="宋体" w:cs="宋体" w:hint="eastAsia"/>
                <w:kern w:val="0"/>
              </w:rPr>
              <w:t>，</w:t>
            </w:r>
            <w:r>
              <w:rPr>
                <w:rFonts w:ascii="Calibri" w:hAnsi="Calibri"/>
                <w:kern w:val="0"/>
              </w:rPr>
              <w:t>789m</w:t>
            </w:r>
          </w:p>
        </w:tc>
        <w:tc>
          <w:tcPr>
            <w:tcW w:w="1385" w:type="dxa"/>
            <w:tcBorders>
              <w:top w:val="single" w:sz="6" w:space="0" w:color="auto"/>
              <w:left w:val="single" w:sz="6" w:space="0" w:color="auto"/>
              <w:bottom w:val="single" w:sz="12"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Calibri" w:hAnsi="宋体" w:hint="eastAsia"/>
                <w:kern w:val="0"/>
              </w:rPr>
              <w:t>－</w:t>
            </w:r>
          </w:p>
        </w:tc>
        <w:tc>
          <w:tcPr>
            <w:tcW w:w="1385" w:type="dxa"/>
            <w:tcBorders>
              <w:top w:val="single" w:sz="6" w:space="0" w:color="auto"/>
              <w:left w:val="single" w:sz="6" w:space="0" w:color="auto"/>
              <w:bottom w:val="single" w:sz="12" w:space="0" w:color="auto"/>
              <w:right w:val="single" w:sz="6" w:space="0" w:color="auto"/>
            </w:tcBorders>
            <w:vAlign w:val="center"/>
          </w:tcPr>
          <w:p w:rsidR="00475650" w:rsidRDefault="00475650">
            <w:pPr>
              <w:widowControl/>
              <w:snapToGrid w:val="0"/>
              <w:spacing w:line="216" w:lineRule="auto"/>
              <w:jc w:val="center"/>
              <w:rPr>
                <w:rFonts w:ascii="Calibri" w:hAnsi="Calibri"/>
                <w:kern w:val="0"/>
              </w:rPr>
            </w:pPr>
            <w:r>
              <w:rPr>
                <w:rFonts w:ascii="Calibri" w:hAnsi="宋体" w:hint="eastAsia"/>
                <w:kern w:val="0"/>
              </w:rPr>
              <w:t>省级保护文物</w:t>
            </w:r>
          </w:p>
        </w:tc>
        <w:tc>
          <w:tcPr>
            <w:tcW w:w="1418" w:type="dxa"/>
            <w:tcBorders>
              <w:top w:val="single" w:sz="6" w:space="0" w:color="auto"/>
              <w:left w:val="single" w:sz="6" w:space="0" w:color="auto"/>
              <w:bottom w:val="single" w:sz="12" w:space="0" w:color="auto"/>
              <w:right w:val="single" w:sz="12" w:space="0" w:color="auto"/>
            </w:tcBorders>
            <w:vAlign w:val="center"/>
          </w:tcPr>
          <w:p w:rsidR="00475650" w:rsidRDefault="00475650">
            <w:pPr>
              <w:widowControl/>
              <w:snapToGrid w:val="0"/>
              <w:spacing w:line="216" w:lineRule="auto"/>
              <w:jc w:val="center"/>
              <w:rPr>
                <w:rFonts w:ascii="Calibri" w:hAnsi="Calibri"/>
                <w:kern w:val="0"/>
              </w:rPr>
            </w:pPr>
            <w:r>
              <w:rPr>
                <w:rFonts w:ascii="Calibri" w:hAnsi="宋体" w:hint="eastAsia"/>
                <w:kern w:val="0"/>
              </w:rPr>
              <w:t>－</w:t>
            </w:r>
          </w:p>
        </w:tc>
      </w:tr>
    </w:tbl>
    <w:p w:rsidR="00475650" w:rsidRDefault="00475650">
      <w:pPr>
        <w:snapToGrid w:val="0"/>
        <w:spacing w:line="360" w:lineRule="auto"/>
        <w:jc w:val="center"/>
        <w:rPr>
          <w:rFonts w:hAnsi="宋体"/>
          <w:bCs/>
          <w:sz w:val="24"/>
        </w:rPr>
      </w:pPr>
    </w:p>
    <w:p w:rsidR="00475650" w:rsidRDefault="00475650">
      <w:pPr>
        <w:widowControl/>
        <w:snapToGrid w:val="0"/>
        <w:spacing w:line="216" w:lineRule="auto"/>
        <w:jc w:val="center"/>
        <w:rPr>
          <w:kern w:val="0"/>
        </w:rPr>
        <w:sectPr w:rsidR="00475650">
          <w:headerReference w:type="even" r:id="rId10"/>
          <w:headerReference w:type="default" r:id="rId11"/>
          <w:footerReference w:type="default" r:id="rId12"/>
          <w:headerReference w:type="first" r:id="rId13"/>
          <w:pgSz w:w="11906" w:h="16838"/>
          <w:pgMar w:top="1701" w:right="1588" w:bottom="1418" w:left="1588" w:header="1247" w:footer="992" w:gutter="0"/>
          <w:paperSrc w:first="7" w:other="7"/>
          <w:pgNumType w:start="1"/>
          <w:cols w:space="720"/>
        </w:sectPr>
      </w:pPr>
      <w:r>
        <w:rPr>
          <w:rFonts w:hAnsi="宋体"/>
          <w:kern w:val="0"/>
        </w:rPr>
        <w:t>注：本项目位于工业园内，废水外排至工业园污水处理厂，废水对白鳍豚保护区的影响已在园区建设影响中一并考虑，本处不再评价单个项目污染对白鳍豚保护区的影响。</w:t>
      </w:r>
    </w:p>
    <w:p w:rsidR="00475650" w:rsidRDefault="00475650">
      <w:pPr>
        <w:pStyle w:val="13"/>
        <w:spacing w:before="100" w:beforeAutospacing="1" w:after="100" w:afterAutospacing="1" w:line="360" w:lineRule="auto"/>
        <w:rPr>
          <w:rFonts w:eastAsia="宋体"/>
          <w:b w:val="0"/>
          <w:sz w:val="32"/>
          <w:szCs w:val="32"/>
        </w:rPr>
      </w:pPr>
      <w:bookmarkStart w:id="282" w:name="_Toc332292948"/>
      <w:bookmarkStart w:id="283" w:name="_Toc3423"/>
      <w:r>
        <w:rPr>
          <w:rFonts w:eastAsia="宋体"/>
          <w:b w:val="0"/>
          <w:sz w:val="32"/>
          <w:szCs w:val="32"/>
        </w:rPr>
        <w:lastRenderedPageBreak/>
        <w:t xml:space="preserve">2 </w:t>
      </w:r>
      <w:r>
        <w:rPr>
          <w:rFonts w:eastAsia="宋体" w:hAnsi="宋体"/>
          <w:b w:val="0"/>
          <w:sz w:val="32"/>
          <w:szCs w:val="32"/>
        </w:rPr>
        <w:t>现有工程概况</w:t>
      </w:r>
      <w:bookmarkEnd w:id="282"/>
      <w:bookmarkEnd w:id="283"/>
    </w:p>
    <w:p w:rsidR="00475650" w:rsidRDefault="00475650">
      <w:pPr>
        <w:snapToGrid w:val="0"/>
        <w:spacing w:line="360" w:lineRule="auto"/>
        <w:ind w:firstLineChars="200" w:firstLine="480"/>
        <w:rPr>
          <w:sz w:val="24"/>
        </w:rPr>
      </w:pPr>
      <w:bookmarkStart w:id="284" w:name="_Toc270622571"/>
      <w:bookmarkStart w:id="285" w:name="_Toc269809132"/>
      <w:bookmarkStart w:id="286" w:name="_Toc269670518"/>
      <w:bookmarkStart w:id="287" w:name="_Toc270867010"/>
      <w:r>
        <w:rPr>
          <w:rFonts w:hAnsi="宋体"/>
          <w:sz w:val="24"/>
        </w:rPr>
        <w:t>公司现有工程为临湘市鹏程化工有限公司</w:t>
      </w:r>
      <w:r>
        <w:rPr>
          <w:sz w:val="24"/>
        </w:rPr>
        <w:t>5</w:t>
      </w:r>
      <w:r>
        <w:rPr>
          <w:rFonts w:hAnsi="宋体"/>
          <w:sz w:val="24"/>
        </w:rPr>
        <w:t>万吨</w:t>
      </w:r>
      <w:r>
        <w:rPr>
          <w:sz w:val="24"/>
        </w:rPr>
        <w:t>/</w:t>
      </w:r>
      <w:r>
        <w:rPr>
          <w:rFonts w:hAnsi="宋体"/>
          <w:sz w:val="24"/>
        </w:rPr>
        <w:t>年氯化石蜡</w:t>
      </w:r>
      <w:r>
        <w:rPr>
          <w:sz w:val="24"/>
        </w:rPr>
        <w:t>-52</w:t>
      </w:r>
      <w:r>
        <w:rPr>
          <w:rFonts w:hAnsi="宋体"/>
          <w:sz w:val="24"/>
        </w:rPr>
        <w:t>建设项目，该工程已于</w:t>
      </w:r>
      <w:r>
        <w:rPr>
          <w:sz w:val="24"/>
        </w:rPr>
        <w:t>2013</w:t>
      </w:r>
      <w:r>
        <w:rPr>
          <w:rFonts w:hAnsi="宋体"/>
          <w:sz w:val="24"/>
        </w:rPr>
        <w:t>年底建成并投入试运行，环评批复为</w:t>
      </w:r>
      <w:r>
        <w:rPr>
          <w:sz w:val="24"/>
        </w:rPr>
        <w:t>4</w:t>
      </w:r>
      <w:r>
        <w:rPr>
          <w:rFonts w:hAnsi="宋体"/>
          <w:sz w:val="24"/>
        </w:rPr>
        <w:t>条线总规模</w:t>
      </w:r>
      <w:r>
        <w:rPr>
          <w:sz w:val="24"/>
        </w:rPr>
        <w:t>5</w:t>
      </w:r>
      <w:r>
        <w:rPr>
          <w:rFonts w:hAnsi="宋体"/>
          <w:sz w:val="24"/>
        </w:rPr>
        <w:t>万吨</w:t>
      </w:r>
      <w:r>
        <w:rPr>
          <w:sz w:val="24"/>
        </w:rPr>
        <w:t>/</w:t>
      </w:r>
      <w:r>
        <w:rPr>
          <w:rFonts w:hAnsi="宋体"/>
          <w:sz w:val="24"/>
        </w:rPr>
        <w:t>年氯化石蜡，实际建设为</w:t>
      </w:r>
      <w:r>
        <w:rPr>
          <w:sz w:val="24"/>
        </w:rPr>
        <w:t>2</w:t>
      </w:r>
      <w:r>
        <w:rPr>
          <w:rFonts w:hAnsi="宋体"/>
          <w:sz w:val="24"/>
        </w:rPr>
        <w:t>条线总规模</w:t>
      </w:r>
      <w:r>
        <w:rPr>
          <w:sz w:val="24"/>
        </w:rPr>
        <w:t>2.5</w:t>
      </w:r>
      <w:r>
        <w:rPr>
          <w:rFonts w:hAnsi="宋体"/>
          <w:sz w:val="24"/>
        </w:rPr>
        <w:t>万吨</w:t>
      </w:r>
      <w:r>
        <w:rPr>
          <w:sz w:val="24"/>
        </w:rPr>
        <w:t>/</w:t>
      </w:r>
      <w:r>
        <w:rPr>
          <w:rFonts w:hAnsi="宋体"/>
          <w:sz w:val="24"/>
        </w:rPr>
        <w:t>年氯化石蜡，</w:t>
      </w:r>
      <w:r>
        <w:rPr>
          <w:sz w:val="24"/>
        </w:rPr>
        <w:t>2016</w:t>
      </w:r>
      <w:r>
        <w:rPr>
          <w:rFonts w:hAnsi="宋体"/>
          <w:sz w:val="24"/>
        </w:rPr>
        <w:t>年</w:t>
      </w:r>
      <w:r>
        <w:rPr>
          <w:sz w:val="24"/>
        </w:rPr>
        <w:t>3</w:t>
      </w:r>
      <w:r>
        <w:rPr>
          <w:rFonts w:hAnsi="宋体"/>
          <w:sz w:val="24"/>
        </w:rPr>
        <w:t>月通过了环保部门组织的</w:t>
      </w:r>
      <w:r>
        <w:rPr>
          <w:sz w:val="24"/>
        </w:rPr>
        <w:t>“</w:t>
      </w:r>
      <w:r>
        <w:rPr>
          <w:rFonts w:hAnsi="宋体"/>
          <w:sz w:val="24"/>
        </w:rPr>
        <w:t>阶段性竣工环境保护验收</w:t>
      </w:r>
      <w:r>
        <w:rPr>
          <w:sz w:val="24"/>
        </w:rPr>
        <w:t>”</w:t>
      </w:r>
      <w:r>
        <w:rPr>
          <w:rFonts w:hint="eastAsia"/>
          <w:sz w:val="24"/>
        </w:rPr>
        <w:t>（岳环评验</w:t>
      </w:r>
      <w:r>
        <w:rPr>
          <w:rFonts w:hint="eastAsia"/>
          <w:sz w:val="24"/>
        </w:rPr>
        <w:t>[2015]66</w:t>
      </w:r>
      <w:r>
        <w:rPr>
          <w:rFonts w:hint="eastAsia"/>
          <w:sz w:val="24"/>
        </w:rPr>
        <w:t>号文）</w:t>
      </w:r>
      <w:r>
        <w:rPr>
          <w:rFonts w:hAnsi="宋体"/>
          <w:sz w:val="24"/>
        </w:rPr>
        <w:t>，目前建成的生产线正常运行。</w:t>
      </w:r>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288" w:name="_Toc332292949"/>
      <w:bookmarkStart w:id="289" w:name="_Toc13688"/>
      <w:r>
        <w:rPr>
          <w:rStyle w:val="2Char1Char"/>
          <w:rFonts w:ascii="Times New Roman" w:eastAsia="宋体" w:hAnsi="Times New Roman" w:cs="Times New Roman"/>
          <w:b w:val="0"/>
          <w:sz w:val="28"/>
          <w:szCs w:val="28"/>
        </w:rPr>
        <w:t>2.1</w:t>
      </w:r>
      <w:r>
        <w:rPr>
          <w:rStyle w:val="2Char1Char"/>
          <w:rFonts w:ascii="Times New Roman" w:eastAsia="宋体" w:hAnsi="宋体" w:cs="Times New Roman"/>
          <w:b w:val="0"/>
          <w:sz w:val="28"/>
          <w:szCs w:val="28"/>
        </w:rPr>
        <w:t>现有工程概况</w:t>
      </w:r>
      <w:bookmarkEnd w:id="284"/>
      <w:bookmarkEnd w:id="285"/>
      <w:bookmarkEnd w:id="286"/>
      <w:bookmarkEnd w:id="287"/>
      <w:bookmarkEnd w:id="288"/>
      <w:bookmarkEnd w:id="289"/>
    </w:p>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290" w:name="_Toc334014097"/>
      <w:bookmarkStart w:id="291" w:name="_Toc334080739"/>
      <w:bookmarkStart w:id="292" w:name="_Toc270622572"/>
      <w:bookmarkStart w:id="293" w:name="_Toc332292950"/>
      <w:bookmarkStart w:id="294" w:name="_Toc333229884"/>
      <w:bookmarkStart w:id="295" w:name="_Toc302936731"/>
      <w:bookmarkStart w:id="296" w:name="_Toc465676958"/>
      <w:bookmarkStart w:id="297" w:name="_Toc19086"/>
      <w:r>
        <w:rPr>
          <w:rStyle w:val="2Char1Char"/>
          <w:rFonts w:ascii="Times New Roman" w:eastAsia="宋体" w:hAnsi="Times New Roman" w:cs="Times New Roman"/>
          <w:b w:val="0"/>
          <w:sz w:val="24"/>
          <w:szCs w:val="24"/>
        </w:rPr>
        <w:t>2.1.1</w:t>
      </w:r>
      <w:r>
        <w:rPr>
          <w:rStyle w:val="2Char1Char"/>
          <w:rFonts w:ascii="Times New Roman" w:eastAsia="宋体" w:hAnsi="宋体" w:cs="Times New Roman"/>
          <w:b w:val="0"/>
          <w:sz w:val="24"/>
          <w:szCs w:val="24"/>
        </w:rPr>
        <w:t>现有工程组成</w:t>
      </w:r>
      <w:bookmarkEnd w:id="290"/>
      <w:bookmarkEnd w:id="291"/>
      <w:bookmarkEnd w:id="292"/>
      <w:bookmarkEnd w:id="293"/>
      <w:bookmarkEnd w:id="294"/>
      <w:bookmarkEnd w:id="295"/>
      <w:bookmarkEnd w:id="296"/>
      <w:bookmarkEnd w:id="297"/>
      <w:r>
        <w:rPr>
          <w:rStyle w:val="2Char1Char"/>
          <w:rFonts w:ascii="Times New Roman" w:eastAsia="宋体" w:hAnsi="Times New Roman" w:cs="Times New Roman"/>
          <w:b w:val="0"/>
          <w:sz w:val="24"/>
          <w:szCs w:val="24"/>
        </w:rPr>
        <w:t xml:space="preserve"> </w:t>
      </w:r>
    </w:p>
    <w:p w:rsidR="00475650" w:rsidRDefault="00475650">
      <w:pPr>
        <w:snapToGrid w:val="0"/>
        <w:spacing w:line="360" w:lineRule="auto"/>
        <w:ind w:firstLineChars="200" w:firstLine="480"/>
        <w:rPr>
          <w:sz w:val="24"/>
        </w:rPr>
      </w:pPr>
      <w:r>
        <w:rPr>
          <w:rFonts w:hAnsi="宋体"/>
          <w:sz w:val="24"/>
        </w:rPr>
        <w:t>公司现有工程由主体工程、辅助及配套工程、公用工程、环保工程组成，主体工程主要为氯化石蜡生产车间，辅助工程包括办公楼、变电站等，公用工程包括给排水、供电、储运等设施，环保工程包括废气处理装置、事故池等。现有工程组成情况见表</w:t>
      </w:r>
      <w:r>
        <w:rPr>
          <w:sz w:val="24"/>
        </w:rPr>
        <w:t>2.1-1</w:t>
      </w:r>
      <w:r>
        <w:rPr>
          <w:rFonts w:hAnsi="宋体"/>
          <w:sz w:val="24"/>
        </w:rPr>
        <w:t>。</w:t>
      </w:r>
    </w:p>
    <w:p w:rsidR="00475650" w:rsidRDefault="00475650">
      <w:pPr>
        <w:tabs>
          <w:tab w:val="left" w:pos="6858"/>
        </w:tabs>
        <w:snapToGrid w:val="0"/>
        <w:spacing w:line="360" w:lineRule="auto"/>
        <w:ind w:firstLineChars="200" w:firstLine="480"/>
        <w:jc w:val="center"/>
        <w:rPr>
          <w:sz w:val="24"/>
        </w:rPr>
      </w:pPr>
      <w:r>
        <w:rPr>
          <w:rFonts w:hAnsi="宋体"/>
          <w:sz w:val="24"/>
        </w:rPr>
        <w:t>表</w:t>
      </w:r>
      <w:r>
        <w:rPr>
          <w:sz w:val="24"/>
        </w:rPr>
        <w:t xml:space="preserve">2.1-1   </w:t>
      </w:r>
      <w:r>
        <w:rPr>
          <w:rFonts w:hAnsi="宋体"/>
          <w:sz w:val="24"/>
        </w:rPr>
        <w:t>现有氯化石蜡装置建设项目组成一览表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748"/>
        <w:gridCol w:w="1845"/>
        <w:gridCol w:w="6353"/>
      </w:tblGrid>
      <w:tr w:rsidR="00475650">
        <w:trPr>
          <w:jc w:val="center"/>
        </w:trPr>
        <w:tc>
          <w:tcPr>
            <w:tcW w:w="748"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rFonts w:hAnsi="宋体"/>
                <w:kern w:val="0"/>
                <w:sz w:val="21"/>
                <w:szCs w:val="21"/>
              </w:rPr>
              <w:t>序号</w:t>
            </w:r>
          </w:p>
        </w:tc>
        <w:tc>
          <w:tcPr>
            <w:tcW w:w="1845"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rFonts w:hAnsi="宋体"/>
                <w:kern w:val="0"/>
                <w:sz w:val="21"/>
                <w:szCs w:val="21"/>
              </w:rPr>
              <w:t>工程名称</w:t>
            </w:r>
          </w:p>
        </w:tc>
        <w:tc>
          <w:tcPr>
            <w:tcW w:w="6353"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rFonts w:hAnsi="宋体"/>
                <w:kern w:val="0"/>
                <w:sz w:val="21"/>
                <w:szCs w:val="21"/>
              </w:rPr>
              <w:t>内容及规模</w:t>
            </w:r>
          </w:p>
        </w:tc>
      </w:tr>
      <w:tr w:rsidR="00475650">
        <w:trPr>
          <w:jc w:val="center"/>
        </w:trPr>
        <w:tc>
          <w:tcPr>
            <w:tcW w:w="748"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kern w:val="0"/>
                <w:sz w:val="21"/>
                <w:szCs w:val="21"/>
              </w:rPr>
              <w:t>1</w:t>
            </w:r>
          </w:p>
        </w:tc>
        <w:tc>
          <w:tcPr>
            <w:tcW w:w="1845"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rFonts w:hAnsi="宋体"/>
                <w:kern w:val="0"/>
                <w:sz w:val="21"/>
                <w:szCs w:val="21"/>
              </w:rPr>
              <w:t>主体工程</w:t>
            </w:r>
          </w:p>
        </w:tc>
        <w:tc>
          <w:tcPr>
            <w:tcW w:w="6353"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rFonts w:hAnsi="宋体"/>
                <w:kern w:val="0"/>
                <w:sz w:val="21"/>
                <w:szCs w:val="21"/>
              </w:rPr>
              <w:t>氯化石蜡生产车间：包括氯化工段、氯化石蜡精制工段、盐酸吸收装置等</w:t>
            </w:r>
          </w:p>
        </w:tc>
      </w:tr>
      <w:tr w:rsidR="00475650">
        <w:trPr>
          <w:jc w:val="center"/>
        </w:trPr>
        <w:tc>
          <w:tcPr>
            <w:tcW w:w="748"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kern w:val="0"/>
                <w:sz w:val="21"/>
                <w:szCs w:val="21"/>
              </w:rPr>
              <w:t>2</w:t>
            </w:r>
          </w:p>
        </w:tc>
        <w:tc>
          <w:tcPr>
            <w:tcW w:w="1845"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rFonts w:hAnsi="宋体"/>
                <w:kern w:val="0"/>
                <w:sz w:val="21"/>
                <w:szCs w:val="21"/>
              </w:rPr>
              <w:t>辅助及配套工程</w:t>
            </w:r>
          </w:p>
        </w:tc>
        <w:tc>
          <w:tcPr>
            <w:tcW w:w="6353"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rFonts w:hAnsi="宋体"/>
                <w:kern w:val="0"/>
                <w:sz w:val="21"/>
                <w:szCs w:val="21"/>
              </w:rPr>
              <w:t>办公楼、变电站及备件维修库等，不设职工生活区</w:t>
            </w:r>
          </w:p>
        </w:tc>
      </w:tr>
      <w:tr w:rsidR="00475650">
        <w:trPr>
          <w:jc w:val="center"/>
        </w:trPr>
        <w:tc>
          <w:tcPr>
            <w:tcW w:w="748"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kern w:val="0"/>
                <w:sz w:val="21"/>
                <w:szCs w:val="21"/>
              </w:rPr>
              <w:t>3</w:t>
            </w:r>
          </w:p>
        </w:tc>
        <w:tc>
          <w:tcPr>
            <w:tcW w:w="1845"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rFonts w:hAnsi="宋体"/>
                <w:kern w:val="0"/>
                <w:sz w:val="21"/>
                <w:szCs w:val="21"/>
              </w:rPr>
              <w:t>公用工程</w:t>
            </w:r>
          </w:p>
        </w:tc>
        <w:tc>
          <w:tcPr>
            <w:tcW w:w="6353"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p>
        </w:tc>
      </w:tr>
      <w:tr w:rsidR="00475650">
        <w:trPr>
          <w:jc w:val="center"/>
        </w:trPr>
        <w:tc>
          <w:tcPr>
            <w:tcW w:w="748"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kern w:val="0"/>
                <w:sz w:val="21"/>
                <w:szCs w:val="21"/>
              </w:rPr>
              <w:t>3.1</w:t>
            </w:r>
          </w:p>
        </w:tc>
        <w:tc>
          <w:tcPr>
            <w:tcW w:w="1845"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rFonts w:hAnsi="宋体"/>
                <w:kern w:val="0"/>
                <w:sz w:val="21"/>
                <w:szCs w:val="21"/>
              </w:rPr>
              <w:t>给排水</w:t>
            </w:r>
          </w:p>
        </w:tc>
        <w:tc>
          <w:tcPr>
            <w:tcW w:w="6353"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rFonts w:hAnsi="宋体"/>
                <w:kern w:val="0"/>
                <w:sz w:val="21"/>
                <w:szCs w:val="21"/>
              </w:rPr>
              <w:t>依托基地给水厂供水，建</w:t>
            </w:r>
            <w:r>
              <w:rPr>
                <w:kern w:val="0"/>
                <w:sz w:val="21"/>
                <w:szCs w:val="21"/>
              </w:rPr>
              <w:t>1</w:t>
            </w:r>
            <w:r>
              <w:rPr>
                <w:rFonts w:hAnsi="宋体"/>
                <w:kern w:val="0"/>
                <w:sz w:val="21"/>
                <w:szCs w:val="21"/>
              </w:rPr>
              <w:t>个</w:t>
            </w:r>
            <w:r>
              <w:rPr>
                <w:kern w:val="0"/>
                <w:sz w:val="21"/>
                <w:szCs w:val="21"/>
              </w:rPr>
              <w:t>350m</w:t>
            </w:r>
            <w:r>
              <w:rPr>
                <w:kern w:val="0"/>
                <w:sz w:val="21"/>
                <w:szCs w:val="21"/>
                <w:vertAlign w:val="superscript"/>
              </w:rPr>
              <w:t>3</w:t>
            </w:r>
            <w:r>
              <w:rPr>
                <w:rFonts w:hAnsi="宋体"/>
                <w:kern w:val="0"/>
                <w:sz w:val="21"/>
                <w:szCs w:val="21"/>
              </w:rPr>
              <w:t>循环水池、</w:t>
            </w:r>
            <w:r>
              <w:rPr>
                <w:kern w:val="0"/>
                <w:sz w:val="21"/>
                <w:szCs w:val="21"/>
              </w:rPr>
              <w:t>1</w:t>
            </w:r>
            <w:r>
              <w:rPr>
                <w:rFonts w:hAnsi="宋体"/>
                <w:kern w:val="0"/>
                <w:sz w:val="21"/>
                <w:szCs w:val="21"/>
              </w:rPr>
              <w:t>个</w:t>
            </w:r>
            <w:r>
              <w:rPr>
                <w:kern w:val="0"/>
                <w:sz w:val="21"/>
                <w:szCs w:val="21"/>
              </w:rPr>
              <w:t>500m</w:t>
            </w:r>
            <w:r>
              <w:rPr>
                <w:kern w:val="0"/>
                <w:sz w:val="21"/>
                <w:szCs w:val="21"/>
                <w:vertAlign w:val="superscript"/>
              </w:rPr>
              <w:t>3</w:t>
            </w:r>
            <w:r>
              <w:rPr>
                <w:rFonts w:hAnsi="宋体"/>
                <w:kern w:val="0"/>
                <w:sz w:val="21"/>
                <w:szCs w:val="21"/>
              </w:rPr>
              <w:t>消防水池</w:t>
            </w:r>
          </w:p>
        </w:tc>
      </w:tr>
      <w:tr w:rsidR="00475650">
        <w:trPr>
          <w:jc w:val="center"/>
        </w:trPr>
        <w:tc>
          <w:tcPr>
            <w:tcW w:w="748"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kern w:val="0"/>
                <w:sz w:val="21"/>
                <w:szCs w:val="21"/>
              </w:rPr>
              <w:t>3.2</w:t>
            </w:r>
          </w:p>
        </w:tc>
        <w:tc>
          <w:tcPr>
            <w:tcW w:w="1845"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rFonts w:hAnsi="宋体"/>
                <w:kern w:val="0"/>
                <w:sz w:val="21"/>
                <w:szCs w:val="21"/>
              </w:rPr>
              <w:t>供电</w:t>
            </w:r>
          </w:p>
        </w:tc>
        <w:tc>
          <w:tcPr>
            <w:tcW w:w="6353"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rFonts w:hAnsi="宋体"/>
                <w:kern w:val="0"/>
                <w:sz w:val="21"/>
                <w:szCs w:val="21"/>
              </w:rPr>
              <w:t>高压电来自湖南省临湘工业园儒溪工业区变电站，经公司变压器变压后</w:t>
            </w:r>
            <w:r>
              <w:rPr>
                <w:kern w:val="0"/>
                <w:sz w:val="21"/>
                <w:szCs w:val="21"/>
              </w:rPr>
              <w:t>,</w:t>
            </w:r>
            <w:r>
              <w:rPr>
                <w:rFonts w:hAnsi="宋体"/>
                <w:kern w:val="0"/>
                <w:sz w:val="21"/>
                <w:szCs w:val="21"/>
              </w:rPr>
              <w:t>输出</w:t>
            </w:r>
            <w:r>
              <w:rPr>
                <w:kern w:val="0"/>
                <w:sz w:val="21"/>
                <w:szCs w:val="21"/>
              </w:rPr>
              <w:t>380V</w:t>
            </w:r>
            <w:r>
              <w:rPr>
                <w:rFonts w:hAnsi="宋体"/>
                <w:kern w:val="0"/>
                <w:sz w:val="21"/>
                <w:szCs w:val="21"/>
              </w:rPr>
              <w:t>埋地送入生产装置，自备</w:t>
            </w:r>
            <w:r>
              <w:rPr>
                <w:kern w:val="0"/>
                <w:sz w:val="21"/>
                <w:szCs w:val="21"/>
              </w:rPr>
              <w:t>30kwh</w:t>
            </w:r>
            <w:r>
              <w:rPr>
                <w:rFonts w:hAnsi="宋体"/>
                <w:kern w:val="0"/>
                <w:sz w:val="21"/>
                <w:szCs w:val="21"/>
              </w:rPr>
              <w:t>发电机作为事故保安电源</w:t>
            </w:r>
          </w:p>
        </w:tc>
      </w:tr>
      <w:tr w:rsidR="00475650">
        <w:trPr>
          <w:jc w:val="center"/>
        </w:trPr>
        <w:tc>
          <w:tcPr>
            <w:tcW w:w="748"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kern w:val="0"/>
                <w:sz w:val="21"/>
                <w:szCs w:val="21"/>
              </w:rPr>
              <w:t>3.2</w:t>
            </w:r>
          </w:p>
        </w:tc>
        <w:tc>
          <w:tcPr>
            <w:tcW w:w="1845"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rFonts w:hAnsi="宋体"/>
                <w:kern w:val="0"/>
                <w:sz w:val="21"/>
                <w:szCs w:val="21"/>
              </w:rPr>
              <w:t>供热</w:t>
            </w:r>
          </w:p>
        </w:tc>
        <w:tc>
          <w:tcPr>
            <w:tcW w:w="6353"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rFonts w:hAnsi="宋体"/>
                <w:kern w:val="0"/>
                <w:sz w:val="21"/>
                <w:szCs w:val="21"/>
              </w:rPr>
              <w:t>不设锅炉，由反应回收热水供热</w:t>
            </w:r>
          </w:p>
        </w:tc>
      </w:tr>
      <w:tr w:rsidR="00475650">
        <w:trPr>
          <w:jc w:val="center"/>
        </w:trPr>
        <w:tc>
          <w:tcPr>
            <w:tcW w:w="748" w:type="dxa"/>
            <w:vMerge w:val="restart"/>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kern w:val="0"/>
                <w:sz w:val="21"/>
                <w:szCs w:val="21"/>
              </w:rPr>
              <w:t>3.6</w:t>
            </w:r>
          </w:p>
        </w:tc>
        <w:tc>
          <w:tcPr>
            <w:tcW w:w="1845" w:type="dxa"/>
            <w:vMerge w:val="restart"/>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rFonts w:hAnsi="宋体"/>
                <w:kern w:val="0"/>
                <w:sz w:val="21"/>
                <w:szCs w:val="21"/>
              </w:rPr>
              <w:t>贮运</w:t>
            </w:r>
          </w:p>
        </w:tc>
        <w:tc>
          <w:tcPr>
            <w:tcW w:w="6353"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rFonts w:hAnsi="宋体"/>
                <w:kern w:val="0"/>
                <w:sz w:val="21"/>
                <w:szCs w:val="21"/>
              </w:rPr>
              <w:t>液体石蜡采用槽车运输至厂，液氯、产品氯化石蜡、副产品次氯酸钠均使用聚丙烯桶采用汽车运输。副产品盐酸使用专用水运容器。</w:t>
            </w:r>
          </w:p>
        </w:tc>
      </w:tr>
      <w:tr w:rsidR="00475650">
        <w:trPr>
          <w:jc w:val="center"/>
        </w:trPr>
        <w:tc>
          <w:tcPr>
            <w:tcW w:w="748" w:type="dxa"/>
            <w:vMerge/>
            <w:tcMar>
              <w:top w:w="28" w:type="dxa"/>
              <w:bottom w:w="28" w:type="dxa"/>
            </w:tcMar>
            <w:vAlign w:val="center"/>
          </w:tcPr>
          <w:p w:rsidR="00475650" w:rsidRDefault="00475650">
            <w:pPr>
              <w:pStyle w:val="aff7"/>
              <w:snapToGrid w:val="0"/>
              <w:spacing w:line="240" w:lineRule="auto"/>
              <w:ind w:firstLine="0"/>
              <w:jc w:val="center"/>
              <w:rPr>
                <w:kern w:val="0"/>
                <w:sz w:val="21"/>
                <w:szCs w:val="21"/>
              </w:rPr>
            </w:pPr>
          </w:p>
        </w:tc>
        <w:tc>
          <w:tcPr>
            <w:tcW w:w="1845" w:type="dxa"/>
            <w:vMerge/>
            <w:tcMar>
              <w:top w:w="28" w:type="dxa"/>
              <w:bottom w:w="28" w:type="dxa"/>
            </w:tcMar>
            <w:vAlign w:val="center"/>
          </w:tcPr>
          <w:p w:rsidR="00475650" w:rsidRDefault="00475650">
            <w:pPr>
              <w:pStyle w:val="aff7"/>
              <w:snapToGrid w:val="0"/>
              <w:spacing w:line="240" w:lineRule="auto"/>
              <w:ind w:firstLine="0"/>
              <w:jc w:val="center"/>
              <w:rPr>
                <w:kern w:val="0"/>
                <w:sz w:val="21"/>
                <w:szCs w:val="21"/>
              </w:rPr>
            </w:pPr>
          </w:p>
        </w:tc>
        <w:tc>
          <w:tcPr>
            <w:tcW w:w="6353"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kern w:val="0"/>
                <w:sz w:val="21"/>
                <w:szCs w:val="21"/>
              </w:rPr>
              <w:t>2</w:t>
            </w:r>
            <w:r>
              <w:rPr>
                <w:rFonts w:hAnsi="宋体"/>
                <w:kern w:val="0"/>
                <w:sz w:val="21"/>
                <w:szCs w:val="21"/>
              </w:rPr>
              <w:t>个</w:t>
            </w:r>
            <w:r>
              <w:rPr>
                <w:kern w:val="0"/>
                <w:sz w:val="21"/>
                <w:szCs w:val="21"/>
              </w:rPr>
              <w:t>400 m</w:t>
            </w:r>
            <w:r>
              <w:rPr>
                <w:kern w:val="0"/>
                <w:sz w:val="21"/>
                <w:szCs w:val="21"/>
                <w:vertAlign w:val="superscript"/>
              </w:rPr>
              <w:t>3</w:t>
            </w:r>
            <w:r>
              <w:rPr>
                <w:rFonts w:hAnsi="宋体"/>
                <w:kern w:val="0"/>
                <w:sz w:val="21"/>
                <w:szCs w:val="21"/>
              </w:rPr>
              <w:t>液蜡贮罐，</w:t>
            </w:r>
            <w:r>
              <w:rPr>
                <w:kern w:val="0"/>
                <w:sz w:val="21"/>
                <w:szCs w:val="21"/>
              </w:rPr>
              <w:t>2</w:t>
            </w:r>
            <w:r>
              <w:rPr>
                <w:rFonts w:hAnsi="宋体"/>
                <w:kern w:val="0"/>
                <w:sz w:val="21"/>
                <w:szCs w:val="21"/>
              </w:rPr>
              <w:t>个</w:t>
            </w:r>
            <w:r>
              <w:rPr>
                <w:kern w:val="0"/>
                <w:sz w:val="21"/>
                <w:szCs w:val="21"/>
              </w:rPr>
              <w:t>400m</w:t>
            </w:r>
            <w:r>
              <w:rPr>
                <w:kern w:val="0"/>
                <w:sz w:val="21"/>
                <w:szCs w:val="21"/>
                <w:vertAlign w:val="superscript"/>
              </w:rPr>
              <w:t>3</w:t>
            </w:r>
            <w:r>
              <w:rPr>
                <w:rFonts w:hAnsi="宋体"/>
                <w:kern w:val="0"/>
                <w:sz w:val="21"/>
                <w:szCs w:val="21"/>
              </w:rPr>
              <w:t>氯化石蜡贮槽，</w:t>
            </w:r>
            <w:r>
              <w:rPr>
                <w:kern w:val="0"/>
                <w:sz w:val="21"/>
                <w:szCs w:val="21"/>
              </w:rPr>
              <w:t>4</w:t>
            </w:r>
            <w:r>
              <w:rPr>
                <w:rFonts w:hAnsi="宋体"/>
                <w:kern w:val="0"/>
                <w:sz w:val="21"/>
                <w:szCs w:val="21"/>
              </w:rPr>
              <w:t>个</w:t>
            </w:r>
            <w:r>
              <w:rPr>
                <w:kern w:val="0"/>
                <w:sz w:val="21"/>
                <w:szCs w:val="21"/>
              </w:rPr>
              <w:t>400m</w:t>
            </w:r>
            <w:r>
              <w:rPr>
                <w:kern w:val="0"/>
                <w:sz w:val="21"/>
                <w:szCs w:val="21"/>
                <w:vertAlign w:val="superscript"/>
              </w:rPr>
              <w:t>3</w:t>
            </w:r>
            <w:r>
              <w:rPr>
                <w:rFonts w:hAnsi="宋体"/>
                <w:kern w:val="0"/>
                <w:sz w:val="21"/>
                <w:szCs w:val="21"/>
              </w:rPr>
              <w:t>盐酸贮槽，</w:t>
            </w:r>
            <w:r>
              <w:rPr>
                <w:kern w:val="0"/>
                <w:sz w:val="21"/>
                <w:szCs w:val="21"/>
              </w:rPr>
              <w:t>1</w:t>
            </w:r>
            <w:r>
              <w:rPr>
                <w:rFonts w:hAnsi="宋体"/>
                <w:kern w:val="0"/>
                <w:sz w:val="21"/>
                <w:szCs w:val="21"/>
              </w:rPr>
              <w:t>个</w:t>
            </w:r>
            <w:r>
              <w:rPr>
                <w:kern w:val="0"/>
                <w:sz w:val="21"/>
                <w:szCs w:val="21"/>
              </w:rPr>
              <w:t>4.08 m</w:t>
            </w:r>
            <w:r>
              <w:rPr>
                <w:kern w:val="0"/>
                <w:sz w:val="21"/>
                <w:szCs w:val="21"/>
                <w:vertAlign w:val="superscript"/>
              </w:rPr>
              <w:t>3</w:t>
            </w:r>
            <w:r>
              <w:rPr>
                <w:rFonts w:hAnsi="宋体"/>
                <w:kern w:val="0"/>
                <w:sz w:val="21"/>
                <w:szCs w:val="21"/>
              </w:rPr>
              <w:t>碱吸收池，</w:t>
            </w:r>
            <w:r>
              <w:rPr>
                <w:kern w:val="0"/>
                <w:sz w:val="21"/>
                <w:szCs w:val="21"/>
              </w:rPr>
              <w:t>1</w:t>
            </w:r>
            <w:r>
              <w:rPr>
                <w:rFonts w:hAnsi="宋体"/>
                <w:kern w:val="0"/>
                <w:sz w:val="21"/>
                <w:szCs w:val="21"/>
              </w:rPr>
              <w:t>个</w:t>
            </w:r>
            <w:r>
              <w:rPr>
                <w:kern w:val="0"/>
                <w:sz w:val="21"/>
                <w:szCs w:val="21"/>
              </w:rPr>
              <w:t>1050m</w:t>
            </w:r>
            <w:r>
              <w:rPr>
                <w:kern w:val="0"/>
                <w:sz w:val="21"/>
                <w:szCs w:val="21"/>
                <w:vertAlign w:val="superscript"/>
              </w:rPr>
              <w:t>3</w:t>
            </w:r>
            <w:r>
              <w:rPr>
                <w:rFonts w:hAnsi="宋体"/>
                <w:kern w:val="0"/>
                <w:sz w:val="21"/>
                <w:szCs w:val="21"/>
              </w:rPr>
              <w:t>盐酸池，</w:t>
            </w:r>
            <w:r>
              <w:rPr>
                <w:kern w:val="0"/>
                <w:sz w:val="21"/>
                <w:szCs w:val="21"/>
              </w:rPr>
              <w:t>400m</w:t>
            </w:r>
            <w:r>
              <w:rPr>
                <w:kern w:val="0"/>
                <w:sz w:val="21"/>
                <w:szCs w:val="21"/>
                <w:vertAlign w:val="superscript"/>
              </w:rPr>
              <w:t>2</w:t>
            </w:r>
            <w:r>
              <w:rPr>
                <w:rFonts w:hAnsi="宋体"/>
                <w:kern w:val="0"/>
                <w:sz w:val="21"/>
                <w:szCs w:val="21"/>
              </w:rPr>
              <w:t>氯气棚</w:t>
            </w:r>
            <w:r>
              <w:rPr>
                <w:kern w:val="0"/>
                <w:sz w:val="21"/>
                <w:szCs w:val="21"/>
              </w:rPr>
              <w:t>(</w:t>
            </w:r>
            <w:r>
              <w:rPr>
                <w:rFonts w:hAnsi="宋体"/>
                <w:kern w:val="0"/>
                <w:sz w:val="21"/>
                <w:szCs w:val="21"/>
              </w:rPr>
              <w:t>贮存</w:t>
            </w:r>
            <w:r>
              <w:rPr>
                <w:kern w:val="0"/>
                <w:sz w:val="21"/>
                <w:szCs w:val="21"/>
              </w:rPr>
              <w:t>200</w:t>
            </w:r>
            <w:r>
              <w:rPr>
                <w:rFonts w:hAnsi="宋体"/>
                <w:kern w:val="0"/>
                <w:sz w:val="21"/>
                <w:szCs w:val="21"/>
              </w:rPr>
              <w:t>个</w:t>
            </w:r>
            <w:r>
              <w:rPr>
                <w:kern w:val="0"/>
                <w:sz w:val="21"/>
                <w:szCs w:val="21"/>
              </w:rPr>
              <w:t>1t</w:t>
            </w:r>
            <w:r>
              <w:rPr>
                <w:rFonts w:hAnsi="宋体"/>
                <w:kern w:val="0"/>
                <w:sz w:val="21"/>
                <w:szCs w:val="21"/>
              </w:rPr>
              <w:t>液氯钢瓶</w:t>
            </w:r>
            <w:r>
              <w:rPr>
                <w:kern w:val="0"/>
                <w:sz w:val="21"/>
                <w:szCs w:val="21"/>
              </w:rPr>
              <w:t>)</w:t>
            </w:r>
          </w:p>
        </w:tc>
      </w:tr>
      <w:tr w:rsidR="00475650">
        <w:trPr>
          <w:jc w:val="center"/>
        </w:trPr>
        <w:tc>
          <w:tcPr>
            <w:tcW w:w="748"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kern w:val="0"/>
                <w:sz w:val="21"/>
                <w:szCs w:val="21"/>
              </w:rPr>
              <w:t>4</w:t>
            </w:r>
          </w:p>
        </w:tc>
        <w:tc>
          <w:tcPr>
            <w:tcW w:w="1845"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rFonts w:hAnsi="宋体"/>
                <w:kern w:val="0"/>
                <w:sz w:val="21"/>
                <w:szCs w:val="21"/>
              </w:rPr>
              <w:t>环保工程</w:t>
            </w:r>
          </w:p>
        </w:tc>
        <w:tc>
          <w:tcPr>
            <w:tcW w:w="6353"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rFonts w:hAnsi="宋体"/>
                <w:kern w:val="0"/>
                <w:sz w:val="21"/>
                <w:szCs w:val="21"/>
              </w:rPr>
              <w:t>生活废水经化粪池预处理后纳入园区污水处理厂，废水事故池</w:t>
            </w:r>
            <w:r>
              <w:rPr>
                <w:kern w:val="0"/>
                <w:sz w:val="21"/>
                <w:szCs w:val="21"/>
              </w:rPr>
              <w:t>500m</w:t>
            </w:r>
            <w:r>
              <w:rPr>
                <w:kern w:val="0"/>
                <w:sz w:val="21"/>
                <w:szCs w:val="21"/>
                <w:vertAlign w:val="superscript"/>
              </w:rPr>
              <w:t>3</w:t>
            </w:r>
            <w:r>
              <w:rPr>
                <w:kern w:val="0"/>
                <w:sz w:val="21"/>
                <w:szCs w:val="21"/>
              </w:rPr>
              <w:t xml:space="preserve"> </w:t>
            </w:r>
          </w:p>
          <w:p w:rsidR="00475650" w:rsidRDefault="00475650">
            <w:pPr>
              <w:pStyle w:val="aff7"/>
              <w:snapToGrid w:val="0"/>
              <w:spacing w:line="240" w:lineRule="auto"/>
              <w:ind w:firstLine="0"/>
              <w:jc w:val="center"/>
              <w:rPr>
                <w:kern w:val="0"/>
                <w:sz w:val="21"/>
                <w:szCs w:val="21"/>
              </w:rPr>
            </w:pPr>
            <w:r>
              <w:rPr>
                <w:rFonts w:hAnsi="宋体"/>
                <w:kern w:val="0"/>
                <w:sz w:val="21"/>
                <w:szCs w:val="21"/>
              </w:rPr>
              <w:t>碱吸收塔尾气处理系统：二级填料吸收塔</w:t>
            </w:r>
            <w:r>
              <w:rPr>
                <w:kern w:val="0"/>
                <w:sz w:val="21"/>
                <w:szCs w:val="21"/>
              </w:rPr>
              <w:t>+</w:t>
            </w:r>
            <w:r>
              <w:rPr>
                <w:rFonts w:hAnsi="宋体"/>
                <w:kern w:val="0"/>
                <w:sz w:val="21"/>
                <w:szCs w:val="21"/>
              </w:rPr>
              <w:t>一级碱吸收池</w:t>
            </w:r>
          </w:p>
        </w:tc>
      </w:tr>
    </w:tbl>
    <w:p w:rsidR="00475650" w:rsidRDefault="00475650">
      <w:pPr>
        <w:pStyle w:val="af4"/>
      </w:pPr>
    </w:p>
    <w:p w:rsidR="00475650" w:rsidRDefault="00475650">
      <w:pPr>
        <w:pStyle w:val="h"/>
        <w:spacing w:before="0" w:after="0" w:line="348" w:lineRule="auto"/>
        <w:ind w:firstLine="0"/>
        <w:outlineLvl w:val="1"/>
        <w:rPr>
          <w:rStyle w:val="2Char1Char"/>
          <w:rFonts w:ascii="Times New Roman" w:eastAsia="宋体" w:hAnsi="Times New Roman" w:cs="Times New Roman"/>
          <w:b w:val="0"/>
          <w:sz w:val="24"/>
          <w:szCs w:val="24"/>
        </w:rPr>
      </w:pPr>
      <w:bookmarkStart w:id="298" w:name="_Toc465676959"/>
      <w:bookmarkStart w:id="299" w:name="_Toc31389"/>
      <w:bookmarkStart w:id="300" w:name="_Toc302936732"/>
      <w:bookmarkStart w:id="301" w:name="_Toc332292951"/>
      <w:bookmarkStart w:id="302" w:name="_Toc270622587"/>
      <w:bookmarkStart w:id="303" w:name="_Toc334080740"/>
      <w:bookmarkStart w:id="304" w:name="_Toc270867014"/>
      <w:bookmarkStart w:id="305" w:name="_Toc269809136"/>
      <w:bookmarkStart w:id="306" w:name="_Toc333229885"/>
      <w:bookmarkStart w:id="307" w:name="_Toc334014098"/>
      <w:r>
        <w:rPr>
          <w:rStyle w:val="2Char1Char"/>
          <w:rFonts w:ascii="Times New Roman" w:eastAsia="宋体" w:hAnsi="Times New Roman" w:cs="Times New Roman"/>
          <w:b w:val="0"/>
          <w:sz w:val="24"/>
          <w:szCs w:val="24"/>
        </w:rPr>
        <w:t>2.1.2</w:t>
      </w:r>
      <w:r>
        <w:rPr>
          <w:rStyle w:val="2Char1Char"/>
          <w:rFonts w:ascii="Times New Roman" w:eastAsia="宋体" w:hAnsi="宋体" w:cs="Times New Roman"/>
          <w:b w:val="0"/>
          <w:sz w:val="24"/>
          <w:szCs w:val="24"/>
        </w:rPr>
        <w:t>现有工程原辅材料及产品方案</w:t>
      </w:r>
      <w:bookmarkEnd w:id="298"/>
      <w:bookmarkEnd w:id="299"/>
    </w:p>
    <w:p w:rsidR="00475650" w:rsidRDefault="00475650" w:rsidP="00475650">
      <w:pPr>
        <w:snapToGrid w:val="0"/>
        <w:spacing w:line="360" w:lineRule="auto"/>
        <w:ind w:firstLineChars="217" w:firstLine="521"/>
        <w:rPr>
          <w:sz w:val="24"/>
        </w:rPr>
      </w:pPr>
      <w:r>
        <w:rPr>
          <w:rFonts w:hAnsi="宋体"/>
          <w:sz w:val="24"/>
        </w:rPr>
        <w:t>现有工程利用液蜡和液氯为原料，采用连续氯化法生产氯化石蜡，产品生产情</w:t>
      </w:r>
      <w:r>
        <w:rPr>
          <w:rFonts w:hAnsi="宋体"/>
          <w:sz w:val="24"/>
        </w:rPr>
        <w:lastRenderedPageBreak/>
        <w:t>况见表</w:t>
      </w:r>
      <w:r>
        <w:rPr>
          <w:sz w:val="24"/>
        </w:rPr>
        <w:t>2.1-2</w:t>
      </w:r>
      <w:r>
        <w:rPr>
          <w:rFonts w:hAnsi="宋体"/>
          <w:sz w:val="24"/>
        </w:rPr>
        <w:t>。</w:t>
      </w:r>
    </w:p>
    <w:p w:rsidR="00475650" w:rsidRDefault="00475650">
      <w:pPr>
        <w:tabs>
          <w:tab w:val="left" w:pos="6858"/>
        </w:tabs>
        <w:snapToGrid w:val="0"/>
        <w:spacing w:line="360" w:lineRule="auto"/>
        <w:ind w:firstLineChars="200" w:firstLine="480"/>
        <w:jc w:val="center"/>
        <w:rPr>
          <w:sz w:val="24"/>
        </w:rPr>
      </w:pPr>
      <w:r>
        <w:rPr>
          <w:rFonts w:hAnsi="宋体"/>
          <w:sz w:val="24"/>
        </w:rPr>
        <w:t>表</w:t>
      </w:r>
      <w:r>
        <w:rPr>
          <w:sz w:val="24"/>
        </w:rPr>
        <w:t>2.1-2   5</w:t>
      </w:r>
      <w:r>
        <w:rPr>
          <w:rFonts w:hAnsi="宋体"/>
          <w:sz w:val="24"/>
        </w:rPr>
        <w:t>万</w:t>
      </w:r>
      <w:r>
        <w:rPr>
          <w:sz w:val="24"/>
        </w:rPr>
        <w:t>t/a</w:t>
      </w:r>
      <w:r>
        <w:rPr>
          <w:rFonts w:hAnsi="宋体"/>
          <w:sz w:val="24"/>
        </w:rPr>
        <w:t>氯化石蜡</w:t>
      </w:r>
      <w:r>
        <w:rPr>
          <w:sz w:val="24"/>
        </w:rPr>
        <w:t>-52</w:t>
      </w:r>
      <w:r>
        <w:rPr>
          <w:rFonts w:hAnsi="宋体"/>
          <w:sz w:val="24"/>
        </w:rPr>
        <w:t>产品方案表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196"/>
        <w:gridCol w:w="2209"/>
        <w:gridCol w:w="1881"/>
        <w:gridCol w:w="1712"/>
        <w:gridCol w:w="1948"/>
      </w:tblGrid>
      <w:tr w:rsidR="00475650">
        <w:trPr>
          <w:jc w:val="center"/>
        </w:trPr>
        <w:tc>
          <w:tcPr>
            <w:tcW w:w="1196"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rFonts w:hAnsi="宋体"/>
                <w:kern w:val="0"/>
                <w:sz w:val="21"/>
                <w:szCs w:val="21"/>
              </w:rPr>
              <w:t>序号</w:t>
            </w:r>
          </w:p>
        </w:tc>
        <w:tc>
          <w:tcPr>
            <w:tcW w:w="2209"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rFonts w:hAnsi="宋体"/>
                <w:kern w:val="0"/>
                <w:sz w:val="21"/>
                <w:szCs w:val="21"/>
              </w:rPr>
              <w:t>产品及副产品</w:t>
            </w:r>
          </w:p>
        </w:tc>
        <w:tc>
          <w:tcPr>
            <w:tcW w:w="1881"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rFonts w:hAnsi="宋体"/>
                <w:kern w:val="0"/>
                <w:sz w:val="21"/>
                <w:szCs w:val="21"/>
              </w:rPr>
              <w:t>年规模产量</w:t>
            </w:r>
            <w:r>
              <w:rPr>
                <w:kern w:val="0"/>
                <w:sz w:val="21"/>
                <w:szCs w:val="21"/>
              </w:rPr>
              <w:t>(t)</w:t>
            </w:r>
          </w:p>
        </w:tc>
        <w:tc>
          <w:tcPr>
            <w:tcW w:w="1712"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rFonts w:hAnsi="宋体"/>
                <w:kern w:val="0"/>
                <w:sz w:val="21"/>
                <w:szCs w:val="21"/>
              </w:rPr>
              <w:t>日产量</w:t>
            </w:r>
            <w:r>
              <w:rPr>
                <w:kern w:val="0"/>
                <w:sz w:val="21"/>
                <w:szCs w:val="21"/>
              </w:rPr>
              <w:t>(t)</w:t>
            </w:r>
          </w:p>
        </w:tc>
        <w:tc>
          <w:tcPr>
            <w:tcW w:w="1948"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rFonts w:hAnsi="宋体"/>
                <w:kern w:val="0"/>
                <w:sz w:val="21"/>
                <w:szCs w:val="21"/>
              </w:rPr>
              <w:t>备注</w:t>
            </w:r>
          </w:p>
        </w:tc>
      </w:tr>
      <w:tr w:rsidR="00475650">
        <w:trPr>
          <w:jc w:val="center"/>
        </w:trPr>
        <w:tc>
          <w:tcPr>
            <w:tcW w:w="1196"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kern w:val="0"/>
                <w:sz w:val="21"/>
                <w:szCs w:val="21"/>
              </w:rPr>
              <w:t>1</w:t>
            </w:r>
            <w:r>
              <w:rPr>
                <w:rFonts w:hAnsi="宋体"/>
                <w:kern w:val="0"/>
                <w:sz w:val="21"/>
                <w:szCs w:val="21"/>
              </w:rPr>
              <w:t>、产品</w:t>
            </w:r>
          </w:p>
        </w:tc>
        <w:tc>
          <w:tcPr>
            <w:tcW w:w="2209"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rFonts w:hAnsi="宋体"/>
                <w:kern w:val="0"/>
                <w:sz w:val="21"/>
                <w:szCs w:val="21"/>
              </w:rPr>
              <w:t>氯化石蜡</w:t>
            </w:r>
            <w:r>
              <w:rPr>
                <w:kern w:val="0"/>
                <w:sz w:val="21"/>
                <w:szCs w:val="21"/>
              </w:rPr>
              <w:t>-52</w:t>
            </w:r>
          </w:p>
        </w:tc>
        <w:tc>
          <w:tcPr>
            <w:tcW w:w="1881"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kern w:val="0"/>
                <w:sz w:val="21"/>
                <w:szCs w:val="21"/>
              </w:rPr>
              <w:t>50000</w:t>
            </w:r>
          </w:p>
        </w:tc>
        <w:tc>
          <w:tcPr>
            <w:tcW w:w="1712"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kern w:val="0"/>
                <w:sz w:val="21"/>
                <w:szCs w:val="21"/>
              </w:rPr>
              <w:t>166.67</w:t>
            </w:r>
          </w:p>
        </w:tc>
        <w:tc>
          <w:tcPr>
            <w:tcW w:w="1948"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rFonts w:hAnsi="宋体"/>
                <w:kern w:val="0"/>
                <w:sz w:val="21"/>
                <w:szCs w:val="21"/>
              </w:rPr>
              <w:t>外售</w:t>
            </w:r>
          </w:p>
        </w:tc>
      </w:tr>
      <w:tr w:rsidR="00475650">
        <w:trPr>
          <w:jc w:val="center"/>
        </w:trPr>
        <w:tc>
          <w:tcPr>
            <w:tcW w:w="1196"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kern w:val="0"/>
                <w:sz w:val="21"/>
                <w:szCs w:val="21"/>
              </w:rPr>
              <w:t>2</w:t>
            </w:r>
            <w:r>
              <w:rPr>
                <w:rFonts w:hAnsi="宋体"/>
                <w:kern w:val="0"/>
                <w:sz w:val="21"/>
                <w:szCs w:val="21"/>
              </w:rPr>
              <w:t>、副产品</w:t>
            </w:r>
          </w:p>
        </w:tc>
        <w:tc>
          <w:tcPr>
            <w:tcW w:w="2209"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kern w:val="0"/>
                <w:sz w:val="21"/>
                <w:szCs w:val="21"/>
              </w:rPr>
              <w:t>31%</w:t>
            </w:r>
            <w:r>
              <w:rPr>
                <w:rFonts w:hAnsi="宋体"/>
                <w:kern w:val="0"/>
                <w:sz w:val="21"/>
                <w:szCs w:val="21"/>
              </w:rPr>
              <w:t>盐酸</w:t>
            </w:r>
          </w:p>
        </w:tc>
        <w:tc>
          <w:tcPr>
            <w:tcW w:w="1881"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kern w:val="0"/>
                <w:sz w:val="21"/>
                <w:szCs w:val="21"/>
              </w:rPr>
              <w:t>87673.55</w:t>
            </w:r>
          </w:p>
        </w:tc>
        <w:tc>
          <w:tcPr>
            <w:tcW w:w="1712"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kern w:val="0"/>
                <w:sz w:val="21"/>
                <w:szCs w:val="21"/>
              </w:rPr>
              <w:t>292.2</w:t>
            </w:r>
          </w:p>
        </w:tc>
        <w:tc>
          <w:tcPr>
            <w:tcW w:w="1948"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rFonts w:hAnsi="宋体"/>
                <w:kern w:val="0"/>
                <w:sz w:val="21"/>
                <w:szCs w:val="21"/>
              </w:rPr>
              <w:t>外售</w:t>
            </w:r>
          </w:p>
        </w:tc>
      </w:tr>
      <w:tr w:rsidR="00475650">
        <w:trPr>
          <w:jc w:val="center"/>
        </w:trPr>
        <w:tc>
          <w:tcPr>
            <w:tcW w:w="1196"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kern w:val="0"/>
                <w:sz w:val="21"/>
                <w:szCs w:val="21"/>
              </w:rPr>
              <w:t>3</w:t>
            </w:r>
            <w:r>
              <w:rPr>
                <w:rFonts w:hAnsi="宋体"/>
                <w:kern w:val="0"/>
                <w:sz w:val="21"/>
                <w:szCs w:val="21"/>
              </w:rPr>
              <w:t>、副产品</w:t>
            </w:r>
          </w:p>
        </w:tc>
        <w:tc>
          <w:tcPr>
            <w:tcW w:w="2209"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kern w:val="0"/>
                <w:sz w:val="21"/>
                <w:szCs w:val="21"/>
              </w:rPr>
              <w:t>21%</w:t>
            </w:r>
            <w:r>
              <w:rPr>
                <w:rFonts w:hAnsi="宋体"/>
                <w:kern w:val="0"/>
                <w:sz w:val="21"/>
                <w:szCs w:val="21"/>
              </w:rPr>
              <w:t>次氯酸钠</w:t>
            </w:r>
          </w:p>
        </w:tc>
        <w:tc>
          <w:tcPr>
            <w:tcW w:w="1881"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kern w:val="0"/>
                <w:sz w:val="21"/>
                <w:szCs w:val="21"/>
              </w:rPr>
              <w:t>2603</w:t>
            </w:r>
          </w:p>
        </w:tc>
        <w:tc>
          <w:tcPr>
            <w:tcW w:w="1712"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kern w:val="0"/>
                <w:sz w:val="21"/>
                <w:szCs w:val="21"/>
              </w:rPr>
              <w:t>8.68</w:t>
            </w:r>
          </w:p>
        </w:tc>
        <w:tc>
          <w:tcPr>
            <w:tcW w:w="1948" w:type="dxa"/>
            <w:tcMar>
              <w:top w:w="28" w:type="dxa"/>
              <w:bottom w:w="28" w:type="dxa"/>
            </w:tcMar>
            <w:vAlign w:val="center"/>
          </w:tcPr>
          <w:p w:rsidR="00475650" w:rsidRDefault="00475650">
            <w:pPr>
              <w:pStyle w:val="aff7"/>
              <w:snapToGrid w:val="0"/>
              <w:spacing w:line="240" w:lineRule="auto"/>
              <w:ind w:firstLine="0"/>
              <w:jc w:val="center"/>
              <w:rPr>
                <w:kern w:val="0"/>
                <w:sz w:val="21"/>
                <w:szCs w:val="21"/>
              </w:rPr>
            </w:pPr>
            <w:r>
              <w:rPr>
                <w:rFonts w:hAnsi="宋体"/>
                <w:kern w:val="0"/>
                <w:sz w:val="21"/>
                <w:szCs w:val="21"/>
              </w:rPr>
              <w:t>外售</w:t>
            </w:r>
          </w:p>
        </w:tc>
      </w:tr>
    </w:tbl>
    <w:p w:rsidR="00475650" w:rsidRDefault="00475650" w:rsidP="00475650">
      <w:pPr>
        <w:snapToGrid w:val="0"/>
        <w:spacing w:line="324" w:lineRule="auto"/>
        <w:ind w:firstLineChars="217" w:firstLine="456"/>
        <w:rPr>
          <w:rFonts w:hAnsi="宋体"/>
          <w:bCs/>
        </w:rPr>
      </w:pPr>
    </w:p>
    <w:p w:rsidR="00475650" w:rsidRDefault="00475650">
      <w:pPr>
        <w:pStyle w:val="h"/>
        <w:snapToGrid w:val="0"/>
        <w:spacing w:before="0" w:after="0" w:line="324" w:lineRule="auto"/>
        <w:ind w:firstLine="0"/>
        <w:outlineLvl w:val="1"/>
        <w:rPr>
          <w:rStyle w:val="2Char1Char"/>
          <w:rFonts w:ascii="Times New Roman" w:eastAsia="宋体" w:hAnsi="Times New Roman" w:cs="Times New Roman"/>
          <w:b w:val="0"/>
          <w:sz w:val="24"/>
          <w:szCs w:val="24"/>
        </w:rPr>
      </w:pPr>
      <w:bookmarkStart w:id="308" w:name="_Toc5672"/>
      <w:bookmarkStart w:id="309" w:name="_Toc465676960"/>
      <w:r>
        <w:rPr>
          <w:rStyle w:val="2Char1Char"/>
          <w:rFonts w:ascii="Times New Roman" w:eastAsia="宋体" w:hAnsi="Times New Roman" w:cs="Times New Roman"/>
          <w:b w:val="0"/>
          <w:sz w:val="24"/>
          <w:szCs w:val="24"/>
        </w:rPr>
        <w:t>2.1.3</w:t>
      </w:r>
      <w:r>
        <w:rPr>
          <w:rStyle w:val="2Char1Char"/>
          <w:rFonts w:ascii="Times New Roman" w:eastAsia="宋体" w:hAnsi="宋体" w:cs="Times New Roman"/>
          <w:b w:val="0"/>
          <w:sz w:val="24"/>
          <w:szCs w:val="24"/>
        </w:rPr>
        <w:t>现有工程工艺流程</w:t>
      </w:r>
      <w:bookmarkEnd w:id="308"/>
      <w:bookmarkEnd w:id="309"/>
    </w:p>
    <w:p w:rsidR="00475650" w:rsidRDefault="00475650" w:rsidP="00475650">
      <w:pPr>
        <w:snapToGrid w:val="0"/>
        <w:spacing w:line="324" w:lineRule="auto"/>
        <w:ind w:firstLineChars="217" w:firstLine="521"/>
        <w:rPr>
          <w:sz w:val="24"/>
        </w:rPr>
      </w:pPr>
      <w:r>
        <w:rPr>
          <w:rFonts w:hAnsi="宋体"/>
          <w:sz w:val="24"/>
        </w:rPr>
        <w:t>现有工程采用连续氯化生产工艺生产氯化石蜡，使用逆流循环操作。生产工艺流程图见图</w:t>
      </w:r>
      <w:r>
        <w:rPr>
          <w:sz w:val="24"/>
        </w:rPr>
        <w:t>2</w:t>
      </w:r>
      <w:r>
        <w:rPr>
          <w:rFonts w:hAnsi="宋体"/>
          <w:sz w:val="24"/>
        </w:rPr>
        <w:t>－</w:t>
      </w:r>
      <w:r>
        <w:rPr>
          <w:sz w:val="24"/>
        </w:rPr>
        <w:t>1</w:t>
      </w:r>
      <w:r>
        <w:rPr>
          <w:rFonts w:hAnsi="宋体"/>
          <w:sz w:val="24"/>
        </w:rPr>
        <w:t>。工艺流程简要说明如下：</w:t>
      </w:r>
    </w:p>
    <w:p w:rsidR="00475650" w:rsidRDefault="00475650" w:rsidP="00475650">
      <w:pPr>
        <w:snapToGrid w:val="0"/>
        <w:spacing w:line="324" w:lineRule="auto"/>
        <w:ind w:firstLineChars="217" w:firstLine="521"/>
        <w:rPr>
          <w:sz w:val="24"/>
        </w:rPr>
      </w:pPr>
      <w:r>
        <w:rPr>
          <w:sz w:val="24"/>
        </w:rPr>
        <w:t>1</w:t>
      </w:r>
      <w:r>
        <w:rPr>
          <w:rFonts w:hAnsi="宋体"/>
          <w:sz w:val="24"/>
        </w:rPr>
        <w:t>、液蜡精制：液蜡用汽车槽车卸至液蜡原料贮罐，液蜡原料贮罐内的液体石蜡经自然沉降脱水后，在经过硅胶脱水精制得到精制液蜡；硅胶吸收性能较好，根据其使用寿命及含水程度进行更换，废弃的硅胶由硅胶厂家直接回收；</w:t>
      </w:r>
    </w:p>
    <w:p w:rsidR="00475650" w:rsidRDefault="00475650" w:rsidP="00475650">
      <w:pPr>
        <w:snapToGrid w:val="0"/>
        <w:spacing w:line="324" w:lineRule="auto"/>
        <w:ind w:firstLineChars="217" w:firstLine="521"/>
        <w:rPr>
          <w:sz w:val="24"/>
        </w:rPr>
      </w:pPr>
      <w:r>
        <w:rPr>
          <w:sz w:val="24"/>
        </w:rPr>
        <w:t>2</w:t>
      </w:r>
      <w:r>
        <w:rPr>
          <w:rFonts w:hAnsi="宋体"/>
          <w:sz w:val="24"/>
        </w:rPr>
        <w:t>、氯化反应：精制后的液蜡用泵经计量送入</w:t>
      </w:r>
      <w:r>
        <w:rPr>
          <w:sz w:val="24"/>
        </w:rPr>
        <w:t>3#</w:t>
      </w:r>
      <w:r>
        <w:rPr>
          <w:rFonts w:hAnsi="宋体"/>
          <w:sz w:val="24"/>
        </w:rPr>
        <w:t>副氯化釜内，再进入</w:t>
      </w:r>
      <w:r>
        <w:rPr>
          <w:sz w:val="24"/>
        </w:rPr>
        <w:t>2#</w:t>
      </w:r>
      <w:r>
        <w:rPr>
          <w:rFonts w:hAnsi="宋体"/>
          <w:sz w:val="24"/>
        </w:rPr>
        <w:t>副氯化釜吸收尾气中的氯气后，经酸蜡分离器分离出蜡油再进入</w:t>
      </w:r>
      <w:r>
        <w:rPr>
          <w:sz w:val="24"/>
        </w:rPr>
        <w:t>1#</w:t>
      </w:r>
      <w:r>
        <w:rPr>
          <w:rFonts w:hAnsi="宋体"/>
          <w:sz w:val="24"/>
        </w:rPr>
        <w:t>副氯化釜然后到六个主氯化反应釜中（</w:t>
      </w:r>
      <w:r>
        <w:rPr>
          <w:sz w:val="24"/>
        </w:rPr>
        <w:t>6#</w:t>
      </w:r>
      <w:r>
        <w:rPr>
          <w:rFonts w:hAnsi="宋体"/>
          <w:sz w:val="24"/>
        </w:rPr>
        <w:t>氯化釜达反应终点时检测产品合格后，将</w:t>
      </w:r>
      <w:r>
        <w:rPr>
          <w:sz w:val="24"/>
        </w:rPr>
        <w:t>5#</w:t>
      </w:r>
      <w:r>
        <w:rPr>
          <w:rFonts w:hAnsi="宋体"/>
          <w:sz w:val="24"/>
        </w:rPr>
        <w:t>氯化釜的料压送至</w:t>
      </w:r>
      <w:r>
        <w:rPr>
          <w:sz w:val="24"/>
        </w:rPr>
        <w:t>6#</w:t>
      </w:r>
      <w:r>
        <w:rPr>
          <w:rFonts w:hAnsi="宋体"/>
          <w:sz w:val="24"/>
        </w:rPr>
        <w:t>氯化釜，</w:t>
      </w:r>
      <w:r>
        <w:rPr>
          <w:sz w:val="24"/>
        </w:rPr>
        <w:t>4#</w:t>
      </w:r>
      <w:r>
        <w:rPr>
          <w:rFonts w:hAnsi="宋体"/>
          <w:sz w:val="24"/>
        </w:rPr>
        <w:t>氯化釜的料压送至</w:t>
      </w:r>
      <w:r>
        <w:rPr>
          <w:sz w:val="24"/>
        </w:rPr>
        <w:t>5#</w:t>
      </w:r>
      <w:r>
        <w:rPr>
          <w:rFonts w:hAnsi="宋体"/>
          <w:sz w:val="24"/>
        </w:rPr>
        <w:t>氯化釜，</w:t>
      </w:r>
      <w:r>
        <w:rPr>
          <w:sz w:val="24"/>
        </w:rPr>
        <w:t>3#</w:t>
      </w:r>
      <w:r>
        <w:rPr>
          <w:rFonts w:hAnsi="宋体"/>
          <w:sz w:val="24"/>
        </w:rPr>
        <w:t>氯化釜的料压送至</w:t>
      </w:r>
      <w:r>
        <w:rPr>
          <w:sz w:val="24"/>
        </w:rPr>
        <w:t>4#</w:t>
      </w:r>
      <w:r>
        <w:rPr>
          <w:rFonts w:hAnsi="宋体"/>
          <w:sz w:val="24"/>
        </w:rPr>
        <w:t>氯化釜，</w:t>
      </w:r>
      <w:r>
        <w:rPr>
          <w:sz w:val="24"/>
        </w:rPr>
        <w:t>2#</w:t>
      </w:r>
      <w:r>
        <w:rPr>
          <w:rFonts w:hAnsi="宋体"/>
          <w:sz w:val="24"/>
        </w:rPr>
        <w:t>氯化釜的料压送至</w:t>
      </w:r>
      <w:r>
        <w:rPr>
          <w:sz w:val="24"/>
        </w:rPr>
        <w:t>3#</w:t>
      </w:r>
      <w:r>
        <w:rPr>
          <w:rFonts w:hAnsi="宋体"/>
          <w:sz w:val="24"/>
        </w:rPr>
        <w:t>氯化釜，</w:t>
      </w:r>
      <w:r>
        <w:rPr>
          <w:sz w:val="24"/>
        </w:rPr>
        <w:t>1#</w:t>
      </w:r>
      <w:r>
        <w:rPr>
          <w:rFonts w:hAnsi="宋体"/>
          <w:sz w:val="24"/>
        </w:rPr>
        <w:t>氯化釜的料压送至</w:t>
      </w:r>
      <w:r>
        <w:rPr>
          <w:sz w:val="24"/>
        </w:rPr>
        <w:t>2#</w:t>
      </w:r>
      <w:r>
        <w:rPr>
          <w:rFonts w:hAnsi="宋体"/>
          <w:sz w:val="24"/>
        </w:rPr>
        <w:t>氯化釜，</w:t>
      </w:r>
      <w:r>
        <w:rPr>
          <w:sz w:val="24"/>
        </w:rPr>
        <w:t>1#</w:t>
      </w:r>
      <w:r>
        <w:rPr>
          <w:rFonts w:hAnsi="宋体"/>
          <w:sz w:val="24"/>
        </w:rPr>
        <w:t>副氯化釜的料压送至</w:t>
      </w:r>
      <w:r>
        <w:rPr>
          <w:sz w:val="24"/>
        </w:rPr>
        <w:t>1#</w:t>
      </w:r>
      <w:r>
        <w:rPr>
          <w:rFonts w:hAnsi="宋体"/>
          <w:sz w:val="24"/>
        </w:rPr>
        <w:t>氯化釜，</w:t>
      </w:r>
      <w:r>
        <w:rPr>
          <w:sz w:val="24"/>
        </w:rPr>
        <w:t>2#</w:t>
      </w:r>
      <w:r>
        <w:rPr>
          <w:rFonts w:hAnsi="宋体"/>
          <w:sz w:val="24"/>
        </w:rPr>
        <w:t>副氯化釜的料压送至</w:t>
      </w:r>
      <w:r>
        <w:rPr>
          <w:sz w:val="24"/>
        </w:rPr>
        <w:t>1#</w:t>
      </w:r>
      <w:r>
        <w:rPr>
          <w:rFonts w:hAnsi="宋体"/>
          <w:sz w:val="24"/>
        </w:rPr>
        <w:t>副氯化釜，</w:t>
      </w:r>
      <w:r>
        <w:rPr>
          <w:sz w:val="24"/>
        </w:rPr>
        <w:t>3#</w:t>
      </w:r>
      <w:r>
        <w:rPr>
          <w:rFonts w:hAnsi="宋体"/>
          <w:sz w:val="24"/>
        </w:rPr>
        <w:t>副氯化釜的料压送至</w:t>
      </w:r>
      <w:r>
        <w:rPr>
          <w:sz w:val="24"/>
        </w:rPr>
        <w:t>2#</w:t>
      </w:r>
      <w:r>
        <w:rPr>
          <w:rFonts w:hAnsi="宋体"/>
          <w:sz w:val="24"/>
        </w:rPr>
        <w:t>副氯化釜，</w:t>
      </w:r>
      <w:r>
        <w:rPr>
          <w:sz w:val="24"/>
        </w:rPr>
        <w:t>3#</w:t>
      </w:r>
      <w:r>
        <w:rPr>
          <w:rFonts w:hAnsi="宋体"/>
          <w:sz w:val="24"/>
        </w:rPr>
        <w:t>副氯化釜加入计量的液蜡油，依此循环开始新一轮氯化反应。）。液氯经加热汽化后经计量由氯气分配台分配至各主氯化反应釜，与石蜡接触，在紫外光的催化作用下进行连续氯化反应，主氯化釜排出的含</w:t>
      </w:r>
      <w:r>
        <w:rPr>
          <w:sz w:val="24"/>
        </w:rPr>
        <w:t>Cl2</w:t>
      </w:r>
      <w:r>
        <w:rPr>
          <w:rFonts w:hAnsi="宋体"/>
          <w:sz w:val="24"/>
        </w:rPr>
        <w:t>和</w:t>
      </w:r>
      <w:r>
        <w:rPr>
          <w:sz w:val="24"/>
        </w:rPr>
        <w:t>HCl</w:t>
      </w:r>
      <w:r>
        <w:rPr>
          <w:rFonts w:hAnsi="宋体"/>
          <w:sz w:val="24"/>
        </w:rPr>
        <w:t>的尾气循环回副氯化釜可继续反应。同时向各氯化釜夹套和釜外换热器用循环冷却水控制反应温度在</w:t>
      </w:r>
      <w:r>
        <w:rPr>
          <w:sz w:val="24"/>
        </w:rPr>
        <w:t>85</w:t>
      </w:r>
      <w:r>
        <w:rPr>
          <w:rFonts w:hAnsi="宋体"/>
          <w:sz w:val="24"/>
        </w:rPr>
        <w:t>℃</w:t>
      </w:r>
      <w:r>
        <w:rPr>
          <w:sz w:val="24"/>
        </w:rPr>
        <w:t>~100</w:t>
      </w:r>
      <w:r>
        <w:rPr>
          <w:rFonts w:hAnsi="宋体"/>
          <w:sz w:val="24"/>
        </w:rPr>
        <w:t>℃范围内，以维持反应正常进行。经过反应后夹带有液蜡油的氯化氢气体和微量余氯进入酸蜡分离器分离出液蜡油，尾气送至降膜吸收塔进行两级吸收，分离出来的液蜡油返回</w:t>
      </w:r>
      <w:r>
        <w:rPr>
          <w:sz w:val="24"/>
        </w:rPr>
        <w:t>1#</w:t>
      </w:r>
      <w:r>
        <w:rPr>
          <w:rFonts w:hAnsi="宋体"/>
          <w:sz w:val="24"/>
        </w:rPr>
        <w:t>副氯化釜。</w:t>
      </w:r>
    </w:p>
    <w:p w:rsidR="00475650" w:rsidRDefault="00475650" w:rsidP="00475650">
      <w:pPr>
        <w:snapToGrid w:val="0"/>
        <w:spacing w:line="324" w:lineRule="auto"/>
        <w:ind w:firstLineChars="217" w:firstLine="521"/>
        <w:rPr>
          <w:sz w:val="24"/>
        </w:rPr>
      </w:pPr>
      <w:r>
        <w:rPr>
          <w:sz w:val="24"/>
        </w:rPr>
        <w:t>3</w:t>
      </w:r>
      <w:r>
        <w:rPr>
          <w:rFonts w:hAnsi="宋体"/>
          <w:sz w:val="24"/>
        </w:rPr>
        <w:t>、产品处理：</w:t>
      </w:r>
      <w:r>
        <w:rPr>
          <w:sz w:val="24"/>
        </w:rPr>
        <w:t>6#</w:t>
      </w:r>
      <w:r>
        <w:rPr>
          <w:rFonts w:hAnsi="宋体"/>
          <w:sz w:val="24"/>
        </w:rPr>
        <w:t>氯化釜达反应终点时检测产品合格后，将氯化石蜡送到脱气罐，用压缩空气脱气、添加稳定剂后送至成品罐中计量包装为氯化石蜡</w:t>
      </w:r>
      <w:r>
        <w:rPr>
          <w:sz w:val="24"/>
        </w:rPr>
        <w:t>-52</w:t>
      </w:r>
      <w:r>
        <w:rPr>
          <w:rFonts w:hAnsi="宋体"/>
          <w:sz w:val="24"/>
        </w:rPr>
        <w:t>产品。脱除的酸性气体进入盐酸</w:t>
      </w:r>
      <w:r>
        <w:rPr>
          <w:sz w:val="24"/>
        </w:rPr>
        <w:t>1#</w:t>
      </w:r>
      <w:r>
        <w:rPr>
          <w:rFonts w:hAnsi="宋体"/>
          <w:sz w:val="24"/>
        </w:rPr>
        <w:t>降膜吸收塔。</w:t>
      </w:r>
    </w:p>
    <w:p w:rsidR="00475650" w:rsidRDefault="00475650" w:rsidP="00475650">
      <w:pPr>
        <w:snapToGrid w:val="0"/>
        <w:spacing w:line="324" w:lineRule="auto"/>
        <w:ind w:firstLineChars="217" w:firstLine="521"/>
        <w:rPr>
          <w:sz w:val="24"/>
        </w:rPr>
      </w:pPr>
      <w:r>
        <w:rPr>
          <w:sz w:val="24"/>
        </w:rPr>
        <w:t>4</w:t>
      </w:r>
      <w:r>
        <w:rPr>
          <w:rFonts w:hAnsi="宋体"/>
          <w:sz w:val="24"/>
        </w:rPr>
        <w:t>、尾气处理：经酸蜡分离器分离出液蜡油后的气体，通过两级降膜吸收塔吸收，制成</w:t>
      </w:r>
      <w:r>
        <w:rPr>
          <w:sz w:val="24"/>
        </w:rPr>
        <w:t>31%</w:t>
      </w:r>
      <w:r>
        <w:rPr>
          <w:rFonts w:hAnsi="宋体"/>
          <w:sz w:val="24"/>
        </w:rPr>
        <w:t>的合格副产盐酸。余气经填料吸收塔进一步吸收氯化氢后，残余的极微量的氯化氢和氯气进入碱吸收池用碱液吸收后生成次氯酸钠、氯化钠混合溶液。成品盐酸流入盐酸池待售，次氯酸钠、氯化钠混合溶液包装入聚丙烯桶直接外售。</w:t>
      </w:r>
    </w:p>
    <w:p w:rsidR="00475650" w:rsidRDefault="00475650">
      <w:pPr>
        <w:snapToGrid w:val="0"/>
        <w:spacing w:line="324" w:lineRule="auto"/>
        <w:rPr>
          <w:sz w:val="24"/>
        </w:rPr>
        <w:sectPr w:rsidR="00475650">
          <w:headerReference w:type="even" r:id="rId14"/>
          <w:headerReference w:type="default" r:id="rId15"/>
          <w:footerReference w:type="default" r:id="rId16"/>
          <w:headerReference w:type="first" r:id="rId17"/>
          <w:pgSz w:w="11906" w:h="16838"/>
          <w:pgMar w:top="1701" w:right="1588" w:bottom="1418" w:left="1588" w:header="851" w:footer="992" w:gutter="0"/>
          <w:paperSrc w:first="7" w:other="7"/>
          <w:cols w:space="720"/>
          <w:docGrid w:linePitch="312"/>
        </w:sectPr>
      </w:pPr>
    </w:p>
    <w:p w:rsidR="00475650" w:rsidRDefault="007C19B0">
      <w:pPr>
        <w:snapToGrid w:val="0"/>
        <w:spacing w:line="360" w:lineRule="auto"/>
        <w:ind w:firstLine="2"/>
        <w:rPr>
          <w:sz w:val="24"/>
        </w:rPr>
      </w:pPr>
      <w:r>
        <w:rPr>
          <w:noProof/>
          <w:sz w:val="24"/>
        </w:rPr>
        <w:lastRenderedPageBreak/>
        <w:drawing>
          <wp:inline distT="0" distB="0" distL="0" distR="0">
            <wp:extent cx="5768340" cy="7498080"/>
            <wp:effectExtent l="19050" t="0" r="3810" b="0"/>
            <wp:docPr id="10" name="图片 1" descr="2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23456"/>
                    <pic:cNvPicPr>
                      <a:picLocks noChangeAspect="1" noChangeArrowheads="1"/>
                    </pic:cNvPicPr>
                  </pic:nvPicPr>
                  <pic:blipFill>
                    <a:blip r:embed="rId18" cstate="print">
                      <a:clrChange>
                        <a:clrFrom>
                          <a:srgbClr val="C7EDCC"/>
                        </a:clrFrom>
                        <a:clrTo>
                          <a:srgbClr val="C7EDCC">
                            <a:alpha val="0"/>
                          </a:srgbClr>
                        </a:clrTo>
                      </a:clrChange>
                    </a:blip>
                    <a:srcRect/>
                    <a:stretch>
                      <a:fillRect/>
                    </a:stretch>
                  </pic:blipFill>
                  <pic:spPr bwMode="auto">
                    <a:xfrm>
                      <a:off x="0" y="0"/>
                      <a:ext cx="5768340" cy="7498080"/>
                    </a:xfrm>
                    <a:prstGeom prst="rect">
                      <a:avLst/>
                    </a:prstGeom>
                    <a:noFill/>
                    <a:ln w="9525">
                      <a:noFill/>
                      <a:miter lim="800000"/>
                      <a:headEnd/>
                      <a:tailEnd/>
                    </a:ln>
                    <a:effectLst/>
                  </pic:spPr>
                </pic:pic>
              </a:graphicData>
            </a:graphic>
          </wp:inline>
        </w:drawing>
      </w:r>
    </w:p>
    <w:p w:rsidR="00475650" w:rsidRDefault="00475650" w:rsidP="00475650">
      <w:pPr>
        <w:snapToGrid w:val="0"/>
        <w:spacing w:line="360" w:lineRule="auto"/>
        <w:ind w:firstLineChars="217" w:firstLine="523"/>
        <w:jc w:val="center"/>
        <w:rPr>
          <w:b/>
          <w:sz w:val="24"/>
        </w:rPr>
      </w:pPr>
    </w:p>
    <w:p w:rsidR="00475650" w:rsidRDefault="00475650" w:rsidP="00475650">
      <w:pPr>
        <w:snapToGrid w:val="0"/>
        <w:spacing w:line="360" w:lineRule="auto"/>
        <w:ind w:firstLineChars="217" w:firstLine="523"/>
        <w:jc w:val="center"/>
        <w:rPr>
          <w:b/>
          <w:sz w:val="24"/>
        </w:rPr>
      </w:pPr>
      <w:r>
        <w:rPr>
          <w:rFonts w:hAnsi="宋体"/>
          <w:b/>
          <w:sz w:val="24"/>
        </w:rPr>
        <w:t>图</w:t>
      </w:r>
      <w:r>
        <w:rPr>
          <w:b/>
          <w:sz w:val="24"/>
        </w:rPr>
        <w:t xml:space="preserve">2-1   </w:t>
      </w:r>
      <w:r>
        <w:rPr>
          <w:rFonts w:hAnsi="宋体"/>
          <w:b/>
          <w:sz w:val="24"/>
        </w:rPr>
        <w:t>现有工程工艺流程示意图</w:t>
      </w:r>
    </w:p>
    <w:p w:rsidR="00475650" w:rsidRDefault="00475650">
      <w:pPr>
        <w:rPr>
          <w:b/>
          <w:sz w:val="24"/>
        </w:rPr>
        <w:sectPr w:rsidR="00475650">
          <w:pgSz w:w="11906" w:h="16838"/>
          <w:pgMar w:top="1701" w:right="1588" w:bottom="1418" w:left="1588" w:header="851" w:footer="992" w:gutter="0"/>
          <w:paperSrc w:first="7" w:other="7"/>
          <w:cols w:space="720"/>
          <w:docGrid w:linePitch="312"/>
        </w:sectPr>
      </w:pPr>
    </w:p>
    <w:p w:rsidR="00475650" w:rsidRDefault="00475650">
      <w:pPr>
        <w:pStyle w:val="h"/>
        <w:spacing w:before="0" w:after="0" w:line="348" w:lineRule="auto"/>
        <w:ind w:firstLine="0"/>
        <w:outlineLvl w:val="1"/>
        <w:rPr>
          <w:rStyle w:val="2Char1Char"/>
          <w:rFonts w:ascii="Times New Roman" w:eastAsia="宋体" w:hAnsi="Times New Roman" w:cs="Times New Roman"/>
          <w:b w:val="0"/>
          <w:sz w:val="24"/>
          <w:szCs w:val="24"/>
        </w:rPr>
      </w:pPr>
      <w:bookmarkStart w:id="310" w:name="_Toc465676961"/>
      <w:bookmarkStart w:id="311" w:name="_Toc4945"/>
      <w:r>
        <w:rPr>
          <w:rStyle w:val="2Char1Char"/>
          <w:rFonts w:ascii="Times New Roman" w:eastAsia="宋体" w:hAnsi="Times New Roman" w:cs="Times New Roman"/>
          <w:b w:val="0"/>
          <w:sz w:val="24"/>
          <w:szCs w:val="24"/>
        </w:rPr>
        <w:lastRenderedPageBreak/>
        <w:t>2.1.4</w:t>
      </w:r>
      <w:r>
        <w:rPr>
          <w:rStyle w:val="2Char1Char"/>
          <w:rFonts w:ascii="Times New Roman" w:eastAsia="宋体" w:hAnsi="宋体" w:cs="Times New Roman"/>
          <w:b w:val="0"/>
          <w:sz w:val="24"/>
          <w:szCs w:val="24"/>
        </w:rPr>
        <w:t>现有工程污染源分析</w:t>
      </w:r>
      <w:bookmarkEnd w:id="300"/>
      <w:bookmarkEnd w:id="301"/>
      <w:bookmarkEnd w:id="302"/>
      <w:bookmarkEnd w:id="303"/>
      <w:bookmarkEnd w:id="304"/>
      <w:bookmarkEnd w:id="305"/>
      <w:bookmarkEnd w:id="306"/>
      <w:bookmarkEnd w:id="307"/>
      <w:bookmarkEnd w:id="310"/>
      <w:bookmarkEnd w:id="311"/>
    </w:p>
    <w:p w:rsidR="00475650" w:rsidRDefault="00475650">
      <w:pPr>
        <w:tabs>
          <w:tab w:val="left" w:pos="484"/>
        </w:tabs>
        <w:autoSpaceDE w:val="0"/>
        <w:autoSpaceDN w:val="0"/>
        <w:adjustRightInd w:val="0"/>
        <w:snapToGrid w:val="0"/>
        <w:spacing w:line="348" w:lineRule="auto"/>
        <w:ind w:firstLineChars="200" w:firstLine="480"/>
        <w:rPr>
          <w:sz w:val="24"/>
        </w:rPr>
      </w:pPr>
      <w:r>
        <w:rPr>
          <w:rFonts w:hAnsi="宋体"/>
          <w:sz w:val="24"/>
        </w:rPr>
        <w:t>现有工程分阶段建设，目前已建成的</w:t>
      </w:r>
      <w:r>
        <w:rPr>
          <w:sz w:val="24"/>
        </w:rPr>
        <w:t>2.5</w:t>
      </w:r>
      <w:r>
        <w:rPr>
          <w:rFonts w:hAnsi="宋体"/>
          <w:sz w:val="24"/>
        </w:rPr>
        <w:t>万吨</w:t>
      </w:r>
      <w:r>
        <w:rPr>
          <w:sz w:val="24"/>
        </w:rPr>
        <w:t>/</w:t>
      </w:r>
      <w:r>
        <w:rPr>
          <w:rFonts w:hAnsi="宋体"/>
          <w:sz w:val="24"/>
        </w:rPr>
        <w:t>年氯化石蜡生产线已经通过三同时竣工验收，</w:t>
      </w:r>
      <w:r>
        <w:rPr>
          <w:sz w:val="24"/>
        </w:rPr>
        <w:t>2015</w:t>
      </w:r>
      <w:r>
        <w:rPr>
          <w:rFonts w:hAnsi="宋体"/>
          <w:sz w:val="24"/>
        </w:rPr>
        <w:t>年</w:t>
      </w:r>
      <w:r>
        <w:rPr>
          <w:sz w:val="24"/>
        </w:rPr>
        <w:t>6</w:t>
      </w:r>
      <w:r>
        <w:rPr>
          <w:rFonts w:hAnsi="宋体"/>
          <w:sz w:val="24"/>
        </w:rPr>
        <w:t>月</w:t>
      </w:r>
      <w:r>
        <w:rPr>
          <w:sz w:val="24"/>
        </w:rPr>
        <w:t>15 ~16</w:t>
      </w:r>
      <w:r>
        <w:rPr>
          <w:rFonts w:hAnsi="宋体"/>
          <w:sz w:val="24"/>
        </w:rPr>
        <w:t>日，湖南省环境监测中心站组织岳阳市环境监测中心对现有工程进行了现场监测。验收监测期间工程达满负荷生产，本报告结合竣工验收监测数据、现有工程环境影响评价报告书的内容以及工程实际生产情况统计现有工程的污染源基本情况。</w:t>
      </w:r>
    </w:p>
    <w:p w:rsidR="00475650" w:rsidRDefault="00475650">
      <w:pPr>
        <w:pStyle w:val="33Char111H3BHeadBSH-3h33rdlevel"/>
        <w:outlineLvl w:val="0"/>
        <w:rPr>
          <w:b w:val="0"/>
        </w:rPr>
      </w:pPr>
      <w:bookmarkStart w:id="312" w:name="_Toc302936733"/>
      <w:bookmarkStart w:id="313" w:name="_Toc273462071"/>
      <w:bookmarkStart w:id="314" w:name="_Toc334080741"/>
      <w:bookmarkStart w:id="315" w:name="_Toc333229886"/>
      <w:bookmarkStart w:id="316" w:name="_Toc274984472"/>
      <w:bookmarkStart w:id="317" w:name="_Toc334014099"/>
      <w:bookmarkStart w:id="318" w:name="_Toc448999067"/>
      <w:bookmarkStart w:id="319" w:name="_Toc465676962"/>
      <w:bookmarkStart w:id="320" w:name="_Toc29614"/>
      <w:r>
        <w:rPr>
          <w:b w:val="0"/>
        </w:rPr>
        <w:t>2.1.4.1</w:t>
      </w:r>
      <w:r>
        <w:rPr>
          <w:rFonts w:hAnsi="宋体"/>
          <w:b w:val="0"/>
        </w:rPr>
        <w:t>废气污染源</w:t>
      </w:r>
      <w:bookmarkEnd w:id="312"/>
      <w:bookmarkEnd w:id="313"/>
      <w:bookmarkEnd w:id="314"/>
      <w:bookmarkEnd w:id="315"/>
      <w:bookmarkEnd w:id="316"/>
      <w:bookmarkEnd w:id="317"/>
      <w:bookmarkEnd w:id="318"/>
      <w:bookmarkEnd w:id="319"/>
      <w:bookmarkEnd w:id="320"/>
    </w:p>
    <w:p w:rsidR="00475650" w:rsidRDefault="00475650">
      <w:pPr>
        <w:tabs>
          <w:tab w:val="left" w:pos="484"/>
        </w:tabs>
        <w:autoSpaceDE w:val="0"/>
        <w:autoSpaceDN w:val="0"/>
        <w:adjustRightInd w:val="0"/>
        <w:snapToGrid w:val="0"/>
        <w:spacing w:line="348" w:lineRule="auto"/>
        <w:ind w:firstLineChars="200" w:firstLine="480"/>
        <w:rPr>
          <w:sz w:val="24"/>
        </w:rPr>
      </w:pPr>
      <w:bookmarkStart w:id="321" w:name="_Toc302936734"/>
      <w:r>
        <w:rPr>
          <w:rFonts w:hAnsi="宋体"/>
          <w:sz w:val="24"/>
        </w:rPr>
        <w:t>现有工程产生的有组织生产废气为氯化釜反应尾气和产品精制产生的脱气废气，两股废气经收集进入旋风分离器分离出其中的蜡油成分后，经二级降膜</w:t>
      </w:r>
      <w:r>
        <w:rPr>
          <w:sz w:val="24"/>
        </w:rPr>
        <w:t>+</w:t>
      </w:r>
      <w:r>
        <w:rPr>
          <w:rFonts w:hAnsi="宋体"/>
          <w:sz w:val="24"/>
        </w:rPr>
        <w:t>二级填料吸收塔生成副产品盐酸，由填料塔出来的尾气送碱液吸收塔碱液中和处理生成副产品次氯酸钠溶液，尾气经</w:t>
      </w:r>
      <w:r>
        <w:rPr>
          <w:sz w:val="24"/>
        </w:rPr>
        <w:t>30m</w:t>
      </w:r>
      <w:r>
        <w:rPr>
          <w:rFonts w:hAnsi="宋体"/>
          <w:sz w:val="24"/>
        </w:rPr>
        <w:t>排气筒外排。无组织废气来自物料贮存、氯化反应装置及输送管道、法兰、阀门等不同设备不严处微量氯化氢和氯气的泄露。现有工程有组织废气处理情况见表</w:t>
      </w:r>
      <w:r>
        <w:rPr>
          <w:sz w:val="24"/>
        </w:rPr>
        <w:t>2.1-3</w:t>
      </w:r>
      <w:r>
        <w:rPr>
          <w:rFonts w:hAnsi="宋体"/>
          <w:sz w:val="24"/>
        </w:rPr>
        <w:t>，污染源监测情况见表</w:t>
      </w:r>
      <w:r>
        <w:rPr>
          <w:sz w:val="24"/>
        </w:rPr>
        <w:t>2.1-4</w:t>
      </w:r>
      <w:r>
        <w:rPr>
          <w:rFonts w:hAnsi="宋体"/>
          <w:sz w:val="24"/>
        </w:rPr>
        <w:t>，无组织废气污染源监测情况见表</w:t>
      </w:r>
      <w:r>
        <w:rPr>
          <w:sz w:val="24"/>
        </w:rPr>
        <w:t>2.1-5</w:t>
      </w:r>
      <w:r>
        <w:rPr>
          <w:rFonts w:hAnsi="宋体"/>
          <w:sz w:val="24"/>
        </w:rPr>
        <w:t>。由监测结果可知：监测期间，填料吸收塔出口中最大废气量为</w:t>
      </w:r>
      <w:r>
        <w:rPr>
          <w:sz w:val="24"/>
        </w:rPr>
        <w:t>30 m</w:t>
      </w:r>
      <w:r>
        <w:rPr>
          <w:sz w:val="24"/>
          <w:vertAlign w:val="superscript"/>
        </w:rPr>
        <w:t>3</w:t>
      </w:r>
      <w:r>
        <w:rPr>
          <w:sz w:val="24"/>
        </w:rPr>
        <w:t>/h</w:t>
      </w:r>
      <w:r>
        <w:rPr>
          <w:rFonts w:hAnsi="宋体"/>
          <w:sz w:val="24"/>
        </w:rPr>
        <w:t>，氯化氢、氯、非甲烷总烃的排放浓度最大值分别为</w:t>
      </w:r>
      <w:r>
        <w:rPr>
          <w:sz w:val="24"/>
        </w:rPr>
        <w:t>0.46mg/m</w:t>
      </w:r>
      <w:r>
        <w:rPr>
          <w:sz w:val="24"/>
          <w:vertAlign w:val="superscript"/>
        </w:rPr>
        <w:t>3</w:t>
      </w:r>
      <w:r>
        <w:rPr>
          <w:rFonts w:hAnsi="宋体"/>
          <w:sz w:val="24"/>
        </w:rPr>
        <w:t>、</w:t>
      </w:r>
      <w:r>
        <w:rPr>
          <w:sz w:val="24"/>
        </w:rPr>
        <w:t>2.26 mg/m</w:t>
      </w:r>
      <w:r>
        <w:rPr>
          <w:sz w:val="24"/>
          <w:vertAlign w:val="superscript"/>
        </w:rPr>
        <w:t>3</w:t>
      </w:r>
      <w:r>
        <w:rPr>
          <w:rFonts w:hAnsi="宋体"/>
          <w:sz w:val="24"/>
        </w:rPr>
        <w:t>、</w:t>
      </w:r>
      <w:r>
        <w:rPr>
          <w:sz w:val="24"/>
        </w:rPr>
        <w:t>7.98 mg/m</w:t>
      </w:r>
      <w:r>
        <w:rPr>
          <w:sz w:val="24"/>
          <w:vertAlign w:val="superscript"/>
        </w:rPr>
        <w:t>3</w:t>
      </w:r>
      <w:r>
        <w:rPr>
          <w:rFonts w:hAnsi="宋体"/>
          <w:sz w:val="24"/>
        </w:rPr>
        <w:t>，氯化氢、氯、非甲烷总烃的最大排放速率为</w:t>
      </w:r>
      <w:r>
        <w:rPr>
          <w:sz w:val="24"/>
        </w:rPr>
        <w:t>0.0000138kg/h</w:t>
      </w:r>
      <w:r>
        <w:rPr>
          <w:rFonts w:hAnsi="宋体"/>
          <w:sz w:val="24"/>
        </w:rPr>
        <w:t>、</w:t>
      </w:r>
      <w:r>
        <w:rPr>
          <w:sz w:val="24"/>
        </w:rPr>
        <w:t>0.0000678kg/h</w:t>
      </w:r>
      <w:r>
        <w:rPr>
          <w:rFonts w:hAnsi="宋体"/>
          <w:sz w:val="24"/>
        </w:rPr>
        <w:t>、</w:t>
      </w:r>
      <w:r>
        <w:rPr>
          <w:sz w:val="24"/>
        </w:rPr>
        <w:t>0.0002394kg/h</w:t>
      </w:r>
      <w:r>
        <w:rPr>
          <w:rFonts w:hAnsi="宋体"/>
          <w:sz w:val="24"/>
        </w:rPr>
        <w:t>，均符合《大气污染物综合排放标准》（</w:t>
      </w:r>
      <w:r>
        <w:rPr>
          <w:sz w:val="24"/>
        </w:rPr>
        <w:t>GB16297-96</w:t>
      </w:r>
      <w:r>
        <w:rPr>
          <w:rFonts w:hAnsi="宋体"/>
          <w:sz w:val="24"/>
        </w:rPr>
        <w:t>）表</w:t>
      </w:r>
      <w:r>
        <w:rPr>
          <w:sz w:val="24"/>
        </w:rPr>
        <w:t>2</w:t>
      </w:r>
      <w:r>
        <w:rPr>
          <w:rFonts w:hAnsi="宋体"/>
          <w:sz w:val="24"/>
        </w:rPr>
        <w:t>中二级标准的要求；厂界无组织废气中氯、非甲烷总烃的最大监控浓度分别为</w:t>
      </w:r>
      <w:r>
        <w:rPr>
          <w:sz w:val="24"/>
        </w:rPr>
        <w:t>0.21 mg/m</w:t>
      </w:r>
      <w:r>
        <w:rPr>
          <w:sz w:val="24"/>
          <w:vertAlign w:val="superscript"/>
        </w:rPr>
        <w:t>3</w:t>
      </w:r>
      <w:r>
        <w:rPr>
          <w:rFonts w:hAnsi="宋体"/>
          <w:sz w:val="24"/>
        </w:rPr>
        <w:t>、</w:t>
      </w:r>
      <w:r>
        <w:rPr>
          <w:sz w:val="24"/>
        </w:rPr>
        <w:t>1.74 mg/m</w:t>
      </w:r>
      <w:r>
        <w:rPr>
          <w:sz w:val="24"/>
          <w:vertAlign w:val="superscript"/>
        </w:rPr>
        <w:t>3</w:t>
      </w:r>
      <w:r>
        <w:rPr>
          <w:rFonts w:hAnsi="宋体"/>
          <w:sz w:val="24"/>
        </w:rPr>
        <w:t>，氯化氢未检出，均符合《大气污染物综合排放标准》（</w:t>
      </w:r>
      <w:r>
        <w:rPr>
          <w:sz w:val="24"/>
        </w:rPr>
        <w:t>GB16297-96</w:t>
      </w:r>
      <w:r>
        <w:rPr>
          <w:rFonts w:hAnsi="宋体"/>
          <w:sz w:val="24"/>
        </w:rPr>
        <w:t>）表</w:t>
      </w:r>
      <w:r>
        <w:rPr>
          <w:sz w:val="24"/>
        </w:rPr>
        <w:t>2</w:t>
      </w:r>
      <w:r>
        <w:rPr>
          <w:rFonts w:hAnsi="宋体"/>
          <w:sz w:val="24"/>
        </w:rPr>
        <w:t>中二级标准的要求。根据监测结果计算，现有工程现实际外排的</w:t>
      </w:r>
      <w:r>
        <w:rPr>
          <w:rFonts w:hAnsi="宋体" w:hint="eastAsia"/>
          <w:sz w:val="24"/>
        </w:rPr>
        <w:t>氯气</w:t>
      </w:r>
      <w:r>
        <w:rPr>
          <w:rFonts w:hAnsi="宋体"/>
          <w:sz w:val="24"/>
        </w:rPr>
        <w:t>及</w:t>
      </w:r>
      <w:r>
        <w:rPr>
          <w:rFonts w:hAnsi="宋体" w:hint="eastAsia"/>
          <w:sz w:val="24"/>
        </w:rPr>
        <w:t>氯化氢</w:t>
      </w:r>
      <w:r>
        <w:rPr>
          <w:rFonts w:hAnsi="宋体"/>
          <w:sz w:val="24"/>
        </w:rPr>
        <w:t>的总量为</w:t>
      </w:r>
      <w:r>
        <w:rPr>
          <w:rFonts w:hint="eastAsia"/>
          <w:sz w:val="24"/>
        </w:rPr>
        <w:t>0.00049</w:t>
      </w:r>
      <w:r>
        <w:rPr>
          <w:sz w:val="24"/>
        </w:rPr>
        <w:t xml:space="preserve"> t/a</w:t>
      </w:r>
      <w:r>
        <w:rPr>
          <w:rFonts w:hAnsi="宋体"/>
          <w:sz w:val="24"/>
        </w:rPr>
        <w:t>和</w:t>
      </w:r>
      <w:r>
        <w:rPr>
          <w:sz w:val="24"/>
        </w:rPr>
        <w:t>0.000</w:t>
      </w:r>
      <w:r>
        <w:rPr>
          <w:rFonts w:hint="eastAsia"/>
          <w:sz w:val="24"/>
        </w:rPr>
        <w:t>1</w:t>
      </w:r>
      <w:r>
        <w:rPr>
          <w:sz w:val="24"/>
        </w:rPr>
        <w:t xml:space="preserve"> t/a</w:t>
      </w:r>
      <w:r>
        <w:rPr>
          <w:rFonts w:hAnsi="宋体"/>
          <w:sz w:val="24"/>
        </w:rPr>
        <w:t>，以此类推规模生产产生的</w:t>
      </w:r>
      <w:r>
        <w:rPr>
          <w:rFonts w:hAnsi="宋体" w:hint="eastAsia"/>
          <w:sz w:val="24"/>
        </w:rPr>
        <w:t>氯气</w:t>
      </w:r>
      <w:r>
        <w:rPr>
          <w:rFonts w:hAnsi="宋体"/>
          <w:sz w:val="24"/>
        </w:rPr>
        <w:t>及</w:t>
      </w:r>
      <w:r>
        <w:rPr>
          <w:rFonts w:hAnsi="宋体" w:hint="eastAsia"/>
          <w:sz w:val="24"/>
        </w:rPr>
        <w:t>氯化氢</w:t>
      </w:r>
      <w:r>
        <w:rPr>
          <w:rFonts w:hAnsi="宋体"/>
          <w:sz w:val="24"/>
        </w:rPr>
        <w:t>的总量为</w:t>
      </w:r>
      <w:r>
        <w:rPr>
          <w:rFonts w:hint="eastAsia"/>
          <w:sz w:val="24"/>
        </w:rPr>
        <w:t>0.00098</w:t>
      </w:r>
      <w:r>
        <w:rPr>
          <w:sz w:val="24"/>
        </w:rPr>
        <w:t>t/a</w:t>
      </w:r>
      <w:r>
        <w:rPr>
          <w:rFonts w:hAnsi="宋体"/>
          <w:sz w:val="24"/>
        </w:rPr>
        <w:t>和</w:t>
      </w:r>
      <w:r>
        <w:rPr>
          <w:sz w:val="24"/>
        </w:rPr>
        <w:t>0.000</w:t>
      </w:r>
      <w:r>
        <w:rPr>
          <w:rFonts w:hint="eastAsia"/>
          <w:sz w:val="24"/>
        </w:rPr>
        <w:t>2</w:t>
      </w:r>
      <w:r>
        <w:rPr>
          <w:sz w:val="24"/>
        </w:rPr>
        <w:t xml:space="preserve"> t/a</w:t>
      </w:r>
      <w:r>
        <w:rPr>
          <w:rFonts w:hAnsi="宋体"/>
          <w:sz w:val="24"/>
        </w:rPr>
        <w:t>。</w:t>
      </w:r>
    </w:p>
    <w:p w:rsidR="00475650" w:rsidRDefault="00475650">
      <w:pPr>
        <w:tabs>
          <w:tab w:val="left" w:pos="6858"/>
        </w:tabs>
        <w:snapToGrid w:val="0"/>
        <w:spacing w:line="360" w:lineRule="auto"/>
        <w:ind w:firstLineChars="200" w:firstLine="480"/>
        <w:jc w:val="center"/>
        <w:rPr>
          <w:sz w:val="24"/>
        </w:rPr>
      </w:pPr>
      <w:r>
        <w:rPr>
          <w:rFonts w:hAnsi="宋体"/>
          <w:sz w:val="24"/>
        </w:rPr>
        <w:t>表</w:t>
      </w:r>
      <w:r>
        <w:rPr>
          <w:sz w:val="24"/>
        </w:rPr>
        <w:t xml:space="preserve">2.1-3 </w:t>
      </w:r>
      <w:r>
        <w:rPr>
          <w:rFonts w:hAnsi="宋体"/>
          <w:sz w:val="24"/>
        </w:rPr>
        <w:t>现有工程有组织废气处理情况表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468"/>
        <w:gridCol w:w="1331"/>
        <w:gridCol w:w="975"/>
        <w:gridCol w:w="1328"/>
        <w:gridCol w:w="1192"/>
        <w:gridCol w:w="2652"/>
      </w:tblGrid>
      <w:tr w:rsidR="00475650">
        <w:trPr>
          <w:jc w:val="center"/>
        </w:trPr>
        <w:tc>
          <w:tcPr>
            <w:tcW w:w="1468" w:type="dxa"/>
            <w:vAlign w:val="center"/>
          </w:tcPr>
          <w:p w:rsidR="00475650" w:rsidRDefault="00475650" w:rsidP="00BD74CB">
            <w:pPr>
              <w:snapToGrid w:val="0"/>
              <w:spacing w:beforeLines="30" w:afterLines="30"/>
              <w:jc w:val="center"/>
              <w:rPr>
                <w:bCs/>
                <w:szCs w:val="21"/>
              </w:rPr>
            </w:pPr>
            <w:r>
              <w:rPr>
                <w:rFonts w:hAnsi="宋体"/>
                <w:bCs/>
                <w:szCs w:val="21"/>
              </w:rPr>
              <w:t>类别</w:t>
            </w:r>
          </w:p>
        </w:tc>
        <w:tc>
          <w:tcPr>
            <w:tcW w:w="1331" w:type="dxa"/>
            <w:vAlign w:val="center"/>
          </w:tcPr>
          <w:p w:rsidR="00475650" w:rsidRDefault="00475650" w:rsidP="00BD74CB">
            <w:pPr>
              <w:snapToGrid w:val="0"/>
              <w:spacing w:beforeLines="30" w:afterLines="30"/>
              <w:jc w:val="center"/>
              <w:rPr>
                <w:bCs/>
                <w:szCs w:val="21"/>
              </w:rPr>
            </w:pPr>
            <w:r>
              <w:rPr>
                <w:rFonts w:hAnsi="宋体"/>
                <w:bCs/>
                <w:szCs w:val="21"/>
              </w:rPr>
              <w:t>污染源</w:t>
            </w:r>
          </w:p>
        </w:tc>
        <w:tc>
          <w:tcPr>
            <w:tcW w:w="975" w:type="dxa"/>
            <w:vAlign w:val="center"/>
          </w:tcPr>
          <w:p w:rsidR="00475650" w:rsidRDefault="00475650" w:rsidP="00BD74CB">
            <w:pPr>
              <w:snapToGrid w:val="0"/>
              <w:spacing w:beforeLines="30" w:afterLines="30"/>
              <w:jc w:val="center"/>
              <w:rPr>
                <w:bCs/>
                <w:szCs w:val="21"/>
              </w:rPr>
            </w:pPr>
            <w:r>
              <w:rPr>
                <w:rFonts w:hAnsi="宋体"/>
                <w:bCs/>
                <w:szCs w:val="21"/>
              </w:rPr>
              <w:t>排放规律</w:t>
            </w:r>
          </w:p>
        </w:tc>
        <w:tc>
          <w:tcPr>
            <w:tcW w:w="1328" w:type="dxa"/>
            <w:vAlign w:val="center"/>
          </w:tcPr>
          <w:p w:rsidR="00475650" w:rsidRDefault="00475650" w:rsidP="00BD74CB">
            <w:pPr>
              <w:snapToGrid w:val="0"/>
              <w:spacing w:beforeLines="30" w:afterLines="30"/>
              <w:jc w:val="center"/>
              <w:rPr>
                <w:bCs/>
                <w:szCs w:val="21"/>
              </w:rPr>
            </w:pPr>
            <w:r>
              <w:rPr>
                <w:rFonts w:hAnsi="宋体"/>
                <w:bCs/>
                <w:szCs w:val="21"/>
              </w:rPr>
              <w:t>主要污染物</w:t>
            </w:r>
          </w:p>
        </w:tc>
        <w:tc>
          <w:tcPr>
            <w:tcW w:w="1192" w:type="dxa"/>
            <w:vAlign w:val="center"/>
          </w:tcPr>
          <w:p w:rsidR="00475650" w:rsidRDefault="00475650" w:rsidP="00BD74CB">
            <w:pPr>
              <w:snapToGrid w:val="0"/>
              <w:spacing w:beforeLines="30" w:afterLines="30"/>
              <w:jc w:val="center"/>
              <w:rPr>
                <w:bCs/>
                <w:szCs w:val="21"/>
              </w:rPr>
            </w:pPr>
            <w:r>
              <w:rPr>
                <w:rFonts w:hAnsi="宋体"/>
                <w:bCs/>
                <w:szCs w:val="21"/>
              </w:rPr>
              <w:t>处理方式</w:t>
            </w:r>
          </w:p>
        </w:tc>
        <w:tc>
          <w:tcPr>
            <w:tcW w:w="2652" w:type="dxa"/>
            <w:vAlign w:val="center"/>
          </w:tcPr>
          <w:p w:rsidR="00475650" w:rsidRDefault="00475650" w:rsidP="00BD74CB">
            <w:pPr>
              <w:snapToGrid w:val="0"/>
              <w:spacing w:beforeLines="30" w:afterLines="30"/>
              <w:jc w:val="center"/>
              <w:rPr>
                <w:bCs/>
                <w:szCs w:val="21"/>
              </w:rPr>
            </w:pPr>
            <w:r>
              <w:rPr>
                <w:rFonts w:hAnsi="宋体"/>
                <w:bCs/>
                <w:szCs w:val="21"/>
              </w:rPr>
              <w:t>排放方式</w:t>
            </w:r>
          </w:p>
        </w:tc>
      </w:tr>
      <w:tr w:rsidR="00475650">
        <w:trPr>
          <w:jc w:val="center"/>
        </w:trPr>
        <w:tc>
          <w:tcPr>
            <w:tcW w:w="1468" w:type="dxa"/>
            <w:vAlign w:val="center"/>
          </w:tcPr>
          <w:p w:rsidR="00475650" w:rsidRDefault="00475650" w:rsidP="00BD74CB">
            <w:pPr>
              <w:snapToGrid w:val="0"/>
              <w:spacing w:beforeLines="30" w:afterLines="30"/>
              <w:jc w:val="center"/>
              <w:rPr>
                <w:szCs w:val="21"/>
              </w:rPr>
            </w:pPr>
            <w:r>
              <w:rPr>
                <w:rFonts w:hAnsi="宋体"/>
                <w:szCs w:val="21"/>
              </w:rPr>
              <w:t>有组织废气</w:t>
            </w:r>
          </w:p>
        </w:tc>
        <w:tc>
          <w:tcPr>
            <w:tcW w:w="1331" w:type="dxa"/>
            <w:vAlign w:val="center"/>
          </w:tcPr>
          <w:p w:rsidR="00475650" w:rsidRDefault="00475650" w:rsidP="00BD74CB">
            <w:pPr>
              <w:snapToGrid w:val="0"/>
              <w:spacing w:beforeLines="30" w:afterLines="30"/>
              <w:jc w:val="center"/>
              <w:rPr>
                <w:szCs w:val="21"/>
              </w:rPr>
            </w:pPr>
            <w:r>
              <w:rPr>
                <w:rFonts w:hAnsi="宋体"/>
                <w:szCs w:val="21"/>
              </w:rPr>
              <w:t>生产车间</w:t>
            </w:r>
          </w:p>
        </w:tc>
        <w:tc>
          <w:tcPr>
            <w:tcW w:w="975" w:type="dxa"/>
            <w:vAlign w:val="center"/>
          </w:tcPr>
          <w:p w:rsidR="00475650" w:rsidRDefault="00475650" w:rsidP="00BD74CB">
            <w:pPr>
              <w:snapToGrid w:val="0"/>
              <w:spacing w:beforeLines="30" w:afterLines="30"/>
              <w:jc w:val="center"/>
              <w:rPr>
                <w:szCs w:val="21"/>
              </w:rPr>
            </w:pPr>
            <w:r>
              <w:rPr>
                <w:rFonts w:hAnsi="宋体"/>
                <w:szCs w:val="21"/>
              </w:rPr>
              <w:t>连续</w:t>
            </w:r>
          </w:p>
        </w:tc>
        <w:tc>
          <w:tcPr>
            <w:tcW w:w="1328" w:type="dxa"/>
            <w:vAlign w:val="center"/>
          </w:tcPr>
          <w:p w:rsidR="00475650" w:rsidRDefault="00475650" w:rsidP="00BD74CB">
            <w:pPr>
              <w:snapToGrid w:val="0"/>
              <w:spacing w:beforeLines="30" w:afterLines="30"/>
              <w:jc w:val="center"/>
              <w:rPr>
                <w:szCs w:val="21"/>
              </w:rPr>
            </w:pPr>
            <w:r>
              <w:rPr>
                <w:rFonts w:hAnsi="宋体"/>
                <w:szCs w:val="21"/>
              </w:rPr>
              <w:t>氯化氢、氯、非甲烷总烃</w:t>
            </w:r>
          </w:p>
        </w:tc>
        <w:tc>
          <w:tcPr>
            <w:tcW w:w="1192" w:type="dxa"/>
            <w:vAlign w:val="center"/>
          </w:tcPr>
          <w:p w:rsidR="00475650" w:rsidRDefault="00475650" w:rsidP="00BD74CB">
            <w:pPr>
              <w:snapToGrid w:val="0"/>
              <w:spacing w:beforeLines="30" w:afterLines="30"/>
              <w:jc w:val="center"/>
              <w:rPr>
                <w:szCs w:val="21"/>
              </w:rPr>
            </w:pPr>
            <w:r>
              <w:rPr>
                <w:rFonts w:hAnsi="宋体"/>
                <w:szCs w:val="21"/>
              </w:rPr>
              <w:t>三级降膜吸收</w:t>
            </w:r>
            <w:r>
              <w:rPr>
                <w:szCs w:val="21"/>
              </w:rPr>
              <w:t>+</w:t>
            </w:r>
            <w:r>
              <w:rPr>
                <w:rFonts w:hAnsi="宋体"/>
                <w:szCs w:val="21"/>
              </w:rPr>
              <w:t>二级填料吸收</w:t>
            </w:r>
          </w:p>
        </w:tc>
        <w:tc>
          <w:tcPr>
            <w:tcW w:w="2652" w:type="dxa"/>
            <w:vAlign w:val="center"/>
          </w:tcPr>
          <w:p w:rsidR="00475650" w:rsidRDefault="00475650" w:rsidP="00BD74CB">
            <w:pPr>
              <w:snapToGrid w:val="0"/>
              <w:spacing w:beforeLines="30" w:afterLines="30"/>
              <w:jc w:val="center"/>
              <w:rPr>
                <w:szCs w:val="21"/>
              </w:rPr>
            </w:pPr>
            <w:r>
              <w:rPr>
                <w:rFonts w:hAnsi="宋体"/>
                <w:szCs w:val="21"/>
              </w:rPr>
              <w:t>通过</w:t>
            </w:r>
            <w:r>
              <w:rPr>
                <w:szCs w:val="21"/>
              </w:rPr>
              <w:t>30m</w:t>
            </w:r>
            <w:r>
              <w:rPr>
                <w:rFonts w:hAnsi="宋体"/>
                <w:szCs w:val="21"/>
              </w:rPr>
              <w:t>排气筒外排</w:t>
            </w:r>
          </w:p>
        </w:tc>
      </w:tr>
      <w:tr w:rsidR="00475650">
        <w:trPr>
          <w:jc w:val="center"/>
        </w:trPr>
        <w:tc>
          <w:tcPr>
            <w:tcW w:w="1468" w:type="dxa"/>
            <w:vAlign w:val="center"/>
          </w:tcPr>
          <w:p w:rsidR="00475650" w:rsidRDefault="00475650" w:rsidP="00BD74CB">
            <w:pPr>
              <w:snapToGrid w:val="0"/>
              <w:spacing w:beforeLines="30" w:afterLines="30"/>
              <w:jc w:val="center"/>
              <w:rPr>
                <w:szCs w:val="21"/>
                <w:highlight w:val="yellow"/>
              </w:rPr>
            </w:pPr>
            <w:r>
              <w:rPr>
                <w:rFonts w:hAnsi="宋体"/>
                <w:szCs w:val="21"/>
              </w:rPr>
              <w:t>无组织废气</w:t>
            </w:r>
          </w:p>
        </w:tc>
        <w:tc>
          <w:tcPr>
            <w:tcW w:w="1331" w:type="dxa"/>
            <w:vAlign w:val="center"/>
          </w:tcPr>
          <w:p w:rsidR="00475650" w:rsidRDefault="00475650" w:rsidP="00BD74CB">
            <w:pPr>
              <w:snapToGrid w:val="0"/>
              <w:spacing w:beforeLines="30" w:afterLines="30"/>
              <w:jc w:val="center"/>
              <w:rPr>
                <w:szCs w:val="21"/>
                <w:highlight w:val="yellow"/>
              </w:rPr>
            </w:pPr>
            <w:r>
              <w:rPr>
                <w:rFonts w:hAnsi="宋体"/>
                <w:szCs w:val="21"/>
              </w:rPr>
              <w:t>生产车间无组织外排</w:t>
            </w:r>
          </w:p>
        </w:tc>
        <w:tc>
          <w:tcPr>
            <w:tcW w:w="975" w:type="dxa"/>
            <w:vAlign w:val="center"/>
          </w:tcPr>
          <w:p w:rsidR="00475650" w:rsidRDefault="00475650" w:rsidP="00BD74CB">
            <w:pPr>
              <w:snapToGrid w:val="0"/>
              <w:spacing w:beforeLines="30" w:afterLines="30"/>
              <w:jc w:val="center"/>
              <w:rPr>
                <w:szCs w:val="21"/>
                <w:highlight w:val="yellow"/>
              </w:rPr>
            </w:pPr>
            <w:r>
              <w:rPr>
                <w:rFonts w:hAnsi="宋体"/>
                <w:szCs w:val="21"/>
              </w:rPr>
              <w:t>连续</w:t>
            </w:r>
          </w:p>
        </w:tc>
        <w:tc>
          <w:tcPr>
            <w:tcW w:w="1328" w:type="dxa"/>
            <w:vAlign w:val="center"/>
          </w:tcPr>
          <w:p w:rsidR="00475650" w:rsidRDefault="00475650" w:rsidP="00BD74CB">
            <w:pPr>
              <w:snapToGrid w:val="0"/>
              <w:spacing w:beforeLines="30" w:afterLines="30"/>
              <w:jc w:val="center"/>
              <w:rPr>
                <w:szCs w:val="21"/>
              </w:rPr>
            </w:pPr>
            <w:r>
              <w:rPr>
                <w:rFonts w:hAnsi="宋体"/>
                <w:szCs w:val="21"/>
              </w:rPr>
              <w:t>氯化氢、氯、非甲烷总烃</w:t>
            </w:r>
          </w:p>
        </w:tc>
        <w:tc>
          <w:tcPr>
            <w:tcW w:w="1192" w:type="dxa"/>
            <w:vAlign w:val="center"/>
          </w:tcPr>
          <w:p w:rsidR="00475650" w:rsidRDefault="00475650" w:rsidP="00BD74CB">
            <w:pPr>
              <w:snapToGrid w:val="0"/>
              <w:spacing w:beforeLines="30" w:afterLines="30"/>
              <w:jc w:val="center"/>
              <w:rPr>
                <w:szCs w:val="21"/>
              </w:rPr>
            </w:pPr>
            <w:r>
              <w:rPr>
                <w:szCs w:val="21"/>
              </w:rPr>
              <w:t>/</w:t>
            </w:r>
          </w:p>
        </w:tc>
        <w:tc>
          <w:tcPr>
            <w:tcW w:w="2652" w:type="dxa"/>
            <w:vAlign w:val="center"/>
          </w:tcPr>
          <w:p w:rsidR="00475650" w:rsidRDefault="00475650" w:rsidP="00BD74CB">
            <w:pPr>
              <w:snapToGrid w:val="0"/>
              <w:spacing w:beforeLines="30" w:afterLines="30"/>
              <w:jc w:val="center"/>
              <w:rPr>
                <w:szCs w:val="21"/>
              </w:rPr>
            </w:pPr>
            <w:r>
              <w:rPr>
                <w:rFonts w:hAnsi="宋体"/>
                <w:szCs w:val="21"/>
              </w:rPr>
              <w:t>无组织外排</w:t>
            </w:r>
          </w:p>
        </w:tc>
      </w:tr>
    </w:tbl>
    <w:p w:rsidR="00475650" w:rsidRDefault="00475650">
      <w:pPr>
        <w:tabs>
          <w:tab w:val="left" w:pos="484"/>
        </w:tabs>
        <w:autoSpaceDE w:val="0"/>
        <w:autoSpaceDN w:val="0"/>
        <w:adjustRightInd w:val="0"/>
        <w:snapToGrid w:val="0"/>
        <w:spacing w:line="348" w:lineRule="auto"/>
        <w:ind w:firstLineChars="200" w:firstLine="480"/>
        <w:rPr>
          <w:sz w:val="24"/>
        </w:rPr>
      </w:pPr>
    </w:p>
    <w:p w:rsidR="00475650" w:rsidRDefault="00475650">
      <w:pPr>
        <w:tabs>
          <w:tab w:val="left" w:pos="484"/>
        </w:tabs>
        <w:autoSpaceDE w:val="0"/>
        <w:autoSpaceDN w:val="0"/>
        <w:adjustRightInd w:val="0"/>
        <w:snapToGrid w:val="0"/>
        <w:spacing w:line="348" w:lineRule="auto"/>
        <w:ind w:firstLineChars="200" w:firstLine="480"/>
        <w:rPr>
          <w:sz w:val="24"/>
        </w:rPr>
      </w:pPr>
    </w:p>
    <w:p w:rsidR="00475650" w:rsidRDefault="00475650">
      <w:pPr>
        <w:tabs>
          <w:tab w:val="left" w:pos="6858"/>
        </w:tabs>
        <w:snapToGrid w:val="0"/>
        <w:spacing w:line="360" w:lineRule="auto"/>
        <w:ind w:firstLineChars="200" w:firstLine="480"/>
        <w:jc w:val="center"/>
        <w:rPr>
          <w:sz w:val="24"/>
        </w:rPr>
      </w:pPr>
      <w:r>
        <w:rPr>
          <w:rFonts w:hAnsi="宋体"/>
          <w:sz w:val="24"/>
        </w:rPr>
        <w:lastRenderedPageBreak/>
        <w:t>表</w:t>
      </w:r>
      <w:r>
        <w:rPr>
          <w:sz w:val="24"/>
        </w:rPr>
        <w:t xml:space="preserve">2.1-4 </w:t>
      </w:r>
      <w:r>
        <w:rPr>
          <w:rFonts w:hAnsi="宋体"/>
          <w:sz w:val="24"/>
        </w:rPr>
        <w:t>填料吸收塔出口废气监测结果表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819"/>
        <w:gridCol w:w="2333"/>
        <w:gridCol w:w="3056"/>
        <w:gridCol w:w="1371"/>
        <w:gridCol w:w="1367"/>
      </w:tblGrid>
      <w:tr w:rsidR="00475650">
        <w:trPr>
          <w:tblHeader/>
          <w:jc w:val="center"/>
        </w:trPr>
        <w:tc>
          <w:tcPr>
            <w:tcW w:w="3152" w:type="dxa"/>
            <w:gridSpan w:val="2"/>
            <w:vAlign w:val="center"/>
          </w:tcPr>
          <w:p w:rsidR="00475650" w:rsidRDefault="00475650">
            <w:pPr>
              <w:adjustRightInd w:val="0"/>
              <w:snapToGrid w:val="0"/>
              <w:jc w:val="center"/>
              <w:rPr>
                <w:bCs/>
                <w:szCs w:val="21"/>
              </w:rPr>
            </w:pPr>
            <w:r>
              <w:rPr>
                <w:rFonts w:hAnsi="宋体"/>
                <w:bCs/>
                <w:szCs w:val="21"/>
              </w:rPr>
              <w:t>监测工程</w:t>
            </w:r>
          </w:p>
        </w:tc>
        <w:tc>
          <w:tcPr>
            <w:tcW w:w="3056" w:type="dxa"/>
            <w:vAlign w:val="center"/>
          </w:tcPr>
          <w:p w:rsidR="00475650" w:rsidRDefault="00475650">
            <w:pPr>
              <w:adjustRightInd w:val="0"/>
              <w:snapToGrid w:val="0"/>
              <w:jc w:val="center"/>
              <w:rPr>
                <w:bCs/>
                <w:szCs w:val="21"/>
              </w:rPr>
            </w:pPr>
            <w:r>
              <w:rPr>
                <w:rFonts w:hAnsi="宋体"/>
                <w:bCs/>
                <w:szCs w:val="21"/>
              </w:rPr>
              <w:t>处理装置出口</w:t>
            </w:r>
          </w:p>
        </w:tc>
        <w:tc>
          <w:tcPr>
            <w:tcW w:w="1371" w:type="dxa"/>
            <w:vAlign w:val="center"/>
          </w:tcPr>
          <w:p w:rsidR="00475650" w:rsidRDefault="00475650">
            <w:pPr>
              <w:snapToGrid w:val="0"/>
              <w:jc w:val="center"/>
              <w:rPr>
                <w:szCs w:val="21"/>
              </w:rPr>
            </w:pPr>
            <w:r>
              <w:rPr>
                <w:rFonts w:hAnsi="宋体"/>
                <w:szCs w:val="21"/>
              </w:rPr>
              <w:t>评价标准</w:t>
            </w:r>
          </w:p>
        </w:tc>
        <w:tc>
          <w:tcPr>
            <w:tcW w:w="1367" w:type="dxa"/>
            <w:vAlign w:val="center"/>
          </w:tcPr>
          <w:p w:rsidR="00475650" w:rsidRDefault="00475650">
            <w:pPr>
              <w:snapToGrid w:val="0"/>
              <w:jc w:val="center"/>
              <w:rPr>
                <w:szCs w:val="21"/>
              </w:rPr>
            </w:pPr>
            <w:r>
              <w:rPr>
                <w:rFonts w:hAnsi="宋体"/>
                <w:szCs w:val="21"/>
              </w:rPr>
              <w:t>是否达标</w:t>
            </w:r>
          </w:p>
        </w:tc>
      </w:tr>
      <w:tr w:rsidR="00475650">
        <w:trPr>
          <w:jc w:val="center"/>
        </w:trPr>
        <w:tc>
          <w:tcPr>
            <w:tcW w:w="819" w:type="dxa"/>
            <w:vMerge w:val="restart"/>
            <w:vAlign w:val="center"/>
          </w:tcPr>
          <w:p w:rsidR="00475650" w:rsidRDefault="00475650" w:rsidP="00BD74CB">
            <w:pPr>
              <w:adjustRightInd w:val="0"/>
              <w:snapToGrid w:val="0"/>
              <w:spacing w:beforeLines="5" w:afterLines="5"/>
              <w:jc w:val="center"/>
              <w:rPr>
                <w:bCs/>
                <w:szCs w:val="21"/>
                <w:lang w:val="zh-CN"/>
              </w:rPr>
            </w:pPr>
            <w:r>
              <w:rPr>
                <w:rFonts w:hAnsi="宋体"/>
                <w:szCs w:val="21"/>
              </w:rPr>
              <w:t>氯化氢</w:t>
            </w:r>
          </w:p>
          <w:p w:rsidR="00475650" w:rsidRDefault="00475650" w:rsidP="00BD74CB">
            <w:pPr>
              <w:adjustRightInd w:val="0"/>
              <w:snapToGrid w:val="0"/>
              <w:spacing w:beforeLines="5" w:afterLines="5"/>
              <w:jc w:val="center"/>
              <w:rPr>
                <w:bCs/>
                <w:szCs w:val="21"/>
                <w:lang w:val="zh-CN"/>
              </w:rPr>
            </w:pPr>
          </w:p>
        </w:tc>
        <w:tc>
          <w:tcPr>
            <w:tcW w:w="2333" w:type="dxa"/>
            <w:vMerge w:val="restart"/>
            <w:vAlign w:val="center"/>
          </w:tcPr>
          <w:p w:rsidR="00475650" w:rsidRDefault="00475650">
            <w:pPr>
              <w:adjustRightInd w:val="0"/>
              <w:snapToGrid w:val="0"/>
              <w:jc w:val="center"/>
              <w:rPr>
                <w:szCs w:val="21"/>
              </w:rPr>
            </w:pPr>
            <w:r>
              <w:rPr>
                <w:rFonts w:hAnsi="宋体"/>
                <w:szCs w:val="21"/>
              </w:rPr>
              <w:t>排放浓度</w:t>
            </w:r>
            <w:r>
              <w:rPr>
                <w:szCs w:val="21"/>
              </w:rPr>
              <w:t>(mg/m</w:t>
            </w:r>
            <w:r>
              <w:rPr>
                <w:szCs w:val="21"/>
                <w:vertAlign w:val="superscript"/>
              </w:rPr>
              <w:t>3</w:t>
            </w:r>
            <w:r>
              <w:rPr>
                <w:szCs w:val="21"/>
              </w:rPr>
              <w:t>)</w:t>
            </w:r>
          </w:p>
        </w:tc>
        <w:tc>
          <w:tcPr>
            <w:tcW w:w="3056" w:type="dxa"/>
            <w:vAlign w:val="center"/>
          </w:tcPr>
          <w:p w:rsidR="00475650" w:rsidRDefault="00475650" w:rsidP="00BD74CB">
            <w:pPr>
              <w:adjustRightInd w:val="0"/>
              <w:snapToGrid w:val="0"/>
              <w:spacing w:beforeLines="5" w:afterLines="5"/>
              <w:ind w:firstLineChars="100" w:firstLine="210"/>
              <w:rPr>
                <w:szCs w:val="21"/>
              </w:rPr>
            </w:pPr>
            <w:r>
              <w:rPr>
                <w:szCs w:val="21"/>
              </w:rPr>
              <w:t>0.34   0.34    0.37</w:t>
            </w:r>
          </w:p>
        </w:tc>
        <w:tc>
          <w:tcPr>
            <w:tcW w:w="1371" w:type="dxa"/>
            <w:vMerge w:val="restart"/>
            <w:vAlign w:val="center"/>
          </w:tcPr>
          <w:p w:rsidR="00475650" w:rsidRDefault="00475650">
            <w:pPr>
              <w:adjustRightInd w:val="0"/>
              <w:snapToGrid w:val="0"/>
              <w:jc w:val="center"/>
              <w:rPr>
                <w:szCs w:val="21"/>
              </w:rPr>
            </w:pPr>
            <w:r>
              <w:rPr>
                <w:szCs w:val="21"/>
              </w:rPr>
              <w:t>100</w:t>
            </w:r>
          </w:p>
        </w:tc>
        <w:tc>
          <w:tcPr>
            <w:tcW w:w="1367" w:type="dxa"/>
            <w:vAlign w:val="center"/>
          </w:tcPr>
          <w:p w:rsidR="00475650" w:rsidRDefault="00475650">
            <w:pPr>
              <w:adjustRightInd w:val="0"/>
              <w:snapToGrid w:val="0"/>
              <w:jc w:val="center"/>
              <w:rPr>
                <w:szCs w:val="21"/>
              </w:rPr>
            </w:pPr>
            <w:r>
              <w:rPr>
                <w:rFonts w:hAnsi="宋体"/>
                <w:szCs w:val="21"/>
              </w:rPr>
              <w:t>达标</w:t>
            </w:r>
          </w:p>
        </w:tc>
      </w:tr>
      <w:tr w:rsidR="00475650">
        <w:trPr>
          <w:jc w:val="center"/>
        </w:trPr>
        <w:tc>
          <w:tcPr>
            <w:tcW w:w="819" w:type="dxa"/>
            <w:vMerge/>
            <w:vAlign w:val="center"/>
          </w:tcPr>
          <w:p w:rsidR="00475650" w:rsidRDefault="00475650">
            <w:pPr>
              <w:adjustRightInd w:val="0"/>
              <w:snapToGrid w:val="0"/>
              <w:jc w:val="center"/>
              <w:rPr>
                <w:szCs w:val="21"/>
              </w:rPr>
            </w:pPr>
          </w:p>
        </w:tc>
        <w:tc>
          <w:tcPr>
            <w:tcW w:w="2333" w:type="dxa"/>
            <w:vMerge/>
            <w:vAlign w:val="center"/>
          </w:tcPr>
          <w:p w:rsidR="00475650" w:rsidRDefault="00475650">
            <w:pPr>
              <w:adjustRightInd w:val="0"/>
              <w:snapToGrid w:val="0"/>
              <w:jc w:val="center"/>
              <w:rPr>
                <w:szCs w:val="21"/>
              </w:rPr>
            </w:pPr>
          </w:p>
        </w:tc>
        <w:tc>
          <w:tcPr>
            <w:tcW w:w="3056" w:type="dxa"/>
            <w:vAlign w:val="center"/>
          </w:tcPr>
          <w:p w:rsidR="00475650" w:rsidRDefault="00475650" w:rsidP="00BD74CB">
            <w:pPr>
              <w:adjustRightInd w:val="0"/>
              <w:snapToGrid w:val="0"/>
              <w:spacing w:beforeLines="5" w:afterLines="5"/>
              <w:rPr>
                <w:szCs w:val="21"/>
              </w:rPr>
            </w:pPr>
            <w:r>
              <w:rPr>
                <w:szCs w:val="21"/>
              </w:rPr>
              <w:t xml:space="preserve">  0.37   0.46    0.37</w:t>
            </w:r>
          </w:p>
        </w:tc>
        <w:tc>
          <w:tcPr>
            <w:tcW w:w="1371" w:type="dxa"/>
            <w:vMerge/>
            <w:vAlign w:val="center"/>
          </w:tcPr>
          <w:p w:rsidR="00475650" w:rsidRDefault="00475650">
            <w:pPr>
              <w:adjustRightInd w:val="0"/>
              <w:snapToGrid w:val="0"/>
              <w:jc w:val="center"/>
              <w:rPr>
                <w:szCs w:val="21"/>
              </w:rPr>
            </w:pPr>
          </w:p>
        </w:tc>
        <w:tc>
          <w:tcPr>
            <w:tcW w:w="1367" w:type="dxa"/>
            <w:vAlign w:val="center"/>
          </w:tcPr>
          <w:p w:rsidR="00475650" w:rsidRDefault="00475650">
            <w:pPr>
              <w:adjustRightInd w:val="0"/>
              <w:snapToGrid w:val="0"/>
              <w:jc w:val="center"/>
              <w:rPr>
                <w:szCs w:val="21"/>
              </w:rPr>
            </w:pPr>
            <w:r>
              <w:rPr>
                <w:rFonts w:hAnsi="宋体"/>
                <w:szCs w:val="21"/>
              </w:rPr>
              <w:t>达标</w:t>
            </w:r>
          </w:p>
        </w:tc>
      </w:tr>
      <w:tr w:rsidR="00475650">
        <w:trPr>
          <w:jc w:val="center"/>
        </w:trPr>
        <w:tc>
          <w:tcPr>
            <w:tcW w:w="819" w:type="dxa"/>
            <w:vMerge/>
            <w:vAlign w:val="center"/>
          </w:tcPr>
          <w:p w:rsidR="00475650" w:rsidRDefault="00475650">
            <w:pPr>
              <w:adjustRightInd w:val="0"/>
              <w:snapToGrid w:val="0"/>
              <w:jc w:val="center"/>
              <w:rPr>
                <w:szCs w:val="21"/>
              </w:rPr>
            </w:pPr>
          </w:p>
        </w:tc>
        <w:tc>
          <w:tcPr>
            <w:tcW w:w="2333" w:type="dxa"/>
            <w:vMerge w:val="restart"/>
            <w:vAlign w:val="center"/>
          </w:tcPr>
          <w:p w:rsidR="00475650" w:rsidRDefault="00475650">
            <w:pPr>
              <w:adjustRightInd w:val="0"/>
              <w:snapToGrid w:val="0"/>
              <w:jc w:val="center"/>
              <w:rPr>
                <w:szCs w:val="21"/>
              </w:rPr>
            </w:pPr>
            <w:r>
              <w:rPr>
                <w:rFonts w:hAnsi="宋体"/>
                <w:szCs w:val="21"/>
              </w:rPr>
              <w:t>排放速率</w:t>
            </w:r>
            <w:r>
              <w:rPr>
                <w:szCs w:val="21"/>
              </w:rPr>
              <w:t>(g/h)</w:t>
            </w:r>
          </w:p>
        </w:tc>
        <w:tc>
          <w:tcPr>
            <w:tcW w:w="3056" w:type="dxa"/>
            <w:vAlign w:val="center"/>
          </w:tcPr>
          <w:p w:rsidR="00475650" w:rsidRDefault="00475650">
            <w:pPr>
              <w:adjustRightInd w:val="0"/>
              <w:snapToGrid w:val="0"/>
              <w:jc w:val="center"/>
              <w:rPr>
                <w:szCs w:val="21"/>
              </w:rPr>
            </w:pPr>
            <w:r>
              <w:rPr>
                <w:szCs w:val="21"/>
              </w:rPr>
              <w:t>0. 0102  0. 0102</w:t>
            </w:r>
          </w:p>
          <w:p w:rsidR="00475650" w:rsidRDefault="00475650">
            <w:pPr>
              <w:adjustRightInd w:val="0"/>
              <w:snapToGrid w:val="0"/>
              <w:jc w:val="center"/>
              <w:rPr>
                <w:szCs w:val="21"/>
              </w:rPr>
            </w:pPr>
            <w:r>
              <w:rPr>
                <w:szCs w:val="21"/>
              </w:rPr>
              <w:t>0. 0111</w:t>
            </w:r>
          </w:p>
        </w:tc>
        <w:tc>
          <w:tcPr>
            <w:tcW w:w="1371" w:type="dxa"/>
            <w:vMerge w:val="restart"/>
            <w:vAlign w:val="center"/>
          </w:tcPr>
          <w:p w:rsidR="00475650" w:rsidRDefault="00475650">
            <w:pPr>
              <w:adjustRightInd w:val="0"/>
              <w:snapToGrid w:val="0"/>
              <w:jc w:val="center"/>
              <w:rPr>
                <w:szCs w:val="21"/>
              </w:rPr>
            </w:pPr>
            <w:r>
              <w:rPr>
                <w:szCs w:val="21"/>
              </w:rPr>
              <w:t>1.4</w:t>
            </w:r>
          </w:p>
        </w:tc>
        <w:tc>
          <w:tcPr>
            <w:tcW w:w="1367" w:type="dxa"/>
            <w:vAlign w:val="center"/>
          </w:tcPr>
          <w:p w:rsidR="00475650" w:rsidRDefault="00475650">
            <w:pPr>
              <w:adjustRightInd w:val="0"/>
              <w:snapToGrid w:val="0"/>
              <w:jc w:val="center"/>
              <w:rPr>
                <w:szCs w:val="21"/>
              </w:rPr>
            </w:pPr>
            <w:r>
              <w:rPr>
                <w:rFonts w:hAnsi="宋体"/>
                <w:szCs w:val="21"/>
              </w:rPr>
              <w:t>达标</w:t>
            </w:r>
          </w:p>
        </w:tc>
      </w:tr>
      <w:tr w:rsidR="00475650">
        <w:trPr>
          <w:jc w:val="center"/>
        </w:trPr>
        <w:tc>
          <w:tcPr>
            <w:tcW w:w="819" w:type="dxa"/>
            <w:vMerge/>
            <w:vAlign w:val="center"/>
          </w:tcPr>
          <w:p w:rsidR="00475650" w:rsidRDefault="00475650">
            <w:pPr>
              <w:adjustRightInd w:val="0"/>
              <w:snapToGrid w:val="0"/>
              <w:jc w:val="center"/>
              <w:rPr>
                <w:szCs w:val="21"/>
              </w:rPr>
            </w:pPr>
          </w:p>
        </w:tc>
        <w:tc>
          <w:tcPr>
            <w:tcW w:w="2333" w:type="dxa"/>
            <w:vMerge/>
            <w:vAlign w:val="center"/>
          </w:tcPr>
          <w:p w:rsidR="00475650" w:rsidRDefault="00475650">
            <w:pPr>
              <w:adjustRightInd w:val="0"/>
              <w:snapToGrid w:val="0"/>
              <w:jc w:val="center"/>
              <w:rPr>
                <w:szCs w:val="21"/>
              </w:rPr>
            </w:pPr>
          </w:p>
        </w:tc>
        <w:tc>
          <w:tcPr>
            <w:tcW w:w="3056" w:type="dxa"/>
            <w:vAlign w:val="center"/>
          </w:tcPr>
          <w:p w:rsidR="00475650" w:rsidRDefault="00475650" w:rsidP="00BD74CB">
            <w:pPr>
              <w:adjustRightInd w:val="0"/>
              <w:snapToGrid w:val="0"/>
              <w:spacing w:beforeLines="5" w:afterLines="5"/>
              <w:jc w:val="center"/>
              <w:rPr>
                <w:szCs w:val="21"/>
              </w:rPr>
            </w:pPr>
            <w:r>
              <w:rPr>
                <w:szCs w:val="21"/>
              </w:rPr>
              <w:t>0. 0111  0. 0138</w:t>
            </w:r>
          </w:p>
          <w:p w:rsidR="00475650" w:rsidRDefault="00475650">
            <w:pPr>
              <w:adjustRightInd w:val="0"/>
              <w:snapToGrid w:val="0"/>
              <w:jc w:val="center"/>
              <w:rPr>
                <w:szCs w:val="21"/>
              </w:rPr>
            </w:pPr>
            <w:r>
              <w:rPr>
                <w:szCs w:val="21"/>
              </w:rPr>
              <w:t>0. 0111</w:t>
            </w:r>
          </w:p>
        </w:tc>
        <w:tc>
          <w:tcPr>
            <w:tcW w:w="1371" w:type="dxa"/>
            <w:vMerge/>
          </w:tcPr>
          <w:p w:rsidR="00475650" w:rsidRDefault="00475650">
            <w:pPr>
              <w:adjustRightInd w:val="0"/>
              <w:snapToGrid w:val="0"/>
              <w:jc w:val="center"/>
              <w:rPr>
                <w:szCs w:val="21"/>
              </w:rPr>
            </w:pPr>
          </w:p>
        </w:tc>
        <w:tc>
          <w:tcPr>
            <w:tcW w:w="1367" w:type="dxa"/>
            <w:vAlign w:val="center"/>
          </w:tcPr>
          <w:p w:rsidR="00475650" w:rsidRDefault="00475650">
            <w:pPr>
              <w:adjustRightInd w:val="0"/>
              <w:snapToGrid w:val="0"/>
              <w:jc w:val="center"/>
              <w:rPr>
                <w:szCs w:val="21"/>
              </w:rPr>
            </w:pPr>
            <w:r>
              <w:rPr>
                <w:rFonts w:hAnsi="宋体"/>
                <w:szCs w:val="21"/>
              </w:rPr>
              <w:t>达标</w:t>
            </w:r>
          </w:p>
        </w:tc>
      </w:tr>
      <w:tr w:rsidR="00475650">
        <w:trPr>
          <w:jc w:val="center"/>
        </w:trPr>
        <w:tc>
          <w:tcPr>
            <w:tcW w:w="819" w:type="dxa"/>
            <w:vMerge w:val="restart"/>
            <w:vAlign w:val="center"/>
          </w:tcPr>
          <w:p w:rsidR="00475650" w:rsidRDefault="00475650" w:rsidP="00BD74CB">
            <w:pPr>
              <w:adjustRightInd w:val="0"/>
              <w:snapToGrid w:val="0"/>
              <w:spacing w:beforeLines="5" w:afterLines="5"/>
              <w:jc w:val="center"/>
              <w:rPr>
                <w:bCs/>
                <w:szCs w:val="21"/>
                <w:lang w:val="zh-CN"/>
              </w:rPr>
            </w:pPr>
            <w:r>
              <w:rPr>
                <w:szCs w:val="21"/>
              </w:rPr>
              <w:t xml:space="preserve">                              </w:t>
            </w:r>
            <w:r>
              <w:rPr>
                <w:rFonts w:hAnsi="宋体"/>
                <w:szCs w:val="21"/>
              </w:rPr>
              <w:t>氯</w:t>
            </w:r>
          </w:p>
        </w:tc>
        <w:tc>
          <w:tcPr>
            <w:tcW w:w="2333" w:type="dxa"/>
            <w:vMerge w:val="restart"/>
            <w:vAlign w:val="center"/>
          </w:tcPr>
          <w:p w:rsidR="00475650" w:rsidRDefault="00475650">
            <w:pPr>
              <w:adjustRightInd w:val="0"/>
              <w:snapToGrid w:val="0"/>
              <w:jc w:val="center"/>
              <w:rPr>
                <w:szCs w:val="21"/>
              </w:rPr>
            </w:pPr>
            <w:r>
              <w:rPr>
                <w:rFonts w:hAnsi="宋体"/>
                <w:szCs w:val="21"/>
              </w:rPr>
              <w:t>排放浓度</w:t>
            </w:r>
            <w:r>
              <w:rPr>
                <w:szCs w:val="21"/>
              </w:rPr>
              <w:t>(mg/m</w:t>
            </w:r>
            <w:r>
              <w:rPr>
                <w:szCs w:val="21"/>
                <w:vertAlign w:val="superscript"/>
              </w:rPr>
              <w:t>3</w:t>
            </w:r>
            <w:r>
              <w:rPr>
                <w:szCs w:val="21"/>
              </w:rPr>
              <w:t>)</w:t>
            </w:r>
          </w:p>
        </w:tc>
        <w:tc>
          <w:tcPr>
            <w:tcW w:w="3056" w:type="dxa"/>
            <w:vAlign w:val="center"/>
          </w:tcPr>
          <w:p w:rsidR="00475650" w:rsidRDefault="00475650" w:rsidP="00BD74CB">
            <w:pPr>
              <w:adjustRightInd w:val="0"/>
              <w:snapToGrid w:val="0"/>
              <w:spacing w:beforeLines="5" w:afterLines="5"/>
              <w:jc w:val="center"/>
              <w:rPr>
                <w:szCs w:val="21"/>
              </w:rPr>
            </w:pPr>
            <w:r>
              <w:rPr>
                <w:szCs w:val="21"/>
              </w:rPr>
              <w:t>2.03    1.90    2.26</w:t>
            </w:r>
          </w:p>
        </w:tc>
        <w:tc>
          <w:tcPr>
            <w:tcW w:w="1371" w:type="dxa"/>
            <w:vMerge w:val="restart"/>
            <w:vAlign w:val="center"/>
          </w:tcPr>
          <w:p w:rsidR="00475650" w:rsidRDefault="00475650">
            <w:pPr>
              <w:adjustRightInd w:val="0"/>
              <w:snapToGrid w:val="0"/>
              <w:jc w:val="center"/>
              <w:rPr>
                <w:szCs w:val="21"/>
              </w:rPr>
            </w:pPr>
            <w:r>
              <w:rPr>
                <w:szCs w:val="21"/>
              </w:rPr>
              <w:t>65</w:t>
            </w:r>
          </w:p>
        </w:tc>
        <w:tc>
          <w:tcPr>
            <w:tcW w:w="1367" w:type="dxa"/>
            <w:vAlign w:val="center"/>
          </w:tcPr>
          <w:p w:rsidR="00475650" w:rsidRDefault="00475650">
            <w:pPr>
              <w:adjustRightInd w:val="0"/>
              <w:snapToGrid w:val="0"/>
              <w:jc w:val="center"/>
              <w:rPr>
                <w:szCs w:val="21"/>
              </w:rPr>
            </w:pPr>
            <w:r>
              <w:rPr>
                <w:rFonts w:hAnsi="宋体"/>
                <w:szCs w:val="21"/>
              </w:rPr>
              <w:t>达标</w:t>
            </w:r>
          </w:p>
        </w:tc>
      </w:tr>
      <w:tr w:rsidR="00475650">
        <w:trPr>
          <w:jc w:val="center"/>
        </w:trPr>
        <w:tc>
          <w:tcPr>
            <w:tcW w:w="819" w:type="dxa"/>
            <w:vMerge/>
            <w:vAlign w:val="center"/>
          </w:tcPr>
          <w:p w:rsidR="00475650" w:rsidRDefault="00475650">
            <w:pPr>
              <w:adjustRightInd w:val="0"/>
              <w:snapToGrid w:val="0"/>
              <w:jc w:val="center"/>
              <w:rPr>
                <w:szCs w:val="21"/>
              </w:rPr>
            </w:pPr>
          </w:p>
        </w:tc>
        <w:tc>
          <w:tcPr>
            <w:tcW w:w="2333" w:type="dxa"/>
            <w:vMerge/>
            <w:vAlign w:val="center"/>
          </w:tcPr>
          <w:p w:rsidR="00475650" w:rsidRDefault="00475650">
            <w:pPr>
              <w:adjustRightInd w:val="0"/>
              <w:snapToGrid w:val="0"/>
              <w:jc w:val="center"/>
              <w:rPr>
                <w:szCs w:val="21"/>
              </w:rPr>
            </w:pPr>
          </w:p>
        </w:tc>
        <w:tc>
          <w:tcPr>
            <w:tcW w:w="3056" w:type="dxa"/>
            <w:vAlign w:val="center"/>
          </w:tcPr>
          <w:p w:rsidR="00475650" w:rsidRDefault="00475650" w:rsidP="00BD74CB">
            <w:pPr>
              <w:adjustRightInd w:val="0"/>
              <w:snapToGrid w:val="0"/>
              <w:spacing w:beforeLines="5" w:afterLines="5"/>
              <w:jc w:val="center"/>
              <w:rPr>
                <w:szCs w:val="21"/>
              </w:rPr>
            </w:pPr>
            <w:r>
              <w:rPr>
                <w:szCs w:val="21"/>
              </w:rPr>
              <w:t>2.08    1.78    1.95</w:t>
            </w:r>
          </w:p>
        </w:tc>
        <w:tc>
          <w:tcPr>
            <w:tcW w:w="1371" w:type="dxa"/>
            <w:vMerge/>
            <w:vAlign w:val="center"/>
          </w:tcPr>
          <w:p w:rsidR="00475650" w:rsidRDefault="00475650">
            <w:pPr>
              <w:adjustRightInd w:val="0"/>
              <w:snapToGrid w:val="0"/>
              <w:jc w:val="center"/>
              <w:rPr>
                <w:szCs w:val="21"/>
              </w:rPr>
            </w:pPr>
          </w:p>
        </w:tc>
        <w:tc>
          <w:tcPr>
            <w:tcW w:w="1367" w:type="dxa"/>
            <w:vAlign w:val="center"/>
          </w:tcPr>
          <w:p w:rsidR="00475650" w:rsidRDefault="00475650">
            <w:pPr>
              <w:adjustRightInd w:val="0"/>
              <w:snapToGrid w:val="0"/>
              <w:jc w:val="center"/>
              <w:rPr>
                <w:szCs w:val="21"/>
              </w:rPr>
            </w:pPr>
            <w:r>
              <w:rPr>
                <w:rFonts w:hAnsi="宋体"/>
                <w:szCs w:val="21"/>
              </w:rPr>
              <w:t>达标</w:t>
            </w:r>
          </w:p>
        </w:tc>
      </w:tr>
      <w:tr w:rsidR="00475650">
        <w:trPr>
          <w:jc w:val="center"/>
        </w:trPr>
        <w:tc>
          <w:tcPr>
            <w:tcW w:w="819" w:type="dxa"/>
            <w:vMerge/>
            <w:vAlign w:val="center"/>
          </w:tcPr>
          <w:p w:rsidR="00475650" w:rsidRDefault="00475650">
            <w:pPr>
              <w:adjustRightInd w:val="0"/>
              <w:snapToGrid w:val="0"/>
              <w:jc w:val="center"/>
              <w:rPr>
                <w:szCs w:val="21"/>
              </w:rPr>
            </w:pPr>
          </w:p>
        </w:tc>
        <w:tc>
          <w:tcPr>
            <w:tcW w:w="2333" w:type="dxa"/>
            <w:vMerge w:val="restart"/>
            <w:vAlign w:val="center"/>
          </w:tcPr>
          <w:p w:rsidR="00475650" w:rsidRDefault="00475650">
            <w:pPr>
              <w:adjustRightInd w:val="0"/>
              <w:snapToGrid w:val="0"/>
              <w:jc w:val="center"/>
              <w:rPr>
                <w:szCs w:val="21"/>
              </w:rPr>
            </w:pPr>
            <w:r>
              <w:rPr>
                <w:rFonts w:hAnsi="宋体"/>
                <w:szCs w:val="21"/>
              </w:rPr>
              <w:t>排放速率</w:t>
            </w:r>
            <w:r>
              <w:rPr>
                <w:szCs w:val="21"/>
              </w:rPr>
              <w:t>(g/h)</w:t>
            </w:r>
          </w:p>
        </w:tc>
        <w:tc>
          <w:tcPr>
            <w:tcW w:w="3056" w:type="dxa"/>
            <w:vAlign w:val="center"/>
          </w:tcPr>
          <w:p w:rsidR="00475650" w:rsidRDefault="00475650">
            <w:pPr>
              <w:adjustRightInd w:val="0"/>
              <w:snapToGrid w:val="0"/>
              <w:rPr>
                <w:szCs w:val="21"/>
              </w:rPr>
            </w:pPr>
            <w:r>
              <w:rPr>
                <w:szCs w:val="21"/>
              </w:rPr>
              <w:t>0. 0609   0. 057    0. 0678</w:t>
            </w:r>
          </w:p>
        </w:tc>
        <w:tc>
          <w:tcPr>
            <w:tcW w:w="1371" w:type="dxa"/>
            <w:vMerge w:val="restart"/>
            <w:vAlign w:val="center"/>
          </w:tcPr>
          <w:p w:rsidR="00475650" w:rsidRDefault="00475650">
            <w:pPr>
              <w:adjustRightInd w:val="0"/>
              <w:snapToGrid w:val="0"/>
              <w:jc w:val="center"/>
              <w:rPr>
                <w:szCs w:val="21"/>
              </w:rPr>
            </w:pPr>
            <w:r>
              <w:rPr>
                <w:szCs w:val="21"/>
              </w:rPr>
              <w:t>0.87</w:t>
            </w:r>
          </w:p>
        </w:tc>
        <w:tc>
          <w:tcPr>
            <w:tcW w:w="1367" w:type="dxa"/>
            <w:vAlign w:val="center"/>
          </w:tcPr>
          <w:p w:rsidR="00475650" w:rsidRDefault="00475650">
            <w:pPr>
              <w:adjustRightInd w:val="0"/>
              <w:snapToGrid w:val="0"/>
              <w:jc w:val="center"/>
              <w:rPr>
                <w:szCs w:val="21"/>
              </w:rPr>
            </w:pPr>
            <w:r>
              <w:rPr>
                <w:rFonts w:hAnsi="宋体"/>
                <w:szCs w:val="21"/>
              </w:rPr>
              <w:t>达标</w:t>
            </w:r>
          </w:p>
        </w:tc>
      </w:tr>
      <w:tr w:rsidR="00475650">
        <w:trPr>
          <w:jc w:val="center"/>
        </w:trPr>
        <w:tc>
          <w:tcPr>
            <w:tcW w:w="819" w:type="dxa"/>
            <w:vMerge/>
            <w:vAlign w:val="center"/>
          </w:tcPr>
          <w:p w:rsidR="00475650" w:rsidRDefault="00475650">
            <w:pPr>
              <w:adjustRightInd w:val="0"/>
              <w:snapToGrid w:val="0"/>
              <w:jc w:val="center"/>
              <w:rPr>
                <w:szCs w:val="21"/>
              </w:rPr>
            </w:pPr>
          </w:p>
        </w:tc>
        <w:tc>
          <w:tcPr>
            <w:tcW w:w="2333" w:type="dxa"/>
            <w:vMerge/>
            <w:vAlign w:val="center"/>
          </w:tcPr>
          <w:p w:rsidR="00475650" w:rsidRDefault="00475650">
            <w:pPr>
              <w:adjustRightInd w:val="0"/>
              <w:snapToGrid w:val="0"/>
              <w:jc w:val="center"/>
              <w:rPr>
                <w:szCs w:val="21"/>
              </w:rPr>
            </w:pPr>
          </w:p>
        </w:tc>
        <w:tc>
          <w:tcPr>
            <w:tcW w:w="3056" w:type="dxa"/>
            <w:vAlign w:val="center"/>
          </w:tcPr>
          <w:p w:rsidR="00475650" w:rsidRDefault="00475650">
            <w:pPr>
              <w:adjustRightInd w:val="0"/>
              <w:snapToGrid w:val="0"/>
              <w:rPr>
                <w:szCs w:val="21"/>
              </w:rPr>
            </w:pPr>
            <w:r>
              <w:rPr>
                <w:szCs w:val="21"/>
              </w:rPr>
              <w:t xml:space="preserve">0. 0624   0. 0534   0. 0585  </w:t>
            </w:r>
          </w:p>
        </w:tc>
        <w:tc>
          <w:tcPr>
            <w:tcW w:w="1371" w:type="dxa"/>
            <w:vMerge/>
          </w:tcPr>
          <w:p w:rsidR="00475650" w:rsidRDefault="00475650">
            <w:pPr>
              <w:adjustRightInd w:val="0"/>
              <w:snapToGrid w:val="0"/>
              <w:jc w:val="center"/>
              <w:rPr>
                <w:szCs w:val="21"/>
              </w:rPr>
            </w:pPr>
          </w:p>
        </w:tc>
        <w:tc>
          <w:tcPr>
            <w:tcW w:w="1367" w:type="dxa"/>
            <w:vAlign w:val="center"/>
          </w:tcPr>
          <w:p w:rsidR="00475650" w:rsidRDefault="00475650">
            <w:pPr>
              <w:adjustRightInd w:val="0"/>
              <w:snapToGrid w:val="0"/>
              <w:jc w:val="center"/>
              <w:rPr>
                <w:szCs w:val="21"/>
              </w:rPr>
            </w:pPr>
            <w:r>
              <w:rPr>
                <w:rFonts w:hAnsi="宋体"/>
                <w:szCs w:val="21"/>
              </w:rPr>
              <w:t>达标</w:t>
            </w:r>
          </w:p>
        </w:tc>
      </w:tr>
      <w:tr w:rsidR="00475650">
        <w:trPr>
          <w:jc w:val="center"/>
        </w:trPr>
        <w:tc>
          <w:tcPr>
            <w:tcW w:w="819" w:type="dxa"/>
            <w:vMerge w:val="restart"/>
            <w:vAlign w:val="center"/>
          </w:tcPr>
          <w:p w:rsidR="00475650" w:rsidRDefault="00475650" w:rsidP="00BD74CB">
            <w:pPr>
              <w:adjustRightInd w:val="0"/>
              <w:snapToGrid w:val="0"/>
              <w:spacing w:beforeLines="5" w:afterLines="5"/>
              <w:jc w:val="center"/>
              <w:rPr>
                <w:bCs/>
                <w:szCs w:val="21"/>
                <w:lang w:val="zh-CN"/>
              </w:rPr>
            </w:pPr>
            <w:r>
              <w:rPr>
                <w:rFonts w:hAnsi="宋体"/>
                <w:szCs w:val="21"/>
              </w:rPr>
              <w:t>非甲烷总烃</w:t>
            </w:r>
          </w:p>
        </w:tc>
        <w:tc>
          <w:tcPr>
            <w:tcW w:w="2333" w:type="dxa"/>
            <w:vMerge w:val="restart"/>
            <w:vAlign w:val="center"/>
          </w:tcPr>
          <w:p w:rsidR="00475650" w:rsidRDefault="00475650">
            <w:pPr>
              <w:adjustRightInd w:val="0"/>
              <w:snapToGrid w:val="0"/>
              <w:jc w:val="center"/>
              <w:rPr>
                <w:szCs w:val="21"/>
              </w:rPr>
            </w:pPr>
            <w:r>
              <w:rPr>
                <w:rFonts w:hAnsi="宋体"/>
                <w:szCs w:val="21"/>
              </w:rPr>
              <w:t>排放浓度</w:t>
            </w:r>
            <w:r>
              <w:rPr>
                <w:szCs w:val="21"/>
              </w:rPr>
              <w:t>(mg/m</w:t>
            </w:r>
            <w:r>
              <w:rPr>
                <w:szCs w:val="21"/>
                <w:vertAlign w:val="superscript"/>
              </w:rPr>
              <w:t>3</w:t>
            </w:r>
            <w:r>
              <w:rPr>
                <w:szCs w:val="21"/>
              </w:rPr>
              <w:t>)</w:t>
            </w:r>
          </w:p>
        </w:tc>
        <w:tc>
          <w:tcPr>
            <w:tcW w:w="3056" w:type="dxa"/>
            <w:vAlign w:val="center"/>
          </w:tcPr>
          <w:p w:rsidR="00475650" w:rsidRDefault="00475650" w:rsidP="00BD74CB">
            <w:pPr>
              <w:adjustRightInd w:val="0"/>
              <w:snapToGrid w:val="0"/>
              <w:spacing w:beforeLines="5" w:afterLines="5"/>
              <w:jc w:val="center"/>
              <w:rPr>
                <w:szCs w:val="21"/>
              </w:rPr>
            </w:pPr>
            <w:r>
              <w:rPr>
                <w:szCs w:val="21"/>
              </w:rPr>
              <w:t>4.58    0.87    3.16</w:t>
            </w:r>
          </w:p>
        </w:tc>
        <w:tc>
          <w:tcPr>
            <w:tcW w:w="1371" w:type="dxa"/>
            <w:vMerge w:val="restart"/>
            <w:vAlign w:val="center"/>
          </w:tcPr>
          <w:p w:rsidR="00475650" w:rsidRDefault="00475650">
            <w:pPr>
              <w:adjustRightInd w:val="0"/>
              <w:snapToGrid w:val="0"/>
              <w:jc w:val="center"/>
              <w:rPr>
                <w:szCs w:val="21"/>
              </w:rPr>
            </w:pPr>
            <w:r>
              <w:rPr>
                <w:szCs w:val="21"/>
              </w:rPr>
              <w:t>120</w:t>
            </w:r>
          </w:p>
        </w:tc>
        <w:tc>
          <w:tcPr>
            <w:tcW w:w="1367" w:type="dxa"/>
            <w:vAlign w:val="center"/>
          </w:tcPr>
          <w:p w:rsidR="00475650" w:rsidRDefault="00475650">
            <w:pPr>
              <w:adjustRightInd w:val="0"/>
              <w:snapToGrid w:val="0"/>
              <w:jc w:val="center"/>
              <w:rPr>
                <w:szCs w:val="21"/>
              </w:rPr>
            </w:pPr>
            <w:r>
              <w:rPr>
                <w:rFonts w:hAnsi="宋体"/>
                <w:szCs w:val="21"/>
              </w:rPr>
              <w:t>达标</w:t>
            </w:r>
          </w:p>
        </w:tc>
      </w:tr>
      <w:tr w:rsidR="00475650">
        <w:trPr>
          <w:jc w:val="center"/>
        </w:trPr>
        <w:tc>
          <w:tcPr>
            <w:tcW w:w="819" w:type="dxa"/>
            <w:vMerge/>
            <w:vAlign w:val="center"/>
          </w:tcPr>
          <w:p w:rsidR="00475650" w:rsidRDefault="00475650">
            <w:pPr>
              <w:adjustRightInd w:val="0"/>
              <w:snapToGrid w:val="0"/>
              <w:jc w:val="center"/>
              <w:rPr>
                <w:szCs w:val="21"/>
              </w:rPr>
            </w:pPr>
          </w:p>
        </w:tc>
        <w:tc>
          <w:tcPr>
            <w:tcW w:w="2333" w:type="dxa"/>
            <w:vMerge/>
            <w:vAlign w:val="center"/>
          </w:tcPr>
          <w:p w:rsidR="00475650" w:rsidRDefault="00475650">
            <w:pPr>
              <w:adjustRightInd w:val="0"/>
              <w:snapToGrid w:val="0"/>
              <w:jc w:val="center"/>
              <w:rPr>
                <w:szCs w:val="21"/>
              </w:rPr>
            </w:pPr>
          </w:p>
        </w:tc>
        <w:tc>
          <w:tcPr>
            <w:tcW w:w="3056" w:type="dxa"/>
            <w:vAlign w:val="center"/>
          </w:tcPr>
          <w:p w:rsidR="00475650" w:rsidRDefault="00475650" w:rsidP="00BD74CB">
            <w:pPr>
              <w:adjustRightInd w:val="0"/>
              <w:snapToGrid w:val="0"/>
              <w:spacing w:beforeLines="5" w:afterLines="5"/>
              <w:ind w:firstLineChars="100" w:firstLine="210"/>
              <w:rPr>
                <w:szCs w:val="21"/>
              </w:rPr>
            </w:pPr>
            <w:r>
              <w:rPr>
                <w:szCs w:val="21"/>
              </w:rPr>
              <w:t>5.71    6.15    7.98</w:t>
            </w:r>
          </w:p>
        </w:tc>
        <w:tc>
          <w:tcPr>
            <w:tcW w:w="1371" w:type="dxa"/>
            <w:vMerge/>
            <w:vAlign w:val="center"/>
          </w:tcPr>
          <w:p w:rsidR="00475650" w:rsidRDefault="00475650">
            <w:pPr>
              <w:adjustRightInd w:val="0"/>
              <w:snapToGrid w:val="0"/>
              <w:jc w:val="center"/>
              <w:rPr>
                <w:szCs w:val="21"/>
              </w:rPr>
            </w:pPr>
          </w:p>
        </w:tc>
        <w:tc>
          <w:tcPr>
            <w:tcW w:w="1367" w:type="dxa"/>
            <w:vAlign w:val="center"/>
          </w:tcPr>
          <w:p w:rsidR="00475650" w:rsidRDefault="00475650">
            <w:pPr>
              <w:adjustRightInd w:val="0"/>
              <w:snapToGrid w:val="0"/>
              <w:jc w:val="center"/>
              <w:rPr>
                <w:szCs w:val="21"/>
              </w:rPr>
            </w:pPr>
            <w:r>
              <w:rPr>
                <w:rFonts w:hAnsi="宋体"/>
                <w:szCs w:val="21"/>
              </w:rPr>
              <w:t>达标</w:t>
            </w:r>
          </w:p>
        </w:tc>
      </w:tr>
      <w:tr w:rsidR="00475650">
        <w:trPr>
          <w:jc w:val="center"/>
        </w:trPr>
        <w:tc>
          <w:tcPr>
            <w:tcW w:w="819" w:type="dxa"/>
            <w:vMerge/>
            <w:vAlign w:val="center"/>
          </w:tcPr>
          <w:p w:rsidR="00475650" w:rsidRDefault="00475650">
            <w:pPr>
              <w:adjustRightInd w:val="0"/>
              <w:snapToGrid w:val="0"/>
              <w:jc w:val="center"/>
              <w:rPr>
                <w:szCs w:val="21"/>
              </w:rPr>
            </w:pPr>
          </w:p>
        </w:tc>
        <w:tc>
          <w:tcPr>
            <w:tcW w:w="2333" w:type="dxa"/>
            <w:vMerge w:val="restart"/>
            <w:vAlign w:val="center"/>
          </w:tcPr>
          <w:p w:rsidR="00475650" w:rsidRDefault="00475650">
            <w:pPr>
              <w:adjustRightInd w:val="0"/>
              <w:snapToGrid w:val="0"/>
              <w:jc w:val="center"/>
              <w:rPr>
                <w:szCs w:val="21"/>
              </w:rPr>
            </w:pPr>
            <w:r>
              <w:rPr>
                <w:rFonts w:hAnsi="宋体"/>
                <w:szCs w:val="21"/>
              </w:rPr>
              <w:t>排放速率</w:t>
            </w:r>
            <w:r>
              <w:rPr>
                <w:szCs w:val="21"/>
              </w:rPr>
              <w:t>( g/h)</w:t>
            </w:r>
          </w:p>
        </w:tc>
        <w:tc>
          <w:tcPr>
            <w:tcW w:w="3056" w:type="dxa"/>
            <w:vAlign w:val="center"/>
          </w:tcPr>
          <w:p w:rsidR="00475650" w:rsidRDefault="00475650">
            <w:pPr>
              <w:adjustRightInd w:val="0"/>
              <w:snapToGrid w:val="0"/>
              <w:rPr>
                <w:szCs w:val="21"/>
              </w:rPr>
            </w:pPr>
            <w:r>
              <w:rPr>
                <w:szCs w:val="21"/>
              </w:rPr>
              <w:t>0. 1374   0. 0261   0. 1083</w:t>
            </w:r>
          </w:p>
        </w:tc>
        <w:tc>
          <w:tcPr>
            <w:tcW w:w="1371" w:type="dxa"/>
            <w:vMerge w:val="restart"/>
            <w:vAlign w:val="center"/>
          </w:tcPr>
          <w:p w:rsidR="00475650" w:rsidRDefault="00475650">
            <w:pPr>
              <w:adjustRightInd w:val="0"/>
              <w:snapToGrid w:val="0"/>
              <w:jc w:val="center"/>
              <w:rPr>
                <w:szCs w:val="21"/>
              </w:rPr>
            </w:pPr>
            <w:r>
              <w:rPr>
                <w:szCs w:val="21"/>
              </w:rPr>
              <w:t>53</w:t>
            </w:r>
          </w:p>
        </w:tc>
        <w:tc>
          <w:tcPr>
            <w:tcW w:w="1367" w:type="dxa"/>
            <w:vAlign w:val="center"/>
          </w:tcPr>
          <w:p w:rsidR="00475650" w:rsidRDefault="00475650">
            <w:pPr>
              <w:adjustRightInd w:val="0"/>
              <w:snapToGrid w:val="0"/>
              <w:jc w:val="center"/>
              <w:rPr>
                <w:szCs w:val="21"/>
              </w:rPr>
            </w:pPr>
            <w:r>
              <w:rPr>
                <w:rFonts w:hAnsi="宋体"/>
                <w:szCs w:val="21"/>
              </w:rPr>
              <w:t>达标</w:t>
            </w:r>
          </w:p>
        </w:tc>
      </w:tr>
      <w:tr w:rsidR="00475650">
        <w:trPr>
          <w:jc w:val="center"/>
        </w:trPr>
        <w:tc>
          <w:tcPr>
            <w:tcW w:w="819" w:type="dxa"/>
            <w:vMerge/>
            <w:vAlign w:val="center"/>
          </w:tcPr>
          <w:p w:rsidR="00475650" w:rsidRDefault="00475650">
            <w:pPr>
              <w:adjustRightInd w:val="0"/>
              <w:snapToGrid w:val="0"/>
              <w:jc w:val="center"/>
              <w:rPr>
                <w:szCs w:val="21"/>
              </w:rPr>
            </w:pPr>
          </w:p>
        </w:tc>
        <w:tc>
          <w:tcPr>
            <w:tcW w:w="2333" w:type="dxa"/>
            <w:vMerge/>
            <w:vAlign w:val="center"/>
          </w:tcPr>
          <w:p w:rsidR="00475650" w:rsidRDefault="00475650">
            <w:pPr>
              <w:adjustRightInd w:val="0"/>
              <w:snapToGrid w:val="0"/>
              <w:jc w:val="center"/>
              <w:rPr>
                <w:szCs w:val="21"/>
              </w:rPr>
            </w:pPr>
          </w:p>
        </w:tc>
        <w:tc>
          <w:tcPr>
            <w:tcW w:w="3056" w:type="dxa"/>
            <w:vAlign w:val="center"/>
          </w:tcPr>
          <w:p w:rsidR="00475650" w:rsidRDefault="00475650">
            <w:pPr>
              <w:adjustRightInd w:val="0"/>
              <w:snapToGrid w:val="0"/>
              <w:rPr>
                <w:szCs w:val="21"/>
              </w:rPr>
            </w:pPr>
            <w:r>
              <w:rPr>
                <w:szCs w:val="21"/>
              </w:rPr>
              <w:t>0. 1713   0. 1845   0. 2394</w:t>
            </w:r>
          </w:p>
        </w:tc>
        <w:tc>
          <w:tcPr>
            <w:tcW w:w="1371" w:type="dxa"/>
            <w:vMerge/>
          </w:tcPr>
          <w:p w:rsidR="00475650" w:rsidRDefault="00475650">
            <w:pPr>
              <w:adjustRightInd w:val="0"/>
              <w:snapToGrid w:val="0"/>
              <w:jc w:val="center"/>
              <w:rPr>
                <w:szCs w:val="21"/>
              </w:rPr>
            </w:pPr>
          </w:p>
        </w:tc>
        <w:tc>
          <w:tcPr>
            <w:tcW w:w="1367" w:type="dxa"/>
            <w:vAlign w:val="center"/>
          </w:tcPr>
          <w:p w:rsidR="00475650" w:rsidRDefault="00475650">
            <w:pPr>
              <w:adjustRightInd w:val="0"/>
              <w:snapToGrid w:val="0"/>
              <w:jc w:val="center"/>
              <w:rPr>
                <w:szCs w:val="21"/>
              </w:rPr>
            </w:pPr>
            <w:r>
              <w:rPr>
                <w:rFonts w:hAnsi="宋体"/>
                <w:szCs w:val="21"/>
              </w:rPr>
              <w:t>达标</w:t>
            </w:r>
          </w:p>
        </w:tc>
      </w:tr>
    </w:tbl>
    <w:p w:rsidR="00475650" w:rsidRDefault="00475650">
      <w:pPr>
        <w:tabs>
          <w:tab w:val="left" w:pos="6858"/>
        </w:tabs>
        <w:snapToGrid w:val="0"/>
        <w:spacing w:line="360" w:lineRule="auto"/>
        <w:ind w:firstLineChars="200" w:firstLine="480"/>
        <w:jc w:val="center"/>
        <w:rPr>
          <w:sz w:val="24"/>
        </w:rPr>
      </w:pPr>
    </w:p>
    <w:p w:rsidR="00475650" w:rsidRDefault="00475650">
      <w:pPr>
        <w:tabs>
          <w:tab w:val="left" w:pos="6858"/>
        </w:tabs>
        <w:snapToGrid w:val="0"/>
        <w:spacing w:line="360" w:lineRule="auto"/>
        <w:ind w:firstLineChars="200" w:firstLine="480"/>
        <w:jc w:val="center"/>
        <w:rPr>
          <w:sz w:val="24"/>
        </w:rPr>
      </w:pPr>
      <w:r>
        <w:rPr>
          <w:sz w:val="24"/>
        </w:rPr>
        <w:t xml:space="preserve">  </w:t>
      </w:r>
      <w:r>
        <w:rPr>
          <w:rFonts w:hAnsi="宋体"/>
          <w:sz w:val="24"/>
        </w:rPr>
        <w:t>表</w:t>
      </w:r>
      <w:r>
        <w:rPr>
          <w:sz w:val="24"/>
        </w:rPr>
        <w:t xml:space="preserve">2.1-5   </w:t>
      </w:r>
      <w:r>
        <w:rPr>
          <w:rFonts w:hAnsi="宋体"/>
          <w:sz w:val="24"/>
        </w:rPr>
        <w:t>无组织废气监测结果表</w:t>
      </w:r>
      <w:r>
        <w:rPr>
          <w:sz w:val="24"/>
        </w:rPr>
        <w:t xml:space="preserve">       </w:t>
      </w:r>
      <w:r>
        <w:rPr>
          <w:rFonts w:hAnsi="宋体"/>
          <w:sz w:val="24"/>
        </w:rPr>
        <w:t>单位：</w:t>
      </w:r>
      <w:r>
        <w:rPr>
          <w:sz w:val="24"/>
        </w:rPr>
        <w:t>mg/m</w:t>
      </w:r>
      <w:r>
        <w:rPr>
          <w:sz w:val="24"/>
          <w:vertAlign w:val="superscript"/>
        </w:rPr>
        <w:t>3</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677"/>
        <w:gridCol w:w="930"/>
        <w:gridCol w:w="1029"/>
        <w:gridCol w:w="2451"/>
        <w:gridCol w:w="1115"/>
        <w:gridCol w:w="1574"/>
        <w:gridCol w:w="1170"/>
      </w:tblGrid>
      <w:tr w:rsidR="00475650">
        <w:trPr>
          <w:tblHeader/>
          <w:jc w:val="center"/>
        </w:trPr>
        <w:tc>
          <w:tcPr>
            <w:tcW w:w="677" w:type="dxa"/>
            <w:vMerge w:val="restart"/>
            <w:vAlign w:val="center"/>
          </w:tcPr>
          <w:p w:rsidR="00475650" w:rsidRDefault="00475650" w:rsidP="00BD74CB">
            <w:pPr>
              <w:tabs>
                <w:tab w:val="left" w:pos="720"/>
              </w:tabs>
              <w:adjustRightInd w:val="0"/>
              <w:spacing w:beforeLines="10"/>
              <w:jc w:val="center"/>
              <w:rPr>
                <w:bCs/>
                <w:szCs w:val="21"/>
              </w:rPr>
            </w:pPr>
            <w:r>
              <w:rPr>
                <w:rFonts w:hAnsi="宋体"/>
                <w:bCs/>
                <w:szCs w:val="21"/>
              </w:rPr>
              <w:t>监测因子</w:t>
            </w:r>
          </w:p>
        </w:tc>
        <w:tc>
          <w:tcPr>
            <w:tcW w:w="930" w:type="dxa"/>
            <w:vMerge w:val="restart"/>
            <w:vAlign w:val="center"/>
          </w:tcPr>
          <w:p w:rsidR="00475650" w:rsidRDefault="00475650" w:rsidP="00BD74CB">
            <w:pPr>
              <w:tabs>
                <w:tab w:val="left" w:pos="720"/>
              </w:tabs>
              <w:adjustRightInd w:val="0"/>
              <w:spacing w:beforeLines="10"/>
              <w:jc w:val="center"/>
              <w:rPr>
                <w:bCs/>
                <w:szCs w:val="21"/>
              </w:rPr>
            </w:pPr>
            <w:r>
              <w:rPr>
                <w:rFonts w:hAnsi="宋体"/>
                <w:bCs/>
                <w:szCs w:val="21"/>
              </w:rPr>
              <w:t>监测点位</w:t>
            </w:r>
          </w:p>
        </w:tc>
        <w:tc>
          <w:tcPr>
            <w:tcW w:w="1029" w:type="dxa"/>
            <w:vMerge w:val="restart"/>
            <w:vAlign w:val="center"/>
          </w:tcPr>
          <w:p w:rsidR="00475650" w:rsidRDefault="00475650" w:rsidP="00BD74CB">
            <w:pPr>
              <w:tabs>
                <w:tab w:val="left" w:pos="720"/>
              </w:tabs>
              <w:adjustRightInd w:val="0"/>
              <w:spacing w:beforeLines="10"/>
              <w:jc w:val="center"/>
              <w:rPr>
                <w:bCs/>
                <w:szCs w:val="21"/>
              </w:rPr>
            </w:pPr>
            <w:r>
              <w:rPr>
                <w:rFonts w:hAnsi="宋体"/>
                <w:bCs/>
                <w:szCs w:val="21"/>
              </w:rPr>
              <w:t>监测</w:t>
            </w:r>
          </w:p>
          <w:p w:rsidR="00475650" w:rsidRDefault="00475650" w:rsidP="00BD74CB">
            <w:pPr>
              <w:tabs>
                <w:tab w:val="left" w:pos="720"/>
              </w:tabs>
              <w:adjustRightInd w:val="0"/>
              <w:spacing w:beforeLines="10"/>
              <w:jc w:val="center"/>
              <w:rPr>
                <w:bCs/>
                <w:szCs w:val="21"/>
              </w:rPr>
            </w:pPr>
            <w:r>
              <w:rPr>
                <w:rFonts w:hAnsi="宋体"/>
                <w:bCs/>
                <w:szCs w:val="21"/>
              </w:rPr>
              <w:t>时间</w:t>
            </w:r>
          </w:p>
        </w:tc>
        <w:tc>
          <w:tcPr>
            <w:tcW w:w="3566" w:type="dxa"/>
            <w:gridSpan w:val="2"/>
            <w:vAlign w:val="center"/>
          </w:tcPr>
          <w:p w:rsidR="00475650" w:rsidRDefault="00475650" w:rsidP="00BD74CB">
            <w:pPr>
              <w:tabs>
                <w:tab w:val="left" w:pos="720"/>
              </w:tabs>
              <w:adjustRightInd w:val="0"/>
              <w:spacing w:beforeLines="10"/>
              <w:jc w:val="center"/>
              <w:rPr>
                <w:bCs/>
                <w:szCs w:val="21"/>
              </w:rPr>
            </w:pPr>
            <w:r>
              <w:rPr>
                <w:rFonts w:hAnsi="宋体"/>
                <w:bCs/>
                <w:szCs w:val="21"/>
              </w:rPr>
              <w:t>监测结果</w:t>
            </w:r>
          </w:p>
        </w:tc>
        <w:tc>
          <w:tcPr>
            <w:tcW w:w="1574" w:type="dxa"/>
            <w:vMerge w:val="restart"/>
            <w:vAlign w:val="center"/>
          </w:tcPr>
          <w:p w:rsidR="00475650" w:rsidRDefault="00475650" w:rsidP="00BD74CB">
            <w:pPr>
              <w:spacing w:beforeLines="10"/>
              <w:jc w:val="center"/>
              <w:rPr>
                <w:szCs w:val="21"/>
              </w:rPr>
            </w:pPr>
            <w:r>
              <w:rPr>
                <w:rFonts w:hAnsi="宋体"/>
                <w:szCs w:val="21"/>
              </w:rPr>
              <w:t>标准限值</w:t>
            </w:r>
          </w:p>
        </w:tc>
        <w:tc>
          <w:tcPr>
            <w:tcW w:w="1170" w:type="dxa"/>
            <w:vMerge w:val="restart"/>
            <w:vAlign w:val="center"/>
          </w:tcPr>
          <w:p w:rsidR="00475650" w:rsidRDefault="00475650" w:rsidP="00BD74CB">
            <w:pPr>
              <w:tabs>
                <w:tab w:val="left" w:pos="720"/>
              </w:tabs>
              <w:adjustRightInd w:val="0"/>
              <w:spacing w:beforeLines="10"/>
              <w:jc w:val="center"/>
              <w:rPr>
                <w:bCs/>
                <w:szCs w:val="21"/>
              </w:rPr>
            </w:pPr>
            <w:r>
              <w:rPr>
                <w:rFonts w:hAnsi="宋体"/>
                <w:bCs/>
                <w:szCs w:val="21"/>
              </w:rPr>
              <w:t>是否</w:t>
            </w:r>
          </w:p>
          <w:p w:rsidR="00475650" w:rsidRDefault="00475650" w:rsidP="00BD74CB">
            <w:pPr>
              <w:tabs>
                <w:tab w:val="left" w:pos="720"/>
              </w:tabs>
              <w:adjustRightInd w:val="0"/>
              <w:spacing w:beforeLines="10"/>
              <w:jc w:val="center"/>
              <w:rPr>
                <w:bCs/>
                <w:szCs w:val="21"/>
              </w:rPr>
            </w:pPr>
            <w:r>
              <w:rPr>
                <w:rFonts w:hAnsi="宋体"/>
                <w:bCs/>
                <w:szCs w:val="21"/>
              </w:rPr>
              <w:t>达标</w:t>
            </w:r>
          </w:p>
        </w:tc>
      </w:tr>
      <w:tr w:rsidR="00475650">
        <w:trPr>
          <w:tblHeader/>
          <w:jc w:val="center"/>
        </w:trPr>
        <w:tc>
          <w:tcPr>
            <w:tcW w:w="677" w:type="dxa"/>
            <w:vMerge/>
            <w:vAlign w:val="center"/>
          </w:tcPr>
          <w:p w:rsidR="00475650" w:rsidRDefault="00475650" w:rsidP="00BD74CB">
            <w:pPr>
              <w:tabs>
                <w:tab w:val="left" w:pos="720"/>
              </w:tabs>
              <w:adjustRightInd w:val="0"/>
              <w:spacing w:beforeLines="10"/>
              <w:jc w:val="center"/>
              <w:rPr>
                <w:bCs/>
                <w:szCs w:val="21"/>
              </w:rPr>
            </w:pPr>
          </w:p>
        </w:tc>
        <w:tc>
          <w:tcPr>
            <w:tcW w:w="930" w:type="dxa"/>
            <w:vMerge/>
            <w:vAlign w:val="center"/>
          </w:tcPr>
          <w:p w:rsidR="00475650" w:rsidRDefault="00475650" w:rsidP="00BD74CB">
            <w:pPr>
              <w:tabs>
                <w:tab w:val="left" w:pos="720"/>
              </w:tabs>
              <w:adjustRightInd w:val="0"/>
              <w:spacing w:beforeLines="10"/>
              <w:jc w:val="center"/>
              <w:rPr>
                <w:bCs/>
                <w:szCs w:val="21"/>
              </w:rPr>
            </w:pPr>
          </w:p>
        </w:tc>
        <w:tc>
          <w:tcPr>
            <w:tcW w:w="1029" w:type="dxa"/>
            <w:vMerge/>
            <w:vAlign w:val="center"/>
          </w:tcPr>
          <w:p w:rsidR="00475650" w:rsidRDefault="00475650" w:rsidP="00BD74CB">
            <w:pPr>
              <w:tabs>
                <w:tab w:val="left" w:pos="720"/>
              </w:tabs>
              <w:adjustRightInd w:val="0"/>
              <w:spacing w:beforeLines="10"/>
              <w:jc w:val="center"/>
              <w:rPr>
                <w:bCs/>
                <w:szCs w:val="21"/>
              </w:rPr>
            </w:pPr>
          </w:p>
        </w:tc>
        <w:tc>
          <w:tcPr>
            <w:tcW w:w="2451" w:type="dxa"/>
            <w:vAlign w:val="center"/>
          </w:tcPr>
          <w:p w:rsidR="00475650" w:rsidRDefault="00475650" w:rsidP="00BD74CB">
            <w:pPr>
              <w:tabs>
                <w:tab w:val="left" w:pos="720"/>
              </w:tabs>
              <w:adjustRightInd w:val="0"/>
              <w:spacing w:beforeLines="10"/>
              <w:jc w:val="center"/>
              <w:rPr>
                <w:bCs/>
                <w:szCs w:val="21"/>
              </w:rPr>
            </w:pPr>
            <w:r>
              <w:rPr>
                <w:rFonts w:hAnsi="宋体"/>
                <w:bCs/>
                <w:szCs w:val="21"/>
              </w:rPr>
              <w:t>小时值</w:t>
            </w:r>
          </w:p>
        </w:tc>
        <w:tc>
          <w:tcPr>
            <w:tcW w:w="1115" w:type="dxa"/>
            <w:vAlign w:val="center"/>
          </w:tcPr>
          <w:p w:rsidR="00475650" w:rsidRDefault="00475650" w:rsidP="00BD74CB">
            <w:pPr>
              <w:tabs>
                <w:tab w:val="left" w:pos="720"/>
              </w:tabs>
              <w:adjustRightInd w:val="0"/>
              <w:spacing w:beforeLines="10"/>
              <w:jc w:val="center"/>
              <w:rPr>
                <w:bCs/>
                <w:szCs w:val="21"/>
              </w:rPr>
            </w:pPr>
            <w:r>
              <w:rPr>
                <w:rFonts w:hAnsi="宋体"/>
                <w:bCs/>
                <w:szCs w:val="21"/>
              </w:rPr>
              <w:t>最大值</w:t>
            </w:r>
          </w:p>
        </w:tc>
        <w:tc>
          <w:tcPr>
            <w:tcW w:w="1574" w:type="dxa"/>
            <w:vMerge/>
            <w:vAlign w:val="center"/>
          </w:tcPr>
          <w:p w:rsidR="00475650" w:rsidRDefault="00475650" w:rsidP="00BD74CB">
            <w:pPr>
              <w:tabs>
                <w:tab w:val="left" w:pos="720"/>
              </w:tabs>
              <w:adjustRightInd w:val="0"/>
              <w:spacing w:beforeLines="10"/>
              <w:jc w:val="center"/>
              <w:rPr>
                <w:bCs/>
                <w:szCs w:val="21"/>
              </w:rPr>
            </w:pPr>
          </w:p>
        </w:tc>
        <w:tc>
          <w:tcPr>
            <w:tcW w:w="1170" w:type="dxa"/>
            <w:vMerge/>
            <w:vAlign w:val="center"/>
          </w:tcPr>
          <w:p w:rsidR="00475650" w:rsidRDefault="00475650" w:rsidP="00BD74CB">
            <w:pPr>
              <w:tabs>
                <w:tab w:val="left" w:pos="720"/>
              </w:tabs>
              <w:adjustRightInd w:val="0"/>
              <w:spacing w:beforeLines="10"/>
              <w:jc w:val="center"/>
              <w:rPr>
                <w:bCs/>
                <w:szCs w:val="21"/>
              </w:rPr>
            </w:pPr>
          </w:p>
        </w:tc>
      </w:tr>
      <w:tr w:rsidR="00475650">
        <w:trPr>
          <w:jc w:val="center"/>
        </w:trPr>
        <w:tc>
          <w:tcPr>
            <w:tcW w:w="677" w:type="dxa"/>
            <w:vMerge w:val="restart"/>
            <w:vAlign w:val="center"/>
          </w:tcPr>
          <w:p w:rsidR="00475650" w:rsidRDefault="00475650" w:rsidP="00BD74CB">
            <w:pPr>
              <w:tabs>
                <w:tab w:val="left" w:pos="720"/>
              </w:tabs>
              <w:adjustRightInd w:val="0"/>
              <w:spacing w:beforeLines="10"/>
              <w:jc w:val="center"/>
              <w:rPr>
                <w:szCs w:val="21"/>
              </w:rPr>
            </w:pPr>
            <w:r>
              <w:rPr>
                <w:rFonts w:hAnsi="宋体"/>
                <w:szCs w:val="21"/>
              </w:rPr>
              <w:t>氯化氢</w:t>
            </w:r>
          </w:p>
        </w:tc>
        <w:tc>
          <w:tcPr>
            <w:tcW w:w="930" w:type="dxa"/>
            <w:vMerge w:val="restart"/>
            <w:vAlign w:val="center"/>
          </w:tcPr>
          <w:p w:rsidR="00475650" w:rsidRDefault="00475650" w:rsidP="00BD74CB">
            <w:pPr>
              <w:tabs>
                <w:tab w:val="left" w:pos="720"/>
              </w:tabs>
              <w:adjustRightInd w:val="0"/>
              <w:spacing w:beforeLines="10"/>
              <w:jc w:val="center"/>
              <w:rPr>
                <w:szCs w:val="21"/>
              </w:rPr>
            </w:pPr>
            <w:r>
              <w:rPr>
                <w:rFonts w:hAnsi="宋体"/>
                <w:szCs w:val="21"/>
              </w:rPr>
              <w:t>东厂界外</w:t>
            </w:r>
          </w:p>
        </w:tc>
        <w:tc>
          <w:tcPr>
            <w:tcW w:w="1029" w:type="dxa"/>
            <w:vAlign w:val="center"/>
          </w:tcPr>
          <w:p w:rsidR="00475650" w:rsidRDefault="00475650" w:rsidP="00BD74CB">
            <w:pPr>
              <w:adjustRightInd w:val="0"/>
              <w:spacing w:beforeLines="10"/>
              <w:ind w:leftChars="-50" w:left="-105" w:rightChars="-50" w:right="-105"/>
              <w:jc w:val="center"/>
              <w:rPr>
                <w:szCs w:val="21"/>
              </w:rPr>
            </w:pPr>
            <w:r>
              <w:rPr>
                <w:szCs w:val="21"/>
              </w:rPr>
              <w:t>6</w:t>
            </w:r>
            <w:r>
              <w:rPr>
                <w:rFonts w:hAnsi="宋体"/>
                <w:szCs w:val="21"/>
              </w:rPr>
              <w:t>月</w:t>
            </w:r>
            <w:r>
              <w:rPr>
                <w:szCs w:val="21"/>
              </w:rPr>
              <w:t>15</w:t>
            </w:r>
            <w:r>
              <w:rPr>
                <w:rFonts w:hAnsi="宋体"/>
                <w:szCs w:val="21"/>
              </w:rPr>
              <w:t>日</w:t>
            </w:r>
          </w:p>
        </w:tc>
        <w:tc>
          <w:tcPr>
            <w:tcW w:w="2451" w:type="dxa"/>
            <w:vAlign w:val="center"/>
          </w:tcPr>
          <w:p w:rsidR="00475650" w:rsidRDefault="00475650" w:rsidP="00BD74CB">
            <w:pPr>
              <w:spacing w:beforeLines="10"/>
              <w:jc w:val="center"/>
              <w:rPr>
                <w:szCs w:val="21"/>
              </w:rPr>
            </w:pPr>
            <w:r>
              <w:rPr>
                <w:szCs w:val="21"/>
              </w:rPr>
              <w:t>0.05ND    0.05ND    0.05ND</w:t>
            </w:r>
          </w:p>
        </w:tc>
        <w:tc>
          <w:tcPr>
            <w:tcW w:w="1115" w:type="dxa"/>
            <w:vMerge w:val="restart"/>
            <w:vAlign w:val="center"/>
          </w:tcPr>
          <w:p w:rsidR="00475650" w:rsidRDefault="00475650" w:rsidP="00BD74CB">
            <w:pPr>
              <w:tabs>
                <w:tab w:val="left" w:pos="720"/>
              </w:tabs>
              <w:adjustRightInd w:val="0"/>
              <w:spacing w:beforeLines="10"/>
              <w:jc w:val="center"/>
              <w:rPr>
                <w:szCs w:val="21"/>
              </w:rPr>
            </w:pPr>
            <w:r>
              <w:rPr>
                <w:szCs w:val="21"/>
              </w:rPr>
              <w:t>0.05ND</w:t>
            </w:r>
          </w:p>
        </w:tc>
        <w:tc>
          <w:tcPr>
            <w:tcW w:w="1574" w:type="dxa"/>
            <w:vMerge w:val="restart"/>
            <w:vAlign w:val="center"/>
          </w:tcPr>
          <w:p w:rsidR="00475650" w:rsidRDefault="00475650" w:rsidP="00BD74CB">
            <w:pPr>
              <w:tabs>
                <w:tab w:val="left" w:pos="720"/>
              </w:tabs>
              <w:adjustRightInd w:val="0"/>
              <w:spacing w:beforeLines="10"/>
              <w:jc w:val="center"/>
              <w:rPr>
                <w:szCs w:val="21"/>
              </w:rPr>
            </w:pPr>
            <w:r>
              <w:rPr>
                <w:szCs w:val="21"/>
              </w:rPr>
              <w:t>0.2</w:t>
            </w:r>
            <w:r>
              <w:rPr>
                <w:bCs/>
                <w:szCs w:val="21"/>
              </w:rPr>
              <w:t xml:space="preserve"> </w:t>
            </w:r>
          </w:p>
        </w:tc>
        <w:tc>
          <w:tcPr>
            <w:tcW w:w="1170" w:type="dxa"/>
            <w:vAlign w:val="center"/>
          </w:tcPr>
          <w:p w:rsidR="00475650" w:rsidRDefault="00475650" w:rsidP="00BD74CB">
            <w:pPr>
              <w:spacing w:beforeLines="10"/>
              <w:jc w:val="center"/>
              <w:rPr>
                <w:szCs w:val="21"/>
              </w:rPr>
            </w:pPr>
            <w:r>
              <w:rPr>
                <w:rFonts w:hAnsi="宋体"/>
                <w:szCs w:val="21"/>
              </w:rPr>
              <w:t>达标</w:t>
            </w:r>
          </w:p>
        </w:tc>
      </w:tr>
      <w:tr w:rsidR="00475650">
        <w:trPr>
          <w:jc w:val="center"/>
        </w:trPr>
        <w:tc>
          <w:tcPr>
            <w:tcW w:w="677" w:type="dxa"/>
            <w:vMerge/>
            <w:vAlign w:val="center"/>
          </w:tcPr>
          <w:p w:rsidR="00475650" w:rsidRDefault="00475650" w:rsidP="00BD74CB">
            <w:pPr>
              <w:tabs>
                <w:tab w:val="left" w:pos="720"/>
              </w:tabs>
              <w:adjustRightInd w:val="0"/>
              <w:spacing w:beforeLines="10"/>
              <w:jc w:val="center"/>
              <w:rPr>
                <w:szCs w:val="21"/>
              </w:rPr>
            </w:pPr>
          </w:p>
        </w:tc>
        <w:tc>
          <w:tcPr>
            <w:tcW w:w="930" w:type="dxa"/>
            <w:vMerge/>
            <w:vAlign w:val="center"/>
          </w:tcPr>
          <w:p w:rsidR="00475650" w:rsidRDefault="00475650" w:rsidP="00BD74CB">
            <w:pPr>
              <w:tabs>
                <w:tab w:val="left" w:pos="720"/>
              </w:tabs>
              <w:adjustRightInd w:val="0"/>
              <w:spacing w:beforeLines="10"/>
              <w:jc w:val="center"/>
              <w:rPr>
                <w:szCs w:val="21"/>
              </w:rPr>
            </w:pPr>
          </w:p>
        </w:tc>
        <w:tc>
          <w:tcPr>
            <w:tcW w:w="1029" w:type="dxa"/>
            <w:vAlign w:val="center"/>
          </w:tcPr>
          <w:p w:rsidR="00475650" w:rsidRDefault="00475650" w:rsidP="00BD74CB">
            <w:pPr>
              <w:adjustRightInd w:val="0"/>
              <w:spacing w:beforeLines="10"/>
              <w:ind w:leftChars="-50" w:left="-105" w:rightChars="-50" w:right="-105"/>
              <w:jc w:val="center"/>
              <w:rPr>
                <w:szCs w:val="21"/>
              </w:rPr>
            </w:pPr>
            <w:r>
              <w:rPr>
                <w:szCs w:val="21"/>
              </w:rPr>
              <w:t>6</w:t>
            </w:r>
            <w:r>
              <w:rPr>
                <w:rFonts w:hAnsi="宋体"/>
                <w:szCs w:val="21"/>
              </w:rPr>
              <w:t>月</w:t>
            </w:r>
            <w:r>
              <w:rPr>
                <w:szCs w:val="21"/>
              </w:rPr>
              <w:t>16</w:t>
            </w:r>
            <w:r>
              <w:rPr>
                <w:rFonts w:hAnsi="宋体"/>
                <w:szCs w:val="21"/>
              </w:rPr>
              <w:t>日</w:t>
            </w:r>
          </w:p>
        </w:tc>
        <w:tc>
          <w:tcPr>
            <w:tcW w:w="2451" w:type="dxa"/>
            <w:vAlign w:val="center"/>
          </w:tcPr>
          <w:p w:rsidR="00475650" w:rsidRDefault="00475650" w:rsidP="00BD74CB">
            <w:pPr>
              <w:spacing w:beforeLines="10"/>
              <w:jc w:val="center"/>
              <w:rPr>
                <w:szCs w:val="21"/>
              </w:rPr>
            </w:pPr>
            <w:r>
              <w:rPr>
                <w:szCs w:val="21"/>
              </w:rPr>
              <w:t>0.05ND    0.05ND    0.05ND</w:t>
            </w:r>
          </w:p>
        </w:tc>
        <w:tc>
          <w:tcPr>
            <w:tcW w:w="1115" w:type="dxa"/>
            <w:vMerge/>
            <w:vAlign w:val="center"/>
          </w:tcPr>
          <w:p w:rsidR="00475650" w:rsidRDefault="00475650" w:rsidP="00BD74CB">
            <w:pPr>
              <w:tabs>
                <w:tab w:val="left" w:pos="720"/>
              </w:tabs>
              <w:adjustRightInd w:val="0"/>
              <w:spacing w:beforeLines="10"/>
              <w:jc w:val="center"/>
              <w:rPr>
                <w:szCs w:val="21"/>
              </w:rPr>
            </w:pPr>
          </w:p>
        </w:tc>
        <w:tc>
          <w:tcPr>
            <w:tcW w:w="1574" w:type="dxa"/>
            <w:vMerge/>
            <w:vAlign w:val="center"/>
          </w:tcPr>
          <w:p w:rsidR="00475650" w:rsidRDefault="00475650" w:rsidP="00BD74CB">
            <w:pPr>
              <w:tabs>
                <w:tab w:val="left" w:pos="720"/>
              </w:tabs>
              <w:adjustRightInd w:val="0"/>
              <w:spacing w:beforeLines="10"/>
              <w:jc w:val="center"/>
              <w:rPr>
                <w:szCs w:val="21"/>
              </w:rPr>
            </w:pPr>
          </w:p>
        </w:tc>
        <w:tc>
          <w:tcPr>
            <w:tcW w:w="1170" w:type="dxa"/>
            <w:vAlign w:val="center"/>
          </w:tcPr>
          <w:p w:rsidR="00475650" w:rsidRDefault="00475650" w:rsidP="00BD74CB">
            <w:pPr>
              <w:spacing w:beforeLines="10"/>
              <w:jc w:val="center"/>
              <w:rPr>
                <w:szCs w:val="21"/>
              </w:rPr>
            </w:pPr>
            <w:r>
              <w:rPr>
                <w:rFonts w:hAnsi="宋体"/>
                <w:szCs w:val="21"/>
              </w:rPr>
              <w:t>达标</w:t>
            </w:r>
          </w:p>
        </w:tc>
      </w:tr>
      <w:tr w:rsidR="00475650">
        <w:trPr>
          <w:jc w:val="center"/>
        </w:trPr>
        <w:tc>
          <w:tcPr>
            <w:tcW w:w="677" w:type="dxa"/>
            <w:vMerge/>
            <w:vAlign w:val="center"/>
          </w:tcPr>
          <w:p w:rsidR="00475650" w:rsidRDefault="00475650" w:rsidP="00BD74CB">
            <w:pPr>
              <w:tabs>
                <w:tab w:val="left" w:pos="720"/>
              </w:tabs>
              <w:adjustRightInd w:val="0"/>
              <w:spacing w:beforeLines="10"/>
              <w:jc w:val="center"/>
              <w:rPr>
                <w:szCs w:val="21"/>
              </w:rPr>
            </w:pPr>
          </w:p>
        </w:tc>
        <w:tc>
          <w:tcPr>
            <w:tcW w:w="930" w:type="dxa"/>
            <w:vMerge w:val="restart"/>
            <w:vAlign w:val="center"/>
          </w:tcPr>
          <w:p w:rsidR="00475650" w:rsidRDefault="00475650" w:rsidP="00BD74CB">
            <w:pPr>
              <w:tabs>
                <w:tab w:val="left" w:pos="720"/>
              </w:tabs>
              <w:adjustRightInd w:val="0"/>
              <w:spacing w:beforeLines="10"/>
              <w:jc w:val="center"/>
              <w:rPr>
                <w:szCs w:val="21"/>
              </w:rPr>
            </w:pPr>
            <w:r>
              <w:rPr>
                <w:rFonts w:hAnsi="宋体"/>
                <w:szCs w:val="21"/>
              </w:rPr>
              <w:t>北厂界外</w:t>
            </w:r>
          </w:p>
        </w:tc>
        <w:tc>
          <w:tcPr>
            <w:tcW w:w="1029" w:type="dxa"/>
            <w:vAlign w:val="center"/>
          </w:tcPr>
          <w:p w:rsidR="00475650" w:rsidRDefault="00475650" w:rsidP="00BD74CB">
            <w:pPr>
              <w:adjustRightInd w:val="0"/>
              <w:spacing w:beforeLines="10"/>
              <w:ind w:leftChars="-50" w:left="-105" w:rightChars="-50" w:right="-105"/>
              <w:jc w:val="center"/>
              <w:rPr>
                <w:szCs w:val="21"/>
              </w:rPr>
            </w:pPr>
            <w:r>
              <w:rPr>
                <w:szCs w:val="21"/>
              </w:rPr>
              <w:t>6</w:t>
            </w:r>
            <w:r>
              <w:rPr>
                <w:rFonts w:hAnsi="宋体"/>
                <w:szCs w:val="21"/>
              </w:rPr>
              <w:t>月</w:t>
            </w:r>
            <w:r>
              <w:rPr>
                <w:szCs w:val="21"/>
              </w:rPr>
              <w:t>15</w:t>
            </w:r>
            <w:r>
              <w:rPr>
                <w:rFonts w:hAnsi="宋体"/>
                <w:szCs w:val="21"/>
              </w:rPr>
              <w:t>日</w:t>
            </w:r>
          </w:p>
        </w:tc>
        <w:tc>
          <w:tcPr>
            <w:tcW w:w="2451" w:type="dxa"/>
            <w:vAlign w:val="center"/>
          </w:tcPr>
          <w:p w:rsidR="00475650" w:rsidRDefault="00475650" w:rsidP="00BD74CB">
            <w:pPr>
              <w:spacing w:beforeLines="10"/>
              <w:jc w:val="center"/>
              <w:rPr>
                <w:szCs w:val="21"/>
              </w:rPr>
            </w:pPr>
            <w:r>
              <w:rPr>
                <w:szCs w:val="21"/>
              </w:rPr>
              <w:t>0.05ND    0.05ND    0.05ND</w:t>
            </w:r>
          </w:p>
        </w:tc>
        <w:tc>
          <w:tcPr>
            <w:tcW w:w="1115" w:type="dxa"/>
            <w:vMerge/>
            <w:vAlign w:val="center"/>
          </w:tcPr>
          <w:p w:rsidR="00475650" w:rsidRDefault="00475650" w:rsidP="00BD74CB">
            <w:pPr>
              <w:tabs>
                <w:tab w:val="left" w:pos="720"/>
              </w:tabs>
              <w:adjustRightInd w:val="0"/>
              <w:spacing w:beforeLines="10"/>
              <w:jc w:val="center"/>
              <w:rPr>
                <w:szCs w:val="21"/>
              </w:rPr>
            </w:pPr>
          </w:p>
        </w:tc>
        <w:tc>
          <w:tcPr>
            <w:tcW w:w="1574" w:type="dxa"/>
            <w:vMerge/>
            <w:vAlign w:val="center"/>
          </w:tcPr>
          <w:p w:rsidR="00475650" w:rsidRDefault="00475650" w:rsidP="00BD74CB">
            <w:pPr>
              <w:tabs>
                <w:tab w:val="left" w:pos="720"/>
              </w:tabs>
              <w:adjustRightInd w:val="0"/>
              <w:spacing w:beforeLines="10"/>
              <w:jc w:val="center"/>
              <w:rPr>
                <w:szCs w:val="21"/>
              </w:rPr>
            </w:pPr>
          </w:p>
        </w:tc>
        <w:tc>
          <w:tcPr>
            <w:tcW w:w="1170" w:type="dxa"/>
            <w:vAlign w:val="center"/>
          </w:tcPr>
          <w:p w:rsidR="00475650" w:rsidRDefault="00475650" w:rsidP="00BD74CB">
            <w:pPr>
              <w:spacing w:beforeLines="10"/>
              <w:jc w:val="center"/>
              <w:rPr>
                <w:szCs w:val="21"/>
              </w:rPr>
            </w:pPr>
            <w:r>
              <w:rPr>
                <w:rFonts w:hAnsi="宋体"/>
                <w:szCs w:val="21"/>
              </w:rPr>
              <w:t>达标</w:t>
            </w:r>
          </w:p>
        </w:tc>
      </w:tr>
      <w:tr w:rsidR="00475650">
        <w:trPr>
          <w:jc w:val="center"/>
        </w:trPr>
        <w:tc>
          <w:tcPr>
            <w:tcW w:w="677" w:type="dxa"/>
            <w:vMerge/>
            <w:vAlign w:val="center"/>
          </w:tcPr>
          <w:p w:rsidR="00475650" w:rsidRDefault="00475650" w:rsidP="00BD74CB">
            <w:pPr>
              <w:tabs>
                <w:tab w:val="left" w:pos="720"/>
              </w:tabs>
              <w:adjustRightInd w:val="0"/>
              <w:spacing w:beforeLines="10"/>
              <w:jc w:val="center"/>
              <w:rPr>
                <w:szCs w:val="21"/>
              </w:rPr>
            </w:pPr>
          </w:p>
        </w:tc>
        <w:tc>
          <w:tcPr>
            <w:tcW w:w="930" w:type="dxa"/>
            <w:vMerge/>
            <w:vAlign w:val="center"/>
          </w:tcPr>
          <w:p w:rsidR="00475650" w:rsidRDefault="00475650" w:rsidP="00BD74CB">
            <w:pPr>
              <w:tabs>
                <w:tab w:val="left" w:pos="720"/>
              </w:tabs>
              <w:adjustRightInd w:val="0"/>
              <w:spacing w:beforeLines="10"/>
              <w:jc w:val="center"/>
              <w:rPr>
                <w:szCs w:val="21"/>
              </w:rPr>
            </w:pPr>
          </w:p>
        </w:tc>
        <w:tc>
          <w:tcPr>
            <w:tcW w:w="1029" w:type="dxa"/>
            <w:vAlign w:val="center"/>
          </w:tcPr>
          <w:p w:rsidR="00475650" w:rsidRDefault="00475650" w:rsidP="00BD74CB">
            <w:pPr>
              <w:adjustRightInd w:val="0"/>
              <w:spacing w:beforeLines="10"/>
              <w:ind w:leftChars="-50" w:left="-105" w:rightChars="-50" w:right="-105"/>
              <w:jc w:val="center"/>
              <w:rPr>
                <w:szCs w:val="21"/>
              </w:rPr>
            </w:pPr>
            <w:r>
              <w:rPr>
                <w:szCs w:val="21"/>
              </w:rPr>
              <w:t>6</w:t>
            </w:r>
            <w:r>
              <w:rPr>
                <w:rFonts w:hAnsi="宋体"/>
                <w:szCs w:val="21"/>
              </w:rPr>
              <w:t>月</w:t>
            </w:r>
            <w:r>
              <w:rPr>
                <w:szCs w:val="21"/>
              </w:rPr>
              <w:t>16</w:t>
            </w:r>
            <w:r>
              <w:rPr>
                <w:rFonts w:hAnsi="宋体"/>
                <w:szCs w:val="21"/>
              </w:rPr>
              <w:t>日</w:t>
            </w:r>
          </w:p>
        </w:tc>
        <w:tc>
          <w:tcPr>
            <w:tcW w:w="2451" w:type="dxa"/>
            <w:vAlign w:val="center"/>
          </w:tcPr>
          <w:p w:rsidR="00475650" w:rsidRDefault="00475650" w:rsidP="00BD74CB">
            <w:pPr>
              <w:spacing w:beforeLines="10"/>
              <w:jc w:val="center"/>
              <w:rPr>
                <w:szCs w:val="21"/>
              </w:rPr>
            </w:pPr>
            <w:r>
              <w:rPr>
                <w:szCs w:val="21"/>
              </w:rPr>
              <w:t>0.05ND    0.05ND    0.05ND</w:t>
            </w:r>
          </w:p>
        </w:tc>
        <w:tc>
          <w:tcPr>
            <w:tcW w:w="1115" w:type="dxa"/>
            <w:vMerge/>
            <w:vAlign w:val="center"/>
          </w:tcPr>
          <w:p w:rsidR="00475650" w:rsidRDefault="00475650" w:rsidP="00BD74CB">
            <w:pPr>
              <w:tabs>
                <w:tab w:val="left" w:pos="720"/>
              </w:tabs>
              <w:adjustRightInd w:val="0"/>
              <w:spacing w:beforeLines="10"/>
              <w:jc w:val="center"/>
              <w:rPr>
                <w:szCs w:val="21"/>
              </w:rPr>
            </w:pPr>
          </w:p>
        </w:tc>
        <w:tc>
          <w:tcPr>
            <w:tcW w:w="1574" w:type="dxa"/>
            <w:vMerge/>
            <w:vAlign w:val="center"/>
          </w:tcPr>
          <w:p w:rsidR="00475650" w:rsidRDefault="00475650" w:rsidP="00BD74CB">
            <w:pPr>
              <w:tabs>
                <w:tab w:val="left" w:pos="720"/>
              </w:tabs>
              <w:adjustRightInd w:val="0"/>
              <w:spacing w:beforeLines="10"/>
              <w:jc w:val="center"/>
              <w:rPr>
                <w:szCs w:val="21"/>
              </w:rPr>
            </w:pPr>
          </w:p>
        </w:tc>
        <w:tc>
          <w:tcPr>
            <w:tcW w:w="1170" w:type="dxa"/>
            <w:vAlign w:val="center"/>
          </w:tcPr>
          <w:p w:rsidR="00475650" w:rsidRDefault="00475650" w:rsidP="00BD74CB">
            <w:pPr>
              <w:spacing w:beforeLines="10"/>
              <w:jc w:val="center"/>
              <w:rPr>
                <w:szCs w:val="21"/>
              </w:rPr>
            </w:pPr>
            <w:r>
              <w:rPr>
                <w:rFonts w:hAnsi="宋体"/>
                <w:szCs w:val="21"/>
              </w:rPr>
              <w:t>达标</w:t>
            </w:r>
          </w:p>
        </w:tc>
      </w:tr>
      <w:tr w:rsidR="00475650">
        <w:trPr>
          <w:jc w:val="center"/>
        </w:trPr>
        <w:tc>
          <w:tcPr>
            <w:tcW w:w="677" w:type="dxa"/>
            <w:vMerge/>
            <w:vAlign w:val="center"/>
          </w:tcPr>
          <w:p w:rsidR="00475650" w:rsidRDefault="00475650" w:rsidP="00BD74CB">
            <w:pPr>
              <w:tabs>
                <w:tab w:val="left" w:pos="720"/>
              </w:tabs>
              <w:adjustRightInd w:val="0"/>
              <w:spacing w:beforeLines="10"/>
              <w:jc w:val="center"/>
              <w:rPr>
                <w:szCs w:val="21"/>
              </w:rPr>
            </w:pPr>
          </w:p>
        </w:tc>
        <w:tc>
          <w:tcPr>
            <w:tcW w:w="930" w:type="dxa"/>
            <w:vMerge w:val="restart"/>
            <w:vAlign w:val="center"/>
          </w:tcPr>
          <w:p w:rsidR="00475650" w:rsidRDefault="00475650" w:rsidP="00BD74CB">
            <w:pPr>
              <w:tabs>
                <w:tab w:val="left" w:pos="720"/>
              </w:tabs>
              <w:adjustRightInd w:val="0"/>
              <w:spacing w:beforeLines="10"/>
              <w:jc w:val="center"/>
              <w:rPr>
                <w:szCs w:val="21"/>
              </w:rPr>
            </w:pPr>
            <w:r>
              <w:rPr>
                <w:rFonts w:hAnsi="宋体"/>
                <w:szCs w:val="21"/>
              </w:rPr>
              <w:t>西厂界外</w:t>
            </w:r>
          </w:p>
        </w:tc>
        <w:tc>
          <w:tcPr>
            <w:tcW w:w="1029" w:type="dxa"/>
            <w:vAlign w:val="center"/>
          </w:tcPr>
          <w:p w:rsidR="00475650" w:rsidRDefault="00475650" w:rsidP="00BD74CB">
            <w:pPr>
              <w:adjustRightInd w:val="0"/>
              <w:spacing w:beforeLines="10"/>
              <w:ind w:leftChars="-50" w:left="-105" w:rightChars="-50" w:right="-105"/>
              <w:jc w:val="center"/>
              <w:rPr>
                <w:szCs w:val="21"/>
              </w:rPr>
            </w:pPr>
            <w:r>
              <w:rPr>
                <w:szCs w:val="21"/>
              </w:rPr>
              <w:t>6</w:t>
            </w:r>
            <w:r>
              <w:rPr>
                <w:rFonts w:hAnsi="宋体"/>
                <w:szCs w:val="21"/>
              </w:rPr>
              <w:t>月</w:t>
            </w:r>
            <w:r>
              <w:rPr>
                <w:szCs w:val="21"/>
              </w:rPr>
              <w:t>15</w:t>
            </w:r>
            <w:r>
              <w:rPr>
                <w:rFonts w:hAnsi="宋体"/>
                <w:szCs w:val="21"/>
              </w:rPr>
              <w:t>日</w:t>
            </w:r>
          </w:p>
        </w:tc>
        <w:tc>
          <w:tcPr>
            <w:tcW w:w="2451" w:type="dxa"/>
            <w:vAlign w:val="center"/>
          </w:tcPr>
          <w:p w:rsidR="00475650" w:rsidRDefault="00475650" w:rsidP="00BD74CB">
            <w:pPr>
              <w:spacing w:beforeLines="10"/>
              <w:jc w:val="center"/>
              <w:rPr>
                <w:szCs w:val="21"/>
              </w:rPr>
            </w:pPr>
            <w:r>
              <w:rPr>
                <w:szCs w:val="21"/>
              </w:rPr>
              <w:t>0.05ND    0.05ND    0.05ND</w:t>
            </w:r>
          </w:p>
        </w:tc>
        <w:tc>
          <w:tcPr>
            <w:tcW w:w="1115" w:type="dxa"/>
            <w:vMerge/>
            <w:vAlign w:val="center"/>
          </w:tcPr>
          <w:p w:rsidR="00475650" w:rsidRDefault="00475650" w:rsidP="00BD74CB">
            <w:pPr>
              <w:tabs>
                <w:tab w:val="left" w:pos="720"/>
              </w:tabs>
              <w:adjustRightInd w:val="0"/>
              <w:spacing w:beforeLines="10"/>
              <w:jc w:val="center"/>
              <w:rPr>
                <w:szCs w:val="21"/>
              </w:rPr>
            </w:pPr>
          </w:p>
        </w:tc>
        <w:tc>
          <w:tcPr>
            <w:tcW w:w="1574" w:type="dxa"/>
            <w:vMerge/>
            <w:vAlign w:val="center"/>
          </w:tcPr>
          <w:p w:rsidR="00475650" w:rsidRDefault="00475650" w:rsidP="00BD74CB">
            <w:pPr>
              <w:tabs>
                <w:tab w:val="left" w:pos="720"/>
              </w:tabs>
              <w:adjustRightInd w:val="0"/>
              <w:spacing w:beforeLines="10"/>
              <w:jc w:val="center"/>
              <w:rPr>
                <w:szCs w:val="21"/>
              </w:rPr>
            </w:pPr>
          </w:p>
        </w:tc>
        <w:tc>
          <w:tcPr>
            <w:tcW w:w="1170" w:type="dxa"/>
            <w:vAlign w:val="center"/>
          </w:tcPr>
          <w:p w:rsidR="00475650" w:rsidRDefault="00475650" w:rsidP="00BD74CB">
            <w:pPr>
              <w:spacing w:beforeLines="10"/>
              <w:jc w:val="center"/>
              <w:rPr>
                <w:szCs w:val="21"/>
              </w:rPr>
            </w:pPr>
            <w:r>
              <w:rPr>
                <w:rFonts w:hAnsi="宋体"/>
                <w:szCs w:val="21"/>
              </w:rPr>
              <w:t>达标</w:t>
            </w:r>
          </w:p>
        </w:tc>
      </w:tr>
      <w:tr w:rsidR="00475650">
        <w:trPr>
          <w:jc w:val="center"/>
        </w:trPr>
        <w:tc>
          <w:tcPr>
            <w:tcW w:w="677" w:type="dxa"/>
            <w:vMerge/>
            <w:vAlign w:val="center"/>
          </w:tcPr>
          <w:p w:rsidR="00475650" w:rsidRDefault="00475650" w:rsidP="00BD74CB">
            <w:pPr>
              <w:tabs>
                <w:tab w:val="left" w:pos="720"/>
              </w:tabs>
              <w:adjustRightInd w:val="0"/>
              <w:spacing w:beforeLines="10"/>
              <w:jc w:val="center"/>
              <w:rPr>
                <w:szCs w:val="21"/>
              </w:rPr>
            </w:pPr>
          </w:p>
        </w:tc>
        <w:tc>
          <w:tcPr>
            <w:tcW w:w="930" w:type="dxa"/>
            <w:vMerge/>
            <w:vAlign w:val="center"/>
          </w:tcPr>
          <w:p w:rsidR="00475650" w:rsidRDefault="00475650" w:rsidP="00BD74CB">
            <w:pPr>
              <w:tabs>
                <w:tab w:val="left" w:pos="720"/>
              </w:tabs>
              <w:adjustRightInd w:val="0"/>
              <w:spacing w:beforeLines="10"/>
              <w:jc w:val="center"/>
              <w:rPr>
                <w:szCs w:val="21"/>
              </w:rPr>
            </w:pPr>
          </w:p>
        </w:tc>
        <w:tc>
          <w:tcPr>
            <w:tcW w:w="1029" w:type="dxa"/>
            <w:vAlign w:val="center"/>
          </w:tcPr>
          <w:p w:rsidR="00475650" w:rsidRDefault="00475650" w:rsidP="00BD74CB">
            <w:pPr>
              <w:adjustRightInd w:val="0"/>
              <w:spacing w:beforeLines="10"/>
              <w:ind w:leftChars="-50" w:left="-105" w:rightChars="-50" w:right="-105"/>
              <w:jc w:val="center"/>
              <w:rPr>
                <w:szCs w:val="21"/>
              </w:rPr>
            </w:pPr>
            <w:r>
              <w:rPr>
                <w:szCs w:val="21"/>
              </w:rPr>
              <w:t>6</w:t>
            </w:r>
            <w:r>
              <w:rPr>
                <w:rFonts w:hAnsi="宋体"/>
                <w:szCs w:val="21"/>
              </w:rPr>
              <w:t>月</w:t>
            </w:r>
            <w:r>
              <w:rPr>
                <w:szCs w:val="21"/>
              </w:rPr>
              <w:t>16</w:t>
            </w:r>
            <w:r>
              <w:rPr>
                <w:rFonts w:hAnsi="宋体"/>
                <w:szCs w:val="21"/>
              </w:rPr>
              <w:t>日</w:t>
            </w:r>
          </w:p>
        </w:tc>
        <w:tc>
          <w:tcPr>
            <w:tcW w:w="2451" w:type="dxa"/>
            <w:vAlign w:val="center"/>
          </w:tcPr>
          <w:p w:rsidR="00475650" w:rsidRDefault="00475650" w:rsidP="00BD74CB">
            <w:pPr>
              <w:spacing w:beforeLines="10"/>
              <w:jc w:val="center"/>
              <w:rPr>
                <w:szCs w:val="21"/>
              </w:rPr>
            </w:pPr>
            <w:r>
              <w:rPr>
                <w:szCs w:val="21"/>
              </w:rPr>
              <w:t>0.05ND    0.05ND    0.05ND</w:t>
            </w:r>
          </w:p>
        </w:tc>
        <w:tc>
          <w:tcPr>
            <w:tcW w:w="1115" w:type="dxa"/>
            <w:vMerge/>
            <w:vAlign w:val="center"/>
          </w:tcPr>
          <w:p w:rsidR="00475650" w:rsidRDefault="00475650" w:rsidP="00BD74CB">
            <w:pPr>
              <w:tabs>
                <w:tab w:val="left" w:pos="720"/>
              </w:tabs>
              <w:adjustRightInd w:val="0"/>
              <w:spacing w:beforeLines="10"/>
              <w:jc w:val="center"/>
              <w:rPr>
                <w:szCs w:val="21"/>
              </w:rPr>
            </w:pPr>
          </w:p>
        </w:tc>
        <w:tc>
          <w:tcPr>
            <w:tcW w:w="1574" w:type="dxa"/>
            <w:vMerge/>
            <w:vAlign w:val="center"/>
          </w:tcPr>
          <w:p w:rsidR="00475650" w:rsidRDefault="00475650" w:rsidP="00BD74CB">
            <w:pPr>
              <w:tabs>
                <w:tab w:val="left" w:pos="720"/>
              </w:tabs>
              <w:adjustRightInd w:val="0"/>
              <w:spacing w:beforeLines="10"/>
              <w:jc w:val="center"/>
              <w:rPr>
                <w:szCs w:val="21"/>
              </w:rPr>
            </w:pPr>
          </w:p>
        </w:tc>
        <w:tc>
          <w:tcPr>
            <w:tcW w:w="1170" w:type="dxa"/>
            <w:vAlign w:val="center"/>
          </w:tcPr>
          <w:p w:rsidR="00475650" w:rsidRDefault="00475650" w:rsidP="00BD74CB">
            <w:pPr>
              <w:spacing w:beforeLines="10"/>
              <w:jc w:val="center"/>
              <w:rPr>
                <w:szCs w:val="21"/>
              </w:rPr>
            </w:pPr>
            <w:r>
              <w:rPr>
                <w:rFonts w:hAnsi="宋体"/>
                <w:szCs w:val="21"/>
              </w:rPr>
              <w:t>达标</w:t>
            </w:r>
          </w:p>
        </w:tc>
      </w:tr>
      <w:tr w:rsidR="00475650">
        <w:trPr>
          <w:jc w:val="center"/>
        </w:trPr>
        <w:tc>
          <w:tcPr>
            <w:tcW w:w="677" w:type="dxa"/>
            <w:vMerge/>
            <w:vAlign w:val="center"/>
          </w:tcPr>
          <w:p w:rsidR="00475650" w:rsidRDefault="00475650" w:rsidP="00BD74CB">
            <w:pPr>
              <w:tabs>
                <w:tab w:val="left" w:pos="720"/>
              </w:tabs>
              <w:adjustRightInd w:val="0"/>
              <w:spacing w:beforeLines="10"/>
              <w:jc w:val="center"/>
              <w:rPr>
                <w:szCs w:val="21"/>
              </w:rPr>
            </w:pPr>
          </w:p>
        </w:tc>
        <w:tc>
          <w:tcPr>
            <w:tcW w:w="930" w:type="dxa"/>
            <w:vMerge w:val="restart"/>
            <w:vAlign w:val="center"/>
          </w:tcPr>
          <w:p w:rsidR="00475650" w:rsidRDefault="00475650" w:rsidP="00BD74CB">
            <w:pPr>
              <w:tabs>
                <w:tab w:val="left" w:pos="720"/>
              </w:tabs>
              <w:adjustRightInd w:val="0"/>
              <w:spacing w:beforeLines="10"/>
              <w:jc w:val="center"/>
              <w:rPr>
                <w:szCs w:val="21"/>
              </w:rPr>
            </w:pPr>
            <w:r>
              <w:rPr>
                <w:rFonts w:hAnsi="宋体"/>
                <w:szCs w:val="21"/>
              </w:rPr>
              <w:t>南厂界外</w:t>
            </w:r>
          </w:p>
        </w:tc>
        <w:tc>
          <w:tcPr>
            <w:tcW w:w="1029" w:type="dxa"/>
            <w:vAlign w:val="center"/>
          </w:tcPr>
          <w:p w:rsidR="00475650" w:rsidRDefault="00475650" w:rsidP="00BD74CB">
            <w:pPr>
              <w:adjustRightInd w:val="0"/>
              <w:spacing w:beforeLines="10"/>
              <w:ind w:leftChars="-50" w:left="-105" w:rightChars="-50" w:right="-105"/>
              <w:jc w:val="center"/>
              <w:rPr>
                <w:szCs w:val="21"/>
              </w:rPr>
            </w:pPr>
            <w:r>
              <w:rPr>
                <w:szCs w:val="21"/>
              </w:rPr>
              <w:t>6</w:t>
            </w:r>
            <w:r>
              <w:rPr>
                <w:rFonts w:hAnsi="宋体"/>
                <w:szCs w:val="21"/>
              </w:rPr>
              <w:t>月</w:t>
            </w:r>
            <w:r>
              <w:rPr>
                <w:szCs w:val="21"/>
              </w:rPr>
              <w:t>15</w:t>
            </w:r>
            <w:r>
              <w:rPr>
                <w:rFonts w:hAnsi="宋体"/>
                <w:szCs w:val="21"/>
              </w:rPr>
              <w:t>日</w:t>
            </w:r>
          </w:p>
        </w:tc>
        <w:tc>
          <w:tcPr>
            <w:tcW w:w="2451" w:type="dxa"/>
            <w:vAlign w:val="center"/>
          </w:tcPr>
          <w:p w:rsidR="00475650" w:rsidRDefault="00475650" w:rsidP="00BD74CB">
            <w:pPr>
              <w:tabs>
                <w:tab w:val="left" w:pos="720"/>
              </w:tabs>
              <w:adjustRightInd w:val="0"/>
              <w:spacing w:beforeLines="10"/>
              <w:jc w:val="center"/>
              <w:rPr>
                <w:szCs w:val="21"/>
              </w:rPr>
            </w:pPr>
            <w:r>
              <w:rPr>
                <w:szCs w:val="21"/>
              </w:rPr>
              <w:t>0.05ND    0.05ND    0.05ND</w:t>
            </w:r>
          </w:p>
        </w:tc>
        <w:tc>
          <w:tcPr>
            <w:tcW w:w="1115" w:type="dxa"/>
            <w:vMerge/>
            <w:vAlign w:val="center"/>
          </w:tcPr>
          <w:p w:rsidR="00475650" w:rsidRDefault="00475650" w:rsidP="00BD74CB">
            <w:pPr>
              <w:tabs>
                <w:tab w:val="left" w:pos="720"/>
              </w:tabs>
              <w:adjustRightInd w:val="0"/>
              <w:spacing w:beforeLines="10"/>
              <w:jc w:val="center"/>
              <w:rPr>
                <w:szCs w:val="21"/>
              </w:rPr>
            </w:pPr>
          </w:p>
        </w:tc>
        <w:tc>
          <w:tcPr>
            <w:tcW w:w="1574" w:type="dxa"/>
            <w:vMerge/>
            <w:vAlign w:val="center"/>
          </w:tcPr>
          <w:p w:rsidR="00475650" w:rsidRDefault="00475650" w:rsidP="00BD74CB">
            <w:pPr>
              <w:tabs>
                <w:tab w:val="left" w:pos="720"/>
              </w:tabs>
              <w:adjustRightInd w:val="0"/>
              <w:spacing w:beforeLines="10"/>
              <w:jc w:val="center"/>
              <w:rPr>
                <w:szCs w:val="21"/>
              </w:rPr>
            </w:pPr>
          </w:p>
        </w:tc>
        <w:tc>
          <w:tcPr>
            <w:tcW w:w="1170" w:type="dxa"/>
            <w:vAlign w:val="center"/>
          </w:tcPr>
          <w:p w:rsidR="00475650" w:rsidRDefault="00475650" w:rsidP="00BD74CB">
            <w:pPr>
              <w:spacing w:beforeLines="10"/>
              <w:jc w:val="center"/>
              <w:rPr>
                <w:szCs w:val="21"/>
              </w:rPr>
            </w:pPr>
            <w:r>
              <w:rPr>
                <w:rFonts w:hAnsi="宋体"/>
                <w:szCs w:val="21"/>
              </w:rPr>
              <w:t>达标</w:t>
            </w:r>
          </w:p>
        </w:tc>
      </w:tr>
      <w:tr w:rsidR="00475650">
        <w:trPr>
          <w:jc w:val="center"/>
        </w:trPr>
        <w:tc>
          <w:tcPr>
            <w:tcW w:w="677" w:type="dxa"/>
            <w:vMerge/>
            <w:vAlign w:val="center"/>
          </w:tcPr>
          <w:p w:rsidR="00475650" w:rsidRDefault="00475650" w:rsidP="00BD74CB">
            <w:pPr>
              <w:tabs>
                <w:tab w:val="left" w:pos="720"/>
              </w:tabs>
              <w:adjustRightInd w:val="0"/>
              <w:spacing w:beforeLines="10"/>
              <w:jc w:val="center"/>
              <w:rPr>
                <w:szCs w:val="21"/>
              </w:rPr>
            </w:pPr>
          </w:p>
        </w:tc>
        <w:tc>
          <w:tcPr>
            <w:tcW w:w="930" w:type="dxa"/>
            <w:vMerge/>
            <w:vAlign w:val="center"/>
          </w:tcPr>
          <w:p w:rsidR="00475650" w:rsidRDefault="00475650" w:rsidP="00BD74CB">
            <w:pPr>
              <w:tabs>
                <w:tab w:val="left" w:pos="720"/>
              </w:tabs>
              <w:adjustRightInd w:val="0"/>
              <w:spacing w:beforeLines="10"/>
              <w:jc w:val="center"/>
              <w:rPr>
                <w:szCs w:val="21"/>
              </w:rPr>
            </w:pPr>
          </w:p>
        </w:tc>
        <w:tc>
          <w:tcPr>
            <w:tcW w:w="1029" w:type="dxa"/>
            <w:vAlign w:val="center"/>
          </w:tcPr>
          <w:p w:rsidR="00475650" w:rsidRDefault="00475650" w:rsidP="00BD74CB">
            <w:pPr>
              <w:adjustRightInd w:val="0"/>
              <w:spacing w:beforeLines="10"/>
              <w:ind w:leftChars="-50" w:left="-105" w:rightChars="-50" w:right="-105"/>
              <w:jc w:val="center"/>
              <w:rPr>
                <w:szCs w:val="21"/>
              </w:rPr>
            </w:pPr>
            <w:r>
              <w:rPr>
                <w:szCs w:val="21"/>
              </w:rPr>
              <w:t>6</w:t>
            </w:r>
            <w:r>
              <w:rPr>
                <w:rFonts w:hAnsi="宋体"/>
                <w:szCs w:val="21"/>
              </w:rPr>
              <w:t>月</w:t>
            </w:r>
            <w:r>
              <w:rPr>
                <w:szCs w:val="21"/>
              </w:rPr>
              <w:t>16</w:t>
            </w:r>
            <w:r>
              <w:rPr>
                <w:rFonts w:hAnsi="宋体"/>
                <w:szCs w:val="21"/>
              </w:rPr>
              <w:t>日</w:t>
            </w:r>
          </w:p>
        </w:tc>
        <w:tc>
          <w:tcPr>
            <w:tcW w:w="2451" w:type="dxa"/>
            <w:vAlign w:val="center"/>
          </w:tcPr>
          <w:p w:rsidR="00475650" w:rsidRDefault="00475650" w:rsidP="00BD74CB">
            <w:pPr>
              <w:tabs>
                <w:tab w:val="left" w:pos="720"/>
              </w:tabs>
              <w:adjustRightInd w:val="0"/>
              <w:spacing w:beforeLines="10"/>
              <w:jc w:val="center"/>
              <w:rPr>
                <w:szCs w:val="21"/>
              </w:rPr>
            </w:pPr>
            <w:r>
              <w:rPr>
                <w:szCs w:val="21"/>
              </w:rPr>
              <w:t>0.05ND    0.05ND    0.05ND</w:t>
            </w:r>
          </w:p>
        </w:tc>
        <w:tc>
          <w:tcPr>
            <w:tcW w:w="1115" w:type="dxa"/>
            <w:vMerge/>
            <w:vAlign w:val="center"/>
          </w:tcPr>
          <w:p w:rsidR="00475650" w:rsidRDefault="00475650" w:rsidP="00BD74CB">
            <w:pPr>
              <w:tabs>
                <w:tab w:val="left" w:pos="720"/>
              </w:tabs>
              <w:adjustRightInd w:val="0"/>
              <w:spacing w:beforeLines="10"/>
              <w:jc w:val="center"/>
              <w:rPr>
                <w:szCs w:val="21"/>
              </w:rPr>
            </w:pPr>
          </w:p>
        </w:tc>
        <w:tc>
          <w:tcPr>
            <w:tcW w:w="1574" w:type="dxa"/>
            <w:vMerge/>
            <w:vAlign w:val="center"/>
          </w:tcPr>
          <w:p w:rsidR="00475650" w:rsidRDefault="00475650" w:rsidP="00BD74CB">
            <w:pPr>
              <w:tabs>
                <w:tab w:val="left" w:pos="720"/>
              </w:tabs>
              <w:adjustRightInd w:val="0"/>
              <w:spacing w:beforeLines="10"/>
              <w:jc w:val="center"/>
              <w:rPr>
                <w:szCs w:val="21"/>
              </w:rPr>
            </w:pPr>
          </w:p>
        </w:tc>
        <w:tc>
          <w:tcPr>
            <w:tcW w:w="1170" w:type="dxa"/>
            <w:vAlign w:val="center"/>
          </w:tcPr>
          <w:p w:rsidR="00475650" w:rsidRDefault="00475650" w:rsidP="00BD74CB">
            <w:pPr>
              <w:spacing w:beforeLines="10"/>
              <w:jc w:val="center"/>
              <w:rPr>
                <w:szCs w:val="21"/>
              </w:rPr>
            </w:pPr>
            <w:r>
              <w:rPr>
                <w:rFonts w:hAnsi="宋体"/>
                <w:szCs w:val="21"/>
              </w:rPr>
              <w:t>达标</w:t>
            </w:r>
          </w:p>
        </w:tc>
      </w:tr>
      <w:tr w:rsidR="00475650">
        <w:trPr>
          <w:jc w:val="center"/>
        </w:trPr>
        <w:tc>
          <w:tcPr>
            <w:tcW w:w="677" w:type="dxa"/>
            <w:vMerge w:val="restart"/>
            <w:vAlign w:val="center"/>
          </w:tcPr>
          <w:p w:rsidR="00475650" w:rsidRDefault="00475650" w:rsidP="00BD74CB">
            <w:pPr>
              <w:tabs>
                <w:tab w:val="left" w:pos="720"/>
              </w:tabs>
              <w:adjustRightInd w:val="0"/>
              <w:spacing w:beforeLines="10"/>
              <w:jc w:val="center"/>
              <w:rPr>
                <w:szCs w:val="21"/>
              </w:rPr>
            </w:pPr>
            <w:r>
              <w:rPr>
                <w:rFonts w:hAnsi="宋体"/>
                <w:szCs w:val="21"/>
              </w:rPr>
              <w:t>氯</w:t>
            </w:r>
          </w:p>
        </w:tc>
        <w:tc>
          <w:tcPr>
            <w:tcW w:w="930" w:type="dxa"/>
            <w:vMerge w:val="restart"/>
            <w:vAlign w:val="center"/>
          </w:tcPr>
          <w:p w:rsidR="00475650" w:rsidRDefault="00475650" w:rsidP="00BD74CB">
            <w:pPr>
              <w:tabs>
                <w:tab w:val="left" w:pos="720"/>
              </w:tabs>
              <w:adjustRightInd w:val="0"/>
              <w:spacing w:beforeLines="10"/>
              <w:jc w:val="center"/>
              <w:rPr>
                <w:szCs w:val="21"/>
              </w:rPr>
            </w:pPr>
            <w:r>
              <w:rPr>
                <w:rFonts w:hAnsi="宋体"/>
                <w:szCs w:val="21"/>
              </w:rPr>
              <w:t>东厂界外</w:t>
            </w:r>
          </w:p>
        </w:tc>
        <w:tc>
          <w:tcPr>
            <w:tcW w:w="1029" w:type="dxa"/>
            <w:vAlign w:val="center"/>
          </w:tcPr>
          <w:p w:rsidR="00475650" w:rsidRDefault="00475650" w:rsidP="00BD74CB">
            <w:pPr>
              <w:adjustRightInd w:val="0"/>
              <w:spacing w:beforeLines="10"/>
              <w:ind w:leftChars="-50" w:left="-105" w:rightChars="-50" w:right="-105"/>
              <w:jc w:val="center"/>
              <w:rPr>
                <w:szCs w:val="21"/>
              </w:rPr>
            </w:pPr>
            <w:r>
              <w:rPr>
                <w:szCs w:val="21"/>
              </w:rPr>
              <w:t>6</w:t>
            </w:r>
            <w:r>
              <w:rPr>
                <w:rFonts w:hAnsi="宋体"/>
                <w:szCs w:val="21"/>
              </w:rPr>
              <w:t>月</w:t>
            </w:r>
            <w:r>
              <w:rPr>
                <w:szCs w:val="21"/>
              </w:rPr>
              <w:t>15</w:t>
            </w:r>
            <w:r>
              <w:rPr>
                <w:rFonts w:hAnsi="宋体"/>
                <w:szCs w:val="21"/>
              </w:rPr>
              <w:t>日</w:t>
            </w:r>
          </w:p>
        </w:tc>
        <w:tc>
          <w:tcPr>
            <w:tcW w:w="2451" w:type="dxa"/>
            <w:vAlign w:val="center"/>
          </w:tcPr>
          <w:p w:rsidR="00475650" w:rsidRDefault="00475650" w:rsidP="00BD74CB">
            <w:pPr>
              <w:tabs>
                <w:tab w:val="left" w:pos="720"/>
              </w:tabs>
              <w:adjustRightInd w:val="0"/>
              <w:spacing w:beforeLines="10"/>
              <w:jc w:val="center"/>
              <w:rPr>
                <w:szCs w:val="21"/>
              </w:rPr>
            </w:pPr>
            <w:r>
              <w:rPr>
                <w:szCs w:val="21"/>
              </w:rPr>
              <w:t>0.19   0.16     0.13</w:t>
            </w:r>
          </w:p>
        </w:tc>
        <w:tc>
          <w:tcPr>
            <w:tcW w:w="1115" w:type="dxa"/>
            <w:vMerge w:val="restart"/>
            <w:vAlign w:val="center"/>
          </w:tcPr>
          <w:p w:rsidR="00475650" w:rsidRDefault="00475650" w:rsidP="00BD74CB">
            <w:pPr>
              <w:tabs>
                <w:tab w:val="left" w:pos="720"/>
              </w:tabs>
              <w:adjustRightInd w:val="0"/>
              <w:spacing w:beforeLines="10"/>
              <w:jc w:val="center"/>
              <w:rPr>
                <w:szCs w:val="21"/>
              </w:rPr>
            </w:pPr>
            <w:r>
              <w:rPr>
                <w:szCs w:val="21"/>
              </w:rPr>
              <w:t>0.21</w:t>
            </w:r>
          </w:p>
        </w:tc>
        <w:tc>
          <w:tcPr>
            <w:tcW w:w="1574" w:type="dxa"/>
            <w:vMerge w:val="restart"/>
            <w:vAlign w:val="center"/>
          </w:tcPr>
          <w:p w:rsidR="00475650" w:rsidRDefault="00475650" w:rsidP="00BD74CB">
            <w:pPr>
              <w:tabs>
                <w:tab w:val="left" w:pos="720"/>
              </w:tabs>
              <w:adjustRightInd w:val="0"/>
              <w:spacing w:beforeLines="10"/>
              <w:jc w:val="center"/>
              <w:rPr>
                <w:szCs w:val="21"/>
              </w:rPr>
            </w:pPr>
            <w:r>
              <w:rPr>
                <w:szCs w:val="21"/>
              </w:rPr>
              <w:t>0.4</w:t>
            </w:r>
          </w:p>
        </w:tc>
        <w:tc>
          <w:tcPr>
            <w:tcW w:w="1170" w:type="dxa"/>
            <w:vAlign w:val="center"/>
          </w:tcPr>
          <w:p w:rsidR="00475650" w:rsidRDefault="00475650" w:rsidP="00BD74CB">
            <w:pPr>
              <w:spacing w:beforeLines="10"/>
              <w:jc w:val="center"/>
              <w:rPr>
                <w:szCs w:val="21"/>
              </w:rPr>
            </w:pPr>
            <w:r>
              <w:rPr>
                <w:rFonts w:hAnsi="宋体"/>
                <w:szCs w:val="21"/>
              </w:rPr>
              <w:t>达标</w:t>
            </w:r>
          </w:p>
        </w:tc>
      </w:tr>
      <w:tr w:rsidR="00475650">
        <w:trPr>
          <w:jc w:val="center"/>
        </w:trPr>
        <w:tc>
          <w:tcPr>
            <w:tcW w:w="677" w:type="dxa"/>
            <w:vMerge/>
            <w:vAlign w:val="center"/>
          </w:tcPr>
          <w:p w:rsidR="00475650" w:rsidRDefault="00475650" w:rsidP="00BD74CB">
            <w:pPr>
              <w:tabs>
                <w:tab w:val="left" w:pos="720"/>
              </w:tabs>
              <w:adjustRightInd w:val="0"/>
              <w:spacing w:beforeLines="10"/>
              <w:jc w:val="center"/>
              <w:rPr>
                <w:szCs w:val="21"/>
              </w:rPr>
            </w:pPr>
          </w:p>
        </w:tc>
        <w:tc>
          <w:tcPr>
            <w:tcW w:w="930" w:type="dxa"/>
            <w:vMerge/>
            <w:vAlign w:val="center"/>
          </w:tcPr>
          <w:p w:rsidR="00475650" w:rsidRDefault="00475650" w:rsidP="00BD74CB">
            <w:pPr>
              <w:tabs>
                <w:tab w:val="left" w:pos="720"/>
              </w:tabs>
              <w:adjustRightInd w:val="0"/>
              <w:spacing w:beforeLines="10"/>
              <w:jc w:val="center"/>
              <w:rPr>
                <w:szCs w:val="21"/>
              </w:rPr>
            </w:pPr>
          </w:p>
        </w:tc>
        <w:tc>
          <w:tcPr>
            <w:tcW w:w="1029" w:type="dxa"/>
            <w:vAlign w:val="center"/>
          </w:tcPr>
          <w:p w:rsidR="00475650" w:rsidRDefault="00475650" w:rsidP="00BD74CB">
            <w:pPr>
              <w:adjustRightInd w:val="0"/>
              <w:spacing w:beforeLines="10"/>
              <w:ind w:leftChars="-50" w:left="-105" w:rightChars="-50" w:right="-105"/>
              <w:jc w:val="center"/>
              <w:rPr>
                <w:szCs w:val="21"/>
              </w:rPr>
            </w:pPr>
            <w:r>
              <w:rPr>
                <w:szCs w:val="21"/>
              </w:rPr>
              <w:t>6</w:t>
            </w:r>
            <w:r>
              <w:rPr>
                <w:rFonts w:hAnsi="宋体"/>
                <w:szCs w:val="21"/>
              </w:rPr>
              <w:t>月</w:t>
            </w:r>
            <w:r>
              <w:rPr>
                <w:szCs w:val="21"/>
              </w:rPr>
              <w:t>16</w:t>
            </w:r>
            <w:r>
              <w:rPr>
                <w:rFonts w:hAnsi="宋体"/>
                <w:szCs w:val="21"/>
              </w:rPr>
              <w:t>日</w:t>
            </w:r>
          </w:p>
        </w:tc>
        <w:tc>
          <w:tcPr>
            <w:tcW w:w="2451" w:type="dxa"/>
            <w:vAlign w:val="center"/>
          </w:tcPr>
          <w:p w:rsidR="00475650" w:rsidRDefault="00475650" w:rsidP="00BD74CB">
            <w:pPr>
              <w:tabs>
                <w:tab w:val="left" w:pos="720"/>
              </w:tabs>
              <w:adjustRightInd w:val="0"/>
              <w:spacing w:beforeLines="10"/>
              <w:jc w:val="center"/>
              <w:rPr>
                <w:szCs w:val="21"/>
              </w:rPr>
            </w:pPr>
            <w:r>
              <w:rPr>
                <w:szCs w:val="21"/>
              </w:rPr>
              <w:t>0.12   0.18     0.16</w:t>
            </w:r>
          </w:p>
        </w:tc>
        <w:tc>
          <w:tcPr>
            <w:tcW w:w="1115" w:type="dxa"/>
            <w:vMerge/>
            <w:vAlign w:val="center"/>
          </w:tcPr>
          <w:p w:rsidR="00475650" w:rsidRDefault="00475650" w:rsidP="00BD74CB">
            <w:pPr>
              <w:tabs>
                <w:tab w:val="left" w:pos="720"/>
              </w:tabs>
              <w:adjustRightInd w:val="0"/>
              <w:spacing w:beforeLines="10"/>
              <w:jc w:val="center"/>
              <w:rPr>
                <w:szCs w:val="21"/>
              </w:rPr>
            </w:pPr>
          </w:p>
        </w:tc>
        <w:tc>
          <w:tcPr>
            <w:tcW w:w="1574" w:type="dxa"/>
            <w:vMerge/>
            <w:vAlign w:val="center"/>
          </w:tcPr>
          <w:p w:rsidR="00475650" w:rsidRDefault="00475650" w:rsidP="00BD74CB">
            <w:pPr>
              <w:tabs>
                <w:tab w:val="left" w:pos="720"/>
              </w:tabs>
              <w:adjustRightInd w:val="0"/>
              <w:spacing w:beforeLines="10"/>
              <w:jc w:val="center"/>
              <w:rPr>
                <w:szCs w:val="21"/>
              </w:rPr>
            </w:pPr>
          </w:p>
        </w:tc>
        <w:tc>
          <w:tcPr>
            <w:tcW w:w="1170" w:type="dxa"/>
            <w:vAlign w:val="center"/>
          </w:tcPr>
          <w:p w:rsidR="00475650" w:rsidRDefault="00475650" w:rsidP="00BD74CB">
            <w:pPr>
              <w:spacing w:beforeLines="10"/>
              <w:jc w:val="center"/>
              <w:rPr>
                <w:szCs w:val="21"/>
              </w:rPr>
            </w:pPr>
            <w:r>
              <w:rPr>
                <w:rFonts w:hAnsi="宋体"/>
                <w:szCs w:val="21"/>
              </w:rPr>
              <w:t>达标</w:t>
            </w:r>
          </w:p>
        </w:tc>
      </w:tr>
      <w:tr w:rsidR="00475650">
        <w:trPr>
          <w:jc w:val="center"/>
        </w:trPr>
        <w:tc>
          <w:tcPr>
            <w:tcW w:w="677" w:type="dxa"/>
            <w:vMerge/>
            <w:vAlign w:val="center"/>
          </w:tcPr>
          <w:p w:rsidR="00475650" w:rsidRDefault="00475650" w:rsidP="00BD74CB">
            <w:pPr>
              <w:tabs>
                <w:tab w:val="left" w:pos="720"/>
              </w:tabs>
              <w:adjustRightInd w:val="0"/>
              <w:spacing w:beforeLines="10"/>
              <w:jc w:val="center"/>
              <w:rPr>
                <w:szCs w:val="21"/>
              </w:rPr>
            </w:pPr>
          </w:p>
        </w:tc>
        <w:tc>
          <w:tcPr>
            <w:tcW w:w="930" w:type="dxa"/>
            <w:vMerge w:val="restart"/>
            <w:vAlign w:val="center"/>
          </w:tcPr>
          <w:p w:rsidR="00475650" w:rsidRDefault="00475650" w:rsidP="00BD74CB">
            <w:pPr>
              <w:tabs>
                <w:tab w:val="left" w:pos="720"/>
              </w:tabs>
              <w:adjustRightInd w:val="0"/>
              <w:spacing w:beforeLines="10"/>
              <w:jc w:val="center"/>
              <w:rPr>
                <w:szCs w:val="21"/>
              </w:rPr>
            </w:pPr>
            <w:r>
              <w:rPr>
                <w:rFonts w:hAnsi="宋体"/>
                <w:szCs w:val="21"/>
              </w:rPr>
              <w:t>北厂界外</w:t>
            </w:r>
          </w:p>
        </w:tc>
        <w:tc>
          <w:tcPr>
            <w:tcW w:w="1029" w:type="dxa"/>
            <w:vAlign w:val="center"/>
          </w:tcPr>
          <w:p w:rsidR="00475650" w:rsidRDefault="00475650" w:rsidP="00BD74CB">
            <w:pPr>
              <w:adjustRightInd w:val="0"/>
              <w:spacing w:beforeLines="10"/>
              <w:ind w:leftChars="-50" w:left="-105" w:rightChars="-50" w:right="-105"/>
              <w:jc w:val="center"/>
              <w:rPr>
                <w:szCs w:val="21"/>
              </w:rPr>
            </w:pPr>
            <w:r>
              <w:rPr>
                <w:szCs w:val="21"/>
              </w:rPr>
              <w:t>6</w:t>
            </w:r>
            <w:r>
              <w:rPr>
                <w:rFonts w:hAnsi="宋体"/>
                <w:szCs w:val="21"/>
              </w:rPr>
              <w:t>月</w:t>
            </w:r>
            <w:r>
              <w:rPr>
                <w:szCs w:val="21"/>
              </w:rPr>
              <w:t>15</w:t>
            </w:r>
            <w:r>
              <w:rPr>
                <w:rFonts w:hAnsi="宋体"/>
                <w:szCs w:val="21"/>
              </w:rPr>
              <w:t>日</w:t>
            </w:r>
          </w:p>
        </w:tc>
        <w:tc>
          <w:tcPr>
            <w:tcW w:w="2451" w:type="dxa"/>
            <w:vAlign w:val="center"/>
          </w:tcPr>
          <w:p w:rsidR="00475650" w:rsidRDefault="00475650" w:rsidP="00BD74CB">
            <w:pPr>
              <w:tabs>
                <w:tab w:val="left" w:pos="720"/>
              </w:tabs>
              <w:adjustRightInd w:val="0"/>
              <w:spacing w:beforeLines="10"/>
              <w:jc w:val="center"/>
              <w:rPr>
                <w:szCs w:val="21"/>
              </w:rPr>
            </w:pPr>
            <w:r>
              <w:rPr>
                <w:szCs w:val="21"/>
              </w:rPr>
              <w:t>0.11   0.20     0.21</w:t>
            </w:r>
          </w:p>
        </w:tc>
        <w:tc>
          <w:tcPr>
            <w:tcW w:w="1115" w:type="dxa"/>
            <w:vMerge/>
            <w:vAlign w:val="center"/>
          </w:tcPr>
          <w:p w:rsidR="00475650" w:rsidRDefault="00475650" w:rsidP="00BD74CB">
            <w:pPr>
              <w:tabs>
                <w:tab w:val="left" w:pos="720"/>
              </w:tabs>
              <w:adjustRightInd w:val="0"/>
              <w:spacing w:beforeLines="10"/>
              <w:jc w:val="center"/>
              <w:rPr>
                <w:szCs w:val="21"/>
              </w:rPr>
            </w:pPr>
          </w:p>
        </w:tc>
        <w:tc>
          <w:tcPr>
            <w:tcW w:w="1574" w:type="dxa"/>
            <w:vMerge/>
            <w:vAlign w:val="center"/>
          </w:tcPr>
          <w:p w:rsidR="00475650" w:rsidRDefault="00475650" w:rsidP="00BD74CB">
            <w:pPr>
              <w:tabs>
                <w:tab w:val="left" w:pos="720"/>
              </w:tabs>
              <w:adjustRightInd w:val="0"/>
              <w:spacing w:beforeLines="10"/>
              <w:jc w:val="center"/>
              <w:rPr>
                <w:szCs w:val="21"/>
              </w:rPr>
            </w:pPr>
          </w:p>
        </w:tc>
        <w:tc>
          <w:tcPr>
            <w:tcW w:w="1170" w:type="dxa"/>
            <w:vAlign w:val="center"/>
          </w:tcPr>
          <w:p w:rsidR="00475650" w:rsidRDefault="00475650" w:rsidP="00BD74CB">
            <w:pPr>
              <w:spacing w:beforeLines="10"/>
              <w:jc w:val="center"/>
              <w:rPr>
                <w:szCs w:val="21"/>
              </w:rPr>
            </w:pPr>
            <w:r>
              <w:rPr>
                <w:rFonts w:hAnsi="宋体"/>
                <w:szCs w:val="21"/>
              </w:rPr>
              <w:t>达标</w:t>
            </w:r>
          </w:p>
        </w:tc>
      </w:tr>
      <w:tr w:rsidR="00475650">
        <w:trPr>
          <w:jc w:val="center"/>
        </w:trPr>
        <w:tc>
          <w:tcPr>
            <w:tcW w:w="677" w:type="dxa"/>
            <w:vMerge/>
            <w:vAlign w:val="center"/>
          </w:tcPr>
          <w:p w:rsidR="00475650" w:rsidRDefault="00475650" w:rsidP="00BD74CB">
            <w:pPr>
              <w:tabs>
                <w:tab w:val="left" w:pos="720"/>
              </w:tabs>
              <w:adjustRightInd w:val="0"/>
              <w:spacing w:beforeLines="10"/>
              <w:jc w:val="center"/>
              <w:rPr>
                <w:szCs w:val="21"/>
              </w:rPr>
            </w:pPr>
          </w:p>
        </w:tc>
        <w:tc>
          <w:tcPr>
            <w:tcW w:w="930" w:type="dxa"/>
            <w:vMerge/>
            <w:vAlign w:val="center"/>
          </w:tcPr>
          <w:p w:rsidR="00475650" w:rsidRDefault="00475650" w:rsidP="00BD74CB">
            <w:pPr>
              <w:tabs>
                <w:tab w:val="left" w:pos="720"/>
              </w:tabs>
              <w:adjustRightInd w:val="0"/>
              <w:spacing w:beforeLines="10"/>
              <w:jc w:val="center"/>
              <w:rPr>
                <w:szCs w:val="21"/>
              </w:rPr>
            </w:pPr>
          </w:p>
        </w:tc>
        <w:tc>
          <w:tcPr>
            <w:tcW w:w="1029" w:type="dxa"/>
            <w:vAlign w:val="center"/>
          </w:tcPr>
          <w:p w:rsidR="00475650" w:rsidRDefault="00475650" w:rsidP="00BD74CB">
            <w:pPr>
              <w:adjustRightInd w:val="0"/>
              <w:spacing w:beforeLines="10"/>
              <w:ind w:leftChars="-50" w:left="-105" w:rightChars="-50" w:right="-105"/>
              <w:jc w:val="center"/>
              <w:rPr>
                <w:szCs w:val="21"/>
              </w:rPr>
            </w:pPr>
            <w:r>
              <w:rPr>
                <w:szCs w:val="21"/>
              </w:rPr>
              <w:t>6</w:t>
            </w:r>
            <w:r>
              <w:rPr>
                <w:rFonts w:hAnsi="宋体"/>
                <w:szCs w:val="21"/>
              </w:rPr>
              <w:t>月</w:t>
            </w:r>
            <w:r>
              <w:rPr>
                <w:szCs w:val="21"/>
              </w:rPr>
              <w:t>16</w:t>
            </w:r>
            <w:r>
              <w:rPr>
                <w:rFonts w:hAnsi="宋体"/>
                <w:szCs w:val="21"/>
              </w:rPr>
              <w:t>日</w:t>
            </w:r>
          </w:p>
        </w:tc>
        <w:tc>
          <w:tcPr>
            <w:tcW w:w="2451" w:type="dxa"/>
            <w:vAlign w:val="center"/>
          </w:tcPr>
          <w:p w:rsidR="00475650" w:rsidRDefault="00475650" w:rsidP="00BD74CB">
            <w:pPr>
              <w:tabs>
                <w:tab w:val="left" w:pos="720"/>
              </w:tabs>
              <w:adjustRightInd w:val="0"/>
              <w:spacing w:beforeLines="10"/>
              <w:jc w:val="center"/>
              <w:rPr>
                <w:szCs w:val="21"/>
              </w:rPr>
            </w:pPr>
            <w:r>
              <w:rPr>
                <w:szCs w:val="21"/>
              </w:rPr>
              <w:t>0.13   0.19     0.12</w:t>
            </w:r>
          </w:p>
        </w:tc>
        <w:tc>
          <w:tcPr>
            <w:tcW w:w="1115" w:type="dxa"/>
            <w:vMerge/>
            <w:vAlign w:val="center"/>
          </w:tcPr>
          <w:p w:rsidR="00475650" w:rsidRDefault="00475650" w:rsidP="00BD74CB">
            <w:pPr>
              <w:tabs>
                <w:tab w:val="left" w:pos="720"/>
              </w:tabs>
              <w:adjustRightInd w:val="0"/>
              <w:spacing w:beforeLines="10"/>
              <w:jc w:val="center"/>
              <w:rPr>
                <w:szCs w:val="21"/>
              </w:rPr>
            </w:pPr>
          </w:p>
        </w:tc>
        <w:tc>
          <w:tcPr>
            <w:tcW w:w="1574" w:type="dxa"/>
            <w:vMerge/>
            <w:vAlign w:val="center"/>
          </w:tcPr>
          <w:p w:rsidR="00475650" w:rsidRDefault="00475650" w:rsidP="00BD74CB">
            <w:pPr>
              <w:tabs>
                <w:tab w:val="left" w:pos="720"/>
              </w:tabs>
              <w:adjustRightInd w:val="0"/>
              <w:spacing w:beforeLines="10"/>
              <w:jc w:val="center"/>
              <w:rPr>
                <w:szCs w:val="21"/>
              </w:rPr>
            </w:pPr>
          </w:p>
        </w:tc>
        <w:tc>
          <w:tcPr>
            <w:tcW w:w="1170" w:type="dxa"/>
            <w:vAlign w:val="center"/>
          </w:tcPr>
          <w:p w:rsidR="00475650" w:rsidRDefault="00475650" w:rsidP="00BD74CB">
            <w:pPr>
              <w:spacing w:beforeLines="10"/>
              <w:jc w:val="center"/>
              <w:rPr>
                <w:szCs w:val="21"/>
              </w:rPr>
            </w:pPr>
            <w:r>
              <w:rPr>
                <w:rFonts w:hAnsi="宋体"/>
                <w:szCs w:val="21"/>
              </w:rPr>
              <w:t>达标</w:t>
            </w:r>
          </w:p>
        </w:tc>
      </w:tr>
      <w:tr w:rsidR="00475650">
        <w:trPr>
          <w:jc w:val="center"/>
        </w:trPr>
        <w:tc>
          <w:tcPr>
            <w:tcW w:w="677" w:type="dxa"/>
            <w:vMerge/>
            <w:vAlign w:val="center"/>
          </w:tcPr>
          <w:p w:rsidR="00475650" w:rsidRDefault="00475650" w:rsidP="00BD74CB">
            <w:pPr>
              <w:tabs>
                <w:tab w:val="left" w:pos="720"/>
              </w:tabs>
              <w:adjustRightInd w:val="0"/>
              <w:spacing w:beforeLines="10"/>
              <w:jc w:val="center"/>
              <w:rPr>
                <w:szCs w:val="21"/>
              </w:rPr>
            </w:pPr>
          </w:p>
        </w:tc>
        <w:tc>
          <w:tcPr>
            <w:tcW w:w="930" w:type="dxa"/>
            <w:vMerge w:val="restart"/>
            <w:vAlign w:val="center"/>
          </w:tcPr>
          <w:p w:rsidR="00475650" w:rsidRDefault="00475650" w:rsidP="00BD74CB">
            <w:pPr>
              <w:tabs>
                <w:tab w:val="left" w:pos="720"/>
              </w:tabs>
              <w:adjustRightInd w:val="0"/>
              <w:spacing w:beforeLines="10"/>
              <w:jc w:val="center"/>
              <w:rPr>
                <w:szCs w:val="21"/>
              </w:rPr>
            </w:pPr>
            <w:r>
              <w:rPr>
                <w:rFonts w:hAnsi="宋体"/>
                <w:szCs w:val="21"/>
              </w:rPr>
              <w:t>西厂界外</w:t>
            </w:r>
          </w:p>
        </w:tc>
        <w:tc>
          <w:tcPr>
            <w:tcW w:w="1029" w:type="dxa"/>
            <w:vAlign w:val="center"/>
          </w:tcPr>
          <w:p w:rsidR="00475650" w:rsidRDefault="00475650" w:rsidP="00BD74CB">
            <w:pPr>
              <w:adjustRightInd w:val="0"/>
              <w:spacing w:beforeLines="10"/>
              <w:ind w:leftChars="-50" w:left="-105" w:rightChars="-50" w:right="-105"/>
              <w:jc w:val="center"/>
              <w:rPr>
                <w:szCs w:val="21"/>
              </w:rPr>
            </w:pPr>
            <w:r>
              <w:rPr>
                <w:szCs w:val="21"/>
              </w:rPr>
              <w:t>6</w:t>
            </w:r>
            <w:r>
              <w:rPr>
                <w:rFonts w:hAnsi="宋体"/>
                <w:szCs w:val="21"/>
              </w:rPr>
              <w:t>月</w:t>
            </w:r>
            <w:r>
              <w:rPr>
                <w:szCs w:val="21"/>
              </w:rPr>
              <w:t>15</w:t>
            </w:r>
            <w:r>
              <w:rPr>
                <w:rFonts w:hAnsi="宋体"/>
                <w:szCs w:val="21"/>
              </w:rPr>
              <w:t>日</w:t>
            </w:r>
          </w:p>
        </w:tc>
        <w:tc>
          <w:tcPr>
            <w:tcW w:w="2451" w:type="dxa"/>
            <w:vAlign w:val="center"/>
          </w:tcPr>
          <w:p w:rsidR="00475650" w:rsidRDefault="00475650" w:rsidP="00BD74CB">
            <w:pPr>
              <w:tabs>
                <w:tab w:val="left" w:pos="720"/>
              </w:tabs>
              <w:adjustRightInd w:val="0"/>
              <w:spacing w:beforeLines="10"/>
              <w:jc w:val="center"/>
              <w:rPr>
                <w:szCs w:val="21"/>
              </w:rPr>
            </w:pPr>
            <w:r>
              <w:rPr>
                <w:szCs w:val="21"/>
              </w:rPr>
              <w:t>0.14    0.18     0.20</w:t>
            </w:r>
          </w:p>
        </w:tc>
        <w:tc>
          <w:tcPr>
            <w:tcW w:w="1115" w:type="dxa"/>
            <w:vMerge/>
            <w:vAlign w:val="center"/>
          </w:tcPr>
          <w:p w:rsidR="00475650" w:rsidRDefault="00475650" w:rsidP="00BD74CB">
            <w:pPr>
              <w:tabs>
                <w:tab w:val="left" w:pos="720"/>
              </w:tabs>
              <w:adjustRightInd w:val="0"/>
              <w:spacing w:beforeLines="10"/>
              <w:jc w:val="center"/>
              <w:rPr>
                <w:szCs w:val="21"/>
              </w:rPr>
            </w:pPr>
          </w:p>
        </w:tc>
        <w:tc>
          <w:tcPr>
            <w:tcW w:w="1574" w:type="dxa"/>
            <w:vMerge/>
            <w:vAlign w:val="center"/>
          </w:tcPr>
          <w:p w:rsidR="00475650" w:rsidRDefault="00475650" w:rsidP="00BD74CB">
            <w:pPr>
              <w:tabs>
                <w:tab w:val="left" w:pos="720"/>
              </w:tabs>
              <w:adjustRightInd w:val="0"/>
              <w:spacing w:beforeLines="10"/>
              <w:jc w:val="center"/>
              <w:rPr>
                <w:szCs w:val="21"/>
              </w:rPr>
            </w:pPr>
          </w:p>
        </w:tc>
        <w:tc>
          <w:tcPr>
            <w:tcW w:w="1170" w:type="dxa"/>
            <w:vAlign w:val="center"/>
          </w:tcPr>
          <w:p w:rsidR="00475650" w:rsidRDefault="00475650" w:rsidP="00BD74CB">
            <w:pPr>
              <w:spacing w:beforeLines="10"/>
              <w:jc w:val="center"/>
              <w:rPr>
                <w:szCs w:val="21"/>
              </w:rPr>
            </w:pPr>
            <w:r>
              <w:rPr>
                <w:rFonts w:hAnsi="宋体"/>
                <w:szCs w:val="21"/>
              </w:rPr>
              <w:t>达标</w:t>
            </w:r>
          </w:p>
        </w:tc>
      </w:tr>
      <w:tr w:rsidR="00475650">
        <w:trPr>
          <w:jc w:val="center"/>
        </w:trPr>
        <w:tc>
          <w:tcPr>
            <w:tcW w:w="677" w:type="dxa"/>
            <w:vMerge/>
            <w:vAlign w:val="center"/>
          </w:tcPr>
          <w:p w:rsidR="00475650" w:rsidRDefault="00475650" w:rsidP="00BD74CB">
            <w:pPr>
              <w:tabs>
                <w:tab w:val="left" w:pos="720"/>
              </w:tabs>
              <w:adjustRightInd w:val="0"/>
              <w:spacing w:beforeLines="10"/>
              <w:jc w:val="center"/>
              <w:rPr>
                <w:szCs w:val="21"/>
              </w:rPr>
            </w:pPr>
          </w:p>
        </w:tc>
        <w:tc>
          <w:tcPr>
            <w:tcW w:w="930" w:type="dxa"/>
            <w:vMerge/>
            <w:vAlign w:val="center"/>
          </w:tcPr>
          <w:p w:rsidR="00475650" w:rsidRDefault="00475650" w:rsidP="00BD74CB">
            <w:pPr>
              <w:tabs>
                <w:tab w:val="left" w:pos="720"/>
              </w:tabs>
              <w:adjustRightInd w:val="0"/>
              <w:spacing w:beforeLines="10"/>
              <w:jc w:val="center"/>
              <w:rPr>
                <w:szCs w:val="21"/>
              </w:rPr>
            </w:pPr>
          </w:p>
        </w:tc>
        <w:tc>
          <w:tcPr>
            <w:tcW w:w="1029" w:type="dxa"/>
            <w:vAlign w:val="center"/>
          </w:tcPr>
          <w:p w:rsidR="00475650" w:rsidRDefault="00475650" w:rsidP="00BD74CB">
            <w:pPr>
              <w:adjustRightInd w:val="0"/>
              <w:spacing w:beforeLines="10"/>
              <w:ind w:leftChars="-50" w:left="-105" w:rightChars="-50" w:right="-105"/>
              <w:jc w:val="center"/>
              <w:rPr>
                <w:szCs w:val="21"/>
              </w:rPr>
            </w:pPr>
            <w:r>
              <w:rPr>
                <w:szCs w:val="21"/>
              </w:rPr>
              <w:t>6</w:t>
            </w:r>
            <w:r>
              <w:rPr>
                <w:rFonts w:hAnsi="宋体"/>
                <w:szCs w:val="21"/>
              </w:rPr>
              <w:t>月</w:t>
            </w:r>
            <w:r>
              <w:rPr>
                <w:szCs w:val="21"/>
              </w:rPr>
              <w:t>16</w:t>
            </w:r>
            <w:r>
              <w:rPr>
                <w:rFonts w:hAnsi="宋体"/>
                <w:szCs w:val="21"/>
              </w:rPr>
              <w:t>日</w:t>
            </w:r>
          </w:p>
        </w:tc>
        <w:tc>
          <w:tcPr>
            <w:tcW w:w="2451" w:type="dxa"/>
            <w:vAlign w:val="center"/>
          </w:tcPr>
          <w:p w:rsidR="00475650" w:rsidRDefault="00475650" w:rsidP="00BD74CB">
            <w:pPr>
              <w:tabs>
                <w:tab w:val="left" w:pos="720"/>
              </w:tabs>
              <w:adjustRightInd w:val="0"/>
              <w:spacing w:beforeLines="10"/>
              <w:jc w:val="center"/>
              <w:rPr>
                <w:szCs w:val="21"/>
              </w:rPr>
            </w:pPr>
            <w:r>
              <w:rPr>
                <w:szCs w:val="21"/>
              </w:rPr>
              <w:t>0.17   0.18     0.20</w:t>
            </w:r>
          </w:p>
        </w:tc>
        <w:tc>
          <w:tcPr>
            <w:tcW w:w="1115" w:type="dxa"/>
            <w:vMerge/>
            <w:vAlign w:val="center"/>
          </w:tcPr>
          <w:p w:rsidR="00475650" w:rsidRDefault="00475650" w:rsidP="00BD74CB">
            <w:pPr>
              <w:tabs>
                <w:tab w:val="left" w:pos="720"/>
              </w:tabs>
              <w:adjustRightInd w:val="0"/>
              <w:spacing w:beforeLines="10"/>
              <w:jc w:val="center"/>
              <w:rPr>
                <w:szCs w:val="21"/>
              </w:rPr>
            </w:pPr>
          </w:p>
        </w:tc>
        <w:tc>
          <w:tcPr>
            <w:tcW w:w="1574" w:type="dxa"/>
            <w:vMerge/>
            <w:vAlign w:val="center"/>
          </w:tcPr>
          <w:p w:rsidR="00475650" w:rsidRDefault="00475650" w:rsidP="00BD74CB">
            <w:pPr>
              <w:tabs>
                <w:tab w:val="left" w:pos="720"/>
              </w:tabs>
              <w:adjustRightInd w:val="0"/>
              <w:spacing w:beforeLines="10"/>
              <w:jc w:val="center"/>
              <w:rPr>
                <w:szCs w:val="21"/>
              </w:rPr>
            </w:pPr>
          </w:p>
        </w:tc>
        <w:tc>
          <w:tcPr>
            <w:tcW w:w="1170" w:type="dxa"/>
            <w:vAlign w:val="center"/>
          </w:tcPr>
          <w:p w:rsidR="00475650" w:rsidRDefault="00475650" w:rsidP="00BD74CB">
            <w:pPr>
              <w:spacing w:beforeLines="10"/>
              <w:jc w:val="center"/>
              <w:rPr>
                <w:szCs w:val="21"/>
              </w:rPr>
            </w:pPr>
            <w:r>
              <w:rPr>
                <w:rFonts w:hAnsi="宋体"/>
                <w:szCs w:val="21"/>
              </w:rPr>
              <w:t>达标</w:t>
            </w:r>
          </w:p>
        </w:tc>
      </w:tr>
      <w:tr w:rsidR="00475650">
        <w:trPr>
          <w:jc w:val="center"/>
        </w:trPr>
        <w:tc>
          <w:tcPr>
            <w:tcW w:w="677" w:type="dxa"/>
            <w:vMerge/>
            <w:vAlign w:val="center"/>
          </w:tcPr>
          <w:p w:rsidR="00475650" w:rsidRDefault="00475650" w:rsidP="00BD74CB">
            <w:pPr>
              <w:tabs>
                <w:tab w:val="left" w:pos="720"/>
              </w:tabs>
              <w:adjustRightInd w:val="0"/>
              <w:spacing w:beforeLines="10"/>
              <w:jc w:val="center"/>
              <w:rPr>
                <w:szCs w:val="21"/>
              </w:rPr>
            </w:pPr>
          </w:p>
        </w:tc>
        <w:tc>
          <w:tcPr>
            <w:tcW w:w="930" w:type="dxa"/>
            <w:vMerge w:val="restart"/>
            <w:vAlign w:val="center"/>
          </w:tcPr>
          <w:p w:rsidR="00475650" w:rsidRDefault="00475650" w:rsidP="00BD74CB">
            <w:pPr>
              <w:tabs>
                <w:tab w:val="left" w:pos="720"/>
              </w:tabs>
              <w:adjustRightInd w:val="0"/>
              <w:spacing w:beforeLines="10"/>
              <w:jc w:val="center"/>
              <w:rPr>
                <w:szCs w:val="21"/>
              </w:rPr>
            </w:pPr>
            <w:r>
              <w:rPr>
                <w:rFonts w:hAnsi="宋体"/>
                <w:szCs w:val="21"/>
              </w:rPr>
              <w:t>南厂界外</w:t>
            </w:r>
          </w:p>
        </w:tc>
        <w:tc>
          <w:tcPr>
            <w:tcW w:w="1029" w:type="dxa"/>
            <w:vAlign w:val="center"/>
          </w:tcPr>
          <w:p w:rsidR="00475650" w:rsidRDefault="00475650" w:rsidP="00BD74CB">
            <w:pPr>
              <w:adjustRightInd w:val="0"/>
              <w:spacing w:beforeLines="10"/>
              <w:ind w:leftChars="-50" w:left="-105" w:rightChars="-50" w:right="-105"/>
              <w:jc w:val="center"/>
              <w:rPr>
                <w:szCs w:val="21"/>
              </w:rPr>
            </w:pPr>
            <w:r>
              <w:rPr>
                <w:szCs w:val="21"/>
              </w:rPr>
              <w:t>6</w:t>
            </w:r>
            <w:r>
              <w:rPr>
                <w:rFonts w:hAnsi="宋体"/>
                <w:szCs w:val="21"/>
              </w:rPr>
              <w:t>月</w:t>
            </w:r>
            <w:r>
              <w:rPr>
                <w:szCs w:val="21"/>
              </w:rPr>
              <w:t>15</w:t>
            </w:r>
            <w:r>
              <w:rPr>
                <w:rFonts w:hAnsi="宋体"/>
                <w:szCs w:val="21"/>
              </w:rPr>
              <w:t>日</w:t>
            </w:r>
          </w:p>
        </w:tc>
        <w:tc>
          <w:tcPr>
            <w:tcW w:w="2451" w:type="dxa"/>
            <w:vAlign w:val="center"/>
          </w:tcPr>
          <w:p w:rsidR="00475650" w:rsidRDefault="00475650" w:rsidP="00BD74CB">
            <w:pPr>
              <w:tabs>
                <w:tab w:val="left" w:pos="720"/>
              </w:tabs>
              <w:adjustRightInd w:val="0"/>
              <w:spacing w:beforeLines="10"/>
              <w:jc w:val="center"/>
              <w:rPr>
                <w:szCs w:val="21"/>
              </w:rPr>
            </w:pPr>
            <w:r>
              <w:rPr>
                <w:szCs w:val="21"/>
              </w:rPr>
              <w:t>0.17   0.20     0.14</w:t>
            </w:r>
          </w:p>
        </w:tc>
        <w:tc>
          <w:tcPr>
            <w:tcW w:w="1115" w:type="dxa"/>
            <w:vMerge/>
            <w:vAlign w:val="center"/>
          </w:tcPr>
          <w:p w:rsidR="00475650" w:rsidRDefault="00475650" w:rsidP="00BD74CB">
            <w:pPr>
              <w:tabs>
                <w:tab w:val="left" w:pos="720"/>
              </w:tabs>
              <w:adjustRightInd w:val="0"/>
              <w:spacing w:beforeLines="10"/>
              <w:jc w:val="center"/>
              <w:rPr>
                <w:szCs w:val="21"/>
              </w:rPr>
            </w:pPr>
          </w:p>
        </w:tc>
        <w:tc>
          <w:tcPr>
            <w:tcW w:w="1574" w:type="dxa"/>
            <w:vMerge/>
            <w:vAlign w:val="center"/>
          </w:tcPr>
          <w:p w:rsidR="00475650" w:rsidRDefault="00475650" w:rsidP="00BD74CB">
            <w:pPr>
              <w:tabs>
                <w:tab w:val="left" w:pos="720"/>
              </w:tabs>
              <w:adjustRightInd w:val="0"/>
              <w:spacing w:beforeLines="10"/>
              <w:jc w:val="center"/>
              <w:rPr>
                <w:szCs w:val="21"/>
              </w:rPr>
            </w:pPr>
          </w:p>
        </w:tc>
        <w:tc>
          <w:tcPr>
            <w:tcW w:w="1170" w:type="dxa"/>
            <w:vAlign w:val="center"/>
          </w:tcPr>
          <w:p w:rsidR="00475650" w:rsidRDefault="00475650" w:rsidP="00BD74CB">
            <w:pPr>
              <w:spacing w:beforeLines="10"/>
              <w:jc w:val="center"/>
              <w:rPr>
                <w:szCs w:val="21"/>
              </w:rPr>
            </w:pPr>
            <w:r>
              <w:rPr>
                <w:rFonts w:hAnsi="宋体"/>
                <w:szCs w:val="21"/>
              </w:rPr>
              <w:t>达标</w:t>
            </w:r>
          </w:p>
        </w:tc>
      </w:tr>
      <w:tr w:rsidR="00475650">
        <w:trPr>
          <w:jc w:val="center"/>
        </w:trPr>
        <w:tc>
          <w:tcPr>
            <w:tcW w:w="677" w:type="dxa"/>
            <w:vMerge/>
            <w:vAlign w:val="center"/>
          </w:tcPr>
          <w:p w:rsidR="00475650" w:rsidRDefault="00475650" w:rsidP="00BD74CB">
            <w:pPr>
              <w:tabs>
                <w:tab w:val="left" w:pos="720"/>
              </w:tabs>
              <w:adjustRightInd w:val="0"/>
              <w:spacing w:beforeLines="10"/>
              <w:jc w:val="center"/>
              <w:rPr>
                <w:szCs w:val="21"/>
              </w:rPr>
            </w:pPr>
          </w:p>
        </w:tc>
        <w:tc>
          <w:tcPr>
            <w:tcW w:w="930" w:type="dxa"/>
            <w:vMerge/>
            <w:vAlign w:val="center"/>
          </w:tcPr>
          <w:p w:rsidR="00475650" w:rsidRDefault="00475650" w:rsidP="00BD74CB">
            <w:pPr>
              <w:tabs>
                <w:tab w:val="left" w:pos="720"/>
              </w:tabs>
              <w:adjustRightInd w:val="0"/>
              <w:spacing w:beforeLines="10"/>
              <w:jc w:val="center"/>
              <w:rPr>
                <w:szCs w:val="21"/>
              </w:rPr>
            </w:pPr>
          </w:p>
        </w:tc>
        <w:tc>
          <w:tcPr>
            <w:tcW w:w="1029" w:type="dxa"/>
            <w:vAlign w:val="center"/>
          </w:tcPr>
          <w:p w:rsidR="00475650" w:rsidRDefault="00475650" w:rsidP="00BD74CB">
            <w:pPr>
              <w:adjustRightInd w:val="0"/>
              <w:spacing w:beforeLines="10"/>
              <w:ind w:leftChars="-50" w:left="-105" w:rightChars="-50" w:right="-105"/>
              <w:jc w:val="center"/>
              <w:rPr>
                <w:szCs w:val="21"/>
              </w:rPr>
            </w:pPr>
            <w:r>
              <w:rPr>
                <w:szCs w:val="21"/>
              </w:rPr>
              <w:t>6</w:t>
            </w:r>
            <w:r>
              <w:rPr>
                <w:rFonts w:hAnsi="宋体"/>
                <w:szCs w:val="21"/>
              </w:rPr>
              <w:t>月</w:t>
            </w:r>
            <w:r>
              <w:rPr>
                <w:szCs w:val="21"/>
              </w:rPr>
              <w:t>16</w:t>
            </w:r>
            <w:r>
              <w:rPr>
                <w:rFonts w:hAnsi="宋体"/>
                <w:szCs w:val="21"/>
              </w:rPr>
              <w:t>日</w:t>
            </w:r>
          </w:p>
        </w:tc>
        <w:tc>
          <w:tcPr>
            <w:tcW w:w="2451" w:type="dxa"/>
            <w:vAlign w:val="center"/>
          </w:tcPr>
          <w:p w:rsidR="00475650" w:rsidRDefault="00475650" w:rsidP="00BD74CB">
            <w:pPr>
              <w:tabs>
                <w:tab w:val="left" w:pos="720"/>
              </w:tabs>
              <w:adjustRightInd w:val="0"/>
              <w:spacing w:beforeLines="10"/>
              <w:jc w:val="center"/>
              <w:rPr>
                <w:szCs w:val="21"/>
              </w:rPr>
            </w:pPr>
            <w:r>
              <w:rPr>
                <w:szCs w:val="21"/>
              </w:rPr>
              <w:t>0.12    0.15     0.19</w:t>
            </w:r>
          </w:p>
        </w:tc>
        <w:tc>
          <w:tcPr>
            <w:tcW w:w="1115" w:type="dxa"/>
            <w:vMerge/>
            <w:vAlign w:val="center"/>
          </w:tcPr>
          <w:p w:rsidR="00475650" w:rsidRDefault="00475650" w:rsidP="00BD74CB">
            <w:pPr>
              <w:tabs>
                <w:tab w:val="left" w:pos="720"/>
              </w:tabs>
              <w:adjustRightInd w:val="0"/>
              <w:spacing w:beforeLines="10"/>
              <w:jc w:val="center"/>
              <w:rPr>
                <w:szCs w:val="21"/>
              </w:rPr>
            </w:pPr>
          </w:p>
        </w:tc>
        <w:tc>
          <w:tcPr>
            <w:tcW w:w="1574" w:type="dxa"/>
            <w:vMerge/>
            <w:vAlign w:val="center"/>
          </w:tcPr>
          <w:p w:rsidR="00475650" w:rsidRDefault="00475650" w:rsidP="00BD74CB">
            <w:pPr>
              <w:tabs>
                <w:tab w:val="left" w:pos="720"/>
              </w:tabs>
              <w:adjustRightInd w:val="0"/>
              <w:spacing w:beforeLines="10"/>
              <w:jc w:val="center"/>
              <w:rPr>
                <w:szCs w:val="21"/>
              </w:rPr>
            </w:pPr>
          </w:p>
        </w:tc>
        <w:tc>
          <w:tcPr>
            <w:tcW w:w="1170" w:type="dxa"/>
            <w:vAlign w:val="center"/>
          </w:tcPr>
          <w:p w:rsidR="00475650" w:rsidRDefault="00475650" w:rsidP="00BD74CB">
            <w:pPr>
              <w:spacing w:beforeLines="10"/>
              <w:jc w:val="center"/>
              <w:rPr>
                <w:szCs w:val="21"/>
              </w:rPr>
            </w:pPr>
            <w:r>
              <w:rPr>
                <w:rFonts w:hAnsi="宋体"/>
                <w:szCs w:val="21"/>
              </w:rPr>
              <w:t>达标</w:t>
            </w:r>
          </w:p>
        </w:tc>
      </w:tr>
      <w:tr w:rsidR="00475650">
        <w:trPr>
          <w:jc w:val="center"/>
        </w:trPr>
        <w:tc>
          <w:tcPr>
            <w:tcW w:w="677" w:type="dxa"/>
            <w:vMerge w:val="restart"/>
            <w:vAlign w:val="center"/>
          </w:tcPr>
          <w:p w:rsidR="00475650" w:rsidRDefault="00475650" w:rsidP="00BD74CB">
            <w:pPr>
              <w:tabs>
                <w:tab w:val="left" w:pos="720"/>
              </w:tabs>
              <w:adjustRightInd w:val="0"/>
              <w:spacing w:beforeLines="10"/>
              <w:jc w:val="center"/>
              <w:rPr>
                <w:szCs w:val="21"/>
              </w:rPr>
            </w:pPr>
            <w:r>
              <w:rPr>
                <w:rFonts w:hAnsi="宋体"/>
                <w:szCs w:val="21"/>
              </w:rPr>
              <w:t>非甲</w:t>
            </w:r>
            <w:r>
              <w:rPr>
                <w:rFonts w:hAnsi="宋体"/>
                <w:szCs w:val="21"/>
              </w:rPr>
              <w:lastRenderedPageBreak/>
              <w:t>烷总烃</w:t>
            </w:r>
          </w:p>
        </w:tc>
        <w:tc>
          <w:tcPr>
            <w:tcW w:w="930" w:type="dxa"/>
            <w:vMerge w:val="restart"/>
            <w:vAlign w:val="center"/>
          </w:tcPr>
          <w:p w:rsidR="00475650" w:rsidRDefault="00475650" w:rsidP="00BD74CB">
            <w:pPr>
              <w:tabs>
                <w:tab w:val="left" w:pos="720"/>
              </w:tabs>
              <w:adjustRightInd w:val="0"/>
              <w:spacing w:beforeLines="10"/>
              <w:jc w:val="center"/>
              <w:rPr>
                <w:szCs w:val="21"/>
              </w:rPr>
            </w:pPr>
            <w:r>
              <w:rPr>
                <w:rFonts w:hAnsi="宋体"/>
                <w:szCs w:val="21"/>
              </w:rPr>
              <w:lastRenderedPageBreak/>
              <w:t>东厂界</w:t>
            </w:r>
            <w:r>
              <w:rPr>
                <w:rFonts w:hAnsi="宋体"/>
                <w:szCs w:val="21"/>
              </w:rPr>
              <w:lastRenderedPageBreak/>
              <w:t>外</w:t>
            </w:r>
          </w:p>
        </w:tc>
        <w:tc>
          <w:tcPr>
            <w:tcW w:w="1029" w:type="dxa"/>
            <w:vAlign w:val="center"/>
          </w:tcPr>
          <w:p w:rsidR="00475650" w:rsidRDefault="00475650" w:rsidP="00BD74CB">
            <w:pPr>
              <w:adjustRightInd w:val="0"/>
              <w:spacing w:beforeLines="10"/>
              <w:ind w:leftChars="-50" w:left="-105" w:rightChars="-50" w:right="-105"/>
              <w:jc w:val="center"/>
              <w:rPr>
                <w:szCs w:val="21"/>
              </w:rPr>
            </w:pPr>
            <w:r>
              <w:rPr>
                <w:szCs w:val="21"/>
              </w:rPr>
              <w:lastRenderedPageBreak/>
              <w:t>6</w:t>
            </w:r>
            <w:r>
              <w:rPr>
                <w:rFonts w:hAnsi="宋体"/>
                <w:szCs w:val="21"/>
              </w:rPr>
              <w:t>月</w:t>
            </w:r>
            <w:r>
              <w:rPr>
                <w:szCs w:val="21"/>
              </w:rPr>
              <w:t>15</w:t>
            </w:r>
            <w:r>
              <w:rPr>
                <w:rFonts w:hAnsi="宋体"/>
                <w:szCs w:val="21"/>
              </w:rPr>
              <w:t>日</w:t>
            </w:r>
          </w:p>
        </w:tc>
        <w:tc>
          <w:tcPr>
            <w:tcW w:w="2451" w:type="dxa"/>
            <w:vAlign w:val="center"/>
          </w:tcPr>
          <w:p w:rsidR="00475650" w:rsidRDefault="00475650" w:rsidP="00BD74CB">
            <w:pPr>
              <w:tabs>
                <w:tab w:val="left" w:pos="720"/>
              </w:tabs>
              <w:adjustRightInd w:val="0"/>
              <w:spacing w:beforeLines="10"/>
              <w:jc w:val="center"/>
              <w:rPr>
                <w:szCs w:val="21"/>
              </w:rPr>
            </w:pPr>
            <w:r>
              <w:rPr>
                <w:szCs w:val="21"/>
              </w:rPr>
              <w:t>0.01ND    0.01ND    0.55</w:t>
            </w:r>
          </w:p>
        </w:tc>
        <w:tc>
          <w:tcPr>
            <w:tcW w:w="1115" w:type="dxa"/>
            <w:vMerge w:val="restart"/>
            <w:vAlign w:val="center"/>
          </w:tcPr>
          <w:p w:rsidR="00475650" w:rsidRDefault="00475650" w:rsidP="00BD74CB">
            <w:pPr>
              <w:tabs>
                <w:tab w:val="left" w:pos="720"/>
              </w:tabs>
              <w:adjustRightInd w:val="0"/>
              <w:spacing w:beforeLines="10"/>
              <w:jc w:val="center"/>
              <w:rPr>
                <w:szCs w:val="21"/>
              </w:rPr>
            </w:pPr>
            <w:r>
              <w:rPr>
                <w:szCs w:val="21"/>
              </w:rPr>
              <w:t>1.74</w:t>
            </w:r>
          </w:p>
        </w:tc>
        <w:tc>
          <w:tcPr>
            <w:tcW w:w="1574" w:type="dxa"/>
            <w:vMerge w:val="restart"/>
            <w:vAlign w:val="center"/>
          </w:tcPr>
          <w:p w:rsidR="00475650" w:rsidRDefault="00475650" w:rsidP="00BD74CB">
            <w:pPr>
              <w:tabs>
                <w:tab w:val="left" w:pos="720"/>
              </w:tabs>
              <w:adjustRightInd w:val="0"/>
              <w:spacing w:beforeLines="10"/>
              <w:jc w:val="center"/>
              <w:rPr>
                <w:szCs w:val="21"/>
              </w:rPr>
            </w:pPr>
            <w:r>
              <w:rPr>
                <w:szCs w:val="21"/>
              </w:rPr>
              <w:t>4.0</w:t>
            </w:r>
          </w:p>
        </w:tc>
        <w:tc>
          <w:tcPr>
            <w:tcW w:w="1170" w:type="dxa"/>
            <w:vAlign w:val="center"/>
          </w:tcPr>
          <w:p w:rsidR="00475650" w:rsidRDefault="00475650" w:rsidP="00BD74CB">
            <w:pPr>
              <w:spacing w:beforeLines="10"/>
              <w:jc w:val="center"/>
              <w:rPr>
                <w:szCs w:val="21"/>
              </w:rPr>
            </w:pPr>
            <w:r>
              <w:rPr>
                <w:rFonts w:hAnsi="宋体"/>
                <w:szCs w:val="21"/>
              </w:rPr>
              <w:t>达标</w:t>
            </w:r>
          </w:p>
        </w:tc>
      </w:tr>
      <w:tr w:rsidR="00475650">
        <w:trPr>
          <w:jc w:val="center"/>
        </w:trPr>
        <w:tc>
          <w:tcPr>
            <w:tcW w:w="677" w:type="dxa"/>
            <w:vMerge/>
            <w:vAlign w:val="center"/>
          </w:tcPr>
          <w:p w:rsidR="00475650" w:rsidRDefault="00475650" w:rsidP="00BD74CB">
            <w:pPr>
              <w:tabs>
                <w:tab w:val="left" w:pos="720"/>
              </w:tabs>
              <w:adjustRightInd w:val="0"/>
              <w:spacing w:beforeLines="10"/>
              <w:jc w:val="center"/>
              <w:rPr>
                <w:szCs w:val="21"/>
              </w:rPr>
            </w:pPr>
          </w:p>
        </w:tc>
        <w:tc>
          <w:tcPr>
            <w:tcW w:w="930" w:type="dxa"/>
            <w:vMerge/>
            <w:vAlign w:val="center"/>
          </w:tcPr>
          <w:p w:rsidR="00475650" w:rsidRDefault="00475650" w:rsidP="00BD74CB">
            <w:pPr>
              <w:tabs>
                <w:tab w:val="left" w:pos="720"/>
              </w:tabs>
              <w:adjustRightInd w:val="0"/>
              <w:spacing w:beforeLines="10"/>
              <w:jc w:val="center"/>
              <w:rPr>
                <w:szCs w:val="21"/>
              </w:rPr>
            </w:pPr>
          </w:p>
        </w:tc>
        <w:tc>
          <w:tcPr>
            <w:tcW w:w="1029" w:type="dxa"/>
            <w:vAlign w:val="center"/>
          </w:tcPr>
          <w:p w:rsidR="00475650" w:rsidRDefault="00475650" w:rsidP="00BD74CB">
            <w:pPr>
              <w:adjustRightInd w:val="0"/>
              <w:spacing w:beforeLines="10"/>
              <w:ind w:leftChars="-50" w:left="-105" w:rightChars="-50" w:right="-105"/>
              <w:jc w:val="center"/>
              <w:rPr>
                <w:szCs w:val="21"/>
              </w:rPr>
            </w:pPr>
            <w:r>
              <w:rPr>
                <w:szCs w:val="21"/>
              </w:rPr>
              <w:t>6</w:t>
            </w:r>
            <w:r>
              <w:rPr>
                <w:rFonts w:hAnsi="宋体"/>
                <w:szCs w:val="21"/>
              </w:rPr>
              <w:t>月</w:t>
            </w:r>
            <w:r>
              <w:rPr>
                <w:szCs w:val="21"/>
              </w:rPr>
              <w:t>16</w:t>
            </w:r>
            <w:r>
              <w:rPr>
                <w:rFonts w:hAnsi="宋体"/>
                <w:szCs w:val="21"/>
              </w:rPr>
              <w:t>日</w:t>
            </w:r>
          </w:p>
        </w:tc>
        <w:tc>
          <w:tcPr>
            <w:tcW w:w="2451" w:type="dxa"/>
            <w:vAlign w:val="center"/>
          </w:tcPr>
          <w:p w:rsidR="00475650" w:rsidRDefault="00475650" w:rsidP="00BD74CB">
            <w:pPr>
              <w:tabs>
                <w:tab w:val="left" w:pos="720"/>
              </w:tabs>
              <w:adjustRightInd w:val="0"/>
              <w:spacing w:beforeLines="10"/>
              <w:jc w:val="center"/>
              <w:rPr>
                <w:szCs w:val="21"/>
              </w:rPr>
            </w:pPr>
            <w:r>
              <w:rPr>
                <w:szCs w:val="21"/>
              </w:rPr>
              <w:t>0.52    0.87    1.33</w:t>
            </w:r>
          </w:p>
        </w:tc>
        <w:tc>
          <w:tcPr>
            <w:tcW w:w="1115" w:type="dxa"/>
            <w:vMerge/>
            <w:vAlign w:val="center"/>
          </w:tcPr>
          <w:p w:rsidR="00475650" w:rsidRDefault="00475650" w:rsidP="00BD74CB">
            <w:pPr>
              <w:tabs>
                <w:tab w:val="left" w:pos="720"/>
              </w:tabs>
              <w:adjustRightInd w:val="0"/>
              <w:spacing w:beforeLines="10"/>
              <w:jc w:val="center"/>
              <w:rPr>
                <w:szCs w:val="21"/>
              </w:rPr>
            </w:pPr>
          </w:p>
        </w:tc>
        <w:tc>
          <w:tcPr>
            <w:tcW w:w="1574" w:type="dxa"/>
            <w:vMerge/>
            <w:vAlign w:val="center"/>
          </w:tcPr>
          <w:p w:rsidR="00475650" w:rsidRDefault="00475650" w:rsidP="00BD74CB">
            <w:pPr>
              <w:tabs>
                <w:tab w:val="left" w:pos="720"/>
              </w:tabs>
              <w:adjustRightInd w:val="0"/>
              <w:spacing w:beforeLines="10"/>
              <w:jc w:val="center"/>
              <w:rPr>
                <w:szCs w:val="21"/>
              </w:rPr>
            </w:pPr>
          </w:p>
        </w:tc>
        <w:tc>
          <w:tcPr>
            <w:tcW w:w="1170" w:type="dxa"/>
            <w:vAlign w:val="center"/>
          </w:tcPr>
          <w:p w:rsidR="00475650" w:rsidRDefault="00475650" w:rsidP="00BD74CB">
            <w:pPr>
              <w:spacing w:beforeLines="10"/>
              <w:jc w:val="center"/>
              <w:rPr>
                <w:szCs w:val="21"/>
              </w:rPr>
            </w:pPr>
            <w:r>
              <w:rPr>
                <w:rFonts w:hAnsi="宋体"/>
                <w:szCs w:val="21"/>
              </w:rPr>
              <w:t>达标</w:t>
            </w:r>
          </w:p>
        </w:tc>
      </w:tr>
      <w:tr w:rsidR="00475650">
        <w:trPr>
          <w:jc w:val="center"/>
        </w:trPr>
        <w:tc>
          <w:tcPr>
            <w:tcW w:w="677" w:type="dxa"/>
            <w:vMerge/>
            <w:vAlign w:val="center"/>
          </w:tcPr>
          <w:p w:rsidR="00475650" w:rsidRDefault="00475650" w:rsidP="00BD74CB">
            <w:pPr>
              <w:tabs>
                <w:tab w:val="left" w:pos="720"/>
              </w:tabs>
              <w:adjustRightInd w:val="0"/>
              <w:spacing w:beforeLines="10"/>
              <w:jc w:val="center"/>
              <w:rPr>
                <w:szCs w:val="21"/>
              </w:rPr>
            </w:pPr>
          </w:p>
        </w:tc>
        <w:tc>
          <w:tcPr>
            <w:tcW w:w="930" w:type="dxa"/>
            <w:vMerge w:val="restart"/>
            <w:vAlign w:val="center"/>
          </w:tcPr>
          <w:p w:rsidR="00475650" w:rsidRDefault="00475650" w:rsidP="00BD74CB">
            <w:pPr>
              <w:tabs>
                <w:tab w:val="left" w:pos="720"/>
              </w:tabs>
              <w:adjustRightInd w:val="0"/>
              <w:spacing w:beforeLines="10"/>
              <w:jc w:val="center"/>
              <w:rPr>
                <w:szCs w:val="21"/>
              </w:rPr>
            </w:pPr>
            <w:r>
              <w:rPr>
                <w:rFonts w:hAnsi="宋体"/>
                <w:szCs w:val="21"/>
              </w:rPr>
              <w:t>北厂界外</w:t>
            </w:r>
          </w:p>
        </w:tc>
        <w:tc>
          <w:tcPr>
            <w:tcW w:w="1029" w:type="dxa"/>
            <w:vAlign w:val="center"/>
          </w:tcPr>
          <w:p w:rsidR="00475650" w:rsidRDefault="00475650" w:rsidP="00BD74CB">
            <w:pPr>
              <w:adjustRightInd w:val="0"/>
              <w:spacing w:beforeLines="10"/>
              <w:ind w:leftChars="-50" w:left="-105" w:rightChars="-50" w:right="-105"/>
              <w:jc w:val="center"/>
              <w:rPr>
                <w:szCs w:val="21"/>
              </w:rPr>
            </w:pPr>
            <w:r>
              <w:rPr>
                <w:szCs w:val="21"/>
              </w:rPr>
              <w:t>6</w:t>
            </w:r>
            <w:r>
              <w:rPr>
                <w:rFonts w:hAnsi="宋体"/>
                <w:szCs w:val="21"/>
              </w:rPr>
              <w:t>月</w:t>
            </w:r>
            <w:r>
              <w:rPr>
                <w:szCs w:val="21"/>
              </w:rPr>
              <w:t>15</w:t>
            </w:r>
            <w:r>
              <w:rPr>
                <w:rFonts w:hAnsi="宋体"/>
                <w:szCs w:val="21"/>
              </w:rPr>
              <w:t>日</w:t>
            </w:r>
          </w:p>
        </w:tc>
        <w:tc>
          <w:tcPr>
            <w:tcW w:w="2451" w:type="dxa"/>
            <w:vAlign w:val="center"/>
          </w:tcPr>
          <w:p w:rsidR="00475650" w:rsidRDefault="00475650" w:rsidP="00BD74CB">
            <w:pPr>
              <w:tabs>
                <w:tab w:val="left" w:pos="720"/>
              </w:tabs>
              <w:adjustRightInd w:val="0"/>
              <w:spacing w:beforeLines="10"/>
              <w:jc w:val="center"/>
              <w:rPr>
                <w:szCs w:val="21"/>
              </w:rPr>
            </w:pPr>
            <w:r>
              <w:rPr>
                <w:szCs w:val="21"/>
              </w:rPr>
              <w:t>0.01ND    0.01ND    0.01ND</w:t>
            </w:r>
          </w:p>
        </w:tc>
        <w:tc>
          <w:tcPr>
            <w:tcW w:w="1115" w:type="dxa"/>
            <w:vMerge/>
            <w:vAlign w:val="center"/>
          </w:tcPr>
          <w:p w:rsidR="00475650" w:rsidRDefault="00475650" w:rsidP="00BD74CB">
            <w:pPr>
              <w:tabs>
                <w:tab w:val="left" w:pos="720"/>
              </w:tabs>
              <w:adjustRightInd w:val="0"/>
              <w:spacing w:beforeLines="10"/>
              <w:jc w:val="center"/>
              <w:rPr>
                <w:szCs w:val="21"/>
              </w:rPr>
            </w:pPr>
          </w:p>
        </w:tc>
        <w:tc>
          <w:tcPr>
            <w:tcW w:w="1574" w:type="dxa"/>
            <w:vMerge/>
            <w:vAlign w:val="center"/>
          </w:tcPr>
          <w:p w:rsidR="00475650" w:rsidRDefault="00475650" w:rsidP="00BD74CB">
            <w:pPr>
              <w:tabs>
                <w:tab w:val="left" w:pos="720"/>
              </w:tabs>
              <w:adjustRightInd w:val="0"/>
              <w:spacing w:beforeLines="10"/>
              <w:jc w:val="center"/>
              <w:rPr>
                <w:szCs w:val="21"/>
              </w:rPr>
            </w:pPr>
          </w:p>
        </w:tc>
        <w:tc>
          <w:tcPr>
            <w:tcW w:w="1170" w:type="dxa"/>
            <w:vAlign w:val="center"/>
          </w:tcPr>
          <w:p w:rsidR="00475650" w:rsidRDefault="00475650" w:rsidP="00BD74CB">
            <w:pPr>
              <w:spacing w:beforeLines="10"/>
              <w:jc w:val="center"/>
              <w:rPr>
                <w:szCs w:val="21"/>
              </w:rPr>
            </w:pPr>
            <w:r>
              <w:rPr>
                <w:rFonts w:hAnsi="宋体"/>
                <w:szCs w:val="21"/>
              </w:rPr>
              <w:t>达标</w:t>
            </w:r>
          </w:p>
        </w:tc>
      </w:tr>
      <w:tr w:rsidR="00475650">
        <w:trPr>
          <w:jc w:val="center"/>
        </w:trPr>
        <w:tc>
          <w:tcPr>
            <w:tcW w:w="677" w:type="dxa"/>
            <w:vMerge/>
            <w:vAlign w:val="center"/>
          </w:tcPr>
          <w:p w:rsidR="00475650" w:rsidRDefault="00475650" w:rsidP="00BD74CB">
            <w:pPr>
              <w:tabs>
                <w:tab w:val="left" w:pos="720"/>
              </w:tabs>
              <w:adjustRightInd w:val="0"/>
              <w:spacing w:beforeLines="10"/>
              <w:jc w:val="center"/>
              <w:rPr>
                <w:szCs w:val="21"/>
              </w:rPr>
            </w:pPr>
          </w:p>
        </w:tc>
        <w:tc>
          <w:tcPr>
            <w:tcW w:w="930" w:type="dxa"/>
            <w:vMerge/>
            <w:vAlign w:val="center"/>
          </w:tcPr>
          <w:p w:rsidR="00475650" w:rsidRDefault="00475650" w:rsidP="00BD74CB">
            <w:pPr>
              <w:tabs>
                <w:tab w:val="left" w:pos="720"/>
              </w:tabs>
              <w:adjustRightInd w:val="0"/>
              <w:spacing w:beforeLines="10"/>
              <w:jc w:val="center"/>
              <w:rPr>
                <w:szCs w:val="21"/>
              </w:rPr>
            </w:pPr>
          </w:p>
        </w:tc>
        <w:tc>
          <w:tcPr>
            <w:tcW w:w="1029" w:type="dxa"/>
            <w:vAlign w:val="center"/>
          </w:tcPr>
          <w:p w:rsidR="00475650" w:rsidRDefault="00475650" w:rsidP="00BD74CB">
            <w:pPr>
              <w:adjustRightInd w:val="0"/>
              <w:spacing w:beforeLines="10"/>
              <w:ind w:leftChars="-50" w:left="-105" w:rightChars="-50" w:right="-105"/>
              <w:jc w:val="center"/>
              <w:rPr>
                <w:szCs w:val="21"/>
              </w:rPr>
            </w:pPr>
            <w:r>
              <w:rPr>
                <w:szCs w:val="21"/>
              </w:rPr>
              <w:t>6</w:t>
            </w:r>
            <w:r>
              <w:rPr>
                <w:rFonts w:hAnsi="宋体"/>
                <w:szCs w:val="21"/>
              </w:rPr>
              <w:t>月</w:t>
            </w:r>
            <w:r>
              <w:rPr>
                <w:szCs w:val="21"/>
              </w:rPr>
              <w:t>16</w:t>
            </w:r>
            <w:r>
              <w:rPr>
                <w:rFonts w:hAnsi="宋体"/>
                <w:szCs w:val="21"/>
              </w:rPr>
              <w:t>日</w:t>
            </w:r>
          </w:p>
        </w:tc>
        <w:tc>
          <w:tcPr>
            <w:tcW w:w="2451" w:type="dxa"/>
            <w:vAlign w:val="center"/>
          </w:tcPr>
          <w:p w:rsidR="00475650" w:rsidRDefault="00475650" w:rsidP="00BD74CB">
            <w:pPr>
              <w:tabs>
                <w:tab w:val="left" w:pos="720"/>
              </w:tabs>
              <w:adjustRightInd w:val="0"/>
              <w:spacing w:beforeLines="10"/>
              <w:jc w:val="center"/>
              <w:rPr>
                <w:szCs w:val="21"/>
              </w:rPr>
            </w:pPr>
            <w:r>
              <w:rPr>
                <w:szCs w:val="21"/>
              </w:rPr>
              <w:t>0.75   1.36     1.07</w:t>
            </w:r>
          </w:p>
        </w:tc>
        <w:tc>
          <w:tcPr>
            <w:tcW w:w="1115" w:type="dxa"/>
            <w:vMerge/>
            <w:vAlign w:val="center"/>
          </w:tcPr>
          <w:p w:rsidR="00475650" w:rsidRDefault="00475650" w:rsidP="00BD74CB">
            <w:pPr>
              <w:tabs>
                <w:tab w:val="left" w:pos="720"/>
              </w:tabs>
              <w:adjustRightInd w:val="0"/>
              <w:spacing w:beforeLines="10"/>
              <w:jc w:val="center"/>
              <w:rPr>
                <w:szCs w:val="21"/>
              </w:rPr>
            </w:pPr>
          </w:p>
        </w:tc>
        <w:tc>
          <w:tcPr>
            <w:tcW w:w="1574" w:type="dxa"/>
            <w:vMerge/>
            <w:vAlign w:val="center"/>
          </w:tcPr>
          <w:p w:rsidR="00475650" w:rsidRDefault="00475650" w:rsidP="00BD74CB">
            <w:pPr>
              <w:tabs>
                <w:tab w:val="left" w:pos="720"/>
              </w:tabs>
              <w:adjustRightInd w:val="0"/>
              <w:spacing w:beforeLines="10"/>
              <w:jc w:val="center"/>
              <w:rPr>
                <w:szCs w:val="21"/>
              </w:rPr>
            </w:pPr>
          </w:p>
        </w:tc>
        <w:tc>
          <w:tcPr>
            <w:tcW w:w="1170" w:type="dxa"/>
            <w:vAlign w:val="center"/>
          </w:tcPr>
          <w:p w:rsidR="00475650" w:rsidRDefault="00475650" w:rsidP="00BD74CB">
            <w:pPr>
              <w:spacing w:beforeLines="10"/>
              <w:jc w:val="center"/>
              <w:rPr>
                <w:szCs w:val="21"/>
              </w:rPr>
            </w:pPr>
            <w:r>
              <w:rPr>
                <w:rFonts w:hAnsi="宋体"/>
                <w:szCs w:val="21"/>
              </w:rPr>
              <w:t>达标</w:t>
            </w:r>
          </w:p>
        </w:tc>
      </w:tr>
      <w:tr w:rsidR="00475650">
        <w:trPr>
          <w:jc w:val="center"/>
        </w:trPr>
        <w:tc>
          <w:tcPr>
            <w:tcW w:w="677" w:type="dxa"/>
            <w:vMerge/>
            <w:vAlign w:val="center"/>
          </w:tcPr>
          <w:p w:rsidR="00475650" w:rsidRDefault="00475650" w:rsidP="00BD74CB">
            <w:pPr>
              <w:tabs>
                <w:tab w:val="left" w:pos="720"/>
              </w:tabs>
              <w:adjustRightInd w:val="0"/>
              <w:spacing w:beforeLines="10"/>
              <w:jc w:val="center"/>
              <w:rPr>
                <w:szCs w:val="21"/>
              </w:rPr>
            </w:pPr>
          </w:p>
        </w:tc>
        <w:tc>
          <w:tcPr>
            <w:tcW w:w="930" w:type="dxa"/>
            <w:vMerge w:val="restart"/>
            <w:vAlign w:val="center"/>
          </w:tcPr>
          <w:p w:rsidR="00475650" w:rsidRDefault="00475650" w:rsidP="00BD74CB">
            <w:pPr>
              <w:tabs>
                <w:tab w:val="left" w:pos="720"/>
              </w:tabs>
              <w:adjustRightInd w:val="0"/>
              <w:spacing w:beforeLines="10"/>
              <w:jc w:val="center"/>
              <w:rPr>
                <w:szCs w:val="21"/>
              </w:rPr>
            </w:pPr>
            <w:r>
              <w:rPr>
                <w:rFonts w:hAnsi="宋体"/>
                <w:szCs w:val="21"/>
              </w:rPr>
              <w:t>西厂界外</w:t>
            </w:r>
          </w:p>
        </w:tc>
        <w:tc>
          <w:tcPr>
            <w:tcW w:w="1029" w:type="dxa"/>
            <w:vAlign w:val="center"/>
          </w:tcPr>
          <w:p w:rsidR="00475650" w:rsidRDefault="00475650" w:rsidP="00BD74CB">
            <w:pPr>
              <w:adjustRightInd w:val="0"/>
              <w:spacing w:beforeLines="10"/>
              <w:ind w:leftChars="-50" w:left="-105" w:rightChars="-50" w:right="-105"/>
              <w:jc w:val="center"/>
              <w:rPr>
                <w:szCs w:val="21"/>
              </w:rPr>
            </w:pPr>
            <w:r>
              <w:rPr>
                <w:szCs w:val="21"/>
              </w:rPr>
              <w:t>6</w:t>
            </w:r>
            <w:r>
              <w:rPr>
                <w:rFonts w:hAnsi="宋体"/>
                <w:szCs w:val="21"/>
              </w:rPr>
              <w:t>月</w:t>
            </w:r>
            <w:r>
              <w:rPr>
                <w:szCs w:val="21"/>
              </w:rPr>
              <w:t>15</w:t>
            </w:r>
            <w:r>
              <w:rPr>
                <w:rFonts w:hAnsi="宋体"/>
                <w:szCs w:val="21"/>
              </w:rPr>
              <w:t>日</w:t>
            </w:r>
          </w:p>
        </w:tc>
        <w:tc>
          <w:tcPr>
            <w:tcW w:w="2451" w:type="dxa"/>
            <w:vAlign w:val="center"/>
          </w:tcPr>
          <w:p w:rsidR="00475650" w:rsidRDefault="00475650" w:rsidP="00BD74CB">
            <w:pPr>
              <w:tabs>
                <w:tab w:val="left" w:pos="720"/>
              </w:tabs>
              <w:adjustRightInd w:val="0"/>
              <w:spacing w:beforeLines="10"/>
              <w:jc w:val="center"/>
              <w:rPr>
                <w:szCs w:val="21"/>
              </w:rPr>
            </w:pPr>
            <w:r>
              <w:rPr>
                <w:szCs w:val="21"/>
              </w:rPr>
              <w:t>0.01ND    0.01ND    0.01ND</w:t>
            </w:r>
          </w:p>
        </w:tc>
        <w:tc>
          <w:tcPr>
            <w:tcW w:w="1115" w:type="dxa"/>
            <w:vMerge/>
            <w:vAlign w:val="center"/>
          </w:tcPr>
          <w:p w:rsidR="00475650" w:rsidRDefault="00475650" w:rsidP="00BD74CB">
            <w:pPr>
              <w:tabs>
                <w:tab w:val="left" w:pos="720"/>
              </w:tabs>
              <w:adjustRightInd w:val="0"/>
              <w:spacing w:beforeLines="10"/>
              <w:jc w:val="center"/>
              <w:rPr>
                <w:szCs w:val="21"/>
              </w:rPr>
            </w:pPr>
          </w:p>
        </w:tc>
        <w:tc>
          <w:tcPr>
            <w:tcW w:w="1574" w:type="dxa"/>
            <w:vMerge/>
            <w:vAlign w:val="center"/>
          </w:tcPr>
          <w:p w:rsidR="00475650" w:rsidRDefault="00475650" w:rsidP="00BD74CB">
            <w:pPr>
              <w:tabs>
                <w:tab w:val="left" w:pos="720"/>
              </w:tabs>
              <w:adjustRightInd w:val="0"/>
              <w:spacing w:beforeLines="10"/>
              <w:jc w:val="center"/>
              <w:rPr>
                <w:szCs w:val="21"/>
              </w:rPr>
            </w:pPr>
          </w:p>
        </w:tc>
        <w:tc>
          <w:tcPr>
            <w:tcW w:w="1170" w:type="dxa"/>
            <w:vAlign w:val="center"/>
          </w:tcPr>
          <w:p w:rsidR="00475650" w:rsidRDefault="00475650" w:rsidP="00BD74CB">
            <w:pPr>
              <w:spacing w:beforeLines="10"/>
              <w:jc w:val="center"/>
              <w:rPr>
                <w:szCs w:val="21"/>
              </w:rPr>
            </w:pPr>
            <w:r>
              <w:rPr>
                <w:rFonts w:hAnsi="宋体"/>
                <w:szCs w:val="21"/>
              </w:rPr>
              <w:t>达标</w:t>
            </w:r>
          </w:p>
        </w:tc>
      </w:tr>
      <w:tr w:rsidR="00475650">
        <w:trPr>
          <w:jc w:val="center"/>
        </w:trPr>
        <w:tc>
          <w:tcPr>
            <w:tcW w:w="677" w:type="dxa"/>
            <w:vMerge/>
            <w:vAlign w:val="center"/>
          </w:tcPr>
          <w:p w:rsidR="00475650" w:rsidRDefault="00475650" w:rsidP="00BD74CB">
            <w:pPr>
              <w:tabs>
                <w:tab w:val="left" w:pos="720"/>
              </w:tabs>
              <w:adjustRightInd w:val="0"/>
              <w:spacing w:beforeLines="10"/>
              <w:jc w:val="center"/>
              <w:rPr>
                <w:szCs w:val="21"/>
              </w:rPr>
            </w:pPr>
          </w:p>
        </w:tc>
        <w:tc>
          <w:tcPr>
            <w:tcW w:w="930" w:type="dxa"/>
            <w:vMerge/>
            <w:vAlign w:val="center"/>
          </w:tcPr>
          <w:p w:rsidR="00475650" w:rsidRDefault="00475650" w:rsidP="00BD74CB">
            <w:pPr>
              <w:tabs>
                <w:tab w:val="left" w:pos="720"/>
              </w:tabs>
              <w:adjustRightInd w:val="0"/>
              <w:spacing w:beforeLines="10"/>
              <w:jc w:val="center"/>
              <w:rPr>
                <w:szCs w:val="21"/>
              </w:rPr>
            </w:pPr>
          </w:p>
        </w:tc>
        <w:tc>
          <w:tcPr>
            <w:tcW w:w="1029" w:type="dxa"/>
            <w:vAlign w:val="center"/>
          </w:tcPr>
          <w:p w:rsidR="00475650" w:rsidRDefault="00475650" w:rsidP="00BD74CB">
            <w:pPr>
              <w:adjustRightInd w:val="0"/>
              <w:spacing w:beforeLines="10"/>
              <w:ind w:leftChars="-50" w:left="-105" w:rightChars="-50" w:right="-105"/>
              <w:jc w:val="center"/>
              <w:rPr>
                <w:szCs w:val="21"/>
              </w:rPr>
            </w:pPr>
            <w:r>
              <w:rPr>
                <w:szCs w:val="21"/>
              </w:rPr>
              <w:t>6</w:t>
            </w:r>
            <w:r>
              <w:rPr>
                <w:rFonts w:hAnsi="宋体"/>
                <w:szCs w:val="21"/>
              </w:rPr>
              <w:t>月</w:t>
            </w:r>
            <w:r>
              <w:rPr>
                <w:szCs w:val="21"/>
              </w:rPr>
              <w:t>16</w:t>
            </w:r>
            <w:r>
              <w:rPr>
                <w:rFonts w:hAnsi="宋体"/>
                <w:szCs w:val="21"/>
              </w:rPr>
              <w:t>日</w:t>
            </w:r>
          </w:p>
        </w:tc>
        <w:tc>
          <w:tcPr>
            <w:tcW w:w="2451" w:type="dxa"/>
            <w:vAlign w:val="center"/>
          </w:tcPr>
          <w:p w:rsidR="00475650" w:rsidRDefault="00475650" w:rsidP="00BD74CB">
            <w:pPr>
              <w:tabs>
                <w:tab w:val="left" w:pos="720"/>
              </w:tabs>
              <w:adjustRightInd w:val="0"/>
              <w:spacing w:beforeLines="10"/>
              <w:jc w:val="center"/>
              <w:rPr>
                <w:szCs w:val="21"/>
              </w:rPr>
            </w:pPr>
            <w:r>
              <w:rPr>
                <w:szCs w:val="21"/>
              </w:rPr>
              <w:t>1.42   1.57     0.64</w:t>
            </w:r>
          </w:p>
        </w:tc>
        <w:tc>
          <w:tcPr>
            <w:tcW w:w="1115" w:type="dxa"/>
            <w:vMerge/>
            <w:vAlign w:val="center"/>
          </w:tcPr>
          <w:p w:rsidR="00475650" w:rsidRDefault="00475650" w:rsidP="00BD74CB">
            <w:pPr>
              <w:tabs>
                <w:tab w:val="left" w:pos="720"/>
              </w:tabs>
              <w:adjustRightInd w:val="0"/>
              <w:spacing w:beforeLines="10"/>
              <w:jc w:val="center"/>
              <w:rPr>
                <w:szCs w:val="21"/>
              </w:rPr>
            </w:pPr>
          </w:p>
        </w:tc>
        <w:tc>
          <w:tcPr>
            <w:tcW w:w="1574" w:type="dxa"/>
            <w:vMerge/>
            <w:vAlign w:val="center"/>
          </w:tcPr>
          <w:p w:rsidR="00475650" w:rsidRDefault="00475650" w:rsidP="00BD74CB">
            <w:pPr>
              <w:tabs>
                <w:tab w:val="left" w:pos="720"/>
              </w:tabs>
              <w:adjustRightInd w:val="0"/>
              <w:spacing w:beforeLines="10"/>
              <w:jc w:val="center"/>
              <w:rPr>
                <w:szCs w:val="21"/>
              </w:rPr>
            </w:pPr>
          </w:p>
        </w:tc>
        <w:tc>
          <w:tcPr>
            <w:tcW w:w="1170" w:type="dxa"/>
            <w:vAlign w:val="center"/>
          </w:tcPr>
          <w:p w:rsidR="00475650" w:rsidRDefault="00475650" w:rsidP="00BD74CB">
            <w:pPr>
              <w:spacing w:beforeLines="10"/>
              <w:jc w:val="center"/>
              <w:rPr>
                <w:szCs w:val="21"/>
              </w:rPr>
            </w:pPr>
            <w:r>
              <w:rPr>
                <w:rFonts w:hAnsi="宋体"/>
                <w:szCs w:val="21"/>
              </w:rPr>
              <w:t>达标</w:t>
            </w:r>
          </w:p>
        </w:tc>
      </w:tr>
      <w:tr w:rsidR="00475650">
        <w:trPr>
          <w:jc w:val="center"/>
        </w:trPr>
        <w:tc>
          <w:tcPr>
            <w:tcW w:w="677" w:type="dxa"/>
            <w:vMerge/>
            <w:vAlign w:val="center"/>
          </w:tcPr>
          <w:p w:rsidR="00475650" w:rsidRDefault="00475650" w:rsidP="00BD74CB">
            <w:pPr>
              <w:tabs>
                <w:tab w:val="left" w:pos="720"/>
              </w:tabs>
              <w:adjustRightInd w:val="0"/>
              <w:spacing w:beforeLines="10"/>
              <w:jc w:val="center"/>
              <w:rPr>
                <w:szCs w:val="21"/>
              </w:rPr>
            </w:pPr>
          </w:p>
        </w:tc>
        <w:tc>
          <w:tcPr>
            <w:tcW w:w="930" w:type="dxa"/>
            <w:vMerge w:val="restart"/>
            <w:vAlign w:val="center"/>
          </w:tcPr>
          <w:p w:rsidR="00475650" w:rsidRDefault="00475650" w:rsidP="00BD74CB">
            <w:pPr>
              <w:tabs>
                <w:tab w:val="left" w:pos="720"/>
              </w:tabs>
              <w:adjustRightInd w:val="0"/>
              <w:spacing w:beforeLines="10"/>
              <w:jc w:val="center"/>
              <w:rPr>
                <w:szCs w:val="21"/>
              </w:rPr>
            </w:pPr>
            <w:r>
              <w:rPr>
                <w:rFonts w:hAnsi="宋体"/>
                <w:szCs w:val="21"/>
              </w:rPr>
              <w:t>南厂界外</w:t>
            </w:r>
          </w:p>
        </w:tc>
        <w:tc>
          <w:tcPr>
            <w:tcW w:w="1029" w:type="dxa"/>
            <w:vAlign w:val="center"/>
          </w:tcPr>
          <w:p w:rsidR="00475650" w:rsidRDefault="00475650" w:rsidP="00BD74CB">
            <w:pPr>
              <w:adjustRightInd w:val="0"/>
              <w:spacing w:beforeLines="10"/>
              <w:ind w:leftChars="-50" w:left="-105" w:rightChars="-50" w:right="-105"/>
              <w:jc w:val="center"/>
              <w:rPr>
                <w:szCs w:val="21"/>
              </w:rPr>
            </w:pPr>
            <w:r>
              <w:rPr>
                <w:szCs w:val="21"/>
              </w:rPr>
              <w:t>6</w:t>
            </w:r>
            <w:r>
              <w:rPr>
                <w:rFonts w:hAnsi="宋体"/>
                <w:szCs w:val="21"/>
              </w:rPr>
              <w:t>月</w:t>
            </w:r>
            <w:r>
              <w:rPr>
                <w:szCs w:val="21"/>
              </w:rPr>
              <w:t>15</w:t>
            </w:r>
            <w:r>
              <w:rPr>
                <w:rFonts w:hAnsi="宋体"/>
                <w:szCs w:val="21"/>
              </w:rPr>
              <w:t>日</w:t>
            </w:r>
          </w:p>
        </w:tc>
        <w:tc>
          <w:tcPr>
            <w:tcW w:w="2451" w:type="dxa"/>
            <w:vAlign w:val="center"/>
          </w:tcPr>
          <w:p w:rsidR="00475650" w:rsidRDefault="00475650" w:rsidP="00BD74CB">
            <w:pPr>
              <w:tabs>
                <w:tab w:val="left" w:pos="720"/>
              </w:tabs>
              <w:adjustRightInd w:val="0"/>
              <w:spacing w:beforeLines="10"/>
              <w:jc w:val="center"/>
              <w:rPr>
                <w:szCs w:val="21"/>
              </w:rPr>
            </w:pPr>
            <w:r>
              <w:rPr>
                <w:szCs w:val="21"/>
              </w:rPr>
              <w:t>0.01ND    0.01ND    0.01ND</w:t>
            </w:r>
          </w:p>
        </w:tc>
        <w:tc>
          <w:tcPr>
            <w:tcW w:w="1115" w:type="dxa"/>
            <w:vMerge/>
            <w:vAlign w:val="center"/>
          </w:tcPr>
          <w:p w:rsidR="00475650" w:rsidRDefault="00475650" w:rsidP="00BD74CB">
            <w:pPr>
              <w:tabs>
                <w:tab w:val="left" w:pos="720"/>
              </w:tabs>
              <w:adjustRightInd w:val="0"/>
              <w:spacing w:beforeLines="10"/>
              <w:jc w:val="center"/>
              <w:rPr>
                <w:szCs w:val="21"/>
              </w:rPr>
            </w:pPr>
          </w:p>
        </w:tc>
        <w:tc>
          <w:tcPr>
            <w:tcW w:w="1574" w:type="dxa"/>
            <w:vMerge/>
            <w:vAlign w:val="center"/>
          </w:tcPr>
          <w:p w:rsidR="00475650" w:rsidRDefault="00475650" w:rsidP="00BD74CB">
            <w:pPr>
              <w:tabs>
                <w:tab w:val="left" w:pos="720"/>
              </w:tabs>
              <w:adjustRightInd w:val="0"/>
              <w:spacing w:beforeLines="10"/>
              <w:jc w:val="center"/>
              <w:rPr>
                <w:szCs w:val="21"/>
              </w:rPr>
            </w:pPr>
          </w:p>
        </w:tc>
        <w:tc>
          <w:tcPr>
            <w:tcW w:w="1170" w:type="dxa"/>
            <w:vAlign w:val="center"/>
          </w:tcPr>
          <w:p w:rsidR="00475650" w:rsidRDefault="00475650" w:rsidP="00BD74CB">
            <w:pPr>
              <w:spacing w:beforeLines="10"/>
              <w:jc w:val="center"/>
              <w:rPr>
                <w:szCs w:val="21"/>
              </w:rPr>
            </w:pPr>
            <w:r>
              <w:rPr>
                <w:rFonts w:hAnsi="宋体"/>
                <w:szCs w:val="21"/>
              </w:rPr>
              <w:t>达标</w:t>
            </w:r>
          </w:p>
        </w:tc>
      </w:tr>
      <w:tr w:rsidR="00475650">
        <w:trPr>
          <w:jc w:val="center"/>
        </w:trPr>
        <w:tc>
          <w:tcPr>
            <w:tcW w:w="677" w:type="dxa"/>
            <w:vMerge/>
            <w:vAlign w:val="center"/>
          </w:tcPr>
          <w:p w:rsidR="00475650" w:rsidRDefault="00475650" w:rsidP="00BD74CB">
            <w:pPr>
              <w:tabs>
                <w:tab w:val="left" w:pos="720"/>
              </w:tabs>
              <w:adjustRightInd w:val="0"/>
              <w:spacing w:beforeLines="10"/>
              <w:jc w:val="center"/>
              <w:rPr>
                <w:szCs w:val="21"/>
              </w:rPr>
            </w:pPr>
          </w:p>
        </w:tc>
        <w:tc>
          <w:tcPr>
            <w:tcW w:w="930" w:type="dxa"/>
            <w:vMerge/>
            <w:vAlign w:val="center"/>
          </w:tcPr>
          <w:p w:rsidR="00475650" w:rsidRDefault="00475650" w:rsidP="00BD74CB">
            <w:pPr>
              <w:tabs>
                <w:tab w:val="left" w:pos="720"/>
              </w:tabs>
              <w:adjustRightInd w:val="0"/>
              <w:spacing w:beforeLines="10"/>
              <w:jc w:val="center"/>
              <w:rPr>
                <w:szCs w:val="21"/>
              </w:rPr>
            </w:pPr>
          </w:p>
        </w:tc>
        <w:tc>
          <w:tcPr>
            <w:tcW w:w="1029" w:type="dxa"/>
            <w:vAlign w:val="center"/>
          </w:tcPr>
          <w:p w:rsidR="00475650" w:rsidRDefault="00475650" w:rsidP="00BD74CB">
            <w:pPr>
              <w:adjustRightInd w:val="0"/>
              <w:spacing w:beforeLines="10"/>
              <w:ind w:leftChars="-50" w:left="-105" w:rightChars="-50" w:right="-105"/>
              <w:jc w:val="center"/>
              <w:rPr>
                <w:szCs w:val="21"/>
              </w:rPr>
            </w:pPr>
            <w:r>
              <w:rPr>
                <w:szCs w:val="21"/>
              </w:rPr>
              <w:t>6</w:t>
            </w:r>
            <w:r>
              <w:rPr>
                <w:rFonts w:hAnsi="宋体"/>
                <w:szCs w:val="21"/>
              </w:rPr>
              <w:t>月</w:t>
            </w:r>
            <w:r>
              <w:rPr>
                <w:szCs w:val="21"/>
              </w:rPr>
              <w:t>16</w:t>
            </w:r>
            <w:r>
              <w:rPr>
                <w:rFonts w:hAnsi="宋体"/>
                <w:szCs w:val="21"/>
              </w:rPr>
              <w:t>日</w:t>
            </w:r>
          </w:p>
        </w:tc>
        <w:tc>
          <w:tcPr>
            <w:tcW w:w="2451" w:type="dxa"/>
            <w:vAlign w:val="center"/>
          </w:tcPr>
          <w:p w:rsidR="00475650" w:rsidRDefault="00475650" w:rsidP="00BD74CB">
            <w:pPr>
              <w:tabs>
                <w:tab w:val="left" w:pos="720"/>
              </w:tabs>
              <w:adjustRightInd w:val="0"/>
              <w:spacing w:beforeLines="10"/>
              <w:jc w:val="center"/>
              <w:rPr>
                <w:szCs w:val="21"/>
              </w:rPr>
            </w:pPr>
            <w:r>
              <w:rPr>
                <w:szCs w:val="21"/>
              </w:rPr>
              <w:t>1.74   0.75     1.13</w:t>
            </w:r>
          </w:p>
        </w:tc>
        <w:tc>
          <w:tcPr>
            <w:tcW w:w="1115" w:type="dxa"/>
            <w:vMerge/>
            <w:vAlign w:val="center"/>
          </w:tcPr>
          <w:p w:rsidR="00475650" w:rsidRDefault="00475650" w:rsidP="00BD74CB">
            <w:pPr>
              <w:tabs>
                <w:tab w:val="left" w:pos="720"/>
              </w:tabs>
              <w:adjustRightInd w:val="0"/>
              <w:spacing w:beforeLines="10"/>
              <w:jc w:val="center"/>
              <w:rPr>
                <w:szCs w:val="21"/>
              </w:rPr>
            </w:pPr>
          </w:p>
        </w:tc>
        <w:tc>
          <w:tcPr>
            <w:tcW w:w="1574" w:type="dxa"/>
            <w:vMerge/>
            <w:vAlign w:val="center"/>
          </w:tcPr>
          <w:p w:rsidR="00475650" w:rsidRDefault="00475650" w:rsidP="00BD74CB">
            <w:pPr>
              <w:tabs>
                <w:tab w:val="left" w:pos="720"/>
              </w:tabs>
              <w:adjustRightInd w:val="0"/>
              <w:spacing w:beforeLines="10"/>
              <w:jc w:val="center"/>
              <w:rPr>
                <w:szCs w:val="21"/>
              </w:rPr>
            </w:pPr>
          </w:p>
        </w:tc>
        <w:tc>
          <w:tcPr>
            <w:tcW w:w="1170" w:type="dxa"/>
            <w:vAlign w:val="center"/>
          </w:tcPr>
          <w:p w:rsidR="00475650" w:rsidRDefault="00475650" w:rsidP="00BD74CB">
            <w:pPr>
              <w:spacing w:beforeLines="10"/>
              <w:jc w:val="center"/>
              <w:rPr>
                <w:szCs w:val="21"/>
              </w:rPr>
            </w:pPr>
            <w:r>
              <w:rPr>
                <w:rFonts w:hAnsi="宋体"/>
                <w:szCs w:val="21"/>
              </w:rPr>
              <w:t>达标</w:t>
            </w:r>
          </w:p>
        </w:tc>
      </w:tr>
      <w:tr w:rsidR="00475650">
        <w:trPr>
          <w:jc w:val="center"/>
        </w:trPr>
        <w:tc>
          <w:tcPr>
            <w:tcW w:w="8946" w:type="dxa"/>
            <w:gridSpan w:val="7"/>
            <w:vAlign w:val="center"/>
          </w:tcPr>
          <w:p w:rsidR="00475650" w:rsidRDefault="00475650" w:rsidP="00BD74CB">
            <w:pPr>
              <w:spacing w:beforeLines="10"/>
              <w:jc w:val="center"/>
              <w:rPr>
                <w:szCs w:val="21"/>
              </w:rPr>
            </w:pPr>
            <w:r>
              <w:rPr>
                <w:rFonts w:hAnsi="宋体"/>
                <w:szCs w:val="21"/>
              </w:rPr>
              <w:t>备注：</w:t>
            </w:r>
            <w:r>
              <w:rPr>
                <w:bCs/>
                <w:szCs w:val="21"/>
              </w:rPr>
              <w:t>ND</w:t>
            </w:r>
            <w:r>
              <w:rPr>
                <w:rFonts w:hAnsi="宋体"/>
                <w:bCs/>
                <w:szCs w:val="21"/>
              </w:rPr>
              <w:t>表示未检出</w:t>
            </w:r>
          </w:p>
        </w:tc>
      </w:tr>
    </w:tbl>
    <w:p w:rsidR="00475650" w:rsidRDefault="00475650">
      <w:pPr>
        <w:tabs>
          <w:tab w:val="left" w:pos="6858"/>
        </w:tabs>
        <w:snapToGrid w:val="0"/>
        <w:spacing w:line="360" w:lineRule="auto"/>
        <w:ind w:firstLineChars="200" w:firstLine="480"/>
        <w:jc w:val="center"/>
        <w:rPr>
          <w:sz w:val="24"/>
        </w:rPr>
      </w:pPr>
    </w:p>
    <w:p w:rsidR="00475650" w:rsidRDefault="00475650">
      <w:pPr>
        <w:pStyle w:val="33Char111H3BHeadBSH-3h33rdlevel"/>
        <w:outlineLvl w:val="0"/>
        <w:rPr>
          <w:b w:val="0"/>
        </w:rPr>
      </w:pPr>
      <w:bookmarkStart w:id="322" w:name="_Toc334014100"/>
      <w:bookmarkStart w:id="323" w:name="_Toc333229887"/>
      <w:bookmarkStart w:id="324" w:name="_Toc334080742"/>
      <w:bookmarkStart w:id="325" w:name="_Toc448999068"/>
      <w:bookmarkStart w:id="326" w:name="_Toc465676963"/>
      <w:bookmarkStart w:id="327" w:name="_Toc13695"/>
      <w:r>
        <w:rPr>
          <w:b w:val="0"/>
        </w:rPr>
        <w:t>2.1.4.2</w:t>
      </w:r>
      <w:r>
        <w:rPr>
          <w:rFonts w:hAnsi="宋体"/>
          <w:b w:val="0"/>
        </w:rPr>
        <w:t>废水污染源</w:t>
      </w:r>
      <w:bookmarkEnd w:id="321"/>
      <w:bookmarkEnd w:id="322"/>
      <w:bookmarkEnd w:id="323"/>
      <w:bookmarkEnd w:id="324"/>
      <w:bookmarkEnd w:id="325"/>
      <w:bookmarkEnd w:id="326"/>
      <w:bookmarkEnd w:id="327"/>
    </w:p>
    <w:p w:rsidR="00475650" w:rsidRDefault="00475650">
      <w:pPr>
        <w:tabs>
          <w:tab w:val="left" w:pos="484"/>
        </w:tabs>
        <w:autoSpaceDE w:val="0"/>
        <w:autoSpaceDN w:val="0"/>
        <w:adjustRightInd w:val="0"/>
        <w:snapToGrid w:val="0"/>
        <w:spacing w:line="348" w:lineRule="auto"/>
        <w:ind w:firstLineChars="200" w:firstLine="480"/>
        <w:rPr>
          <w:sz w:val="24"/>
        </w:rPr>
      </w:pPr>
      <w:r>
        <w:rPr>
          <w:rFonts w:hAnsi="宋体"/>
          <w:sz w:val="24"/>
        </w:rPr>
        <w:t>现有工程产生的废水主要是清罐废液、地面清洗水和生活污水等。生产废水均为间歇水，送园区污水处理厂处理，主要污染因子为</w:t>
      </w:r>
      <w:r>
        <w:rPr>
          <w:sz w:val="24"/>
        </w:rPr>
        <w:t>COD</w:t>
      </w:r>
      <w:r>
        <w:rPr>
          <w:rFonts w:hAnsi="宋体"/>
          <w:sz w:val="24"/>
        </w:rPr>
        <w:t>和氨氮，其中清罐废液、厂区的初期雨水、地面清洗水纳入生产废水排口外排，生活废水纳入生活废水排口外排，监测核算的总排口年均</w:t>
      </w:r>
      <w:r>
        <w:rPr>
          <w:rFonts w:hAnsi="宋体" w:hint="eastAsia"/>
          <w:sz w:val="24"/>
        </w:rPr>
        <w:t>排放量</w:t>
      </w:r>
      <w:r>
        <w:rPr>
          <w:rFonts w:hAnsi="宋体"/>
          <w:sz w:val="24"/>
        </w:rPr>
        <w:t>约</w:t>
      </w:r>
      <w:r>
        <w:rPr>
          <w:rFonts w:hAnsi="宋体" w:hint="eastAsia"/>
          <w:sz w:val="24"/>
        </w:rPr>
        <w:t>1000t/a</w:t>
      </w:r>
      <w:r>
        <w:rPr>
          <w:rFonts w:hAnsi="宋体" w:hint="eastAsia"/>
          <w:sz w:val="24"/>
        </w:rPr>
        <w:t>，</w:t>
      </w:r>
      <w:r>
        <w:rPr>
          <w:rFonts w:hAnsi="宋体"/>
          <w:sz w:val="24"/>
        </w:rPr>
        <w:t>废水处理措施见表</w:t>
      </w:r>
      <w:r>
        <w:rPr>
          <w:sz w:val="24"/>
        </w:rPr>
        <w:t>2.1-6</w:t>
      </w:r>
      <w:r>
        <w:rPr>
          <w:rFonts w:hAnsi="宋体"/>
          <w:sz w:val="24"/>
        </w:rPr>
        <w:t>，污染浓度监测情况见表</w:t>
      </w:r>
      <w:r>
        <w:rPr>
          <w:sz w:val="24"/>
        </w:rPr>
        <w:t>2.1-7</w:t>
      </w:r>
      <w:r>
        <w:rPr>
          <w:rFonts w:hAnsi="宋体"/>
          <w:sz w:val="24"/>
        </w:rPr>
        <w:t>。根据监测结果计算，现有工程现实际外排的化学需氧量及氨氮的总量为</w:t>
      </w:r>
      <w:r>
        <w:rPr>
          <w:sz w:val="24"/>
        </w:rPr>
        <w:t>0.1 t/a</w:t>
      </w:r>
      <w:r>
        <w:rPr>
          <w:rFonts w:hAnsi="宋体"/>
          <w:sz w:val="24"/>
        </w:rPr>
        <w:t>和</w:t>
      </w:r>
      <w:r>
        <w:rPr>
          <w:sz w:val="24"/>
        </w:rPr>
        <w:t>0.00</w:t>
      </w:r>
      <w:r>
        <w:rPr>
          <w:rFonts w:hint="eastAsia"/>
          <w:sz w:val="24"/>
        </w:rPr>
        <w:t>15</w:t>
      </w:r>
      <w:r>
        <w:rPr>
          <w:sz w:val="24"/>
        </w:rPr>
        <w:t>t/a</w:t>
      </w:r>
      <w:r>
        <w:rPr>
          <w:rFonts w:hAnsi="宋体"/>
          <w:sz w:val="24"/>
        </w:rPr>
        <w:t>。</w:t>
      </w:r>
    </w:p>
    <w:p w:rsidR="00475650" w:rsidRDefault="00475650">
      <w:pPr>
        <w:tabs>
          <w:tab w:val="left" w:pos="6858"/>
        </w:tabs>
        <w:snapToGrid w:val="0"/>
        <w:spacing w:line="360" w:lineRule="auto"/>
        <w:ind w:firstLineChars="200" w:firstLine="480"/>
        <w:jc w:val="center"/>
        <w:rPr>
          <w:sz w:val="24"/>
        </w:rPr>
      </w:pPr>
      <w:r>
        <w:rPr>
          <w:rFonts w:hAnsi="宋体"/>
          <w:sz w:val="24"/>
        </w:rPr>
        <w:t>表</w:t>
      </w:r>
      <w:r>
        <w:rPr>
          <w:sz w:val="24"/>
        </w:rPr>
        <w:t xml:space="preserve">2.1-6  </w:t>
      </w:r>
      <w:r>
        <w:rPr>
          <w:rFonts w:hAnsi="宋体"/>
          <w:sz w:val="24"/>
        </w:rPr>
        <w:t>废水处理措施一览表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942"/>
        <w:gridCol w:w="1144"/>
        <w:gridCol w:w="2287"/>
        <w:gridCol w:w="3573"/>
      </w:tblGrid>
      <w:tr w:rsidR="00475650">
        <w:trPr>
          <w:tblHeader/>
          <w:jc w:val="center"/>
        </w:trPr>
        <w:tc>
          <w:tcPr>
            <w:tcW w:w="1942" w:type="dxa"/>
            <w:vAlign w:val="center"/>
          </w:tcPr>
          <w:p w:rsidR="00475650" w:rsidRDefault="00475650">
            <w:pPr>
              <w:snapToGrid w:val="0"/>
              <w:jc w:val="center"/>
              <w:rPr>
                <w:bCs/>
                <w:szCs w:val="21"/>
              </w:rPr>
            </w:pPr>
            <w:r>
              <w:rPr>
                <w:rFonts w:hAnsi="宋体"/>
                <w:bCs/>
                <w:szCs w:val="21"/>
              </w:rPr>
              <w:t>污染源</w:t>
            </w:r>
          </w:p>
        </w:tc>
        <w:tc>
          <w:tcPr>
            <w:tcW w:w="1144" w:type="dxa"/>
            <w:vAlign w:val="center"/>
          </w:tcPr>
          <w:p w:rsidR="00475650" w:rsidRDefault="00475650">
            <w:pPr>
              <w:snapToGrid w:val="0"/>
              <w:jc w:val="center"/>
              <w:rPr>
                <w:bCs/>
                <w:szCs w:val="21"/>
              </w:rPr>
            </w:pPr>
            <w:r>
              <w:rPr>
                <w:rFonts w:hAnsi="宋体"/>
                <w:bCs/>
                <w:szCs w:val="21"/>
              </w:rPr>
              <w:t>排放规律</w:t>
            </w:r>
          </w:p>
        </w:tc>
        <w:tc>
          <w:tcPr>
            <w:tcW w:w="2287" w:type="dxa"/>
            <w:vAlign w:val="center"/>
          </w:tcPr>
          <w:p w:rsidR="00475650" w:rsidRDefault="00475650">
            <w:pPr>
              <w:snapToGrid w:val="0"/>
              <w:jc w:val="center"/>
              <w:rPr>
                <w:bCs/>
                <w:szCs w:val="21"/>
              </w:rPr>
            </w:pPr>
            <w:r>
              <w:rPr>
                <w:rFonts w:hAnsi="宋体"/>
                <w:bCs/>
                <w:szCs w:val="21"/>
              </w:rPr>
              <w:t>主要污染物</w:t>
            </w:r>
          </w:p>
        </w:tc>
        <w:tc>
          <w:tcPr>
            <w:tcW w:w="3573" w:type="dxa"/>
            <w:vAlign w:val="center"/>
          </w:tcPr>
          <w:p w:rsidR="00475650" w:rsidRDefault="00475650">
            <w:pPr>
              <w:snapToGrid w:val="0"/>
              <w:jc w:val="center"/>
              <w:rPr>
                <w:bCs/>
                <w:szCs w:val="21"/>
              </w:rPr>
            </w:pPr>
            <w:r>
              <w:rPr>
                <w:rFonts w:hAnsi="宋体"/>
                <w:bCs/>
                <w:szCs w:val="21"/>
              </w:rPr>
              <w:t>废水处理措施及排放去向</w:t>
            </w:r>
          </w:p>
        </w:tc>
      </w:tr>
      <w:tr w:rsidR="00475650">
        <w:trPr>
          <w:jc w:val="center"/>
        </w:trPr>
        <w:tc>
          <w:tcPr>
            <w:tcW w:w="1942" w:type="dxa"/>
            <w:vAlign w:val="center"/>
          </w:tcPr>
          <w:p w:rsidR="00475650" w:rsidRDefault="00475650">
            <w:pPr>
              <w:snapToGrid w:val="0"/>
              <w:jc w:val="center"/>
              <w:rPr>
                <w:szCs w:val="21"/>
              </w:rPr>
            </w:pPr>
            <w:r>
              <w:rPr>
                <w:rFonts w:hAnsi="宋体"/>
                <w:szCs w:val="21"/>
              </w:rPr>
              <w:t>氯气汽化器和缓冲罐</w:t>
            </w:r>
            <w:r>
              <w:rPr>
                <w:rFonts w:hAnsi="宋体"/>
                <w:kern w:val="0"/>
                <w:szCs w:val="21"/>
              </w:rPr>
              <w:t>清洗废水</w:t>
            </w:r>
          </w:p>
        </w:tc>
        <w:tc>
          <w:tcPr>
            <w:tcW w:w="1144" w:type="dxa"/>
            <w:vAlign w:val="center"/>
          </w:tcPr>
          <w:p w:rsidR="00475650" w:rsidRDefault="00475650">
            <w:pPr>
              <w:snapToGrid w:val="0"/>
              <w:jc w:val="center"/>
              <w:rPr>
                <w:kern w:val="0"/>
                <w:szCs w:val="21"/>
              </w:rPr>
            </w:pPr>
            <w:r>
              <w:rPr>
                <w:rFonts w:hAnsi="宋体"/>
                <w:kern w:val="0"/>
                <w:szCs w:val="21"/>
              </w:rPr>
              <w:t>间歇</w:t>
            </w:r>
          </w:p>
        </w:tc>
        <w:tc>
          <w:tcPr>
            <w:tcW w:w="2287" w:type="dxa"/>
            <w:vAlign w:val="center"/>
          </w:tcPr>
          <w:p w:rsidR="00475650" w:rsidRDefault="00475650">
            <w:pPr>
              <w:snapToGrid w:val="0"/>
              <w:jc w:val="center"/>
              <w:rPr>
                <w:kern w:val="0"/>
                <w:szCs w:val="21"/>
              </w:rPr>
            </w:pPr>
            <w:r>
              <w:rPr>
                <w:kern w:val="0"/>
                <w:szCs w:val="21"/>
              </w:rPr>
              <w:t>pH</w:t>
            </w:r>
            <w:r>
              <w:rPr>
                <w:rFonts w:hAnsi="宋体"/>
                <w:kern w:val="0"/>
                <w:szCs w:val="21"/>
              </w:rPr>
              <w:t>、化学需氧量、悬浮物、三氯化氮</w:t>
            </w:r>
          </w:p>
        </w:tc>
        <w:tc>
          <w:tcPr>
            <w:tcW w:w="3573" w:type="dxa"/>
            <w:vAlign w:val="center"/>
          </w:tcPr>
          <w:p w:rsidR="00475650" w:rsidRDefault="00475650">
            <w:pPr>
              <w:pStyle w:val="afff7"/>
              <w:overflowPunct/>
              <w:autoSpaceDE/>
              <w:autoSpaceDN/>
              <w:adjustRightInd/>
              <w:snapToGrid w:val="0"/>
              <w:spacing w:line="240" w:lineRule="auto"/>
              <w:textAlignment w:val="auto"/>
              <w:rPr>
                <w:kern w:val="2"/>
                <w:sz w:val="21"/>
                <w:szCs w:val="21"/>
              </w:rPr>
            </w:pPr>
            <w:r>
              <w:rPr>
                <w:rFonts w:hAnsi="宋体"/>
                <w:kern w:val="2"/>
                <w:sz w:val="21"/>
                <w:szCs w:val="21"/>
              </w:rPr>
              <w:t>加碱液中和破除三氯化氮后进中和池经隔油池外排基地污水处理厂</w:t>
            </w:r>
          </w:p>
        </w:tc>
      </w:tr>
      <w:tr w:rsidR="00475650">
        <w:trPr>
          <w:jc w:val="center"/>
        </w:trPr>
        <w:tc>
          <w:tcPr>
            <w:tcW w:w="1942" w:type="dxa"/>
            <w:vAlign w:val="center"/>
          </w:tcPr>
          <w:p w:rsidR="00475650" w:rsidRDefault="00475650">
            <w:pPr>
              <w:snapToGrid w:val="0"/>
              <w:jc w:val="center"/>
              <w:rPr>
                <w:szCs w:val="21"/>
              </w:rPr>
            </w:pPr>
            <w:r>
              <w:rPr>
                <w:rFonts w:hAnsi="宋体"/>
                <w:szCs w:val="21"/>
              </w:rPr>
              <w:t>氯气汽化器间接冷却水</w:t>
            </w:r>
          </w:p>
        </w:tc>
        <w:tc>
          <w:tcPr>
            <w:tcW w:w="1144" w:type="dxa"/>
            <w:vAlign w:val="center"/>
          </w:tcPr>
          <w:p w:rsidR="00475650" w:rsidRDefault="00475650">
            <w:pPr>
              <w:snapToGrid w:val="0"/>
              <w:jc w:val="center"/>
              <w:rPr>
                <w:kern w:val="0"/>
                <w:szCs w:val="21"/>
              </w:rPr>
            </w:pPr>
            <w:r>
              <w:rPr>
                <w:rFonts w:hAnsi="宋体"/>
                <w:kern w:val="0"/>
                <w:szCs w:val="21"/>
              </w:rPr>
              <w:t>间歇</w:t>
            </w:r>
          </w:p>
        </w:tc>
        <w:tc>
          <w:tcPr>
            <w:tcW w:w="2287" w:type="dxa"/>
            <w:vAlign w:val="center"/>
          </w:tcPr>
          <w:p w:rsidR="00475650" w:rsidRDefault="00475650">
            <w:pPr>
              <w:snapToGrid w:val="0"/>
              <w:jc w:val="center"/>
              <w:rPr>
                <w:kern w:val="0"/>
                <w:szCs w:val="21"/>
              </w:rPr>
            </w:pPr>
            <w:r>
              <w:rPr>
                <w:rFonts w:hAnsi="宋体"/>
                <w:kern w:val="0"/>
                <w:szCs w:val="21"/>
              </w:rPr>
              <w:t>化学需氧量、悬浮物</w:t>
            </w:r>
          </w:p>
        </w:tc>
        <w:tc>
          <w:tcPr>
            <w:tcW w:w="3573" w:type="dxa"/>
            <w:vAlign w:val="center"/>
          </w:tcPr>
          <w:p w:rsidR="00475650" w:rsidRDefault="00475650">
            <w:pPr>
              <w:pStyle w:val="afff7"/>
              <w:overflowPunct/>
              <w:autoSpaceDE/>
              <w:autoSpaceDN/>
              <w:adjustRightInd/>
              <w:snapToGrid w:val="0"/>
              <w:spacing w:line="240" w:lineRule="auto"/>
              <w:textAlignment w:val="auto"/>
              <w:rPr>
                <w:kern w:val="2"/>
                <w:sz w:val="21"/>
                <w:szCs w:val="21"/>
              </w:rPr>
            </w:pPr>
            <w:r>
              <w:rPr>
                <w:rFonts w:hAnsi="宋体"/>
                <w:kern w:val="2"/>
                <w:sz w:val="21"/>
                <w:szCs w:val="21"/>
              </w:rPr>
              <w:t>经沉淀池进隔油池处理，回用或外排基地污水处理厂</w:t>
            </w:r>
          </w:p>
        </w:tc>
      </w:tr>
      <w:tr w:rsidR="00475650">
        <w:trPr>
          <w:jc w:val="center"/>
        </w:trPr>
        <w:tc>
          <w:tcPr>
            <w:tcW w:w="1942" w:type="dxa"/>
            <w:vAlign w:val="center"/>
          </w:tcPr>
          <w:p w:rsidR="00475650" w:rsidRDefault="00475650">
            <w:pPr>
              <w:snapToGrid w:val="0"/>
              <w:jc w:val="center"/>
              <w:rPr>
                <w:szCs w:val="21"/>
              </w:rPr>
            </w:pPr>
            <w:r>
              <w:rPr>
                <w:rFonts w:hAnsi="宋体"/>
                <w:szCs w:val="21"/>
              </w:rPr>
              <w:t>车间冲刷水</w:t>
            </w:r>
          </w:p>
        </w:tc>
        <w:tc>
          <w:tcPr>
            <w:tcW w:w="1144" w:type="dxa"/>
            <w:vAlign w:val="center"/>
          </w:tcPr>
          <w:p w:rsidR="00475650" w:rsidRDefault="00475650">
            <w:pPr>
              <w:snapToGrid w:val="0"/>
              <w:jc w:val="center"/>
              <w:rPr>
                <w:kern w:val="0"/>
                <w:szCs w:val="21"/>
              </w:rPr>
            </w:pPr>
            <w:r>
              <w:rPr>
                <w:rFonts w:hAnsi="宋体"/>
                <w:kern w:val="0"/>
                <w:szCs w:val="21"/>
              </w:rPr>
              <w:t>间歇</w:t>
            </w:r>
          </w:p>
        </w:tc>
        <w:tc>
          <w:tcPr>
            <w:tcW w:w="2287" w:type="dxa"/>
            <w:vAlign w:val="center"/>
          </w:tcPr>
          <w:p w:rsidR="00475650" w:rsidRDefault="00475650">
            <w:pPr>
              <w:snapToGrid w:val="0"/>
              <w:jc w:val="center"/>
              <w:rPr>
                <w:kern w:val="0"/>
                <w:szCs w:val="21"/>
              </w:rPr>
            </w:pPr>
            <w:r>
              <w:rPr>
                <w:kern w:val="0"/>
                <w:szCs w:val="21"/>
              </w:rPr>
              <w:t>pH</w:t>
            </w:r>
            <w:r>
              <w:rPr>
                <w:rFonts w:hAnsi="宋体"/>
                <w:kern w:val="0"/>
                <w:szCs w:val="21"/>
              </w:rPr>
              <w:t>、化学需氧量、悬浮物</w:t>
            </w:r>
          </w:p>
        </w:tc>
        <w:tc>
          <w:tcPr>
            <w:tcW w:w="3573" w:type="dxa"/>
            <w:vAlign w:val="center"/>
          </w:tcPr>
          <w:p w:rsidR="00475650" w:rsidRDefault="00475650">
            <w:pPr>
              <w:pStyle w:val="afff7"/>
              <w:overflowPunct/>
              <w:autoSpaceDE/>
              <w:autoSpaceDN/>
              <w:adjustRightInd/>
              <w:snapToGrid w:val="0"/>
              <w:spacing w:line="240" w:lineRule="auto"/>
              <w:textAlignment w:val="auto"/>
              <w:rPr>
                <w:kern w:val="2"/>
                <w:sz w:val="21"/>
                <w:szCs w:val="21"/>
              </w:rPr>
            </w:pPr>
            <w:r>
              <w:rPr>
                <w:rFonts w:hAnsi="宋体"/>
                <w:kern w:val="2"/>
                <w:sz w:val="21"/>
                <w:szCs w:val="21"/>
              </w:rPr>
              <w:t>经沉淀池进隔油池处理，回用或外排基地污水处理厂</w:t>
            </w:r>
          </w:p>
        </w:tc>
      </w:tr>
      <w:tr w:rsidR="00475650">
        <w:trPr>
          <w:jc w:val="center"/>
        </w:trPr>
        <w:tc>
          <w:tcPr>
            <w:tcW w:w="1942" w:type="dxa"/>
            <w:vAlign w:val="center"/>
          </w:tcPr>
          <w:p w:rsidR="00475650" w:rsidRDefault="00475650">
            <w:pPr>
              <w:snapToGrid w:val="0"/>
              <w:jc w:val="center"/>
              <w:rPr>
                <w:szCs w:val="21"/>
              </w:rPr>
            </w:pPr>
            <w:r>
              <w:rPr>
                <w:rFonts w:hAnsi="宋体"/>
                <w:szCs w:val="21"/>
              </w:rPr>
              <w:t>初期雨水</w:t>
            </w:r>
          </w:p>
        </w:tc>
        <w:tc>
          <w:tcPr>
            <w:tcW w:w="1144" w:type="dxa"/>
            <w:vAlign w:val="center"/>
          </w:tcPr>
          <w:p w:rsidR="00475650" w:rsidRDefault="00475650">
            <w:pPr>
              <w:snapToGrid w:val="0"/>
              <w:jc w:val="center"/>
              <w:rPr>
                <w:kern w:val="0"/>
                <w:szCs w:val="21"/>
              </w:rPr>
            </w:pPr>
            <w:r>
              <w:rPr>
                <w:rFonts w:hAnsi="宋体"/>
                <w:kern w:val="0"/>
                <w:szCs w:val="21"/>
              </w:rPr>
              <w:t>间歇</w:t>
            </w:r>
          </w:p>
        </w:tc>
        <w:tc>
          <w:tcPr>
            <w:tcW w:w="2287" w:type="dxa"/>
            <w:vAlign w:val="center"/>
          </w:tcPr>
          <w:p w:rsidR="00475650" w:rsidRDefault="00475650">
            <w:pPr>
              <w:snapToGrid w:val="0"/>
              <w:jc w:val="center"/>
              <w:rPr>
                <w:kern w:val="0"/>
                <w:szCs w:val="21"/>
              </w:rPr>
            </w:pPr>
            <w:r>
              <w:rPr>
                <w:kern w:val="0"/>
                <w:szCs w:val="21"/>
              </w:rPr>
              <w:t>pH</w:t>
            </w:r>
            <w:r>
              <w:rPr>
                <w:rFonts w:hAnsi="宋体"/>
                <w:kern w:val="0"/>
                <w:szCs w:val="21"/>
              </w:rPr>
              <w:t>、化学需氧量、悬浮物、石油类</w:t>
            </w:r>
          </w:p>
        </w:tc>
        <w:tc>
          <w:tcPr>
            <w:tcW w:w="3573" w:type="dxa"/>
            <w:vMerge w:val="restart"/>
            <w:vAlign w:val="center"/>
          </w:tcPr>
          <w:p w:rsidR="00475650" w:rsidRDefault="00475650">
            <w:pPr>
              <w:pStyle w:val="afff7"/>
              <w:overflowPunct/>
              <w:autoSpaceDE/>
              <w:autoSpaceDN/>
              <w:adjustRightInd/>
              <w:snapToGrid w:val="0"/>
              <w:spacing w:line="240" w:lineRule="auto"/>
              <w:textAlignment w:val="auto"/>
              <w:rPr>
                <w:kern w:val="2"/>
                <w:sz w:val="21"/>
                <w:szCs w:val="21"/>
              </w:rPr>
            </w:pPr>
            <w:r>
              <w:rPr>
                <w:rFonts w:hAnsi="宋体"/>
                <w:kern w:val="2"/>
                <w:sz w:val="21"/>
                <w:szCs w:val="21"/>
              </w:rPr>
              <w:t>收集入雨水收集池，回用或外排基地污水处理厂</w:t>
            </w:r>
          </w:p>
        </w:tc>
      </w:tr>
      <w:tr w:rsidR="00475650">
        <w:trPr>
          <w:jc w:val="center"/>
        </w:trPr>
        <w:tc>
          <w:tcPr>
            <w:tcW w:w="1942" w:type="dxa"/>
            <w:vAlign w:val="center"/>
          </w:tcPr>
          <w:p w:rsidR="00475650" w:rsidRDefault="00475650">
            <w:pPr>
              <w:snapToGrid w:val="0"/>
              <w:jc w:val="center"/>
              <w:rPr>
                <w:szCs w:val="21"/>
              </w:rPr>
            </w:pPr>
            <w:r>
              <w:rPr>
                <w:rFonts w:hAnsi="宋体"/>
                <w:szCs w:val="21"/>
              </w:rPr>
              <w:t>地面冲刷水</w:t>
            </w:r>
          </w:p>
        </w:tc>
        <w:tc>
          <w:tcPr>
            <w:tcW w:w="1144" w:type="dxa"/>
            <w:vAlign w:val="center"/>
          </w:tcPr>
          <w:p w:rsidR="00475650" w:rsidRDefault="00475650">
            <w:pPr>
              <w:snapToGrid w:val="0"/>
              <w:jc w:val="center"/>
              <w:rPr>
                <w:kern w:val="0"/>
                <w:szCs w:val="21"/>
              </w:rPr>
            </w:pPr>
            <w:r>
              <w:rPr>
                <w:rFonts w:hAnsi="宋体"/>
                <w:kern w:val="0"/>
                <w:szCs w:val="21"/>
              </w:rPr>
              <w:t>间歇</w:t>
            </w:r>
          </w:p>
        </w:tc>
        <w:tc>
          <w:tcPr>
            <w:tcW w:w="2287" w:type="dxa"/>
            <w:vAlign w:val="center"/>
          </w:tcPr>
          <w:p w:rsidR="00475650" w:rsidRDefault="00475650">
            <w:pPr>
              <w:snapToGrid w:val="0"/>
              <w:jc w:val="center"/>
              <w:rPr>
                <w:kern w:val="0"/>
                <w:szCs w:val="21"/>
              </w:rPr>
            </w:pPr>
            <w:r>
              <w:rPr>
                <w:kern w:val="0"/>
                <w:szCs w:val="21"/>
              </w:rPr>
              <w:t>pH</w:t>
            </w:r>
            <w:r>
              <w:rPr>
                <w:rFonts w:hAnsi="宋体"/>
                <w:kern w:val="0"/>
                <w:szCs w:val="21"/>
              </w:rPr>
              <w:t>、化学需氧量、悬浮物、石油类</w:t>
            </w:r>
          </w:p>
        </w:tc>
        <w:tc>
          <w:tcPr>
            <w:tcW w:w="3573" w:type="dxa"/>
            <w:vMerge/>
            <w:vAlign w:val="center"/>
          </w:tcPr>
          <w:p w:rsidR="00475650" w:rsidRDefault="00475650">
            <w:pPr>
              <w:pStyle w:val="afff7"/>
              <w:overflowPunct/>
              <w:autoSpaceDE/>
              <w:autoSpaceDN/>
              <w:adjustRightInd/>
              <w:snapToGrid w:val="0"/>
              <w:spacing w:line="240" w:lineRule="auto"/>
              <w:textAlignment w:val="auto"/>
              <w:rPr>
                <w:kern w:val="2"/>
                <w:sz w:val="21"/>
                <w:szCs w:val="21"/>
              </w:rPr>
            </w:pPr>
          </w:p>
        </w:tc>
      </w:tr>
      <w:tr w:rsidR="00475650">
        <w:trPr>
          <w:jc w:val="center"/>
        </w:trPr>
        <w:tc>
          <w:tcPr>
            <w:tcW w:w="1942" w:type="dxa"/>
            <w:vAlign w:val="center"/>
          </w:tcPr>
          <w:p w:rsidR="00475650" w:rsidRDefault="00475650">
            <w:pPr>
              <w:snapToGrid w:val="0"/>
              <w:jc w:val="center"/>
              <w:rPr>
                <w:szCs w:val="21"/>
              </w:rPr>
            </w:pPr>
            <w:r>
              <w:rPr>
                <w:rFonts w:hAnsi="宋体"/>
                <w:szCs w:val="21"/>
              </w:rPr>
              <w:t>循环冷却水</w:t>
            </w:r>
          </w:p>
        </w:tc>
        <w:tc>
          <w:tcPr>
            <w:tcW w:w="1144" w:type="dxa"/>
            <w:vAlign w:val="center"/>
          </w:tcPr>
          <w:p w:rsidR="00475650" w:rsidRDefault="00475650">
            <w:pPr>
              <w:snapToGrid w:val="0"/>
              <w:jc w:val="center"/>
              <w:rPr>
                <w:kern w:val="0"/>
                <w:szCs w:val="21"/>
              </w:rPr>
            </w:pPr>
            <w:r>
              <w:rPr>
                <w:kern w:val="0"/>
                <w:szCs w:val="21"/>
              </w:rPr>
              <w:t>/</w:t>
            </w:r>
          </w:p>
        </w:tc>
        <w:tc>
          <w:tcPr>
            <w:tcW w:w="2287" w:type="dxa"/>
            <w:vAlign w:val="center"/>
          </w:tcPr>
          <w:p w:rsidR="00475650" w:rsidRDefault="00475650">
            <w:pPr>
              <w:snapToGrid w:val="0"/>
              <w:jc w:val="center"/>
              <w:rPr>
                <w:kern w:val="0"/>
                <w:szCs w:val="21"/>
              </w:rPr>
            </w:pPr>
            <w:r>
              <w:rPr>
                <w:rFonts w:hAnsi="宋体"/>
                <w:kern w:val="0"/>
                <w:szCs w:val="21"/>
              </w:rPr>
              <w:t>化学需氧量、悬浮物</w:t>
            </w:r>
          </w:p>
        </w:tc>
        <w:tc>
          <w:tcPr>
            <w:tcW w:w="3573" w:type="dxa"/>
            <w:vAlign w:val="center"/>
          </w:tcPr>
          <w:p w:rsidR="00475650" w:rsidRDefault="00475650">
            <w:pPr>
              <w:pStyle w:val="afff7"/>
              <w:overflowPunct/>
              <w:autoSpaceDE/>
              <w:autoSpaceDN/>
              <w:adjustRightInd/>
              <w:snapToGrid w:val="0"/>
              <w:spacing w:line="240" w:lineRule="auto"/>
              <w:textAlignment w:val="auto"/>
              <w:rPr>
                <w:kern w:val="2"/>
                <w:sz w:val="21"/>
                <w:szCs w:val="21"/>
              </w:rPr>
            </w:pPr>
            <w:r>
              <w:rPr>
                <w:rFonts w:hAnsi="宋体"/>
                <w:kern w:val="2"/>
                <w:sz w:val="21"/>
                <w:szCs w:val="21"/>
              </w:rPr>
              <w:t>不外排</w:t>
            </w:r>
          </w:p>
        </w:tc>
      </w:tr>
      <w:tr w:rsidR="00475650">
        <w:trPr>
          <w:jc w:val="center"/>
        </w:trPr>
        <w:tc>
          <w:tcPr>
            <w:tcW w:w="1942" w:type="dxa"/>
            <w:vAlign w:val="center"/>
          </w:tcPr>
          <w:p w:rsidR="00475650" w:rsidRDefault="00475650">
            <w:pPr>
              <w:snapToGrid w:val="0"/>
              <w:jc w:val="center"/>
              <w:rPr>
                <w:szCs w:val="21"/>
              </w:rPr>
            </w:pPr>
            <w:r>
              <w:rPr>
                <w:rFonts w:hAnsi="宋体"/>
                <w:szCs w:val="21"/>
              </w:rPr>
              <w:t>生活污水</w:t>
            </w:r>
          </w:p>
        </w:tc>
        <w:tc>
          <w:tcPr>
            <w:tcW w:w="1144" w:type="dxa"/>
            <w:vAlign w:val="center"/>
          </w:tcPr>
          <w:p w:rsidR="00475650" w:rsidRDefault="00475650">
            <w:pPr>
              <w:snapToGrid w:val="0"/>
              <w:jc w:val="center"/>
              <w:rPr>
                <w:kern w:val="0"/>
                <w:szCs w:val="21"/>
              </w:rPr>
            </w:pPr>
            <w:r>
              <w:rPr>
                <w:rFonts w:hAnsi="宋体"/>
                <w:kern w:val="0"/>
                <w:szCs w:val="21"/>
              </w:rPr>
              <w:t>连续</w:t>
            </w:r>
          </w:p>
        </w:tc>
        <w:tc>
          <w:tcPr>
            <w:tcW w:w="2287" w:type="dxa"/>
            <w:vAlign w:val="center"/>
          </w:tcPr>
          <w:p w:rsidR="00475650" w:rsidRDefault="00475650">
            <w:pPr>
              <w:snapToGrid w:val="0"/>
              <w:jc w:val="center"/>
              <w:rPr>
                <w:kern w:val="0"/>
                <w:szCs w:val="21"/>
              </w:rPr>
            </w:pPr>
            <w:r>
              <w:rPr>
                <w:rFonts w:hAnsi="宋体"/>
                <w:kern w:val="0"/>
                <w:szCs w:val="21"/>
              </w:rPr>
              <w:t>化学需氧量、氨氮、动植物油</w:t>
            </w:r>
          </w:p>
        </w:tc>
        <w:tc>
          <w:tcPr>
            <w:tcW w:w="3573" w:type="dxa"/>
            <w:vAlign w:val="center"/>
          </w:tcPr>
          <w:p w:rsidR="00475650" w:rsidRDefault="00475650">
            <w:pPr>
              <w:pStyle w:val="afff7"/>
              <w:overflowPunct/>
              <w:autoSpaceDE/>
              <w:autoSpaceDN/>
              <w:adjustRightInd/>
              <w:snapToGrid w:val="0"/>
              <w:spacing w:line="240" w:lineRule="auto"/>
              <w:textAlignment w:val="auto"/>
              <w:rPr>
                <w:kern w:val="2"/>
                <w:sz w:val="21"/>
                <w:szCs w:val="21"/>
              </w:rPr>
            </w:pPr>
            <w:r>
              <w:rPr>
                <w:rFonts w:hAnsi="宋体"/>
                <w:kern w:val="2"/>
                <w:sz w:val="21"/>
                <w:szCs w:val="21"/>
              </w:rPr>
              <w:t>经化粪池进隔油池外排基地污水处理厂</w:t>
            </w:r>
          </w:p>
        </w:tc>
      </w:tr>
    </w:tbl>
    <w:p w:rsidR="00475650" w:rsidRDefault="00475650">
      <w:pPr>
        <w:tabs>
          <w:tab w:val="left" w:pos="6858"/>
        </w:tabs>
        <w:snapToGrid w:val="0"/>
        <w:spacing w:line="360" w:lineRule="auto"/>
        <w:ind w:firstLineChars="200" w:firstLine="480"/>
        <w:jc w:val="center"/>
        <w:rPr>
          <w:sz w:val="24"/>
        </w:rPr>
      </w:pPr>
    </w:p>
    <w:p w:rsidR="00475650" w:rsidRDefault="00475650">
      <w:pPr>
        <w:tabs>
          <w:tab w:val="left" w:pos="6858"/>
        </w:tabs>
        <w:snapToGrid w:val="0"/>
        <w:spacing w:line="360" w:lineRule="auto"/>
        <w:ind w:firstLineChars="200" w:firstLine="480"/>
        <w:jc w:val="center"/>
        <w:rPr>
          <w:sz w:val="24"/>
        </w:rPr>
      </w:pPr>
    </w:p>
    <w:p w:rsidR="00475650" w:rsidRDefault="00475650">
      <w:pPr>
        <w:tabs>
          <w:tab w:val="left" w:pos="6858"/>
        </w:tabs>
        <w:snapToGrid w:val="0"/>
        <w:spacing w:line="360" w:lineRule="auto"/>
        <w:ind w:firstLineChars="200" w:firstLine="480"/>
        <w:jc w:val="center"/>
        <w:rPr>
          <w:sz w:val="24"/>
        </w:rPr>
      </w:pPr>
    </w:p>
    <w:p w:rsidR="00475650" w:rsidRDefault="00475650">
      <w:pPr>
        <w:tabs>
          <w:tab w:val="left" w:pos="6858"/>
        </w:tabs>
        <w:snapToGrid w:val="0"/>
        <w:spacing w:line="360" w:lineRule="auto"/>
        <w:ind w:firstLineChars="200" w:firstLine="480"/>
        <w:jc w:val="center"/>
        <w:rPr>
          <w:sz w:val="24"/>
        </w:rPr>
      </w:pPr>
    </w:p>
    <w:p w:rsidR="00475650" w:rsidRDefault="00475650">
      <w:pPr>
        <w:tabs>
          <w:tab w:val="left" w:pos="6858"/>
        </w:tabs>
        <w:snapToGrid w:val="0"/>
        <w:spacing w:line="360" w:lineRule="auto"/>
        <w:ind w:firstLineChars="200" w:firstLine="480"/>
        <w:jc w:val="center"/>
        <w:rPr>
          <w:sz w:val="24"/>
        </w:rPr>
      </w:pPr>
      <w:r>
        <w:rPr>
          <w:rFonts w:hAnsi="宋体"/>
          <w:sz w:val="24"/>
        </w:rPr>
        <w:lastRenderedPageBreak/>
        <w:t>表</w:t>
      </w:r>
      <w:r>
        <w:rPr>
          <w:sz w:val="24"/>
        </w:rPr>
        <w:t xml:space="preserve">2.1-7  </w:t>
      </w:r>
      <w:r>
        <w:rPr>
          <w:rFonts w:hAnsi="宋体"/>
          <w:sz w:val="24"/>
        </w:rPr>
        <w:t>废水监测浓度一览表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597"/>
        <w:gridCol w:w="856"/>
        <w:gridCol w:w="1041"/>
        <w:gridCol w:w="930"/>
        <w:gridCol w:w="930"/>
        <w:gridCol w:w="930"/>
        <w:gridCol w:w="930"/>
        <w:gridCol w:w="1236"/>
        <w:gridCol w:w="855"/>
        <w:gridCol w:w="641"/>
      </w:tblGrid>
      <w:tr w:rsidR="00475650">
        <w:trPr>
          <w:tblHeader/>
          <w:jc w:val="center"/>
        </w:trPr>
        <w:tc>
          <w:tcPr>
            <w:tcW w:w="597" w:type="dxa"/>
            <w:vMerge w:val="restart"/>
            <w:vAlign w:val="center"/>
          </w:tcPr>
          <w:p w:rsidR="00475650" w:rsidRDefault="00475650" w:rsidP="00BD74CB">
            <w:pPr>
              <w:adjustRightInd w:val="0"/>
              <w:snapToGrid w:val="0"/>
              <w:spacing w:beforeLines="8" w:afterLines="8" w:line="216" w:lineRule="auto"/>
              <w:ind w:leftChars="-50" w:left="-105" w:rightChars="-50" w:right="-105"/>
              <w:jc w:val="center"/>
              <w:rPr>
                <w:bCs/>
                <w:szCs w:val="21"/>
              </w:rPr>
            </w:pPr>
            <w:r>
              <w:rPr>
                <w:rFonts w:hAnsi="宋体"/>
                <w:bCs/>
                <w:szCs w:val="21"/>
              </w:rPr>
              <w:t>监测</w:t>
            </w:r>
          </w:p>
          <w:p w:rsidR="00475650" w:rsidRDefault="00475650" w:rsidP="00BD74CB">
            <w:pPr>
              <w:adjustRightInd w:val="0"/>
              <w:snapToGrid w:val="0"/>
              <w:spacing w:beforeLines="8" w:afterLines="8" w:line="216" w:lineRule="auto"/>
              <w:ind w:leftChars="-50" w:left="-105" w:rightChars="-50" w:right="-105"/>
              <w:jc w:val="center"/>
              <w:rPr>
                <w:bCs/>
                <w:szCs w:val="21"/>
              </w:rPr>
            </w:pPr>
            <w:r>
              <w:rPr>
                <w:rFonts w:hAnsi="宋体"/>
                <w:bCs/>
                <w:szCs w:val="21"/>
              </w:rPr>
              <w:t>位置</w:t>
            </w:r>
          </w:p>
        </w:tc>
        <w:tc>
          <w:tcPr>
            <w:tcW w:w="856" w:type="dxa"/>
            <w:vMerge w:val="restart"/>
            <w:vAlign w:val="center"/>
          </w:tcPr>
          <w:p w:rsidR="00475650" w:rsidRDefault="00475650" w:rsidP="00BD74CB">
            <w:pPr>
              <w:adjustRightInd w:val="0"/>
              <w:snapToGrid w:val="0"/>
              <w:spacing w:beforeLines="8" w:afterLines="8" w:line="216" w:lineRule="auto"/>
              <w:jc w:val="center"/>
              <w:rPr>
                <w:bCs/>
                <w:szCs w:val="21"/>
              </w:rPr>
            </w:pPr>
            <w:r>
              <w:rPr>
                <w:rFonts w:hAnsi="宋体"/>
                <w:bCs/>
                <w:szCs w:val="21"/>
              </w:rPr>
              <w:t>监测</w:t>
            </w:r>
          </w:p>
          <w:p w:rsidR="00475650" w:rsidRDefault="00475650" w:rsidP="00BD74CB">
            <w:pPr>
              <w:adjustRightInd w:val="0"/>
              <w:snapToGrid w:val="0"/>
              <w:spacing w:beforeLines="8" w:afterLines="8" w:line="216" w:lineRule="auto"/>
              <w:jc w:val="center"/>
              <w:rPr>
                <w:bCs/>
                <w:szCs w:val="21"/>
              </w:rPr>
            </w:pPr>
            <w:r>
              <w:rPr>
                <w:rFonts w:hAnsi="宋体"/>
                <w:bCs/>
                <w:szCs w:val="21"/>
              </w:rPr>
              <w:t>因子</w:t>
            </w:r>
          </w:p>
        </w:tc>
        <w:tc>
          <w:tcPr>
            <w:tcW w:w="1041" w:type="dxa"/>
            <w:vMerge w:val="restart"/>
            <w:vAlign w:val="center"/>
          </w:tcPr>
          <w:p w:rsidR="00475650" w:rsidRDefault="00475650" w:rsidP="00BD74CB">
            <w:pPr>
              <w:adjustRightInd w:val="0"/>
              <w:snapToGrid w:val="0"/>
              <w:spacing w:beforeLines="8" w:afterLines="8" w:line="216" w:lineRule="auto"/>
              <w:jc w:val="center"/>
              <w:rPr>
                <w:bCs/>
                <w:szCs w:val="21"/>
              </w:rPr>
            </w:pPr>
            <w:r>
              <w:rPr>
                <w:rFonts w:hAnsi="宋体"/>
                <w:bCs/>
                <w:szCs w:val="21"/>
              </w:rPr>
              <w:t>监测</w:t>
            </w:r>
          </w:p>
          <w:p w:rsidR="00475650" w:rsidRDefault="00475650" w:rsidP="00BD74CB">
            <w:pPr>
              <w:adjustRightInd w:val="0"/>
              <w:snapToGrid w:val="0"/>
              <w:spacing w:beforeLines="8" w:afterLines="8" w:line="216" w:lineRule="auto"/>
              <w:jc w:val="center"/>
              <w:rPr>
                <w:bCs/>
                <w:szCs w:val="21"/>
              </w:rPr>
            </w:pPr>
            <w:r>
              <w:rPr>
                <w:rFonts w:hAnsi="宋体"/>
                <w:bCs/>
                <w:szCs w:val="21"/>
              </w:rPr>
              <w:t>日期</w:t>
            </w:r>
          </w:p>
        </w:tc>
        <w:tc>
          <w:tcPr>
            <w:tcW w:w="4956" w:type="dxa"/>
            <w:gridSpan w:val="5"/>
            <w:vAlign w:val="center"/>
          </w:tcPr>
          <w:p w:rsidR="00475650" w:rsidRDefault="00475650" w:rsidP="00BD74CB">
            <w:pPr>
              <w:adjustRightInd w:val="0"/>
              <w:snapToGrid w:val="0"/>
              <w:spacing w:beforeLines="8" w:afterLines="8" w:line="216" w:lineRule="auto"/>
              <w:jc w:val="center"/>
              <w:rPr>
                <w:bCs/>
                <w:szCs w:val="21"/>
              </w:rPr>
            </w:pPr>
            <w:r>
              <w:rPr>
                <w:rFonts w:hAnsi="宋体"/>
                <w:bCs/>
                <w:szCs w:val="21"/>
              </w:rPr>
              <w:t>监测结果（</w:t>
            </w:r>
            <w:r>
              <w:rPr>
                <w:bCs/>
                <w:szCs w:val="21"/>
              </w:rPr>
              <w:t>mg/l</w:t>
            </w:r>
            <w:r>
              <w:rPr>
                <w:rFonts w:hAnsi="宋体"/>
                <w:bCs/>
                <w:szCs w:val="21"/>
              </w:rPr>
              <w:t>）</w:t>
            </w:r>
          </w:p>
        </w:tc>
        <w:tc>
          <w:tcPr>
            <w:tcW w:w="855" w:type="dxa"/>
            <w:vMerge w:val="restart"/>
            <w:vAlign w:val="center"/>
          </w:tcPr>
          <w:p w:rsidR="00475650" w:rsidRDefault="00475650" w:rsidP="00BD74CB">
            <w:pPr>
              <w:adjustRightInd w:val="0"/>
              <w:snapToGrid w:val="0"/>
              <w:spacing w:beforeLines="8" w:afterLines="8" w:line="216" w:lineRule="auto"/>
              <w:jc w:val="center"/>
              <w:rPr>
                <w:szCs w:val="21"/>
              </w:rPr>
            </w:pPr>
            <w:r>
              <w:rPr>
                <w:rFonts w:hAnsi="宋体"/>
                <w:szCs w:val="21"/>
              </w:rPr>
              <w:t>评价标准</w:t>
            </w:r>
          </w:p>
        </w:tc>
        <w:tc>
          <w:tcPr>
            <w:tcW w:w="641" w:type="dxa"/>
            <w:vMerge w:val="restart"/>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是否达标</w:t>
            </w:r>
          </w:p>
        </w:tc>
      </w:tr>
      <w:tr w:rsidR="00475650">
        <w:trPr>
          <w:tblHeader/>
          <w:jc w:val="center"/>
        </w:trPr>
        <w:tc>
          <w:tcPr>
            <w:tcW w:w="597" w:type="dxa"/>
            <w:vMerge/>
            <w:vAlign w:val="center"/>
          </w:tcPr>
          <w:p w:rsidR="00475650" w:rsidRDefault="00475650" w:rsidP="00BD74CB">
            <w:pPr>
              <w:adjustRightInd w:val="0"/>
              <w:snapToGrid w:val="0"/>
              <w:spacing w:beforeLines="8" w:afterLines="8" w:line="216" w:lineRule="auto"/>
              <w:jc w:val="center"/>
              <w:rPr>
                <w:bCs/>
                <w:szCs w:val="21"/>
              </w:rPr>
            </w:pPr>
          </w:p>
        </w:tc>
        <w:tc>
          <w:tcPr>
            <w:tcW w:w="856" w:type="dxa"/>
            <w:vMerge/>
            <w:vAlign w:val="center"/>
          </w:tcPr>
          <w:p w:rsidR="00475650" w:rsidRDefault="00475650" w:rsidP="00BD74CB">
            <w:pPr>
              <w:adjustRightInd w:val="0"/>
              <w:snapToGrid w:val="0"/>
              <w:spacing w:beforeLines="8" w:afterLines="8" w:line="216" w:lineRule="auto"/>
              <w:jc w:val="center"/>
              <w:rPr>
                <w:bCs/>
                <w:szCs w:val="21"/>
              </w:rPr>
            </w:pPr>
          </w:p>
        </w:tc>
        <w:tc>
          <w:tcPr>
            <w:tcW w:w="1041" w:type="dxa"/>
            <w:vMerge/>
            <w:vAlign w:val="center"/>
          </w:tcPr>
          <w:p w:rsidR="00475650" w:rsidRDefault="00475650" w:rsidP="00BD74CB">
            <w:pPr>
              <w:adjustRightInd w:val="0"/>
              <w:snapToGrid w:val="0"/>
              <w:spacing w:beforeLines="8" w:afterLines="8" w:line="216" w:lineRule="auto"/>
              <w:jc w:val="center"/>
              <w:rPr>
                <w:bCs/>
                <w:szCs w:val="21"/>
              </w:rPr>
            </w:pP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1</w:t>
            </w:r>
          </w:p>
        </w:tc>
        <w:tc>
          <w:tcPr>
            <w:tcW w:w="930" w:type="dxa"/>
            <w:vAlign w:val="center"/>
          </w:tcPr>
          <w:p w:rsidR="00475650" w:rsidRDefault="00475650" w:rsidP="00BD74CB">
            <w:pPr>
              <w:snapToGrid w:val="0"/>
              <w:spacing w:beforeLines="8" w:afterLines="8" w:line="216" w:lineRule="auto"/>
              <w:jc w:val="center"/>
              <w:rPr>
                <w:szCs w:val="21"/>
              </w:rPr>
            </w:pPr>
            <w:r>
              <w:rPr>
                <w:szCs w:val="21"/>
              </w:rPr>
              <w:t>2</w:t>
            </w:r>
          </w:p>
        </w:tc>
        <w:tc>
          <w:tcPr>
            <w:tcW w:w="930" w:type="dxa"/>
            <w:vAlign w:val="center"/>
          </w:tcPr>
          <w:p w:rsidR="00475650" w:rsidRDefault="00475650" w:rsidP="00BD74CB">
            <w:pPr>
              <w:adjustRightInd w:val="0"/>
              <w:snapToGrid w:val="0"/>
              <w:spacing w:beforeLines="8" w:afterLines="8" w:line="216" w:lineRule="auto"/>
              <w:jc w:val="center"/>
              <w:rPr>
                <w:szCs w:val="21"/>
              </w:rPr>
            </w:pPr>
            <w:r>
              <w:rPr>
                <w:szCs w:val="21"/>
              </w:rPr>
              <w:t>3</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4</w:t>
            </w:r>
          </w:p>
        </w:tc>
        <w:tc>
          <w:tcPr>
            <w:tcW w:w="1236" w:type="dxa"/>
            <w:vAlign w:val="center"/>
          </w:tcPr>
          <w:p w:rsidR="00475650" w:rsidRDefault="00475650" w:rsidP="00BD74CB">
            <w:pPr>
              <w:adjustRightInd w:val="0"/>
              <w:snapToGrid w:val="0"/>
              <w:spacing w:beforeLines="8" w:afterLines="8" w:line="216" w:lineRule="auto"/>
              <w:jc w:val="center"/>
              <w:rPr>
                <w:bCs/>
                <w:szCs w:val="21"/>
              </w:rPr>
            </w:pPr>
            <w:r>
              <w:rPr>
                <w:rFonts w:hAnsi="宋体"/>
                <w:bCs/>
                <w:szCs w:val="21"/>
              </w:rPr>
              <w:t>平均值或范围</w:t>
            </w:r>
          </w:p>
        </w:tc>
        <w:tc>
          <w:tcPr>
            <w:tcW w:w="855" w:type="dxa"/>
            <w:vMerge/>
            <w:vAlign w:val="center"/>
          </w:tcPr>
          <w:p w:rsidR="00475650" w:rsidRDefault="00475650" w:rsidP="00BD74CB">
            <w:pPr>
              <w:adjustRightInd w:val="0"/>
              <w:snapToGrid w:val="0"/>
              <w:spacing w:beforeLines="8" w:afterLines="8" w:line="216" w:lineRule="auto"/>
              <w:jc w:val="center"/>
              <w:rPr>
                <w:bCs/>
                <w:szCs w:val="21"/>
              </w:rPr>
            </w:pPr>
          </w:p>
        </w:tc>
        <w:tc>
          <w:tcPr>
            <w:tcW w:w="641" w:type="dxa"/>
            <w:vMerge/>
            <w:vAlign w:val="center"/>
          </w:tcPr>
          <w:p w:rsidR="00475650" w:rsidRDefault="00475650" w:rsidP="00BD74CB">
            <w:pPr>
              <w:adjustRightInd w:val="0"/>
              <w:snapToGrid w:val="0"/>
              <w:spacing w:beforeLines="8" w:afterLines="8" w:line="216" w:lineRule="auto"/>
              <w:jc w:val="center"/>
              <w:rPr>
                <w:bCs/>
                <w:szCs w:val="21"/>
              </w:rPr>
            </w:pPr>
          </w:p>
        </w:tc>
      </w:tr>
      <w:tr w:rsidR="00475650">
        <w:trPr>
          <w:jc w:val="center"/>
        </w:trPr>
        <w:tc>
          <w:tcPr>
            <w:tcW w:w="597" w:type="dxa"/>
            <w:vMerge w:val="restart"/>
            <w:vAlign w:val="center"/>
          </w:tcPr>
          <w:p w:rsidR="00475650" w:rsidRDefault="00475650" w:rsidP="00BD74CB">
            <w:pPr>
              <w:snapToGrid w:val="0"/>
              <w:spacing w:beforeLines="8" w:afterLines="8" w:line="216" w:lineRule="auto"/>
              <w:jc w:val="center"/>
              <w:rPr>
                <w:szCs w:val="21"/>
              </w:rPr>
            </w:pPr>
            <w:r>
              <w:rPr>
                <w:rFonts w:hAnsi="宋体"/>
                <w:szCs w:val="21"/>
              </w:rPr>
              <w:t>生产废水排口</w:t>
            </w:r>
            <w:r>
              <w:rPr>
                <w:rFonts w:ascii="宋体" w:hAnsi="宋体"/>
                <w:szCs w:val="21"/>
              </w:rPr>
              <w:t>★</w:t>
            </w:r>
            <w:r>
              <w:rPr>
                <w:szCs w:val="21"/>
              </w:rPr>
              <w:t>1</w:t>
            </w:r>
          </w:p>
        </w:tc>
        <w:tc>
          <w:tcPr>
            <w:tcW w:w="856" w:type="dxa"/>
            <w:vMerge w:val="restart"/>
            <w:vAlign w:val="center"/>
          </w:tcPr>
          <w:p w:rsidR="00475650" w:rsidRDefault="00475650" w:rsidP="00BD74CB">
            <w:pPr>
              <w:adjustRightInd w:val="0"/>
              <w:snapToGrid w:val="0"/>
              <w:spacing w:beforeLines="8" w:afterLines="8" w:line="216" w:lineRule="auto"/>
              <w:jc w:val="center"/>
              <w:rPr>
                <w:szCs w:val="21"/>
              </w:rPr>
            </w:pPr>
            <w:r>
              <w:rPr>
                <w:szCs w:val="21"/>
              </w:rPr>
              <w:t>pH</w:t>
            </w:r>
            <w:r>
              <w:rPr>
                <w:rFonts w:hAnsi="宋体"/>
                <w:szCs w:val="21"/>
              </w:rPr>
              <w:t>值</w:t>
            </w: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第一天</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7.53</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7.54</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7.54</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7.55</w:t>
            </w:r>
          </w:p>
        </w:tc>
        <w:tc>
          <w:tcPr>
            <w:tcW w:w="1236" w:type="dxa"/>
            <w:vAlign w:val="center"/>
          </w:tcPr>
          <w:p w:rsidR="00475650" w:rsidRDefault="00475650" w:rsidP="00BD74CB">
            <w:pPr>
              <w:adjustRightInd w:val="0"/>
              <w:snapToGrid w:val="0"/>
              <w:spacing w:beforeLines="8" w:afterLines="8" w:line="216" w:lineRule="auto"/>
              <w:jc w:val="center"/>
              <w:rPr>
                <w:bCs/>
                <w:szCs w:val="21"/>
              </w:rPr>
            </w:pPr>
            <w:r>
              <w:rPr>
                <w:bCs/>
                <w:szCs w:val="21"/>
              </w:rPr>
              <w:t>7.53-7.55</w:t>
            </w:r>
          </w:p>
        </w:tc>
        <w:tc>
          <w:tcPr>
            <w:tcW w:w="855" w:type="dxa"/>
            <w:vMerge w:val="restart"/>
            <w:vAlign w:val="center"/>
          </w:tcPr>
          <w:p w:rsidR="00475650" w:rsidRDefault="00475650" w:rsidP="00BD74CB">
            <w:pPr>
              <w:widowControl/>
              <w:snapToGrid w:val="0"/>
              <w:spacing w:beforeLines="8" w:afterLines="8" w:line="216" w:lineRule="auto"/>
              <w:jc w:val="center"/>
              <w:rPr>
                <w:kern w:val="0"/>
                <w:szCs w:val="21"/>
              </w:rPr>
            </w:pPr>
            <w:r>
              <w:rPr>
                <w:kern w:val="0"/>
                <w:szCs w:val="21"/>
              </w:rPr>
              <w:t>6—9</w:t>
            </w:r>
          </w:p>
        </w:tc>
        <w:tc>
          <w:tcPr>
            <w:tcW w:w="641" w:type="dxa"/>
            <w:vAlign w:val="center"/>
          </w:tcPr>
          <w:p w:rsidR="00475650" w:rsidRDefault="00475650" w:rsidP="00BD74CB">
            <w:pPr>
              <w:adjustRightInd w:val="0"/>
              <w:snapToGrid w:val="0"/>
              <w:spacing w:beforeLines="8" w:afterLines="8" w:line="216" w:lineRule="auto"/>
              <w:jc w:val="center"/>
              <w:rPr>
                <w:bCs/>
                <w:szCs w:val="21"/>
              </w:rPr>
            </w:pPr>
            <w:r>
              <w:rPr>
                <w:rFonts w:hAnsi="宋体"/>
                <w:bCs/>
                <w:szCs w:val="21"/>
              </w:rPr>
              <w:t>是</w:t>
            </w:r>
          </w:p>
        </w:tc>
      </w:tr>
      <w:tr w:rsidR="00475650">
        <w:trPr>
          <w:jc w:val="center"/>
        </w:trPr>
        <w:tc>
          <w:tcPr>
            <w:tcW w:w="597" w:type="dxa"/>
            <w:vMerge/>
            <w:vAlign w:val="center"/>
          </w:tcPr>
          <w:p w:rsidR="00475650" w:rsidRDefault="00475650" w:rsidP="00BD74CB">
            <w:pPr>
              <w:adjustRightInd w:val="0"/>
              <w:snapToGrid w:val="0"/>
              <w:spacing w:beforeLines="8" w:afterLines="8" w:line="216" w:lineRule="auto"/>
              <w:jc w:val="center"/>
              <w:rPr>
                <w:szCs w:val="21"/>
              </w:rPr>
            </w:pPr>
          </w:p>
        </w:tc>
        <w:tc>
          <w:tcPr>
            <w:tcW w:w="856" w:type="dxa"/>
            <w:vMerge/>
            <w:vAlign w:val="center"/>
          </w:tcPr>
          <w:p w:rsidR="00475650" w:rsidRDefault="00475650" w:rsidP="00BD74CB">
            <w:pPr>
              <w:adjustRightInd w:val="0"/>
              <w:snapToGrid w:val="0"/>
              <w:spacing w:beforeLines="8" w:afterLines="8" w:line="216" w:lineRule="auto"/>
              <w:jc w:val="center"/>
              <w:rPr>
                <w:szCs w:val="21"/>
              </w:rPr>
            </w:pP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第二天</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7.35</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7.37</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7.40</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7.39</w:t>
            </w:r>
          </w:p>
        </w:tc>
        <w:tc>
          <w:tcPr>
            <w:tcW w:w="1236" w:type="dxa"/>
            <w:vAlign w:val="center"/>
          </w:tcPr>
          <w:p w:rsidR="00475650" w:rsidRDefault="00475650" w:rsidP="00BD74CB">
            <w:pPr>
              <w:adjustRightInd w:val="0"/>
              <w:snapToGrid w:val="0"/>
              <w:spacing w:beforeLines="8" w:afterLines="8" w:line="216" w:lineRule="auto"/>
              <w:jc w:val="center"/>
              <w:rPr>
                <w:bCs/>
                <w:szCs w:val="21"/>
              </w:rPr>
            </w:pPr>
            <w:r>
              <w:rPr>
                <w:bCs/>
                <w:szCs w:val="21"/>
              </w:rPr>
              <w:t>7.35-7.40</w:t>
            </w:r>
          </w:p>
        </w:tc>
        <w:tc>
          <w:tcPr>
            <w:tcW w:w="855" w:type="dxa"/>
            <w:vMerge/>
            <w:vAlign w:val="center"/>
          </w:tcPr>
          <w:p w:rsidR="00475650" w:rsidRDefault="00475650" w:rsidP="00BD74CB">
            <w:pPr>
              <w:adjustRightInd w:val="0"/>
              <w:snapToGrid w:val="0"/>
              <w:spacing w:beforeLines="8" w:afterLines="8" w:line="216" w:lineRule="auto"/>
              <w:jc w:val="center"/>
              <w:rPr>
                <w:bCs/>
                <w:szCs w:val="21"/>
              </w:rPr>
            </w:pPr>
          </w:p>
        </w:tc>
        <w:tc>
          <w:tcPr>
            <w:tcW w:w="641" w:type="dxa"/>
            <w:vAlign w:val="center"/>
          </w:tcPr>
          <w:p w:rsidR="00475650" w:rsidRDefault="00475650" w:rsidP="00BD74CB">
            <w:pPr>
              <w:snapToGrid w:val="0"/>
              <w:spacing w:beforeLines="8" w:afterLines="8" w:line="216" w:lineRule="auto"/>
              <w:jc w:val="center"/>
              <w:rPr>
                <w:szCs w:val="21"/>
              </w:rPr>
            </w:pPr>
            <w:r>
              <w:rPr>
                <w:rFonts w:hAnsi="宋体"/>
                <w:bCs/>
                <w:szCs w:val="21"/>
              </w:rPr>
              <w:t>是</w:t>
            </w:r>
          </w:p>
        </w:tc>
      </w:tr>
      <w:tr w:rsidR="00475650">
        <w:trPr>
          <w:jc w:val="center"/>
        </w:trPr>
        <w:tc>
          <w:tcPr>
            <w:tcW w:w="597" w:type="dxa"/>
            <w:vMerge/>
            <w:vAlign w:val="center"/>
          </w:tcPr>
          <w:p w:rsidR="00475650" w:rsidRDefault="00475650" w:rsidP="00BD74CB">
            <w:pPr>
              <w:adjustRightInd w:val="0"/>
              <w:snapToGrid w:val="0"/>
              <w:spacing w:beforeLines="8" w:afterLines="8" w:line="216" w:lineRule="auto"/>
              <w:jc w:val="center"/>
              <w:rPr>
                <w:szCs w:val="21"/>
              </w:rPr>
            </w:pPr>
          </w:p>
        </w:tc>
        <w:tc>
          <w:tcPr>
            <w:tcW w:w="856" w:type="dxa"/>
            <w:vMerge w:val="restart"/>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悬浮物</w:t>
            </w: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第一天</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12</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12</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13</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11</w:t>
            </w:r>
          </w:p>
        </w:tc>
        <w:tc>
          <w:tcPr>
            <w:tcW w:w="1236" w:type="dxa"/>
            <w:vAlign w:val="center"/>
          </w:tcPr>
          <w:p w:rsidR="00475650" w:rsidRDefault="00475650" w:rsidP="00BD74CB">
            <w:pPr>
              <w:adjustRightInd w:val="0"/>
              <w:snapToGrid w:val="0"/>
              <w:spacing w:beforeLines="8" w:afterLines="8" w:line="216" w:lineRule="auto"/>
              <w:jc w:val="center"/>
              <w:rPr>
                <w:bCs/>
                <w:szCs w:val="21"/>
              </w:rPr>
            </w:pPr>
            <w:r>
              <w:rPr>
                <w:bCs/>
                <w:szCs w:val="21"/>
              </w:rPr>
              <w:t>12</w:t>
            </w:r>
          </w:p>
        </w:tc>
        <w:tc>
          <w:tcPr>
            <w:tcW w:w="855" w:type="dxa"/>
            <w:vMerge w:val="restart"/>
            <w:vAlign w:val="center"/>
          </w:tcPr>
          <w:p w:rsidR="00475650" w:rsidRDefault="00475650" w:rsidP="00BD74CB">
            <w:pPr>
              <w:adjustRightInd w:val="0"/>
              <w:snapToGrid w:val="0"/>
              <w:spacing w:beforeLines="8" w:afterLines="8" w:line="216" w:lineRule="auto"/>
              <w:jc w:val="center"/>
              <w:rPr>
                <w:bCs/>
                <w:szCs w:val="21"/>
              </w:rPr>
            </w:pPr>
            <w:r>
              <w:rPr>
                <w:kern w:val="0"/>
                <w:szCs w:val="21"/>
              </w:rPr>
              <w:t>400</w:t>
            </w:r>
          </w:p>
        </w:tc>
        <w:tc>
          <w:tcPr>
            <w:tcW w:w="641" w:type="dxa"/>
            <w:vAlign w:val="center"/>
          </w:tcPr>
          <w:p w:rsidR="00475650" w:rsidRDefault="00475650" w:rsidP="00BD74CB">
            <w:pPr>
              <w:snapToGrid w:val="0"/>
              <w:spacing w:beforeLines="8" w:afterLines="8" w:line="216" w:lineRule="auto"/>
              <w:jc w:val="center"/>
              <w:rPr>
                <w:szCs w:val="21"/>
              </w:rPr>
            </w:pPr>
            <w:r>
              <w:rPr>
                <w:rFonts w:hAnsi="宋体"/>
                <w:bCs/>
                <w:szCs w:val="21"/>
              </w:rPr>
              <w:t>是</w:t>
            </w:r>
          </w:p>
        </w:tc>
      </w:tr>
      <w:tr w:rsidR="00475650">
        <w:trPr>
          <w:jc w:val="center"/>
        </w:trPr>
        <w:tc>
          <w:tcPr>
            <w:tcW w:w="597" w:type="dxa"/>
            <w:vMerge/>
            <w:vAlign w:val="center"/>
          </w:tcPr>
          <w:p w:rsidR="00475650" w:rsidRDefault="00475650" w:rsidP="00BD74CB">
            <w:pPr>
              <w:adjustRightInd w:val="0"/>
              <w:snapToGrid w:val="0"/>
              <w:spacing w:beforeLines="8" w:afterLines="8" w:line="216" w:lineRule="auto"/>
              <w:jc w:val="center"/>
              <w:rPr>
                <w:szCs w:val="21"/>
              </w:rPr>
            </w:pPr>
          </w:p>
        </w:tc>
        <w:tc>
          <w:tcPr>
            <w:tcW w:w="856" w:type="dxa"/>
            <w:vMerge/>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第二天</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12</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14</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14</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12</w:t>
            </w:r>
          </w:p>
        </w:tc>
        <w:tc>
          <w:tcPr>
            <w:tcW w:w="1236" w:type="dxa"/>
            <w:vAlign w:val="center"/>
          </w:tcPr>
          <w:p w:rsidR="00475650" w:rsidRDefault="00475650" w:rsidP="00BD74CB">
            <w:pPr>
              <w:adjustRightInd w:val="0"/>
              <w:snapToGrid w:val="0"/>
              <w:spacing w:beforeLines="8" w:afterLines="8" w:line="216" w:lineRule="auto"/>
              <w:jc w:val="center"/>
              <w:rPr>
                <w:bCs/>
                <w:szCs w:val="21"/>
              </w:rPr>
            </w:pPr>
            <w:r>
              <w:rPr>
                <w:bCs/>
                <w:szCs w:val="21"/>
              </w:rPr>
              <w:t>13</w:t>
            </w:r>
          </w:p>
        </w:tc>
        <w:tc>
          <w:tcPr>
            <w:tcW w:w="855" w:type="dxa"/>
            <w:vMerge/>
            <w:vAlign w:val="center"/>
          </w:tcPr>
          <w:p w:rsidR="00475650" w:rsidRDefault="00475650" w:rsidP="00BD74CB">
            <w:pPr>
              <w:adjustRightInd w:val="0"/>
              <w:snapToGrid w:val="0"/>
              <w:spacing w:beforeLines="8" w:afterLines="8" w:line="216" w:lineRule="auto"/>
              <w:jc w:val="center"/>
              <w:rPr>
                <w:bCs/>
                <w:szCs w:val="21"/>
              </w:rPr>
            </w:pPr>
          </w:p>
        </w:tc>
        <w:tc>
          <w:tcPr>
            <w:tcW w:w="641" w:type="dxa"/>
            <w:vAlign w:val="center"/>
          </w:tcPr>
          <w:p w:rsidR="00475650" w:rsidRDefault="00475650" w:rsidP="00BD74CB">
            <w:pPr>
              <w:snapToGrid w:val="0"/>
              <w:spacing w:beforeLines="8" w:afterLines="8" w:line="216" w:lineRule="auto"/>
              <w:jc w:val="center"/>
              <w:rPr>
                <w:szCs w:val="21"/>
              </w:rPr>
            </w:pPr>
            <w:r>
              <w:rPr>
                <w:rFonts w:hAnsi="宋体"/>
                <w:bCs/>
                <w:szCs w:val="21"/>
              </w:rPr>
              <w:t>是</w:t>
            </w:r>
          </w:p>
        </w:tc>
      </w:tr>
      <w:tr w:rsidR="00475650">
        <w:trPr>
          <w:jc w:val="center"/>
        </w:trPr>
        <w:tc>
          <w:tcPr>
            <w:tcW w:w="597" w:type="dxa"/>
            <w:vMerge/>
            <w:vAlign w:val="center"/>
          </w:tcPr>
          <w:p w:rsidR="00475650" w:rsidRDefault="00475650" w:rsidP="00BD74CB">
            <w:pPr>
              <w:adjustRightInd w:val="0"/>
              <w:snapToGrid w:val="0"/>
              <w:spacing w:beforeLines="8" w:afterLines="8" w:line="216" w:lineRule="auto"/>
              <w:jc w:val="center"/>
              <w:rPr>
                <w:szCs w:val="21"/>
              </w:rPr>
            </w:pPr>
          </w:p>
        </w:tc>
        <w:tc>
          <w:tcPr>
            <w:tcW w:w="856" w:type="dxa"/>
            <w:vMerge w:val="restart"/>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化学需氧量</w:t>
            </w: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第一天</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59.4</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49.6</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44.6</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38.1</w:t>
            </w:r>
          </w:p>
        </w:tc>
        <w:tc>
          <w:tcPr>
            <w:tcW w:w="1236" w:type="dxa"/>
            <w:vAlign w:val="center"/>
          </w:tcPr>
          <w:p w:rsidR="00475650" w:rsidRDefault="00475650" w:rsidP="00BD74CB">
            <w:pPr>
              <w:adjustRightInd w:val="0"/>
              <w:snapToGrid w:val="0"/>
              <w:spacing w:beforeLines="8" w:afterLines="8" w:line="216" w:lineRule="auto"/>
              <w:jc w:val="center"/>
              <w:rPr>
                <w:bCs/>
                <w:szCs w:val="21"/>
              </w:rPr>
            </w:pPr>
            <w:r>
              <w:rPr>
                <w:bCs/>
                <w:szCs w:val="21"/>
              </w:rPr>
              <w:t>47.9</w:t>
            </w:r>
          </w:p>
        </w:tc>
        <w:tc>
          <w:tcPr>
            <w:tcW w:w="855" w:type="dxa"/>
            <w:vMerge w:val="restart"/>
            <w:vAlign w:val="center"/>
          </w:tcPr>
          <w:p w:rsidR="00475650" w:rsidRDefault="00475650" w:rsidP="00BD74CB">
            <w:pPr>
              <w:adjustRightInd w:val="0"/>
              <w:snapToGrid w:val="0"/>
              <w:spacing w:beforeLines="8" w:afterLines="8" w:line="216" w:lineRule="auto"/>
              <w:jc w:val="center"/>
              <w:rPr>
                <w:bCs/>
                <w:szCs w:val="21"/>
              </w:rPr>
            </w:pPr>
            <w:r>
              <w:rPr>
                <w:kern w:val="0"/>
                <w:szCs w:val="21"/>
              </w:rPr>
              <w:t>500</w:t>
            </w:r>
          </w:p>
        </w:tc>
        <w:tc>
          <w:tcPr>
            <w:tcW w:w="641" w:type="dxa"/>
            <w:vAlign w:val="center"/>
          </w:tcPr>
          <w:p w:rsidR="00475650" w:rsidRDefault="00475650" w:rsidP="00BD74CB">
            <w:pPr>
              <w:snapToGrid w:val="0"/>
              <w:spacing w:beforeLines="8" w:afterLines="8" w:line="216" w:lineRule="auto"/>
              <w:jc w:val="center"/>
              <w:rPr>
                <w:szCs w:val="21"/>
              </w:rPr>
            </w:pPr>
            <w:r>
              <w:rPr>
                <w:rFonts w:hAnsi="宋体"/>
                <w:bCs/>
                <w:szCs w:val="21"/>
              </w:rPr>
              <w:t>是</w:t>
            </w:r>
          </w:p>
        </w:tc>
      </w:tr>
      <w:tr w:rsidR="00475650">
        <w:trPr>
          <w:jc w:val="center"/>
        </w:trPr>
        <w:tc>
          <w:tcPr>
            <w:tcW w:w="597" w:type="dxa"/>
            <w:vMerge/>
            <w:vAlign w:val="center"/>
          </w:tcPr>
          <w:p w:rsidR="00475650" w:rsidRDefault="00475650" w:rsidP="00BD74CB">
            <w:pPr>
              <w:adjustRightInd w:val="0"/>
              <w:snapToGrid w:val="0"/>
              <w:spacing w:beforeLines="8" w:afterLines="8" w:line="216" w:lineRule="auto"/>
              <w:jc w:val="center"/>
              <w:rPr>
                <w:szCs w:val="21"/>
              </w:rPr>
            </w:pPr>
          </w:p>
        </w:tc>
        <w:tc>
          <w:tcPr>
            <w:tcW w:w="856" w:type="dxa"/>
            <w:vMerge/>
            <w:vAlign w:val="center"/>
          </w:tcPr>
          <w:p w:rsidR="00475650" w:rsidRDefault="00475650" w:rsidP="00BD74CB">
            <w:pPr>
              <w:adjustRightInd w:val="0"/>
              <w:snapToGrid w:val="0"/>
              <w:spacing w:beforeLines="8" w:afterLines="8" w:line="216" w:lineRule="auto"/>
              <w:jc w:val="center"/>
              <w:rPr>
                <w:szCs w:val="21"/>
              </w:rPr>
            </w:pP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第二天</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27.8</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39.3</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19.7</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36.6</w:t>
            </w:r>
          </w:p>
        </w:tc>
        <w:tc>
          <w:tcPr>
            <w:tcW w:w="1236" w:type="dxa"/>
            <w:vAlign w:val="center"/>
          </w:tcPr>
          <w:p w:rsidR="00475650" w:rsidRDefault="00475650" w:rsidP="00BD74CB">
            <w:pPr>
              <w:adjustRightInd w:val="0"/>
              <w:snapToGrid w:val="0"/>
              <w:spacing w:beforeLines="8" w:afterLines="8" w:line="216" w:lineRule="auto"/>
              <w:jc w:val="center"/>
              <w:rPr>
                <w:bCs/>
                <w:szCs w:val="21"/>
              </w:rPr>
            </w:pPr>
            <w:r>
              <w:rPr>
                <w:bCs/>
                <w:szCs w:val="21"/>
              </w:rPr>
              <w:t>30.9</w:t>
            </w:r>
          </w:p>
        </w:tc>
        <w:tc>
          <w:tcPr>
            <w:tcW w:w="855" w:type="dxa"/>
            <w:vMerge/>
            <w:vAlign w:val="center"/>
          </w:tcPr>
          <w:p w:rsidR="00475650" w:rsidRDefault="00475650" w:rsidP="00BD74CB">
            <w:pPr>
              <w:adjustRightInd w:val="0"/>
              <w:snapToGrid w:val="0"/>
              <w:spacing w:beforeLines="8" w:afterLines="8" w:line="216" w:lineRule="auto"/>
              <w:jc w:val="center"/>
              <w:rPr>
                <w:bCs/>
                <w:szCs w:val="21"/>
              </w:rPr>
            </w:pPr>
          </w:p>
        </w:tc>
        <w:tc>
          <w:tcPr>
            <w:tcW w:w="641" w:type="dxa"/>
            <w:vAlign w:val="center"/>
          </w:tcPr>
          <w:p w:rsidR="00475650" w:rsidRDefault="00475650" w:rsidP="00BD74CB">
            <w:pPr>
              <w:snapToGrid w:val="0"/>
              <w:spacing w:beforeLines="8" w:afterLines="8" w:line="216" w:lineRule="auto"/>
              <w:jc w:val="center"/>
              <w:rPr>
                <w:szCs w:val="21"/>
              </w:rPr>
            </w:pPr>
            <w:r>
              <w:rPr>
                <w:rFonts w:hAnsi="宋体"/>
                <w:bCs/>
                <w:szCs w:val="21"/>
              </w:rPr>
              <w:t>是</w:t>
            </w:r>
          </w:p>
        </w:tc>
      </w:tr>
      <w:tr w:rsidR="00475650">
        <w:trPr>
          <w:jc w:val="center"/>
        </w:trPr>
        <w:tc>
          <w:tcPr>
            <w:tcW w:w="597" w:type="dxa"/>
            <w:vMerge/>
            <w:vAlign w:val="center"/>
          </w:tcPr>
          <w:p w:rsidR="00475650" w:rsidRDefault="00475650" w:rsidP="00BD74CB">
            <w:pPr>
              <w:adjustRightInd w:val="0"/>
              <w:snapToGrid w:val="0"/>
              <w:spacing w:beforeLines="8" w:afterLines="8" w:line="216" w:lineRule="auto"/>
              <w:jc w:val="center"/>
              <w:rPr>
                <w:szCs w:val="21"/>
              </w:rPr>
            </w:pPr>
          </w:p>
        </w:tc>
        <w:tc>
          <w:tcPr>
            <w:tcW w:w="856" w:type="dxa"/>
            <w:vMerge w:val="restart"/>
            <w:vAlign w:val="center"/>
          </w:tcPr>
          <w:p w:rsidR="00475650" w:rsidRDefault="00475650" w:rsidP="00BD74CB">
            <w:pPr>
              <w:adjustRightInd w:val="0"/>
              <w:snapToGrid w:val="0"/>
              <w:spacing w:beforeLines="8" w:afterLines="8" w:line="216" w:lineRule="auto"/>
              <w:jc w:val="center"/>
              <w:rPr>
                <w:szCs w:val="21"/>
              </w:rPr>
            </w:pPr>
            <w:r>
              <w:rPr>
                <w:rFonts w:hAnsi="宋体"/>
                <w:szCs w:val="21"/>
              </w:rPr>
              <w:t>氨氮</w:t>
            </w: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第一天</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0.209</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0.232</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0.255</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0.258</w:t>
            </w:r>
          </w:p>
        </w:tc>
        <w:tc>
          <w:tcPr>
            <w:tcW w:w="1236" w:type="dxa"/>
            <w:vAlign w:val="center"/>
          </w:tcPr>
          <w:p w:rsidR="00475650" w:rsidRDefault="00475650" w:rsidP="00BD74CB">
            <w:pPr>
              <w:adjustRightInd w:val="0"/>
              <w:snapToGrid w:val="0"/>
              <w:spacing w:beforeLines="8" w:afterLines="8" w:line="216" w:lineRule="auto"/>
              <w:jc w:val="center"/>
              <w:rPr>
                <w:bCs/>
                <w:szCs w:val="21"/>
              </w:rPr>
            </w:pPr>
            <w:r>
              <w:rPr>
                <w:bCs/>
                <w:szCs w:val="21"/>
              </w:rPr>
              <w:t>0.239</w:t>
            </w:r>
          </w:p>
        </w:tc>
        <w:tc>
          <w:tcPr>
            <w:tcW w:w="855" w:type="dxa"/>
            <w:vMerge w:val="restart"/>
            <w:vAlign w:val="center"/>
          </w:tcPr>
          <w:p w:rsidR="00475650" w:rsidRDefault="00475650" w:rsidP="00BD74CB">
            <w:pPr>
              <w:adjustRightInd w:val="0"/>
              <w:snapToGrid w:val="0"/>
              <w:spacing w:beforeLines="8" w:afterLines="8" w:line="216" w:lineRule="auto"/>
              <w:jc w:val="center"/>
              <w:rPr>
                <w:bCs/>
                <w:szCs w:val="21"/>
              </w:rPr>
            </w:pPr>
            <w:r>
              <w:rPr>
                <w:kern w:val="0"/>
                <w:szCs w:val="21"/>
              </w:rPr>
              <w:t>—</w:t>
            </w:r>
          </w:p>
        </w:tc>
        <w:tc>
          <w:tcPr>
            <w:tcW w:w="641" w:type="dxa"/>
            <w:vAlign w:val="center"/>
          </w:tcPr>
          <w:p w:rsidR="00475650" w:rsidRDefault="00475650" w:rsidP="00BD74CB">
            <w:pPr>
              <w:snapToGrid w:val="0"/>
              <w:spacing w:beforeLines="8" w:afterLines="8" w:line="216" w:lineRule="auto"/>
              <w:jc w:val="center"/>
              <w:rPr>
                <w:szCs w:val="21"/>
              </w:rPr>
            </w:pPr>
            <w:r>
              <w:rPr>
                <w:rFonts w:hAnsi="宋体"/>
                <w:bCs/>
                <w:szCs w:val="21"/>
              </w:rPr>
              <w:t>是</w:t>
            </w:r>
          </w:p>
        </w:tc>
      </w:tr>
      <w:tr w:rsidR="00475650">
        <w:trPr>
          <w:jc w:val="center"/>
        </w:trPr>
        <w:tc>
          <w:tcPr>
            <w:tcW w:w="597" w:type="dxa"/>
            <w:vMerge/>
            <w:vAlign w:val="center"/>
          </w:tcPr>
          <w:p w:rsidR="00475650" w:rsidRDefault="00475650" w:rsidP="00BD74CB">
            <w:pPr>
              <w:adjustRightInd w:val="0"/>
              <w:snapToGrid w:val="0"/>
              <w:spacing w:beforeLines="8" w:afterLines="8" w:line="216" w:lineRule="auto"/>
              <w:jc w:val="center"/>
              <w:rPr>
                <w:szCs w:val="21"/>
              </w:rPr>
            </w:pPr>
          </w:p>
        </w:tc>
        <w:tc>
          <w:tcPr>
            <w:tcW w:w="856" w:type="dxa"/>
            <w:vMerge/>
            <w:vAlign w:val="center"/>
          </w:tcPr>
          <w:p w:rsidR="00475650" w:rsidRDefault="00475650" w:rsidP="00BD74CB">
            <w:pPr>
              <w:adjustRightInd w:val="0"/>
              <w:snapToGrid w:val="0"/>
              <w:spacing w:beforeLines="8" w:afterLines="8" w:line="216" w:lineRule="auto"/>
              <w:jc w:val="center"/>
              <w:rPr>
                <w:szCs w:val="21"/>
              </w:rPr>
            </w:pP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第二天</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0.229</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0.206</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0.200</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0.195</w:t>
            </w:r>
          </w:p>
        </w:tc>
        <w:tc>
          <w:tcPr>
            <w:tcW w:w="1236" w:type="dxa"/>
            <w:vAlign w:val="center"/>
          </w:tcPr>
          <w:p w:rsidR="00475650" w:rsidRDefault="00475650" w:rsidP="00BD74CB">
            <w:pPr>
              <w:adjustRightInd w:val="0"/>
              <w:snapToGrid w:val="0"/>
              <w:spacing w:beforeLines="8" w:afterLines="8" w:line="216" w:lineRule="auto"/>
              <w:jc w:val="center"/>
              <w:rPr>
                <w:bCs/>
                <w:szCs w:val="21"/>
              </w:rPr>
            </w:pPr>
            <w:r>
              <w:rPr>
                <w:bCs/>
                <w:szCs w:val="21"/>
              </w:rPr>
              <w:t>0.208</w:t>
            </w:r>
          </w:p>
        </w:tc>
        <w:tc>
          <w:tcPr>
            <w:tcW w:w="855" w:type="dxa"/>
            <w:vMerge/>
            <w:vAlign w:val="center"/>
          </w:tcPr>
          <w:p w:rsidR="00475650" w:rsidRDefault="00475650" w:rsidP="00BD74CB">
            <w:pPr>
              <w:adjustRightInd w:val="0"/>
              <w:snapToGrid w:val="0"/>
              <w:spacing w:beforeLines="8" w:afterLines="8" w:line="216" w:lineRule="auto"/>
              <w:jc w:val="center"/>
              <w:rPr>
                <w:bCs/>
                <w:szCs w:val="21"/>
              </w:rPr>
            </w:pPr>
          </w:p>
        </w:tc>
        <w:tc>
          <w:tcPr>
            <w:tcW w:w="641" w:type="dxa"/>
            <w:vAlign w:val="center"/>
          </w:tcPr>
          <w:p w:rsidR="00475650" w:rsidRDefault="00475650" w:rsidP="00BD74CB">
            <w:pPr>
              <w:snapToGrid w:val="0"/>
              <w:spacing w:beforeLines="8" w:afterLines="8" w:line="216" w:lineRule="auto"/>
              <w:jc w:val="center"/>
              <w:rPr>
                <w:szCs w:val="21"/>
              </w:rPr>
            </w:pPr>
            <w:r>
              <w:rPr>
                <w:rFonts w:hAnsi="宋体"/>
                <w:bCs/>
                <w:szCs w:val="21"/>
              </w:rPr>
              <w:t>是</w:t>
            </w:r>
          </w:p>
        </w:tc>
      </w:tr>
      <w:tr w:rsidR="00475650">
        <w:trPr>
          <w:jc w:val="center"/>
        </w:trPr>
        <w:tc>
          <w:tcPr>
            <w:tcW w:w="597" w:type="dxa"/>
            <w:vMerge/>
            <w:vAlign w:val="center"/>
          </w:tcPr>
          <w:p w:rsidR="00475650" w:rsidRDefault="00475650" w:rsidP="00BD74CB">
            <w:pPr>
              <w:adjustRightInd w:val="0"/>
              <w:snapToGrid w:val="0"/>
              <w:spacing w:beforeLines="8" w:afterLines="8" w:line="216" w:lineRule="auto"/>
              <w:jc w:val="center"/>
              <w:rPr>
                <w:szCs w:val="21"/>
              </w:rPr>
            </w:pPr>
          </w:p>
        </w:tc>
        <w:tc>
          <w:tcPr>
            <w:tcW w:w="856" w:type="dxa"/>
            <w:vMerge w:val="restart"/>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石油类</w:t>
            </w: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第一天</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0.06</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0.05</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0.08</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0.05</w:t>
            </w:r>
          </w:p>
        </w:tc>
        <w:tc>
          <w:tcPr>
            <w:tcW w:w="1236" w:type="dxa"/>
            <w:vAlign w:val="center"/>
          </w:tcPr>
          <w:p w:rsidR="00475650" w:rsidRDefault="00475650" w:rsidP="00BD74CB">
            <w:pPr>
              <w:adjustRightInd w:val="0"/>
              <w:snapToGrid w:val="0"/>
              <w:spacing w:beforeLines="8" w:afterLines="8" w:line="216" w:lineRule="auto"/>
              <w:jc w:val="center"/>
              <w:rPr>
                <w:bCs/>
                <w:szCs w:val="21"/>
              </w:rPr>
            </w:pPr>
            <w:r>
              <w:rPr>
                <w:bCs/>
                <w:szCs w:val="21"/>
              </w:rPr>
              <w:t>0.06</w:t>
            </w:r>
          </w:p>
        </w:tc>
        <w:tc>
          <w:tcPr>
            <w:tcW w:w="855" w:type="dxa"/>
            <w:vMerge w:val="restart"/>
            <w:vAlign w:val="center"/>
          </w:tcPr>
          <w:p w:rsidR="00475650" w:rsidRDefault="00475650" w:rsidP="00BD74CB">
            <w:pPr>
              <w:adjustRightInd w:val="0"/>
              <w:snapToGrid w:val="0"/>
              <w:spacing w:beforeLines="8" w:afterLines="8" w:line="216" w:lineRule="auto"/>
              <w:jc w:val="center"/>
              <w:rPr>
                <w:bCs/>
                <w:szCs w:val="21"/>
              </w:rPr>
            </w:pPr>
            <w:r>
              <w:rPr>
                <w:kern w:val="0"/>
                <w:szCs w:val="21"/>
              </w:rPr>
              <w:t>20</w:t>
            </w:r>
          </w:p>
        </w:tc>
        <w:tc>
          <w:tcPr>
            <w:tcW w:w="641" w:type="dxa"/>
            <w:vAlign w:val="center"/>
          </w:tcPr>
          <w:p w:rsidR="00475650" w:rsidRDefault="00475650" w:rsidP="00BD74CB">
            <w:pPr>
              <w:snapToGrid w:val="0"/>
              <w:spacing w:beforeLines="8" w:afterLines="8" w:line="216" w:lineRule="auto"/>
              <w:jc w:val="center"/>
              <w:rPr>
                <w:szCs w:val="21"/>
              </w:rPr>
            </w:pPr>
            <w:r>
              <w:rPr>
                <w:rFonts w:hAnsi="宋体"/>
                <w:bCs/>
                <w:szCs w:val="21"/>
              </w:rPr>
              <w:t>是</w:t>
            </w:r>
          </w:p>
        </w:tc>
      </w:tr>
      <w:tr w:rsidR="00475650">
        <w:trPr>
          <w:jc w:val="center"/>
        </w:trPr>
        <w:tc>
          <w:tcPr>
            <w:tcW w:w="597" w:type="dxa"/>
            <w:vMerge/>
            <w:vAlign w:val="center"/>
          </w:tcPr>
          <w:p w:rsidR="00475650" w:rsidRDefault="00475650" w:rsidP="00BD74CB">
            <w:pPr>
              <w:adjustRightInd w:val="0"/>
              <w:snapToGrid w:val="0"/>
              <w:spacing w:beforeLines="8" w:afterLines="8" w:line="216" w:lineRule="auto"/>
              <w:jc w:val="center"/>
              <w:rPr>
                <w:szCs w:val="21"/>
              </w:rPr>
            </w:pPr>
          </w:p>
        </w:tc>
        <w:tc>
          <w:tcPr>
            <w:tcW w:w="856" w:type="dxa"/>
            <w:vMerge/>
            <w:vAlign w:val="center"/>
          </w:tcPr>
          <w:p w:rsidR="00475650" w:rsidRDefault="00475650" w:rsidP="00BD74CB">
            <w:pPr>
              <w:adjustRightInd w:val="0"/>
              <w:snapToGrid w:val="0"/>
              <w:spacing w:beforeLines="8" w:afterLines="8" w:line="216" w:lineRule="auto"/>
              <w:jc w:val="center"/>
              <w:rPr>
                <w:szCs w:val="21"/>
              </w:rPr>
            </w:pP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第二天</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0.06</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0.05</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0.04</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0.06</w:t>
            </w:r>
          </w:p>
        </w:tc>
        <w:tc>
          <w:tcPr>
            <w:tcW w:w="1236" w:type="dxa"/>
            <w:vAlign w:val="center"/>
          </w:tcPr>
          <w:p w:rsidR="00475650" w:rsidRDefault="00475650" w:rsidP="00BD74CB">
            <w:pPr>
              <w:adjustRightInd w:val="0"/>
              <w:snapToGrid w:val="0"/>
              <w:spacing w:beforeLines="8" w:afterLines="8" w:line="216" w:lineRule="auto"/>
              <w:jc w:val="center"/>
              <w:rPr>
                <w:bCs/>
                <w:szCs w:val="21"/>
              </w:rPr>
            </w:pPr>
            <w:r>
              <w:rPr>
                <w:bCs/>
                <w:szCs w:val="21"/>
              </w:rPr>
              <w:t>0.05</w:t>
            </w:r>
          </w:p>
        </w:tc>
        <w:tc>
          <w:tcPr>
            <w:tcW w:w="855" w:type="dxa"/>
            <w:vMerge/>
            <w:vAlign w:val="center"/>
          </w:tcPr>
          <w:p w:rsidR="00475650" w:rsidRDefault="00475650" w:rsidP="00BD74CB">
            <w:pPr>
              <w:adjustRightInd w:val="0"/>
              <w:snapToGrid w:val="0"/>
              <w:spacing w:beforeLines="8" w:afterLines="8" w:line="216" w:lineRule="auto"/>
              <w:jc w:val="center"/>
              <w:rPr>
                <w:bCs/>
                <w:szCs w:val="21"/>
              </w:rPr>
            </w:pPr>
          </w:p>
        </w:tc>
        <w:tc>
          <w:tcPr>
            <w:tcW w:w="641" w:type="dxa"/>
            <w:vAlign w:val="center"/>
          </w:tcPr>
          <w:p w:rsidR="00475650" w:rsidRDefault="00475650" w:rsidP="00BD74CB">
            <w:pPr>
              <w:snapToGrid w:val="0"/>
              <w:spacing w:beforeLines="8" w:afterLines="8" w:line="216" w:lineRule="auto"/>
              <w:jc w:val="center"/>
              <w:rPr>
                <w:szCs w:val="21"/>
              </w:rPr>
            </w:pPr>
            <w:r>
              <w:rPr>
                <w:rFonts w:hAnsi="宋体"/>
                <w:bCs/>
                <w:szCs w:val="21"/>
              </w:rPr>
              <w:t>是</w:t>
            </w:r>
          </w:p>
        </w:tc>
      </w:tr>
      <w:tr w:rsidR="00475650">
        <w:trPr>
          <w:jc w:val="center"/>
        </w:trPr>
        <w:tc>
          <w:tcPr>
            <w:tcW w:w="597" w:type="dxa"/>
            <w:vMerge/>
            <w:vAlign w:val="center"/>
          </w:tcPr>
          <w:p w:rsidR="00475650" w:rsidRDefault="00475650" w:rsidP="00BD74CB">
            <w:pPr>
              <w:adjustRightInd w:val="0"/>
              <w:snapToGrid w:val="0"/>
              <w:spacing w:beforeLines="8" w:afterLines="8" w:line="216" w:lineRule="auto"/>
              <w:jc w:val="center"/>
              <w:rPr>
                <w:szCs w:val="21"/>
              </w:rPr>
            </w:pPr>
          </w:p>
        </w:tc>
        <w:tc>
          <w:tcPr>
            <w:tcW w:w="856" w:type="dxa"/>
            <w:vMerge w:val="restart"/>
            <w:vAlign w:val="center"/>
          </w:tcPr>
          <w:p w:rsidR="00475650" w:rsidRDefault="00475650" w:rsidP="00BD74CB">
            <w:pPr>
              <w:adjustRightInd w:val="0"/>
              <w:snapToGrid w:val="0"/>
              <w:spacing w:beforeLines="8" w:afterLines="8" w:line="216" w:lineRule="auto"/>
              <w:jc w:val="center"/>
              <w:rPr>
                <w:szCs w:val="21"/>
              </w:rPr>
            </w:pPr>
            <w:r>
              <w:rPr>
                <w:rFonts w:hAnsi="宋体"/>
                <w:szCs w:val="21"/>
              </w:rPr>
              <w:t>总游离氯</w:t>
            </w: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第一天</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0.89</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0.99</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1.13</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0.74</w:t>
            </w:r>
          </w:p>
        </w:tc>
        <w:tc>
          <w:tcPr>
            <w:tcW w:w="1236" w:type="dxa"/>
            <w:vAlign w:val="center"/>
          </w:tcPr>
          <w:p w:rsidR="00475650" w:rsidRDefault="00475650" w:rsidP="00BD74CB">
            <w:pPr>
              <w:adjustRightInd w:val="0"/>
              <w:snapToGrid w:val="0"/>
              <w:spacing w:beforeLines="8" w:afterLines="8" w:line="216" w:lineRule="auto"/>
              <w:jc w:val="center"/>
              <w:rPr>
                <w:bCs/>
                <w:szCs w:val="21"/>
              </w:rPr>
            </w:pPr>
            <w:r>
              <w:rPr>
                <w:bCs/>
                <w:szCs w:val="21"/>
              </w:rPr>
              <w:t>0.94</w:t>
            </w:r>
          </w:p>
        </w:tc>
        <w:tc>
          <w:tcPr>
            <w:tcW w:w="855" w:type="dxa"/>
            <w:vMerge w:val="restart"/>
            <w:vAlign w:val="center"/>
          </w:tcPr>
          <w:p w:rsidR="00475650" w:rsidRDefault="00475650" w:rsidP="00BD74CB">
            <w:pPr>
              <w:adjustRightInd w:val="0"/>
              <w:snapToGrid w:val="0"/>
              <w:spacing w:beforeLines="8" w:afterLines="8" w:line="216" w:lineRule="auto"/>
              <w:jc w:val="center"/>
              <w:rPr>
                <w:bCs/>
                <w:szCs w:val="21"/>
              </w:rPr>
            </w:pPr>
            <w:r>
              <w:rPr>
                <w:kern w:val="0"/>
                <w:szCs w:val="21"/>
              </w:rPr>
              <w:t>/</w:t>
            </w:r>
          </w:p>
        </w:tc>
        <w:tc>
          <w:tcPr>
            <w:tcW w:w="641" w:type="dxa"/>
            <w:vAlign w:val="center"/>
          </w:tcPr>
          <w:p w:rsidR="00475650" w:rsidRDefault="00475650" w:rsidP="00BD74CB">
            <w:pPr>
              <w:snapToGrid w:val="0"/>
              <w:spacing w:beforeLines="8" w:afterLines="8" w:line="216" w:lineRule="auto"/>
              <w:jc w:val="center"/>
              <w:rPr>
                <w:szCs w:val="21"/>
              </w:rPr>
            </w:pPr>
            <w:r>
              <w:rPr>
                <w:kern w:val="0"/>
                <w:szCs w:val="21"/>
              </w:rPr>
              <w:t>/</w:t>
            </w:r>
          </w:p>
        </w:tc>
      </w:tr>
      <w:tr w:rsidR="00475650">
        <w:trPr>
          <w:jc w:val="center"/>
        </w:trPr>
        <w:tc>
          <w:tcPr>
            <w:tcW w:w="597" w:type="dxa"/>
            <w:vMerge/>
            <w:vAlign w:val="center"/>
          </w:tcPr>
          <w:p w:rsidR="00475650" w:rsidRDefault="00475650" w:rsidP="00BD74CB">
            <w:pPr>
              <w:adjustRightInd w:val="0"/>
              <w:snapToGrid w:val="0"/>
              <w:spacing w:beforeLines="8" w:afterLines="8" w:line="216" w:lineRule="auto"/>
              <w:jc w:val="center"/>
              <w:rPr>
                <w:szCs w:val="21"/>
              </w:rPr>
            </w:pPr>
          </w:p>
        </w:tc>
        <w:tc>
          <w:tcPr>
            <w:tcW w:w="856" w:type="dxa"/>
            <w:vMerge/>
            <w:vAlign w:val="center"/>
          </w:tcPr>
          <w:p w:rsidR="00475650" w:rsidRDefault="00475650" w:rsidP="00BD74CB">
            <w:pPr>
              <w:adjustRightInd w:val="0"/>
              <w:snapToGrid w:val="0"/>
              <w:spacing w:beforeLines="8" w:afterLines="8" w:line="216" w:lineRule="auto"/>
              <w:jc w:val="center"/>
              <w:rPr>
                <w:szCs w:val="21"/>
              </w:rPr>
            </w:pP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第二天</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0.84</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1.08</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0.84</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0.89</w:t>
            </w:r>
          </w:p>
        </w:tc>
        <w:tc>
          <w:tcPr>
            <w:tcW w:w="1236" w:type="dxa"/>
            <w:vAlign w:val="center"/>
          </w:tcPr>
          <w:p w:rsidR="00475650" w:rsidRDefault="00475650" w:rsidP="00BD74CB">
            <w:pPr>
              <w:adjustRightInd w:val="0"/>
              <w:snapToGrid w:val="0"/>
              <w:spacing w:beforeLines="8" w:afterLines="8" w:line="216" w:lineRule="auto"/>
              <w:jc w:val="center"/>
              <w:rPr>
                <w:bCs/>
                <w:szCs w:val="21"/>
              </w:rPr>
            </w:pPr>
            <w:r>
              <w:rPr>
                <w:bCs/>
                <w:szCs w:val="21"/>
              </w:rPr>
              <w:t>0.91</w:t>
            </w:r>
          </w:p>
        </w:tc>
        <w:tc>
          <w:tcPr>
            <w:tcW w:w="855" w:type="dxa"/>
            <w:vMerge/>
            <w:vAlign w:val="center"/>
          </w:tcPr>
          <w:p w:rsidR="00475650" w:rsidRDefault="00475650" w:rsidP="00BD74CB">
            <w:pPr>
              <w:adjustRightInd w:val="0"/>
              <w:snapToGrid w:val="0"/>
              <w:spacing w:beforeLines="8" w:afterLines="8" w:line="216" w:lineRule="auto"/>
              <w:jc w:val="center"/>
              <w:rPr>
                <w:bCs/>
                <w:szCs w:val="21"/>
              </w:rPr>
            </w:pPr>
          </w:p>
        </w:tc>
        <w:tc>
          <w:tcPr>
            <w:tcW w:w="641" w:type="dxa"/>
            <w:vAlign w:val="center"/>
          </w:tcPr>
          <w:p w:rsidR="00475650" w:rsidRDefault="00475650" w:rsidP="00BD74CB">
            <w:pPr>
              <w:snapToGrid w:val="0"/>
              <w:spacing w:beforeLines="8" w:afterLines="8" w:line="216" w:lineRule="auto"/>
              <w:jc w:val="center"/>
              <w:rPr>
                <w:szCs w:val="21"/>
              </w:rPr>
            </w:pPr>
            <w:r>
              <w:rPr>
                <w:kern w:val="0"/>
                <w:szCs w:val="21"/>
              </w:rPr>
              <w:t>/</w:t>
            </w:r>
          </w:p>
        </w:tc>
      </w:tr>
      <w:tr w:rsidR="00475650">
        <w:trPr>
          <w:jc w:val="center"/>
        </w:trPr>
        <w:tc>
          <w:tcPr>
            <w:tcW w:w="597" w:type="dxa"/>
            <w:vMerge w:val="restart"/>
            <w:vAlign w:val="center"/>
          </w:tcPr>
          <w:p w:rsidR="00475650" w:rsidRDefault="00475650" w:rsidP="00BD74CB">
            <w:pPr>
              <w:snapToGrid w:val="0"/>
              <w:spacing w:beforeLines="8" w:afterLines="8" w:line="216" w:lineRule="auto"/>
              <w:jc w:val="center"/>
              <w:rPr>
                <w:szCs w:val="21"/>
              </w:rPr>
            </w:pPr>
            <w:r>
              <w:rPr>
                <w:rFonts w:hAnsi="宋体"/>
                <w:szCs w:val="21"/>
              </w:rPr>
              <w:t>生活污水出口</w:t>
            </w:r>
            <w:r>
              <w:rPr>
                <w:rFonts w:ascii="宋体" w:hAnsi="宋体"/>
                <w:szCs w:val="21"/>
              </w:rPr>
              <w:t>★</w:t>
            </w:r>
            <w:r>
              <w:rPr>
                <w:szCs w:val="21"/>
              </w:rPr>
              <w:t>2</w:t>
            </w:r>
          </w:p>
        </w:tc>
        <w:tc>
          <w:tcPr>
            <w:tcW w:w="856" w:type="dxa"/>
            <w:vMerge w:val="restart"/>
            <w:vAlign w:val="center"/>
          </w:tcPr>
          <w:p w:rsidR="00475650" w:rsidRDefault="00475650" w:rsidP="00BD74CB">
            <w:pPr>
              <w:adjustRightInd w:val="0"/>
              <w:snapToGrid w:val="0"/>
              <w:spacing w:beforeLines="8" w:afterLines="8" w:line="216" w:lineRule="auto"/>
              <w:jc w:val="center"/>
              <w:rPr>
                <w:szCs w:val="21"/>
              </w:rPr>
            </w:pPr>
            <w:r>
              <w:rPr>
                <w:szCs w:val="21"/>
              </w:rPr>
              <w:t>pH</w:t>
            </w:r>
            <w:r>
              <w:rPr>
                <w:rFonts w:hAnsi="宋体"/>
                <w:szCs w:val="21"/>
              </w:rPr>
              <w:t>值</w:t>
            </w: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第一天</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7.45</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7.39</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7.40</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7.45</w:t>
            </w:r>
          </w:p>
        </w:tc>
        <w:tc>
          <w:tcPr>
            <w:tcW w:w="1236" w:type="dxa"/>
            <w:vAlign w:val="center"/>
          </w:tcPr>
          <w:p w:rsidR="00475650" w:rsidRDefault="00475650" w:rsidP="00BD74CB">
            <w:pPr>
              <w:adjustRightInd w:val="0"/>
              <w:snapToGrid w:val="0"/>
              <w:spacing w:beforeLines="8" w:afterLines="8" w:line="216" w:lineRule="auto"/>
              <w:jc w:val="center"/>
              <w:rPr>
                <w:bCs/>
                <w:szCs w:val="21"/>
              </w:rPr>
            </w:pPr>
            <w:r>
              <w:rPr>
                <w:bCs/>
                <w:szCs w:val="21"/>
              </w:rPr>
              <w:t>7.39-7.45</w:t>
            </w:r>
          </w:p>
        </w:tc>
        <w:tc>
          <w:tcPr>
            <w:tcW w:w="855" w:type="dxa"/>
            <w:vMerge w:val="restart"/>
            <w:vAlign w:val="center"/>
          </w:tcPr>
          <w:p w:rsidR="00475650" w:rsidRDefault="00475650" w:rsidP="00BD74CB">
            <w:pPr>
              <w:adjustRightInd w:val="0"/>
              <w:snapToGrid w:val="0"/>
              <w:spacing w:beforeLines="8" w:afterLines="8" w:line="216" w:lineRule="auto"/>
              <w:jc w:val="center"/>
              <w:rPr>
                <w:bCs/>
                <w:szCs w:val="21"/>
              </w:rPr>
            </w:pPr>
            <w:r>
              <w:rPr>
                <w:kern w:val="0"/>
                <w:szCs w:val="21"/>
              </w:rPr>
              <w:t>6—9</w:t>
            </w:r>
          </w:p>
        </w:tc>
        <w:tc>
          <w:tcPr>
            <w:tcW w:w="641" w:type="dxa"/>
            <w:vAlign w:val="center"/>
          </w:tcPr>
          <w:p w:rsidR="00475650" w:rsidRDefault="00475650" w:rsidP="00BD74CB">
            <w:pPr>
              <w:snapToGrid w:val="0"/>
              <w:spacing w:beforeLines="8" w:afterLines="8" w:line="216" w:lineRule="auto"/>
              <w:jc w:val="center"/>
              <w:rPr>
                <w:szCs w:val="21"/>
              </w:rPr>
            </w:pPr>
            <w:r>
              <w:rPr>
                <w:rFonts w:hAnsi="宋体"/>
                <w:bCs/>
                <w:szCs w:val="21"/>
              </w:rPr>
              <w:t>是</w:t>
            </w:r>
          </w:p>
        </w:tc>
      </w:tr>
      <w:tr w:rsidR="00475650">
        <w:trPr>
          <w:jc w:val="center"/>
        </w:trPr>
        <w:tc>
          <w:tcPr>
            <w:tcW w:w="597" w:type="dxa"/>
            <w:vMerge/>
            <w:vAlign w:val="center"/>
          </w:tcPr>
          <w:p w:rsidR="00475650" w:rsidRDefault="00475650" w:rsidP="00BD74CB">
            <w:pPr>
              <w:adjustRightInd w:val="0"/>
              <w:snapToGrid w:val="0"/>
              <w:spacing w:beforeLines="8" w:afterLines="8" w:line="216" w:lineRule="auto"/>
              <w:jc w:val="center"/>
              <w:rPr>
                <w:szCs w:val="21"/>
              </w:rPr>
            </w:pPr>
          </w:p>
        </w:tc>
        <w:tc>
          <w:tcPr>
            <w:tcW w:w="856" w:type="dxa"/>
            <w:vMerge/>
            <w:vAlign w:val="center"/>
          </w:tcPr>
          <w:p w:rsidR="00475650" w:rsidRDefault="00475650" w:rsidP="00BD74CB">
            <w:pPr>
              <w:adjustRightInd w:val="0"/>
              <w:snapToGrid w:val="0"/>
              <w:spacing w:beforeLines="8" w:afterLines="8" w:line="216" w:lineRule="auto"/>
              <w:jc w:val="center"/>
              <w:rPr>
                <w:szCs w:val="21"/>
              </w:rPr>
            </w:pP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第二天</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7.36</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7.45</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7.40</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7.39</w:t>
            </w:r>
          </w:p>
        </w:tc>
        <w:tc>
          <w:tcPr>
            <w:tcW w:w="1236" w:type="dxa"/>
            <w:vAlign w:val="center"/>
          </w:tcPr>
          <w:p w:rsidR="00475650" w:rsidRDefault="00475650" w:rsidP="00BD74CB">
            <w:pPr>
              <w:adjustRightInd w:val="0"/>
              <w:snapToGrid w:val="0"/>
              <w:spacing w:beforeLines="8" w:afterLines="8" w:line="216" w:lineRule="auto"/>
              <w:jc w:val="center"/>
              <w:rPr>
                <w:bCs/>
                <w:szCs w:val="21"/>
              </w:rPr>
            </w:pPr>
            <w:r>
              <w:rPr>
                <w:bCs/>
                <w:szCs w:val="21"/>
              </w:rPr>
              <w:t>7.36-7.45</w:t>
            </w:r>
          </w:p>
        </w:tc>
        <w:tc>
          <w:tcPr>
            <w:tcW w:w="855" w:type="dxa"/>
            <w:vMerge/>
            <w:vAlign w:val="center"/>
          </w:tcPr>
          <w:p w:rsidR="00475650" w:rsidRDefault="00475650" w:rsidP="00BD74CB">
            <w:pPr>
              <w:adjustRightInd w:val="0"/>
              <w:snapToGrid w:val="0"/>
              <w:spacing w:beforeLines="8" w:afterLines="8" w:line="216" w:lineRule="auto"/>
              <w:jc w:val="center"/>
              <w:rPr>
                <w:bCs/>
                <w:szCs w:val="21"/>
              </w:rPr>
            </w:pPr>
          </w:p>
        </w:tc>
        <w:tc>
          <w:tcPr>
            <w:tcW w:w="641" w:type="dxa"/>
            <w:vAlign w:val="center"/>
          </w:tcPr>
          <w:p w:rsidR="00475650" w:rsidRDefault="00475650" w:rsidP="00BD74CB">
            <w:pPr>
              <w:snapToGrid w:val="0"/>
              <w:spacing w:beforeLines="8" w:afterLines="8" w:line="216" w:lineRule="auto"/>
              <w:jc w:val="center"/>
              <w:rPr>
                <w:szCs w:val="21"/>
              </w:rPr>
            </w:pPr>
            <w:r>
              <w:rPr>
                <w:rFonts w:hAnsi="宋体"/>
                <w:bCs/>
                <w:szCs w:val="21"/>
              </w:rPr>
              <w:t>是</w:t>
            </w:r>
          </w:p>
        </w:tc>
      </w:tr>
      <w:tr w:rsidR="00475650">
        <w:trPr>
          <w:jc w:val="center"/>
        </w:trPr>
        <w:tc>
          <w:tcPr>
            <w:tcW w:w="597" w:type="dxa"/>
            <w:vMerge/>
            <w:vAlign w:val="center"/>
          </w:tcPr>
          <w:p w:rsidR="00475650" w:rsidRDefault="00475650" w:rsidP="00BD74CB">
            <w:pPr>
              <w:adjustRightInd w:val="0"/>
              <w:snapToGrid w:val="0"/>
              <w:spacing w:beforeLines="8" w:afterLines="8" w:line="216" w:lineRule="auto"/>
              <w:jc w:val="center"/>
              <w:rPr>
                <w:szCs w:val="21"/>
              </w:rPr>
            </w:pPr>
          </w:p>
        </w:tc>
        <w:tc>
          <w:tcPr>
            <w:tcW w:w="856" w:type="dxa"/>
            <w:vMerge w:val="restart"/>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悬浮物</w:t>
            </w: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第一天</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5</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9</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6</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8</w:t>
            </w:r>
          </w:p>
        </w:tc>
        <w:tc>
          <w:tcPr>
            <w:tcW w:w="1236" w:type="dxa"/>
            <w:vAlign w:val="center"/>
          </w:tcPr>
          <w:p w:rsidR="00475650" w:rsidRDefault="00475650" w:rsidP="00BD74CB">
            <w:pPr>
              <w:adjustRightInd w:val="0"/>
              <w:snapToGrid w:val="0"/>
              <w:spacing w:beforeLines="8" w:afterLines="8" w:line="216" w:lineRule="auto"/>
              <w:jc w:val="center"/>
              <w:rPr>
                <w:bCs/>
                <w:szCs w:val="21"/>
              </w:rPr>
            </w:pPr>
            <w:r>
              <w:rPr>
                <w:bCs/>
                <w:szCs w:val="21"/>
              </w:rPr>
              <w:t>7</w:t>
            </w:r>
          </w:p>
        </w:tc>
        <w:tc>
          <w:tcPr>
            <w:tcW w:w="855" w:type="dxa"/>
            <w:vMerge w:val="restart"/>
            <w:vAlign w:val="center"/>
          </w:tcPr>
          <w:p w:rsidR="00475650" w:rsidRDefault="00475650" w:rsidP="00BD74CB">
            <w:pPr>
              <w:adjustRightInd w:val="0"/>
              <w:snapToGrid w:val="0"/>
              <w:spacing w:beforeLines="8" w:afterLines="8" w:line="216" w:lineRule="auto"/>
              <w:jc w:val="center"/>
              <w:rPr>
                <w:bCs/>
                <w:szCs w:val="21"/>
              </w:rPr>
            </w:pPr>
            <w:r>
              <w:rPr>
                <w:kern w:val="0"/>
                <w:szCs w:val="21"/>
              </w:rPr>
              <w:t>400</w:t>
            </w:r>
          </w:p>
        </w:tc>
        <w:tc>
          <w:tcPr>
            <w:tcW w:w="641" w:type="dxa"/>
            <w:vAlign w:val="center"/>
          </w:tcPr>
          <w:p w:rsidR="00475650" w:rsidRDefault="00475650" w:rsidP="00BD74CB">
            <w:pPr>
              <w:snapToGrid w:val="0"/>
              <w:spacing w:beforeLines="8" w:afterLines="8" w:line="216" w:lineRule="auto"/>
              <w:jc w:val="center"/>
              <w:rPr>
                <w:szCs w:val="21"/>
              </w:rPr>
            </w:pPr>
            <w:r>
              <w:rPr>
                <w:rFonts w:hAnsi="宋体"/>
                <w:bCs/>
                <w:szCs w:val="21"/>
              </w:rPr>
              <w:t>是</w:t>
            </w:r>
          </w:p>
        </w:tc>
      </w:tr>
      <w:tr w:rsidR="00475650">
        <w:trPr>
          <w:jc w:val="center"/>
        </w:trPr>
        <w:tc>
          <w:tcPr>
            <w:tcW w:w="597" w:type="dxa"/>
            <w:vMerge/>
            <w:vAlign w:val="center"/>
          </w:tcPr>
          <w:p w:rsidR="00475650" w:rsidRDefault="00475650" w:rsidP="00BD74CB">
            <w:pPr>
              <w:adjustRightInd w:val="0"/>
              <w:snapToGrid w:val="0"/>
              <w:spacing w:beforeLines="8" w:afterLines="8" w:line="216" w:lineRule="auto"/>
              <w:jc w:val="center"/>
              <w:rPr>
                <w:szCs w:val="21"/>
              </w:rPr>
            </w:pPr>
          </w:p>
        </w:tc>
        <w:tc>
          <w:tcPr>
            <w:tcW w:w="856" w:type="dxa"/>
            <w:vMerge/>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第二天</w:t>
            </w:r>
          </w:p>
        </w:tc>
        <w:tc>
          <w:tcPr>
            <w:tcW w:w="930" w:type="dxa"/>
            <w:vAlign w:val="center"/>
          </w:tcPr>
          <w:p w:rsidR="00475650" w:rsidRDefault="00475650" w:rsidP="00BD74CB">
            <w:pPr>
              <w:snapToGrid w:val="0"/>
              <w:spacing w:beforeLines="8" w:afterLines="8" w:line="216" w:lineRule="auto"/>
              <w:jc w:val="center"/>
              <w:rPr>
                <w:bCs/>
                <w:szCs w:val="21"/>
              </w:rPr>
            </w:pPr>
            <w:r>
              <w:rPr>
                <w:bCs/>
                <w:szCs w:val="21"/>
              </w:rPr>
              <w:t>10</w:t>
            </w:r>
          </w:p>
        </w:tc>
        <w:tc>
          <w:tcPr>
            <w:tcW w:w="930" w:type="dxa"/>
            <w:vAlign w:val="center"/>
          </w:tcPr>
          <w:p w:rsidR="00475650" w:rsidRDefault="00475650" w:rsidP="00BD74CB">
            <w:pPr>
              <w:snapToGrid w:val="0"/>
              <w:spacing w:beforeLines="8" w:afterLines="8" w:line="216" w:lineRule="auto"/>
              <w:jc w:val="center"/>
              <w:rPr>
                <w:bCs/>
                <w:szCs w:val="21"/>
              </w:rPr>
            </w:pPr>
            <w:r>
              <w:rPr>
                <w:bCs/>
                <w:szCs w:val="21"/>
              </w:rPr>
              <w:t>8</w:t>
            </w:r>
          </w:p>
        </w:tc>
        <w:tc>
          <w:tcPr>
            <w:tcW w:w="930" w:type="dxa"/>
            <w:vAlign w:val="center"/>
          </w:tcPr>
          <w:p w:rsidR="00475650" w:rsidRDefault="00475650" w:rsidP="00BD74CB">
            <w:pPr>
              <w:snapToGrid w:val="0"/>
              <w:spacing w:beforeLines="8" w:afterLines="8" w:line="216" w:lineRule="auto"/>
              <w:jc w:val="center"/>
              <w:rPr>
                <w:bCs/>
                <w:szCs w:val="21"/>
              </w:rPr>
            </w:pPr>
            <w:r>
              <w:rPr>
                <w:bCs/>
                <w:szCs w:val="21"/>
              </w:rPr>
              <w:t>11</w:t>
            </w:r>
          </w:p>
        </w:tc>
        <w:tc>
          <w:tcPr>
            <w:tcW w:w="930" w:type="dxa"/>
            <w:vAlign w:val="center"/>
          </w:tcPr>
          <w:p w:rsidR="00475650" w:rsidRDefault="00475650" w:rsidP="00BD74CB">
            <w:pPr>
              <w:snapToGrid w:val="0"/>
              <w:spacing w:beforeLines="8" w:afterLines="8" w:line="216" w:lineRule="auto"/>
              <w:jc w:val="center"/>
              <w:rPr>
                <w:bCs/>
                <w:szCs w:val="21"/>
              </w:rPr>
            </w:pPr>
            <w:r>
              <w:rPr>
                <w:bCs/>
                <w:szCs w:val="21"/>
              </w:rPr>
              <w:t>9</w:t>
            </w:r>
          </w:p>
        </w:tc>
        <w:tc>
          <w:tcPr>
            <w:tcW w:w="1236" w:type="dxa"/>
            <w:vAlign w:val="center"/>
          </w:tcPr>
          <w:p w:rsidR="00475650" w:rsidRDefault="00475650" w:rsidP="00BD74CB">
            <w:pPr>
              <w:adjustRightInd w:val="0"/>
              <w:snapToGrid w:val="0"/>
              <w:spacing w:beforeLines="8" w:afterLines="8" w:line="216" w:lineRule="auto"/>
              <w:jc w:val="center"/>
              <w:rPr>
                <w:bCs/>
                <w:szCs w:val="21"/>
              </w:rPr>
            </w:pPr>
            <w:r>
              <w:rPr>
                <w:bCs/>
                <w:szCs w:val="21"/>
              </w:rPr>
              <w:t>10</w:t>
            </w:r>
          </w:p>
        </w:tc>
        <w:tc>
          <w:tcPr>
            <w:tcW w:w="855" w:type="dxa"/>
            <w:vMerge/>
            <w:vAlign w:val="center"/>
          </w:tcPr>
          <w:p w:rsidR="00475650" w:rsidRDefault="00475650" w:rsidP="00BD74CB">
            <w:pPr>
              <w:adjustRightInd w:val="0"/>
              <w:snapToGrid w:val="0"/>
              <w:spacing w:beforeLines="8" w:afterLines="8" w:line="216" w:lineRule="auto"/>
              <w:jc w:val="center"/>
              <w:rPr>
                <w:bCs/>
                <w:szCs w:val="21"/>
              </w:rPr>
            </w:pPr>
          </w:p>
        </w:tc>
        <w:tc>
          <w:tcPr>
            <w:tcW w:w="641" w:type="dxa"/>
            <w:vAlign w:val="center"/>
          </w:tcPr>
          <w:p w:rsidR="00475650" w:rsidRDefault="00475650" w:rsidP="00BD74CB">
            <w:pPr>
              <w:snapToGrid w:val="0"/>
              <w:spacing w:beforeLines="8" w:afterLines="8" w:line="216" w:lineRule="auto"/>
              <w:jc w:val="center"/>
              <w:rPr>
                <w:szCs w:val="21"/>
              </w:rPr>
            </w:pPr>
            <w:r>
              <w:rPr>
                <w:rFonts w:hAnsi="宋体"/>
                <w:bCs/>
                <w:szCs w:val="21"/>
              </w:rPr>
              <w:t>是</w:t>
            </w:r>
          </w:p>
        </w:tc>
      </w:tr>
      <w:tr w:rsidR="00475650">
        <w:trPr>
          <w:jc w:val="center"/>
        </w:trPr>
        <w:tc>
          <w:tcPr>
            <w:tcW w:w="597" w:type="dxa"/>
            <w:vMerge/>
            <w:vAlign w:val="center"/>
          </w:tcPr>
          <w:p w:rsidR="00475650" w:rsidRDefault="00475650" w:rsidP="00BD74CB">
            <w:pPr>
              <w:adjustRightInd w:val="0"/>
              <w:snapToGrid w:val="0"/>
              <w:spacing w:beforeLines="8" w:afterLines="8" w:line="216" w:lineRule="auto"/>
              <w:jc w:val="center"/>
              <w:rPr>
                <w:szCs w:val="21"/>
              </w:rPr>
            </w:pPr>
          </w:p>
        </w:tc>
        <w:tc>
          <w:tcPr>
            <w:tcW w:w="856" w:type="dxa"/>
            <w:vMerge w:val="restart"/>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化学需氧量</w:t>
            </w: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第一天</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32.3</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44.2</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59.8</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54.9</w:t>
            </w:r>
          </w:p>
        </w:tc>
        <w:tc>
          <w:tcPr>
            <w:tcW w:w="1236" w:type="dxa"/>
            <w:vAlign w:val="center"/>
          </w:tcPr>
          <w:p w:rsidR="00475650" w:rsidRDefault="00475650" w:rsidP="00BD74CB">
            <w:pPr>
              <w:adjustRightInd w:val="0"/>
              <w:snapToGrid w:val="0"/>
              <w:spacing w:beforeLines="8" w:afterLines="8" w:line="216" w:lineRule="auto"/>
              <w:jc w:val="center"/>
              <w:rPr>
                <w:bCs/>
                <w:szCs w:val="21"/>
              </w:rPr>
            </w:pPr>
            <w:r>
              <w:rPr>
                <w:bCs/>
                <w:szCs w:val="21"/>
              </w:rPr>
              <w:t>47.8</w:t>
            </w:r>
          </w:p>
        </w:tc>
        <w:tc>
          <w:tcPr>
            <w:tcW w:w="855" w:type="dxa"/>
            <w:vMerge w:val="restart"/>
            <w:vAlign w:val="center"/>
          </w:tcPr>
          <w:p w:rsidR="00475650" w:rsidRDefault="00475650" w:rsidP="00BD74CB">
            <w:pPr>
              <w:adjustRightInd w:val="0"/>
              <w:snapToGrid w:val="0"/>
              <w:spacing w:beforeLines="8" w:afterLines="8" w:line="216" w:lineRule="auto"/>
              <w:jc w:val="center"/>
              <w:rPr>
                <w:bCs/>
                <w:szCs w:val="21"/>
              </w:rPr>
            </w:pPr>
            <w:r>
              <w:rPr>
                <w:kern w:val="0"/>
                <w:szCs w:val="21"/>
              </w:rPr>
              <w:t>500</w:t>
            </w:r>
          </w:p>
        </w:tc>
        <w:tc>
          <w:tcPr>
            <w:tcW w:w="641" w:type="dxa"/>
            <w:vAlign w:val="center"/>
          </w:tcPr>
          <w:p w:rsidR="00475650" w:rsidRDefault="00475650" w:rsidP="00BD74CB">
            <w:pPr>
              <w:snapToGrid w:val="0"/>
              <w:spacing w:beforeLines="8" w:afterLines="8" w:line="216" w:lineRule="auto"/>
              <w:jc w:val="center"/>
              <w:rPr>
                <w:szCs w:val="21"/>
              </w:rPr>
            </w:pPr>
            <w:r>
              <w:rPr>
                <w:rFonts w:hAnsi="宋体"/>
                <w:bCs/>
                <w:szCs w:val="21"/>
              </w:rPr>
              <w:t>是</w:t>
            </w:r>
          </w:p>
        </w:tc>
      </w:tr>
      <w:tr w:rsidR="00475650">
        <w:trPr>
          <w:jc w:val="center"/>
        </w:trPr>
        <w:tc>
          <w:tcPr>
            <w:tcW w:w="597" w:type="dxa"/>
            <w:vMerge/>
            <w:vAlign w:val="center"/>
          </w:tcPr>
          <w:p w:rsidR="00475650" w:rsidRDefault="00475650" w:rsidP="00BD74CB">
            <w:pPr>
              <w:adjustRightInd w:val="0"/>
              <w:snapToGrid w:val="0"/>
              <w:spacing w:beforeLines="8" w:afterLines="8" w:line="216" w:lineRule="auto"/>
              <w:jc w:val="center"/>
              <w:rPr>
                <w:szCs w:val="21"/>
              </w:rPr>
            </w:pPr>
          </w:p>
        </w:tc>
        <w:tc>
          <w:tcPr>
            <w:tcW w:w="856" w:type="dxa"/>
            <w:vMerge/>
            <w:vAlign w:val="center"/>
          </w:tcPr>
          <w:p w:rsidR="00475650" w:rsidRDefault="00475650" w:rsidP="00BD74CB">
            <w:pPr>
              <w:adjustRightInd w:val="0"/>
              <w:snapToGrid w:val="0"/>
              <w:spacing w:beforeLines="8" w:afterLines="8" w:line="216" w:lineRule="auto"/>
              <w:jc w:val="center"/>
              <w:rPr>
                <w:szCs w:val="21"/>
              </w:rPr>
            </w:pP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第二天</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42.6</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51.6</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43.8</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36.5</w:t>
            </w:r>
          </w:p>
        </w:tc>
        <w:tc>
          <w:tcPr>
            <w:tcW w:w="1236" w:type="dxa"/>
            <w:vAlign w:val="center"/>
          </w:tcPr>
          <w:p w:rsidR="00475650" w:rsidRDefault="00475650" w:rsidP="00BD74CB">
            <w:pPr>
              <w:adjustRightInd w:val="0"/>
              <w:snapToGrid w:val="0"/>
              <w:spacing w:beforeLines="8" w:afterLines="8" w:line="216" w:lineRule="auto"/>
              <w:jc w:val="center"/>
              <w:rPr>
                <w:bCs/>
                <w:szCs w:val="21"/>
              </w:rPr>
            </w:pPr>
            <w:r>
              <w:rPr>
                <w:bCs/>
                <w:szCs w:val="21"/>
              </w:rPr>
              <w:t>43.6</w:t>
            </w:r>
          </w:p>
        </w:tc>
        <w:tc>
          <w:tcPr>
            <w:tcW w:w="855" w:type="dxa"/>
            <w:vMerge/>
            <w:vAlign w:val="center"/>
          </w:tcPr>
          <w:p w:rsidR="00475650" w:rsidRDefault="00475650" w:rsidP="00BD74CB">
            <w:pPr>
              <w:adjustRightInd w:val="0"/>
              <w:snapToGrid w:val="0"/>
              <w:spacing w:beforeLines="8" w:afterLines="8" w:line="216" w:lineRule="auto"/>
              <w:jc w:val="center"/>
              <w:rPr>
                <w:bCs/>
                <w:szCs w:val="21"/>
              </w:rPr>
            </w:pPr>
          </w:p>
        </w:tc>
        <w:tc>
          <w:tcPr>
            <w:tcW w:w="641" w:type="dxa"/>
            <w:vAlign w:val="center"/>
          </w:tcPr>
          <w:p w:rsidR="00475650" w:rsidRDefault="00475650" w:rsidP="00BD74CB">
            <w:pPr>
              <w:snapToGrid w:val="0"/>
              <w:spacing w:beforeLines="8" w:afterLines="8" w:line="216" w:lineRule="auto"/>
              <w:jc w:val="center"/>
              <w:rPr>
                <w:szCs w:val="21"/>
              </w:rPr>
            </w:pPr>
            <w:r>
              <w:rPr>
                <w:rFonts w:hAnsi="宋体"/>
                <w:bCs/>
                <w:szCs w:val="21"/>
              </w:rPr>
              <w:t>是</w:t>
            </w:r>
          </w:p>
        </w:tc>
      </w:tr>
      <w:tr w:rsidR="00475650">
        <w:trPr>
          <w:jc w:val="center"/>
        </w:trPr>
        <w:tc>
          <w:tcPr>
            <w:tcW w:w="597" w:type="dxa"/>
            <w:vMerge/>
            <w:vAlign w:val="center"/>
          </w:tcPr>
          <w:p w:rsidR="00475650" w:rsidRDefault="00475650" w:rsidP="00BD74CB">
            <w:pPr>
              <w:adjustRightInd w:val="0"/>
              <w:snapToGrid w:val="0"/>
              <w:spacing w:beforeLines="8" w:afterLines="8" w:line="216" w:lineRule="auto"/>
              <w:jc w:val="center"/>
              <w:rPr>
                <w:szCs w:val="21"/>
              </w:rPr>
            </w:pPr>
          </w:p>
        </w:tc>
        <w:tc>
          <w:tcPr>
            <w:tcW w:w="856" w:type="dxa"/>
            <w:vMerge w:val="restart"/>
            <w:vAlign w:val="center"/>
          </w:tcPr>
          <w:p w:rsidR="00475650" w:rsidRDefault="00475650" w:rsidP="00BD74CB">
            <w:pPr>
              <w:adjustRightInd w:val="0"/>
              <w:snapToGrid w:val="0"/>
              <w:spacing w:beforeLines="8" w:afterLines="8" w:line="216" w:lineRule="auto"/>
              <w:jc w:val="center"/>
              <w:rPr>
                <w:szCs w:val="21"/>
              </w:rPr>
            </w:pPr>
            <w:r>
              <w:rPr>
                <w:rFonts w:hAnsi="宋体"/>
                <w:szCs w:val="21"/>
              </w:rPr>
              <w:t>动植物油</w:t>
            </w: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第一天</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0.40</w:t>
            </w:r>
          </w:p>
        </w:tc>
        <w:tc>
          <w:tcPr>
            <w:tcW w:w="930" w:type="dxa"/>
            <w:vAlign w:val="center"/>
          </w:tcPr>
          <w:p w:rsidR="00475650" w:rsidRDefault="00475650" w:rsidP="00BD74CB">
            <w:pPr>
              <w:snapToGrid w:val="0"/>
              <w:spacing w:beforeLines="8" w:afterLines="8" w:line="216" w:lineRule="auto"/>
              <w:jc w:val="center"/>
              <w:rPr>
                <w:bCs/>
                <w:szCs w:val="21"/>
              </w:rPr>
            </w:pPr>
            <w:r>
              <w:rPr>
                <w:bCs/>
                <w:szCs w:val="21"/>
              </w:rPr>
              <w:t>0.58</w:t>
            </w:r>
          </w:p>
        </w:tc>
        <w:tc>
          <w:tcPr>
            <w:tcW w:w="930" w:type="dxa"/>
            <w:vAlign w:val="center"/>
          </w:tcPr>
          <w:p w:rsidR="00475650" w:rsidRDefault="00475650" w:rsidP="00BD74CB">
            <w:pPr>
              <w:snapToGrid w:val="0"/>
              <w:spacing w:beforeLines="8" w:afterLines="8" w:line="216" w:lineRule="auto"/>
              <w:jc w:val="center"/>
              <w:rPr>
                <w:bCs/>
                <w:szCs w:val="21"/>
              </w:rPr>
            </w:pPr>
            <w:r>
              <w:rPr>
                <w:bCs/>
                <w:szCs w:val="21"/>
              </w:rPr>
              <w:t>0.47</w:t>
            </w:r>
          </w:p>
        </w:tc>
        <w:tc>
          <w:tcPr>
            <w:tcW w:w="930" w:type="dxa"/>
            <w:vAlign w:val="center"/>
          </w:tcPr>
          <w:p w:rsidR="00475650" w:rsidRDefault="00475650" w:rsidP="00BD74CB">
            <w:pPr>
              <w:snapToGrid w:val="0"/>
              <w:spacing w:beforeLines="8" w:afterLines="8" w:line="216" w:lineRule="auto"/>
              <w:jc w:val="center"/>
              <w:rPr>
                <w:bCs/>
                <w:szCs w:val="21"/>
              </w:rPr>
            </w:pPr>
            <w:r>
              <w:rPr>
                <w:bCs/>
                <w:szCs w:val="21"/>
              </w:rPr>
              <w:t>0.46</w:t>
            </w:r>
          </w:p>
        </w:tc>
        <w:tc>
          <w:tcPr>
            <w:tcW w:w="1236" w:type="dxa"/>
            <w:vAlign w:val="center"/>
          </w:tcPr>
          <w:p w:rsidR="00475650" w:rsidRDefault="00475650" w:rsidP="00BD74CB">
            <w:pPr>
              <w:snapToGrid w:val="0"/>
              <w:spacing w:beforeLines="8" w:afterLines="8" w:line="216" w:lineRule="auto"/>
              <w:jc w:val="center"/>
              <w:rPr>
                <w:bCs/>
                <w:szCs w:val="21"/>
              </w:rPr>
            </w:pPr>
            <w:r>
              <w:rPr>
                <w:bCs/>
                <w:szCs w:val="21"/>
              </w:rPr>
              <w:t>0.48</w:t>
            </w:r>
          </w:p>
        </w:tc>
        <w:tc>
          <w:tcPr>
            <w:tcW w:w="855" w:type="dxa"/>
            <w:vMerge w:val="restart"/>
            <w:vAlign w:val="center"/>
          </w:tcPr>
          <w:p w:rsidR="00475650" w:rsidRDefault="00475650" w:rsidP="00BD74CB">
            <w:pPr>
              <w:snapToGrid w:val="0"/>
              <w:spacing w:beforeLines="8" w:afterLines="8" w:line="216" w:lineRule="auto"/>
              <w:jc w:val="center"/>
              <w:rPr>
                <w:bCs/>
                <w:szCs w:val="21"/>
              </w:rPr>
            </w:pPr>
            <w:r>
              <w:rPr>
                <w:kern w:val="0"/>
                <w:szCs w:val="21"/>
              </w:rPr>
              <w:t>100</w:t>
            </w:r>
          </w:p>
        </w:tc>
        <w:tc>
          <w:tcPr>
            <w:tcW w:w="641" w:type="dxa"/>
            <w:vAlign w:val="center"/>
          </w:tcPr>
          <w:p w:rsidR="00475650" w:rsidRDefault="00475650" w:rsidP="00BD74CB">
            <w:pPr>
              <w:snapToGrid w:val="0"/>
              <w:spacing w:beforeLines="8" w:afterLines="8" w:line="216" w:lineRule="auto"/>
              <w:jc w:val="center"/>
              <w:rPr>
                <w:szCs w:val="21"/>
              </w:rPr>
            </w:pPr>
            <w:r>
              <w:rPr>
                <w:rFonts w:hAnsi="宋体"/>
                <w:bCs/>
                <w:szCs w:val="21"/>
              </w:rPr>
              <w:t>是</w:t>
            </w:r>
          </w:p>
        </w:tc>
      </w:tr>
      <w:tr w:rsidR="00475650">
        <w:trPr>
          <w:jc w:val="center"/>
        </w:trPr>
        <w:tc>
          <w:tcPr>
            <w:tcW w:w="597" w:type="dxa"/>
            <w:vMerge/>
            <w:vAlign w:val="center"/>
          </w:tcPr>
          <w:p w:rsidR="00475650" w:rsidRDefault="00475650" w:rsidP="00BD74CB">
            <w:pPr>
              <w:adjustRightInd w:val="0"/>
              <w:snapToGrid w:val="0"/>
              <w:spacing w:beforeLines="8" w:afterLines="8" w:line="216" w:lineRule="auto"/>
              <w:jc w:val="center"/>
              <w:rPr>
                <w:szCs w:val="21"/>
              </w:rPr>
            </w:pPr>
          </w:p>
        </w:tc>
        <w:tc>
          <w:tcPr>
            <w:tcW w:w="856" w:type="dxa"/>
            <w:vMerge/>
            <w:vAlign w:val="center"/>
          </w:tcPr>
          <w:p w:rsidR="00475650" w:rsidRDefault="00475650" w:rsidP="00BD74CB">
            <w:pPr>
              <w:adjustRightInd w:val="0"/>
              <w:snapToGrid w:val="0"/>
              <w:spacing w:beforeLines="8" w:afterLines="8" w:line="216" w:lineRule="auto"/>
              <w:jc w:val="center"/>
              <w:rPr>
                <w:szCs w:val="21"/>
              </w:rPr>
            </w:pP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第二天</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0.56</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0.61</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0.49</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0.55</w:t>
            </w:r>
          </w:p>
        </w:tc>
        <w:tc>
          <w:tcPr>
            <w:tcW w:w="1236" w:type="dxa"/>
            <w:vAlign w:val="center"/>
          </w:tcPr>
          <w:p w:rsidR="00475650" w:rsidRDefault="00475650" w:rsidP="00BD74CB">
            <w:pPr>
              <w:adjustRightInd w:val="0"/>
              <w:snapToGrid w:val="0"/>
              <w:spacing w:beforeLines="8" w:afterLines="8" w:line="216" w:lineRule="auto"/>
              <w:jc w:val="center"/>
              <w:rPr>
                <w:bCs/>
                <w:szCs w:val="21"/>
              </w:rPr>
            </w:pPr>
            <w:r>
              <w:rPr>
                <w:bCs/>
                <w:szCs w:val="21"/>
              </w:rPr>
              <w:t>0.55</w:t>
            </w:r>
          </w:p>
        </w:tc>
        <w:tc>
          <w:tcPr>
            <w:tcW w:w="855" w:type="dxa"/>
            <w:vMerge/>
            <w:vAlign w:val="center"/>
          </w:tcPr>
          <w:p w:rsidR="00475650" w:rsidRDefault="00475650" w:rsidP="00BD74CB">
            <w:pPr>
              <w:adjustRightInd w:val="0"/>
              <w:snapToGrid w:val="0"/>
              <w:spacing w:beforeLines="8" w:afterLines="8" w:line="216" w:lineRule="auto"/>
              <w:jc w:val="center"/>
              <w:rPr>
                <w:bCs/>
                <w:szCs w:val="21"/>
              </w:rPr>
            </w:pPr>
          </w:p>
        </w:tc>
        <w:tc>
          <w:tcPr>
            <w:tcW w:w="641" w:type="dxa"/>
            <w:vAlign w:val="center"/>
          </w:tcPr>
          <w:p w:rsidR="00475650" w:rsidRDefault="00475650" w:rsidP="00BD74CB">
            <w:pPr>
              <w:snapToGrid w:val="0"/>
              <w:spacing w:beforeLines="8" w:afterLines="8" w:line="216" w:lineRule="auto"/>
              <w:jc w:val="center"/>
              <w:rPr>
                <w:szCs w:val="21"/>
              </w:rPr>
            </w:pPr>
            <w:r>
              <w:rPr>
                <w:rFonts w:hAnsi="宋体"/>
                <w:bCs/>
                <w:szCs w:val="21"/>
              </w:rPr>
              <w:t>是</w:t>
            </w:r>
          </w:p>
        </w:tc>
      </w:tr>
      <w:tr w:rsidR="00475650">
        <w:trPr>
          <w:jc w:val="center"/>
        </w:trPr>
        <w:tc>
          <w:tcPr>
            <w:tcW w:w="597" w:type="dxa"/>
            <w:vMerge/>
            <w:vAlign w:val="center"/>
          </w:tcPr>
          <w:p w:rsidR="00475650" w:rsidRDefault="00475650" w:rsidP="00BD74CB">
            <w:pPr>
              <w:adjustRightInd w:val="0"/>
              <w:snapToGrid w:val="0"/>
              <w:spacing w:beforeLines="8" w:afterLines="8" w:line="216" w:lineRule="auto"/>
              <w:jc w:val="center"/>
              <w:rPr>
                <w:szCs w:val="21"/>
              </w:rPr>
            </w:pPr>
          </w:p>
        </w:tc>
        <w:tc>
          <w:tcPr>
            <w:tcW w:w="856" w:type="dxa"/>
            <w:vMerge w:val="restart"/>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磷酸盐（以总</w:t>
            </w:r>
            <w:r>
              <w:rPr>
                <w:szCs w:val="21"/>
              </w:rPr>
              <w:t>P</w:t>
            </w:r>
            <w:r>
              <w:rPr>
                <w:rFonts w:hAnsi="宋体"/>
                <w:szCs w:val="21"/>
              </w:rPr>
              <w:t>计）</w:t>
            </w: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第一天</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0.01ND</w:t>
            </w:r>
          </w:p>
        </w:tc>
        <w:tc>
          <w:tcPr>
            <w:tcW w:w="930" w:type="dxa"/>
            <w:vAlign w:val="center"/>
          </w:tcPr>
          <w:p w:rsidR="00475650" w:rsidRDefault="00475650" w:rsidP="00BD74CB">
            <w:pPr>
              <w:snapToGrid w:val="0"/>
              <w:spacing w:beforeLines="8" w:afterLines="8" w:line="216" w:lineRule="auto"/>
              <w:jc w:val="center"/>
              <w:rPr>
                <w:szCs w:val="21"/>
              </w:rPr>
            </w:pPr>
            <w:r>
              <w:rPr>
                <w:bCs/>
                <w:szCs w:val="21"/>
              </w:rPr>
              <w:t>0.01ND</w:t>
            </w:r>
          </w:p>
        </w:tc>
        <w:tc>
          <w:tcPr>
            <w:tcW w:w="930" w:type="dxa"/>
            <w:vAlign w:val="center"/>
          </w:tcPr>
          <w:p w:rsidR="00475650" w:rsidRDefault="00475650" w:rsidP="00BD74CB">
            <w:pPr>
              <w:snapToGrid w:val="0"/>
              <w:spacing w:beforeLines="8" w:afterLines="8" w:line="216" w:lineRule="auto"/>
              <w:jc w:val="center"/>
              <w:rPr>
                <w:szCs w:val="21"/>
              </w:rPr>
            </w:pPr>
            <w:r>
              <w:rPr>
                <w:bCs/>
                <w:szCs w:val="21"/>
              </w:rPr>
              <w:t>0.01ND</w:t>
            </w:r>
          </w:p>
        </w:tc>
        <w:tc>
          <w:tcPr>
            <w:tcW w:w="930" w:type="dxa"/>
            <w:vAlign w:val="center"/>
          </w:tcPr>
          <w:p w:rsidR="00475650" w:rsidRDefault="00475650" w:rsidP="00BD74CB">
            <w:pPr>
              <w:snapToGrid w:val="0"/>
              <w:spacing w:beforeLines="8" w:afterLines="8" w:line="216" w:lineRule="auto"/>
              <w:jc w:val="center"/>
              <w:rPr>
                <w:szCs w:val="21"/>
              </w:rPr>
            </w:pPr>
            <w:r>
              <w:rPr>
                <w:bCs/>
                <w:szCs w:val="21"/>
              </w:rPr>
              <w:t>0.01ND</w:t>
            </w:r>
          </w:p>
        </w:tc>
        <w:tc>
          <w:tcPr>
            <w:tcW w:w="1236" w:type="dxa"/>
            <w:vAlign w:val="center"/>
          </w:tcPr>
          <w:p w:rsidR="00475650" w:rsidRDefault="00475650" w:rsidP="00BD74CB">
            <w:pPr>
              <w:snapToGrid w:val="0"/>
              <w:spacing w:beforeLines="8" w:afterLines="8" w:line="216" w:lineRule="auto"/>
              <w:jc w:val="center"/>
              <w:rPr>
                <w:bCs/>
                <w:szCs w:val="21"/>
              </w:rPr>
            </w:pPr>
            <w:r>
              <w:rPr>
                <w:bCs/>
                <w:szCs w:val="21"/>
              </w:rPr>
              <w:t>0.01ND</w:t>
            </w:r>
          </w:p>
        </w:tc>
        <w:tc>
          <w:tcPr>
            <w:tcW w:w="855" w:type="dxa"/>
            <w:vMerge w:val="restart"/>
            <w:vAlign w:val="center"/>
          </w:tcPr>
          <w:p w:rsidR="00475650" w:rsidRDefault="00475650" w:rsidP="00BD74CB">
            <w:pPr>
              <w:snapToGrid w:val="0"/>
              <w:spacing w:beforeLines="8" w:afterLines="8" w:line="216" w:lineRule="auto"/>
              <w:jc w:val="center"/>
              <w:rPr>
                <w:bCs/>
                <w:szCs w:val="21"/>
              </w:rPr>
            </w:pPr>
            <w:r>
              <w:rPr>
                <w:kern w:val="0"/>
                <w:szCs w:val="21"/>
              </w:rPr>
              <w:t>—</w:t>
            </w:r>
          </w:p>
        </w:tc>
        <w:tc>
          <w:tcPr>
            <w:tcW w:w="641" w:type="dxa"/>
            <w:vAlign w:val="center"/>
          </w:tcPr>
          <w:p w:rsidR="00475650" w:rsidRDefault="00475650" w:rsidP="00BD74CB">
            <w:pPr>
              <w:snapToGrid w:val="0"/>
              <w:spacing w:beforeLines="8" w:afterLines="8" w:line="216" w:lineRule="auto"/>
              <w:jc w:val="center"/>
              <w:rPr>
                <w:szCs w:val="21"/>
              </w:rPr>
            </w:pPr>
            <w:r>
              <w:rPr>
                <w:rFonts w:hAnsi="宋体"/>
                <w:bCs/>
                <w:szCs w:val="21"/>
              </w:rPr>
              <w:t>是</w:t>
            </w:r>
          </w:p>
        </w:tc>
      </w:tr>
      <w:tr w:rsidR="00475650">
        <w:trPr>
          <w:jc w:val="center"/>
        </w:trPr>
        <w:tc>
          <w:tcPr>
            <w:tcW w:w="597" w:type="dxa"/>
            <w:vMerge/>
            <w:vAlign w:val="center"/>
          </w:tcPr>
          <w:p w:rsidR="00475650" w:rsidRDefault="00475650" w:rsidP="00BD74CB">
            <w:pPr>
              <w:adjustRightInd w:val="0"/>
              <w:snapToGrid w:val="0"/>
              <w:spacing w:beforeLines="8" w:afterLines="8" w:line="216" w:lineRule="auto"/>
              <w:jc w:val="center"/>
              <w:rPr>
                <w:szCs w:val="21"/>
              </w:rPr>
            </w:pPr>
          </w:p>
        </w:tc>
        <w:tc>
          <w:tcPr>
            <w:tcW w:w="856" w:type="dxa"/>
            <w:vMerge/>
            <w:vAlign w:val="center"/>
          </w:tcPr>
          <w:p w:rsidR="00475650" w:rsidRDefault="00475650" w:rsidP="00BD74CB">
            <w:pPr>
              <w:adjustRightInd w:val="0"/>
              <w:snapToGrid w:val="0"/>
              <w:spacing w:beforeLines="8" w:afterLines="8" w:line="216" w:lineRule="auto"/>
              <w:jc w:val="center"/>
              <w:rPr>
                <w:szCs w:val="21"/>
              </w:rPr>
            </w:pP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第二天</w:t>
            </w:r>
          </w:p>
        </w:tc>
        <w:tc>
          <w:tcPr>
            <w:tcW w:w="930" w:type="dxa"/>
            <w:vAlign w:val="center"/>
          </w:tcPr>
          <w:p w:rsidR="00475650" w:rsidRDefault="00475650" w:rsidP="00BD74CB">
            <w:pPr>
              <w:snapToGrid w:val="0"/>
              <w:spacing w:beforeLines="8" w:afterLines="8" w:line="216" w:lineRule="auto"/>
              <w:jc w:val="center"/>
              <w:rPr>
                <w:szCs w:val="21"/>
              </w:rPr>
            </w:pPr>
            <w:r>
              <w:rPr>
                <w:bCs/>
                <w:szCs w:val="21"/>
              </w:rPr>
              <w:t>0.01ND</w:t>
            </w:r>
          </w:p>
        </w:tc>
        <w:tc>
          <w:tcPr>
            <w:tcW w:w="930" w:type="dxa"/>
            <w:vAlign w:val="center"/>
          </w:tcPr>
          <w:p w:rsidR="00475650" w:rsidRDefault="00475650" w:rsidP="00BD74CB">
            <w:pPr>
              <w:snapToGrid w:val="0"/>
              <w:spacing w:beforeLines="8" w:afterLines="8" w:line="216" w:lineRule="auto"/>
              <w:jc w:val="center"/>
              <w:rPr>
                <w:szCs w:val="21"/>
              </w:rPr>
            </w:pPr>
            <w:r>
              <w:rPr>
                <w:bCs/>
                <w:szCs w:val="21"/>
              </w:rPr>
              <w:t>0.01ND</w:t>
            </w:r>
          </w:p>
        </w:tc>
        <w:tc>
          <w:tcPr>
            <w:tcW w:w="930" w:type="dxa"/>
            <w:vAlign w:val="center"/>
          </w:tcPr>
          <w:p w:rsidR="00475650" w:rsidRDefault="00475650" w:rsidP="00BD74CB">
            <w:pPr>
              <w:snapToGrid w:val="0"/>
              <w:spacing w:beforeLines="8" w:afterLines="8" w:line="216" w:lineRule="auto"/>
              <w:jc w:val="center"/>
              <w:rPr>
                <w:szCs w:val="21"/>
              </w:rPr>
            </w:pPr>
            <w:r>
              <w:rPr>
                <w:bCs/>
                <w:szCs w:val="21"/>
              </w:rPr>
              <w:t>0.01ND</w:t>
            </w:r>
          </w:p>
        </w:tc>
        <w:tc>
          <w:tcPr>
            <w:tcW w:w="930" w:type="dxa"/>
            <w:vAlign w:val="center"/>
          </w:tcPr>
          <w:p w:rsidR="00475650" w:rsidRDefault="00475650" w:rsidP="00BD74CB">
            <w:pPr>
              <w:snapToGrid w:val="0"/>
              <w:spacing w:beforeLines="8" w:afterLines="8" w:line="216" w:lineRule="auto"/>
              <w:jc w:val="center"/>
              <w:rPr>
                <w:szCs w:val="21"/>
              </w:rPr>
            </w:pPr>
            <w:r>
              <w:rPr>
                <w:bCs/>
                <w:szCs w:val="21"/>
              </w:rPr>
              <w:t>0.01ND</w:t>
            </w:r>
          </w:p>
        </w:tc>
        <w:tc>
          <w:tcPr>
            <w:tcW w:w="1236" w:type="dxa"/>
            <w:vAlign w:val="center"/>
          </w:tcPr>
          <w:p w:rsidR="00475650" w:rsidRDefault="00475650" w:rsidP="00BD74CB">
            <w:pPr>
              <w:snapToGrid w:val="0"/>
              <w:spacing w:beforeLines="8" w:afterLines="8" w:line="216" w:lineRule="auto"/>
              <w:jc w:val="center"/>
              <w:rPr>
                <w:szCs w:val="21"/>
              </w:rPr>
            </w:pPr>
            <w:r>
              <w:rPr>
                <w:bCs/>
                <w:szCs w:val="21"/>
              </w:rPr>
              <w:t>0.01ND</w:t>
            </w:r>
          </w:p>
        </w:tc>
        <w:tc>
          <w:tcPr>
            <w:tcW w:w="855" w:type="dxa"/>
            <w:vMerge/>
            <w:vAlign w:val="center"/>
          </w:tcPr>
          <w:p w:rsidR="00475650" w:rsidRDefault="00475650" w:rsidP="00BD74CB">
            <w:pPr>
              <w:snapToGrid w:val="0"/>
              <w:spacing w:beforeLines="8" w:afterLines="8" w:line="216" w:lineRule="auto"/>
              <w:jc w:val="center"/>
              <w:rPr>
                <w:bCs/>
                <w:szCs w:val="21"/>
              </w:rPr>
            </w:pPr>
          </w:p>
        </w:tc>
        <w:tc>
          <w:tcPr>
            <w:tcW w:w="641" w:type="dxa"/>
            <w:vAlign w:val="center"/>
          </w:tcPr>
          <w:p w:rsidR="00475650" w:rsidRDefault="00475650" w:rsidP="00BD74CB">
            <w:pPr>
              <w:snapToGrid w:val="0"/>
              <w:spacing w:beforeLines="8" w:afterLines="8" w:line="216" w:lineRule="auto"/>
              <w:jc w:val="center"/>
              <w:rPr>
                <w:szCs w:val="21"/>
              </w:rPr>
            </w:pPr>
            <w:r>
              <w:rPr>
                <w:rFonts w:hAnsi="宋体"/>
                <w:bCs/>
                <w:szCs w:val="21"/>
              </w:rPr>
              <w:t>是</w:t>
            </w:r>
          </w:p>
        </w:tc>
      </w:tr>
      <w:tr w:rsidR="00475650">
        <w:trPr>
          <w:jc w:val="center"/>
        </w:trPr>
        <w:tc>
          <w:tcPr>
            <w:tcW w:w="597" w:type="dxa"/>
            <w:vMerge/>
            <w:vAlign w:val="center"/>
          </w:tcPr>
          <w:p w:rsidR="00475650" w:rsidRDefault="00475650" w:rsidP="00BD74CB">
            <w:pPr>
              <w:adjustRightInd w:val="0"/>
              <w:snapToGrid w:val="0"/>
              <w:spacing w:beforeLines="8" w:afterLines="8" w:line="216" w:lineRule="auto"/>
              <w:jc w:val="center"/>
              <w:rPr>
                <w:szCs w:val="21"/>
              </w:rPr>
            </w:pPr>
          </w:p>
        </w:tc>
        <w:tc>
          <w:tcPr>
            <w:tcW w:w="856" w:type="dxa"/>
            <w:vMerge w:val="restart"/>
            <w:vAlign w:val="center"/>
          </w:tcPr>
          <w:p w:rsidR="00475650" w:rsidRDefault="00475650" w:rsidP="00BD74CB">
            <w:pPr>
              <w:adjustRightInd w:val="0"/>
              <w:snapToGrid w:val="0"/>
              <w:spacing w:beforeLines="8" w:afterLines="8" w:line="216" w:lineRule="auto"/>
              <w:jc w:val="center"/>
              <w:rPr>
                <w:szCs w:val="21"/>
              </w:rPr>
            </w:pPr>
            <w:r>
              <w:rPr>
                <w:rFonts w:hAnsi="宋体"/>
                <w:szCs w:val="21"/>
              </w:rPr>
              <w:t>氨氮</w:t>
            </w: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第一天</w:t>
            </w:r>
          </w:p>
        </w:tc>
        <w:tc>
          <w:tcPr>
            <w:tcW w:w="930" w:type="dxa"/>
            <w:vAlign w:val="center"/>
          </w:tcPr>
          <w:p w:rsidR="00475650" w:rsidRDefault="00475650" w:rsidP="00BD74CB">
            <w:pPr>
              <w:adjustRightInd w:val="0"/>
              <w:snapToGrid w:val="0"/>
              <w:spacing w:beforeLines="8" w:afterLines="8" w:line="216" w:lineRule="auto"/>
              <w:jc w:val="center"/>
              <w:rPr>
                <w:bCs/>
                <w:szCs w:val="21"/>
              </w:rPr>
            </w:pPr>
            <w:r>
              <w:rPr>
                <w:bCs/>
                <w:szCs w:val="21"/>
              </w:rPr>
              <w:t>0.174</w:t>
            </w:r>
          </w:p>
        </w:tc>
        <w:tc>
          <w:tcPr>
            <w:tcW w:w="930" w:type="dxa"/>
            <w:vAlign w:val="center"/>
          </w:tcPr>
          <w:p w:rsidR="00475650" w:rsidRDefault="00475650" w:rsidP="00BD74CB">
            <w:pPr>
              <w:snapToGrid w:val="0"/>
              <w:spacing w:beforeLines="8" w:afterLines="8" w:line="216" w:lineRule="auto"/>
              <w:jc w:val="center"/>
              <w:rPr>
                <w:szCs w:val="21"/>
              </w:rPr>
            </w:pPr>
            <w:r>
              <w:rPr>
                <w:szCs w:val="21"/>
              </w:rPr>
              <w:t>0.166</w:t>
            </w:r>
          </w:p>
        </w:tc>
        <w:tc>
          <w:tcPr>
            <w:tcW w:w="930" w:type="dxa"/>
            <w:vAlign w:val="center"/>
          </w:tcPr>
          <w:p w:rsidR="00475650" w:rsidRDefault="00475650" w:rsidP="00BD74CB">
            <w:pPr>
              <w:snapToGrid w:val="0"/>
              <w:spacing w:beforeLines="8" w:afterLines="8" w:line="216" w:lineRule="auto"/>
              <w:jc w:val="center"/>
              <w:rPr>
                <w:szCs w:val="21"/>
              </w:rPr>
            </w:pPr>
            <w:r>
              <w:rPr>
                <w:szCs w:val="21"/>
              </w:rPr>
              <w:t>0.168</w:t>
            </w:r>
          </w:p>
        </w:tc>
        <w:tc>
          <w:tcPr>
            <w:tcW w:w="930" w:type="dxa"/>
            <w:vAlign w:val="center"/>
          </w:tcPr>
          <w:p w:rsidR="00475650" w:rsidRDefault="00475650" w:rsidP="00BD74CB">
            <w:pPr>
              <w:snapToGrid w:val="0"/>
              <w:spacing w:beforeLines="8" w:afterLines="8" w:line="216" w:lineRule="auto"/>
              <w:jc w:val="center"/>
              <w:rPr>
                <w:szCs w:val="21"/>
              </w:rPr>
            </w:pPr>
            <w:r>
              <w:rPr>
                <w:szCs w:val="21"/>
              </w:rPr>
              <w:t>0.171</w:t>
            </w:r>
          </w:p>
        </w:tc>
        <w:tc>
          <w:tcPr>
            <w:tcW w:w="1236" w:type="dxa"/>
            <w:vAlign w:val="center"/>
          </w:tcPr>
          <w:p w:rsidR="00475650" w:rsidRDefault="00475650" w:rsidP="00BD74CB">
            <w:pPr>
              <w:snapToGrid w:val="0"/>
              <w:spacing w:beforeLines="8" w:afterLines="8" w:line="216" w:lineRule="auto"/>
              <w:jc w:val="center"/>
              <w:rPr>
                <w:szCs w:val="21"/>
              </w:rPr>
            </w:pPr>
            <w:r>
              <w:rPr>
                <w:szCs w:val="21"/>
              </w:rPr>
              <w:t>0.170</w:t>
            </w:r>
          </w:p>
        </w:tc>
        <w:tc>
          <w:tcPr>
            <w:tcW w:w="855" w:type="dxa"/>
            <w:vMerge w:val="restart"/>
            <w:vAlign w:val="center"/>
          </w:tcPr>
          <w:p w:rsidR="00475650" w:rsidRDefault="00475650" w:rsidP="00BD74CB">
            <w:pPr>
              <w:snapToGrid w:val="0"/>
              <w:spacing w:beforeLines="8" w:afterLines="8" w:line="216" w:lineRule="auto"/>
              <w:jc w:val="center"/>
              <w:rPr>
                <w:szCs w:val="21"/>
              </w:rPr>
            </w:pPr>
            <w:r>
              <w:rPr>
                <w:kern w:val="0"/>
                <w:szCs w:val="21"/>
              </w:rPr>
              <w:t>—</w:t>
            </w:r>
          </w:p>
        </w:tc>
        <w:tc>
          <w:tcPr>
            <w:tcW w:w="641" w:type="dxa"/>
            <w:vAlign w:val="center"/>
          </w:tcPr>
          <w:p w:rsidR="00475650" w:rsidRDefault="00475650" w:rsidP="00BD74CB">
            <w:pPr>
              <w:snapToGrid w:val="0"/>
              <w:spacing w:beforeLines="8" w:afterLines="8" w:line="216" w:lineRule="auto"/>
              <w:jc w:val="center"/>
              <w:rPr>
                <w:szCs w:val="21"/>
              </w:rPr>
            </w:pPr>
            <w:r>
              <w:rPr>
                <w:rFonts w:hAnsi="宋体"/>
                <w:bCs/>
                <w:szCs w:val="21"/>
              </w:rPr>
              <w:t>是</w:t>
            </w:r>
          </w:p>
        </w:tc>
      </w:tr>
      <w:tr w:rsidR="00475650">
        <w:trPr>
          <w:jc w:val="center"/>
        </w:trPr>
        <w:tc>
          <w:tcPr>
            <w:tcW w:w="597" w:type="dxa"/>
            <w:vMerge/>
            <w:vAlign w:val="center"/>
          </w:tcPr>
          <w:p w:rsidR="00475650" w:rsidRDefault="00475650" w:rsidP="00BD74CB">
            <w:pPr>
              <w:adjustRightInd w:val="0"/>
              <w:snapToGrid w:val="0"/>
              <w:spacing w:beforeLines="8" w:afterLines="8" w:line="216" w:lineRule="auto"/>
              <w:jc w:val="center"/>
              <w:rPr>
                <w:szCs w:val="21"/>
              </w:rPr>
            </w:pPr>
          </w:p>
        </w:tc>
        <w:tc>
          <w:tcPr>
            <w:tcW w:w="856" w:type="dxa"/>
            <w:vMerge/>
            <w:vAlign w:val="center"/>
          </w:tcPr>
          <w:p w:rsidR="00475650" w:rsidRDefault="00475650" w:rsidP="00BD74CB">
            <w:pPr>
              <w:adjustRightInd w:val="0"/>
              <w:snapToGrid w:val="0"/>
              <w:spacing w:beforeLines="8" w:afterLines="8" w:line="216" w:lineRule="auto"/>
              <w:jc w:val="center"/>
              <w:rPr>
                <w:szCs w:val="21"/>
              </w:rPr>
            </w:pP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第二天</w:t>
            </w:r>
          </w:p>
        </w:tc>
        <w:tc>
          <w:tcPr>
            <w:tcW w:w="930" w:type="dxa"/>
            <w:vAlign w:val="center"/>
          </w:tcPr>
          <w:p w:rsidR="00475650" w:rsidRDefault="00475650" w:rsidP="00BD74CB">
            <w:pPr>
              <w:snapToGrid w:val="0"/>
              <w:spacing w:beforeLines="8" w:afterLines="8" w:line="216" w:lineRule="auto"/>
              <w:jc w:val="center"/>
              <w:rPr>
                <w:szCs w:val="21"/>
              </w:rPr>
            </w:pPr>
            <w:r>
              <w:rPr>
                <w:szCs w:val="21"/>
              </w:rPr>
              <w:t>0.151</w:t>
            </w:r>
          </w:p>
        </w:tc>
        <w:tc>
          <w:tcPr>
            <w:tcW w:w="930" w:type="dxa"/>
            <w:vAlign w:val="center"/>
          </w:tcPr>
          <w:p w:rsidR="00475650" w:rsidRDefault="00475650" w:rsidP="00BD74CB">
            <w:pPr>
              <w:snapToGrid w:val="0"/>
              <w:spacing w:beforeLines="8" w:afterLines="8" w:line="216" w:lineRule="auto"/>
              <w:jc w:val="center"/>
              <w:rPr>
                <w:szCs w:val="21"/>
              </w:rPr>
            </w:pPr>
            <w:r>
              <w:rPr>
                <w:szCs w:val="21"/>
              </w:rPr>
              <w:t>0.142</w:t>
            </w:r>
          </w:p>
        </w:tc>
        <w:tc>
          <w:tcPr>
            <w:tcW w:w="930" w:type="dxa"/>
            <w:vAlign w:val="center"/>
          </w:tcPr>
          <w:p w:rsidR="00475650" w:rsidRDefault="00475650" w:rsidP="00BD74CB">
            <w:pPr>
              <w:snapToGrid w:val="0"/>
              <w:spacing w:beforeLines="8" w:afterLines="8" w:line="216" w:lineRule="auto"/>
              <w:jc w:val="center"/>
              <w:rPr>
                <w:szCs w:val="21"/>
              </w:rPr>
            </w:pPr>
            <w:r>
              <w:rPr>
                <w:szCs w:val="21"/>
              </w:rPr>
              <w:t>0.157</w:t>
            </w:r>
          </w:p>
        </w:tc>
        <w:tc>
          <w:tcPr>
            <w:tcW w:w="930" w:type="dxa"/>
            <w:vAlign w:val="center"/>
          </w:tcPr>
          <w:p w:rsidR="00475650" w:rsidRDefault="00475650" w:rsidP="00BD74CB">
            <w:pPr>
              <w:snapToGrid w:val="0"/>
              <w:spacing w:beforeLines="8" w:afterLines="8" w:line="216" w:lineRule="auto"/>
              <w:jc w:val="center"/>
              <w:rPr>
                <w:szCs w:val="21"/>
              </w:rPr>
            </w:pPr>
            <w:r>
              <w:rPr>
                <w:szCs w:val="21"/>
              </w:rPr>
              <w:t>0.174</w:t>
            </w:r>
          </w:p>
        </w:tc>
        <w:tc>
          <w:tcPr>
            <w:tcW w:w="1236" w:type="dxa"/>
            <w:vAlign w:val="center"/>
          </w:tcPr>
          <w:p w:rsidR="00475650" w:rsidRDefault="00475650" w:rsidP="00BD74CB">
            <w:pPr>
              <w:snapToGrid w:val="0"/>
              <w:spacing w:beforeLines="8" w:afterLines="8" w:line="216" w:lineRule="auto"/>
              <w:jc w:val="center"/>
              <w:rPr>
                <w:szCs w:val="21"/>
              </w:rPr>
            </w:pPr>
            <w:r>
              <w:rPr>
                <w:szCs w:val="21"/>
              </w:rPr>
              <w:t>0.156</w:t>
            </w:r>
          </w:p>
        </w:tc>
        <w:tc>
          <w:tcPr>
            <w:tcW w:w="855" w:type="dxa"/>
            <w:vMerge/>
            <w:vAlign w:val="center"/>
          </w:tcPr>
          <w:p w:rsidR="00475650" w:rsidRDefault="00475650" w:rsidP="00BD74CB">
            <w:pPr>
              <w:snapToGrid w:val="0"/>
              <w:spacing w:beforeLines="8" w:afterLines="8" w:line="216" w:lineRule="auto"/>
              <w:jc w:val="center"/>
              <w:rPr>
                <w:szCs w:val="21"/>
              </w:rPr>
            </w:pPr>
          </w:p>
        </w:tc>
        <w:tc>
          <w:tcPr>
            <w:tcW w:w="641" w:type="dxa"/>
            <w:vAlign w:val="center"/>
          </w:tcPr>
          <w:p w:rsidR="00475650" w:rsidRDefault="00475650" w:rsidP="00BD74CB">
            <w:pPr>
              <w:snapToGrid w:val="0"/>
              <w:spacing w:beforeLines="8" w:afterLines="8" w:line="216" w:lineRule="auto"/>
              <w:jc w:val="center"/>
              <w:rPr>
                <w:szCs w:val="21"/>
              </w:rPr>
            </w:pPr>
            <w:r>
              <w:rPr>
                <w:rFonts w:hAnsi="宋体"/>
                <w:bCs/>
                <w:szCs w:val="21"/>
              </w:rPr>
              <w:t>是</w:t>
            </w:r>
          </w:p>
        </w:tc>
      </w:tr>
      <w:tr w:rsidR="00475650">
        <w:trPr>
          <w:jc w:val="center"/>
        </w:trPr>
        <w:tc>
          <w:tcPr>
            <w:tcW w:w="597" w:type="dxa"/>
            <w:vMerge w:val="restart"/>
            <w:vAlign w:val="center"/>
          </w:tcPr>
          <w:p w:rsidR="00475650" w:rsidRDefault="00475650">
            <w:pPr>
              <w:adjustRightInd w:val="0"/>
              <w:snapToGrid w:val="0"/>
              <w:spacing w:line="216" w:lineRule="auto"/>
              <w:jc w:val="center"/>
              <w:rPr>
                <w:szCs w:val="21"/>
              </w:rPr>
            </w:pPr>
            <w:r>
              <w:rPr>
                <w:rFonts w:hAnsi="宋体"/>
                <w:szCs w:val="21"/>
              </w:rPr>
              <w:t>循环冷却水池</w:t>
            </w:r>
            <w:r>
              <w:rPr>
                <w:rFonts w:ascii="宋体" w:hAnsi="宋体"/>
                <w:szCs w:val="21"/>
              </w:rPr>
              <w:t>★</w:t>
            </w:r>
            <w:r>
              <w:rPr>
                <w:szCs w:val="21"/>
              </w:rPr>
              <w:t>3</w:t>
            </w:r>
          </w:p>
        </w:tc>
        <w:tc>
          <w:tcPr>
            <w:tcW w:w="856" w:type="dxa"/>
            <w:vMerge w:val="restart"/>
            <w:vAlign w:val="center"/>
          </w:tcPr>
          <w:p w:rsidR="00475650" w:rsidRDefault="00475650">
            <w:pPr>
              <w:adjustRightInd w:val="0"/>
              <w:snapToGrid w:val="0"/>
              <w:spacing w:line="216" w:lineRule="auto"/>
              <w:jc w:val="center"/>
              <w:rPr>
                <w:szCs w:val="21"/>
              </w:rPr>
            </w:pPr>
            <w:r>
              <w:rPr>
                <w:szCs w:val="21"/>
              </w:rPr>
              <w:t>pH</w:t>
            </w:r>
            <w:r>
              <w:rPr>
                <w:rFonts w:hAnsi="宋体"/>
                <w:szCs w:val="21"/>
              </w:rPr>
              <w:t>值</w:t>
            </w: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第一天</w:t>
            </w:r>
          </w:p>
        </w:tc>
        <w:tc>
          <w:tcPr>
            <w:tcW w:w="930" w:type="dxa"/>
            <w:vAlign w:val="center"/>
          </w:tcPr>
          <w:p w:rsidR="00475650" w:rsidRDefault="00475650">
            <w:pPr>
              <w:snapToGrid w:val="0"/>
              <w:spacing w:line="216" w:lineRule="auto"/>
              <w:jc w:val="center"/>
              <w:rPr>
                <w:bCs/>
                <w:szCs w:val="21"/>
              </w:rPr>
            </w:pPr>
            <w:r>
              <w:rPr>
                <w:bCs/>
                <w:szCs w:val="21"/>
              </w:rPr>
              <w:t>8.48</w:t>
            </w:r>
          </w:p>
        </w:tc>
        <w:tc>
          <w:tcPr>
            <w:tcW w:w="930" w:type="dxa"/>
            <w:vAlign w:val="center"/>
          </w:tcPr>
          <w:p w:rsidR="00475650" w:rsidRDefault="00475650">
            <w:pPr>
              <w:snapToGrid w:val="0"/>
              <w:spacing w:line="216" w:lineRule="auto"/>
              <w:jc w:val="center"/>
              <w:rPr>
                <w:bCs/>
                <w:szCs w:val="21"/>
              </w:rPr>
            </w:pPr>
            <w:r>
              <w:rPr>
                <w:bCs/>
                <w:szCs w:val="21"/>
              </w:rPr>
              <w:t>8.41</w:t>
            </w:r>
          </w:p>
        </w:tc>
        <w:tc>
          <w:tcPr>
            <w:tcW w:w="930" w:type="dxa"/>
            <w:vAlign w:val="center"/>
          </w:tcPr>
          <w:p w:rsidR="00475650" w:rsidRDefault="00475650">
            <w:pPr>
              <w:snapToGrid w:val="0"/>
              <w:spacing w:line="216" w:lineRule="auto"/>
              <w:jc w:val="center"/>
              <w:rPr>
                <w:bCs/>
                <w:szCs w:val="21"/>
              </w:rPr>
            </w:pPr>
            <w:r>
              <w:rPr>
                <w:bCs/>
                <w:szCs w:val="21"/>
              </w:rPr>
              <w:t>8.50</w:t>
            </w:r>
          </w:p>
        </w:tc>
        <w:tc>
          <w:tcPr>
            <w:tcW w:w="930" w:type="dxa"/>
            <w:vAlign w:val="center"/>
          </w:tcPr>
          <w:p w:rsidR="00475650" w:rsidRDefault="00475650">
            <w:pPr>
              <w:snapToGrid w:val="0"/>
              <w:spacing w:line="216" w:lineRule="auto"/>
              <w:jc w:val="center"/>
              <w:rPr>
                <w:bCs/>
                <w:szCs w:val="21"/>
              </w:rPr>
            </w:pPr>
            <w:r>
              <w:rPr>
                <w:bCs/>
                <w:szCs w:val="21"/>
              </w:rPr>
              <w:t>8.52</w:t>
            </w:r>
          </w:p>
        </w:tc>
        <w:tc>
          <w:tcPr>
            <w:tcW w:w="1236" w:type="dxa"/>
            <w:vAlign w:val="center"/>
          </w:tcPr>
          <w:p w:rsidR="00475650" w:rsidRDefault="00475650">
            <w:pPr>
              <w:snapToGrid w:val="0"/>
              <w:spacing w:line="216" w:lineRule="auto"/>
              <w:jc w:val="center"/>
              <w:rPr>
                <w:bCs/>
                <w:szCs w:val="21"/>
              </w:rPr>
            </w:pPr>
            <w:r>
              <w:rPr>
                <w:bCs/>
                <w:szCs w:val="21"/>
              </w:rPr>
              <w:t>8.41-8.52</w:t>
            </w:r>
          </w:p>
        </w:tc>
        <w:tc>
          <w:tcPr>
            <w:tcW w:w="855" w:type="dxa"/>
            <w:vMerge w:val="restart"/>
            <w:vAlign w:val="center"/>
          </w:tcPr>
          <w:p w:rsidR="00475650" w:rsidRDefault="00475650">
            <w:pPr>
              <w:snapToGrid w:val="0"/>
              <w:spacing w:line="216" w:lineRule="auto"/>
              <w:jc w:val="center"/>
              <w:rPr>
                <w:bCs/>
                <w:szCs w:val="21"/>
              </w:rPr>
            </w:pPr>
            <w:r>
              <w:rPr>
                <w:bCs/>
                <w:szCs w:val="21"/>
              </w:rPr>
              <w:t>/</w:t>
            </w:r>
          </w:p>
        </w:tc>
        <w:tc>
          <w:tcPr>
            <w:tcW w:w="641" w:type="dxa"/>
            <w:vAlign w:val="center"/>
          </w:tcPr>
          <w:p w:rsidR="00475650" w:rsidRDefault="00475650">
            <w:pPr>
              <w:snapToGrid w:val="0"/>
              <w:spacing w:line="216" w:lineRule="auto"/>
              <w:jc w:val="center"/>
              <w:rPr>
                <w:szCs w:val="21"/>
              </w:rPr>
            </w:pPr>
            <w:r>
              <w:rPr>
                <w:bCs/>
                <w:szCs w:val="21"/>
              </w:rPr>
              <w:t>/</w:t>
            </w:r>
          </w:p>
        </w:tc>
      </w:tr>
      <w:tr w:rsidR="00475650">
        <w:trPr>
          <w:jc w:val="center"/>
        </w:trPr>
        <w:tc>
          <w:tcPr>
            <w:tcW w:w="597" w:type="dxa"/>
            <w:vMerge/>
            <w:vAlign w:val="center"/>
          </w:tcPr>
          <w:p w:rsidR="00475650" w:rsidRDefault="00475650">
            <w:pPr>
              <w:adjustRightInd w:val="0"/>
              <w:snapToGrid w:val="0"/>
              <w:spacing w:line="216" w:lineRule="auto"/>
              <w:jc w:val="center"/>
              <w:rPr>
                <w:szCs w:val="21"/>
              </w:rPr>
            </w:pPr>
          </w:p>
        </w:tc>
        <w:tc>
          <w:tcPr>
            <w:tcW w:w="856" w:type="dxa"/>
            <w:vMerge/>
            <w:vAlign w:val="center"/>
          </w:tcPr>
          <w:p w:rsidR="00475650" w:rsidRDefault="00475650">
            <w:pPr>
              <w:adjustRightInd w:val="0"/>
              <w:snapToGrid w:val="0"/>
              <w:spacing w:line="216" w:lineRule="auto"/>
              <w:jc w:val="center"/>
              <w:rPr>
                <w:szCs w:val="21"/>
              </w:rPr>
            </w:pP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第二天</w:t>
            </w:r>
          </w:p>
        </w:tc>
        <w:tc>
          <w:tcPr>
            <w:tcW w:w="930" w:type="dxa"/>
            <w:vAlign w:val="center"/>
          </w:tcPr>
          <w:p w:rsidR="00475650" w:rsidRDefault="00475650">
            <w:pPr>
              <w:snapToGrid w:val="0"/>
              <w:spacing w:line="216" w:lineRule="auto"/>
              <w:jc w:val="center"/>
              <w:rPr>
                <w:bCs/>
                <w:szCs w:val="21"/>
              </w:rPr>
            </w:pPr>
            <w:r>
              <w:rPr>
                <w:bCs/>
                <w:szCs w:val="21"/>
              </w:rPr>
              <w:t>8.51</w:t>
            </w:r>
          </w:p>
        </w:tc>
        <w:tc>
          <w:tcPr>
            <w:tcW w:w="930" w:type="dxa"/>
            <w:vAlign w:val="center"/>
          </w:tcPr>
          <w:p w:rsidR="00475650" w:rsidRDefault="00475650">
            <w:pPr>
              <w:snapToGrid w:val="0"/>
              <w:spacing w:line="216" w:lineRule="auto"/>
              <w:jc w:val="center"/>
              <w:rPr>
                <w:bCs/>
                <w:szCs w:val="21"/>
              </w:rPr>
            </w:pPr>
            <w:r>
              <w:rPr>
                <w:bCs/>
                <w:szCs w:val="21"/>
              </w:rPr>
              <w:t>8.49</w:t>
            </w:r>
          </w:p>
        </w:tc>
        <w:tc>
          <w:tcPr>
            <w:tcW w:w="930" w:type="dxa"/>
            <w:vAlign w:val="center"/>
          </w:tcPr>
          <w:p w:rsidR="00475650" w:rsidRDefault="00475650">
            <w:pPr>
              <w:snapToGrid w:val="0"/>
              <w:spacing w:line="216" w:lineRule="auto"/>
              <w:jc w:val="center"/>
              <w:rPr>
                <w:bCs/>
                <w:szCs w:val="21"/>
              </w:rPr>
            </w:pPr>
            <w:r>
              <w:rPr>
                <w:bCs/>
                <w:szCs w:val="21"/>
              </w:rPr>
              <w:t>8.40</w:t>
            </w:r>
          </w:p>
        </w:tc>
        <w:tc>
          <w:tcPr>
            <w:tcW w:w="930" w:type="dxa"/>
            <w:vAlign w:val="center"/>
          </w:tcPr>
          <w:p w:rsidR="00475650" w:rsidRDefault="00475650">
            <w:pPr>
              <w:snapToGrid w:val="0"/>
              <w:spacing w:line="216" w:lineRule="auto"/>
              <w:jc w:val="center"/>
              <w:rPr>
                <w:bCs/>
                <w:szCs w:val="21"/>
              </w:rPr>
            </w:pPr>
            <w:r>
              <w:rPr>
                <w:bCs/>
                <w:szCs w:val="21"/>
              </w:rPr>
              <w:t>8.50</w:t>
            </w:r>
          </w:p>
        </w:tc>
        <w:tc>
          <w:tcPr>
            <w:tcW w:w="1236" w:type="dxa"/>
            <w:vAlign w:val="center"/>
          </w:tcPr>
          <w:p w:rsidR="00475650" w:rsidRDefault="00475650">
            <w:pPr>
              <w:snapToGrid w:val="0"/>
              <w:spacing w:line="216" w:lineRule="auto"/>
              <w:jc w:val="center"/>
              <w:rPr>
                <w:bCs/>
                <w:szCs w:val="21"/>
              </w:rPr>
            </w:pPr>
            <w:r>
              <w:rPr>
                <w:bCs/>
                <w:szCs w:val="21"/>
              </w:rPr>
              <w:t>8.40-8.51</w:t>
            </w:r>
          </w:p>
        </w:tc>
        <w:tc>
          <w:tcPr>
            <w:tcW w:w="855" w:type="dxa"/>
            <w:vMerge/>
            <w:vAlign w:val="center"/>
          </w:tcPr>
          <w:p w:rsidR="00475650" w:rsidRDefault="00475650">
            <w:pPr>
              <w:snapToGrid w:val="0"/>
              <w:spacing w:line="216" w:lineRule="auto"/>
              <w:jc w:val="center"/>
              <w:rPr>
                <w:bCs/>
                <w:szCs w:val="21"/>
              </w:rPr>
            </w:pPr>
          </w:p>
        </w:tc>
        <w:tc>
          <w:tcPr>
            <w:tcW w:w="641" w:type="dxa"/>
            <w:vAlign w:val="center"/>
          </w:tcPr>
          <w:p w:rsidR="00475650" w:rsidRDefault="00475650">
            <w:pPr>
              <w:snapToGrid w:val="0"/>
              <w:spacing w:line="216" w:lineRule="auto"/>
              <w:jc w:val="center"/>
              <w:rPr>
                <w:szCs w:val="21"/>
              </w:rPr>
            </w:pPr>
            <w:r>
              <w:rPr>
                <w:bCs/>
                <w:szCs w:val="21"/>
              </w:rPr>
              <w:t>/</w:t>
            </w:r>
          </w:p>
        </w:tc>
      </w:tr>
      <w:tr w:rsidR="00475650">
        <w:trPr>
          <w:jc w:val="center"/>
        </w:trPr>
        <w:tc>
          <w:tcPr>
            <w:tcW w:w="597" w:type="dxa"/>
            <w:vMerge/>
            <w:vAlign w:val="center"/>
          </w:tcPr>
          <w:p w:rsidR="00475650" w:rsidRDefault="00475650">
            <w:pPr>
              <w:adjustRightInd w:val="0"/>
              <w:snapToGrid w:val="0"/>
              <w:spacing w:line="216" w:lineRule="auto"/>
              <w:jc w:val="center"/>
              <w:rPr>
                <w:szCs w:val="21"/>
              </w:rPr>
            </w:pPr>
          </w:p>
        </w:tc>
        <w:tc>
          <w:tcPr>
            <w:tcW w:w="856" w:type="dxa"/>
            <w:vMerge w:val="restart"/>
            <w:vAlign w:val="center"/>
          </w:tcPr>
          <w:p w:rsidR="00475650" w:rsidRDefault="00475650">
            <w:pPr>
              <w:adjustRightInd w:val="0"/>
              <w:snapToGrid w:val="0"/>
              <w:spacing w:line="216" w:lineRule="auto"/>
              <w:ind w:leftChars="-50" w:left="-105" w:rightChars="-50" w:right="-105"/>
              <w:jc w:val="center"/>
              <w:rPr>
                <w:szCs w:val="21"/>
              </w:rPr>
            </w:pPr>
            <w:r>
              <w:rPr>
                <w:rFonts w:hAnsi="宋体"/>
                <w:szCs w:val="21"/>
              </w:rPr>
              <w:t>悬浮物</w:t>
            </w: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第一天</w:t>
            </w:r>
          </w:p>
        </w:tc>
        <w:tc>
          <w:tcPr>
            <w:tcW w:w="930" w:type="dxa"/>
            <w:vAlign w:val="center"/>
          </w:tcPr>
          <w:p w:rsidR="00475650" w:rsidRDefault="00475650">
            <w:pPr>
              <w:snapToGrid w:val="0"/>
              <w:spacing w:line="216" w:lineRule="auto"/>
              <w:jc w:val="center"/>
              <w:rPr>
                <w:bCs/>
                <w:szCs w:val="21"/>
              </w:rPr>
            </w:pPr>
            <w:r>
              <w:rPr>
                <w:bCs/>
                <w:szCs w:val="21"/>
              </w:rPr>
              <w:t>8</w:t>
            </w:r>
          </w:p>
        </w:tc>
        <w:tc>
          <w:tcPr>
            <w:tcW w:w="930" w:type="dxa"/>
            <w:vAlign w:val="center"/>
          </w:tcPr>
          <w:p w:rsidR="00475650" w:rsidRDefault="00475650">
            <w:pPr>
              <w:snapToGrid w:val="0"/>
              <w:spacing w:line="216" w:lineRule="auto"/>
              <w:jc w:val="center"/>
              <w:rPr>
                <w:bCs/>
                <w:szCs w:val="21"/>
              </w:rPr>
            </w:pPr>
            <w:r>
              <w:rPr>
                <w:bCs/>
                <w:szCs w:val="21"/>
              </w:rPr>
              <w:t>10</w:t>
            </w:r>
          </w:p>
        </w:tc>
        <w:tc>
          <w:tcPr>
            <w:tcW w:w="930" w:type="dxa"/>
            <w:vAlign w:val="center"/>
          </w:tcPr>
          <w:p w:rsidR="00475650" w:rsidRDefault="00475650">
            <w:pPr>
              <w:snapToGrid w:val="0"/>
              <w:spacing w:line="216" w:lineRule="auto"/>
              <w:jc w:val="center"/>
              <w:rPr>
                <w:bCs/>
                <w:szCs w:val="21"/>
              </w:rPr>
            </w:pPr>
            <w:r>
              <w:rPr>
                <w:bCs/>
                <w:szCs w:val="21"/>
              </w:rPr>
              <w:t>8</w:t>
            </w:r>
          </w:p>
        </w:tc>
        <w:tc>
          <w:tcPr>
            <w:tcW w:w="930" w:type="dxa"/>
            <w:vAlign w:val="center"/>
          </w:tcPr>
          <w:p w:rsidR="00475650" w:rsidRDefault="00475650">
            <w:pPr>
              <w:snapToGrid w:val="0"/>
              <w:spacing w:line="216" w:lineRule="auto"/>
              <w:jc w:val="center"/>
              <w:rPr>
                <w:bCs/>
                <w:szCs w:val="21"/>
              </w:rPr>
            </w:pPr>
            <w:r>
              <w:rPr>
                <w:bCs/>
                <w:szCs w:val="21"/>
              </w:rPr>
              <w:t>10</w:t>
            </w:r>
          </w:p>
        </w:tc>
        <w:tc>
          <w:tcPr>
            <w:tcW w:w="1236" w:type="dxa"/>
            <w:vAlign w:val="center"/>
          </w:tcPr>
          <w:p w:rsidR="00475650" w:rsidRDefault="00475650">
            <w:pPr>
              <w:snapToGrid w:val="0"/>
              <w:spacing w:line="216" w:lineRule="auto"/>
              <w:jc w:val="center"/>
              <w:rPr>
                <w:bCs/>
                <w:szCs w:val="21"/>
              </w:rPr>
            </w:pPr>
            <w:r>
              <w:rPr>
                <w:bCs/>
                <w:szCs w:val="21"/>
              </w:rPr>
              <w:t>9</w:t>
            </w:r>
          </w:p>
        </w:tc>
        <w:tc>
          <w:tcPr>
            <w:tcW w:w="855" w:type="dxa"/>
            <w:vMerge w:val="restart"/>
            <w:vAlign w:val="center"/>
          </w:tcPr>
          <w:p w:rsidR="00475650" w:rsidRDefault="00475650">
            <w:pPr>
              <w:snapToGrid w:val="0"/>
              <w:spacing w:line="216" w:lineRule="auto"/>
              <w:jc w:val="center"/>
              <w:rPr>
                <w:szCs w:val="21"/>
              </w:rPr>
            </w:pPr>
            <w:r>
              <w:rPr>
                <w:bCs/>
                <w:szCs w:val="21"/>
              </w:rPr>
              <w:t>/</w:t>
            </w:r>
          </w:p>
        </w:tc>
        <w:tc>
          <w:tcPr>
            <w:tcW w:w="641" w:type="dxa"/>
            <w:vAlign w:val="center"/>
          </w:tcPr>
          <w:p w:rsidR="00475650" w:rsidRDefault="00475650">
            <w:pPr>
              <w:snapToGrid w:val="0"/>
              <w:spacing w:line="216" w:lineRule="auto"/>
              <w:jc w:val="center"/>
              <w:rPr>
                <w:szCs w:val="21"/>
              </w:rPr>
            </w:pPr>
            <w:r>
              <w:rPr>
                <w:bCs/>
                <w:szCs w:val="21"/>
              </w:rPr>
              <w:t>/</w:t>
            </w:r>
          </w:p>
        </w:tc>
      </w:tr>
      <w:tr w:rsidR="00475650">
        <w:trPr>
          <w:jc w:val="center"/>
        </w:trPr>
        <w:tc>
          <w:tcPr>
            <w:tcW w:w="597" w:type="dxa"/>
            <w:vMerge/>
            <w:vAlign w:val="center"/>
          </w:tcPr>
          <w:p w:rsidR="00475650" w:rsidRDefault="00475650">
            <w:pPr>
              <w:adjustRightInd w:val="0"/>
              <w:snapToGrid w:val="0"/>
              <w:spacing w:line="216" w:lineRule="auto"/>
              <w:jc w:val="center"/>
              <w:rPr>
                <w:szCs w:val="21"/>
              </w:rPr>
            </w:pPr>
          </w:p>
        </w:tc>
        <w:tc>
          <w:tcPr>
            <w:tcW w:w="856" w:type="dxa"/>
            <w:vMerge/>
            <w:vAlign w:val="center"/>
          </w:tcPr>
          <w:p w:rsidR="00475650" w:rsidRDefault="00475650">
            <w:pPr>
              <w:adjustRightInd w:val="0"/>
              <w:snapToGrid w:val="0"/>
              <w:spacing w:line="216" w:lineRule="auto"/>
              <w:ind w:leftChars="-50" w:left="-105" w:rightChars="-50" w:right="-105"/>
              <w:jc w:val="center"/>
              <w:rPr>
                <w:szCs w:val="21"/>
              </w:rPr>
            </w:pP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第二天</w:t>
            </w:r>
          </w:p>
        </w:tc>
        <w:tc>
          <w:tcPr>
            <w:tcW w:w="930" w:type="dxa"/>
            <w:vAlign w:val="center"/>
          </w:tcPr>
          <w:p w:rsidR="00475650" w:rsidRDefault="00475650">
            <w:pPr>
              <w:snapToGrid w:val="0"/>
              <w:spacing w:line="216" w:lineRule="auto"/>
              <w:jc w:val="center"/>
              <w:rPr>
                <w:bCs/>
                <w:szCs w:val="21"/>
              </w:rPr>
            </w:pPr>
            <w:r>
              <w:rPr>
                <w:bCs/>
                <w:szCs w:val="21"/>
              </w:rPr>
              <w:t>9</w:t>
            </w:r>
          </w:p>
        </w:tc>
        <w:tc>
          <w:tcPr>
            <w:tcW w:w="930" w:type="dxa"/>
            <w:vAlign w:val="center"/>
          </w:tcPr>
          <w:p w:rsidR="00475650" w:rsidRDefault="00475650">
            <w:pPr>
              <w:snapToGrid w:val="0"/>
              <w:spacing w:line="216" w:lineRule="auto"/>
              <w:jc w:val="center"/>
              <w:rPr>
                <w:bCs/>
                <w:szCs w:val="21"/>
              </w:rPr>
            </w:pPr>
            <w:r>
              <w:rPr>
                <w:bCs/>
                <w:szCs w:val="21"/>
              </w:rPr>
              <w:t>9</w:t>
            </w:r>
          </w:p>
        </w:tc>
        <w:tc>
          <w:tcPr>
            <w:tcW w:w="930" w:type="dxa"/>
            <w:vAlign w:val="center"/>
          </w:tcPr>
          <w:p w:rsidR="00475650" w:rsidRDefault="00475650">
            <w:pPr>
              <w:snapToGrid w:val="0"/>
              <w:spacing w:line="216" w:lineRule="auto"/>
              <w:jc w:val="center"/>
              <w:rPr>
                <w:bCs/>
                <w:szCs w:val="21"/>
              </w:rPr>
            </w:pPr>
            <w:r>
              <w:rPr>
                <w:bCs/>
                <w:szCs w:val="21"/>
              </w:rPr>
              <w:t>8</w:t>
            </w:r>
          </w:p>
        </w:tc>
        <w:tc>
          <w:tcPr>
            <w:tcW w:w="930" w:type="dxa"/>
            <w:vAlign w:val="center"/>
          </w:tcPr>
          <w:p w:rsidR="00475650" w:rsidRDefault="00475650">
            <w:pPr>
              <w:snapToGrid w:val="0"/>
              <w:spacing w:line="216" w:lineRule="auto"/>
              <w:jc w:val="center"/>
              <w:rPr>
                <w:bCs/>
                <w:szCs w:val="21"/>
              </w:rPr>
            </w:pPr>
            <w:r>
              <w:rPr>
                <w:bCs/>
                <w:szCs w:val="21"/>
              </w:rPr>
              <w:t>8</w:t>
            </w:r>
          </w:p>
        </w:tc>
        <w:tc>
          <w:tcPr>
            <w:tcW w:w="1236" w:type="dxa"/>
            <w:vAlign w:val="center"/>
          </w:tcPr>
          <w:p w:rsidR="00475650" w:rsidRDefault="00475650">
            <w:pPr>
              <w:snapToGrid w:val="0"/>
              <w:spacing w:line="216" w:lineRule="auto"/>
              <w:jc w:val="center"/>
              <w:rPr>
                <w:bCs/>
                <w:szCs w:val="21"/>
              </w:rPr>
            </w:pPr>
            <w:r>
              <w:rPr>
                <w:bCs/>
                <w:szCs w:val="21"/>
              </w:rPr>
              <w:t>9</w:t>
            </w:r>
          </w:p>
        </w:tc>
        <w:tc>
          <w:tcPr>
            <w:tcW w:w="855" w:type="dxa"/>
            <w:vMerge/>
            <w:vAlign w:val="center"/>
          </w:tcPr>
          <w:p w:rsidR="00475650" w:rsidRDefault="00475650">
            <w:pPr>
              <w:snapToGrid w:val="0"/>
              <w:spacing w:line="216" w:lineRule="auto"/>
              <w:jc w:val="center"/>
              <w:rPr>
                <w:bCs/>
                <w:szCs w:val="21"/>
              </w:rPr>
            </w:pPr>
          </w:p>
        </w:tc>
        <w:tc>
          <w:tcPr>
            <w:tcW w:w="641" w:type="dxa"/>
            <w:vAlign w:val="center"/>
          </w:tcPr>
          <w:p w:rsidR="00475650" w:rsidRDefault="00475650">
            <w:pPr>
              <w:snapToGrid w:val="0"/>
              <w:spacing w:line="216" w:lineRule="auto"/>
              <w:jc w:val="center"/>
              <w:rPr>
                <w:szCs w:val="21"/>
              </w:rPr>
            </w:pPr>
            <w:r>
              <w:rPr>
                <w:bCs/>
                <w:szCs w:val="21"/>
              </w:rPr>
              <w:t>/</w:t>
            </w:r>
          </w:p>
        </w:tc>
      </w:tr>
      <w:tr w:rsidR="00475650">
        <w:trPr>
          <w:jc w:val="center"/>
        </w:trPr>
        <w:tc>
          <w:tcPr>
            <w:tcW w:w="597" w:type="dxa"/>
            <w:vMerge/>
            <w:vAlign w:val="center"/>
          </w:tcPr>
          <w:p w:rsidR="00475650" w:rsidRDefault="00475650">
            <w:pPr>
              <w:adjustRightInd w:val="0"/>
              <w:snapToGrid w:val="0"/>
              <w:spacing w:line="216" w:lineRule="auto"/>
              <w:jc w:val="center"/>
              <w:rPr>
                <w:szCs w:val="21"/>
              </w:rPr>
            </w:pPr>
          </w:p>
        </w:tc>
        <w:tc>
          <w:tcPr>
            <w:tcW w:w="856" w:type="dxa"/>
            <w:vMerge w:val="restart"/>
            <w:vAlign w:val="center"/>
          </w:tcPr>
          <w:p w:rsidR="00475650" w:rsidRDefault="00475650">
            <w:pPr>
              <w:adjustRightInd w:val="0"/>
              <w:snapToGrid w:val="0"/>
              <w:spacing w:line="216" w:lineRule="auto"/>
              <w:ind w:leftChars="-50" w:left="-105" w:rightChars="-50" w:right="-105"/>
              <w:jc w:val="center"/>
              <w:rPr>
                <w:szCs w:val="21"/>
              </w:rPr>
            </w:pPr>
            <w:r>
              <w:rPr>
                <w:rFonts w:hAnsi="宋体"/>
                <w:szCs w:val="21"/>
              </w:rPr>
              <w:t>化学需氧量</w:t>
            </w: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第一天</w:t>
            </w:r>
          </w:p>
        </w:tc>
        <w:tc>
          <w:tcPr>
            <w:tcW w:w="930" w:type="dxa"/>
            <w:vAlign w:val="center"/>
          </w:tcPr>
          <w:p w:rsidR="00475650" w:rsidRDefault="00475650">
            <w:pPr>
              <w:snapToGrid w:val="0"/>
              <w:spacing w:line="216" w:lineRule="auto"/>
              <w:jc w:val="center"/>
              <w:rPr>
                <w:bCs/>
                <w:szCs w:val="21"/>
              </w:rPr>
            </w:pPr>
            <w:r>
              <w:rPr>
                <w:bCs/>
                <w:szCs w:val="21"/>
              </w:rPr>
              <w:t>45.7</w:t>
            </w:r>
          </w:p>
        </w:tc>
        <w:tc>
          <w:tcPr>
            <w:tcW w:w="930" w:type="dxa"/>
            <w:vAlign w:val="center"/>
          </w:tcPr>
          <w:p w:rsidR="00475650" w:rsidRDefault="00475650">
            <w:pPr>
              <w:snapToGrid w:val="0"/>
              <w:spacing w:line="216" w:lineRule="auto"/>
              <w:jc w:val="center"/>
              <w:rPr>
                <w:bCs/>
                <w:szCs w:val="21"/>
              </w:rPr>
            </w:pPr>
            <w:r>
              <w:rPr>
                <w:bCs/>
                <w:szCs w:val="21"/>
              </w:rPr>
              <w:t>38.7</w:t>
            </w:r>
          </w:p>
        </w:tc>
        <w:tc>
          <w:tcPr>
            <w:tcW w:w="930" w:type="dxa"/>
            <w:vAlign w:val="center"/>
          </w:tcPr>
          <w:p w:rsidR="00475650" w:rsidRDefault="00475650">
            <w:pPr>
              <w:snapToGrid w:val="0"/>
              <w:spacing w:line="216" w:lineRule="auto"/>
              <w:jc w:val="center"/>
              <w:rPr>
                <w:bCs/>
                <w:szCs w:val="21"/>
              </w:rPr>
            </w:pPr>
            <w:r>
              <w:rPr>
                <w:bCs/>
                <w:szCs w:val="21"/>
              </w:rPr>
              <w:t>32.7</w:t>
            </w:r>
          </w:p>
        </w:tc>
        <w:tc>
          <w:tcPr>
            <w:tcW w:w="930" w:type="dxa"/>
            <w:vAlign w:val="center"/>
          </w:tcPr>
          <w:p w:rsidR="00475650" w:rsidRDefault="00475650">
            <w:pPr>
              <w:snapToGrid w:val="0"/>
              <w:spacing w:line="216" w:lineRule="auto"/>
              <w:jc w:val="center"/>
              <w:rPr>
                <w:bCs/>
                <w:szCs w:val="21"/>
              </w:rPr>
            </w:pPr>
            <w:r>
              <w:rPr>
                <w:bCs/>
                <w:szCs w:val="21"/>
              </w:rPr>
              <w:t>49.3</w:t>
            </w:r>
          </w:p>
        </w:tc>
        <w:tc>
          <w:tcPr>
            <w:tcW w:w="1236" w:type="dxa"/>
            <w:vAlign w:val="center"/>
          </w:tcPr>
          <w:p w:rsidR="00475650" w:rsidRDefault="00475650">
            <w:pPr>
              <w:snapToGrid w:val="0"/>
              <w:spacing w:line="216" w:lineRule="auto"/>
              <w:jc w:val="center"/>
              <w:rPr>
                <w:bCs/>
                <w:szCs w:val="21"/>
              </w:rPr>
            </w:pPr>
            <w:r>
              <w:rPr>
                <w:bCs/>
                <w:szCs w:val="21"/>
              </w:rPr>
              <w:t>41.6</w:t>
            </w:r>
          </w:p>
        </w:tc>
        <w:tc>
          <w:tcPr>
            <w:tcW w:w="855" w:type="dxa"/>
            <w:vMerge w:val="restart"/>
            <w:vAlign w:val="center"/>
          </w:tcPr>
          <w:p w:rsidR="00475650" w:rsidRDefault="00475650">
            <w:pPr>
              <w:snapToGrid w:val="0"/>
              <w:spacing w:line="216" w:lineRule="auto"/>
              <w:jc w:val="center"/>
              <w:rPr>
                <w:szCs w:val="21"/>
              </w:rPr>
            </w:pPr>
            <w:r>
              <w:rPr>
                <w:bCs/>
                <w:szCs w:val="21"/>
              </w:rPr>
              <w:t>/</w:t>
            </w:r>
          </w:p>
        </w:tc>
        <w:tc>
          <w:tcPr>
            <w:tcW w:w="641" w:type="dxa"/>
            <w:vAlign w:val="center"/>
          </w:tcPr>
          <w:p w:rsidR="00475650" w:rsidRDefault="00475650">
            <w:pPr>
              <w:snapToGrid w:val="0"/>
              <w:spacing w:line="216" w:lineRule="auto"/>
              <w:jc w:val="center"/>
              <w:rPr>
                <w:szCs w:val="21"/>
              </w:rPr>
            </w:pPr>
            <w:r>
              <w:rPr>
                <w:bCs/>
                <w:szCs w:val="21"/>
              </w:rPr>
              <w:t>/</w:t>
            </w:r>
          </w:p>
        </w:tc>
      </w:tr>
      <w:tr w:rsidR="00475650">
        <w:trPr>
          <w:jc w:val="center"/>
        </w:trPr>
        <w:tc>
          <w:tcPr>
            <w:tcW w:w="597" w:type="dxa"/>
            <w:vMerge/>
            <w:vAlign w:val="center"/>
          </w:tcPr>
          <w:p w:rsidR="00475650" w:rsidRDefault="00475650">
            <w:pPr>
              <w:adjustRightInd w:val="0"/>
              <w:snapToGrid w:val="0"/>
              <w:spacing w:line="216" w:lineRule="auto"/>
              <w:jc w:val="center"/>
              <w:rPr>
                <w:szCs w:val="21"/>
              </w:rPr>
            </w:pPr>
          </w:p>
        </w:tc>
        <w:tc>
          <w:tcPr>
            <w:tcW w:w="856" w:type="dxa"/>
            <w:vMerge/>
            <w:vAlign w:val="center"/>
          </w:tcPr>
          <w:p w:rsidR="00475650" w:rsidRDefault="00475650">
            <w:pPr>
              <w:adjustRightInd w:val="0"/>
              <w:snapToGrid w:val="0"/>
              <w:spacing w:line="216" w:lineRule="auto"/>
              <w:jc w:val="center"/>
              <w:rPr>
                <w:szCs w:val="21"/>
              </w:rPr>
            </w:pP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第二天</w:t>
            </w:r>
          </w:p>
        </w:tc>
        <w:tc>
          <w:tcPr>
            <w:tcW w:w="930" w:type="dxa"/>
            <w:vAlign w:val="center"/>
          </w:tcPr>
          <w:p w:rsidR="00475650" w:rsidRDefault="00475650">
            <w:pPr>
              <w:snapToGrid w:val="0"/>
              <w:spacing w:line="216" w:lineRule="auto"/>
              <w:jc w:val="center"/>
              <w:rPr>
                <w:bCs/>
                <w:szCs w:val="21"/>
              </w:rPr>
            </w:pPr>
            <w:r>
              <w:rPr>
                <w:bCs/>
                <w:szCs w:val="21"/>
              </w:rPr>
              <w:t>41.8</w:t>
            </w:r>
          </w:p>
        </w:tc>
        <w:tc>
          <w:tcPr>
            <w:tcW w:w="930" w:type="dxa"/>
            <w:vAlign w:val="center"/>
          </w:tcPr>
          <w:p w:rsidR="00475650" w:rsidRDefault="00475650">
            <w:pPr>
              <w:snapToGrid w:val="0"/>
              <w:spacing w:line="216" w:lineRule="auto"/>
              <w:jc w:val="center"/>
              <w:rPr>
                <w:bCs/>
                <w:szCs w:val="21"/>
              </w:rPr>
            </w:pPr>
            <w:r>
              <w:rPr>
                <w:bCs/>
                <w:szCs w:val="21"/>
              </w:rPr>
              <w:t>25.2</w:t>
            </w:r>
          </w:p>
        </w:tc>
        <w:tc>
          <w:tcPr>
            <w:tcW w:w="930" w:type="dxa"/>
            <w:vAlign w:val="center"/>
          </w:tcPr>
          <w:p w:rsidR="00475650" w:rsidRDefault="00475650">
            <w:pPr>
              <w:snapToGrid w:val="0"/>
              <w:spacing w:line="216" w:lineRule="auto"/>
              <w:jc w:val="center"/>
              <w:rPr>
                <w:bCs/>
                <w:szCs w:val="21"/>
              </w:rPr>
            </w:pPr>
            <w:r>
              <w:rPr>
                <w:bCs/>
                <w:szCs w:val="21"/>
              </w:rPr>
              <w:t>30.8</w:t>
            </w:r>
          </w:p>
        </w:tc>
        <w:tc>
          <w:tcPr>
            <w:tcW w:w="930" w:type="dxa"/>
            <w:vAlign w:val="center"/>
          </w:tcPr>
          <w:p w:rsidR="00475650" w:rsidRDefault="00475650">
            <w:pPr>
              <w:snapToGrid w:val="0"/>
              <w:spacing w:line="216" w:lineRule="auto"/>
              <w:jc w:val="center"/>
              <w:rPr>
                <w:bCs/>
                <w:szCs w:val="21"/>
              </w:rPr>
            </w:pPr>
            <w:r>
              <w:rPr>
                <w:bCs/>
                <w:szCs w:val="21"/>
              </w:rPr>
              <w:t>36.9</w:t>
            </w:r>
          </w:p>
        </w:tc>
        <w:tc>
          <w:tcPr>
            <w:tcW w:w="1236" w:type="dxa"/>
            <w:vAlign w:val="center"/>
          </w:tcPr>
          <w:p w:rsidR="00475650" w:rsidRDefault="00475650">
            <w:pPr>
              <w:snapToGrid w:val="0"/>
              <w:spacing w:line="216" w:lineRule="auto"/>
              <w:jc w:val="center"/>
              <w:rPr>
                <w:bCs/>
                <w:szCs w:val="21"/>
              </w:rPr>
            </w:pPr>
            <w:r>
              <w:rPr>
                <w:bCs/>
                <w:szCs w:val="21"/>
              </w:rPr>
              <w:t>33.7</w:t>
            </w:r>
          </w:p>
        </w:tc>
        <w:tc>
          <w:tcPr>
            <w:tcW w:w="855" w:type="dxa"/>
            <w:vMerge/>
            <w:vAlign w:val="center"/>
          </w:tcPr>
          <w:p w:rsidR="00475650" w:rsidRDefault="00475650">
            <w:pPr>
              <w:snapToGrid w:val="0"/>
              <w:spacing w:line="216" w:lineRule="auto"/>
              <w:jc w:val="center"/>
              <w:rPr>
                <w:bCs/>
                <w:szCs w:val="21"/>
              </w:rPr>
            </w:pPr>
          </w:p>
        </w:tc>
        <w:tc>
          <w:tcPr>
            <w:tcW w:w="641" w:type="dxa"/>
            <w:vAlign w:val="center"/>
          </w:tcPr>
          <w:p w:rsidR="00475650" w:rsidRDefault="00475650">
            <w:pPr>
              <w:snapToGrid w:val="0"/>
              <w:spacing w:line="216" w:lineRule="auto"/>
              <w:jc w:val="center"/>
              <w:rPr>
                <w:szCs w:val="21"/>
              </w:rPr>
            </w:pPr>
            <w:r>
              <w:rPr>
                <w:bCs/>
                <w:szCs w:val="21"/>
              </w:rPr>
              <w:t>/</w:t>
            </w:r>
          </w:p>
        </w:tc>
      </w:tr>
      <w:tr w:rsidR="00475650">
        <w:trPr>
          <w:jc w:val="center"/>
        </w:trPr>
        <w:tc>
          <w:tcPr>
            <w:tcW w:w="597" w:type="dxa"/>
            <w:vMerge/>
            <w:vAlign w:val="center"/>
          </w:tcPr>
          <w:p w:rsidR="00475650" w:rsidRDefault="00475650">
            <w:pPr>
              <w:adjustRightInd w:val="0"/>
              <w:snapToGrid w:val="0"/>
              <w:spacing w:line="216" w:lineRule="auto"/>
              <w:jc w:val="center"/>
              <w:rPr>
                <w:szCs w:val="21"/>
              </w:rPr>
            </w:pPr>
          </w:p>
        </w:tc>
        <w:tc>
          <w:tcPr>
            <w:tcW w:w="856" w:type="dxa"/>
            <w:vMerge w:val="restart"/>
            <w:vAlign w:val="center"/>
          </w:tcPr>
          <w:p w:rsidR="00475650" w:rsidRDefault="00475650">
            <w:pPr>
              <w:adjustRightInd w:val="0"/>
              <w:snapToGrid w:val="0"/>
              <w:spacing w:line="216" w:lineRule="auto"/>
              <w:jc w:val="center"/>
              <w:rPr>
                <w:szCs w:val="21"/>
              </w:rPr>
            </w:pPr>
            <w:r>
              <w:rPr>
                <w:rFonts w:hAnsi="宋体"/>
                <w:szCs w:val="21"/>
              </w:rPr>
              <w:t>氨氮</w:t>
            </w: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第一天</w:t>
            </w:r>
          </w:p>
        </w:tc>
        <w:tc>
          <w:tcPr>
            <w:tcW w:w="930" w:type="dxa"/>
            <w:vAlign w:val="center"/>
          </w:tcPr>
          <w:p w:rsidR="00475650" w:rsidRDefault="00475650">
            <w:pPr>
              <w:snapToGrid w:val="0"/>
              <w:spacing w:line="216" w:lineRule="auto"/>
              <w:jc w:val="center"/>
              <w:rPr>
                <w:bCs/>
                <w:szCs w:val="21"/>
              </w:rPr>
            </w:pPr>
            <w:r>
              <w:rPr>
                <w:bCs/>
                <w:szCs w:val="21"/>
              </w:rPr>
              <w:t>0.36</w:t>
            </w:r>
          </w:p>
        </w:tc>
        <w:tc>
          <w:tcPr>
            <w:tcW w:w="930" w:type="dxa"/>
            <w:vAlign w:val="center"/>
          </w:tcPr>
          <w:p w:rsidR="00475650" w:rsidRDefault="00475650">
            <w:pPr>
              <w:snapToGrid w:val="0"/>
              <w:spacing w:line="216" w:lineRule="auto"/>
              <w:jc w:val="center"/>
              <w:rPr>
                <w:bCs/>
                <w:szCs w:val="21"/>
              </w:rPr>
            </w:pPr>
            <w:r>
              <w:rPr>
                <w:bCs/>
                <w:szCs w:val="21"/>
              </w:rPr>
              <w:t>0.34</w:t>
            </w:r>
          </w:p>
        </w:tc>
        <w:tc>
          <w:tcPr>
            <w:tcW w:w="930" w:type="dxa"/>
            <w:vAlign w:val="center"/>
          </w:tcPr>
          <w:p w:rsidR="00475650" w:rsidRDefault="00475650">
            <w:pPr>
              <w:snapToGrid w:val="0"/>
              <w:spacing w:line="216" w:lineRule="auto"/>
              <w:jc w:val="center"/>
              <w:rPr>
                <w:bCs/>
                <w:szCs w:val="21"/>
              </w:rPr>
            </w:pPr>
            <w:r>
              <w:rPr>
                <w:bCs/>
                <w:szCs w:val="21"/>
              </w:rPr>
              <w:t>0.43</w:t>
            </w:r>
          </w:p>
        </w:tc>
        <w:tc>
          <w:tcPr>
            <w:tcW w:w="930" w:type="dxa"/>
            <w:vAlign w:val="center"/>
          </w:tcPr>
          <w:p w:rsidR="00475650" w:rsidRDefault="00475650">
            <w:pPr>
              <w:snapToGrid w:val="0"/>
              <w:spacing w:line="216" w:lineRule="auto"/>
              <w:jc w:val="center"/>
              <w:rPr>
                <w:bCs/>
                <w:szCs w:val="21"/>
              </w:rPr>
            </w:pPr>
            <w:r>
              <w:rPr>
                <w:bCs/>
                <w:szCs w:val="21"/>
              </w:rPr>
              <w:t>0.45</w:t>
            </w:r>
          </w:p>
        </w:tc>
        <w:tc>
          <w:tcPr>
            <w:tcW w:w="1236" w:type="dxa"/>
            <w:vAlign w:val="center"/>
          </w:tcPr>
          <w:p w:rsidR="00475650" w:rsidRDefault="00475650">
            <w:pPr>
              <w:snapToGrid w:val="0"/>
              <w:spacing w:line="216" w:lineRule="auto"/>
              <w:jc w:val="center"/>
              <w:rPr>
                <w:bCs/>
                <w:szCs w:val="21"/>
              </w:rPr>
            </w:pPr>
            <w:r>
              <w:rPr>
                <w:bCs/>
                <w:szCs w:val="21"/>
              </w:rPr>
              <w:t>0.40</w:t>
            </w:r>
          </w:p>
        </w:tc>
        <w:tc>
          <w:tcPr>
            <w:tcW w:w="855" w:type="dxa"/>
            <w:vMerge w:val="restart"/>
            <w:vAlign w:val="center"/>
          </w:tcPr>
          <w:p w:rsidR="00475650" w:rsidRDefault="00475650">
            <w:pPr>
              <w:snapToGrid w:val="0"/>
              <w:spacing w:line="216" w:lineRule="auto"/>
              <w:jc w:val="center"/>
              <w:rPr>
                <w:szCs w:val="21"/>
              </w:rPr>
            </w:pPr>
            <w:r>
              <w:rPr>
                <w:bCs/>
                <w:szCs w:val="21"/>
              </w:rPr>
              <w:t>/</w:t>
            </w:r>
          </w:p>
        </w:tc>
        <w:tc>
          <w:tcPr>
            <w:tcW w:w="641" w:type="dxa"/>
            <w:vAlign w:val="center"/>
          </w:tcPr>
          <w:p w:rsidR="00475650" w:rsidRDefault="00475650">
            <w:pPr>
              <w:snapToGrid w:val="0"/>
              <w:spacing w:line="216" w:lineRule="auto"/>
              <w:jc w:val="center"/>
              <w:rPr>
                <w:szCs w:val="21"/>
              </w:rPr>
            </w:pPr>
            <w:r>
              <w:rPr>
                <w:bCs/>
                <w:szCs w:val="21"/>
              </w:rPr>
              <w:t>/</w:t>
            </w:r>
          </w:p>
        </w:tc>
      </w:tr>
      <w:tr w:rsidR="00475650">
        <w:trPr>
          <w:jc w:val="center"/>
        </w:trPr>
        <w:tc>
          <w:tcPr>
            <w:tcW w:w="597" w:type="dxa"/>
            <w:vMerge/>
            <w:vAlign w:val="center"/>
          </w:tcPr>
          <w:p w:rsidR="00475650" w:rsidRDefault="00475650">
            <w:pPr>
              <w:adjustRightInd w:val="0"/>
              <w:snapToGrid w:val="0"/>
              <w:spacing w:line="216" w:lineRule="auto"/>
              <w:jc w:val="center"/>
              <w:rPr>
                <w:szCs w:val="21"/>
              </w:rPr>
            </w:pPr>
          </w:p>
        </w:tc>
        <w:tc>
          <w:tcPr>
            <w:tcW w:w="856" w:type="dxa"/>
            <w:vMerge/>
            <w:vAlign w:val="center"/>
          </w:tcPr>
          <w:p w:rsidR="00475650" w:rsidRDefault="00475650">
            <w:pPr>
              <w:adjustRightInd w:val="0"/>
              <w:snapToGrid w:val="0"/>
              <w:spacing w:line="216" w:lineRule="auto"/>
              <w:jc w:val="center"/>
              <w:rPr>
                <w:szCs w:val="21"/>
              </w:rPr>
            </w:pP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第二天</w:t>
            </w:r>
          </w:p>
        </w:tc>
        <w:tc>
          <w:tcPr>
            <w:tcW w:w="930" w:type="dxa"/>
            <w:vAlign w:val="center"/>
          </w:tcPr>
          <w:p w:rsidR="00475650" w:rsidRDefault="00475650">
            <w:pPr>
              <w:snapToGrid w:val="0"/>
              <w:spacing w:line="216" w:lineRule="auto"/>
              <w:jc w:val="center"/>
              <w:rPr>
                <w:bCs/>
                <w:szCs w:val="21"/>
              </w:rPr>
            </w:pPr>
            <w:r>
              <w:rPr>
                <w:bCs/>
                <w:szCs w:val="21"/>
              </w:rPr>
              <w:t>0.36</w:t>
            </w:r>
          </w:p>
        </w:tc>
        <w:tc>
          <w:tcPr>
            <w:tcW w:w="930" w:type="dxa"/>
            <w:vAlign w:val="center"/>
          </w:tcPr>
          <w:p w:rsidR="00475650" w:rsidRDefault="00475650">
            <w:pPr>
              <w:snapToGrid w:val="0"/>
              <w:spacing w:line="216" w:lineRule="auto"/>
              <w:jc w:val="center"/>
              <w:rPr>
                <w:bCs/>
                <w:szCs w:val="21"/>
              </w:rPr>
            </w:pPr>
            <w:r>
              <w:rPr>
                <w:bCs/>
                <w:szCs w:val="21"/>
              </w:rPr>
              <w:t>0.30</w:t>
            </w:r>
          </w:p>
        </w:tc>
        <w:tc>
          <w:tcPr>
            <w:tcW w:w="930" w:type="dxa"/>
            <w:vAlign w:val="center"/>
          </w:tcPr>
          <w:p w:rsidR="00475650" w:rsidRDefault="00475650">
            <w:pPr>
              <w:snapToGrid w:val="0"/>
              <w:spacing w:line="216" w:lineRule="auto"/>
              <w:jc w:val="center"/>
              <w:rPr>
                <w:bCs/>
                <w:szCs w:val="21"/>
              </w:rPr>
            </w:pPr>
            <w:r>
              <w:rPr>
                <w:bCs/>
                <w:szCs w:val="21"/>
              </w:rPr>
              <w:t>0.38</w:t>
            </w:r>
          </w:p>
        </w:tc>
        <w:tc>
          <w:tcPr>
            <w:tcW w:w="930" w:type="dxa"/>
            <w:vAlign w:val="center"/>
          </w:tcPr>
          <w:p w:rsidR="00475650" w:rsidRDefault="00475650">
            <w:pPr>
              <w:snapToGrid w:val="0"/>
              <w:spacing w:line="216" w:lineRule="auto"/>
              <w:jc w:val="center"/>
              <w:rPr>
                <w:bCs/>
                <w:szCs w:val="21"/>
              </w:rPr>
            </w:pPr>
            <w:r>
              <w:rPr>
                <w:bCs/>
                <w:szCs w:val="21"/>
              </w:rPr>
              <w:t>0.32</w:t>
            </w:r>
          </w:p>
        </w:tc>
        <w:tc>
          <w:tcPr>
            <w:tcW w:w="1236" w:type="dxa"/>
            <w:vAlign w:val="center"/>
          </w:tcPr>
          <w:p w:rsidR="00475650" w:rsidRDefault="00475650">
            <w:pPr>
              <w:snapToGrid w:val="0"/>
              <w:spacing w:line="216" w:lineRule="auto"/>
              <w:jc w:val="center"/>
              <w:rPr>
                <w:bCs/>
                <w:szCs w:val="21"/>
              </w:rPr>
            </w:pPr>
            <w:r>
              <w:rPr>
                <w:bCs/>
                <w:szCs w:val="21"/>
              </w:rPr>
              <w:t>0.34</w:t>
            </w:r>
          </w:p>
        </w:tc>
        <w:tc>
          <w:tcPr>
            <w:tcW w:w="855" w:type="dxa"/>
            <w:vMerge/>
            <w:vAlign w:val="center"/>
          </w:tcPr>
          <w:p w:rsidR="00475650" w:rsidRDefault="00475650">
            <w:pPr>
              <w:snapToGrid w:val="0"/>
              <w:spacing w:line="216" w:lineRule="auto"/>
              <w:jc w:val="center"/>
              <w:rPr>
                <w:bCs/>
                <w:szCs w:val="21"/>
              </w:rPr>
            </w:pPr>
          </w:p>
        </w:tc>
        <w:tc>
          <w:tcPr>
            <w:tcW w:w="641" w:type="dxa"/>
            <w:vAlign w:val="center"/>
          </w:tcPr>
          <w:p w:rsidR="00475650" w:rsidRDefault="00475650">
            <w:pPr>
              <w:snapToGrid w:val="0"/>
              <w:spacing w:line="216" w:lineRule="auto"/>
              <w:jc w:val="center"/>
              <w:rPr>
                <w:szCs w:val="21"/>
              </w:rPr>
            </w:pPr>
            <w:r>
              <w:rPr>
                <w:bCs/>
                <w:szCs w:val="21"/>
              </w:rPr>
              <w:t>/</w:t>
            </w:r>
          </w:p>
        </w:tc>
      </w:tr>
      <w:tr w:rsidR="00475650">
        <w:trPr>
          <w:jc w:val="center"/>
        </w:trPr>
        <w:tc>
          <w:tcPr>
            <w:tcW w:w="597" w:type="dxa"/>
            <w:vMerge/>
            <w:vAlign w:val="center"/>
          </w:tcPr>
          <w:p w:rsidR="00475650" w:rsidRDefault="00475650">
            <w:pPr>
              <w:adjustRightInd w:val="0"/>
              <w:snapToGrid w:val="0"/>
              <w:spacing w:line="216" w:lineRule="auto"/>
              <w:jc w:val="center"/>
              <w:rPr>
                <w:szCs w:val="21"/>
              </w:rPr>
            </w:pPr>
          </w:p>
        </w:tc>
        <w:tc>
          <w:tcPr>
            <w:tcW w:w="856" w:type="dxa"/>
            <w:vMerge w:val="restart"/>
            <w:vAlign w:val="center"/>
          </w:tcPr>
          <w:p w:rsidR="00475650" w:rsidRDefault="00475650">
            <w:pPr>
              <w:adjustRightInd w:val="0"/>
              <w:snapToGrid w:val="0"/>
              <w:spacing w:line="216" w:lineRule="auto"/>
              <w:jc w:val="center"/>
              <w:rPr>
                <w:szCs w:val="21"/>
              </w:rPr>
            </w:pPr>
            <w:r>
              <w:rPr>
                <w:rFonts w:hAnsi="宋体"/>
                <w:szCs w:val="21"/>
              </w:rPr>
              <w:t>石油类</w:t>
            </w: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第一天</w:t>
            </w:r>
          </w:p>
        </w:tc>
        <w:tc>
          <w:tcPr>
            <w:tcW w:w="930" w:type="dxa"/>
            <w:vAlign w:val="center"/>
          </w:tcPr>
          <w:p w:rsidR="00475650" w:rsidRDefault="00475650">
            <w:pPr>
              <w:adjustRightInd w:val="0"/>
              <w:snapToGrid w:val="0"/>
              <w:spacing w:line="216" w:lineRule="auto"/>
              <w:jc w:val="center"/>
              <w:rPr>
                <w:bCs/>
                <w:szCs w:val="21"/>
              </w:rPr>
            </w:pPr>
            <w:r>
              <w:rPr>
                <w:bCs/>
                <w:szCs w:val="21"/>
              </w:rPr>
              <w:t>0.23</w:t>
            </w:r>
          </w:p>
        </w:tc>
        <w:tc>
          <w:tcPr>
            <w:tcW w:w="930" w:type="dxa"/>
            <w:vAlign w:val="center"/>
          </w:tcPr>
          <w:p w:rsidR="00475650" w:rsidRDefault="00475650">
            <w:pPr>
              <w:snapToGrid w:val="0"/>
              <w:spacing w:line="216" w:lineRule="auto"/>
              <w:jc w:val="center"/>
              <w:rPr>
                <w:bCs/>
                <w:szCs w:val="21"/>
              </w:rPr>
            </w:pPr>
            <w:r>
              <w:rPr>
                <w:bCs/>
                <w:szCs w:val="21"/>
              </w:rPr>
              <w:t>0.19</w:t>
            </w:r>
          </w:p>
        </w:tc>
        <w:tc>
          <w:tcPr>
            <w:tcW w:w="930" w:type="dxa"/>
            <w:vAlign w:val="center"/>
          </w:tcPr>
          <w:p w:rsidR="00475650" w:rsidRDefault="00475650">
            <w:pPr>
              <w:snapToGrid w:val="0"/>
              <w:spacing w:line="216" w:lineRule="auto"/>
              <w:jc w:val="center"/>
              <w:rPr>
                <w:bCs/>
                <w:szCs w:val="21"/>
              </w:rPr>
            </w:pPr>
            <w:r>
              <w:rPr>
                <w:bCs/>
                <w:szCs w:val="21"/>
              </w:rPr>
              <w:t>0.28</w:t>
            </w:r>
          </w:p>
        </w:tc>
        <w:tc>
          <w:tcPr>
            <w:tcW w:w="930" w:type="dxa"/>
            <w:vAlign w:val="center"/>
          </w:tcPr>
          <w:p w:rsidR="00475650" w:rsidRDefault="00475650">
            <w:pPr>
              <w:snapToGrid w:val="0"/>
              <w:spacing w:line="216" w:lineRule="auto"/>
              <w:jc w:val="center"/>
              <w:rPr>
                <w:bCs/>
                <w:szCs w:val="21"/>
              </w:rPr>
            </w:pPr>
            <w:r>
              <w:rPr>
                <w:bCs/>
                <w:szCs w:val="21"/>
              </w:rPr>
              <w:t>0.35</w:t>
            </w:r>
          </w:p>
        </w:tc>
        <w:tc>
          <w:tcPr>
            <w:tcW w:w="1236" w:type="dxa"/>
            <w:vAlign w:val="center"/>
          </w:tcPr>
          <w:p w:rsidR="00475650" w:rsidRDefault="00475650">
            <w:pPr>
              <w:adjustRightInd w:val="0"/>
              <w:snapToGrid w:val="0"/>
              <w:spacing w:line="216" w:lineRule="auto"/>
              <w:jc w:val="center"/>
              <w:rPr>
                <w:bCs/>
                <w:szCs w:val="21"/>
              </w:rPr>
            </w:pPr>
            <w:r>
              <w:rPr>
                <w:bCs/>
                <w:szCs w:val="21"/>
              </w:rPr>
              <w:t>0.26</w:t>
            </w:r>
          </w:p>
        </w:tc>
        <w:tc>
          <w:tcPr>
            <w:tcW w:w="855" w:type="dxa"/>
            <w:vMerge w:val="restart"/>
            <w:vAlign w:val="center"/>
          </w:tcPr>
          <w:p w:rsidR="00475650" w:rsidRDefault="00475650">
            <w:pPr>
              <w:snapToGrid w:val="0"/>
              <w:spacing w:line="216" w:lineRule="auto"/>
              <w:jc w:val="center"/>
              <w:rPr>
                <w:szCs w:val="21"/>
              </w:rPr>
            </w:pPr>
            <w:r>
              <w:rPr>
                <w:bCs/>
                <w:szCs w:val="21"/>
              </w:rPr>
              <w:t>/</w:t>
            </w:r>
          </w:p>
        </w:tc>
        <w:tc>
          <w:tcPr>
            <w:tcW w:w="641" w:type="dxa"/>
            <w:vAlign w:val="center"/>
          </w:tcPr>
          <w:p w:rsidR="00475650" w:rsidRDefault="00475650">
            <w:pPr>
              <w:snapToGrid w:val="0"/>
              <w:spacing w:line="216" w:lineRule="auto"/>
              <w:jc w:val="center"/>
              <w:rPr>
                <w:szCs w:val="21"/>
              </w:rPr>
            </w:pPr>
            <w:r>
              <w:rPr>
                <w:bCs/>
                <w:szCs w:val="21"/>
              </w:rPr>
              <w:t>/</w:t>
            </w:r>
          </w:p>
        </w:tc>
      </w:tr>
      <w:tr w:rsidR="00475650">
        <w:trPr>
          <w:jc w:val="center"/>
        </w:trPr>
        <w:tc>
          <w:tcPr>
            <w:tcW w:w="597" w:type="dxa"/>
            <w:vMerge/>
            <w:vAlign w:val="center"/>
          </w:tcPr>
          <w:p w:rsidR="00475650" w:rsidRDefault="00475650">
            <w:pPr>
              <w:adjustRightInd w:val="0"/>
              <w:snapToGrid w:val="0"/>
              <w:spacing w:line="216" w:lineRule="auto"/>
              <w:jc w:val="center"/>
              <w:rPr>
                <w:szCs w:val="21"/>
              </w:rPr>
            </w:pPr>
          </w:p>
        </w:tc>
        <w:tc>
          <w:tcPr>
            <w:tcW w:w="856" w:type="dxa"/>
            <w:vMerge/>
            <w:vAlign w:val="center"/>
          </w:tcPr>
          <w:p w:rsidR="00475650" w:rsidRDefault="00475650">
            <w:pPr>
              <w:adjustRightInd w:val="0"/>
              <w:snapToGrid w:val="0"/>
              <w:spacing w:line="216" w:lineRule="auto"/>
              <w:jc w:val="center"/>
              <w:rPr>
                <w:szCs w:val="21"/>
              </w:rPr>
            </w:pP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第二天</w:t>
            </w:r>
          </w:p>
        </w:tc>
        <w:tc>
          <w:tcPr>
            <w:tcW w:w="930" w:type="dxa"/>
            <w:vAlign w:val="center"/>
          </w:tcPr>
          <w:p w:rsidR="00475650" w:rsidRDefault="00475650">
            <w:pPr>
              <w:adjustRightInd w:val="0"/>
              <w:snapToGrid w:val="0"/>
              <w:spacing w:line="216" w:lineRule="auto"/>
              <w:jc w:val="center"/>
              <w:rPr>
                <w:bCs/>
                <w:szCs w:val="21"/>
              </w:rPr>
            </w:pPr>
            <w:r>
              <w:rPr>
                <w:bCs/>
                <w:szCs w:val="21"/>
              </w:rPr>
              <w:t>0.40</w:t>
            </w:r>
          </w:p>
        </w:tc>
        <w:tc>
          <w:tcPr>
            <w:tcW w:w="930" w:type="dxa"/>
            <w:vAlign w:val="center"/>
          </w:tcPr>
          <w:p w:rsidR="00475650" w:rsidRDefault="00475650">
            <w:pPr>
              <w:snapToGrid w:val="0"/>
              <w:spacing w:line="216" w:lineRule="auto"/>
              <w:jc w:val="center"/>
              <w:rPr>
                <w:bCs/>
                <w:szCs w:val="21"/>
              </w:rPr>
            </w:pPr>
            <w:r>
              <w:rPr>
                <w:bCs/>
                <w:szCs w:val="21"/>
              </w:rPr>
              <w:t>0.31</w:t>
            </w:r>
          </w:p>
        </w:tc>
        <w:tc>
          <w:tcPr>
            <w:tcW w:w="930" w:type="dxa"/>
            <w:vAlign w:val="center"/>
          </w:tcPr>
          <w:p w:rsidR="00475650" w:rsidRDefault="00475650">
            <w:pPr>
              <w:snapToGrid w:val="0"/>
              <w:spacing w:line="216" w:lineRule="auto"/>
              <w:jc w:val="center"/>
              <w:rPr>
                <w:bCs/>
                <w:szCs w:val="21"/>
              </w:rPr>
            </w:pPr>
            <w:r>
              <w:rPr>
                <w:bCs/>
                <w:szCs w:val="21"/>
              </w:rPr>
              <w:t>0.29</w:t>
            </w:r>
          </w:p>
        </w:tc>
        <w:tc>
          <w:tcPr>
            <w:tcW w:w="930" w:type="dxa"/>
            <w:vAlign w:val="center"/>
          </w:tcPr>
          <w:p w:rsidR="00475650" w:rsidRDefault="00475650">
            <w:pPr>
              <w:snapToGrid w:val="0"/>
              <w:spacing w:line="216" w:lineRule="auto"/>
              <w:jc w:val="center"/>
              <w:rPr>
                <w:bCs/>
                <w:szCs w:val="21"/>
              </w:rPr>
            </w:pPr>
            <w:r>
              <w:rPr>
                <w:bCs/>
                <w:szCs w:val="21"/>
              </w:rPr>
              <w:t>0.38</w:t>
            </w:r>
          </w:p>
        </w:tc>
        <w:tc>
          <w:tcPr>
            <w:tcW w:w="1236" w:type="dxa"/>
            <w:vAlign w:val="center"/>
          </w:tcPr>
          <w:p w:rsidR="00475650" w:rsidRDefault="00475650">
            <w:pPr>
              <w:adjustRightInd w:val="0"/>
              <w:snapToGrid w:val="0"/>
              <w:spacing w:line="216" w:lineRule="auto"/>
              <w:jc w:val="center"/>
              <w:rPr>
                <w:bCs/>
                <w:szCs w:val="21"/>
              </w:rPr>
            </w:pPr>
            <w:r>
              <w:rPr>
                <w:bCs/>
                <w:szCs w:val="21"/>
              </w:rPr>
              <w:t>0.35</w:t>
            </w:r>
          </w:p>
        </w:tc>
        <w:tc>
          <w:tcPr>
            <w:tcW w:w="855" w:type="dxa"/>
            <w:vMerge/>
            <w:vAlign w:val="center"/>
          </w:tcPr>
          <w:p w:rsidR="00475650" w:rsidRDefault="00475650">
            <w:pPr>
              <w:adjustRightInd w:val="0"/>
              <w:snapToGrid w:val="0"/>
              <w:spacing w:line="216" w:lineRule="auto"/>
              <w:jc w:val="center"/>
              <w:rPr>
                <w:bCs/>
                <w:szCs w:val="21"/>
              </w:rPr>
            </w:pPr>
          </w:p>
        </w:tc>
        <w:tc>
          <w:tcPr>
            <w:tcW w:w="641" w:type="dxa"/>
            <w:vAlign w:val="center"/>
          </w:tcPr>
          <w:p w:rsidR="00475650" w:rsidRDefault="00475650">
            <w:pPr>
              <w:snapToGrid w:val="0"/>
              <w:spacing w:line="216" w:lineRule="auto"/>
              <w:jc w:val="center"/>
              <w:rPr>
                <w:szCs w:val="21"/>
              </w:rPr>
            </w:pPr>
            <w:r>
              <w:rPr>
                <w:bCs/>
                <w:szCs w:val="21"/>
              </w:rPr>
              <w:t>/</w:t>
            </w:r>
          </w:p>
        </w:tc>
      </w:tr>
      <w:tr w:rsidR="00475650">
        <w:trPr>
          <w:jc w:val="center"/>
        </w:trPr>
        <w:tc>
          <w:tcPr>
            <w:tcW w:w="597" w:type="dxa"/>
            <w:vMerge/>
            <w:vAlign w:val="center"/>
          </w:tcPr>
          <w:p w:rsidR="00475650" w:rsidRDefault="00475650">
            <w:pPr>
              <w:adjustRightInd w:val="0"/>
              <w:snapToGrid w:val="0"/>
              <w:spacing w:line="216" w:lineRule="auto"/>
              <w:jc w:val="center"/>
              <w:rPr>
                <w:szCs w:val="21"/>
              </w:rPr>
            </w:pPr>
          </w:p>
        </w:tc>
        <w:tc>
          <w:tcPr>
            <w:tcW w:w="856" w:type="dxa"/>
            <w:vMerge w:val="restart"/>
            <w:vAlign w:val="center"/>
          </w:tcPr>
          <w:p w:rsidR="00475650" w:rsidRDefault="00475650">
            <w:pPr>
              <w:adjustRightInd w:val="0"/>
              <w:snapToGrid w:val="0"/>
              <w:spacing w:line="216" w:lineRule="auto"/>
              <w:jc w:val="center"/>
              <w:rPr>
                <w:szCs w:val="21"/>
              </w:rPr>
            </w:pPr>
            <w:r>
              <w:rPr>
                <w:rFonts w:hAnsi="宋体"/>
                <w:szCs w:val="21"/>
              </w:rPr>
              <w:t>总游离氯</w:t>
            </w: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第一天</w:t>
            </w:r>
          </w:p>
        </w:tc>
        <w:tc>
          <w:tcPr>
            <w:tcW w:w="930" w:type="dxa"/>
            <w:vAlign w:val="center"/>
          </w:tcPr>
          <w:p w:rsidR="00475650" w:rsidRDefault="00475650">
            <w:pPr>
              <w:adjustRightInd w:val="0"/>
              <w:snapToGrid w:val="0"/>
              <w:spacing w:line="216" w:lineRule="auto"/>
              <w:jc w:val="center"/>
              <w:rPr>
                <w:bCs/>
                <w:szCs w:val="21"/>
              </w:rPr>
            </w:pPr>
            <w:r>
              <w:rPr>
                <w:bCs/>
                <w:szCs w:val="21"/>
              </w:rPr>
              <w:t>0.03ND</w:t>
            </w:r>
          </w:p>
        </w:tc>
        <w:tc>
          <w:tcPr>
            <w:tcW w:w="930" w:type="dxa"/>
            <w:vAlign w:val="center"/>
          </w:tcPr>
          <w:p w:rsidR="00475650" w:rsidRDefault="00475650">
            <w:pPr>
              <w:snapToGrid w:val="0"/>
              <w:spacing w:line="216" w:lineRule="auto"/>
              <w:jc w:val="center"/>
              <w:rPr>
                <w:bCs/>
                <w:szCs w:val="21"/>
              </w:rPr>
            </w:pPr>
            <w:r>
              <w:rPr>
                <w:bCs/>
                <w:szCs w:val="21"/>
              </w:rPr>
              <w:t>0.03ND</w:t>
            </w:r>
          </w:p>
        </w:tc>
        <w:tc>
          <w:tcPr>
            <w:tcW w:w="930" w:type="dxa"/>
            <w:vAlign w:val="center"/>
          </w:tcPr>
          <w:p w:rsidR="00475650" w:rsidRDefault="00475650">
            <w:pPr>
              <w:snapToGrid w:val="0"/>
              <w:spacing w:line="216" w:lineRule="auto"/>
              <w:jc w:val="center"/>
              <w:rPr>
                <w:bCs/>
                <w:szCs w:val="21"/>
              </w:rPr>
            </w:pPr>
            <w:r>
              <w:rPr>
                <w:bCs/>
                <w:szCs w:val="21"/>
              </w:rPr>
              <w:t>0.03ND</w:t>
            </w:r>
          </w:p>
        </w:tc>
        <w:tc>
          <w:tcPr>
            <w:tcW w:w="930" w:type="dxa"/>
            <w:vAlign w:val="center"/>
          </w:tcPr>
          <w:p w:rsidR="00475650" w:rsidRDefault="00475650">
            <w:pPr>
              <w:snapToGrid w:val="0"/>
              <w:spacing w:line="216" w:lineRule="auto"/>
              <w:jc w:val="center"/>
              <w:rPr>
                <w:bCs/>
                <w:szCs w:val="21"/>
              </w:rPr>
            </w:pPr>
            <w:r>
              <w:rPr>
                <w:bCs/>
                <w:szCs w:val="21"/>
              </w:rPr>
              <w:t>0.03ND</w:t>
            </w:r>
          </w:p>
        </w:tc>
        <w:tc>
          <w:tcPr>
            <w:tcW w:w="1236" w:type="dxa"/>
            <w:vAlign w:val="center"/>
          </w:tcPr>
          <w:p w:rsidR="00475650" w:rsidRDefault="00475650">
            <w:pPr>
              <w:adjustRightInd w:val="0"/>
              <w:snapToGrid w:val="0"/>
              <w:spacing w:line="216" w:lineRule="auto"/>
              <w:jc w:val="center"/>
              <w:rPr>
                <w:bCs/>
                <w:szCs w:val="21"/>
              </w:rPr>
            </w:pPr>
            <w:r>
              <w:rPr>
                <w:bCs/>
                <w:szCs w:val="21"/>
              </w:rPr>
              <w:t>0.03ND</w:t>
            </w:r>
          </w:p>
        </w:tc>
        <w:tc>
          <w:tcPr>
            <w:tcW w:w="855" w:type="dxa"/>
            <w:vMerge w:val="restart"/>
            <w:vAlign w:val="center"/>
          </w:tcPr>
          <w:p w:rsidR="00475650" w:rsidRDefault="00475650">
            <w:pPr>
              <w:snapToGrid w:val="0"/>
              <w:spacing w:line="216" w:lineRule="auto"/>
              <w:jc w:val="center"/>
              <w:rPr>
                <w:szCs w:val="21"/>
              </w:rPr>
            </w:pPr>
            <w:r>
              <w:rPr>
                <w:bCs/>
                <w:szCs w:val="21"/>
              </w:rPr>
              <w:t>/</w:t>
            </w:r>
          </w:p>
        </w:tc>
        <w:tc>
          <w:tcPr>
            <w:tcW w:w="641" w:type="dxa"/>
            <w:vAlign w:val="center"/>
          </w:tcPr>
          <w:p w:rsidR="00475650" w:rsidRDefault="00475650">
            <w:pPr>
              <w:snapToGrid w:val="0"/>
              <w:spacing w:line="216" w:lineRule="auto"/>
              <w:jc w:val="center"/>
              <w:rPr>
                <w:szCs w:val="21"/>
              </w:rPr>
            </w:pPr>
            <w:r>
              <w:rPr>
                <w:bCs/>
                <w:szCs w:val="21"/>
              </w:rPr>
              <w:t>/</w:t>
            </w:r>
          </w:p>
        </w:tc>
      </w:tr>
      <w:tr w:rsidR="00475650">
        <w:trPr>
          <w:jc w:val="center"/>
        </w:trPr>
        <w:tc>
          <w:tcPr>
            <w:tcW w:w="597" w:type="dxa"/>
            <w:vMerge/>
            <w:vAlign w:val="center"/>
          </w:tcPr>
          <w:p w:rsidR="00475650" w:rsidRDefault="00475650">
            <w:pPr>
              <w:adjustRightInd w:val="0"/>
              <w:snapToGrid w:val="0"/>
              <w:spacing w:line="216" w:lineRule="auto"/>
              <w:jc w:val="center"/>
              <w:rPr>
                <w:szCs w:val="21"/>
              </w:rPr>
            </w:pPr>
          </w:p>
        </w:tc>
        <w:tc>
          <w:tcPr>
            <w:tcW w:w="856" w:type="dxa"/>
            <w:vMerge/>
            <w:vAlign w:val="center"/>
          </w:tcPr>
          <w:p w:rsidR="00475650" w:rsidRDefault="00475650">
            <w:pPr>
              <w:adjustRightInd w:val="0"/>
              <w:snapToGrid w:val="0"/>
              <w:spacing w:line="216" w:lineRule="auto"/>
              <w:jc w:val="center"/>
              <w:rPr>
                <w:szCs w:val="21"/>
              </w:rPr>
            </w:pPr>
          </w:p>
        </w:tc>
        <w:tc>
          <w:tcPr>
            <w:tcW w:w="1041" w:type="dxa"/>
            <w:vAlign w:val="center"/>
          </w:tcPr>
          <w:p w:rsidR="00475650" w:rsidRDefault="00475650" w:rsidP="00BD74CB">
            <w:pPr>
              <w:adjustRightInd w:val="0"/>
              <w:snapToGrid w:val="0"/>
              <w:spacing w:beforeLines="8" w:afterLines="8" w:line="216" w:lineRule="auto"/>
              <w:ind w:leftChars="-50" w:left="-105" w:rightChars="-50" w:right="-105"/>
              <w:jc w:val="center"/>
              <w:rPr>
                <w:szCs w:val="21"/>
              </w:rPr>
            </w:pPr>
            <w:r>
              <w:rPr>
                <w:rFonts w:hAnsi="宋体"/>
                <w:szCs w:val="21"/>
              </w:rPr>
              <w:t>第二天</w:t>
            </w:r>
          </w:p>
        </w:tc>
        <w:tc>
          <w:tcPr>
            <w:tcW w:w="930" w:type="dxa"/>
            <w:vAlign w:val="center"/>
          </w:tcPr>
          <w:p w:rsidR="00475650" w:rsidRDefault="00475650">
            <w:pPr>
              <w:adjustRightInd w:val="0"/>
              <w:snapToGrid w:val="0"/>
              <w:spacing w:line="216" w:lineRule="auto"/>
              <w:jc w:val="center"/>
              <w:rPr>
                <w:bCs/>
                <w:szCs w:val="21"/>
              </w:rPr>
            </w:pPr>
            <w:r>
              <w:rPr>
                <w:bCs/>
                <w:szCs w:val="21"/>
              </w:rPr>
              <w:t>0.03ND</w:t>
            </w:r>
          </w:p>
        </w:tc>
        <w:tc>
          <w:tcPr>
            <w:tcW w:w="930" w:type="dxa"/>
            <w:vAlign w:val="center"/>
          </w:tcPr>
          <w:p w:rsidR="00475650" w:rsidRDefault="00475650">
            <w:pPr>
              <w:snapToGrid w:val="0"/>
              <w:spacing w:line="216" w:lineRule="auto"/>
              <w:jc w:val="center"/>
              <w:rPr>
                <w:bCs/>
                <w:szCs w:val="21"/>
              </w:rPr>
            </w:pPr>
            <w:r>
              <w:rPr>
                <w:bCs/>
                <w:szCs w:val="21"/>
              </w:rPr>
              <w:t>0.03ND</w:t>
            </w:r>
          </w:p>
        </w:tc>
        <w:tc>
          <w:tcPr>
            <w:tcW w:w="930" w:type="dxa"/>
            <w:vAlign w:val="center"/>
          </w:tcPr>
          <w:p w:rsidR="00475650" w:rsidRDefault="00475650">
            <w:pPr>
              <w:snapToGrid w:val="0"/>
              <w:spacing w:line="216" w:lineRule="auto"/>
              <w:jc w:val="center"/>
              <w:rPr>
                <w:bCs/>
                <w:szCs w:val="21"/>
              </w:rPr>
            </w:pPr>
            <w:r>
              <w:rPr>
                <w:bCs/>
                <w:szCs w:val="21"/>
              </w:rPr>
              <w:t>0.03ND</w:t>
            </w:r>
          </w:p>
        </w:tc>
        <w:tc>
          <w:tcPr>
            <w:tcW w:w="930" w:type="dxa"/>
            <w:vAlign w:val="center"/>
          </w:tcPr>
          <w:p w:rsidR="00475650" w:rsidRDefault="00475650">
            <w:pPr>
              <w:snapToGrid w:val="0"/>
              <w:spacing w:line="216" w:lineRule="auto"/>
              <w:jc w:val="center"/>
              <w:rPr>
                <w:bCs/>
                <w:szCs w:val="21"/>
              </w:rPr>
            </w:pPr>
            <w:r>
              <w:rPr>
                <w:bCs/>
                <w:szCs w:val="21"/>
              </w:rPr>
              <w:t>0.03ND</w:t>
            </w:r>
          </w:p>
        </w:tc>
        <w:tc>
          <w:tcPr>
            <w:tcW w:w="1236" w:type="dxa"/>
            <w:vAlign w:val="center"/>
          </w:tcPr>
          <w:p w:rsidR="00475650" w:rsidRDefault="00475650">
            <w:pPr>
              <w:adjustRightInd w:val="0"/>
              <w:snapToGrid w:val="0"/>
              <w:spacing w:line="216" w:lineRule="auto"/>
              <w:jc w:val="center"/>
              <w:rPr>
                <w:bCs/>
                <w:szCs w:val="21"/>
              </w:rPr>
            </w:pPr>
            <w:r>
              <w:rPr>
                <w:bCs/>
                <w:szCs w:val="21"/>
              </w:rPr>
              <w:t>0.03ND</w:t>
            </w:r>
          </w:p>
        </w:tc>
        <w:tc>
          <w:tcPr>
            <w:tcW w:w="855" w:type="dxa"/>
            <w:vMerge/>
            <w:vAlign w:val="center"/>
          </w:tcPr>
          <w:p w:rsidR="00475650" w:rsidRDefault="00475650">
            <w:pPr>
              <w:adjustRightInd w:val="0"/>
              <w:snapToGrid w:val="0"/>
              <w:spacing w:line="216" w:lineRule="auto"/>
              <w:jc w:val="center"/>
              <w:rPr>
                <w:bCs/>
                <w:szCs w:val="21"/>
              </w:rPr>
            </w:pPr>
          </w:p>
        </w:tc>
        <w:tc>
          <w:tcPr>
            <w:tcW w:w="641" w:type="dxa"/>
            <w:vAlign w:val="center"/>
          </w:tcPr>
          <w:p w:rsidR="00475650" w:rsidRDefault="00475650">
            <w:pPr>
              <w:snapToGrid w:val="0"/>
              <w:spacing w:line="216" w:lineRule="auto"/>
              <w:jc w:val="center"/>
              <w:rPr>
                <w:szCs w:val="21"/>
              </w:rPr>
            </w:pPr>
            <w:r>
              <w:rPr>
                <w:bCs/>
                <w:szCs w:val="21"/>
              </w:rPr>
              <w:t>/</w:t>
            </w:r>
          </w:p>
        </w:tc>
      </w:tr>
      <w:tr w:rsidR="00475650">
        <w:trPr>
          <w:jc w:val="center"/>
        </w:trPr>
        <w:tc>
          <w:tcPr>
            <w:tcW w:w="8946" w:type="dxa"/>
            <w:gridSpan w:val="10"/>
            <w:vAlign w:val="center"/>
          </w:tcPr>
          <w:p w:rsidR="00475650" w:rsidRDefault="00475650">
            <w:pPr>
              <w:snapToGrid w:val="0"/>
              <w:spacing w:line="216" w:lineRule="auto"/>
              <w:jc w:val="center"/>
              <w:rPr>
                <w:bCs/>
                <w:szCs w:val="21"/>
              </w:rPr>
            </w:pPr>
            <w:r>
              <w:rPr>
                <w:rFonts w:hAnsi="宋体"/>
                <w:bCs/>
                <w:szCs w:val="21"/>
              </w:rPr>
              <w:t>备注：</w:t>
            </w:r>
            <w:r>
              <w:rPr>
                <w:bCs/>
                <w:szCs w:val="21"/>
              </w:rPr>
              <w:t>ND</w:t>
            </w:r>
            <w:r>
              <w:rPr>
                <w:rFonts w:hAnsi="宋体"/>
                <w:bCs/>
                <w:szCs w:val="21"/>
              </w:rPr>
              <w:t>表示未检出。</w:t>
            </w:r>
          </w:p>
          <w:p w:rsidR="00475650" w:rsidRDefault="00475650">
            <w:pPr>
              <w:snapToGrid w:val="0"/>
              <w:spacing w:line="216" w:lineRule="auto"/>
              <w:jc w:val="center"/>
              <w:rPr>
                <w:bCs/>
                <w:szCs w:val="21"/>
              </w:rPr>
            </w:pPr>
            <w:r>
              <w:rPr>
                <w:bCs/>
                <w:szCs w:val="21"/>
              </w:rPr>
              <w:t>2015</w:t>
            </w:r>
            <w:r>
              <w:rPr>
                <w:rFonts w:hAnsi="宋体"/>
                <w:bCs/>
                <w:szCs w:val="21"/>
              </w:rPr>
              <w:t>年底取消生活污水外排口，泵送到隔油池后外排基地污水处理厂管网。</w:t>
            </w:r>
          </w:p>
        </w:tc>
      </w:tr>
    </w:tbl>
    <w:p w:rsidR="00475650" w:rsidRDefault="00475650">
      <w:pPr>
        <w:tabs>
          <w:tab w:val="left" w:pos="6858"/>
        </w:tabs>
        <w:snapToGrid w:val="0"/>
        <w:spacing w:line="360" w:lineRule="auto"/>
        <w:ind w:firstLineChars="200" w:firstLine="480"/>
        <w:jc w:val="center"/>
        <w:rPr>
          <w:sz w:val="24"/>
        </w:rPr>
      </w:pPr>
    </w:p>
    <w:p w:rsidR="00475650" w:rsidRDefault="00475650">
      <w:pPr>
        <w:pStyle w:val="33Char111H3BHeadBSH-3h33rdlevel"/>
        <w:outlineLvl w:val="0"/>
        <w:rPr>
          <w:b w:val="0"/>
        </w:rPr>
      </w:pPr>
      <w:bookmarkStart w:id="328" w:name="_Toc302936735"/>
      <w:bookmarkStart w:id="329" w:name="_Toc273462073"/>
      <w:bookmarkStart w:id="330" w:name="_Toc274984474"/>
      <w:bookmarkStart w:id="331" w:name="_Toc333229888"/>
      <w:bookmarkStart w:id="332" w:name="_Toc334080743"/>
      <w:bookmarkStart w:id="333" w:name="_Toc334014101"/>
      <w:bookmarkStart w:id="334" w:name="_Toc448999069"/>
      <w:bookmarkStart w:id="335" w:name="_Toc465676964"/>
      <w:bookmarkStart w:id="336" w:name="_Toc18433"/>
      <w:r>
        <w:rPr>
          <w:b w:val="0"/>
        </w:rPr>
        <w:lastRenderedPageBreak/>
        <w:t>2.1.2.3</w:t>
      </w:r>
      <w:r>
        <w:rPr>
          <w:rFonts w:hAnsi="宋体"/>
          <w:b w:val="0"/>
        </w:rPr>
        <w:t>固体废物</w:t>
      </w:r>
      <w:bookmarkEnd w:id="328"/>
      <w:bookmarkEnd w:id="329"/>
      <w:bookmarkEnd w:id="330"/>
      <w:bookmarkEnd w:id="331"/>
      <w:bookmarkEnd w:id="332"/>
      <w:bookmarkEnd w:id="333"/>
      <w:bookmarkEnd w:id="334"/>
      <w:bookmarkEnd w:id="335"/>
      <w:bookmarkEnd w:id="336"/>
      <w:r>
        <w:rPr>
          <w:b w:val="0"/>
        </w:rPr>
        <w:t xml:space="preserve"> </w:t>
      </w:r>
    </w:p>
    <w:p w:rsidR="00475650" w:rsidRDefault="00475650">
      <w:pPr>
        <w:tabs>
          <w:tab w:val="left" w:pos="484"/>
        </w:tabs>
        <w:autoSpaceDE w:val="0"/>
        <w:autoSpaceDN w:val="0"/>
        <w:adjustRightInd w:val="0"/>
        <w:snapToGrid w:val="0"/>
        <w:spacing w:line="348" w:lineRule="auto"/>
        <w:ind w:firstLineChars="200" w:firstLine="480"/>
        <w:rPr>
          <w:sz w:val="24"/>
        </w:rPr>
      </w:pPr>
      <w:r>
        <w:rPr>
          <w:rFonts w:hAnsi="宋体"/>
          <w:sz w:val="24"/>
        </w:rPr>
        <w:t>现有工程产生的固体废物为液氯汽化罐残液、隔油池废油及职工生活产生的生活垃圾</w:t>
      </w:r>
      <w:r>
        <w:rPr>
          <w:rFonts w:hAnsi="宋体" w:hint="eastAsia"/>
          <w:sz w:val="24"/>
        </w:rPr>
        <w:t>等</w:t>
      </w:r>
      <w:r>
        <w:rPr>
          <w:rFonts w:hAnsi="宋体"/>
          <w:sz w:val="24"/>
        </w:rPr>
        <w:t>。其处理处置情况见表</w:t>
      </w:r>
      <w:r>
        <w:rPr>
          <w:sz w:val="24"/>
        </w:rPr>
        <w:t>2.1-8</w:t>
      </w:r>
      <w:r>
        <w:rPr>
          <w:rFonts w:hAnsi="宋体"/>
          <w:sz w:val="24"/>
        </w:rPr>
        <w:t>。</w:t>
      </w:r>
    </w:p>
    <w:p w:rsidR="00475650" w:rsidRDefault="00475650">
      <w:pPr>
        <w:tabs>
          <w:tab w:val="left" w:pos="6858"/>
        </w:tabs>
        <w:snapToGrid w:val="0"/>
        <w:spacing w:line="360" w:lineRule="auto"/>
        <w:ind w:firstLineChars="200" w:firstLine="480"/>
        <w:jc w:val="center"/>
        <w:rPr>
          <w:sz w:val="24"/>
        </w:rPr>
      </w:pPr>
      <w:r>
        <w:rPr>
          <w:rFonts w:hAnsi="宋体"/>
          <w:sz w:val="24"/>
        </w:rPr>
        <w:t>表</w:t>
      </w:r>
      <w:r>
        <w:rPr>
          <w:sz w:val="24"/>
        </w:rPr>
        <w:t xml:space="preserve">2.1-8  </w:t>
      </w:r>
      <w:r>
        <w:rPr>
          <w:rFonts w:hAnsi="宋体"/>
          <w:sz w:val="24"/>
        </w:rPr>
        <w:t>现有工程固体废物处理一览表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335"/>
        <w:gridCol w:w="1109"/>
        <w:gridCol w:w="1136"/>
        <w:gridCol w:w="2684"/>
        <w:gridCol w:w="2682"/>
      </w:tblGrid>
      <w:tr w:rsidR="00475650">
        <w:trPr>
          <w:tblHeader/>
          <w:jc w:val="center"/>
        </w:trPr>
        <w:tc>
          <w:tcPr>
            <w:tcW w:w="1335" w:type="dxa"/>
            <w:vAlign w:val="center"/>
          </w:tcPr>
          <w:p w:rsidR="00475650" w:rsidRDefault="00475650" w:rsidP="00475650">
            <w:pPr>
              <w:snapToGrid w:val="0"/>
              <w:spacing w:line="240" w:lineRule="exact"/>
              <w:ind w:leftChars="-25" w:left="-53" w:rightChars="-25" w:right="-53"/>
              <w:jc w:val="center"/>
              <w:rPr>
                <w:bCs/>
                <w:szCs w:val="21"/>
              </w:rPr>
            </w:pPr>
            <w:r>
              <w:rPr>
                <w:rFonts w:hAnsi="宋体"/>
                <w:bCs/>
                <w:szCs w:val="21"/>
              </w:rPr>
              <w:t>固体废物</w:t>
            </w:r>
          </w:p>
        </w:tc>
        <w:tc>
          <w:tcPr>
            <w:tcW w:w="1109" w:type="dxa"/>
            <w:vAlign w:val="center"/>
          </w:tcPr>
          <w:p w:rsidR="00475650" w:rsidRDefault="00475650" w:rsidP="00475650">
            <w:pPr>
              <w:snapToGrid w:val="0"/>
              <w:spacing w:line="240" w:lineRule="exact"/>
              <w:ind w:leftChars="-25" w:left="-53" w:rightChars="-25" w:right="-53"/>
              <w:jc w:val="center"/>
              <w:rPr>
                <w:bCs/>
                <w:szCs w:val="21"/>
              </w:rPr>
            </w:pPr>
            <w:r>
              <w:rPr>
                <w:rFonts w:hAnsi="宋体"/>
                <w:bCs/>
                <w:szCs w:val="21"/>
              </w:rPr>
              <w:t>固废性质</w:t>
            </w:r>
          </w:p>
        </w:tc>
        <w:tc>
          <w:tcPr>
            <w:tcW w:w="1136" w:type="dxa"/>
            <w:vAlign w:val="center"/>
          </w:tcPr>
          <w:p w:rsidR="00475650" w:rsidRDefault="00475650" w:rsidP="00475650">
            <w:pPr>
              <w:snapToGrid w:val="0"/>
              <w:spacing w:line="240" w:lineRule="exact"/>
              <w:ind w:leftChars="-25" w:left="-53" w:rightChars="-25" w:right="-53"/>
              <w:jc w:val="center"/>
              <w:rPr>
                <w:bCs/>
                <w:szCs w:val="21"/>
              </w:rPr>
            </w:pPr>
            <w:r>
              <w:rPr>
                <w:rFonts w:hAnsi="宋体"/>
                <w:bCs/>
                <w:szCs w:val="21"/>
              </w:rPr>
              <w:t>固体废物来源</w:t>
            </w:r>
          </w:p>
        </w:tc>
        <w:tc>
          <w:tcPr>
            <w:tcW w:w="2684" w:type="dxa"/>
            <w:vAlign w:val="center"/>
          </w:tcPr>
          <w:p w:rsidR="00475650" w:rsidRDefault="00475650" w:rsidP="00475650">
            <w:pPr>
              <w:snapToGrid w:val="0"/>
              <w:spacing w:line="240" w:lineRule="exact"/>
              <w:ind w:leftChars="-25" w:left="-53" w:rightChars="-25" w:right="-53"/>
              <w:jc w:val="center"/>
              <w:rPr>
                <w:bCs/>
                <w:szCs w:val="21"/>
              </w:rPr>
            </w:pPr>
            <w:r>
              <w:rPr>
                <w:rFonts w:hAnsi="宋体"/>
                <w:bCs/>
                <w:szCs w:val="21"/>
              </w:rPr>
              <w:t>产生量</w:t>
            </w:r>
          </w:p>
          <w:p w:rsidR="00475650" w:rsidRDefault="00475650" w:rsidP="00475650">
            <w:pPr>
              <w:snapToGrid w:val="0"/>
              <w:spacing w:line="240" w:lineRule="exact"/>
              <w:ind w:leftChars="-25" w:left="-53" w:rightChars="-25" w:right="-53"/>
              <w:jc w:val="center"/>
              <w:rPr>
                <w:bCs/>
                <w:szCs w:val="21"/>
              </w:rPr>
            </w:pPr>
            <w:r>
              <w:rPr>
                <w:rFonts w:hAnsi="宋体"/>
                <w:bCs/>
                <w:szCs w:val="21"/>
              </w:rPr>
              <w:t>（</w:t>
            </w:r>
            <w:r>
              <w:rPr>
                <w:bCs/>
                <w:szCs w:val="21"/>
              </w:rPr>
              <w:t>t/a</w:t>
            </w:r>
            <w:r>
              <w:rPr>
                <w:rFonts w:hAnsi="宋体"/>
                <w:bCs/>
                <w:szCs w:val="21"/>
              </w:rPr>
              <w:t>）</w:t>
            </w:r>
          </w:p>
        </w:tc>
        <w:tc>
          <w:tcPr>
            <w:tcW w:w="2682" w:type="dxa"/>
            <w:vAlign w:val="center"/>
          </w:tcPr>
          <w:p w:rsidR="00475650" w:rsidRDefault="00475650" w:rsidP="00475650">
            <w:pPr>
              <w:snapToGrid w:val="0"/>
              <w:spacing w:line="240" w:lineRule="exact"/>
              <w:ind w:leftChars="-25" w:left="-53" w:rightChars="-25" w:right="-53"/>
              <w:jc w:val="center"/>
              <w:rPr>
                <w:bCs/>
                <w:szCs w:val="21"/>
              </w:rPr>
            </w:pPr>
            <w:r>
              <w:rPr>
                <w:rFonts w:hAnsi="宋体"/>
                <w:bCs/>
                <w:szCs w:val="21"/>
              </w:rPr>
              <w:t>处置方式</w:t>
            </w:r>
          </w:p>
        </w:tc>
      </w:tr>
      <w:tr w:rsidR="00475650">
        <w:trPr>
          <w:jc w:val="center"/>
        </w:trPr>
        <w:tc>
          <w:tcPr>
            <w:tcW w:w="1335" w:type="dxa"/>
            <w:vAlign w:val="center"/>
          </w:tcPr>
          <w:p w:rsidR="00475650" w:rsidRDefault="00475650">
            <w:pPr>
              <w:snapToGrid w:val="0"/>
              <w:spacing w:line="240" w:lineRule="exact"/>
              <w:jc w:val="center"/>
              <w:rPr>
                <w:szCs w:val="21"/>
              </w:rPr>
            </w:pPr>
            <w:r>
              <w:rPr>
                <w:rFonts w:hAnsi="宋体"/>
                <w:szCs w:val="21"/>
              </w:rPr>
              <w:t>汽化罐废液</w:t>
            </w:r>
          </w:p>
        </w:tc>
        <w:tc>
          <w:tcPr>
            <w:tcW w:w="1109" w:type="dxa"/>
            <w:vAlign w:val="center"/>
          </w:tcPr>
          <w:p w:rsidR="00475650" w:rsidRDefault="00475650">
            <w:pPr>
              <w:snapToGrid w:val="0"/>
              <w:spacing w:line="240" w:lineRule="exact"/>
              <w:jc w:val="center"/>
              <w:rPr>
                <w:szCs w:val="21"/>
              </w:rPr>
            </w:pPr>
            <w:r>
              <w:rPr>
                <w:rFonts w:hAnsi="宋体"/>
                <w:szCs w:val="21"/>
              </w:rPr>
              <w:t>危险废物</w:t>
            </w:r>
          </w:p>
        </w:tc>
        <w:tc>
          <w:tcPr>
            <w:tcW w:w="1136" w:type="dxa"/>
            <w:vAlign w:val="center"/>
          </w:tcPr>
          <w:p w:rsidR="00475650" w:rsidRDefault="00475650">
            <w:pPr>
              <w:snapToGrid w:val="0"/>
              <w:spacing w:line="240" w:lineRule="exact"/>
              <w:jc w:val="center"/>
              <w:rPr>
                <w:szCs w:val="21"/>
              </w:rPr>
            </w:pPr>
            <w:r>
              <w:rPr>
                <w:rFonts w:hAnsi="宋体"/>
                <w:szCs w:val="21"/>
              </w:rPr>
              <w:t>液氯汽化器、汽化罐废液</w:t>
            </w:r>
          </w:p>
        </w:tc>
        <w:tc>
          <w:tcPr>
            <w:tcW w:w="2684" w:type="dxa"/>
            <w:vAlign w:val="center"/>
          </w:tcPr>
          <w:p w:rsidR="00475650" w:rsidRDefault="00475650" w:rsidP="00475650">
            <w:pPr>
              <w:snapToGrid w:val="0"/>
              <w:spacing w:line="240" w:lineRule="exact"/>
              <w:ind w:leftChars="-25" w:left="-53" w:rightChars="-25" w:right="-53"/>
              <w:jc w:val="center"/>
              <w:rPr>
                <w:szCs w:val="21"/>
              </w:rPr>
            </w:pPr>
            <w:r>
              <w:rPr>
                <w:szCs w:val="21"/>
              </w:rPr>
              <w:t>31</w:t>
            </w:r>
          </w:p>
        </w:tc>
        <w:tc>
          <w:tcPr>
            <w:tcW w:w="2682" w:type="dxa"/>
            <w:vAlign w:val="center"/>
          </w:tcPr>
          <w:p w:rsidR="00475650" w:rsidRDefault="00475650" w:rsidP="00475650">
            <w:pPr>
              <w:snapToGrid w:val="0"/>
              <w:spacing w:line="240" w:lineRule="exact"/>
              <w:ind w:leftChars="-25" w:left="-53" w:rightChars="-25" w:right="-53"/>
              <w:jc w:val="center"/>
              <w:rPr>
                <w:szCs w:val="21"/>
              </w:rPr>
            </w:pPr>
            <w:r>
              <w:rPr>
                <w:rFonts w:hAnsi="宋体"/>
                <w:szCs w:val="21"/>
              </w:rPr>
              <w:t>定期以碱液中和破除三氯化氮，沉淀后外排基地污水处理厂</w:t>
            </w:r>
          </w:p>
        </w:tc>
      </w:tr>
      <w:tr w:rsidR="00475650">
        <w:trPr>
          <w:jc w:val="center"/>
        </w:trPr>
        <w:tc>
          <w:tcPr>
            <w:tcW w:w="1335" w:type="dxa"/>
            <w:vAlign w:val="center"/>
          </w:tcPr>
          <w:p w:rsidR="00475650" w:rsidRDefault="00475650">
            <w:pPr>
              <w:snapToGrid w:val="0"/>
              <w:spacing w:line="240" w:lineRule="exact"/>
              <w:jc w:val="center"/>
              <w:rPr>
                <w:szCs w:val="21"/>
              </w:rPr>
            </w:pPr>
            <w:r>
              <w:rPr>
                <w:rFonts w:hAnsi="宋体"/>
                <w:szCs w:val="21"/>
              </w:rPr>
              <w:t>废紫外线灯</w:t>
            </w:r>
          </w:p>
        </w:tc>
        <w:tc>
          <w:tcPr>
            <w:tcW w:w="1109" w:type="dxa"/>
            <w:vAlign w:val="center"/>
          </w:tcPr>
          <w:p w:rsidR="00475650" w:rsidRDefault="00475650">
            <w:pPr>
              <w:snapToGrid w:val="0"/>
              <w:spacing w:line="240" w:lineRule="exact"/>
              <w:jc w:val="center"/>
              <w:rPr>
                <w:szCs w:val="21"/>
              </w:rPr>
            </w:pPr>
            <w:r>
              <w:rPr>
                <w:rFonts w:hAnsi="宋体"/>
                <w:szCs w:val="21"/>
              </w:rPr>
              <w:t>危险废物</w:t>
            </w:r>
          </w:p>
        </w:tc>
        <w:tc>
          <w:tcPr>
            <w:tcW w:w="1136" w:type="dxa"/>
            <w:vAlign w:val="center"/>
          </w:tcPr>
          <w:p w:rsidR="00475650" w:rsidRDefault="00475650">
            <w:pPr>
              <w:snapToGrid w:val="0"/>
              <w:spacing w:line="240" w:lineRule="exact"/>
              <w:jc w:val="center"/>
              <w:rPr>
                <w:szCs w:val="21"/>
              </w:rPr>
            </w:pPr>
            <w:r>
              <w:rPr>
                <w:rFonts w:hAnsi="宋体"/>
                <w:szCs w:val="21"/>
              </w:rPr>
              <w:t>反应釜</w:t>
            </w:r>
          </w:p>
        </w:tc>
        <w:tc>
          <w:tcPr>
            <w:tcW w:w="2684" w:type="dxa"/>
            <w:vAlign w:val="center"/>
          </w:tcPr>
          <w:p w:rsidR="00475650" w:rsidRDefault="00475650" w:rsidP="00475650">
            <w:pPr>
              <w:snapToGrid w:val="0"/>
              <w:spacing w:line="240" w:lineRule="exact"/>
              <w:ind w:leftChars="-25" w:left="-53" w:rightChars="-25" w:right="-53"/>
              <w:jc w:val="center"/>
              <w:rPr>
                <w:szCs w:val="21"/>
              </w:rPr>
            </w:pPr>
            <w:r>
              <w:rPr>
                <w:szCs w:val="21"/>
              </w:rPr>
              <w:t>30</w:t>
            </w:r>
            <w:r>
              <w:rPr>
                <w:rFonts w:hAnsi="宋体"/>
                <w:szCs w:val="21"/>
              </w:rPr>
              <w:t>根</w:t>
            </w:r>
            <w:r>
              <w:rPr>
                <w:szCs w:val="21"/>
              </w:rPr>
              <w:t>/a</w:t>
            </w:r>
          </w:p>
        </w:tc>
        <w:tc>
          <w:tcPr>
            <w:tcW w:w="2682" w:type="dxa"/>
            <w:vAlign w:val="center"/>
          </w:tcPr>
          <w:p w:rsidR="00475650" w:rsidRDefault="00475650" w:rsidP="00475650">
            <w:pPr>
              <w:snapToGrid w:val="0"/>
              <w:spacing w:line="240" w:lineRule="exact"/>
              <w:ind w:leftChars="-25" w:left="-53" w:rightChars="-25" w:right="-53"/>
              <w:jc w:val="center"/>
              <w:rPr>
                <w:szCs w:val="21"/>
              </w:rPr>
            </w:pPr>
            <w:r>
              <w:rPr>
                <w:rFonts w:hAnsi="宋体"/>
                <w:szCs w:val="21"/>
              </w:rPr>
              <w:t>厂区暂存</w:t>
            </w:r>
          </w:p>
        </w:tc>
      </w:tr>
      <w:tr w:rsidR="00475650">
        <w:trPr>
          <w:jc w:val="center"/>
        </w:trPr>
        <w:tc>
          <w:tcPr>
            <w:tcW w:w="1335" w:type="dxa"/>
            <w:vAlign w:val="center"/>
          </w:tcPr>
          <w:p w:rsidR="00475650" w:rsidRDefault="00475650">
            <w:pPr>
              <w:snapToGrid w:val="0"/>
              <w:spacing w:line="240" w:lineRule="exact"/>
              <w:jc w:val="center"/>
              <w:rPr>
                <w:szCs w:val="21"/>
              </w:rPr>
            </w:pPr>
            <w:r>
              <w:rPr>
                <w:rFonts w:hAnsi="宋体"/>
                <w:szCs w:val="21"/>
              </w:rPr>
              <w:t>隔油池废蜡油及活性炭</w:t>
            </w:r>
          </w:p>
        </w:tc>
        <w:tc>
          <w:tcPr>
            <w:tcW w:w="1109" w:type="dxa"/>
            <w:vAlign w:val="center"/>
          </w:tcPr>
          <w:p w:rsidR="00475650" w:rsidRDefault="00475650">
            <w:pPr>
              <w:snapToGrid w:val="0"/>
              <w:spacing w:line="240" w:lineRule="exact"/>
              <w:jc w:val="center"/>
              <w:rPr>
                <w:szCs w:val="21"/>
              </w:rPr>
            </w:pPr>
            <w:r>
              <w:rPr>
                <w:rFonts w:hAnsi="宋体"/>
                <w:szCs w:val="21"/>
              </w:rPr>
              <w:t>一般固废</w:t>
            </w:r>
          </w:p>
        </w:tc>
        <w:tc>
          <w:tcPr>
            <w:tcW w:w="1136" w:type="dxa"/>
            <w:vAlign w:val="center"/>
          </w:tcPr>
          <w:p w:rsidR="00475650" w:rsidRDefault="00475650">
            <w:pPr>
              <w:snapToGrid w:val="0"/>
              <w:spacing w:line="240" w:lineRule="exact"/>
              <w:jc w:val="center"/>
              <w:rPr>
                <w:szCs w:val="21"/>
              </w:rPr>
            </w:pPr>
            <w:r>
              <w:rPr>
                <w:rFonts w:hAnsi="宋体"/>
                <w:szCs w:val="21"/>
              </w:rPr>
              <w:t>隔油池</w:t>
            </w:r>
          </w:p>
        </w:tc>
        <w:tc>
          <w:tcPr>
            <w:tcW w:w="2684" w:type="dxa"/>
            <w:vAlign w:val="center"/>
          </w:tcPr>
          <w:p w:rsidR="00475650" w:rsidRDefault="00475650" w:rsidP="00475650">
            <w:pPr>
              <w:snapToGrid w:val="0"/>
              <w:spacing w:line="240" w:lineRule="exact"/>
              <w:ind w:leftChars="-25" w:left="-53" w:rightChars="-25" w:right="-53"/>
              <w:jc w:val="center"/>
              <w:rPr>
                <w:szCs w:val="21"/>
              </w:rPr>
            </w:pPr>
            <w:r>
              <w:rPr>
                <w:szCs w:val="21"/>
              </w:rPr>
              <w:t>0.5</w:t>
            </w:r>
          </w:p>
        </w:tc>
        <w:tc>
          <w:tcPr>
            <w:tcW w:w="2682" w:type="dxa"/>
            <w:vAlign w:val="center"/>
          </w:tcPr>
          <w:p w:rsidR="00475650" w:rsidRDefault="00475650" w:rsidP="00475650">
            <w:pPr>
              <w:snapToGrid w:val="0"/>
              <w:spacing w:line="240" w:lineRule="exact"/>
              <w:ind w:leftChars="-25" w:left="-53" w:rightChars="-25" w:right="-53"/>
              <w:jc w:val="center"/>
              <w:rPr>
                <w:szCs w:val="21"/>
                <w:highlight w:val="yellow"/>
              </w:rPr>
            </w:pPr>
            <w:r>
              <w:rPr>
                <w:rFonts w:hAnsi="宋体"/>
                <w:szCs w:val="21"/>
              </w:rPr>
              <w:t>废油回用生产线，活性炭由生产厂家回收</w:t>
            </w:r>
          </w:p>
        </w:tc>
      </w:tr>
      <w:tr w:rsidR="00475650">
        <w:trPr>
          <w:jc w:val="center"/>
        </w:trPr>
        <w:tc>
          <w:tcPr>
            <w:tcW w:w="1335" w:type="dxa"/>
            <w:vAlign w:val="center"/>
          </w:tcPr>
          <w:p w:rsidR="00475650" w:rsidRDefault="00475650">
            <w:pPr>
              <w:snapToGrid w:val="0"/>
              <w:spacing w:line="240" w:lineRule="exact"/>
              <w:jc w:val="center"/>
              <w:rPr>
                <w:szCs w:val="21"/>
              </w:rPr>
            </w:pPr>
            <w:r>
              <w:rPr>
                <w:rFonts w:hAnsi="宋体"/>
                <w:szCs w:val="21"/>
              </w:rPr>
              <w:t>生活垃圾</w:t>
            </w:r>
          </w:p>
        </w:tc>
        <w:tc>
          <w:tcPr>
            <w:tcW w:w="1109" w:type="dxa"/>
            <w:vAlign w:val="center"/>
          </w:tcPr>
          <w:p w:rsidR="00475650" w:rsidRDefault="00475650">
            <w:pPr>
              <w:snapToGrid w:val="0"/>
              <w:spacing w:line="240" w:lineRule="exact"/>
              <w:jc w:val="center"/>
              <w:rPr>
                <w:szCs w:val="21"/>
              </w:rPr>
            </w:pPr>
            <w:r>
              <w:rPr>
                <w:rFonts w:hAnsi="宋体"/>
                <w:szCs w:val="21"/>
              </w:rPr>
              <w:t>一般固废</w:t>
            </w:r>
          </w:p>
        </w:tc>
        <w:tc>
          <w:tcPr>
            <w:tcW w:w="1136" w:type="dxa"/>
            <w:vAlign w:val="center"/>
          </w:tcPr>
          <w:p w:rsidR="00475650" w:rsidRDefault="00475650">
            <w:pPr>
              <w:snapToGrid w:val="0"/>
              <w:spacing w:line="240" w:lineRule="exact"/>
              <w:jc w:val="center"/>
              <w:rPr>
                <w:szCs w:val="21"/>
              </w:rPr>
            </w:pPr>
            <w:r>
              <w:rPr>
                <w:rFonts w:hAnsi="宋体"/>
                <w:szCs w:val="21"/>
              </w:rPr>
              <w:t>生产办公</w:t>
            </w:r>
          </w:p>
        </w:tc>
        <w:tc>
          <w:tcPr>
            <w:tcW w:w="2684" w:type="dxa"/>
            <w:vAlign w:val="center"/>
          </w:tcPr>
          <w:p w:rsidR="00475650" w:rsidRDefault="00475650" w:rsidP="00475650">
            <w:pPr>
              <w:snapToGrid w:val="0"/>
              <w:spacing w:line="240" w:lineRule="exact"/>
              <w:ind w:leftChars="-25" w:left="-53" w:rightChars="-25" w:right="-53"/>
              <w:jc w:val="center"/>
              <w:rPr>
                <w:szCs w:val="21"/>
              </w:rPr>
            </w:pPr>
            <w:r>
              <w:rPr>
                <w:szCs w:val="21"/>
              </w:rPr>
              <w:t>1.8</w:t>
            </w:r>
          </w:p>
        </w:tc>
        <w:tc>
          <w:tcPr>
            <w:tcW w:w="2682" w:type="dxa"/>
            <w:vAlign w:val="center"/>
          </w:tcPr>
          <w:p w:rsidR="00475650" w:rsidRDefault="00475650" w:rsidP="00475650">
            <w:pPr>
              <w:snapToGrid w:val="0"/>
              <w:spacing w:line="240" w:lineRule="exact"/>
              <w:ind w:leftChars="-25" w:left="-53" w:rightChars="-25" w:right="-53"/>
              <w:jc w:val="center"/>
              <w:rPr>
                <w:szCs w:val="21"/>
              </w:rPr>
            </w:pPr>
            <w:r>
              <w:rPr>
                <w:rFonts w:hAnsi="宋体"/>
                <w:szCs w:val="21"/>
              </w:rPr>
              <w:t>环卫部门清理</w:t>
            </w:r>
          </w:p>
        </w:tc>
      </w:tr>
      <w:tr w:rsidR="00475650">
        <w:trPr>
          <w:jc w:val="center"/>
        </w:trPr>
        <w:tc>
          <w:tcPr>
            <w:tcW w:w="1335" w:type="dxa"/>
            <w:vAlign w:val="center"/>
          </w:tcPr>
          <w:p w:rsidR="00475650" w:rsidRDefault="00475650">
            <w:pPr>
              <w:snapToGrid w:val="0"/>
              <w:spacing w:line="240" w:lineRule="exact"/>
              <w:jc w:val="center"/>
              <w:rPr>
                <w:szCs w:val="21"/>
              </w:rPr>
            </w:pPr>
            <w:r>
              <w:rPr>
                <w:rFonts w:hAnsi="宋体"/>
                <w:szCs w:val="21"/>
              </w:rPr>
              <w:t>废包装</w:t>
            </w:r>
          </w:p>
        </w:tc>
        <w:tc>
          <w:tcPr>
            <w:tcW w:w="1109" w:type="dxa"/>
            <w:vAlign w:val="center"/>
          </w:tcPr>
          <w:p w:rsidR="00475650" w:rsidRDefault="00475650">
            <w:pPr>
              <w:snapToGrid w:val="0"/>
              <w:spacing w:line="240" w:lineRule="exact"/>
              <w:jc w:val="center"/>
              <w:rPr>
                <w:szCs w:val="21"/>
              </w:rPr>
            </w:pPr>
            <w:r>
              <w:rPr>
                <w:rFonts w:hAnsi="宋体"/>
                <w:szCs w:val="21"/>
              </w:rPr>
              <w:t>一般固废</w:t>
            </w:r>
          </w:p>
        </w:tc>
        <w:tc>
          <w:tcPr>
            <w:tcW w:w="1136" w:type="dxa"/>
            <w:vAlign w:val="center"/>
          </w:tcPr>
          <w:p w:rsidR="00475650" w:rsidRDefault="00475650">
            <w:pPr>
              <w:snapToGrid w:val="0"/>
              <w:spacing w:line="240" w:lineRule="exact"/>
              <w:jc w:val="center"/>
              <w:rPr>
                <w:szCs w:val="21"/>
              </w:rPr>
            </w:pPr>
            <w:r>
              <w:rPr>
                <w:rFonts w:hAnsi="宋体"/>
                <w:szCs w:val="21"/>
              </w:rPr>
              <w:t>包装车间</w:t>
            </w:r>
          </w:p>
        </w:tc>
        <w:tc>
          <w:tcPr>
            <w:tcW w:w="2684" w:type="dxa"/>
            <w:vAlign w:val="center"/>
          </w:tcPr>
          <w:p w:rsidR="00475650" w:rsidRDefault="00475650" w:rsidP="00475650">
            <w:pPr>
              <w:snapToGrid w:val="0"/>
              <w:spacing w:line="240" w:lineRule="exact"/>
              <w:ind w:leftChars="-25" w:left="-53" w:rightChars="-25" w:right="-53"/>
              <w:jc w:val="center"/>
              <w:rPr>
                <w:szCs w:val="21"/>
              </w:rPr>
            </w:pPr>
            <w:r>
              <w:rPr>
                <w:szCs w:val="21"/>
              </w:rPr>
              <w:t>1</w:t>
            </w:r>
          </w:p>
        </w:tc>
        <w:tc>
          <w:tcPr>
            <w:tcW w:w="2682" w:type="dxa"/>
            <w:vAlign w:val="center"/>
          </w:tcPr>
          <w:p w:rsidR="00475650" w:rsidRDefault="00475650" w:rsidP="00475650">
            <w:pPr>
              <w:snapToGrid w:val="0"/>
              <w:spacing w:line="240" w:lineRule="exact"/>
              <w:ind w:leftChars="-25" w:left="-53" w:rightChars="-25" w:right="-53"/>
              <w:jc w:val="center"/>
              <w:rPr>
                <w:szCs w:val="21"/>
              </w:rPr>
            </w:pPr>
            <w:r>
              <w:rPr>
                <w:rFonts w:hAnsi="宋体"/>
                <w:szCs w:val="21"/>
              </w:rPr>
              <w:t>回收</w:t>
            </w:r>
          </w:p>
        </w:tc>
      </w:tr>
    </w:tbl>
    <w:p w:rsidR="00475650" w:rsidRDefault="00475650">
      <w:pPr>
        <w:pStyle w:val="33Char111H3BHeadBSH-3h33rdlevel"/>
        <w:outlineLvl w:val="0"/>
        <w:rPr>
          <w:b w:val="0"/>
        </w:rPr>
      </w:pPr>
      <w:bookmarkStart w:id="337" w:name="_Toc18056"/>
      <w:r>
        <w:rPr>
          <w:b w:val="0"/>
        </w:rPr>
        <w:t>2.1.2.</w:t>
      </w:r>
      <w:r>
        <w:rPr>
          <w:rFonts w:hint="eastAsia"/>
          <w:b w:val="0"/>
        </w:rPr>
        <w:t xml:space="preserve">4  </w:t>
      </w:r>
      <w:r>
        <w:rPr>
          <w:rFonts w:hint="eastAsia"/>
          <w:b w:val="0"/>
        </w:rPr>
        <w:t>现有工程存在的主要环境问题</w:t>
      </w:r>
    </w:p>
    <w:p w:rsidR="00475650" w:rsidRDefault="00475650">
      <w:pPr>
        <w:snapToGrid w:val="0"/>
        <w:spacing w:line="360" w:lineRule="auto"/>
        <w:ind w:firstLineChars="200" w:firstLine="480"/>
        <w:rPr>
          <w:rFonts w:hAnsi="宋体"/>
          <w:sz w:val="24"/>
        </w:rPr>
      </w:pPr>
      <w:r>
        <w:rPr>
          <w:rFonts w:hAnsi="宋体" w:hint="eastAsia"/>
          <w:sz w:val="24"/>
        </w:rPr>
        <w:t>现有工程存在的主要环境风险为氯气泄漏风险，根据现场实际生产情况来看，现有工程氯气储罐区建有围堰，设有自动检测装置及碱液喷淋装置，于罐区设有碱液池，一旦发生氯气储罐泄漏，应立即启动碱液喷淋装置并将泄漏罐推入碱液池，并有效的处理事故液，将事故液排至公司现有的事故池，禁止事故废液及废水外排。</w:t>
      </w:r>
    </w:p>
    <w:p w:rsidR="00475650" w:rsidRDefault="00475650">
      <w:pPr>
        <w:snapToGrid w:val="0"/>
        <w:spacing w:line="360" w:lineRule="auto"/>
        <w:ind w:firstLineChars="200" w:firstLine="480"/>
        <w:rPr>
          <w:rFonts w:hAnsi="宋体"/>
          <w:sz w:val="24"/>
        </w:rPr>
      </w:pPr>
      <w:r>
        <w:rPr>
          <w:rFonts w:hAnsi="宋体" w:hint="eastAsia"/>
          <w:sz w:val="24"/>
        </w:rPr>
        <w:t>公司应加强日常监管及风险应急预案，避免泄漏事故的发生，提高人员的应急反应能力及应急操作能力，一旦发生泄漏事故能立即响应并做出避免污染扩大的有效措施。</w:t>
      </w:r>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r>
        <w:rPr>
          <w:rStyle w:val="2Char1Char"/>
          <w:rFonts w:ascii="Times New Roman" w:eastAsia="宋体" w:hAnsi="Times New Roman" w:cs="Times New Roman"/>
          <w:b w:val="0"/>
          <w:sz w:val="28"/>
          <w:szCs w:val="28"/>
        </w:rPr>
        <w:t>2.2</w:t>
      </w:r>
      <w:r>
        <w:rPr>
          <w:rStyle w:val="2Char1Char"/>
          <w:rFonts w:ascii="Times New Roman" w:eastAsia="宋体" w:hAnsi="宋体" w:cs="Times New Roman"/>
          <w:b w:val="0"/>
          <w:sz w:val="28"/>
          <w:szCs w:val="28"/>
        </w:rPr>
        <w:t>本项目与现有工程的依托关系</w:t>
      </w:r>
      <w:bookmarkEnd w:id="337"/>
    </w:p>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338" w:name="_Toc334080753"/>
      <w:bookmarkStart w:id="339" w:name="_Toc334014111"/>
      <w:bookmarkStart w:id="340" w:name="_Toc302936748"/>
      <w:bookmarkStart w:id="341" w:name="_Toc332292960"/>
      <w:bookmarkStart w:id="342" w:name="_Toc333229899"/>
      <w:bookmarkStart w:id="343" w:name="_Toc465676966"/>
      <w:bookmarkStart w:id="344" w:name="_Toc12032"/>
      <w:r>
        <w:rPr>
          <w:rStyle w:val="2Char1Char"/>
          <w:rFonts w:ascii="Times New Roman" w:eastAsia="宋体" w:hAnsi="Times New Roman" w:cs="Times New Roman"/>
          <w:b w:val="0"/>
          <w:sz w:val="24"/>
          <w:szCs w:val="24"/>
        </w:rPr>
        <w:t>2.2.1</w:t>
      </w:r>
      <w:r>
        <w:rPr>
          <w:rStyle w:val="2Char1Char"/>
          <w:rFonts w:ascii="Times New Roman" w:eastAsia="宋体" w:hAnsi="宋体" w:cs="Times New Roman"/>
          <w:b w:val="0"/>
          <w:sz w:val="24"/>
          <w:szCs w:val="24"/>
        </w:rPr>
        <w:t>原辅材料</w:t>
      </w:r>
      <w:bookmarkEnd w:id="338"/>
      <w:bookmarkEnd w:id="339"/>
      <w:bookmarkEnd w:id="340"/>
      <w:bookmarkEnd w:id="341"/>
      <w:bookmarkEnd w:id="342"/>
      <w:bookmarkEnd w:id="343"/>
      <w:bookmarkEnd w:id="344"/>
    </w:p>
    <w:p w:rsidR="00475650" w:rsidRDefault="00475650">
      <w:pPr>
        <w:snapToGrid w:val="0"/>
        <w:spacing w:line="360" w:lineRule="auto"/>
        <w:ind w:firstLineChars="200" w:firstLine="480"/>
        <w:rPr>
          <w:sz w:val="24"/>
        </w:rPr>
      </w:pPr>
      <w:r>
        <w:rPr>
          <w:rFonts w:hAnsi="宋体"/>
          <w:sz w:val="24"/>
        </w:rPr>
        <w:t>根据项目可研，本项目原辅材料的依托关系如下：</w:t>
      </w:r>
    </w:p>
    <w:p w:rsidR="00475650" w:rsidRDefault="00475650">
      <w:pPr>
        <w:snapToGrid w:val="0"/>
        <w:spacing w:line="360" w:lineRule="auto"/>
        <w:ind w:firstLineChars="200" w:firstLine="480"/>
        <w:rPr>
          <w:sz w:val="24"/>
        </w:rPr>
      </w:pPr>
      <w:r>
        <w:rPr>
          <w:rFonts w:hAnsi="宋体"/>
          <w:sz w:val="24"/>
        </w:rPr>
        <w:t>盐酸：本项目使用的原料中盐酸来自现有工程的副产品，本工程需使用</w:t>
      </w:r>
      <w:r>
        <w:rPr>
          <w:sz w:val="24"/>
        </w:rPr>
        <w:t>31%</w:t>
      </w:r>
      <w:r>
        <w:rPr>
          <w:rFonts w:hAnsi="宋体"/>
          <w:sz w:val="24"/>
        </w:rPr>
        <w:t>的盐酸约</w:t>
      </w:r>
      <w:r>
        <w:rPr>
          <w:rFonts w:hint="eastAsia"/>
          <w:sz w:val="24"/>
        </w:rPr>
        <w:t>3159</w:t>
      </w:r>
      <w:r>
        <w:rPr>
          <w:rFonts w:hAnsi="宋体"/>
          <w:sz w:val="24"/>
        </w:rPr>
        <w:t>吨</w:t>
      </w:r>
      <w:r>
        <w:rPr>
          <w:sz w:val="24"/>
        </w:rPr>
        <w:t>/</w:t>
      </w:r>
      <w:r>
        <w:rPr>
          <w:rFonts w:hAnsi="宋体"/>
          <w:sz w:val="24"/>
        </w:rPr>
        <w:t>年，现有工程盐酸的规模产量为</w:t>
      </w:r>
      <w:r>
        <w:rPr>
          <w:sz w:val="24"/>
        </w:rPr>
        <w:t>8.767</w:t>
      </w:r>
      <w:r>
        <w:rPr>
          <w:rFonts w:hAnsi="宋体"/>
          <w:sz w:val="24"/>
        </w:rPr>
        <w:t>万吨（</w:t>
      </w:r>
      <w:r>
        <w:rPr>
          <w:sz w:val="24"/>
        </w:rPr>
        <w:t>31%</w:t>
      </w:r>
      <w:r>
        <w:rPr>
          <w:rFonts w:hAnsi="宋体"/>
          <w:sz w:val="24"/>
        </w:rPr>
        <w:t>的盐酸），现实际产量约为</w:t>
      </w:r>
      <w:r>
        <w:rPr>
          <w:sz w:val="24"/>
        </w:rPr>
        <w:t>4</w:t>
      </w:r>
      <w:r>
        <w:rPr>
          <w:rFonts w:hAnsi="宋体"/>
          <w:sz w:val="24"/>
        </w:rPr>
        <w:t>万吨，满足本项目用酸量要求；</w:t>
      </w:r>
    </w:p>
    <w:p w:rsidR="00475650" w:rsidRDefault="00475650">
      <w:pPr>
        <w:snapToGrid w:val="0"/>
        <w:spacing w:line="360" w:lineRule="auto"/>
        <w:ind w:firstLineChars="200" w:firstLine="480"/>
        <w:rPr>
          <w:sz w:val="24"/>
        </w:rPr>
      </w:pPr>
      <w:r>
        <w:rPr>
          <w:rFonts w:hAnsi="宋体"/>
          <w:sz w:val="24"/>
        </w:rPr>
        <w:t>其余原辅材料：其余原辅材料均为市场购买，依托公司现有运输力量及进厂道路运输。</w:t>
      </w:r>
    </w:p>
    <w:p w:rsidR="00475650" w:rsidRDefault="00475650">
      <w:pPr>
        <w:pStyle w:val="h"/>
        <w:tabs>
          <w:tab w:val="left" w:pos="3482"/>
        </w:tabs>
        <w:spacing w:before="0" w:after="0" w:line="360" w:lineRule="auto"/>
        <w:ind w:firstLine="0"/>
        <w:outlineLvl w:val="1"/>
        <w:rPr>
          <w:rStyle w:val="2Char1Char"/>
          <w:rFonts w:ascii="Times New Roman" w:eastAsia="宋体" w:hAnsi="Times New Roman" w:cs="Times New Roman"/>
          <w:b w:val="0"/>
          <w:sz w:val="24"/>
          <w:szCs w:val="24"/>
        </w:rPr>
      </w:pPr>
      <w:bookmarkStart w:id="345" w:name="_Toc334080754"/>
      <w:bookmarkStart w:id="346" w:name="_Toc332292961"/>
      <w:bookmarkStart w:id="347" w:name="_Toc334014112"/>
      <w:bookmarkStart w:id="348" w:name="_Toc333229900"/>
      <w:bookmarkStart w:id="349" w:name="_Toc302936749"/>
      <w:bookmarkStart w:id="350" w:name="_Toc465676967"/>
      <w:bookmarkStart w:id="351" w:name="_Toc30435"/>
      <w:r>
        <w:rPr>
          <w:rStyle w:val="2Char1Char"/>
          <w:rFonts w:ascii="Times New Roman" w:eastAsia="宋体" w:hAnsi="Times New Roman" w:cs="Times New Roman"/>
          <w:b w:val="0"/>
          <w:sz w:val="24"/>
          <w:szCs w:val="24"/>
        </w:rPr>
        <w:t>2.2.2</w:t>
      </w:r>
      <w:r>
        <w:rPr>
          <w:rStyle w:val="2Char1Char"/>
          <w:rFonts w:ascii="Times New Roman" w:eastAsia="宋体" w:hAnsi="宋体" w:cs="Times New Roman"/>
          <w:b w:val="0"/>
          <w:sz w:val="24"/>
          <w:szCs w:val="24"/>
        </w:rPr>
        <w:t>公用工程</w:t>
      </w:r>
      <w:bookmarkEnd w:id="345"/>
      <w:bookmarkEnd w:id="346"/>
      <w:bookmarkEnd w:id="347"/>
      <w:bookmarkEnd w:id="348"/>
      <w:bookmarkEnd w:id="349"/>
      <w:bookmarkEnd w:id="350"/>
      <w:bookmarkEnd w:id="351"/>
    </w:p>
    <w:p w:rsidR="00475650" w:rsidRDefault="00475650">
      <w:pPr>
        <w:snapToGrid w:val="0"/>
        <w:spacing w:line="360" w:lineRule="auto"/>
        <w:ind w:firstLineChars="200" w:firstLine="480"/>
        <w:rPr>
          <w:sz w:val="24"/>
        </w:rPr>
      </w:pPr>
      <w:r>
        <w:rPr>
          <w:rFonts w:hAnsi="宋体"/>
          <w:sz w:val="24"/>
        </w:rPr>
        <w:t>本项目位于公司现有厂区预留地内，公用工程部分可利用现有公用工程富足能</w:t>
      </w:r>
      <w:r>
        <w:rPr>
          <w:rFonts w:hAnsi="宋体"/>
          <w:sz w:val="24"/>
        </w:rPr>
        <w:lastRenderedPageBreak/>
        <w:t>力，现有工程富余不足项则由本项目自建。本项目公用工程与公司已有设施的依托关系如下：</w:t>
      </w:r>
    </w:p>
    <w:p w:rsidR="00475650" w:rsidRDefault="00475650">
      <w:pPr>
        <w:pStyle w:val="33Char111H3BHeadBSH-3h33rdlevel"/>
        <w:outlineLvl w:val="0"/>
        <w:rPr>
          <w:b w:val="0"/>
        </w:rPr>
      </w:pPr>
      <w:bookmarkStart w:id="352" w:name="_Toc448999073"/>
      <w:bookmarkStart w:id="353" w:name="_Toc465676968"/>
      <w:bookmarkStart w:id="354" w:name="_Toc21258"/>
      <w:r>
        <w:rPr>
          <w:b w:val="0"/>
        </w:rPr>
        <w:t>2.2.2.1</w:t>
      </w:r>
      <w:r>
        <w:rPr>
          <w:rFonts w:hAnsi="宋体"/>
          <w:b w:val="0"/>
        </w:rPr>
        <w:t>给水</w:t>
      </w:r>
      <w:bookmarkEnd w:id="352"/>
      <w:bookmarkEnd w:id="353"/>
      <w:bookmarkEnd w:id="354"/>
    </w:p>
    <w:p w:rsidR="00475650" w:rsidRDefault="00475650">
      <w:pPr>
        <w:snapToGrid w:val="0"/>
        <w:spacing w:line="360" w:lineRule="auto"/>
        <w:ind w:firstLineChars="200" w:firstLine="480"/>
        <w:rPr>
          <w:sz w:val="24"/>
        </w:rPr>
      </w:pPr>
      <w:r>
        <w:rPr>
          <w:sz w:val="24"/>
        </w:rPr>
        <w:t>(1)</w:t>
      </w:r>
      <w:r>
        <w:rPr>
          <w:rFonts w:hAnsi="宋体"/>
          <w:sz w:val="24"/>
        </w:rPr>
        <w:t>新鲜水系统</w:t>
      </w:r>
    </w:p>
    <w:p w:rsidR="00475650" w:rsidRDefault="00475650">
      <w:pPr>
        <w:snapToGrid w:val="0"/>
        <w:spacing w:line="360" w:lineRule="auto"/>
        <w:ind w:firstLineChars="200" w:firstLine="480"/>
        <w:rPr>
          <w:sz w:val="24"/>
        </w:rPr>
      </w:pPr>
      <w:r>
        <w:rPr>
          <w:rFonts w:hAnsi="宋体"/>
          <w:sz w:val="24"/>
        </w:rPr>
        <w:t>工程采用分质供水。采用园区供水系统作为本项目生产用水和消防用水水源，园区供水管网已接至公司现有厂区内，现有给水管网为</w:t>
      </w:r>
      <w:r>
        <w:rPr>
          <w:sz w:val="24"/>
        </w:rPr>
        <w:t>DN200</w:t>
      </w:r>
      <w:r>
        <w:rPr>
          <w:rFonts w:hAnsi="宋体"/>
          <w:sz w:val="24"/>
        </w:rPr>
        <w:t>的埋地焊接钢管环形给水管网，给水能力大于</w:t>
      </w:r>
      <w:r>
        <w:rPr>
          <w:sz w:val="24"/>
        </w:rPr>
        <w:t>100</w:t>
      </w:r>
      <w:r>
        <w:rPr>
          <w:rFonts w:hint="eastAsia"/>
          <w:sz w:val="24"/>
        </w:rPr>
        <w:t>t</w:t>
      </w:r>
      <w:r>
        <w:rPr>
          <w:sz w:val="24"/>
        </w:rPr>
        <w:t>/h</w:t>
      </w:r>
      <w:r>
        <w:rPr>
          <w:rFonts w:hAnsi="宋体"/>
          <w:sz w:val="24"/>
        </w:rPr>
        <w:t>，现有工程每小时新鲜水用量低于</w:t>
      </w:r>
      <w:r>
        <w:rPr>
          <w:sz w:val="24"/>
        </w:rPr>
        <w:t>20t/h</w:t>
      </w:r>
      <w:r>
        <w:rPr>
          <w:rFonts w:hAnsi="宋体"/>
          <w:sz w:val="24"/>
        </w:rPr>
        <w:t>，本项目每小时新鲜水用量约为</w:t>
      </w:r>
      <w:r>
        <w:rPr>
          <w:rFonts w:hint="eastAsia"/>
          <w:sz w:val="24"/>
        </w:rPr>
        <w:t>25t</w:t>
      </w:r>
      <w:r>
        <w:rPr>
          <w:sz w:val="24"/>
        </w:rPr>
        <w:t>/h</w:t>
      </w:r>
      <w:r>
        <w:rPr>
          <w:rFonts w:hAnsi="宋体"/>
          <w:sz w:val="24"/>
        </w:rPr>
        <w:t>，新鲜水给水系统满足本项目新增新鲜水量要求。本项目占地处新鲜水给水管网已于一期工程中铺设完成</w:t>
      </w:r>
      <w:r>
        <w:rPr>
          <w:rFonts w:hAnsi="宋体" w:hint="eastAsia"/>
          <w:sz w:val="24"/>
        </w:rPr>
        <w:t>，可依托。</w:t>
      </w:r>
    </w:p>
    <w:p w:rsidR="00475650" w:rsidRDefault="00475650">
      <w:pPr>
        <w:snapToGrid w:val="0"/>
        <w:spacing w:line="360" w:lineRule="auto"/>
        <w:ind w:firstLineChars="200" w:firstLine="480"/>
        <w:rPr>
          <w:sz w:val="24"/>
        </w:rPr>
      </w:pPr>
      <w:r>
        <w:rPr>
          <w:sz w:val="24"/>
        </w:rPr>
        <w:t xml:space="preserve">(2) </w:t>
      </w:r>
      <w:r>
        <w:rPr>
          <w:rFonts w:hAnsi="宋体"/>
          <w:sz w:val="24"/>
        </w:rPr>
        <w:t>循环水系统</w:t>
      </w:r>
    </w:p>
    <w:p w:rsidR="00475650" w:rsidRDefault="00475650">
      <w:pPr>
        <w:snapToGrid w:val="0"/>
        <w:spacing w:line="360" w:lineRule="auto"/>
        <w:ind w:firstLineChars="200" w:firstLine="480"/>
        <w:rPr>
          <w:sz w:val="24"/>
        </w:rPr>
      </w:pPr>
      <w:r>
        <w:rPr>
          <w:rFonts w:hAnsi="宋体"/>
          <w:sz w:val="24"/>
        </w:rPr>
        <w:t>公司设有一个</w:t>
      </w:r>
      <w:r>
        <w:rPr>
          <w:sz w:val="24"/>
        </w:rPr>
        <w:t>350 m</w:t>
      </w:r>
      <w:r>
        <w:rPr>
          <w:sz w:val="24"/>
          <w:vertAlign w:val="superscript"/>
        </w:rPr>
        <w:t>3</w:t>
      </w:r>
      <w:r>
        <w:rPr>
          <w:rFonts w:hAnsi="宋体"/>
          <w:sz w:val="24"/>
        </w:rPr>
        <w:t>的循环水池，循环水负荷为</w:t>
      </w:r>
      <w:r>
        <w:rPr>
          <w:sz w:val="24"/>
        </w:rPr>
        <w:t>500t/h</w:t>
      </w:r>
      <w:r>
        <w:rPr>
          <w:rFonts w:hAnsi="宋体"/>
          <w:sz w:val="24"/>
        </w:rPr>
        <w:t>，现有工程循环水用量约为</w:t>
      </w:r>
      <w:r>
        <w:rPr>
          <w:sz w:val="24"/>
        </w:rPr>
        <w:t>400 t/h</w:t>
      </w:r>
      <w:r>
        <w:rPr>
          <w:rFonts w:hAnsi="宋体"/>
          <w:sz w:val="24"/>
        </w:rPr>
        <w:t>，富裕能力为</w:t>
      </w:r>
      <w:r>
        <w:rPr>
          <w:sz w:val="24"/>
        </w:rPr>
        <w:t>100 t/h</w:t>
      </w:r>
      <w:r>
        <w:rPr>
          <w:rFonts w:hAnsi="宋体"/>
          <w:sz w:val="24"/>
        </w:rPr>
        <w:t>；本项目循环水量为</w:t>
      </w:r>
      <w:r>
        <w:rPr>
          <w:sz w:val="24"/>
        </w:rPr>
        <w:t>20t/h</w:t>
      </w:r>
      <w:r>
        <w:rPr>
          <w:rFonts w:hAnsi="宋体"/>
          <w:sz w:val="24"/>
        </w:rPr>
        <w:t>，现有循环水能力满足本项目循环用水要求。</w:t>
      </w:r>
    </w:p>
    <w:p w:rsidR="00475650" w:rsidRDefault="00475650">
      <w:pPr>
        <w:snapToGrid w:val="0"/>
        <w:spacing w:line="360" w:lineRule="auto"/>
        <w:ind w:firstLineChars="200" w:firstLine="480"/>
        <w:rPr>
          <w:sz w:val="24"/>
        </w:rPr>
      </w:pPr>
      <w:r>
        <w:rPr>
          <w:sz w:val="24"/>
        </w:rPr>
        <w:t xml:space="preserve"> (3)</w:t>
      </w:r>
      <w:r>
        <w:rPr>
          <w:rFonts w:hAnsi="宋体"/>
          <w:sz w:val="24"/>
        </w:rPr>
        <w:t>消防水系统</w:t>
      </w:r>
    </w:p>
    <w:p w:rsidR="00475650" w:rsidRDefault="00475650">
      <w:pPr>
        <w:snapToGrid w:val="0"/>
        <w:spacing w:line="360" w:lineRule="auto"/>
        <w:ind w:firstLineChars="200" w:firstLine="480"/>
        <w:rPr>
          <w:sz w:val="24"/>
        </w:rPr>
      </w:pPr>
      <w:r>
        <w:rPr>
          <w:rFonts w:hAnsi="宋体"/>
          <w:sz w:val="24"/>
        </w:rPr>
        <w:t>公司现有工程设有消防系统并配套建设有一个</w:t>
      </w:r>
      <w:r>
        <w:rPr>
          <w:sz w:val="24"/>
        </w:rPr>
        <w:t>500m</w:t>
      </w:r>
      <w:r>
        <w:rPr>
          <w:sz w:val="24"/>
          <w:vertAlign w:val="superscript"/>
        </w:rPr>
        <w:t>3</w:t>
      </w:r>
      <w:r>
        <w:rPr>
          <w:rFonts w:hAnsi="宋体"/>
          <w:sz w:val="24"/>
        </w:rPr>
        <w:t>的消防水池及消防水管网，管网水压不小于</w:t>
      </w:r>
      <w:r>
        <w:rPr>
          <w:sz w:val="24"/>
        </w:rPr>
        <w:t>0.4MPa</w:t>
      </w:r>
      <w:r>
        <w:rPr>
          <w:rFonts w:hAnsi="宋体"/>
          <w:sz w:val="24"/>
        </w:rPr>
        <w:t>，</w:t>
      </w:r>
      <w:r>
        <w:rPr>
          <w:sz w:val="24"/>
        </w:rPr>
        <w:t>24</w:t>
      </w:r>
      <w:r>
        <w:rPr>
          <w:rFonts w:hAnsi="宋体"/>
          <w:sz w:val="24"/>
        </w:rPr>
        <w:t>小时不间断供水，本项目位于现有厂区预留地内，工程所在地的消防水管网已在一期工程中铺设建成。同时发生火灾次数按一个着火点考虑，火灾延续时间为</w:t>
      </w:r>
      <w:r>
        <w:rPr>
          <w:sz w:val="24"/>
        </w:rPr>
        <w:t>3</w:t>
      </w:r>
      <w:r>
        <w:rPr>
          <w:rFonts w:hAnsi="宋体"/>
          <w:sz w:val="24"/>
        </w:rPr>
        <w:t>小时。室内外最大消防用水量为</w:t>
      </w:r>
      <w:r>
        <w:rPr>
          <w:sz w:val="24"/>
        </w:rPr>
        <w:t>45L/S(160m</w:t>
      </w:r>
      <w:r>
        <w:rPr>
          <w:sz w:val="24"/>
          <w:vertAlign w:val="superscript"/>
        </w:rPr>
        <w:t>3</w:t>
      </w:r>
      <w:r>
        <w:rPr>
          <w:sz w:val="24"/>
        </w:rPr>
        <w:t>/h</w:t>
      </w:r>
      <w:r>
        <w:rPr>
          <w:rFonts w:hAnsi="宋体"/>
          <w:sz w:val="24"/>
        </w:rPr>
        <w:t>），厂内</w:t>
      </w:r>
      <w:r>
        <w:rPr>
          <w:sz w:val="24"/>
        </w:rPr>
        <w:t>500 m</w:t>
      </w:r>
      <w:r>
        <w:rPr>
          <w:sz w:val="24"/>
          <w:vertAlign w:val="superscript"/>
        </w:rPr>
        <w:t>3</w:t>
      </w:r>
      <w:r>
        <w:rPr>
          <w:rFonts w:hAnsi="宋体"/>
          <w:sz w:val="24"/>
        </w:rPr>
        <w:t>消防水池可满足消防水备用水量要求。可为本次项目所依托。</w:t>
      </w:r>
    </w:p>
    <w:p w:rsidR="00475650" w:rsidRDefault="00475650">
      <w:pPr>
        <w:snapToGrid w:val="0"/>
        <w:spacing w:line="360" w:lineRule="auto"/>
        <w:ind w:firstLineChars="200" w:firstLine="480"/>
        <w:rPr>
          <w:sz w:val="24"/>
        </w:rPr>
      </w:pPr>
      <w:bookmarkStart w:id="355" w:name="_Toc302936751"/>
      <w:r>
        <w:rPr>
          <w:sz w:val="24"/>
        </w:rPr>
        <w:t>2.2.2.2</w:t>
      </w:r>
      <w:r>
        <w:rPr>
          <w:rFonts w:hAnsi="宋体"/>
          <w:sz w:val="24"/>
        </w:rPr>
        <w:t>排水</w:t>
      </w:r>
      <w:bookmarkEnd w:id="355"/>
    </w:p>
    <w:p w:rsidR="00475650" w:rsidRDefault="00475650">
      <w:pPr>
        <w:snapToGrid w:val="0"/>
        <w:spacing w:line="360" w:lineRule="auto"/>
        <w:ind w:firstLineChars="200" w:firstLine="480"/>
        <w:rPr>
          <w:sz w:val="24"/>
        </w:rPr>
      </w:pPr>
      <w:r>
        <w:rPr>
          <w:sz w:val="24"/>
        </w:rPr>
        <w:t>(1)</w:t>
      </w:r>
      <w:r>
        <w:rPr>
          <w:rFonts w:hAnsi="宋体"/>
          <w:sz w:val="24"/>
        </w:rPr>
        <w:t>生产生活废水排水</w:t>
      </w:r>
    </w:p>
    <w:p w:rsidR="00475650" w:rsidRDefault="00475650">
      <w:pPr>
        <w:pStyle w:val="2f"/>
        <w:spacing w:line="360" w:lineRule="auto"/>
        <w:ind w:firstLineChars="150" w:firstLine="348"/>
        <w:jc w:val="both"/>
        <w:rPr>
          <w:sz w:val="21"/>
          <w:szCs w:val="21"/>
          <w:highlight w:val="red"/>
        </w:rPr>
      </w:pPr>
      <w:r>
        <w:rPr>
          <w:rFonts w:hAnsi="宋体"/>
          <w:vanish/>
        </w:rPr>
        <w:t>处理目</w:t>
      </w:r>
      <w:r>
        <w:rPr>
          <w:vanish/>
        </w:rPr>
        <w:t xml:space="preserve">572      </w:t>
      </w:r>
      <w:r>
        <w:rPr>
          <w:vanish/>
        </w:rPr>
        <w:cr/>
      </w:r>
      <w:r>
        <w:rPr>
          <w:rFonts w:hAnsi="宋体"/>
          <w:vanish/>
        </w:rPr>
        <w:t>安全装置；</w:t>
      </w:r>
      <w:r>
        <w:rPr>
          <w:vanish/>
        </w:rPr>
        <w:t>8478640</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cr/>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rFonts w:hAnsi="宋体"/>
          <w:vanish/>
        </w:rPr>
        <w:t>发电机作为事故保安电源。</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rFonts w:hAnsi="宋体"/>
        </w:rPr>
        <w:t>厂区的排水方式设计为雨污分流制，洁净的后期雨水等通过雨水管网外排，其他含污废水送园区污水处理厂。</w:t>
      </w:r>
      <w:r>
        <w:rPr>
          <w:rFonts w:hAnsi="宋体" w:hint="eastAsia"/>
        </w:rPr>
        <w:t>现有工程生活废水采用化粪池处理后送园区污水处理厂处理，</w:t>
      </w:r>
      <w:r>
        <w:rPr>
          <w:rFonts w:hAnsi="宋体"/>
        </w:rPr>
        <w:t>本项目产生的生活废水依托厂内现有化粪池处理后由总排口外排至园区污水处理厂，生产废水由</w:t>
      </w:r>
      <w:r>
        <w:rPr>
          <w:rFonts w:hAnsi="宋体" w:hint="eastAsia"/>
        </w:rPr>
        <w:t>本项目</w:t>
      </w:r>
      <w:r>
        <w:rPr>
          <w:rFonts w:hAnsi="宋体"/>
        </w:rPr>
        <w:t>自建的污水处理设施处理达标后外排园区污水处理厂。</w:t>
      </w:r>
    </w:p>
    <w:p w:rsidR="00475650" w:rsidRDefault="00475650">
      <w:pPr>
        <w:snapToGrid w:val="0"/>
        <w:spacing w:line="360" w:lineRule="auto"/>
        <w:ind w:firstLineChars="200" w:firstLine="480"/>
        <w:rPr>
          <w:sz w:val="24"/>
        </w:rPr>
      </w:pPr>
      <w:r>
        <w:rPr>
          <w:sz w:val="24"/>
        </w:rPr>
        <w:t>(2)</w:t>
      </w:r>
      <w:r>
        <w:rPr>
          <w:rFonts w:hAnsi="宋体"/>
          <w:sz w:val="24"/>
        </w:rPr>
        <w:t>雨水收集系统</w:t>
      </w:r>
    </w:p>
    <w:p w:rsidR="00475650" w:rsidRDefault="00475650">
      <w:pPr>
        <w:spacing w:line="360" w:lineRule="auto"/>
        <w:ind w:firstLineChars="200" w:firstLine="480"/>
        <w:rPr>
          <w:sz w:val="24"/>
        </w:rPr>
      </w:pPr>
      <w:r>
        <w:rPr>
          <w:rFonts w:hAnsi="宋体"/>
          <w:sz w:val="24"/>
        </w:rPr>
        <w:t>厂区的排水方式设计为雨污分流制，现有工程设有</w:t>
      </w:r>
      <w:r>
        <w:rPr>
          <w:sz w:val="24"/>
        </w:rPr>
        <w:t>350m</w:t>
      </w:r>
      <w:r>
        <w:rPr>
          <w:sz w:val="24"/>
          <w:vertAlign w:val="superscript"/>
        </w:rPr>
        <w:t>3</w:t>
      </w:r>
      <w:r>
        <w:rPr>
          <w:rFonts w:hAnsi="宋体"/>
          <w:sz w:val="24"/>
        </w:rPr>
        <w:t>的初期雨水收集池，</w:t>
      </w:r>
      <w:r>
        <w:rPr>
          <w:rFonts w:hAnsi="宋体" w:hint="eastAsia"/>
          <w:sz w:val="24"/>
        </w:rPr>
        <w:t>公司总占地</w:t>
      </w:r>
      <w:r>
        <w:rPr>
          <w:rFonts w:hAnsi="宋体" w:hint="eastAsia"/>
          <w:sz w:val="24"/>
        </w:rPr>
        <w:t>40</w:t>
      </w:r>
      <w:r>
        <w:rPr>
          <w:rFonts w:hAnsi="宋体" w:hint="eastAsia"/>
          <w:sz w:val="24"/>
        </w:rPr>
        <w:t>亩，作业场所占地约为总占地的</w:t>
      </w:r>
      <w:r>
        <w:rPr>
          <w:rFonts w:hAnsi="宋体" w:hint="eastAsia"/>
          <w:sz w:val="24"/>
        </w:rPr>
        <w:t>90%</w:t>
      </w:r>
      <w:r>
        <w:rPr>
          <w:rFonts w:hAnsi="宋体" w:hint="eastAsia"/>
          <w:sz w:val="24"/>
        </w:rPr>
        <w:t>，按照项目区历年最大小时降雨量</w:t>
      </w:r>
      <w:r>
        <w:rPr>
          <w:rFonts w:hAnsi="宋体" w:hint="eastAsia"/>
          <w:sz w:val="24"/>
        </w:rPr>
        <w:t>50mm</w:t>
      </w:r>
      <w:r>
        <w:rPr>
          <w:rFonts w:hAnsi="宋体" w:hint="eastAsia"/>
          <w:sz w:val="24"/>
        </w:rPr>
        <w:t>，集雨时间</w:t>
      </w:r>
      <w:r>
        <w:rPr>
          <w:rFonts w:hAnsi="宋体" w:hint="eastAsia"/>
          <w:sz w:val="24"/>
        </w:rPr>
        <w:t>15</w:t>
      </w:r>
      <w:r>
        <w:rPr>
          <w:rFonts w:hAnsi="宋体" w:hint="eastAsia"/>
          <w:sz w:val="24"/>
        </w:rPr>
        <w:t>分钟核算，初期雨水的收集量为</w:t>
      </w:r>
      <w:r>
        <w:rPr>
          <w:rFonts w:hAnsi="宋体" w:hint="eastAsia"/>
          <w:sz w:val="24"/>
        </w:rPr>
        <w:t>300</w:t>
      </w:r>
      <w:r>
        <w:rPr>
          <w:sz w:val="24"/>
        </w:rPr>
        <w:t xml:space="preserve"> m</w:t>
      </w:r>
      <w:r>
        <w:rPr>
          <w:sz w:val="24"/>
          <w:vertAlign w:val="superscript"/>
        </w:rPr>
        <w:t>3</w:t>
      </w:r>
      <w:r>
        <w:rPr>
          <w:rFonts w:hAnsi="宋体" w:hint="eastAsia"/>
          <w:sz w:val="24"/>
        </w:rPr>
        <w:t>，</w:t>
      </w:r>
      <w:r>
        <w:rPr>
          <w:rFonts w:hAnsi="宋体"/>
          <w:sz w:val="24"/>
        </w:rPr>
        <w:t>初期雨水池已考虑</w:t>
      </w:r>
      <w:r>
        <w:rPr>
          <w:rFonts w:hAnsi="宋体"/>
          <w:sz w:val="24"/>
        </w:rPr>
        <w:lastRenderedPageBreak/>
        <w:t>了全厂区作业场地的雨水收集，初期雨水收集管网已于一期工程铺设完成，满足本项目初期雨水的收集要求。</w:t>
      </w:r>
      <w:r>
        <w:rPr>
          <w:rFonts w:hAnsi="宋体" w:hint="eastAsia"/>
          <w:sz w:val="24"/>
        </w:rPr>
        <w:t>本项目建成后，公司占地范围内收集的</w:t>
      </w:r>
      <w:r>
        <w:rPr>
          <w:rFonts w:hAnsi="宋体"/>
          <w:sz w:val="24"/>
        </w:rPr>
        <w:t>初期雨水送污水处理站处理后由总排口排至园区污水处理厂。后期洁净雨水由公司雨水排口直接外排厂区周边路面边沟。</w:t>
      </w:r>
    </w:p>
    <w:p w:rsidR="00475650" w:rsidRDefault="00475650">
      <w:pPr>
        <w:pStyle w:val="33Char111H3BHeadBSH-3h33rdlevel"/>
        <w:outlineLvl w:val="0"/>
        <w:rPr>
          <w:b w:val="0"/>
          <w:bCs/>
        </w:rPr>
      </w:pPr>
      <w:bookmarkStart w:id="356" w:name="_Toc334080756"/>
      <w:bookmarkStart w:id="357" w:name="_Toc302936752"/>
      <w:bookmarkStart w:id="358" w:name="_Toc334014114"/>
      <w:bookmarkStart w:id="359" w:name="_Toc333229902"/>
      <w:bookmarkStart w:id="360" w:name="_Toc448999074"/>
      <w:bookmarkStart w:id="361" w:name="_Toc465676969"/>
      <w:bookmarkStart w:id="362" w:name="_Toc15376"/>
      <w:r>
        <w:rPr>
          <w:b w:val="0"/>
        </w:rPr>
        <w:t xml:space="preserve">2.2.2.3 </w:t>
      </w:r>
      <w:r>
        <w:rPr>
          <w:rFonts w:hAnsi="宋体"/>
          <w:b w:val="0"/>
        </w:rPr>
        <w:t>供电</w:t>
      </w:r>
      <w:bookmarkEnd w:id="356"/>
      <w:bookmarkEnd w:id="357"/>
      <w:bookmarkEnd w:id="358"/>
      <w:bookmarkEnd w:id="359"/>
      <w:bookmarkEnd w:id="360"/>
      <w:bookmarkEnd w:id="361"/>
      <w:bookmarkEnd w:id="362"/>
    </w:p>
    <w:p w:rsidR="00475650" w:rsidRDefault="00475650">
      <w:pPr>
        <w:spacing w:line="360" w:lineRule="auto"/>
        <w:ind w:firstLineChars="200" w:firstLine="480"/>
        <w:rPr>
          <w:sz w:val="24"/>
        </w:rPr>
      </w:pPr>
      <w:r>
        <w:rPr>
          <w:rFonts w:hAnsi="宋体"/>
          <w:sz w:val="24"/>
        </w:rPr>
        <w:t>本项目年总用电量为</w:t>
      </w:r>
      <w:r>
        <w:rPr>
          <w:sz w:val="24"/>
        </w:rPr>
        <w:t>120</w:t>
      </w:r>
      <w:r>
        <w:rPr>
          <w:rFonts w:hAnsi="宋体"/>
          <w:sz w:val="24"/>
        </w:rPr>
        <w:t>万</w:t>
      </w:r>
      <w:r>
        <w:rPr>
          <w:sz w:val="24"/>
        </w:rPr>
        <w:t>kwh</w:t>
      </w:r>
      <w:r>
        <w:rPr>
          <w:rFonts w:hAnsi="宋体"/>
          <w:sz w:val="24"/>
        </w:rPr>
        <w:t>，用电由园区供电站变电所</w:t>
      </w:r>
      <w:r>
        <w:rPr>
          <w:sz w:val="24"/>
        </w:rPr>
        <w:t>10KV</w:t>
      </w:r>
      <w:r>
        <w:rPr>
          <w:rFonts w:hAnsi="宋体"/>
          <w:sz w:val="24"/>
        </w:rPr>
        <w:t>电缆埋地引进，经公司变压后提供</w:t>
      </w:r>
      <w:r>
        <w:rPr>
          <w:sz w:val="24"/>
        </w:rPr>
        <w:t>380V</w:t>
      </w:r>
      <w:r>
        <w:rPr>
          <w:rFonts w:hAnsi="宋体"/>
          <w:sz w:val="24"/>
        </w:rPr>
        <w:t>电源，供生产装置使用。</w:t>
      </w:r>
      <w:r>
        <w:rPr>
          <w:rFonts w:hAnsi="宋体" w:hint="eastAsia"/>
          <w:sz w:val="24"/>
        </w:rPr>
        <w:t>公司</w:t>
      </w:r>
      <w:r>
        <w:rPr>
          <w:rFonts w:hAnsi="宋体"/>
          <w:sz w:val="24"/>
        </w:rPr>
        <w:t>现有一台</w:t>
      </w:r>
      <w:r>
        <w:rPr>
          <w:sz w:val="24"/>
        </w:rPr>
        <w:t>30Kwh</w:t>
      </w:r>
      <w:r>
        <w:rPr>
          <w:rFonts w:hAnsi="宋体"/>
          <w:sz w:val="24"/>
        </w:rPr>
        <w:t>柴油发电机，供给公司事故状态生产工艺保安电源。</w:t>
      </w:r>
    </w:p>
    <w:p w:rsidR="00475650" w:rsidRDefault="00475650">
      <w:pPr>
        <w:spacing w:line="360" w:lineRule="auto"/>
        <w:ind w:firstLineChars="200" w:firstLine="480"/>
        <w:rPr>
          <w:sz w:val="24"/>
        </w:rPr>
      </w:pPr>
      <w:r>
        <w:rPr>
          <w:rFonts w:hAnsi="宋体"/>
          <w:sz w:val="24"/>
        </w:rPr>
        <w:t>厂区占地范围内的供电线路在一期工程中已一次建成，项目对用电容量和供电可靠性的要求可得到保障，外环境已有供电能力能满足工程需要，本项目可直接依托。</w:t>
      </w:r>
    </w:p>
    <w:p w:rsidR="00475650" w:rsidRDefault="00475650">
      <w:pPr>
        <w:pStyle w:val="33Char111H3BHeadBSH-3h33rdlevel"/>
        <w:outlineLvl w:val="0"/>
        <w:rPr>
          <w:b w:val="0"/>
        </w:rPr>
      </w:pPr>
      <w:bookmarkStart w:id="363" w:name="_Toc334014115"/>
      <w:bookmarkStart w:id="364" w:name="_Toc333229903"/>
      <w:bookmarkStart w:id="365" w:name="_Toc334080757"/>
      <w:bookmarkStart w:id="366" w:name="_Toc302936753"/>
      <w:bookmarkStart w:id="367" w:name="_Toc448999075"/>
      <w:bookmarkStart w:id="368" w:name="_Toc465676970"/>
      <w:bookmarkStart w:id="369" w:name="_Toc32188"/>
      <w:r>
        <w:rPr>
          <w:b w:val="0"/>
        </w:rPr>
        <w:t xml:space="preserve">2.2.2.4 </w:t>
      </w:r>
      <w:r>
        <w:rPr>
          <w:rFonts w:hAnsi="宋体"/>
          <w:b w:val="0"/>
        </w:rPr>
        <w:t>供热</w:t>
      </w:r>
      <w:bookmarkEnd w:id="363"/>
      <w:bookmarkEnd w:id="364"/>
      <w:bookmarkEnd w:id="365"/>
      <w:bookmarkEnd w:id="366"/>
      <w:bookmarkEnd w:id="367"/>
      <w:bookmarkEnd w:id="368"/>
      <w:bookmarkEnd w:id="369"/>
    </w:p>
    <w:p w:rsidR="00475650" w:rsidRDefault="00475650">
      <w:pPr>
        <w:spacing w:line="360" w:lineRule="auto"/>
        <w:ind w:firstLineChars="200" w:firstLine="480"/>
        <w:rPr>
          <w:sz w:val="24"/>
        </w:rPr>
      </w:pPr>
      <w:r>
        <w:rPr>
          <w:rFonts w:hAnsi="宋体"/>
          <w:sz w:val="24"/>
        </w:rPr>
        <w:t>公司现有装置不需蒸汽，无供热工程，本工程蒸汽耗量约为</w:t>
      </w:r>
      <w:r>
        <w:rPr>
          <w:sz w:val="24"/>
        </w:rPr>
        <w:t>3.6t/h</w:t>
      </w:r>
      <w:r>
        <w:rPr>
          <w:rFonts w:hAnsi="宋体"/>
          <w:sz w:val="24"/>
        </w:rPr>
        <w:t>，园区已于</w:t>
      </w:r>
      <w:r>
        <w:rPr>
          <w:sz w:val="24"/>
        </w:rPr>
        <w:t>2015</w:t>
      </w:r>
      <w:r>
        <w:rPr>
          <w:rFonts w:hAnsi="宋体"/>
          <w:sz w:val="24"/>
        </w:rPr>
        <w:t>年底实现集中供热，满足本项目用热要求。</w:t>
      </w:r>
      <w:r>
        <w:rPr>
          <w:rFonts w:hAnsi="宋体" w:hint="eastAsia"/>
          <w:sz w:val="24"/>
        </w:rPr>
        <w:t>目前园区已实现集中供热，供热管网已接至公司。</w:t>
      </w:r>
    </w:p>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370" w:name="_Toc334014119"/>
      <w:bookmarkStart w:id="371" w:name="_Toc333229907"/>
      <w:bookmarkStart w:id="372" w:name="_Toc332292963"/>
      <w:bookmarkStart w:id="373" w:name="_Toc302936758"/>
      <w:bookmarkStart w:id="374" w:name="_Toc334080761"/>
      <w:bookmarkStart w:id="375" w:name="_Toc465676971"/>
      <w:bookmarkStart w:id="376" w:name="_Toc8945"/>
      <w:r>
        <w:rPr>
          <w:rStyle w:val="2Char1Char"/>
          <w:rFonts w:ascii="Times New Roman" w:eastAsia="宋体" w:hAnsi="Times New Roman" w:cs="Times New Roman"/>
          <w:b w:val="0"/>
          <w:sz w:val="24"/>
          <w:szCs w:val="24"/>
        </w:rPr>
        <w:t>2.2.3</w:t>
      </w:r>
      <w:r>
        <w:rPr>
          <w:rStyle w:val="2Char1Char"/>
          <w:rFonts w:ascii="Times New Roman" w:eastAsia="宋体" w:hAnsi="宋体" w:cs="Times New Roman"/>
          <w:b w:val="0"/>
          <w:sz w:val="24"/>
          <w:szCs w:val="24"/>
        </w:rPr>
        <w:t>辅助生产设施</w:t>
      </w:r>
      <w:bookmarkEnd w:id="370"/>
      <w:bookmarkEnd w:id="371"/>
      <w:bookmarkEnd w:id="372"/>
      <w:bookmarkEnd w:id="373"/>
      <w:bookmarkEnd w:id="374"/>
      <w:bookmarkEnd w:id="375"/>
      <w:bookmarkEnd w:id="376"/>
    </w:p>
    <w:p w:rsidR="00475650" w:rsidRDefault="00475650">
      <w:pPr>
        <w:spacing w:line="360" w:lineRule="auto"/>
        <w:ind w:firstLineChars="200" w:firstLine="480"/>
        <w:rPr>
          <w:sz w:val="24"/>
        </w:rPr>
      </w:pPr>
      <w:r>
        <w:rPr>
          <w:rFonts w:hAnsi="宋体"/>
          <w:sz w:val="24"/>
        </w:rPr>
        <w:t>本项目的辅助生产设施办公楼依托一期工程已建成办公楼；厂内运输采用人工推车运输，原辅材料的购买依托社会运输力量。</w:t>
      </w:r>
    </w:p>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377" w:name="_Toc465676972"/>
      <w:bookmarkStart w:id="378" w:name="_Toc4953"/>
      <w:r>
        <w:rPr>
          <w:rStyle w:val="2Char1Char"/>
          <w:rFonts w:ascii="Times New Roman" w:eastAsia="宋体" w:hAnsi="Times New Roman" w:cs="Times New Roman"/>
          <w:b w:val="0"/>
          <w:sz w:val="24"/>
          <w:szCs w:val="24"/>
        </w:rPr>
        <w:t>2.2.4</w:t>
      </w:r>
      <w:r>
        <w:rPr>
          <w:rStyle w:val="2Char1Char"/>
          <w:rFonts w:ascii="Times New Roman" w:eastAsia="宋体" w:hAnsi="宋体" w:cs="Times New Roman"/>
          <w:b w:val="0"/>
          <w:sz w:val="24"/>
          <w:szCs w:val="24"/>
        </w:rPr>
        <w:t>环保工程</w:t>
      </w:r>
      <w:bookmarkEnd w:id="377"/>
      <w:bookmarkEnd w:id="378"/>
    </w:p>
    <w:p w:rsidR="00475650" w:rsidRDefault="00475650">
      <w:pPr>
        <w:pStyle w:val="33Char111H3BHeadBSH-3h33rdlevel"/>
        <w:outlineLvl w:val="0"/>
        <w:rPr>
          <w:b w:val="0"/>
        </w:rPr>
      </w:pPr>
      <w:bookmarkStart w:id="379" w:name="_Toc448999078"/>
      <w:bookmarkStart w:id="380" w:name="_Toc465676973"/>
      <w:bookmarkStart w:id="381" w:name="_Toc1529"/>
      <w:r>
        <w:rPr>
          <w:b w:val="0"/>
        </w:rPr>
        <w:t xml:space="preserve">2.2.4.1 </w:t>
      </w:r>
      <w:r>
        <w:rPr>
          <w:rFonts w:hAnsi="宋体"/>
          <w:b w:val="0"/>
        </w:rPr>
        <w:t>废气处理设施</w:t>
      </w:r>
      <w:bookmarkEnd w:id="379"/>
      <w:bookmarkEnd w:id="380"/>
      <w:bookmarkEnd w:id="381"/>
    </w:p>
    <w:p w:rsidR="00475650" w:rsidRDefault="00475650">
      <w:pPr>
        <w:spacing w:line="360" w:lineRule="auto"/>
        <w:ind w:firstLineChars="200" w:firstLine="480"/>
        <w:rPr>
          <w:sz w:val="24"/>
        </w:rPr>
      </w:pPr>
      <w:r>
        <w:rPr>
          <w:rFonts w:hAnsi="宋体" w:hint="eastAsia"/>
          <w:sz w:val="24"/>
        </w:rPr>
        <w:t>本项目生产车间与现有工程生产车间有一定的距离，生产废气需单独建处理设施进行处理。</w:t>
      </w:r>
    </w:p>
    <w:p w:rsidR="00475650" w:rsidRDefault="00475650">
      <w:pPr>
        <w:pStyle w:val="33Char111H3BHeadBSH-3h33rdlevel"/>
        <w:outlineLvl w:val="0"/>
        <w:rPr>
          <w:b w:val="0"/>
        </w:rPr>
      </w:pPr>
      <w:bookmarkStart w:id="382" w:name="_Toc448999079"/>
      <w:bookmarkStart w:id="383" w:name="_Toc465676974"/>
      <w:bookmarkStart w:id="384" w:name="_Toc30402"/>
      <w:r>
        <w:rPr>
          <w:b w:val="0"/>
        </w:rPr>
        <w:t xml:space="preserve">2.2.4.2 </w:t>
      </w:r>
      <w:r>
        <w:rPr>
          <w:rFonts w:hAnsi="宋体"/>
          <w:b w:val="0"/>
        </w:rPr>
        <w:t>废水处理设施</w:t>
      </w:r>
      <w:bookmarkEnd w:id="382"/>
      <w:bookmarkEnd w:id="383"/>
      <w:bookmarkEnd w:id="384"/>
    </w:p>
    <w:p w:rsidR="00475650" w:rsidRDefault="00475650">
      <w:pPr>
        <w:spacing w:line="360" w:lineRule="auto"/>
        <w:ind w:firstLineChars="200" w:firstLine="480"/>
        <w:rPr>
          <w:sz w:val="24"/>
        </w:rPr>
      </w:pPr>
      <w:r>
        <w:rPr>
          <w:rFonts w:hAnsi="宋体"/>
          <w:sz w:val="24"/>
        </w:rPr>
        <w:t>现有工程未建污水处理设施，废水收集后由管网直接外排至园区污水处理厂，由于项目水质较公司现有工程水质差别较大，本项目需新建一套污水处理设施处理染料工程生产废水。</w:t>
      </w:r>
    </w:p>
    <w:p w:rsidR="00475650" w:rsidRDefault="00475650">
      <w:pPr>
        <w:pStyle w:val="af4"/>
      </w:pPr>
    </w:p>
    <w:p w:rsidR="00475650" w:rsidRDefault="00475650">
      <w:pPr>
        <w:pStyle w:val="22"/>
        <w:snapToGrid w:val="0"/>
        <w:spacing w:before="0" w:after="0"/>
        <w:rPr>
          <w:rFonts w:ascii="Times New Roman" w:eastAsia="宋体" w:hAnsi="Times New Roman"/>
          <w:sz w:val="28"/>
          <w:szCs w:val="28"/>
        </w:rPr>
      </w:pPr>
      <w:bookmarkStart w:id="385" w:name="_Toc465676975"/>
      <w:bookmarkStart w:id="386" w:name="_Toc19930"/>
      <w:r>
        <w:rPr>
          <w:rFonts w:ascii="Times New Roman" w:eastAsia="宋体" w:hAnsi="Times New Roman"/>
          <w:sz w:val="28"/>
          <w:szCs w:val="28"/>
        </w:rPr>
        <w:t>2.3</w:t>
      </w:r>
      <w:r>
        <w:rPr>
          <w:rFonts w:ascii="Times New Roman" w:eastAsia="宋体" w:hAnsi="宋体"/>
          <w:sz w:val="28"/>
          <w:szCs w:val="28"/>
        </w:rPr>
        <w:t>滨江产业区基本概况</w:t>
      </w:r>
      <w:bookmarkEnd w:id="385"/>
      <w:bookmarkEnd w:id="386"/>
      <w:r>
        <w:rPr>
          <w:rFonts w:ascii="Times New Roman" w:eastAsia="宋体" w:hAnsi="Times New Roman"/>
          <w:sz w:val="28"/>
          <w:szCs w:val="28"/>
        </w:rPr>
        <w:t xml:space="preserve">  </w:t>
      </w:r>
    </w:p>
    <w:p w:rsidR="00475650" w:rsidRDefault="00475650">
      <w:pPr>
        <w:spacing w:line="360" w:lineRule="auto"/>
        <w:ind w:firstLineChars="200" w:firstLine="480"/>
        <w:rPr>
          <w:sz w:val="24"/>
        </w:rPr>
      </w:pPr>
      <w:r>
        <w:rPr>
          <w:rFonts w:hAnsi="宋体"/>
          <w:sz w:val="24"/>
        </w:rPr>
        <w:t>岳阳市人民政府根据临湘市化工行业是主要的工业优势行业，且在儒溪镇所在</w:t>
      </w:r>
      <w:r>
        <w:rPr>
          <w:rFonts w:hAnsi="宋体"/>
          <w:sz w:val="24"/>
        </w:rPr>
        <w:lastRenderedPageBreak/>
        <w:t>地有国家</w:t>
      </w:r>
      <w:r>
        <w:rPr>
          <w:sz w:val="24"/>
        </w:rPr>
        <w:t>“</w:t>
      </w:r>
      <w:r>
        <w:rPr>
          <w:rFonts w:hAnsi="宋体"/>
          <w:sz w:val="24"/>
        </w:rPr>
        <w:t>七五</w:t>
      </w:r>
      <w:r>
        <w:rPr>
          <w:sz w:val="24"/>
        </w:rPr>
        <w:t>”</w:t>
      </w:r>
      <w:r>
        <w:rPr>
          <w:rFonts w:hAnsi="宋体"/>
          <w:sz w:val="24"/>
        </w:rPr>
        <w:t>、</w:t>
      </w:r>
      <w:r>
        <w:rPr>
          <w:sz w:val="24"/>
        </w:rPr>
        <w:t>“</w:t>
      </w:r>
      <w:r>
        <w:rPr>
          <w:rFonts w:hAnsi="宋体"/>
          <w:sz w:val="24"/>
        </w:rPr>
        <w:t>八五</w:t>
      </w:r>
      <w:r>
        <w:rPr>
          <w:sz w:val="24"/>
        </w:rPr>
        <w:t>”</w:t>
      </w:r>
      <w:r>
        <w:rPr>
          <w:rFonts w:hAnsi="宋体"/>
          <w:sz w:val="24"/>
        </w:rPr>
        <w:t>期间建成的氨基甲酸酯类系列农药生产工业园，可生产基础化工原料、精细化工产品、医药中间体等</w:t>
      </w:r>
      <w:r>
        <w:rPr>
          <w:sz w:val="24"/>
        </w:rPr>
        <w:t>4</w:t>
      </w:r>
      <w:r>
        <w:rPr>
          <w:rFonts w:hAnsi="宋体"/>
          <w:sz w:val="24"/>
        </w:rPr>
        <w:t>大类</w:t>
      </w:r>
      <w:r>
        <w:rPr>
          <w:sz w:val="24"/>
        </w:rPr>
        <w:t>30</w:t>
      </w:r>
      <w:r>
        <w:rPr>
          <w:rFonts w:hAnsi="宋体"/>
          <w:sz w:val="24"/>
        </w:rPr>
        <w:t>多个品种，曾是中南地区最大的农药生产工业园之一。因此提出将儒溪农药生产基地建设为省级化工农药园区的申请，</w:t>
      </w:r>
      <w:r>
        <w:rPr>
          <w:sz w:val="24"/>
        </w:rPr>
        <w:t>2007</w:t>
      </w:r>
      <w:r>
        <w:rPr>
          <w:rFonts w:hAnsi="宋体"/>
          <w:sz w:val="24"/>
        </w:rPr>
        <w:t>年</w:t>
      </w:r>
      <w:r>
        <w:rPr>
          <w:sz w:val="24"/>
        </w:rPr>
        <w:t>6</w:t>
      </w:r>
      <w:r>
        <w:rPr>
          <w:rFonts w:hAnsi="宋体"/>
          <w:sz w:val="24"/>
        </w:rPr>
        <w:t>月，编制了《湖南省临湘工业园儒溪工业区分区规划文本》以及《湖南省临湘工业园儒溪工业区分区规划说明书》，湖南省发展和改革委员出具《对临湘市儒溪农药生产工业园建设为省级化工农药园区的意见》</w:t>
      </w:r>
      <w:r>
        <w:rPr>
          <w:sz w:val="24"/>
        </w:rPr>
        <w:t>(</w:t>
      </w:r>
      <w:r>
        <w:rPr>
          <w:rFonts w:hAnsi="宋体"/>
          <w:sz w:val="24"/>
        </w:rPr>
        <w:t>湘发改函</w:t>
      </w:r>
      <w:r>
        <w:rPr>
          <w:sz w:val="24"/>
        </w:rPr>
        <w:t>[2007]121</w:t>
      </w:r>
      <w:r>
        <w:rPr>
          <w:rFonts w:hAnsi="宋体"/>
          <w:sz w:val="24"/>
        </w:rPr>
        <w:t>号</w:t>
      </w:r>
      <w:r>
        <w:rPr>
          <w:sz w:val="24"/>
        </w:rPr>
        <w:t>)</w:t>
      </w:r>
      <w:r>
        <w:rPr>
          <w:rFonts w:hAnsi="宋体"/>
          <w:sz w:val="24"/>
        </w:rPr>
        <w:t>。</w:t>
      </w:r>
    </w:p>
    <w:p w:rsidR="00475650" w:rsidRDefault="00475650">
      <w:pPr>
        <w:spacing w:line="360" w:lineRule="auto"/>
        <w:ind w:firstLineChars="200" w:firstLine="480"/>
        <w:rPr>
          <w:sz w:val="24"/>
        </w:rPr>
      </w:pPr>
      <w:r>
        <w:rPr>
          <w:sz w:val="24"/>
        </w:rPr>
        <w:t>2015</w:t>
      </w:r>
      <w:r>
        <w:rPr>
          <w:rFonts w:hAnsi="宋体"/>
          <w:sz w:val="24"/>
        </w:rPr>
        <w:t>年，根据临湘市委、市政府根据省委、省政府和岳阳市委、市政府产业发展布局的要求，对滨江产业区进行调区扩区，确定该区将致力于构建以绿色化工为引领，近期以精细化工、有色金属、现代港口物流为支撑的新兴产业集聚发展。湖南城市学院规划建筑设计研究院编制了《临湘工业园滨江产业区总体规划（</w:t>
      </w:r>
      <w:r>
        <w:rPr>
          <w:sz w:val="24"/>
        </w:rPr>
        <w:t>2015-2030</w:t>
      </w:r>
      <w:r>
        <w:rPr>
          <w:rFonts w:hAnsi="宋体"/>
          <w:sz w:val="24"/>
        </w:rPr>
        <w:t>年）》，湖南省环境保护厅以</w:t>
      </w:r>
      <w:r>
        <w:rPr>
          <w:sz w:val="24"/>
        </w:rPr>
        <w:t>“</w:t>
      </w:r>
      <w:r>
        <w:rPr>
          <w:rFonts w:hAnsi="宋体"/>
          <w:sz w:val="24"/>
        </w:rPr>
        <w:t>湘环评函</w:t>
      </w:r>
      <w:r>
        <w:rPr>
          <w:sz w:val="24"/>
        </w:rPr>
        <w:t>[2016]1</w:t>
      </w:r>
      <w:r>
        <w:rPr>
          <w:rFonts w:hAnsi="宋体"/>
          <w:sz w:val="24"/>
        </w:rPr>
        <w:t>号</w:t>
      </w:r>
      <w:r>
        <w:rPr>
          <w:sz w:val="24"/>
        </w:rPr>
        <w:t>”</w:t>
      </w:r>
      <w:r>
        <w:rPr>
          <w:rFonts w:hAnsi="宋体"/>
          <w:sz w:val="24"/>
        </w:rPr>
        <w:t>文通过了该规划环评。</w:t>
      </w:r>
    </w:p>
    <w:p w:rsidR="00475650" w:rsidRDefault="00475650">
      <w:pPr>
        <w:pStyle w:val="31"/>
        <w:snapToGrid w:val="0"/>
        <w:spacing w:before="0" w:after="0"/>
        <w:rPr>
          <w:sz w:val="24"/>
          <w:szCs w:val="24"/>
        </w:rPr>
      </w:pPr>
      <w:r>
        <w:rPr>
          <w:sz w:val="24"/>
          <w:szCs w:val="24"/>
        </w:rPr>
        <w:t xml:space="preserve">2.3.1 </w:t>
      </w:r>
      <w:r>
        <w:rPr>
          <w:rFonts w:hAnsi="宋体"/>
          <w:sz w:val="24"/>
          <w:szCs w:val="24"/>
        </w:rPr>
        <w:t>规划范围及产业定位</w:t>
      </w:r>
    </w:p>
    <w:p w:rsidR="00475650" w:rsidRDefault="00475650">
      <w:pPr>
        <w:spacing w:line="360" w:lineRule="auto"/>
        <w:ind w:firstLineChars="200" w:firstLine="480"/>
        <w:rPr>
          <w:sz w:val="24"/>
        </w:rPr>
      </w:pPr>
      <w:r>
        <w:rPr>
          <w:sz w:val="24"/>
        </w:rPr>
        <w:t>1</w:t>
      </w:r>
      <w:r>
        <w:rPr>
          <w:rFonts w:hAnsi="宋体"/>
          <w:sz w:val="24"/>
        </w:rPr>
        <w:t>、规划</w:t>
      </w:r>
      <w:r>
        <w:rPr>
          <w:rFonts w:hAnsi="宋体" w:hint="eastAsia"/>
          <w:sz w:val="24"/>
        </w:rPr>
        <w:t>期限与规划</w:t>
      </w:r>
      <w:r>
        <w:rPr>
          <w:rFonts w:hAnsi="宋体"/>
          <w:sz w:val="24"/>
        </w:rPr>
        <w:t>范围</w:t>
      </w:r>
    </w:p>
    <w:p w:rsidR="00475650" w:rsidRDefault="00475650">
      <w:pPr>
        <w:spacing w:line="360" w:lineRule="auto"/>
        <w:ind w:firstLineChars="200" w:firstLine="480"/>
        <w:rPr>
          <w:rFonts w:hAnsi="宋体"/>
          <w:sz w:val="24"/>
        </w:rPr>
      </w:pPr>
      <w:r>
        <w:rPr>
          <w:rFonts w:hAnsi="宋体" w:hint="eastAsia"/>
          <w:sz w:val="24"/>
        </w:rPr>
        <w:t>规划期限为：</w:t>
      </w:r>
      <w:r>
        <w:rPr>
          <w:rFonts w:hAnsi="宋体" w:hint="eastAsia"/>
          <w:sz w:val="24"/>
        </w:rPr>
        <w:t>2015-2020</w:t>
      </w:r>
      <w:r>
        <w:rPr>
          <w:rFonts w:hAnsi="宋体" w:hint="eastAsia"/>
          <w:sz w:val="24"/>
        </w:rPr>
        <w:t>年</w:t>
      </w:r>
      <w:r>
        <w:rPr>
          <w:rFonts w:hAnsi="宋体"/>
          <w:sz w:val="24"/>
        </w:rPr>
        <w:t>。</w:t>
      </w:r>
    </w:p>
    <w:p w:rsidR="00475650" w:rsidRDefault="00475650">
      <w:pPr>
        <w:spacing w:line="360" w:lineRule="auto"/>
        <w:ind w:firstLineChars="200" w:firstLine="480"/>
        <w:rPr>
          <w:rFonts w:hAnsi="宋体"/>
          <w:sz w:val="24"/>
        </w:rPr>
      </w:pPr>
      <w:r>
        <w:rPr>
          <w:rFonts w:hAnsi="宋体" w:hint="eastAsia"/>
          <w:sz w:val="24"/>
        </w:rPr>
        <w:t>规划范围：规划区范围包括</w:t>
      </w:r>
      <w:r>
        <w:rPr>
          <w:rFonts w:hAnsi="宋体"/>
          <w:sz w:val="24"/>
        </w:rPr>
        <w:t>工业大道</w:t>
      </w:r>
      <w:r>
        <w:rPr>
          <w:rFonts w:hAnsi="宋体" w:hint="eastAsia"/>
          <w:sz w:val="24"/>
        </w:rPr>
        <w:t>(</w:t>
      </w:r>
      <w:r>
        <w:rPr>
          <w:rFonts w:hAnsi="宋体"/>
          <w:sz w:val="24"/>
        </w:rPr>
        <w:t>S201</w:t>
      </w:r>
      <w:r>
        <w:rPr>
          <w:rFonts w:hAnsi="宋体" w:hint="eastAsia"/>
          <w:sz w:val="24"/>
        </w:rPr>
        <w:t>)</w:t>
      </w:r>
      <w:r>
        <w:rPr>
          <w:rFonts w:hAnsi="宋体"/>
          <w:sz w:val="24"/>
        </w:rPr>
        <w:t>沿线和临港大道、民富路之间沿线的用地，面积达</w:t>
      </w:r>
      <w:r>
        <w:rPr>
          <w:rFonts w:hAnsi="宋体" w:hint="eastAsia"/>
          <w:sz w:val="24"/>
        </w:rPr>
        <w:t>8.76km</w:t>
      </w:r>
      <w:r>
        <w:rPr>
          <w:rFonts w:hAnsi="宋体" w:hint="eastAsia"/>
          <w:sz w:val="24"/>
          <w:vertAlign w:val="superscript"/>
        </w:rPr>
        <w:t>2</w:t>
      </w:r>
      <w:r>
        <w:rPr>
          <w:rFonts w:hAnsi="宋体" w:hint="eastAsia"/>
          <w:sz w:val="24"/>
        </w:rPr>
        <w:t>(</w:t>
      </w:r>
      <w:r>
        <w:rPr>
          <w:rFonts w:hAnsi="宋体" w:hint="eastAsia"/>
          <w:sz w:val="24"/>
        </w:rPr>
        <w:t>集中建设有色金属冶炼组团、绿色化工聚集组团、现代港口物流组团和小城镇建设组团，至</w:t>
      </w:r>
      <w:r>
        <w:rPr>
          <w:rFonts w:hAnsi="宋体" w:hint="eastAsia"/>
          <w:sz w:val="24"/>
        </w:rPr>
        <w:t>20</w:t>
      </w:r>
      <w:r>
        <w:rPr>
          <w:rFonts w:hAnsi="宋体"/>
          <w:sz w:val="24"/>
        </w:rPr>
        <w:t>20</w:t>
      </w:r>
      <w:r>
        <w:rPr>
          <w:rFonts w:hAnsi="宋体" w:hint="eastAsia"/>
          <w:sz w:val="24"/>
        </w:rPr>
        <w:t>年各组团建设用地分别</w:t>
      </w:r>
      <w:r>
        <w:rPr>
          <w:rFonts w:hAnsi="宋体" w:hint="eastAsia"/>
          <w:sz w:val="24"/>
        </w:rPr>
        <w:t>3.49km</w:t>
      </w:r>
      <w:r>
        <w:rPr>
          <w:rFonts w:hAnsi="宋体" w:hint="eastAsia"/>
          <w:sz w:val="24"/>
          <w:vertAlign w:val="superscript"/>
        </w:rPr>
        <w:t>2</w:t>
      </w:r>
      <w:r>
        <w:rPr>
          <w:rFonts w:hAnsi="宋体" w:hint="eastAsia"/>
          <w:sz w:val="24"/>
        </w:rPr>
        <w:t>、</w:t>
      </w:r>
      <w:r>
        <w:rPr>
          <w:rFonts w:hAnsi="宋体" w:hint="eastAsia"/>
          <w:sz w:val="24"/>
        </w:rPr>
        <w:t>3.90km</w:t>
      </w:r>
      <w:r>
        <w:rPr>
          <w:rFonts w:hAnsi="宋体" w:hint="eastAsia"/>
          <w:sz w:val="24"/>
          <w:vertAlign w:val="superscript"/>
        </w:rPr>
        <w:t>2</w:t>
      </w:r>
      <w:r>
        <w:rPr>
          <w:rFonts w:hAnsi="宋体" w:hint="eastAsia"/>
          <w:sz w:val="24"/>
        </w:rPr>
        <w:t>、</w:t>
      </w:r>
      <w:r>
        <w:rPr>
          <w:rFonts w:hAnsi="宋体" w:hint="eastAsia"/>
          <w:sz w:val="24"/>
        </w:rPr>
        <w:t>0.62km</w:t>
      </w:r>
      <w:r>
        <w:rPr>
          <w:rFonts w:hAnsi="宋体" w:hint="eastAsia"/>
          <w:sz w:val="24"/>
          <w:vertAlign w:val="superscript"/>
        </w:rPr>
        <w:t>2</w:t>
      </w:r>
      <w:r>
        <w:rPr>
          <w:rFonts w:hAnsi="宋体" w:hint="eastAsia"/>
          <w:sz w:val="24"/>
        </w:rPr>
        <w:t xml:space="preserve"> </w:t>
      </w:r>
      <w:r>
        <w:rPr>
          <w:rFonts w:hAnsi="宋体" w:hint="eastAsia"/>
          <w:sz w:val="24"/>
        </w:rPr>
        <w:t>和</w:t>
      </w:r>
      <w:r>
        <w:rPr>
          <w:rFonts w:hAnsi="宋体" w:hint="eastAsia"/>
          <w:sz w:val="24"/>
        </w:rPr>
        <w:t>0.75km</w:t>
      </w:r>
      <w:r>
        <w:rPr>
          <w:rFonts w:hAnsi="宋体" w:hint="eastAsia"/>
          <w:sz w:val="24"/>
          <w:vertAlign w:val="superscript"/>
        </w:rPr>
        <w:t>2</w:t>
      </w:r>
      <w:r>
        <w:rPr>
          <w:rFonts w:hAnsi="宋体"/>
          <w:sz w:val="24"/>
        </w:rPr>
        <w:t>。</w:t>
      </w:r>
    </w:p>
    <w:p w:rsidR="00475650" w:rsidRDefault="00475650">
      <w:pPr>
        <w:spacing w:line="360" w:lineRule="auto"/>
        <w:ind w:firstLineChars="200" w:firstLine="480"/>
        <w:rPr>
          <w:sz w:val="24"/>
        </w:rPr>
      </w:pPr>
      <w:r>
        <w:rPr>
          <w:sz w:val="24"/>
        </w:rPr>
        <w:t>2</w:t>
      </w:r>
      <w:r>
        <w:rPr>
          <w:rFonts w:hAnsi="宋体"/>
          <w:sz w:val="24"/>
        </w:rPr>
        <w:t>、产业定位</w:t>
      </w:r>
    </w:p>
    <w:p w:rsidR="00475650" w:rsidRDefault="00475650">
      <w:pPr>
        <w:pStyle w:val="aff3"/>
        <w:ind w:firstLine="480"/>
        <w:rPr>
          <w:color w:val="auto"/>
          <w:szCs w:val="18"/>
        </w:rPr>
      </w:pPr>
      <w:r>
        <w:rPr>
          <w:color w:val="auto"/>
          <w:szCs w:val="18"/>
        </w:rPr>
        <w:t>充分依托本地资源禀赋，围绕精细化工、有色</w:t>
      </w:r>
      <w:r>
        <w:rPr>
          <w:rFonts w:hint="eastAsia"/>
          <w:color w:val="auto"/>
          <w:szCs w:val="18"/>
        </w:rPr>
        <w:t>金属</w:t>
      </w:r>
      <w:r>
        <w:rPr>
          <w:color w:val="auto"/>
          <w:szCs w:val="18"/>
        </w:rPr>
        <w:t>冶炼和港口物流</w:t>
      </w:r>
      <w:r>
        <w:rPr>
          <w:rFonts w:hint="eastAsia"/>
          <w:color w:val="auto"/>
          <w:szCs w:val="18"/>
        </w:rPr>
        <w:t>三</w:t>
      </w:r>
      <w:r>
        <w:rPr>
          <w:color w:val="auto"/>
          <w:szCs w:val="18"/>
        </w:rPr>
        <w:t>大产业，打造华中精细化工产业基地、华中有色冶炼产业基地及华中危险品物流专业基地，进一步提高资源和能源利用效率；坚持以市场为导向，承接长江经济发展带的发展战略，对接优质资源，适时引导企业入园；坚持</w:t>
      </w:r>
      <w:r>
        <w:rPr>
          <w:color w:val="auto"/>
          <w:szCs w:val="18"/>
        </w:rPr>
        <w:t>“</w:t>
      </w:r>
      <w:r>
        <w:rPr>
          <w:color w:val="auto"/>
          <w:szCs w:val="18"/>
        </w:rPr>
        <w:t>一体化、规模化、集约化、可持续化</w:t>
      </w:r>
      <w:r>
        <w:rPr>
          <w:color w:val="auto"/>
          <w:szCs w:val="18"/>
        </w:rPr>
        <w:t>”</w:t>
      </w:r>
      <w:r>
        <w:rPr>
          <w:color w:val="auto"/>
          <w:szCs w:val="18"/>
        </w:rPr>
        <w:t>的发展道路，做强、做大绿色化工产业；坚持</w:t>
      </w:r>
      <w:r>
        <w:rPr>
          <w:color w:val="auto"/>
          <w:szCs w:val="18"/>
        </w:rPr>
        <w:t>“</w:t>
      </w:r>
      <w:r>
        <w:rPr>
          <w:color w:val="auto"/>
          <w:szCs w:val="18"/>
        </w:rPr>
        <w:t>生态、生活、生产、生意</w:t>
      </w:r>
      <w:r>
        <w:rPr>
          <w:color w:val="auto"/>
          <w:szCs w:val="18"/>
        </w:rPr>
        <w:t>”</w:t>
      </w:r>
      <w:r>
        <w:rPr>
          <w:color w:val="auto"/>
          <w:szCs w:val="18"/>
        </w:rPr>
        <w:t>共同推进，产业融合、空间偶合、资源整合、要素聚合、功能复合的新型园区，最终打造临湘市融入长江经济发展带的门户，成为湖南省级产业升级示范园。</w:t>
      </w:r>
    </w:p>
    <w:p w:rsidR="00475650" w:rsidRDefault="00475650">
      <w:pPr>
        <w:spacing w:line="360" w:lineRule="auto"/>
        <w:ind w:firstLineChars="200" w:firstLine="480"/>
        <w:rPr>
          <w:rFonts w:hAnsi="宋体"/>
          <w:sz w:val="24"/>
        </w:rPr>
      </w:pPr>
      <w:r>
        <w:rPr>
          <w:sz w:val="24"/>
        </w:rPr>
        <w:t>3</w:t>
      </w:r>
      <w:r>
        <w:rPr>
          <w:rFonts w:hAnsi="宋体"/>
          <w:sz w:val="24"/>
        </w:rPr>
        <w:t>、</w:t>
      </w:r>
      <w:r>
        <w:rPr>
          <w:rFonts w:hAnsi="宋体" w:hint="eastAsia"/>
          <w:sz w:val="24"/>
        </w:rPr>
        <w:t>产业布局</w:t>
      </w:r>
    </w:p>
    <w:p w:rsidR="00475650" w:rsidRDefault="00475650">
      <w:pPr>
        <w:spacing w:line="360" w:lineRule="auto"/>
        <w:ind w:firstLineChars="200" w:firstLine="480"/>
        <w:rPr>
          <w:rFonts w:hAnsi="宋体"/>
          <w:sz w:val="24"/>
        </w:rPr>
      </w:pPr>
      <w:r>
        <w:rPr>
          <w:rFonts w:hAnsi="宋体"/>
          <w:sz w:val="24"/>
        </w:rPr>
        <w:t>规划将园区产业布局调整为“龙头引领，</w:t>
      </w:r>
      <w:r>
        <w:rPr>
          <w:rFonts w:hAnsi="宋体" w:hint="eastAsia"/>
          <w:sz w:val="24"/>
        </w:rPr>
        <w:t>两</w:t>
      </w:r>
      <w:r>
        <w:rPr>
          <w:rFonts w:hAnsi="宋体"/>
          <w:sz w:val="24"/>
        </w:rPr>
        <w:t>团支撑，二廊贯穿，一心服务”的新格局：</w:t>
      </w:r>
      <w:r>
        <w:rPr>
          <w:rFonts w:hAnsi="宋体"/>
          <w:sz w:val="24"/>
        </w:rPr>
        <w:t xml:space="preserve"> </w:t>
      </w:r>
    </w:p>
    <w:p w:rsidR="00475650" w:rsidRDefault="00475650">
      <w:pPr>
        <w:spacing w:line="360" w:lineRule="auto"/>
        <w:ind w:firstLineChars="200" w:firstLine="480"/>
        <w:rPr>
          <w:rFonts w:hAnsi="宋体"/>
          <w:sz w:val="24"/>
        </w:rPr>
      </w:pPr>
      <w:r>
        <w:rPr>
          <w:rFonts w:hAnsi="宋体"/>
          <w:sz w:val="24"/>
        </w:rPr>
        <w:t>龙头引领：即绿色化工聚集组团。</w:t>
      </w:r>
      <w:r>
        <w:rPr>
          <w:rFonts w:hAnsi="宋体"/>
          <w:sz w:val="24"/>
        </w:rPr>
        <w:t xml:space="preserve"> </w:t>
      </w:r>
    </w:p>
    <w:p w:rsidR="00475650" w:rsidRDefault="00475650">
      <w:pPr>
        <w:spacing w:line="360" w:lineRule="auto"/>
        <w:ind w:firstLineChars="200" w:firstLine="480"/>
        <w:rPr>
          <w:rFonts w:hAnsi="宋体"/>
          <w:sz w:val="24"/>
        </w:rPr>
      </w:pPr>
      <w:r>
        <w:rPr>
          <w:rFonts w:hAnsi="宋体"/>
          <w:sz w:val="24"/>
        </w:rPr>
        <w:lastRenderedPageBreak/>
        <w:t>依托长岭炼化、巴陵石化，与岳阳绿色化工园协同发展，因地制宜地强力发展精细化工产业集聚区，重点发展</w:t>
      </w:r>
      <w:r>
        <w:rPr>
          <w:rFonts w:hAnsi="宋体" w:hint="eastAsia"/>
          <w:sz w:val="24"/>
        </w:rPr>
        <w:t>农药化工之外的其他精细化工</w:t>
      </w:r>
      <w:r>
        <w:rPr>
          <w:rFonts w:hAnsi="宋体"/>
          <w:sz w:val="24"/>
        </w:rPr>
        <w:t>。</w:t>
      </w:r>
      <w:r>
        <w:rPr>
          <w:rFonts w:hAnsi="宋体"/>
          <w:sz w:val="24"/>
        </w:rPr>
        <w:t xml:space="preserve"> </w:t>
      </w:r>
    </w:p>
    <w:p w:rsidR="00475650" w:rsidRDefault="00475650">
      <w:pPr>
        <w:spacing w:line="360" w:lineRule="auto"/>
        <w:ind w:firstLineChars="200" w:firstLine="480"/>
        <w:rPr>
          <w:rFonts w:hAnsi="宋体"/>
          <w:sz w:val="24"/>
        </w:rPr>
      </w:pPr>
      <w:r>
        <w:rPr>
          <w:rFonts w:hAnsi="宋体" w:hint="eastAsia"/>
          <w:sz w:val="24"/>
        </w:rPr>
        <w:t>两</w:t>
      </w:r>
      <w:r>
        <w:rPr>
          <w:rFonts w:hAnsi="宋体"/>
          <w:sz w:val="24"/>
        </w:rPr>
        <w:t>团支撑：现代港口物流组团和有色冶炼组团。</w:t>
      </w:r>
      <w:r>
        <w:rPr>
          <w:rFonts w:hAnsi="宋体"/>
          <w:sz w:val="24"/>
        </w:rPr>
        <w:t xml:space="preserve"> </w:t>
      </w:r>
    </w:p>
    <w:p w:rsidR="00475650" w:rsidRDefault="00475650">
      <w:pPr>
        <w:spacing w:line="360" w:lineRule="auto"/>
        <w:ind w:firstLineChars="200" w:firstLine="480"/>
        <w:rPr>
          <w:rFonts w:hAnsi="宋体"/>
          <w:sz w:val="24"/>
        </w:rPr>
      </w:pPr>
      <w:r>
        <w:rPr>
          <w:rFonts w:hAnsi="宋体" w:hint="eastAsia"/>
          <w:sz w:val="24"/>
        </w:rPr>
        <w:t>（</w:t>
      </w:r>
      <w:r>
        <w:rPr>
          <w:rFonts w:hAnsi="宋体" w:hint="eastAsia"/>
          <w:sz w:val="24"/>
        </w:rPr>
        <w:t>1</w:t>
      </w:r>
      <w:r>
        <w:rPr>
          <w:rFonts w:hAnsi="宋体" w:hint="eastAsia"/>
          <w:sz w:val="24"/>
        </w:rPr>
        <w:t>）</w:t>
      </w:r>
      <w:r>
        <w:rPr>
          <w:rFonts w:hAnsi="宋体"/>
          <w:sz w:val="24"/>
        </w:rPr>
        <w:t>现代港口物流组团</w:t>
      </w:r>
      <w:r>
        <w:rPr>
          <w:rFonts w:hAnsi="宋体"/>
          <w:sz w:val="24"/>
        </w:rPr>
        <w:t xml:space="preserve"> </w:t>
      </w:r>
    </w:p>
    <w:p w:rsidR="00475650" w:rsidRDefault="00475650">
      <w:pPr>
        <w:spacing w:line="360" w:lineRule="auto"/>
        <w:ind w:firstLineChars="200" w:firstLine="480"/>
        <w:rPr>
          <w:rFonts w:hAnsi="宋体"/>
          <w:sz w:val="24"/>
        </w:rPr>
      </w:pPr>
      <w:r>
        <w:rPr>
          <w:rFonts w:hAnsi="宋体"/>
          <w:sz w:val="24"/>
        </w:rPr>
        <w:t>依托长江黄金水道和通江达海的优势，大力发展多式联运和跨区联运，做大做强港口码头基地建设，打造现代港口物流基地，成为服务园区的窗口。</w:t>
      </w:r>
      <w:r>
        <w:rPr>
          <w:rFonts w:hAnsi="宋体" w:hint="eastAsia"/>
          <w:sz w:val="24"/>
        </w:rPr>
        <w:t>依托</w:t>
      </w:r>
      <w:r>
        <w:rPr>
          <w:rFonts w:hAnsi="宋体"/>
          <w:sz w:val="24"/>
        </w:rPr>
        <w:t>鸭栏码头为重点，积极推动铁路工程的建设，形成水路、公路和铁路“三位一体”的物流网络。迎合园区及临湘市的产业发展重点和趋势，重点发展工业品物流、原料物流、商贸物流，根据各重点发展方向对园区港口物流基地进行统筹，建设农副产品物流中心、危险化学品物流中心、矿石原料临时仓储中心和物流公共信息服务中心。</w:t>
      </w:r>
      <w:r>
        <w:rPr>
          <w:rFonts w:hAnsi="宋体"/>
          <w:sz w:val="24"/>
        </w:rPr>
        <w:t xml:space="preserve"> </w:t>
      </w:r>
    </w:p>
    <w:p w:rsidR="00475650" w:rsidRDefault="00475650">
      <w:pPr>
        <w:spacing w:line="360" w:lineRule="auto"/>
        <w:ind w:firstLineChars="200" w:firstLine="480"/>
        <w:rPr>
          <w:rFonts w:hAnsi="宋体"/>
          <w:sz w:val="24"/>
        </w:rPr>
      </w:pPr>
      <w:r>
        <w:rPr>
          <w:rFonts w:hAnsi="宋体" w:hint="eastAsia"/>
          <w:sz w:val="24"/>
        </w:rPr>
        <w:t>（</w:t>
      </w:r>
      <w:r>
        <w:rPr>
          <w:rFonts w:hAnsi="宋体" w:hint="eastAsia"/>
          <w:sz w:val="24"/>
        </w:rPr>
        <w:t>2</w:t>
      </w:r>
      <w:r>
        <w:rPr>
          <w:rFonts w:hAnsi="宋体" w:hint="eastAsia"/>
          <w:sz w:val="24"/>
        </w:rPr>
        <w:t>）</w:t>
      </w:r>
      <w:r>
        <w:rPr>
          <w:rFonts w:hAnsi="宋体"/>
          <w:sz w:val="24"/>
        </w:rPr>
        <w:t>有色冶炼组团</w:t>
      </w:r>
      <w:r>
        <w:rPr>
          <w:rFonts w:hAnsi="宋体"/>
          <w:sz w:val="24"/>
        </w:rPr>
        <w:t xml:space="preserve"> </w:t>
      </w:r>
    </w:p>
    <w:p w:rsidR="00475650" w:rsidRDefault="00475650">
      <w:pPr>
        <w:spacing w:line="360" w:lineRule="auto"/>
        <w:ind w:firstLineChars="200" w:firstLine="480"/>
        <w:rPr>
          <w:rFonts w:hAnsi="宋体"/>
          <w:sz w:val="24"/>
        </w:rPr>
      </w:pPr>
      <w:r>
        <w:rPr>
          <w:rFonts w:hAnsi="宋体"/>
          <w:sz w:val="24"/>
        </w:rPr>
        <w:t>充分利用株冶集团转移为契机，发展有色冶炼产业，成为岳阳地区有色冶炼的重要基地。</w:t>
      </w:r>
      <w:r>
        <w:rPr>
          <w:rFonts w:hAnsi="宋体"/>
          <w:sz w:val="24"/>
        </w:rPr>
        <w:t xml:space="preserve"> </w:t>
      </w:r>
    </w:p>
    <w:p w:rsidR="00475650" w:rsidRDefault="00475650">
      <w:pPr>
        <w:spacing w:line="360" w:lineRule="auto"/>
        <w:ind w:firstLineChars="200" w:firstLine="480"/>
        <w:rPr>
          <w:rFonts w:hAnsi="宋体"/>
          <w:sz w:val="24"/>
        </w:rPr>
      </w:pPr>
      <w:r>
        <w:rPr>
          <w:rFonts w:hAnsi="宋体"/>
          <w:sz w:val="24"/>
        </w:rPr>
        <w:t>二廊贯穿：长江沿岸经济走廊和临港大道工业走廊。</w:t>
      </w:r>
      <w:r>
        <w:rPr>
          <w:rFonts w:hAnsi="宋体"/>
          <w:sz w:val="24"/>
        </w:rPr>
        <w:t xml:space="preserve"> </w:t>
      </w:r>
    </w:p>
    <w:p w:rsidR="00475650" w:rsidRDefault="00475650">
      <w:pPr>
        <w:spacing w:line="360" w:lineRule="auto"/>
        <w:ind w:firstLineChars="200" w:firstLine="480"/>
        <w:rPr>
          <w:rFonts w:hAnsi="宋体"/>
          <w:sz w:val="24"/>
        </w:rPr>
      </w:pPr>
      <w:r>
        <w:rPr>
          <w:rFonts w:hAnsi="宋体"/>
          <w:sz w:val="24"/>
        </w:rPr>
        <w:t>以</w:t>
      </w:r>
      <w:r>
        <w:rPr>
          <w:rFonts w:hAnsi="宋体"/>
          <w:sz w:val="24"/>
        </w:rPr>
        <w:t>S201(</w:t>
      </w:r>
      <w:r>
        <w:rPr>
          <w:rFonts w:hAnsi="宋体"/>
          <w:sz w:val="24"/>
        </w:rPr>
        <w:t>工业大道</w:t>
      </w:r>
      <w:r>
        <w:rPr>
          <w:rFonts w:hAnsi="宋体"/>
          <w:sz w:val="24"/>
        </w:rPr>
        <w:t>)</w:t>
      </w:r>
      <w:r>
        <w:rPr>
          <w:rFonts w:hAnsi="宋体"/>
          <w:sz w:val="24"/>
        </w:rPr>
        <w:t>和临港大道的公路为轴心，以方便快捷的交通连线为纽带，成为园区重要的产业发展轴，利用已具备的产业基础，通过对传统产业的改造和升级，</w:t>
      </w:r>
      <w:r>
        <w:rPr>
          <w:rFonts w:hAnsi="宋体" w:hint="eastAsia"/>
          <w:sz w:val="24"/>
        </w:rPr>
        <w:t>精细化工</w:t>
      </w:r>
      <w:r>
        <w:rPr>
          <w:rFonts w:hAnsi="宋体"/>
          <w:sz w:val="24"/>
        </w:rPr>
        <w:t>产业引入，港口物流和有色</w:t>
      </w:r>
      <w:r>
        <w:rPr>
          <w:rFonts w:hAnsi="宋体" w:hint="eastAsia"/>
          <w:sz w:val="24"/>
        </w:rPr>
        <w:t>金属</w:t>
      </w:r>
      <w:r>
        <w:rPr>
          <w:rFonts w:hAnsi="宋体"/>
          <w:sz w:val="24"/>
        </w:rPr>
        <w:t>冶炼辅助，形成串联园区功能组团，集聚临湘城乡结合部的相关企业向园区靠拢，对接园区外的海螺水泥等企业的工业走廊，推进园区工业化发展的战略突破口。</w:t>
      </w:r>
    </w:p>
    <w:p w:rsidR="00475650" w:rsidRDefault="00475650">
      <w:pPr>
        <w:spacing w:line="360" w:lineRule="auto"/>
        <w:ind w:firstLineChars="200" w:firstLine="480"/>
        <w:rPr>
          <w:rFonts w:hAnsi="宋体"/>
          <w:sz w:val="24"/>
        </w:rPr>
      </w:pPr>
      <w:r>
        <w:rPr>
          <w:rFonts w:hAnsi="宋体"/>
          <w:sz w:val="24"/>
        </w:rPr>
        <w:t>整合园区乃至临湘市内部资源、企业集聚，形成发展合力，提升园区的竞争力；通过经济融合、搞互助合作发展，通过融合发展，实现你中有我我中有你，互补、资源共同分享，有利于工业走廊内上下游企业的对接和互动，打造人流、物流、资金流、信息流、技术流的集聚功能，提升园区的经济发展的影响力、带动力和辐射力。</w:t>
      </w:r>
      <w:r>
        <w:rPr>
          <w:rFonts w:hAnsi="宋体"/>
          <w:sz w:val="24"/>
        </w:rPr>
        <w:t xml:space="preserve"> </w:t>
      </w:r>
    </w:p>
    <w:p w:rsidR="00475650" w:rsidRDefault="00475650">
      <w:pPr>
        <w:spacing w:line="360" w:lineRule="auto"/>
        <w:ind w:firstLineChars="200" w:firstLine="480"/>
        <w:rPr>
          <w:rFonts w:hAnsi="宋体"/>
          <w:sz w:val="24"/>
        </w:rPr>
      </w:pPr>
      <w:r>
        <w:rPr>
          <w:rFonts w:hAnsi="宋体"/>
          <w:sz w:val="24"/>
        </w:rPr>
        <w:t>一心服务：综合服务中心。</w:t>
      </w:r>
      <w:r>
        <w:rPr>
          <w:rFonts w:hAnsi="宋体"/>
          <w:sz w:val="24"/>
        </w:rPr>
        <w:t xml:space="preserve"> </w:t>
      </w:r>
    </w:p>
    <w:p w:rsidR="00475650" w:rsidRDefault="00475650">
      <w:pPr>
        <w:spacing w:line="360" w:lineRule="auto"/>
        <w:ind w:firstLineChars="200" w:firstLine="480"/>
        <w:rPr>
          <w:rFonts w:hAnsi="宋体"/>
          <w:sz w:val="24"/>
        </w:rPr>
      </w:pPr>
      <w:r>
        <w:rPr>
          <w:rFonts w:hAnsi="宋体"/>
          <w:sz w:val="24"/>
        </w:rPr>
        <w:t>园区综合服务业依托小城镇建设，推动生活性服务业和生产性服务业的配套发展。其中生活性服务业将重点发展居住、商业消费、休闲娱乐三大核心功能，生产性服务业则重点发展技术交易、设计研发、信息咨询、法律财会、物流服务等围绕制造业产前、产中、产后过程服务的功能。此外，成立园区综合服务中心，为区内</w:t>
      </w:r>
      <w:r>
        <w:rPr>
          <w:rFonts w:hAnsi="宋体"/>
          <w:sz w:val="24"/>
        </w:rPr>
        <w:lastRenderedPageBreak/>
        <w:t>中小企业提供全方位、多层次服务。中心通过整合政府服务资源，创新企业服务机制，提升企业服务效能，推动区内中小企业快速成长，为产业工人提供社会服务方面探索经验</w:t>
      </w:r>
      <w:r>
        <w:rPr>
          <w:rFonts w:hAnsi="宋体" w:hint="eastAsia"/>
          <w:sz w:val="24"/>
        </w:rPr>
        <w:t>。</w:t>
      </w:r>
    </w:p>
    <w:p w:rsidR="00475650" w:rsidRDefault="00475650">
      <w:pPr>
        <w:spacing w:line="360" w:lineRule="auto"/>
        <w:ind w:firstLineChars="200" w:firstLine="480"/>
        <w:rPr>
          <w:rFonts w:hAnsi="宋体"/>
          <w:sz w:val="24"/>
        </w:rPr>
      </w:pPr>
      <w:r>
        <w:rPr>
          <w:rFonts w:hAnsi="宋体" w:hint="eastAsia"/>
          <w:sz w:val="24"/>
        </w:rPr>
        <w:t>园区近期产业准入条件见表</w:t>
      </w:r>
      <w:r>
        <w:rPr>
          <w:rFonts w:hAnsi="宋体" w:hint="eastAsia"/>
          <w:sz w:val="24"/>
        </w:rPr>
        <w:t>2.3-1</w:t>
      </w:r>
      <w:r>
        <w:rPr>
          <w:rFonts w:hAnsi="宋体" w:hint="eastAsia"/>
          <w:sz w:val="24"/>
        </w:rPr>
        <w:t>。本项目所建染料工程属于表中</w:t>
      </w:r>
      <w:r>
        <w:rPr>
          <w:rFonts w:hAnsi="宋体" w:hint="eastAsia"/>
          <w:sz w:val="24"/>
        </w:rPr>
        <w:t>264</w:t>
      </w:r>
      <w:r>
        <w:rPr>
          <w:rFonts w:hAnsi="宋体" w:hint="eastAsia"/>
          <w:sz w:val="24"/>
        </w:rPr>
        <w:t>（</w:t>
      </w:r>
      <w:r>
        <w:rPr>
          <w:rFonts w:hAnsi="宋体"/>
          <w:sz w:val="24"/>
        </w:rPr>
        <w:t>涂料、油墨、颜料及类似产品制造</w:t>
      </w:r>
      <w:r>
        <w:rPr>
          <w:rFonts w:hAnsi="宋体" w:hint="eastAsia"/>
          <w:sz w:val="24"/>
        </w:rPr>
        <w:t>）行业，满足园区准入要求。</w:t>
      </w:r>
    </w:p>
    <w:p w:rsidR="00475650" w:rsidRDefault="00475650">
      <w:pPr>
        <w:adjustRightInd w:val="0"/>
        <w:snapToGrid w:val="0"/>
        <w:jc w:val="center"/>
        <w:rPr>
          <w:rFonts w:ascii="宋体" w:hAnsi="宋体"/>
          <w:b/>
        </w:rPr>
      </w:pPr>
      <w:r>
        <w:rPr>
          <w:rFonts w:hAnsi="宋体"/>
          <w:b/>
        </w:rPr>
        <w:t>表</w:t>
      </w:r>
      <w:r>
        <w:rPr>
          <w:rFonts w:hint="eastAsia"/>
          <w:b/>
        </w:rPr>
        <w:t>2.3</w:t>
      </w:r>
      <w:r>
        <w:rPr>
          <w:b/>
        </w:rPr>
        <w:t xml:space="preserve">-1  </w:t>
      </w:r>
      <w:r>
        <w:rPr>
          <w:rFonts w:hAnsi="宋体"/>
          <w:b/>
        </w:rPr>
        <w:t>工业园区近期产业</w:t>
      </w:r>
      <w:r>
        <w:rPr>
          <w:rFonts w:ascii="宋体" w:hAnsi="宋体"/>
          <w:b/>
        </w:rPr>
        <w:t>准入条件</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050"/>
        <w:gridCol w:w="1061"/>
        <w:gridCol w:w="869"/>
        <w:gridCol w:w="9"/>
        <w:gridCol w:w="178"/>
        <w:gridCol w:w="2522"/>
        <w:gridCol w:w="1490"/>
        <w:gridCol w:w="2108"/>
      </w:tblGrid>
      <w:tr w:rsidR="00475650">
        <w:tc>
          <w:tcPr>
            <w:tcW w:w="1050" w:type="dxa"/>
            <w:vMerge w:val="restart"/>
            <w:vAlign w:val="center"/>
          </w:tcPr>
          <w:p w:rsidR="00475650" w:rsidRDefault="00475650">
            <w:pPr>
              <w:adjustRightInd w:val="0"/>
              <w:snapToGrid w:val="0"/>
              <w:spacing w:line="276" w:lineRule="auto"/>
              <w:jc w:val="center"/>
              <w:rPr>
                <w:szCs w:val="21"/>
              </w:rPr>
            </w:pPr>
            <w:r>
              <w:rPr>
                <w:rFonts w:hAnsi="宋体"/>
                <w:szCs w:val="21"/>
              </w:rPr>
              <w:t>滨江产业区</w:t>
            </w:r>
          </w:p>
        </w:tc>
        <w:tc>
          <w:tcPr>
            <w:tcW w:w="8237" w:type="dxa"/>
            <w:gridSpan w:val="7"/>
            <w:vAlign w:val="center"/>
          </w:tcPr>
          <w:p w:rsidR="00475650" w:rsidRDefault="00475650">
            <w:pPr>
              <w:adjustRightInd w:val="0"/>
              <w:snapToGrid w:val="0"/>
              <w:spacing w:line="276" w:lineRule="auto"/>
              <w:jc w:val="center"/>
              <w:rPr>
                <w:szCs w:val="21"/>
              </w:rPr>
            </w:pPr>
            <w:r>
              <w:rPr>
                <w:rFonts w:hAnsi="宋体"/>
                <w:szCs w:val="21"/>
              </w:rPr>
              <w:t>准入条件</w:t>
            </w:r>
          </w:p>
        </w:tc>
      </w:tr>
      <w:tr w:rsidR="00475650">
        <w:tc>
          <w:tcPr>
            <w:tcW w:w="1050" w:type="dxa"/>
            <w:vMerge/>
            <w:vAlign w:val="center"/>
          </w:tcPr>
          <w:p w:rsidR="00475650" w:rsidRDefault="00475650">
            <w:pPr>
              <w:adjustRightInd w:val="0"/>
              <w:snapToGrid w:val="0"/>
              <w:spacing w:line="276" w:lineRule="auto"/>
              <w:jc w:val="center"/>
              <w:rPr>
                <w:szCs w:val="21"/>
              </w:rPr>
            </w:pPr>
          </w:p>
        </w:tc>
        <w:tc>
          <w:tcPr>
            <w:tcW w:w="8237" w:type="dxa"/>
            <w:gridSpan w:val="7"/>
            <w:vAlign w:val="center"/>
          </w:tcPr>
          <w:p w:rsidR="00475650" w:rsidRDefault="00475650">
            <w:pPr>
              <w:snapToGrid w:val="0"/>
              <w:spacing w:line="276" w:lineRule="auto"/>
              <w:jc w:val="center"/>
              <w:rPr>
                <w:szCs w:val="21"/>
              </w:rPr>
            </w:pPr>
            <w:r>
              <w:rPr>
                <w:rFonts w:hAnsi="宋体"/>
                <w:szCs w:val="21"/>
              </w:rPr>
              <w:t>首先必须满足</w:t>
            </w:r>
            <w:r>
              <w:rPr>
                <w:szCs w:val="21"/>
              </w:rPr>
              <w:t xml:space="preserve"> </w:t>
            </w:r>
            <w:r>
              <w:rPr>
                <w:rFonts w:hAnsi="宋体"/>
                <w:szCs w:val="21"/>
              </w:rPr>
              <w:t>：</w:t>
            </w:r>
          </w:p>
          <w:p w:rsidR="00475650" w:rsidRDefault="006F27A1">
            <w:pPr>
              <w:snapToGrid w:val="0"/>
              <w:spacing w:line="276" w:lineRule="auto"/>
              <w:jc w:val="center"/>
              <w:rPr>
                <w:szCs w:val="21"/>
              </w:rPr>
            </w:pPr>
            <w:r>
              <w:rPr>
                <w:szCs w:val="21"/>
              </w:rPr>
              <w:fldChar w:fldCharType="begin"/>
            </w:r>
            <w:r w:rsidR="00475650">
              <w:rPr>
                <w:szCs w:val="21"/>
              </w:rPr>
              <w:instrText xml:space="preserve"> = 1 \* GB3 </w:instrText>
            </w:r>
            <w:r>
              <w:rPr>
                <w:szCs w:val="21"/>
              </w:rPr>
              <w:fldChar w:fldCharType="separate"/>
            </w:r>
            <w:r w:rsidR="00475650">
              <w:rPr>
                <w:rFonts w:hAnsi="宋体"/>
                <w:szCs w:val="21"/>
              </w:rPr>
              <w:t>①</w:t>
            </w:r>
            <w:r>
              <w:rPr>
                <w:szCs w:val="21"/>
              </w:rPr>
              <w:fldChar w:fldCharType="end"/>
            </w:r>
            <w:r w:rsidR="00475650">
              <w:rPr>
                <w:rFonts w:hAnsi="宋体"/>
                <w:szCs w:val="21"/>
              </w:rPr>
              <w:t>不属于《产业结构调整指导目录》</w:t>
            </w:r>
            <w:r w:rsidR="00475650">
              <w:rPr>
                <w:szCs w:val="21"/>
              </w:rPr>
              <w:t>(2011</w:t>
            </w:r>
            <w:r w:rsidR="00475650">
              <w:rPr>
                <w:rFonts w:hAnsi="宋体"/>
                <w:szCs w:val="21"/>
              </w:rPr>
              <w:t>年本</w:t>
            </w:r>
            <w:r w:rsidR="00475650">
              <w:rPr>
                <w:szCs w:val="21"/>
              </w:rPr>
              <w:t>)(</w:t>
            </w:r>
            <w:r w:rsidR="00475650">
              <w:rPr>
                <w:rFonts w:hAnsi="宋体"/>
                <w:szCs w:val="21"/>
              </w:rPr>
              <w:t>修正</w:t>
            </w:r>
            <w:r w:rsidR="00475650">
              <w:rPr>
                <w:szCs w:val="21"/>
              </w:rPr>
              <w:t>)</w:t>
            </w:r>
            <w:r w:rsidR="00475650">
              <w:rPr>
                <w:rFonts w:hAnsi="宋体"/>
                <w:szCs w:val="21"/>
              </w:rPr>
              <w:t>中淘汰类、禁止类。</w:t>
            </w:r>
          </w:p>
          <w:p w:rsidR="00475650" w:rsidRDefault="006F27A1">
            <w:pPr>
              <w:adjustRightInd w:val="0"/>
              <w:snapToGrid w:val="0"/>
              <w:spacing w:line="276" w:lineRule="auto"/>
              <w:jc w:val="center"/>
              <w:rPr>
                <w:szCs w:val="21"/>
              </w:rPr>
            </w:pPr>
            <w:r>
              <w:rPr>
                <w:szCs w:val="21"/>
              </w:rPr>
              <w:fldChar w:fldCharType="begin"/>
            </w:r>
            <w:r w:rsidR="00475650">
              <w:rPr>
                <w:szCs w:val="21"/>
              </w:rPr>
              <w:instrText xml:space="preserve"> = 2 \* GB3 </w:instrText>
            </w:r>
            <w:r>
              <w:rPr>
                <w:szCs w:val="21"/>
              </w:rPr>
              <w:fldChar w:fldCharType="separate"/>
            </w:r>
            <w:r w:rsidR="00475650">
              <w:rPr>
                <w:rFonts w:hAnsi="宋体"/>
                <w:szCs w:val="21"/>
              </w:rPr>
              <w:t>②</w:t>
            </w:r>
            <w:r>
              <w:rPr>
                <w:szCs w:val="21"/>
              </w:rPr>
              <w:fldChar w:fldCharType="end"/>
            </w:r>
            <w:r w:rsidR="00475650">
              <w:rPr>
                <w:rFonts w:hAnsi="宋体"/>
                <w:szCs w:val="21"/>
              </w:rPr>
              <w:t>满足各行业准入条件。</w:t>
            </w:r>
          </w:p>
        </w:tc>
      </w:tr>
      <w:tr w:rsidR="00475650">
        <w:tc>
          <w:tcPr>
            <w:tcW w:w="1050" w:type="dxa"/>
            <w:vAlign w:val="center"/>
          </w:tcPr>
          <w:p w:rsidR="00475650" w:rsidRDefault="00475650">
            <w:pPr>
              <w:adjustRightInd w:val="0"/>
              <w:snapToGrid w:val="0"/>
              <w:spacing w:line="276" w:lineRule="auto"/>
              <w:jc w:val="center"/>
              <w:rPr>
                <w:szCs w:val="21"/>
              </w:rPr>
            </w:pPr>
            <w:r>
              <w:rPr>
                <w:rFonts w:hAnsi="宋体"/>
                <w:szCs w:val="21"/>
              </w:rPr>
              <w:t>规划产业</w:t>
            </w:r>
          </w:p>
        </w:tc>
        <w:tc>
          <w:tcPr>
            <w:tcW w:w="4639" w:type="dxa"/>
            <w:gridSpan w:val="5"/>
            <w:vAlign w:val="center"/>
          </w:tcPr>
          <w:p w:rsidR="00475650" w:rsidRDefault="00475650">
            <w:pPr>
              <w:adjustRightInd w:val="0"/>
              <w:snapToGrid w:val="0"/>
              <w:spacing w:line="276" w:lineRule="auto"/>
              <w:jc w:val="center"/>
              <w:rPr>
                <w:szCs w:val="21"/>
              </w:rPr>
            </w:pPr>
            <w:r>
              <w:rPr>
                <w:rFonts w:hAnsi="宋体"/>
                <w:szCs w:val="21"/>
              </w:rPr>
              <w:t>所属产业类型</w:t>
            </w:r>
          </w:p>
        </w:tc>
        <w:tc>
          <w:tcPr>
            <w:tcW w:w="1490" w:type="dxa"/>
            <w:vAlign w:val="center"/>
          </w:tcPr>
          <w:p w:rsidR="00475650" w:rsidRDefault="00475650">
            <w:pPr>
              <w:adjustRightInd w:val="0"/>
              <w:snapToGrid w:val="0"/>
              <w:spacing w:line="276" w:lineRule="auto"/>
              <w:jc w:val="center"/>
              <w:rPr>
                <w:szCs w:val="21"/>
              </w:rPr>
            </w:pPr>
            <w:r>
              <w:rPr>
                <w:rFonts w:hAnsi="宋体"/>
                <w:szCs w:val="21"/>
              </w:rPr>
              <w:t>准入意见</w:t>
            </w:r>
          </w:p>
        </w:tc>
        <w:tc>
          <w:tcPr>
            <w:tcW w:w="2108" w:type="dxa"/>
            <w:vAlign w:val="center"/>
          </w:tcPr>
          <w:p w:rsidR="00475650" w:rsidRDefault="00475650">
            <w:pPr>
              <w:adjustRightInd w:val="0"/>
              <w:snapToGrid w:val="0"/>
              <w:spacing w:line="276" w:lineRule="auto"/>
              <w:jc w:val="center"/>
              <w:rPr>
                <w:szCs w:val="21"/>
              </w:rPr>
            </w:pPr>
            <w:r>
              <w:rPr>
                <w:rFonts w:hAnsi="宋体"/>
                <w:szCs w:val="21"/>
              </w:rPr>
              <w:t>其他控制指标</w:t>
            </w:r>
          </w:p>
        </w:tc>
      </w:tr>
      <w:tr w:rsidR="00475650">
        <w:trPr>
          <w:trHeight w:val="302"/>
        </w:trPr>
        <w:tc>
          <w:tcPr>
            <w:tcW w:w="1050" w:type="dxa"/>
            <w:vMerge w:val="restart"/>
            <w:vAlign w:val="center"/>
          </w:tcPr>
          <w:p w:rsidR="00475650" w:rsidRDefault="00475650">
            <w:pPr>
              <w:adjustRightInd w:val="0"/>
              <w:snapToGrid w:val="0"/>
              <w:spacing w:line="276" w:lineRule="auto"/>
              <w:jc w:val="center"/>
              <w:rPr>
                <w:szCs w:val="21"/>
              </w:rPr>
            </w:pPr>
            <w:r>
              <w:rPr>
                <w:rFonts w:hAnsi="宋体"/>
                <w:bCs/>
                <w:szCs w:val="21"/>
              </w:rPr>
              <w:t>化学原料及化学制品制造业</w:t>
            </w:r>
          </w:p>
        </w:tc>
        <w:tc>
          <w:tcPr>
            <w:tcW w:w="1061" w:type="dxa"/>
            <w:vMerge w:val="restart"/>
            <w:vAlign w:val="center"/>
          </w:tcPr>
          <w:p w:rsidR="00475650" w:rsidRDefault="00475650">
            <w:pPr>
              <w:adjustRightInd w:val="0"/>
              <w:snapToGrid w:val="0"/>
              <w:spacing w:line="276" w:lineRule="auto"/>
              <w:jc w:val="center"/>
              <w:rPr>
                <w:szCs w:val="21"/>
              </w:rPr>
            </w:pPr>
            <w:r>
              <w:rPr>
                <w:szCs w:val="21"/>
              </w:rPr>
              <w:t>26</w:t>
            </w:r>
            <w:r>
              <w:rPr>
                <w:rFonts w:hAnsi="宋体"/>
                <w:bCs/>
                <w:szCs w:val="21"/>
              </w:rPr>
              <w:t>化学原料及化学制品制造业</w:t>
            </w:r>
          </w:p>
        </w:tc>
        <w:tc>
          <w:tcPr>
            <w:tcW w:w="3578" w:type="dxa"/>
            <w:gridSpan w:val="4"/>
            <w:vAlign w:val="center"/>
          </w:tcPr>
          <w:p w:rsidR="00475650" w:rsidRDefault="00475650">
            <w:pPr>
              <w:adjustRightInd w:val="0"/>
              <w:snapToGrid w:val="0"/>
              <w:spacing w:line="276" w:lineRule="auto"/>
              <w:jc w:val="center"/>
              <w:rPr>
                <w:szCs w:val="21"/>
              </w:rPr>
            </w:pPr>
            <w:r>
              <w:rPr>
                <w:szCs w:val="21"/>
              </w:rPr>
              <w:t>261</w:t>
            </w:r>
            <w:r>
              <w:rPr>
                <w:rFonts w:hAnsi="宋体"/>
                <w:szCs w:val="21"/>
              </w:rPr>
              <w:t>基础化学原料制造</w:t>
            </w:r>
          </w:p>
        </w:tc>
        <w:tc>
          <w:tcPr>
            <w:tcW w:w="1490" w:type="dxa"/>
            <w:vAlign w:val="center"/>
          </w:tcPr>
          <w:p w:rsidR="00475650" w:rsidRDefault="00475650">
            <w:pPr>
              <w:adjustRightInd w:val="0"/>
              <w:snapToGrid w:val="0"/>
              <w:spacing w:line="276" w:lineRule="auto"/>
              <w:jc w:val="center"/>
              <w:rPr>
                <w:szCs w:val="21"/>
              </w:rPr>
            </w:pPr>
            <w:r>
              <w:rPr>
                <w:rFonts w:hAnsi="宋体"/>
                <w:szCs w:val="21"/>
              </w:rPr>
              <w:t>禁止</w:t>
            </w:r>
          </w:p>
        </w:tc>
        <w:tc>
          <w:tcPr>
            <w:tcW w:w="2108" w:type="dxa"/>
            <w:vMerge w:val="restart"/>
            <w:vAlign w:val="center"/>
          </w:tcPr>
          <w:p w:rsidR="00475650" w:rsidRDefault="00475650">
            <w:pPr>
              <w:snapToGrid w:val="0"/>
              <w:spacing w:line="276" w:lineRule="auto"/>
              <w:ind w:leftChars="20" w:left="42"/>
              <w:jc w:val="center"/>
              <w:rPr>
                <w:szCs w:val="21"/>
              </w:rPr>
            </w:pPr>
            <w:r>
              <w:rPr>
                <w:rFonts w:hAnsi="宋体"/>
                <w:szCs w:val="21"/>
              </w:rPr>
              <w:t>工业用水重复利用率</w:t>
            </w:r>
            <w:r>
              <w:rPr>
                <w:szCs w:val="21"/>
              </w:rPr>
              <w:t>&gt;60%</w:t>
            </w:r>
            <w:r>
              <w:rPr>
                <w:rFonts w:hAnsi="宋体"/>
                <w:szCs w:val="21"/>
              </w:rPr>
              <w:t>，工业固废综合利用率</w:t>
            </w:r>
            <w:r>
              <w:rPr>
                <w:szCs w:val="21"/>
              </w:rPr>
              <w:t>&gt;90%</w:t>
            </w:r>
            <w:r>
              <w:rPr>
                <w:rFonts w:hAnsi="宋体"/>
                <w:szCs w:val="21"/>
              </w:rPr>
              <w:t>，</w:t>
            </w:r>
          </w:p>
          <w:p w:rsidR="00475650" w:rsidRDefault="00475650">
            <w:pPr>
              <w:snapToGrid w:val="0"/>
              <w:spacing w:line="276" w:lineRule="auto"/>
              <w:ind w:leftChars="20" w:left="42"/>
              <w:jc w:val="center"/>
              <w:rPr>
                <w:szCs w:val="21"/>
              </w:rPr>
            </w:pPr>
            <w:r>
              <w:rPr>
                <w:rFonts w:hAnsi="宋体"/>
                <w:szCs w:val="21"/>
              </w:rPr>
              <w:t>鼓励采用清洁能源，采取集中供热。</w:t>
            </w:r>
          </w:p>
        </w:tc>
      </w:tr>
      <w:tr w:rsidR="00475650">
        <w:trPr>
          <w:trHeight w:val="303"/>
        </w:trPr>
        <w:tc>
          <w:tcPr>
            <w:tcW w:w="1050" w:type="dxa"/>
            <w:vMerge/>
            <w:vAlign w:val="center"/>
          </w:tcPr>
          <w:p w:rsidR="00475650" w:rsidRDefault="00475650">
            <w:pPr>
              <w:adjustRightInd w:val="0"/>
              <w:snapToGrid w:val="0"/>
              <w:spacing w:line="276" w:lineRule="auto"/>
              <w:jc w:val="center"/>
              <w:rPr>
                <w:szCs w:val="21"/>
              </w:rPr>
            </w:pPr>
          </w:p>
        </w:tc>
        <w:tc>
          <w:tcPr>
            <w:tcW w:w="1061" w:type="dxa"/>
            <w:vMerge/>
            <w:vAlign w:val="center"/>
          </w:tcPr>
          <w:p w:rsidR="00475650" w:rsidRDefault="00475650">
            <w:pPr>
              <w:adjustRightInd w:val="0"/>
              <w:snapToGrid w:val="0"/>
              <w:spacing w:line="276" w:lineRule="auto"/>
              <w:jc w:val="center"/>
              <w:rPr>
                <w:szCs w:val="21"/>
              </w:rPr>
            </w:pPr>
          </w:p>
        </w:tc>
        <w:tc>
          <w:tcPr>
            <w:tcW w:w="3578" w:type="dxa"/>
            <w:gridSpan w:val="4"/>
            <w:vAlign w:val="center"/>
          </w:tcPr>
          <w:p w:rsidR="00475650" w:rsidRDefault="00475650">
            <w:pPr>
              <w:adjustRightInd w:val="0"/>
              <w:snapToGrid w:val="0"/>
              <w:spacing w:line="276" w:lineRule="auto"/>
              <w:jc w:val="center"/>
              <w:rPr>
                <w:szCs w:val="21"/>
              </w:rPr>
            </w:pPr>
            <w:r>
              <w:rPr>
                <w:szCs w:val="21"/>
              </w:rPr>
              <w:t>262</w:t>
            </w:r>
            <w:r>
              <w:rPr>
                <w:rFonts w:hAnsi="宋体"/>
                <w:szCs w:val="21"/>
              </w:rPr>
              <w:t>肥料制造</w:t>
            </w:r>
          </w:p>
        </w:tc>
        <w:tc>
          <w:tcPr>
            <w:tcW w:w="1490" w:type="dxa"/>
            <w:vAlign w:val="center"/>
          </w:tcPr>
          <w:p w:rsidR="00475650" w:rsidRDefault="00475650">
            <w:pPr>
              <w:adjustRightInd w:val="0"/>
              <w:snapToGrid w:val="0"/>
              <w:spacing w:line="276" w:lineRule="auto"/>
              <w:jc w:val="center"/>
              <w:rPr>
                <w:szCs w:val="21"/>
              </w:rPr>
            </w:pPr>
            <w:r>
              <w:rPr>
                <w:rFonts w:hAnsi="宋体"/>
                <w:szCs w:val="21"/>
              </w:rPr>
              <w:t>禁止</w:t>
            </w:r>
          </w:p>
        </w:tc>
        <w:tc>
          <w:tcPr>
            <w:tcW w:w="2108" w:type="dxa"/>
            <w:vMerge/>
            <w:vAlign w:val="center"/>
          </w:tcPr>
          <w:p w:rsidR="00475650" w:rsidRDefault="00475650">
            <w:pPr>
              <w:adjustRightInd w:val="0"/>
              <w:snapToGrid w:val="0"/>
              <w:spacing w:line="276" w:lineRule="auto"/>
              <w:jc w:val="center"/>
              <w:rPr>
                <w:szCs w:val="21"/>
              </w:rPr>
            </w:pPr>
          </w:p>
        </w:tc>
      </w:tr>
      <w:tr w:rsidR="00475650">
        <w:trPr>
          <w:trHeight w:val="303"/>
        </w:trPr>
        <w:tc>
          <w:tcPr>
            <w:tcW w:w="1050" w:type="dxa"/>
            <w:vMerge/>
            <w:vAlign w:val="center"/>
          </w:tcPr>
          <w:p w:rsidR="00475650" w:rsidRDefault="00475650">
            <w:pPr>
              <w:adjustRightInd w:val="0"/>
              <w:snapToGrid w:val="0"/>
              <w:spacing w:line="276" w:lineRule="auto"/>
              <w:jc w:val="center"/>
              <w:rPr>
                <w:szCs w:val="21"/>
              </w:rPr>
            </w:pPr>
          </w:p>
        </w:tc>
        <w:tc>
          <w:tcPr>
            <w:tcW w:w="1061" w:type="dxa"/>
            <w:vMerge/>
            <w:vAlign w:val="center"/>
          </w:tcPr>
          <w:p w:rsidR="00475650" w:rsidRDefault="00475650">
            <w:pPr>
              <w:adjustRightInd w:val="0"/>
              <w:snapToGrid w:val="0"/>
              <w:spacing w:line="276" w:lineRule="auto"/>
              <w:jc w:val="center"/>
              <w:rPr>
                <w:szCs w:val="21"/>
              </w:rPr>
            </w:pPr>
          </w:p>
        </w:tc>
        <w:tc>
          <w:tcPr>
            <w:tcW w:w="1056" w:type="dxa"/>
            <w:gridSpan w:val="3"/>
            <w:vMerge w:val="restart"/>
            <w:vAlign w:val="center"/>
          </w:tcPr>
          <w:p w:rsidR="00475650" w:rsidRDefault="00475650">
            <w:pPr>
              <w:adjustRightInd w:val="0"/>
              <w:snapToGrid w:val="0"/>
              <w:spacing w:line="276" w:lineRule="auto"/>
              <w:jc w:val="center"/>
              <w:rPr>
                <w:szCs w:val="21"/>
              </w:rPr>
            </w:pPr>
            <w:r>
              <w:rPr>
                <w:szCs w:val="21"/>
              </w:rPr>
              <w:t>263</w:t>
            </w:r>
            <w:r>
              <w:rPr>
                <w:rFonts w:hAnsi="宋体"/>
                <w:szCs w:val="21"/>
              </w:rPr>
              <w:t>农药制造</w:t>
            </w:r>
          </w:p>
        </w:tc>
        <w:tc>
          <w:tcPr>
            <w:tcW w:w="2522" w:type="dxa"/>
            <w:vAlign w:val="center"/>
          </w:tcPr>
          <w:p w:rsidR="00475650" w:rsidRDefault="00475650">
            <w:pPr>
              <w:adjustRightInd w:val="0"/>
              <w:snapToGrid w:val="0"/>
              <w:spacing w:line="276" w:lineRule="auto"/>
              <w:jc w:val="center"/>
              <w:rPr>
                <w:szCs w:val="21"/>
              </w:rPr>
            </w:pPr>
            <w:r>
              <w:rPr>
                <w:szCs w:val="21"/>
              </w:rPr>
              <w:t>2631</w:t>
            </w:r>
            <w:r>
              <w:rPr>
                <w:rFonts w:hAnsi="宋体"/>
                <w:szCs w:val="21"/>
              </w:rPr>
              <w:t>化学农药制造</w:t>
            </w:r>
          </w:p>
        </w:tc>
        <w:tc>
          <w:tcPr>
            <w:tcW w:w="1490" w:type="dxa"/>
            <w:vAlign w:val="center"/>
          </w:tcPr>
          <w:p w:rsidR="00475650" w:rsidRDefault="00475650">
            <w:pPr>
              <w:adjustRightInd w:val="0"/>
              <w:snapToGrid w:val="0"/>
              <w:spacing w:line="276" w:lineRule="auto"/>
              <w:jc w:val="center"/>
              <w:rPr>
                <w:szCs w:val="21"/>
              </w:rPr>
            </w:pPr>
            <w:r>
              <w:rPr>
                <w:rFonts w:hAnsi="宋体"/>
                <w:szCs w:val="21"/>
              </w:rPr>
              <w:t>鼓励</w:t>
            </w:r>
          </w:p>
        </w:tc>
        <w:tc>
          <w:tcPr>
            <w:tcW w:w="2108" w:type="dxa"/>
            <w:vMerge/>
            <w:vAlign w:val="center"/>
          </w:tcPr>
          <w:p w:rsidR="00475650" w:rsidRDefault="00475650">
            <w:pPr>
              <w:adjustRightInd w:val="0"/>
              <w:snapToGrid w:val="0"/>
              <w:spacing w:line="276" w:lineRule="auto"/>
              <w:jc w:val="center"/>
              <w:rPr>
                <w:szCs w:val="21"/>
              </w:rPr>
            </w:pPr>
          </w:p>
        </w:tc>
      </w:tr>
      <w:tr w:rsidR="00475650">
        <w:trPr>
          <w:trHeight w:val="303"/>
        </w:trPr>
        <w:tc>
          <w:tcPr>
            <w:tcW w:w="1050" w:type="dxa"/>
            <w:vMerge/>
            <w:vAlign w:val="center"/>
          </w:tcPr>
          <w:p w:rsidR="00475650" w:rsidRDefault="00475650">
            <w:pPr>
              <w:adjustRightInd w:val="0"/>
              <w:snapToGrid w:val="0"/>
              <w:spacing w:line="276" w:lineRule="auto"/>
              <w:jc w:val="center"/>
              <w:rPr>
                <w:szCs w:val="21"/>
              </w:rPr>
            </w:pPr>
          </w:p>
        </w:tc>
        <w:tc>
          <w:tcPr>
            <w:tcW w:w="1061" w:type="dxa"/>
            <w:vMerge/>
            <w:vAlign w:val="center"/>
          </w:tcPr>
          <w:p w:rsidR="00475650" w:rsidRDefault="00475650">
            <w:pPr>
              <w:adjustRightInd w:val="0"/>
              <w:snapToGrid w:val="0"/>
              <w:spacing w:line="276" w:lineRule="auto"/>
              <w:jc w:val="center"/>
              <w:rPr>
                <w:szCs w:val="21"/>
              </w:rPr>
            </w:pPr>
          </w:p>
        </w:tc>
        <w:tc>
          <w:tcPr>
            <w:tcW w:w="1056" w:type="dxa"/>
            <w:gridSpan w:val="3"/>
            <w:vMerge/>
            <w:vAlign w:val="center"/>
          </w:tcPr>
          <w:p w:rsidR="00475650" w:rsidRDefault="00475650">
            <w:pPr>
              <w:adjustRightInd w:val="0"/>
              <w:snapToGrid w:val="0"/>
              <w:spacing w:line="276" w:lineRule="auto"/>
              <w:jc w:val="center"/>
              <w:rPr>
                <w:szCs w:val="21"/>
              </w:rPr>
            </w:pPr>
          </w:p>
        </w:tc>
        <w:tc>
          <w:tcPr>
            <w:tcW w:w="2522" w:type="dxa"/>
            <w:vAlign w:val="center"/>
          </w:tcPr>
          <w:p w:rsidR="00475650" w:rsidRDefault="00475650">
            <w:pPr>
              <w:adjustRightInd w:val="0"/>
              <w:snapToGrid w:val="0"/>
              <w:spacing w:line="276" w:lineRule="auto"/>
              <w:jc w:val="center"/>
              <w:rPr>
                <w:szCs w:val="21"/>
              </w:rPr>
            </w:pPr>
            <w:r>
              <w:rPr>
                <w:szCs w:val="21"/>
              </w:rPr>
              <w:t>2632</w:t>
            </w:r>
            <w:r>
              <w:rPr>
                <w:rFonts w:hAnsi="宋体"/>
                <w:szCs w:val="21"/>
              </w:rPr>
              <w:t>生物化学农药及微生物农药制造</w:t>
            </w:r>
          </w:p>
        </w:tc>
        <w:tc>
          <w:tcPr>
            <w:tcW w:w="1490" w:type="dxa"/>
            <w:vAlign w:val="center"/>
          </w:tcPr>
          <w:p w:rsidR="00475650" w:rsidRDefault="00475650">
            <w:pPr>
              <w:adjustRightInd w:val="0"/>
              <w:snapToGrid w:val="0"/>
              <w:spacing w:line="276" w:lineRule="auto"/>
              <w:jc w:val="center"/>
              <w:rPr>
                <w:szCs w:val="21"/>
              </w:rPr>
            </w:pPr>
            <w:r>
              <w:rPr>
                <w:rFonts w:hAnsi="宋体"/>
                <w:szCs w:val="21"/>
              </w:rPr>
              <w:t>禁止</w:t>
            </w:r>
          </w:p>
        </w:tc>
        <w:tc>
          <w:tcPr>
            <w:tcW w:w="2108" w:type="dxa"/>
            <w:vMerge/>
            <w:vAlign w:val="center"/>
          </w:tcPr>
          <w:p w:rsidR="00475650" w:rsidRDefault="00475650">
            <w:pPr>
              <w:adjustRightInd w:val="0"/>
              <w:snapToGrid w:val="0"/>
              <w:spacing w:line="276" w:lineRule="auto"/>
              <w:jc w:val="center"/>
              <w:rPr>
                <w:szCs w:val="21"/>
              </w:rPr>
            </w:pPr>
          </w:p>
        </w:tc>
      </w:tr>
      <w:tr w:rsidR="00475650">
        <w:trPr>
          <w:trHeight w:val="303"/>
        </w:trPr>
        <w:tc>
          <w:tcPr>
            <w:tcW w:w="1050" w:type="dxa"/>
            <w:vMerge/>
            <w:vAlign w:val="center"/>
          </w:tcPr>
          <w:p w:rsidR="00475650" w:rsidRDefault="00475650">
            <w:pPr>
              <w:adjustRightInd w:val="0"/>
              <w:snapToGrid w:val="0"/>
              <w:spacing w:line="276" w:lineRule="auto"/>
              <w:jc w:val="center"/>
              <w:rPr>
                <w:szCs w:val="21"/>
              </w:rPr>
            </w:pPr>
          </w:p>
        </w:tc>
        <w:tc>
          <w:tcPr>
            <w:tcW w:w="1061" w:type="dxa"/>
            <w:vMerge/>
            <w:vAlign w:val="center"/>
          </w:tcPr>
          <w:p w:rsidR="00475650" w:rsidRDefault="00475650">
            <w:pPr>
              <w:adjustRightInd w:val="0"/>
              <w:snapToGrid w:val="0"/>
              <w:spacing w:line="276" w:lineRule="auto"/>
              <w:jc w:val="center"/>
              <w:rPr>
                <w:szCs w:val="21"/>
              </w:rPr>
            </w:pPr>
          </w:p>
        </w:tc>
        <w:tc>
          <w:tcPr>
            <w:tcW w:w="3578" w:type="dxa"/>
            <w:gridSpan w:val="4"/>
            <w:vAlign w:val="center"/>
          </w:tcPr>
          <w:p w:rsidR="00475650" w:rsidRDefault="00475650">
            <w:pPr>
              <w:adjustRightInd w:val="0"/>
              <w:snapToGrid w:val="0"/>
              <w:spacing w:line="276" w:lineRule="auto"/>
              <w:jc w:val="center"/>
              <w:rPr>
                <w:szCs w:val="21"/>
              </w:rPr>
            </w:pPr>
            <w:r>
              <w:rPr>
                <w:szCs w:val="21"/>
              </w:rPr>
              <w:t>264</w:t>
            </w:r>
            <w:r>
              <w:rPr>
                <w:rFonts w:hAnsi="宋体"/>
                <w:szCs w:val="21"/>
              </w:rPr>
              <w:t>涂料、油墨、颜料及类似产品制造</w:t>
            </w:r>
          </w:p>
        </w:tc>
        <w:tc>
          <w:tcPr>
            <w:tcW w:w="1490" w:type="dxa"/>
            <w:vAlign w:val="center"/>
          </w:tcPr>
          <w:p w:rsidR="00475650" w:rsidRDefault="00475650">
            <w:pPr>
              <w:adjustRightInd w:val="0"/>
              <w:snapToGrid w:val="0"/>
              <w:spacing w:line="276" w:lineRule="auto"/>
              <w:jc w:val="center"/>
              <w:rPr>
                <w:szCs w:val="21"/>
              </w:rPr>
            </w:pPr>
            <w:r>
              <w:rPr>
                <w:rFonts w:hAnsi="宋体"/>
                <w:szCs w:val="21"/>
              </w:rPr>
              <w:t>鼓励</w:t>
            </w:r>
          </w:p>
        </w:tc>
        <w:tc>
          <w:tcPr>
            <w:tcW w:w="2108" w:type="dxa"/>
            <w:vMerge/>
            <w:vAlign w:val="center"/>
          </w:tcPr>
          <w:p w:rsidR="00475650" w:rsidRDefault="00475650">
            <w:pPr>
              <w:adjustRightInd w:val="0"/>
              <w:snapToGrid w:val="0"/>
              <w:spacing w:line="276" w:lineRule="auto"/>
              <w:jc w:val="center"/>
              <w:rPr>
                <w:szCs w:val="21"/>
              </w:rPr>
            </w:pPr>
          </w:p>
        </w:tc>
      </w:tr>
      <w:tr w:rsidR="00475650">
        <w:trPr>
          <w:trHeight w:val="303"/>
        </w:trPr>
        <w:tc>
          <w:tcPr>
            <w:tcW w:w="1050" w:type="dxa"/>
            <w:vMerge/>
            <w:vAlign w:val="center"/>
          </w:tcPr>
          <w:p w:rsidR="00475650" w:rsidRDefault="00475650">
            <w:pPr>
              <w:adjustRightInd w:val="0"/>
              <w:snapToGrid w:val="0"/>
              <w:spacing w:line="276" w:lineRule="auto"/>
              <w:jc w:val="center"/>
              <w:rPr>
                <w:szCs w:val="21"/>
              </w:rPr>
            </w:pPr>
          </w:p>
        </w:tc>
        <w:tc>
          <w:tcPr>
            <w:tcW w:w="1061" w:type="dxa"/>
            <w:vMerge/>
            <w:vAlign w:val="center"/>
          </w:tcPr>
          <w:p w:rsidR="00475650" w:rsidRDefault="00475650">
            <w:pPr>
              <w:adjustRightInd w:val="0"/>
              <w:snapToGrid w:val="0"/>
              <w:spacing w:line="276" w:lineRule="auto"/>
              <w:jc w:val="center"/>
              <w:rPr>
                <w:szCs w:val="21"/>
              </w:rPr>
            </w:pPr>
          </w:p>
        </w:tc>
        <w:tc>
          <w:tcPr>
            <w:tcW w:w="878" w:type="dxa"/>
            <w:gridSpan w:val="2"/>
            <w:vMerge w:val="restart"/>
            <w:vAlign w:val="center"/>
          </w:tcPr>
          <w:p w:rsidR="00475650" w:rsidRDefault="00475650">
            <w:pPr>
              <w:adjustRightInd w:val="0"/>
              <w:snapToGrid w:val="0"/>
              <w:spacing w:line="276" w:lineRule="auto"/>
              <w:jc w:val="center"/>
              <w:rPr>
                <w:szCs w:val="21"/>
              </w:rPr>
            </w:pPr>
            <w:r>
              <w:rPr>
                <w:szCs w:val="21"/>
              </w:rPr>
              <w:t>266</w:t>
            </w:r>
            <w:r>
              <w:rPr>
                <w:rFonts w:hAnsi="宋体"/>
                <w:szCs w:val="21"/>
              </w:rPr>
              <w:t>专用化学产品制造</w:t>
            </w:r>
          </w:p>
        </w:tc>
        <w:tc>
          <w:tcPr>
            <w:tcW w:w="2700" w:type="dxa"/>
            <w:gridSpan w:val="2"/>
            <w:vAlign w:val="center"/>
          </w:tcPr>
          <w:p w:rsidR="00475650" w:rsidRDefault="00475650">
            <w:pPr>
              <w:adjustRightInd w:val="0"/>
              <w:snapToGrid w:val="0"/>
              <w:spacing w:line="276" w:lineRule="auto"/>
              <w:jc w:val="center"/>
              <w:rPr>
                <w:szCs w:val="21"/>
              </w:rPr>
            </w:pPr>
            <w:r>
              <w:rPr>
                <w:szCs w:val="21"/>
              </w:rPr>
              <w:t>2661</w:t>
            </w:r>
            <w:r>
              <w:rPr>
                <w:rFonts w:hAnsi="宋体"/>
                <w:szCs w:val="21"/>
              </w:rPr>
              <w:t>化学试剂和助剂制造</w:t>
            </w:r>
          </w:p>
        </w:tc>
        <w:tc>
          <w:tcPr>
            <w:tcW w:w="1490" w:type="dxa"/>
            <w:vAlign w:val="center"/>
          </w:tcPr>
          <w:p w:rsidR="00475650" w:rsidRDefault="00475650">
            <w:pPr>
              <w:adjustRightInd w:val="0"/>
              <w:snapToGrid w:val="0"/>
              <w:spacing w:line="276" w:lineRule="auto"/>
              <w:jc w:val="center"/>
              <w:rPr>
                <w:szCs w:val="21"/>
              </w:rPr>
            </w:pPr>
            <w:r>
              <w:rPr>
                <w:rFonts w:hAnsi="宋体"/>
                <w:szCs w:val="21"/>
              </w:rPr>
              <w:t>鼓励</w:t>
            </w:r>
          </w:p>
        </w:tc>
        <w:tc>
          <w:tcPr>
            <w:tcW w:w="2108" w:type="dxa"/>
            <w:vMerge/>
            <w:vAlign w:val="center"/>
          </w:tcPr>
          <w:p w:rsidR="00475650" w:rsidRDefault="00475650">
            <w:pPr>
              <w:adjustRightInd w:val="0"/>
              <w:snapToGrid w:val="0"/>
              <w:spacing w:line="276" w:lineRule="auto"/>
              <w:jc w:val="center"/>
              <w:rPr>
                <w:szCs w:val="21"/>
              </w:rPr>
            </w:pPr>
          </w:p>
        </w:tc>
      </w:tr>
      <w:tr w:rsidR="00475650">
        <w:trPr>
          <w:trHeight w:val="303"/>
        </w:trPr>
        <w:tc>
          <w:tcPr>
            <w:tcW w:w="1050" w:type="dxa"/>
            <w:vMerge/>
            <w:vAlign w:val="center"/>
          </w:tcPr>
          <w:p w:rsidR="00475650" w:rsidRDefault="00475650">
            <w:pPr>
              <w:adjustRightInd w:val="0"/>
              <w:snapToGrid w:val="0"/>
              <w:spacing w:line="276" w:lineRule="auto"/>
              <w:jc w:val="center"/>
              <w:rPr>
                <w:szCs w:val="21"/>
              </w:rPr>
            </w:pPr>
          </w:p>
        </w:tc>
        <w:tc>
          <w:tcPr>
            <w:tcW w:w="1061" w:type="dxa"/>
            <w:vMerge/>
            <w:vAlign w:val="center"/>
          </w:tcPr>
          <w:p w:rsidR="00475650" w:rsidRDefault="00475650">
            <w:pPr>
              <w:adjustRightInd w:val="0"/>
              <w:snapToGrid w:val="0"/>
              <w:spacing w:line="276" w:lineRule="auto"/>
              <w:jc w:val="center"/>
              <w:rPr>
                <w:szCs w:val="21"/>
              </w:rPr>
            </w:pPr>
          </w:p>
        </w:tc>
        <w:tc>
          <w:tcPr>
            <w:tcW w:w="878" w:type="dxa"/>
            <w:gridSpan w:val="2"/>
            <w:vMerge/>
            <w:vAlign w:val="center"/>
          </w:tcPr>
          <w:p w:rsidR="00475650" w:rsidRDefault="00475650">
            <w:pPr>
              <w:adjustRightInd w:val="0"/>
              <w:snapToGrid w:val="0"/>
              <w:spacing w:line="276" w:lineRule="auto"/>
              <w:jc w:val="center"/>
              <w:rPr>
                <w:szCs w:val="21"/>
              </w:rPr>
            </w:pPr>
          </w:p>
        </w:tc>
        <w:tc>
          <w:tcPr>
            <w:tcW w:w="2700" w:type="dxa"/>
            <w:gridSpan w:val="2"/>
            <w:vAlign w:val="center"/>
          </w:tcPr>
          <w:p w:rsidR="00475650" w:rsidRDefault="00475650">
            <w:pPr>
              <w:adjustRightInd w:val="0"/>
              <w:snapToGrid w:val="0"/>
              <w:spacing w:line="276" w:lineRule="auto"/>
              <w:jc w:val="center"/>
              <w:rPr>
                <w:szCs w:val="21"/>
              </w:rPr>
            </w:pPr>
            <w:r>
              <w:rPr>
                <w:szCs w:val="21"/>
              </w:rPr>
              <w:t>2662</w:t>
            </w:r>
            <w:r>
              <w:rPr>
                <w:rFonts w:hAnsi="宋体"/>
                <w:szCs w:val="21"/>
              </w:rPr>
              <w:t>专项化学用品制造</w:t>
            </w:r>
          </w:p>
        </w:tc>
        <w:tc>
          <w:tcPr>
            <w:tcW w:w="1490" w:type="dxa"/>
            <w:vAlign w:val="center"/>
          </w:tcPr>
          <w:p w:rsidR="00475650" w:rsidRDefault="00475650">
            <w:pPr>
              <w:adjustRightInd w:val="0"/>
              <w:snapToGrid w:val="0"/>
              <w:spacing w:line="276" w:lineRule="auto"/>
              <w:jc w:val="center"/>
              <w:rPr>
                <w:szCs w:val="21"/>
              </w:rPr>
            </w:pPr>
            <w:r>
              <w:rPr>
                <w:rFonts w:hAnsi="宋体"/>
                <w:szCs w:val="21"/>
              </w:rPr>
              <w:t>鼓励</w:t>
            </w:r>
          </w:p>
        </w:tc>
        <w:tc>
          <w:tcPr>
            <w:tcW w:w="2108" w:type="dxa"/>
            <w:vMerge/>
            <w:vAlign w:val="center"/>
          </w:tcPr>
          <w:p w:rsidR="00475650" w:rsidRDefault="00475650">
            <w:pPr>
              <w:adjustRightInd w:val="0"/>
              <w:snapToGrid w:val="0"/>
              <w:spacing w:line="276" w:lineRule="auto"/>
              <w:jc w:val="center"/>
              <w:rPr>
                <w:szCs w:val="21"/>
              </w:rPr>
            </w:pPr>
          </w:p>
        </w:tc>
      </w:tr>
      <w:tr w:rsidR="00475650">
        <w:trPr>
          <w:trHeight w:val="303"/>
        </w:trPr>
        <w:tc>
          <w:tcPr>
            <w:tcW w:w="1050" w:type="dxa"/>
            <w:vMerge/>
            <w:vAlign w:val="center"/>
          </w:tcPr>
          <w:p w:rsidR="00475650" w:rsidRDefault="00475650">
            <w:pPr>
              <w:adjustRightInd w:val="0"/>
              <w:snapToGrid w:val="0"/>
              <w:spacing w:line="276" w:lineRule="auto"/>
              <w:jc w:val="center"/>
              <w:rPr>
                <w:szCs w:val="21"/>
              </w:rPr>
            </w:pPr>
          </w:p>
        </w:tc>
        <w:tc>
          <w:tcPr>
            <w:tcW w:w="1061" w:type="dxa"/>
            <w:vMerge/>
            <w:vAlign w:val="center"/>
          </w:tcPr>
          <w:p w:rsidR="00475650" w:rsidRDefault="00475650">
            <w:pPr>
              <w:adjustRightInd w:val="0"/>
              <w:snapToGrid w:val="0"/>
              <w:spacing w:line="276" w:lineRule="auto"/>
              <w:jc w:val="center"/>
              <w:rPr>
                <w:szCs w:val="21"/>
              </w:rPr>
            </w:pPr>
          </w:p>
        </w:tc>
        <w:tc>
          <w:tcPr>
            <w:tcW w:w="878" w:type="dxa"/>
            <w:gridSpan w:val="2"/>
            <w:vMerge/>
            <w:vAlign w:val="center"/>
          </w:tcPr>
          <w:p w:rsidR="00475650" w:rsidRDefault="00475650">
            <w:pPr>
              <w:adjustRightInd w:val="0"/>
              <w:snapToGrid w:val="0"/>
              <w:spacing w:line="276" w:lineRule="auto"/>
              <w:jc w:val="center"/>
              <w:rPr>
                <w:szCs w:val="21"/>
              </w:rPr>
            </w:pPr>
          </w:p>
        </w:tc>
        <w:tc>
          <w:tcPr>
            <w:tcW w:w="2700" w:type="dxa"/>
            <w:gridSpan w:val="2"/>
            <w:vAlign w:val="center"/>
          </w:tcPr>
          <w:p w:rsidR="00475650" w:rsidRDefault="00475650">
            <w:pPr>
              <w:adjustRightInd w:val="0"/>
              <w:snapToGrid w:val="0"/>
              <w:spacing w:line="276" w:lineRule="auto"/>
              <w:jc w:val="center"/>
              <w:rPr>
                <w:szCs w:val="21"/>
              </w:rPr>
            </w:pPr>
            <w:r>
              <w:rPr>
                <w:szCs w:val="21"/>
              </w:rPr>
              <w:t>2663</w:t>
            </w:r>
            <w:r>
              <w:rPr>
                <w:rFonts w:hAnsi="宋体"/>
                <w:szCs w:val="21"/>
              </w:rPr>
              <w:t>林产化学产品制造</w:t>
            </w:r>
          </w:p>
        </w:tc>
        <w:tc>
          <w:tcPr>
            <w:tcW w:w="1490" w:type="dxa"/>
            <w:vAlign w:val="center"/>
          </w:tcPr>
          <w:p w:rsidR="00475650" w:rsidRDefault="00475650">
            <w:pPr>
              <w:adjustRightInd w:val="0"/>
              <w:snapToGrid w:val="0"/>
              <w:spacing w:line="276" w:lineRule="auto"/>
              <w:jc w:val="center"/>
              <w:rPr>
                <w:szCs w:val="21"/>
              </w:rPr>
            </w:pPr>
            <w:r>
              <w:rPr>
                <w:rFonts w:hAnsi="宋体"/>
                <w:szCs w:val="21"/>
              </w:rPr>
              <w:t>禁止</w:t>
            </w:r>
          </w:p>
        </w:tc>
        <w:tc>
          <w:tcPr>
            <w:tcW w:w="2108" w:type="dxa"/>
            <w:vMerge/>
            <w:vAlign w:val="center"/>
          </w:tcPr>
          <w:p w:rsidR="00475650" w:rsidRDefault="00475650">
            <w:pPr>
              <w:adjustRightInd w:val="0"/>
              <w:snapToGrid w:val="0"/>
              <w:spacing w:line="276" w:lineRule="auto"/>
              <w:jc w:val="center"/>
              <w:rPr>
                <w:szCs w:val="21"/>
              </w:rPr>
            </w:pPr>
          </w:p>
        </w:tc>
      </w:tr>
      <w:tr w:rsidR="00475650">
        <w:trPr>
          <w:trHeight w:val="303"/>
        </w:trPr>
        <w:tc>
          <w:tcPr>
            <w:tcW w:w="1050" w:type="dxa"/>
            <w:vMerge/>
            <w:vAlign w:val="center"/>
          </w:tcPr>
          <w:p w:rsidR="00475650" w:rsidRDefault="00475650">
            <w:pPr>
              <w:adjustRightInd w:val="0"/>
              <w:snapToGrid w:val="0"/>
              <w:spacing w:line="276" w:lineRule="auto"/>
              <w:jc w:val="center"/>
              <w:rPr>
                <w:szCs w:val="21"/>
              </w:rPr>
            </w:pPr>
          </w:p>
        </w:tc>
        <w:tc>
          <w:tcPr>
            <w:tcW w:w="1061" w:type="dxa"/>
            <w:vMerge/>
            <w:vAlign w:val="center"/>
          </w:tcPr>
          <w:p w:rsidR="00475650" w:rsidRDefault="00475650">
            <w:pPr>
              <w:adjustRightInd w:val="0"/>
              <w:snapToGrid w:val="0"/>
              <w:spacing w:line="276" w:lineRule="auto"/>
              <w:jc w:val="center"/>
              <w:rPr>
                <w:szCs w:val="21"/>
              </w:rPr>
            </w:pPr>
          </w:p>
        </w:tc>
        <w:tc>
          <w:tcPr>
            <w:tcW w:w="878" w:type="dxa"/>
            <w:gridSpan w:val="2"/>
            <w:vMerge/>
            <w:vAlign w:val="center"/>
          </w:tcPr>
          <w:p w:rsidR="00475650" w:rsidRDefault="00475650">
            <w:pPr>
              <w:adjustRightInd w:val="0"/>
              <w:snapToGrid w:val="0"/>
              <w:spacing w:line="276" w:lineRule="auto"/>
              <w:jc w:val="center"/>
              <w:rPr>
                <w:szCs w:val="21"/>
              </w:rPr>
            </w:pPr>
          </w:p>
        </w:tc>
        <w:tc>
          <w:tcPr>
            <w:tcW w:w="2700" w:type="dxa"/>
            <w:gridSpan w:val="2"/>
            <w:vAlign w:val="center"/>
          </w:tcPr>
          <w:p w:rsidR="00475650" w:rsidRDefault="00475650">
            <w:pPr>
              <w:adjustRightInd w:val="0"/>
              <w:snapToGrid w:val="0"/>
              <w:spacing w:line="276" w:lineRule="auto"/>
              <w:jc w:val="center"/>
              <w:rPr>
                <w:szCs w:val="21"/>
              </w:rPr>
            </w:pPr>
            <w:r>
              <w:rPr>
                <w:szCs w:val="21"/>
              </w:rPr>
              <w:t>2664</w:t>
            </w:r>
            <w:r>
              <w:rPr>
                <w:rFonts w:hAnsi="宋体"/>
                <w:szCs w:val="21"/>
              </w:rPr>
              <w:t>炸药及火工产品制造</w:t>
            </w:r>
          </w:p>
        </w:tc>
        <w:tc>
          <w:tcPr>
            <w:tcW w:w="1490" w:type="dxa"/>
            <w:vAlign w:val="center"/>
          </w:tcPr>
          <w:p w:rsidR="00475650" w:rsidRDefault="00475650">
            <w:pPr>
              <w:adjustRightInd w:val="0"/>
              <w:snapToGrid w:val="0"/>
              <w:spacing w:line="276" w:lineRule="auto"/>
              <w:jc w:val="center"/>
              <w:rPr>
                <w:szCs w:val="21"/>
              </w:rPr>
            </w:pPr>
            <w:r>
              <w:rPr>
                <w:rFonts w:hAnsi="宋体"/>
                <w:szCs w:val="21"/>
              </w:rPr>
              <w:t>禁止</w:t>
            </w:r>
          </w:p>
        </w:tc>
        <w:tc>
          <w:tcPr>
            <w:tcW w:w="2108" w:type="dxa"/>
            <w:vMerge/>
            <w:vAlign w:val="center"/>
          </w:tcPr>
          <w:p w:rsidR="00475650" w:rsidRDefault="00475650">
            <w:pPr>
              <w:adjustRightInd w:val="0"/>
              <w:snapToGrid w:val="0"/>
              <w:spacing w:line="276" w:lineRule="auto"/>
              <w:jc w:val="center"/>
              <w:rPr>
                <w:szCs w:val="21"/>
              </w:rPr>
            </w:pPr>
          </w:p>
        </w:tc>
      </w:tr>
      <w:tr w:rsidR="00475650">
        <w:trPr>
          <w:trHeight w:val="303"/>
        </w:trPr>
        <w:tc>
          <w:tcPr>
            <w:tcW w:w="1050" w:type="dxa"/>
            <w:vMerge/>
            <w:vAlign w:val="center"/>
          </w:tcPr>
          <w:p w:rsidR="00475650" w:rsidRDefault="00475650">
            <w:pPr>
              <w:adjustRightInd w:val="0"/>
              <w:snapToGrid w:val="0"/>
              <w:spacing w:line="276" w:lineRule="auto"/>
              <w:jc w:val="center"/>
              <w:rPr>
                <w:szCs w:val="21"/>
              </w:rPr>
            </w:pPr>
          </w:p>
        </w:tc>
        <w:tc>
          <w:tcPr>
            <w:tcW w:w="1061" w:type="dxa"/>
            <w:vMerge/>
            <w:vAlign w:val="center"/>
          </w:tcPr>
          <w:p w:rsidR="00475650" w:rsidRDefault="00475650">
            <w:pPr>
              <w:adjustRightInd w:val="0"/>
              <w:snapToGrid w:val="0"/>
              <w:spacing w:line="276" w:lineRule="auto"/>
              <w:jc w:val="center"/>
              <w:rPr>
                <w:szCs w:val="21"/>
              </w:rPr>
            </w:pPr>
          </w:p>
        </w:tc>
        <w:tc>
          <w:tcPr>
            <w:tcW w:w="878" w:type="dxa"/>
            <w:gridSpan w:val="2"/>
            <w:vMerge/>
            <w:vAlign w:val="center"/>
          </w:tcPr>
          <w:p w:rsidR="00475650" w:rsidRDefault="00475650">
            <w:pPr>
              <w:adjustRightInd w:val="0"/>
              <w:snapToGrid w:val="0"/>
              <w:spacing w:line="276" w:lineRule="auto"/>
              <w:jc w:val="center"/>
              <w:rPr>
                <w:szCs w:val="21"/>
              </w:rPr>
            </w:pPr>
          </w:p>
        </w:tc>
        <w:tc>
          <w:tcPr>
            <w:tcW w:w="2700" w:type="dxa"/>
            <w:gridSpan w:val="2"/>
            <w:vAlign w:val="center"/>
          </w:tcPr>
          <w:p w:rsidR="00475650" w:rsidRDefault="00475650">
            <w:pPr>
              <w:adjustRightInd w:val="0"/>
              <w:snapToGrid w:val="0"/>
              <w:spacing w:line="276" w:lineRule="auto"/>
              <w:jc w:val="center"/>
              <w:rPr>
                <w:szCs w:val="21"/>
              </w:rPr>
            </w:pPr>
            <w:r>
              <w:rPr>
                <w:szCs w:val="21"/>
              </w:rPr>
              <w:t>2665</w:t>
            </w:r>
            <w:r>
              <w:rPr>
                <w:rFonts w:hAnsi="宋体"/>
                <w:szCs w:val="21"/>
              </w:rPr>
              <w:t>信息化学品制造</w:t>
            </w:r>
          </w:p>
        </w:tc>
        <w:tc>
          <w:tcPr>
            <w:tcW w:w="1490" w:type="dxa"/>
            <w:vAlign w:val="center"/>
          </w:tcPr>
          <w:p w:rsidR="00475650" w:rsidRDefault="00475650">
            <w:pPr>
              <w:adjustRightInd w:val="0"/>
              <w:snapToGrid w:val="0"/>
              <w:spacing w:line="276" w:lineRule="auto"/>
              <w:jc w:val="center"/>
              <w:rPr>
                <w:szCs w:val="21"/>
              </w:rPr>
            </w:pPr>
            <w:r>
              <w:rPr>
                <w:rFonts w:hAnsi="宋体"/>
                <w:szCs w:val="21"/>
              </w:rPr>
              <w:t>鼓励</w:t>
            </w:r>
          </w:p>
        </w:tc>
        <w:tc>
          <w:tcPr>
            <w:tcW w:w="2108" w:type="dxa"/>
            <w:vMerge/>
            <w:vAlign w:val="center"/>
          </w:tcPr>
          <w:p w:rsidR="00475650" w:rsidRDefault="00475650">
            <w:pPr>
              <w:adjustRightInd w:val="0"/>
              <w:snapToGrid w:val="0"/>
              <w:spacing w:line="276" w:lineRule="auto"/>
              <w:jc w:val="center"/>
              <w:rPr>
                <w:szCs w:val="21"/>
              </w:rPr>
            </w:pPr>
          </w:p>
        </w:tc>
      </w:tr>
      <w:tr w:rsidR="00475650">
        <w:trPr>
          <w:trHeight w:val="303"/>
        </w:trPr>
        <w:tc>
          <w:tcPr>
            <w:tcW w:w="1050" w:type="dxa"/>
            <w:vMerge/>
            <w:vAlign w:val="center"/>
          </w:tcPr>
          <w:p w:rsidR="00475650" w:rsidRDefault="00475650">
            <w:pPr>
              <w:adjustRightInd w:val="0"/>
              <w:snapToGrid w:val="0"/>
              <w:spacing w:line="276" w:lineRule="auto"/>
              <w:jc w:val="center"/>
              <w:rPr>
                <w:szCs w:val="21"/>
              </w:rPr>
            </w:pPr>
          </w:p>
        </w:tc>
        <w:tc>
          <w:tcPr>
            <w:tcW w:w="1061" w:type="dxa"/>
            <w:vMerge/>
            <w:vAlign w:val="center"/>
          </w:tcPr>
          <w:p w:rsidR="00475650" w:rsidRDefault="00475650">
            <w:pPr>
              <w:adjustRightInd w:val="0"/>
              <w:snapToGrid w:val="0"/>
              <w:spacing w:line="276" w:lineRule="auto"/>
              <w:jc w:val="center"/>
              <w:rPr>
                <w:szCs w:val="21"/>
              </w:rPr>
            </w:pPr>
          </w:p>
        </w:tc>
        <w:tc>
          <w:tcPr>
            <w:tcW w:w="878" w:type="dxa"/>
            <w:gridSpan w:val="2"/>
            <w:vMerge/>
            <w:vAlign w:val="center"/>
          </w:tcPr>
          <w:p w:rsidR="00475650" w:rsidRDefault="00475650">
            <w:pPr>
              <w:adjustRightInd w:val="0"/>
              <w:snapToGrid w:val="0"/>
              <w:spacing w:line="276" w:lineRule="auto"/>
              <w:jc w:val="center"/>
              <w:rPr>
                <w:szCs w:val="21"/>
              </w:rPr>
            </w:pPr>
          </w:p>
        </w:tc>
        <w:tc>
          <w:tcPr>
            <w:tcW w:w="2700" w:type="dxa"/>
            <w:gridSpan w:val="2"/>
            <w:vAlign w:val="center"/>
          </w:tcPr>
          <w:p w:rsidR="00475650" w:rsidRDefault="00475650">
            <w:pPr>
              <w:adjustRightInd w:val="0"/>
              <w:snapToGrid w:val="0"/>
              <w:spacing w:line="276" w:lineRule="auto"/>
              <w:jc w:val="center"/>
              <w:rPr>
                <w:szCs w:val="21"/>
              </w:rPr>
            </w:pPr>
            <w:r>
              <w:rPr>
                <w:szCs w:val="21"/>
              </w:rPr>
              <w:t>2666</w:t>
            </w:r>
            <w:r>
              <w:rPr>
                <w:rFonts w:hAnsi="宋体"/>
                <w:szCs w:val="21"/>
              </w:rPr>
              <w:t>环境污染处理专用药剂材料制造</w:t>
            </w:r>
          </w:p>
        </w:tc>
        <w:tc>
          <w:tcPr>
            <w:tcW w:w="1490" w:type="dxa"/>
            <w:vAlign w:val="center"/>
          </w:tcPr>
          <w:p w:rsidR="00475650" w:rsidRDefault="00475650">
            <w:pPr>
              <w:adjustRightInd w:val="0"/>
              <w:snapToGrid w:val="0"/>
              <w:spacing w:line="276" w:lineRule="auto"/>
              <w:jc w:val="center"/>
              <w:rPr>
                <w:szCs w:val="21"/>
              </w:rPr>
            </w:pPr>
            <w:r>
              <w:rPr>
                <w:rFonts w:hAnsi="宋体"/>
                <w:szCs w:val="21"/>
              </w:rPr>
              <w:t>鼓励</w:t>
            </w:r>
          </w:p>
        </w:tc>
        <w:tc>
          <w:tcPr>
            <w:tcW w:w="2108" w:type="dxa"/>
            <w:vMerge/>
            <w:vAlign w:val="center"/>
          </w:tcPr>
          <w:p w:rsidR="00475650" w:rsidRDefault="00475650">
            <w:pPr>
              <w:adjustRightInd w:val="0"/>
              <w:snapToGrid w:val="0"/>
              <w:spacing w:line="276" w:lineRule="auto"/>
              <w:jc w:val="center"/>
              <w:rPr>
                <w:szCs w:val="21"/>
              </w:rPr>
            </w:pPr>
          </w:p>
        </w:tc>
      </w:tr>
      <w:tr w:rsidR="00475650">
        <w:trPr>
          <w:trHeight w:val="303"/>
        </w:trPr>
        <w:tc>
          <w:tcPr>
            <w:tcW w:w="1050" w:type="dxa"/>
            <w:vMerge/>
            <w:vAlign w:val="center"/>
          </w:tcPr>
          <w:p w:rsidR="00475650" w:rsidRDefault="00475650">
            <w:pPr>
              <w:adjustRightInd w:val="0"/>
              <w:snapToGrid w:val="0"/>
              <w:spacing w:line="276" w:lineRule="auto"/>
              <w:jc w:val="center"/>
              <w:rPr>
                <w:szCs w:val="21"/>
              </w:rPr>
            </w:pPr>
          </w:p>
        </w:tc>
        <w:tc>
          <w:tcPr>
            <w:tcW w:w="1061" w:type="dxa"/>
            <w:vMerge/>
            <w:vAlign w:val="center"/>
          </w:tcPr>
          <w:p w:rsidR="00475650" w:rsidRDefault="00475650">
            <w:pPr>
              <w:adjustRightInd w:val="0"/>
              <w:snapToGrid w:val="0"/>
              <w:spacing w:line="276" w:lineRule="auto"/>
              <w:jc w:val="center"/>
              <w:rPr>
                <w:szCs w:val="21"/>
              </w:rPr>
            </w:pPr>
          </w:p>
        </w:tc>
        <w:tc>
          <w:tcPr>
            <w:tcW w:w="878" w:type="dxa"/>
            <w:gridSpan w:val="2"/>
            <w:vMerge/>
            <w:vAlign w:val="center"/>
          </w:tcPr>
          <w:p w:rsidR="00475650" w:rsidRDefault="00475650">
            <w:pPr>
              <w:adjustRightInd w:val="0"/>
              <w:snapToGrid w:val="0"/>
              <w:spacing w:line="276" w:lineRule="auto"/>
              <w:jc w:val="center"/>
              <w:rPr>
                <w:szCs w:val="21"/>
              </w:rPr>
            </w:pPr>
          </w:p>
        </w:tc>
        <w:tc>
          <w:tcPr>
            <w:tcW w:w="2700" w:type="dxa"/>
            <w:gridSpan w:val="2"/>
            <w:vAlign w:val="center"/>
          </w:tcPr>
          <w:p w:rsidR="00475650" w:rsidRDefault="00475650">
            <w:pPr>
              <w:adjustRightInd w:val="0"/>
              <w:snapToGrid w:val="0"/>
              <w:spacing w:line="276" w:lineRule="auto"/>
              <w:jc w:val="center"/>
              <w:rPr>
                <w:szCs w:val="21"/>
              </w:rPr>
            </w:pPr>
            <w:r>
              <w:rPr>
                <w:szCs w:val="21"/>
              </w:rPr>
              <w:t>2667</w:t>
            </w:r>
            <w:r>
              <w:rPr>
                <w:rFonts w:hAnsi="宋体"/>
                <w:szCs w:val="21"/>
              </w:rPr>
              <w:t>动物胶制造</w:t>
            </w:r>
          </w:p>
        </w:tc>
        <w:tc>
          <w:tcPr>
            <w:tcW w:w="1490" w:type="dxa"/>
            <w:vAlign w:val="center"/>
          </w:tcPr>
          <w:p w:rsidR="00475650" w:rsidRDefault="00475650">
            <w:pPr>
              <w:adjustRightInd w:val="0"/>
              <w:snapToGrid w:val="0"/>
              <w:spacing w:line="276" w:lineRule="auto"/>
              <w:jc w:val="center"/>
              <w:rPr>
                <w:szCs w:val="21"/>
              </w:rPr>
            </w:pPr>
            <w:r>
              <w:rPr>
                <w:rFonts w:hAnsi="宋体"/>
                <w:szCs w:val="21"/>
              </w:rPr>
              <w:t>禁止</w:t>
            </w:r>
          </w:p>
        </w:tc>
        <w:tc>
          <w:tcPr>
            <w:tcW w:w="2108" w:type="dxa"/>
            <w:vMerge/>
            <w:vAlign w:val="center"/>
          </w:tcPr>
          <w:p w:rsidR="00475650" w:rsidRDefault="00475650">
            <w:pPr>
              <w:adjustRightInd w:val="0"/>
              <w:snapToGrid w:val="0"/>
              <w:spacing w:line="276" w:lineRule="auto"/>
              <w:jc w:val="center"/>
              <w:rPr>
                <w:szCs w:val="21"/>
              </w:rPr>
            </w:pPr>
          </w:p>
        </w:tc>
      </w:tr>
      <w:tr w:rsidR="00475650">
        <w:trPr>
          <w:trHeight w:val="303"/>
        </w:trPr>
        <w:tc>
          <w:tcPr>
            <w:tcW w:w="1050" w:type="dxa"/>
            <w:vMerge/>
            <w:vAlign w:val="center"/>
          </w:tcPr>
          <w:p w:rsidR="00475650" w:rsidRDefault="00475650">
            <w:pPr>
              <w:adjustRightInd w:val="0"/>
              <w:snapToGrid w:val="0"/>
              <w:spacing w:line="276" w:lineRule="auto"/>
              <w:jc w:val="center"/>
              <w:rPr>
                <w:szCs w:val="21"/>
              </w:rPr>
            </w:pPr>
          </w:p>
        </w:tc>
        <w:tc>
          <w:tcPr>
            <w:tcW w:w="1061" w:type="dxa"/>
            <w:vMerge/>
            <w:vAlign w:val="center"/>
          </w:tcPr>
          <w:p w:rsidR="00475650" w:rsidRDefault="00475650">
            <w:pPr>
              <w:adjustRightInd w:val="0"/>
              <w:snapToGrid w:val="0"/>
              <w:spacing w:line="276" w:lineRule="auto"/>
              <w:jc w:val="center"/>
              <w:rPr>
                <w:szCs w:val="21"/>
              </w:rPr>
            </w:pPr>
          </w:p>
        </w:tc>
        <w:tc>
          <w:tcPr>
            <w:tcW w:w="878" w:type="dxa"/>
            <w:gridSpan w:val="2"/>
            <w:vMerge/>
            <w:vAlign w:val="center"/>
          </w:tcPr>
          <w:p w:rsidR="00475650" w:rsidRDefault="00475650">
            <w:pPr>
              <w:adjustRightInd w:val="0"/>
              <w:snapToGrid w:val="0"/>
              <w:spacing w:line="276" w:lineRule="auto"/>
              <w:jc w:val="center"/>
              <w:rPr>
                <w:szCs w:val="21"/>
              </w:rPr>
            </w:pPr>
          </w:p>
        </w:tc>
        <w:tc>
          <w:tcPr>
            <w:tcW w:w="2700" w:type="dxa"/>
            <w:gridSpan w:val="2"/>
            <w:vAlign w:val="center"/>
          </w:tcPr>
          <w:p w:rsidR="00475650" w:rsidRDefault="00475650">
            <w:pPr>
              <w:adjustRightInd w:val="0"/>
              <w:snapToGrid w:val="0"/>
              <w:spacing w:line="276" w:lineRule="auto"/>
              <w:jc w:val="center"/>
              <w:rPr>
                <w:szCs w:val="21"/>
              </w:rPr>
            </w:pPr>
            <w:r>
              <w:rPr>
                <w:szCs w:val="21"/>
              </w:rPr>
              <w:t>2668</w:t>
            </w:r>
            <w:r>
              <w:rPr>
                <w:rFonts w:hAnsi="宋体"/>
                <w:szCs w:val="21"/>
              </w:rPr>
              <w:t>其他专用化学产品制造</w:t>
            </w:r>
          </w:p>
        </w:tc>
        <w:tc>
          <w:tcPr>
            <w:tcW w:w="1490" w:type="dxa"/>
            <w:vAlign w:val="center"/>
          </w:tcPr>
          <w:p w:rsidR="00475650" w:rsidRDefault="00475650">
            <w:pPr>
              <w:adjustRightInd w:val="0"/>
              <w:snapToGrid w:val="0"/>
              <w:spacing w:line="276" w:lineRule="auto"/>
              <w:jc w:val="center"/>
              <w:rPr>
                <w:szCs w:val="21"/>
              </w:rPr>
            </w:pPr>
            <w:r>
              <w:rPr>
                <w:rFonts w:hAnsi="宋体"/>
                <w:szCs w:val="21"/>
              </w:rPr>
              <w:t>限制</w:t>
            </w:r>
            <w:r>
              <w:rPr>
                <w:szCs w:val="21"/>
              </w:rPr>
              <w:t>—</w:t>
            </w:r>
            <w:r>
              <w:rPr>
                <w:rFonts w:hAnsi="宋体"/>
                <w:szCs w:val="21"/>
              </w:rPr>
              <w:t>推荐清洁、低污染产业</w:t>
            </w:r>
          </w:p>
        </w:tc>
        <w:tc>
          <w:tcPr>
            <w:tcW w:w="2108" w:type="dxa"/>
            <w:vMerge/>
            <w:vAlign w:val="center"/>
          </w:tcPr>
          <w:p w:rsidR="00475650" w:rsidRDefault="00475650">
            <w:pPr>
              <w:adjustRightInd w:val="0"/>
              <w:snapToGrid w:val="0"/>
              <w:spacing w:line="276" w:lineRule="auto"/>
              <w:jc w:val="center"/>
              <w:rPr>
                <w:szCs w:val="21"/>
              </w:rPr>
            </w:pPr>
          </w:p>
        </w:tc>
      </w:tr>
      <w:tr w:rsidR="00475650">
        <w:trPr>
          <w:trHeight w:val="303"/>
        </w:trPr>
        <w:tc>
          <w:tcPr>
            <w:tcW w:w="1050" w:type="dxa"/>
            <w:vMerge/>
            <w:vAlign w:val="center"/>
          </w:tcPr>
          <w:p w:rsidR="00475650" w:rsidRDefault="00475650">
            <w:pPr>
              <w:adjustRightInd w:val="0"/>
              <w:snapToGrid w:val="0"/>
              <w:spacing w:line="276" w:lineRule="auto"/>
              <w:jc w:val="center"/>
              <w:rPr>
                <w:szCs w:val="21"/>
              </w:rPr>
            </w:pPr>
          </w:p>
        </w:tc>
        <w:tc>
          <w:tcPr>
            <w:tcW w:w="1061" w:type="dxa"/>
            <w:vMerge/>
            <w:vAlign w:val="center"/>
          </w:tcPr>
          <w:p w:rsidR="00475650" w:rsidRDefault="00475650">
            <w:pPr>
              <w:adjustRightInd w:val="0"/>
              <w:snapToGrid w:val="0"/>
              <w:spacing w:line="276" w:lineRule="auto"/>
              <w:jc w:val="center"/>
              <w:rPr>
                <w:szCs w:val="21"/>
              </w:rPr>
            </w:pPr>
          </w:p>
        </w:tc>
        <w:tc>
          <w:tcPr>
            <w:tcW w:w="3578" w:type="dxa"/>
            <w:gridSpan w:val="4"/>
            <w:vAlign w:val="center"/>
          </w:tcPr>
          <w:p w:rsidR="00475650" w:rsidRDefault="00475650">
            <w:pPr>
              <w:adjustRightInd w:val="0"/>
              <w:snapToGrid w:val="0"/>
              <w:spacing w:line="276" w:lineRule="auto"/>
              <w:jc w:val="center"/>
              <w:rPr>
                <w:szCs w:val="21"/>
              </w:rPr>
            </w:pPr>
            <w:r>
              <w:rPr>
                <w:szCs w:val="21"/>
              </w:rPr>
              <w:t>267</w:t>
            </w:r>
            <w:r>
              <w:rPr>
                <w:rFonts w:hAnsi="宋体"/>
                <w:szCs w:val="21"/>
              </w:rPr>
              <w:t>日用化学产品制造</w:t>
            </w:r>
          </w:p>
        </w:tc>
        <w:tc>
          <w:tcPr>
            <w:tcW w:w="1490" w:type="dxa"/>
            <w:vAlign w:val="center"/>
          </w:tcPr>
          <w:p w:rsidR="00475650" w:rsidRDefault="00475650">
            <w:pPr>
              <w:adjustRightInd w:val="0"/>
              <w:snapToGrid w:val="0"/>
              <w:spacing w:line="276" w:lineRule="auto"/>
              <w:jc w:val="center"/>
              <w:rPr>
                <w:szCs w:val="21"/>
              </w:rPr>
            </w:pPr>
            <w:r>
              <w:rPr>
                <w:rFonts w:hAnsi="宋体"/>
                <w:szCs w:val="21"/>
              </w:rPr>
              <w:t>禁止</w:t>
            </w:r>
          </w:p>
        </w:tc>
        <w:tc>
          <w:tcPr>
            <w:tcW w:w="2108" w:type="dxa"/>
            <w:vMerge/>
            <w:vAlign w:val="center"/>
          </w:tcPr>
          <w:p w:rsidR="00475650" w:rsidRDefault="00475650">
            <w:pPr>
              <w:adjustRightInd w:val="0"/>
              <w:snapToGrid w:val="0"/>
              <w:spacing w:line="276" w:lineRule="auto"/>
              <w:jc w:val="center"/>
              <w:rPr>
                <w:szCs w:val="21"/>
              </w:rPr>
            </w:pPr>
          </w:p>
        </w:tc>
      </w:tr>
      <w:tr w:rsidR="00475650">
        <w:trPr>
          <w:trHeight w:val="427"/>
        </w:trPr>
        <w:tc>
          <w:tcPr>
            <w:tcW w:w="1050" w:type="dxa"/>
            <w:vMerge w:val="restart"/>
            <w:vAlign w:val="center"/>
          </w:tcPr>
          <w:p w:rsidR="00475650" w:rsidRDefault="00475650">
            <w:pPr>
              <w:adjustRightInd w:val="0"/>
              <w:snapToGrid w:val="0"/>
              <w:spacing w:line="276" w:lineRule="auto"/>
              <w:jc w:val="center"/>
              <w:rPr>
                <w:szCs w:val="21"/>
              </w:rPr>
            </w:pPr>
            <w:r>
              <w:rPr>
                <w:rFonts w:hAnsi="宋体"/>
                <w:szCs w:val="21"/>
              </w:rPr>
              <w:t>有色金属冶炼及压延加工业</w:t>
            </w:r>
          </w:p>
        </w:tc>
        <w:tc>
          <w:tcPr>
            <w:tcW w:w="1061" w:type="dxa"/>
            <w:vMerge w:val="restart"/>
            <w:vAlign w:val="center"/>
          </w:tcPr>
          <w:p w:rsidR="00475650" w:rsidRDefault="00475650">
            <w:pPr>
              <w:adjustRightInd w:val="0"/>
              <w:snapToGrid w:val="0"/>
              <w:spacing w:line="276" w:lineRule="auto"/>
              <w:jc w:val="center"/>
              <w:rPr>
                <w:szCs w:val="21"/>
              </w:rPr>
            </w:pPr>
            <w:r>
              <w:rPr>
                <w:szCs w:val="21"/>
              </w:rPr>
              <w:t>33</w:t>
            </w:r>
            <w:r>
              <w:rPr>
                <w:rFonts w:hAnsi="宋体"/>
                <w:szCs w:val="21"/>
              </w:rPr>
              <w:t>有色金属冶炼及压延加工业</w:t>
            </w:r>
          </w:p>
        </w:tc>
        <w:tc>
          <w:tcPr>
            <w:tcW w:w="3578" w:type="dxa"/>
            <w:gridSpan w:val="4"/>
            <w:vAlign w:val="center"/>
          </w:tcPr>
          <w:p w:rsidR="00475650" w:rsidRDefault="00475650">
            <w:pPr>
              <w:adjustRightInd w:val="0"/>
              <w:snapToGrid w:val="0"/>
              <w:spacing w:line="276" w:lineRule="auto"/>
              <w:jc w:val="center"/>
              <w:rPr>
                <w:szCs w:val="21"/>
              </w:rPr>
            </w:pPr>
            <w:r>
              <w:rPr>
                <w:szCs w:val="21"/>
              </w:rPr>
              <w:t>331</w:t>
            </w:r>
            <w:r>
              <w:rPr>
                <w:rFonts w:hAnsi="宋体"/>
                <w:szCs w:val="21"/>
              </w:rPr>
              <w:t>常用有色金属冶炼</w:t>
            </w:r>
          </w:p>
        </w:tc>
        <w:tc>
          <w:tcPr>
            <w:tcW w:w="1490" w:type="dxa"/>
            <w:vMerge w:val="restart"/>
            <w:vAlign w:val="center"/>
          </w:tcPr>
          <w:p w:rsidR="00475650" w:rsidRDefault="00475650">
            <w:pPr>
              <w:adjustRightInd w:val="0"/>
              <w:snapToGrid w:val="0"/>
              <w:spacing w:line="276" w:lineRule="auto"/>
              <w:jc w:val="center"/>
              <w:rPr>
                <w:szCs w:val="21"/>
              </w:rPr>
            </w:pPr>
            <w:r>
              <w:rPr>
                <w:rFonts w:hAnsi="宋体"/>
                <w:szCs w:val="21"/>
              </w:rPr>
              <w:t>只进驻株冶</w:t>
            </w:r>
            <w:r>
              <w:rPr>
                <w:szCs w:val="21"/>
              </w:rPr>
              <w:t>*</w:t>
            </w:r>
          </w:p>
        </w:tc>
        <w:tc>
          <w:tcPr>
            <w:tcW w:w="2108" w:type="dxa"/>
            <w:vMerge w:val="restart"/>
            <w:vAlign w:val="center"/>
          </w:tcPr>
          <w:p w:rsidR="00475650" w:rsidRDefault="00475650">
            <w:pPr>
              <w:snapToGrid w:val="0"/>
              <w:spacing w:line="276" w:lineRule="auto"/>
              <w:ind w:leftChars="20" w:left="42"/>
              <w:jc w:val="center"/>
              <w:rPr>
                <w:szCs w:val="21"/>
              </w:rPr>
            </w:pPr>
            <w:r>
              <w:rPr>
                <w:rFonts w:hAnsi="宋体"/>
                <w:szCs w:val="21"/>
              </w:rPr>
              <w:t>工业用水重复利用率</w:t>
            </w:r>
            <w:r>
              <w:rPr>
                <w:szCs w:val="21"/>
              </w:rPr>
              <w:t>100%</w:t>
            </w:r>
            <w:r>
              <w:rPr>
                <w:rFonts w:hAnsi="宋体"/>
                <w:szCs w:val="21"/>
              </w:rPr>
              <w:t>，工业废水零排放，工业固废综合</w:t>
            </w:r>
            <w:r>
              <w:rPr>
                <w:szCs w:val="21"/>
              </w:rPr>
              <w:t>≥90%</w:t>
            </w:r>
            <w:r>
              <w:rPr>
                <w:rFonts w:hAnsi="宋体"/>
                <w:szCs w:val="21"/>
              </w:rPr>
              <w:t>；</w:t>
            </w:r>
          </w:p>
          <w:p w:rsidR="00475650" w:rsidRDefault="00475650">
            <w:pPr>
              <w:adjustRightInd w:val="0"/>
              <w:snapToGrid w:val="0"/>
              <w:spacing w:line="276" w:lineRule="auto"/>
              <w:jc w:val="center"/>
              <w:rPr>
                <w:szCs w:val="21"/>
              </w:rPr>
            </w:pPr>
            <w:r>
              <w:rPr>
                <w:rFonts w:hAnsi="宋体"/>
                <w:szCs w:val="21"/>
              </w:rPr>
              <w:t>鼓励采用清洁能源。</w:t>
            </w:r>
          </w:p>
        </w:tc>
      </w:tr>
      <w:tr w:rsidR="00475650">
        <w:trPr>
          <w:trHeight w:val="428"/>
        </w:trPr>
        <w:tc>
          <w:tcPr>
            <w:tcW w:w="1050" w:type="dxa"/>
            <w:vMerge/>
            <w:vAlign w:val="center"/>
          </w:tcPr>
          <w:p w:rsidR="00475650" w:rsidRDefault="00475650">
            <w:pPr>
              <w:adjustRightInd w:val="0"/>
              <w:snapToGrid w:val="0"/>
              <w:spacing w:line="276" w:lineRule="auto"/>
              <w:jc w:val="center"/>
              <w:rPr>
                <w:szCs w:val="21"/>
              </w:rPr>
            </w:pPr>
          </w:p>
        </w:tc>
        <w:tc>
          <w:tcPr>
            <w:tcW w:w="1061" w:type="dxa"/>
            <w:vMerge/>
            <w:vAlign w:val="center"/>
          </w:tcPr>
          <w:p w:rsidR="00475650" w:rsidRDefault="00475650">
            <w:pPr>
              <w:adjustRightInd w:val="0"/>
              <w:snapToGrid w:val="0"/>
              <w:spacing w:line="276" w:lineRule="auto"/>
              <w:jc w:val="center"/>
              <w:rPr>
                <w:szCs w:val="21"/>
              </w:rPr>
            </w:pPr>
          </w:p>
        </w:tc>
        <w:tc>
          <w:tcPr>
            <w:tcW w:w="3578" w:type="dxa"/>
            <w:gridSpan w:val="4"/>
            <w:vAlign w:val="center"/>
          </w:tcPr>
          <w:p w:rsidR="00475650" w:rsidRDefault="00475650">
            <w:pPr>
              <w:adjustRightInd w:val="0"/>
              <w:snapToGrid w:val="0"/>
              <w:spacing w:line="276" w:lineRule="auto"/>
              <w:jc w:val="center"/>
              <w:rPr>
                <w:szCs w:val="21"/>
              </w:rPr>
            </w:pPr>
            <w:r>
              <w:rPr>
                <w:szCs w:val="21"/>
              </w:rPr>
              <w:t>332</w:t>
            </w:r>
            <w:r>
              <w:rPr>
                <w:rFonts w:hAnsi="宋体"/>
                <w:szCs w:val="21"/>
              </w:rPr>
              <w:t>贵金属冶炼</w:t>
            </w:r>
          </w:p>
        </w:tc>
        <w:tc>
          <w:tcPr>
            <w:tcW w:w="1490" w:type="dxa"/>
            <w:vMerge/>
            <w:vAlign w:val="center"/>
          </w:tcPr>
          <w:p w:rsidR="00475650" w:rsidRDefault="00475650">
            <w:pPr>
              <w:adjustRightInd w:val="0"/>
              <w:snapToGrid w:val="0"/>
              <w:spacing w:line="276" w:lineRule="auto"/>
              <w:jc w:val="center"/>
              <w:rPr>
                <w:szCs w:val="21"/>
              </w:rPr>
            </w:pPr>
          </w:p>
        </w:tc>
        <w:tc>
          <w:tcPr>
            <w:tcW w:w="2108" w:type="dxa"/>
            <w:vMerge/>
            <w:vAlign w:val="center"/>
          </w:tcPr>
          <w:p w:rsidR="00475650" w:rsidRDefault="00475650">
            <w:pPr>
              <w:adjustRightInd w:val="0"/>
              <w:snapToGrid w:val="0"/>
              <w:spacing w:line="276" w:lineRule="auto"/>
              <w:jc w:val="center"/>
              <w:rPr>
                <w:szCs w:val="21"/>
              </w:rPr>
            </w:pPr>
          </w:p>
        </w:tc>
      </w:tr>
      <w:tr w:rsidR="00475650">
        <w:trPr>
          <w:trHeight w:val="428"/>
        </w:trPr>
        <w:tc>
          <w:tcPr>
            <w:tcW w:w="1050" w:type="dxa"/>
            <w:vMerge/>
            <w:vAlign w:val="center"/>
          </w:tcPr>
          <w:p w:rsidR="00475650" w:rsidRDefault="00475650">
            <w:pPr>
              <w:adjustRightInd w:val="0"/>
              <w:snapToGrid w:val="0"/>
              <w:spacing w:line="276" w:lineRule="auto"/>
              <w:jc w:val="center"/>
              <w:rPr>
                <w:szCs w:val="21"/>
              </w:rPr>
            </w:pPr>
          </w:p>
        </w:tc>
        <w:tc>
          <w:tcPr>
            <w:tcW w:w="1061" w:type="dxa"/>
            <w:vMerge/>
            <w:vAlign w:val="center"/>
          </w:tcPr>
          <w:p w:rsidR="00475650" w:rsidRDefault="00475650">
            <w:pPr>
              <w:adjustRightInd w:val="0"/>
              <w:snapToGrid w:val="0"/>
              <w:spacing w:line="276" w:lineRule="auto"/>
              <w:jc w:val="center"/>
              <w:rPr>
                <w:szCs w:val="21"/>
              </w:rPr>
            </w:pPr>
          </w:p>
        </w:tc>
        <w:tc>
          <w:tcPr>
            <w:tcW w:w="3578" w:type="dxa"/>
            <w:gridSpan w:val="4"/>
            <w:vAlign w:val="center"/>
          </w:tcPr>
          <w:p w:rsidR="00475650" w:rsidRDefault="00475650">
            <w:pPr>
              <w:adjustRightInd w:val="0"/>
              <w:snapToGrid w:val="0"/>
              <w:spacing w:line="276" w:lineRule="auto"/>
              <w:jc w:val="center"/>
              <w:rPr>
                <w:szCs w:val="21"/>
              </w:rPr>
            </w:pPr>
            <w:r>
              <w:rPr>
                <w:szCs w:val="21"/>
              </w:rPr>
              <w:t>333</w:t>
            </w:r>
            <w:r>
              <w:rPr>
                <w:rFonts w:hAnsi="宋体"/>
                <w:szCs w:val="21"/>
              </w:rPr>
              <w:t>稀有稀土金属冶炼</w:t>
            </w:r>
          </w:p>
        </w:tc>
        <w:tc>
          <w:tcPr>
            <w:tcW w:w="1490" w:type="dxa"/>
            <w:vAlign w:val="center"/>
          </w:tcPr>
          <w:p w:rsidR="00475650" w:rsidRDefault="00475650">
            <w:pPr>
              <w:adjustRightInd w:val="0"/>
              <w:snapToGrid w:val="0"/>
              <w:spacing w:line="276" w:lineRule="auto"/>
              <w:jc w:val="center"/>
              <w:rPr>
                <w:szCs w:val="21"/>
              </w:rPr>
            </w:pPr>
            <w:r>
              <w:rPr>
                <w:rFonts w:hAnsi="宋体"/>
                <w:szCs w:val="21"/>
              </w:rPr>
              <w:t>禁止</w:t>
            </w:r>
          </w:p>
        </w:tc>
        <w:tc>
          <w:tcPr>
            <w:tcW w:w="2108" w:type="dxa"/>
            <w:vMerge/>
            <w:vAlign w:val="center"/>
          </w:tcPr>
          <w:p w:rsidR="00475650" w:rsidRDefault="00475650">
            <w:pPr>
              <w:adjustRightInd w:val="0"/>
              <w:snapToGrid w:val="0"/>
              <w:spacing w:line="276" w:lineRule="auto"/>
              <w:jc w:val="center"/>
              <w:rPr>
                <w:szCs w:val="21"/>
              </w:rPr>
            </w:pPr>
          </w:p>
        </w:tc>
      </w:tr>
      <w:tr w:rsidR="00475650">
        <w:trPr>
          <w:trHeight w:val="428"/>
        </w:trPr>
        <w:tc>
          <w:tcPr>
            <w:tcW w:w="1050" w:type="dxa"/>
            <w:vMerge/>
            <w:vAlign w:val="center"/>
          </w:tcPr>
          <w:p w:rsidR="00475650" w:rsidRDefault="00475650">
            <w:pPr>
              <w:adjustRightInd w:val="0"/>
              <w:snapToGrid w:val="0"/>
              <w:spacing w:line="276" w:lineRule="auto"/>
              <w:jc w:val="center"/>
              <w:rPr>
                <w:szCs w:val="21"/>
              </w:rPr>
            </w:pPr>
          </w:p>
        </w:tc>
        <w:tc>
          <w:tcPr>
            <w:tcW w:w="1061" w:type="dxa"/>
            <w:vMerge/>
            <w:vAlign w:val="center"/>
          </w:tcPr>
          <w:p w:rsidR="00475650" w:rsidRDefault="00475650">
            <w:pPr>
              <w:adjustRightInd w:val="0"/>
              <w:snapToGrid w:val="0"/>
              <w:spacing w:line="276" w:lineRule="auto"/>
              <w:jc w:val="center"/>
              <w:rPr>
                <w:szCs w:val="21"/>
              </w:rPr>
            </w:pPr>
          </w:p>
        </w:tc>
        <w:tc>
          <w:tcPr>
            <w:tcW w:w="3578" w:type="dxa"/>
            <w:gridSpan w:val="4"/>
            <w:vAlign w:val="center"/>
          </w:tcPr>
          <w:p w:rsidR="00475650" w:rsidRDefault="00475650">
            <w:pPr>
              <w:adjustRightInd w:val="0"/>
              <w:snapToGrid w:val="0"/>
              <w:spacing w:line="276" w:lineRule="auto"/>
              <w:jc w:val="center"/>
              <w:rPr>
                <w:szCs w:val="21"/>
              </w:rPr>
            </w:pPr>
            <w:r>
              <w:rPr>
                <w:szCs w:val="21"/>
              </w:rPr>
              <w:t>334</w:t>
            </w:r>
            <w:r>
              <w:rPr>
                <w:rFonts w:hAnsi="宋体"/>
                <w:szCs w:val="21"/>
              </w:rPr>
              <w:t>有色金属合金制造</w:t>
            </w:r>
          </w:p>
        </w:tc>
        <w:tc>
          <w:tcPr>
            <w:tcW w:w="1490" w:type="dxa"/>
            <w:vAlign w:val="center"/>
          </w:tcPr>
          <w:p w:rsidR="00475650" w:rsidRDefault="00475650">
            <w:pPr>
              <w:adjustRightInd w:val="0"/>
              <w:snapToGrid w:val="0"/>
              <w:spacing w:line="276" w:lineRule="auto"/>
              <w:jc w:val="center"/>
              <w:rPr>
                <w:szCs w:val="21"/>
              </w:rPr>
            </w:pPr>
            <w:r>
              <w:rPr>
                <w:rFonts w:hAnsi="宋体"/>
                <w:szCs w:val="21"/>
              </w:rPr>
              <w:t>鼓励</w:t>
            </w:r>
          </w:p>
        </w:tc>
        <w:tc>
          <w:tcPr>
            <w:tcW w:w="2108" w:type="dxa"/>
            <w:vMerge/>
            <w:vAlign w:val="center"/>
          </w:tcPr>
          <w:p w:rsidR="00475650" w:rsidRDefault="00475650">
            <w:pPr>
              <w:adjustRightInd w:val="0"/>
              <w:snapToGrid w:val="0"/>
              <w:spacing w:line="276" w:lineRule="auto"/>
              <w:jc w:val="center"/>
              <w:rPr>
                <w:szCs w:val="21"/>
              </w:rPr>
            </w:pPr>
          </w:p>
        </w:tc>
      </w:tr>
      <w:tr w:rsidR="00475650">
        <w:trPr>
          <w:trHeight w:val="428"/>
        </w:trPr>
        <w:tc>
          <w:tcPr>
            <w:tcW w:w="1050" w:type="dxa"/>
            <w:vMerge/>
            <w:vAlign w:val="center"/>
          </w:tcPr>
          <w:p w:rsidR="00475650" w:rsidRDefault="00475650">
            <w:pPr>
              <w:adjustRightInd w:val="0"/>
              <w:snapToGrid w:val="0"/>
              <w:spacing w:line="276" w:lineRule="auto"/>
              <w:jc w:val="center"/>
              <w:rPr>
                <w:szCs w:val="21"/>
              </w:rPr>
            </w:pPr>
          </w:p>
        </w:tc>
        <w:tc>
          <w:tcPr>
            <w:tcW w:w="1061" w:type="dxa"/>
            <w:vMerge/>
            <w:vAlign w:val="center"/>
          </w:tcPr>
          <w:p w:rsidR="00475650" w:rsidRDefault="00475650">
            <w:pPr>
              <w:adjustRightInd w:val="0"/>
              <w:snapToGrid w:val="0"/>
              <w:spacing w:line="276" w:lineRule="auto"/>
              <w:jc w:val="center"/>
              <w:rPr>
                <w:szCs w:val="21"/>
              </w:rPr>
            </w:pPr>
          </w:p>
        </w:tc>
        <w:tc>
          <w:tcPr>
            <w:tcW w:w="878" w:type="dxa"/>
            <w:gridSpan w:val="2"/>
            <w:vMerge w:val="restart"/>
            <w:vAlign w:val="center"/>
          </w:tcPr>
          <w:p w:rsidR="00475650" w:rsidRDefault="00475650">
            <w:pPr>
              <w:adjustRightInd w:val="0"/>
              <w:snapToGrid w:val="0"/>
              <w:spacing w:line="276" w:lineRule="auto"/>
              <w:jc w:val="center"/>
              <w:rPr>
                <w:szCs w:val="21"/>
              </w:rPr>
            </w:pPr>
            <w:r>
              <w:rPr>
                <w:szCs w:val="21"/>
              </w:rPr>
              <w:t>335</w:t>
            </w:r>
            <w:r>
              <w:rPr>
                <w:rFonts w:hAnsi="宋体"/>
                <w:szCs w:val="21"/>
              </w:rPr>
              <w:t>有色金属压延加</w:t>
            </w:r>
            <w:r>
              <w:rPr>
                <w:rFonts w:hAnsi="宋体"/>
                <w:szCs w:val="21"/>
              </w:rPr>
              <w:lastRenderedPageBreak/>
              <w:t>工</w:t>
            </w:r>
          </w:p>
        </w:tc>
        <w:tc>
          <w:tcPr>
            <w:tcW w:w="2700" w:type="dxa"/>
            <w:gridSpan w:val="2"/>
            <w:vAlign w:val="center"/>
          </w:tcPr>
          <w:p w:rsidR="00475650" w:rsidRDefault="00475650">
            <w:pPr>
              <w:adjustRightInd w:val="0"/>
              <w:snapToGrid w:val="0"/>
              <w:spacing w:line="276" w:lineRule="auto"/>
              <w:jc w:val="center"/>
              <w:rPr>
                <w:szCs w:val="21"/>
              </w:rPr>
            </w:pPr>
            <w:r>
              <w:rPr>
                <w:szCs w:val="21"/>
              </w:rPr>
              <w:lastRenderedPageBreak/>
              <w:t>3351</w:t>
            </w:r>
            <w:r>
              <w:rPr>
                <w:rFonts w:hAnsi="宋体"/>
                <w:szCs w:val="21"/>
              </w:rPr>
              <w:t>常用有色金属压延加工</w:t>
            </w:r>
          </w:p>
        </w:tc>
        <w:tc>
          <w:tcPr>
            <w:tcW w:w="1490" w:type="dxa"/>
            <w:vAlign w:val="center"/>
          </w:tcPr>
          <w:p w:rsidR="00475650" w:rsidRDefault="00475650">
            <w:pPr>
              <w:adjustRightInd w:val="0"/>
              <w:snapToGrid w:val="0"/>
              <w:spacing w:line="276" w:lineRule="auto"/>
              <w:jc w:val="center"/>
              <w:rPr>
                <w:szCs w:val="21"/>
              </w:rPr>
            </w:pPr>
            <w:r>
              <w:rPr>
                <w:rFonts w:hAnsi="宋体"/>
                <w:szCs w:val="21"/>
              </w:rPr>
              <w:t>鼓励</w:t>
            </w:r>
          </w:p>
        </w:tc>
        <w:tc>
          <w:tcPr>
            <w:tcW w:w="2108" w:type="dxa"/>
            <w:vMerge/>
            <w:vAlign w:val="center"/>
          </w:tcPr>
          <w:p w:rsidR="00475650" w:rsidRDefault="00475650">
            <w:pPr>
              <w:adjustRightInd w:val="0"/>
              <w:snapToGrid w:val="0"/>
              <w:spacing w:line="276" w:lineRule="auto"/>
              <w:jc w:val="center"/>
              <w:rPr>
                <w:szCs w:val="21"/>
              </w:rPr>
            </w:pPr>
          </w:p>
        </w:tc>
      </w:tr>
      <w:tr w:rsidR="00475650">
        <w:trPr>
          <w:trHeight w:val="428"/>
        </w:trPr>
        <w:tc>
          <w:tcPr>
            <w:tcW w:w="1050" w:type="dxa"/>
            <w:vMerge/>
            <w:vAlign w:val="center"/>
          </w:tcPr>
          <w:p w:rsidR="00475650" w:rsidRDefault="00475650">
            <w:pPr>
              <w:adjustRightInd w:val="0"/>
              <w:snapToGrid w:val="0"/>
              <w:spacing w:line="276" w:lineRule="auto"/>
              <w:jc w:val="center"/>
              <w:rPr>
                <w:szCs w:val="21"/>
              </w:rPr>
            </w:pPr>
          </w:p>
        </w:tc>
        <w:tc>
          <w:tcPr>
            <w:tcW w:w="1061" w:type="dxa"/>
            <w:vMerge/>
            <w:vAlign w:val="center"/>
          </w:tcPr>
          <w:p w:rsidR="00475650" w:rsidRDefault="00475650">
            <w:pPr>
              <w:adjustRightInd w:val="0"/>
              <w:snapToGrid w:val="0"/>
              <w:spacing w:line="276" w:lineRule="auto"/>
              <w:jc w:val="center"/>
              <w:rPr>
                <w:szCs w:val="21"/>
              </w:rPr>
            </w:pPr>
          </w:p>
        </w:tc>
        <w:tc>
          <w:tcPr>
            <w:tcW w:w="878" w:type="dxa"/>
            <w:gridSpan w:val="2"/>
            <w:vMerge/>
            <w:vAlign w:val="center"/>
          </w:tcPr>
          <w:p w:rsidR="00475650" w:rsidRDefault="00475650">
            <w:pPr>
              <w:adjustRightInd w:val="0"/>
              <w:snapToGrid w:val="0"/>
              <w:spacing w:line="276" w:lineRule="auto"/>
              <w:jc w:val="center"/>
              <w:rPr>
                <w:szCs w:val="21"/>
              </w:rPr>
            </w:pPr>
          </w:p>
        </w:tc>
        <w:tc>
          <w:tcPr>
            <w:tcW w:w="2700" w:type="dxa"/>
            <w:gridSpan w:val="2"/>
            <w:vAlign w:val="center"/>
          </w:tcPr>
          <w:p w:rsidR="00475650" w:rsidRDefault="00475650">
            <w:pPr>
              <w:adjustRightInd w:val="0"/>
              <w:snapToGrid w:val="0"/>
              <w:spacing w:line="276" w:lineRule="auto"/>
              <w:jc w:val="center"/>
              <w:rPr>
                <w:szCs w:val="21"/>
              </w:rPr>
            </w:pPr>
            <w:r>
              <w:rPr>
                <w:szCs w:val="21"/>
              </w:rPr>
              <w:t>3352</w:t>
            </w:r>
            <w:r>
              <w:rPr>
                <w:rFonts w:hAnsi="宋体"/>
                <w:szCs w:val="21"/>
              </w:rPr>
              <w:t>贵金属压延加工</w:t>
            </w:r>
          </w:p>
        </w:tc>
        <w:tc>
          <w:tcPr>
            <w:tcW w:w="1490" w:type="dxa"/>
            <w:vAlign w:val="center"/>
          </w:tcPr>
          <w:p w:rsidR="00475650" w:rsidRDefault="00475650">
            <w:pPr>
              <w:adjustRightInd w:val="0"/>
              <w:snapToGrid w:val="0"/>
              <w:spacing w:line="276" w:lineRule="auto"/>
              <w:jc w:val="center"/>
              <w:rPr>
                <w:szCs w:val="21"/>
              </w:rPr>
            </w:pPr>
            <w:r>
              <w:rPr>
                <w:rFonts w:hAnsi="宋体"/>
                <w:szCs w:val="21"/>
              </w:rPr>
              <w:t>鼓励</w:t>
            </w:r>
          </w:p>
        </w:tc>
        <w:tc>
          <w:tcPr>
            <w:tcW w:w="2108" w:type="dxa"/>
            <w:vMerge/>
            <w:vAlign w:val="center"/>
          </w:tcPr>
          <w:p w:rsidR="00475650" w:rsidRDefault="00475650">
            <w:pPr>
              <w:adjustRightInd w:val="0"/>
              <w:snapToGrid w:val="0"/>
              <w:spacing w:line="276" w:lineRule="auto"/>
              <w:jc w:val="center"/>
              <w:rPr>
                <w:szCs w:val="21"/>
              </w:rPr>
            </w:pPr>
          </w:p>
        </w:tc>
      </w:tr>
      <w:tr w:rsidR="00475650">
        <w:trPr>
          <w:trHeight w:val="428"/>
        </w:trPr>
        <w:tc>
          <w:tcPr>
            <w:tcW w:w="1050" w:type="dxa"/>
            <w:vMerge/>
            <w:vAlign w:val="center"/>
          </w:tcPr>
          <w:p w:rsidR="00475650" w:rsidRDefault="00475650">
            <w:pPr>
              <w:adjustRightInd w:val="0"/>
              <w:snapToGrid w:val="0"/>
              <w:spacing w:line="276" w:lineRule="auto"/>
              <w:jc w:val="center"/>
              <w:rPr>
                <w:szCs w:val="21"/>
              </w:rPr>
            </w:pPr>
          </w:p>
        </w:tc>
        <w:tc>
          <w:tcPr>
            <w:tcW w:w="1061" w:type="dxa"/>
            <w:vMerge/>
            <w:vAlign w:val="center"/>
          </w:tcPr>
          <w:p w:rsidR="00475650" w:rsidRDefault="00475650">
            <w:pPr>
              <w:adjustRightInd w:val="0"/>
              <w:snapToGrid w:val="0"/>
              <w:spacing w:line="276" w:lineRule="auto"/>
              <w:jc w:val="center"/>
              <w:rPr>
                <w:szCs w:val="21"/>
              </w:rPr>
            </w:pPr>
          </w:p>
        </w:tc>
        <w:tc>
          <w:tcPr>
            <w:tcW w:w="878" w:type="dxa"/>
            <w:gridSpan w:val="2"/>
            <w:vMerge/>
            <w:vAlign w:val="center"/>
          </w:tcPr>
          <w:p w:rsidR="00475650" w:rsidRDefault="00475650">
            <w:pPr>
              <w:adjustRightInd w:val="0"/>
              <w:snapToGrid w:val="0"/>
              <w:spacing w:line="276" w:lineRule="auto"/>
              <w:jc w:val="center"/>
              <w:rPr>
                <w:szCs w:val="21"/>
              </w:rPr>
            </w:pPr>
          </w:p>
        </w:tc>
        <w:tc>
          <w:tcPr>
            <w:tcW w:w="2700" w:type="dxa"/>
            <w:gridSpan w:val="2"/>
            <w:vAlign w:val="center"/>
          </w:tcPr>
          <w:p w:rsidR="00475650" w:rsidRDefault="00475650">
            <w:pPr>
              <w:adjustRightInd w:val="0"/>
              <w:snapToGrid w:val="0"/>
              <w:spacing w:line="276" w:lineRule="auto"/>
              <w:jc w:val="center"/>
              <w:rPr>
                <w:szCs w:val="21"/>
              </w:rPr>
            </w:pPr>
            <w:r>
              <w:rPr>
                <w:szCs w:val="21"/>
              </w:rPr>
              <w:t>3353</w:t>
            </w:r>
            <w:r>
              <w:rPr>
                <w:rFonts w:hAnsi="宋体"/>
                <w:szCs w:val="21"/>
              </w:rPr>
              <w:t>稀有稀土金属压延加工</w:t>
            </w:r>
          </w:p>
        </w:tc>
        <w:tc>
          <w:tcPr>
            <w:tcW w:w="1490" w:type="dxa"/>
            <w:vAlign w:val="center"/>
          </w:tcPr>
          <w:p w:rsidR="00475650" w:rsidRDefault="00475650">
            <w:pPr>
              <w:adjustRightInd w:val="0"/>
              <w:snapToGrid w:val="0"/>
              <w:spacing w:line="276" w:lineRule="auto"/>
              <w:jc w:val="center"/>
              <w:rPr>
                <w:szCs w:val="21"/>
              </w:rPr>
            </w:pPr>
            <w:r>
              <w:rPr>
                <w:rFonts w:hAnsi="宋体"/>
                <w:szCs w:val="21"/>
              </w:rPr>
              <w:t>鼓励</w:t>
            </w:r>
          </w:p>
        </w:tc>
        <w:tc>
          <w:tcPr>
            <w:tcW w:w="2108" w:type="dxa"/>
            <w:vMerge/>
            <w:vAlign w:val="center"/>
          </w:tcPr>
          <w:p w:rsidR="00475650" w:rsidRDefault="00475650">
            <w:pPr>
              <w:adjustRightInd w:val="0"/>
              <w:snapToGrid w:val="0"/>
              <w:spacing w:line="276" w:lineRule="auto"/>
              <w:jc w:val="center"/>
              <w:rPr>
                <w:szCs w:val="21"/>
              </w:rPr>
            </w:pPr>
          </w:p>
        </w:tc>
      </w:tr>
      <w:tr w:rsidR="00475650">
        <w:tc>
          <w:tcPr>
            <w:tcW w:w="1050" w:type="dxa"/>
            <w:vMerge w:val="restart"/>
            <w:vAlign w:val="center"/>
          </w:tcPr>
          <w:p w:rsidR="00475650" w:rsidRDefault="00475650">
            <w:pPr>
              <w:adjustRightInd w:val="0"/>
              <w:snapToGrid w:val="0"/>
              <w:spacing w:line="276" w:lineRule="auto"/>
              <w:jc w:val="center"/>
              <w:rPr>
                <w:szCs w:val="21"/>
              </w:rPr>
            </w:pPr>
            <w:r>
              <w:rPr>
                <w:rFonts w:hAnsi="宋体"/>
                <w:bCs/>
                <w:szCs w:val="21"/>
              </w:rPr>
              <w:lastRenderedPageBreak/>
              <w:t>交通运输、仓储和邮政业</w:t>
            </w:r>
          </w:p>
        </w:tc>
        <w:tc>
          <w:tcPr>
            <w:tcW w:w="1061" w:type="dxa"/>
            <w:vMerge w:val="restart"/>
            <w:vAlign w:val="center"/>
          </w:tcPr>
          <w:p w:rsidR="00475650" w:rsidRDefault="00475650">
            <w:pPr>
              <w:adjustRightInd w:val="0"/>
              <w:snapToGrid w:val="0"/>
              <w:spacing w:line="276" w:lineRule="auto"/>
              <w:jc w:val="center"/>
              <w:rPr>
                <w:szCs w:val="21"/>
              </w:rPr>
            </w:pPr>
            <w:r>
              <w:rPr>
                <w:szCs w:val="21"/>
              </w:rPr>
              <w:t>51</w:t>
            </w:r>
            <w:r>
              <w:rPr>
                <w:rFonts w:hAnsi="宋体"/>
                <w:szCs w:val="21"/>
              </w:rPr>
              <w:t>铁路运输业</w:t>
            </w:r>
          </w:p>
        </w:tc>
        <w:tc>
          <w:tcPr>
            <w:tcW w:w="3578" w:type="dxa"/>
            <w:gridSpan w:val="4"/>
            <w:vAlign w:val="center"/>
          </w:tcPr>
          <w:p w:rsidR="00475650" w:rsidRDefault="00475650">
            <w:pPr>
              <w:adjustRightInd w:val="0"/>
              <w:snapToGrid w:val="0"/>
              <w:spacing w:line="276" w:lineRule="auto"/>
              <w:jc w:val="center"/>
              <w:rPr>
                <w:szCs w:val="21"/>
              </w:rPr>
            </w:pPr>
            <w:r>
              <w:rPr>
                <w:szCs w:val="21"/>
              </w:rPr>
              <w:t>511</w:t>
            </w:r>
            <w:r>
              <w:rPr>
                <w:rFonts w:hAnsi="宋体"/>
                <w:szCs w:val="21"/>
              </w:rPr>
              <w:t>铁路旅客运输</w:t>
            </w:r>
          </w:p>
        </w:tc>
        <w:tc>
          <w:tcPr>
            <w:tcW w:w="1490" w:type="dxa"/>
            <w:vAlign w:val="center"/>
          </w:tcPr>
          <w:p w:rsidR="00475650" w:rsidRDefault="00475650">
            <w:pPr>
              <w:adjustRightInd w:val="0"/>
              <w:snapToGrid w:val="0"/>
              <w:spacing w:line="276" w:lineRule="auto"/>
              <w:jc w:val="center"/>
              <w:rPr>
                <w:szCs w:val="21"/>
              </w:rPr>
            </w:pPr>
            <w:r>
              <w:rPr>
                <w:rFonts w:hAnsi="宋体"/>
                <w:szCs w:val="21"/>
              </w:rPr>
              <w:t>禁止</w:t>
            </w:r>
          </w:p>
        </w:tc>
        <w:tc>
          <w:tcPr>
            <w:tcW w:w="2108" w:type="dxa"/>
            <w:vMerge w:val="restart"/>
            <w:vAlign w:val="center"/>
          </w:tcPr>
          <w:p w:rsidR="00475650" w:rsidRDefault="00475650">
            <w:pPr>
              <w:adjustRightInd w:val="0"/>
              <w:snapToGrid w:val="0"/>
              <w:spacing w:line="276" w:lineRule="auto"/>
              <w:jc w:val="center"/>
              <w:rPr>
                <w:szCs w:val="21"/>
              </w:rPr>
            </w:pPr>
            <w:r>
              <w:rPr>
                <w:szCs w:val="21"/>
              </w:rPr>
              <w:t>——</w:t>
            </w:r>
          </w:p>
        </w:tc>
      </w:tr>
      <w:tr w:rsidR="00475650">
        <w:tc>
          <w:tcPr>
            <w:tcW w:w="1050" w:type="dxa"/>
            <w:vMerge/>
            <w:vAlign w:val="center"/>
          </w:tcPr>
          <w:p w:rsidR="00475650" w:rsidRDefault="00475650">
            <w:pPr>
              <w:adjustRightInd w:val="0"/>
              <w:snapToGrid w:val="0"/>
              <w:spacing w:line="276" w:lineRule="auto"/>
              <w:jc w:val="center"/>
              <w:rPr>
                <w:szCs w:val="21"/>
              </w:rPr>
            </w:pPr>
          </w:p>
        </w:tc>
        <w:tc>
          <w:tcPr>
            <w:tcW w:w="1061" w:type="dxa"/>
            <w:vMerge/>
            <w:vAlign w:val="center"/>
          </w:tcPr>
          <w:p w:rsidR="00475650" w:rsidRDefault="00475650">
            <w:pPr>
              <w:adjustRightInd w:val="0"/>
              <w:snapToGrid w:val="0"/>
              <w:spacing w:line="276" w:lineRule="auto"/>
              <w:jc w:val="center"/>
              <w:rPr>
                <w:szCs w:val="21"/>
              </w:rPr>
            </w:pPr>
          </w:p>
        </w:tc>
        <w:tc>
          <w:tcPr>
            <w:tcW w:w="3578" w:type="dxa"/>
            <w:gridSpan w:val="4"/>
            <w:vAlign w:val="center"/>
          </w:tcPr>
          <w:p w:rsidR="00475650" w:rsidRDefault="00475650">
            <w:pPr>
              <w:adjustRightInd w:val="0"/>
              <w:snapToGrid w:val="0"/>
              <w:spacing w:line="276" w:lineRule="auto"/>
              <w:jc w:val="center"/>
              <w:rPr>
                <w:szCs w:val="21"/>
              </w:rPr>
            </w:pPr>
            <w:r>
              <w:rPr>
                <w:szCs w:val="21"/>
              </w:rPr>
              <w:t>512</w:t>
            </w:r>
            <w:r>
              <w:rPr>
                <w:rFonts w:hAnsi="宋体"/>
                <w:szCs w:val="21"/>
              </w:rPr>
              <w:t>铁路货物运输</w:t>
            </w:r>
          </w:p>
        </w:tc>
        <w:tc>
          <w:tcPr>
            <w:tcW w:w="1490" w:type="dxa"/>
            <w:vAlign w:val="center"/>
          </w:tcPr>
          <w:p w:rsidR="00475650" w:rsidRDefault="00475650">
            <w:pPr>
              <w:adjustRightInd w:val="0"/>
              <w:snapToGrid w:val="0"/>
              <w:spacing w:line="276" w:lineRule="auto"/>
              <w:jc w:val="center"/>
              <w:rPr>
                <w:szCs w:val="21"/>
              </w:rPr>
            </w:pPr>
            <w:r>
              <w:rPr>
                <w:rFonts w:hAnsi="宋体"/>
                <w:szCs w:val="21"/>
              </w:rPr>
              <w:t>鼓励</w:t>
            </w:r>
          </w:p>
        </w:tc>
        <w:tc>
          <w:tcPr>
            <w:tcW w:w="2108" w:type="dxa"/>
            <w:vMerge/>
            <w:vAlign w:val="center"/>
          </w:tcPr>
          <w:p w:rsidR="00475650" w:rsidRDefault="00475650">
            <w:pPr>
              <w:adjustRightInd w:val="0"/>
              <w:snapToGrid w:val="0"/>
              <w:spacing w:line="276" w:lineRule="auto"/>
              <w:jc w:val="center"/>
              <w:rPr>
                <w:szCs w:val="21"/>
              </w:rPr>
            </w:pPr>
          </w:p>
        </w:tc>
      </w:tr>
      <w:tr w:rsidR="00475650">
        <w:tc>
          <w:tcPr>
            <w:tcW w:w="1050" w:type="dxa"/>
            <w:vMerge/>
            <w:vAlign w:val="center"/>
          </w:tcPr>
          <w:p w:rsidR="00475650" w:rsidRDefault="00475650">
            <w:pPr>
              <w:adjustRightInd w:val="0"/>
              <w:snapToGrid w:val="0"/>
              <w:spacing w:line="276" w:lineRule="auto"/>
              <w:jc w:val="center"/>
              <w:rPr>
                <w:szCs w:val="21"/>
              </w:rPr>
            </w:pPr>
          </w:p>
        </w:tc>
        <w:tc>
          <w:tcPr>
            <w:tcW w:w="1061" w:type="dxa"/>
            <w:vMerge/>
            <w:vAlign w:val="center"/>
          </w:tcPr>
          <w:p w:rsidR="00475650" w:rsidRDefault="00475650">
            <w:pPr>
              <w:adjustRightInd w:val="0"/>
              <w:snapToGrid w:val="0"/>
              <w:spacing w:line="276" w:lineRule="auto"/>
              <w:jc w:val="center"/>
              <w:rPr>
                <w:szCs w:val="21"/>
              </w:rPr>
            </w:pPr>
          </w:p>
        </w:tc>
        <w:tc>
          <w:tcPr>
            <w:tcW w:w="3578" w:type="dxa"/>
            <w:gridSpan w:val="4"/>
            <w:vAlign w:val="center"/>
          </w:tcPr>
          <w:p w:rsidR="00475650" w:rsidRDefault="00475650">
            <w:pPr>
              <w:adjustRightInd w:val="0"/>
              <w:snapToGrid w:val="0"/>
              <w:spacing w:line="276" w:lineRule="auto"/>
              <w:jc w:val="center"/>
              <w:rPr>
                <w:szCs w:val="21"/>
              </w:rPr>
            </w:pPr>
            <w:r>
              <w:rPr>
                <w:szCs w:val="21"/>
              </w:rPr>
              <w:t>513</w:t>
            </w:r>
            <w:r>
              <w:rPr>
                <w:rFonts w:hAnsi="宋体"/>
                <w:szCs w:val="21"/>
              </w:rPr>
              <w:t>铁路运输辅助活动</w:t>
            </w:r>
          </w:p>
        </w:tc>
        <w:tc>
          <w:tcPr>
            <w:tcW w:w="1490" w:type="dxa"/>
            <w:vAlign w:val="center"/>
          </w:tcPr>
          <w:p w:rsidR="00475650" w:rsidRDefault="00475650">
            <w:pPr>
              <w:adjustRightInd w:val="0"/>
              <w:snapToGrid w:val="0"/>
              <w:spacing w:line="276" w:lineRule="auto"/>
              <w:jc w:val="center"/>
              <w:rPr>
                <w:szCs w:val="21"/>
              </w:rPr>
            </w:pPr>
            <w:r>
              <w:rPr>
                <w:rFonts w:hAnsi="宋体"/>
                <w:szCs w:val="21"/>
              </w:rPr>
              <w:t>限制</w:t>
            </w:r>
            <w:r>
              <w:rPr>
                <w:szCs w:val="21"/>
              </w:rPr>
              <w:t>—</w:t>
            </w:r>
            <w:r>
              <w:rPr>
                <w:rFonts w:hAnsi="宋体"/>
                <w:szCs w:val="21"/>
              </w:rPr>
              <w:t>推荐货物运输辅助活动</w:t>
            </w:r>
          </w:p>
        </w:tc>
        <w:tc>
          <w:tcPr>
            <w:tcW w:w="2108" w:type="dxa"/>
            <w:vMerge/>
            <w:vAlign w:val="center"/>
          </w:tcPr>
          <w:p w:rsidR="00475650" w:rsidRDefault="00475650">
            <w:pPr>
              <w:adjustRightInd w:val="0"/>
              <w:snapToGrid w:val="0"/>
              <w:spacing w:line="276" w:lineRule="auto"/>
              <w:jc w:val="center"/>
              <w:rPr>
                <w:szCs w:val="21"/>
              </w:rPr>
            </w:pPr>
          </w:p>
        </w:tc>
      </w:tr>
      <w:tr w:rsidR="00475650">
        <w:tc>
          <w:tcPr>
            <w:tcW w:w="1050" w:type="dxa"/>
            <w:vMerge/>
            <w:vAlign w:val="center"/>
          </w:tcPr>
          <w:p w:rsidR="00475650" w:rsidRDefault="00475650">
            <w:pPr>
              <w:adjustRightInd w:val="0"/>
              <w:snapToGrid w:val="0"/>
              <w:spacing w:line="276" w:lineRule="auto"/>
              <w:jc w:val="center"/>
              <w:rPr>
                <w:szCs w:val="21"/>
              </w:rPr>
            </w:pPr>
          </w:p>
        </w:tc>
        <w:tc>
          <w:tcPr>
            <w:tcW w:w="1061" w:type="dxa"/>
            <w:vMerge w:val="restart"/>
            <w:vAlign w:val="center"/>
          </w:tcPr>
          <w:p w:rsidR="00475650" w:rsidRDefault="00475650">
            <w:pPr>
              <w:adjustRightInd w:val="0"/>
              <w:snapToGrid w:val="0"/>
              <w:spacing w:line="276" w:lineRule="auto"/>
              <w:jc w:val="center"/>
              <w:rPr>
                <w:szCs w:val="21"/>
              </w:rPr>
            </w:pPr>
            <w:r>
              <w:rPr>
                <w:szCs w:val="21"/>
              </w:rPr>
              <w:t>52</w:t>
            </w:r>
            <w:r>
              <w:rPr>
                <w:rFonts w:hAnsi="宋体"/>
                <w:szCs w:val="21"/>
              </w:rPr>
              <w:t>道路运输业</w:t>
            </w:r>
          </w:p>
        </w:tc>
        <w:tc>
          <w:tcPr>
            <w:tcW w:w="3578" w:type="dxa"/>
            <w:gridSpan w:val="4"/>
            <w:vAlign w:val="center"/>
          </w:tcPr>
          <w:p w:rsidR="00475650" w:rsidRDefault="00475650">
            <w:pPr>
              <w:adjustRightInd w:val="0"/>
              <w:snapToGrid w:val="0"/>
              <w:spacing w:line="276" w:lineRule="auto"/>
              <w:jc w:val="center"/>
              <w:rPr>
                <w:szCs w:val="21"/>
              </w:rPr>
            </w:pPr>
            <w:r>
              <w:rPr>
                <w:szCs w:val="21"/>
              </w:rPr>
              <w:t>521</w:t>
            </w:r>
            <w:r>
              <w:rPr>
                <w:rFonts w:hAnsi="宋体"/>
                <w:szCs w:val="21"/>
              </w:rPr>
              <w:t>公路旅客运输</w:t>
            </w:r>
          </w:p>
        </w:tc>
        <w:tc>
          <w:tcPr>
            <w:tcW w:w="1490" w:type="dxa"/>
            <w:vAlign w:val="center"/>
          </w:tcPr>
          <w:p w:rsidR="00475650" w:rsidRDefault="00475650">
            <w:pPr>
              <w:adjustRightInd w:val="0"/>
              <w:snapToGrid w:val="0"/>
              <w:spacing w:line="276" w:lineRule="auto"/>
              <w:jc w:val="center"/>
              <w:rPr>
                <w:szCs w:val="21"/>
              </w:rPr>
            </w:pPr>
            <w:r>
              <w:rPr>
                <w:rFonts w:hAnsi="宋体"/>
                <w:szCs w:val="21"/>
              </w:rPr>
              <w:t>禁止</w:t>
            </w:r>
          </w:p>
        </w:tc>
        <w:tc>
          <w:tcPr>
            <w:tcW w:w="2108" w:type="dxa"/>
            <w:vMerge/>
            <w:vAlign w:val="center"/>
          </w:tcPr>
          <w:p w:rsidR="00475650" w:rsidRDefault="00475650">
            <w:pPr>
              <w:adjustRightInd w:val="0"/>
              <w:snapToGrid w:val="0"/>
              <w:spacing w:line="276" w:lineRule="auto"/>
              <w:jc w:val="center"/>
              <w:rPr>
                <w:szCs w:val="21"/>
              </w:rPr>
            </w:pPr>
          </w:p>
        </w:tc>
      </w:tr>
      <w:tr w:rsidR="00475650">
        <w:tc>
          <w:tcPr>
            <w:tcW w:w="1050" w:type="dxa"/>
            <w:vMerge/>
            <w:vAlign w:val="center"/>
          </w:tcPr>
          <w:p w:rsidR="00475650" w:rsidRDefault="00475650">
            <w:pPr>
              <w:adjustRightInd w:val="0"/>
              <w:snapToGrid w:val="0"/>
              <w:spacing w:line="276" w:lineRule="auto"/>
              <w:jc w:val="center"/>
              <w:rPr>
                <w:szCs w:val="21"/>
              </w:rPr>
            </w:pPr>
          </w:p>
        </w:tc>
        <w:tc>
          <w:tcPr>
            <w:tcW w:w="1061" w:type="dxa"/>
            <w:vMerge/>
            <w:vAlign w:val="center"/>
          </w:tcPr>
          <w:p w:rsidR="00475650" w:rsidRDefault="00475650">
            <w:pPr>
              <w:adjustRightInd w:val="0"/>
              <w:snapToGrid w:val="0"/>
              <w:spacing w:line="276" w:lineRule="auto"/>
              <w:jc w:val="center"/>
              <w:rPr>
                <w:szCs w:val="21"/>
              </w:rPr>
            </w:pPr>
          </w:p>
        </w:tc>
        <w:tc>
          <w:tcPr>
            <w:tcW w:w="3578" w:type="dxa"/>
            <w:gridSpan w:val="4"/>
            <w:vAlign w:val="center"/>
          </w:tcPr>
          <w:p w:rsidR="00475650" w:rsidRDefault="00475650">
            <w:pPr>
              <w:adjustRightInd w:val="0"/>
              <w:snapToGrid w:val="0"/>
              <w:spacing w:line="276" w:lineRule="auto"/>
              <w:jc w:val="center"/>
              <w:rPr>
                <w:szCs w:val="21"/>
              </w:rPr>
            </w:pPr>
            <w:r>
              <w:rPr>
                <w:szCs w:val="21"/>
              </w:rPr>
              <w:t>522</w:t>
            </w:r>
            <w:r>
              <w:rPr>
                <w:rFonts w:hAnsi="宋体"/>
                <w:szCs w:val="21"/>
              </w:rPr>
              <w:t>道路货物运输</w:t>
            </w:r>
          </w:p>
        </w:tc>
        <w:tc>
          <w:tcPr>
            <w:tcW w:w="1490" w:type="dxa"/>
            <w:vAlign w:val="center"/>
          </w:tcPr>
          <w:p w:rsidR="00475650" w:rsidRDefault="00475650">
            <w:pPr>
              <w:adjustRightInd w:val="0"/>
              <w:snapToGrid w:val="0"/>
              <w:spacing w:line="276" w:lineRule="auto"/>
              <w:jc w:val="center"/>
              <w:rPr>
                <w:szCs w:val="21"/>
              </w:rPr>
            </w:pPr>
            <w:r>
              <w:rPr>
                <w:rFonts w:hAnsi="宋体"/>
                <w:szCs w:val="21"/>
              </w:rPr>
              <w:t>鼓励</w:t>
            </w:r>
          </w:p>
        </w:tc>
        <w:tc>
          <w:tcPr>
            <w:tcW w:w="2108" w:type="dxa"/>
            <w:vMerge/>
            <w:vAlign w:val="center"/>
          </w:tcPr>
          <w:p w:rsidR="00475650" w:rsidRDefault="00475650">
            <w:pPr>
              <w:adjustRightInd w:val="0"/>
              <w:snapToGrid w:val="0"/>
              <w:spacing w:line="276" w:lineRule="auto"/>
              <w:jc w:val="center"/>
              <w:rPr>
                <w:szCs w:val="21"/>
              </w:rPr>
            </w:pPr>
          </w:p>
        </w:tc>
      </w:tr>
      <w:tr w:rsidR="00475650">
        <w:tc>
          <w:tcPr>
            <w:tcW w:w="1050" w:type="dxa"/>
            <w:vMerge/>
            <w:vAlign w:val="center"/>
          </w:tcPr>
          <w:p w:rsidR="00475650" w:rsidRDefault="00475650">
            <w:pPr>
              <w:adjustRightInd w:val="0"/>
              <w:snapToGrid w:val="0"/>
              <w:spacing w:line="276" w:lineRule="auto"/>
              <w:jc w:val="center"/>
              <w:rPr>
                <w:szCs w:val="21"/>
              </w:rPr>
            </w:pPr>
          </w:p>
        </w:tc>
        <w:tc>
          <w:tcPr>
            <w:tcW w:w="1061" w:type="dxa"/>
            <w:vMerge/>
            <w:vAlign w:val="center"/>
          </w:tcPr>
          <w:p w:rsidR="00475650" w:rsidRDefault="00475650">
            <w:pPr>
              <w:adjustRightInd w:val="0"/>
              <w:snapToGrid w:val="0"/>
              <w:spacing w:line="276" w:lineRule="auto"/>
              <w:jc w:val="center"/>
              <w:rPr>
                <w:szCs w:val="21"/>
              </w:rPr>
            </w:pPr>
          </w:p>
        </w:tc>
        <w:tc>
          <w:tcPr>
            <w:tcW w:w="3578" w:type="dxa"/>
            <w:gridSpan w:val="4"/>
            <w:vAlign w:val="center"/>
          </w:tcPr>
          <w:p w:rsidR="00475650" w:rsidRDefault="00475650">
            <w:pPr>
              <w:adjustRightInd w:val="0"/>
              <w:snapToGrid w:val="0"/>
              <w:spacing w:line="276" w:lineRule="auto"/>
              <w:jc w:val="center"/>
              <w:rPr>
                <w:szCs w:val="21"/>
              </w:rPr>
            </w:pPr>
            <w:r>
              <w:rPr>
                <w:szCs w:val="21"/>
              </w:rPr>
              <w:t>523</w:t>
            </w:r>
            <w:r>
              <w:rPr>
                <w:rFonts w:hAnsi="宋体"/>
                <w:szCs w:val="21"/>
              </w:rPr>
              <w:t>道路运输辅助活动</w:t>
            </w:r>
          </w:p>
        </w:tc>
        <w:tc>
          <w:tcPr>
            <w:tcW w:w="1490" w:type="dxa"/>
            <w:vAlign w:val="center"/>
          </w:tcPr>
          <w:p w:rsidR="00475650" w:rsidRDefault="00475650">
            <w:pPr>
              <w:adjustRightInd w:val="0"/>
              <w:snapToGrid w:val="0"/>
              <w:spacing w:line="276" w:lineRule="auto"/>
              <w:jc w:val="center"/>
              <w:rPr>
                <w:szCs w:val="21"/>
              </w:rPr>
            </w:pPr>
            <w:r>
              <w:rPr>
                <w:rFonts w:hAnsi="宋体"/>
                <w:szCs w:val="21"/>
              </w:rPr>
              <w:t>鼓励</w:t>
            </w:r>
          </w:p>
        </w:tc>
        <w:tc>
          <w:tcPr>
            <w:tcW w:w="2108" w:type="dxa"/>
            <w:vMerge/>
            <w:vAlign w:val="center"/>
          </w:tcPr>
          <w:p w:rsidR="00475650" w:rsidRDefault="00475650">
            <w:pPr>
              <w:adjustRightInd w:val="0"/>
              <w:snapToGrid w:val="0"/>
              <w:spacing w:line="276" w:lineRule="auto"/>
              <w:jc w:val="center"/>
              <w:rPr>
                <w:szCs w:val="21"/>
              </w:rPr>
            </w:pPr>
          </w:p>
        </w:tc>
      </w:tr>
      <w:tr w:rsidR="00475650">
        <w:tc>
          <w:tcPr>
            <w:tcW w:w="1050" w:type="dxa"/>
            <w:vMerge/>
            <w:vAlign w:val="center"/>
          </w:tcPr>
          <w:p w:rsidR="00475650" w:rsidRDefault="00475650">
            <w:pPr>
              <w:adjustRightInd w:val="0"/>
              <w:snapToGrid w:val="0"/>
              <w:spacing w:line="276" w:lineRule="auto"/>
              <w:jc w:val="center"/>
              <w:rPr>
                <w:szCs w:val="21"/>
              </w:rPr>
            </w:pPr>
          </w:p>
        </w:tc>
        <w:tc>
          <w:tcPr>
            <w:tcW w:w="1061" w:type="dxa"/>
            <w:vMerge w:val="restart"/>
            <w:vAlign w:val="center"/>
          </w:tcPr>
          <w:p w:rsidR="00475650" w:rsidRDefault="00475650">
            <w:pPr>
              <w:adjustRightInd w:val="0"/>
              <w:snapToGrid w:val="0"/>
              <w:spacing w:line="276" w:lineRule="auto"/>
              <w:jc w:val="center"/>
              <w:rPr>
                <w:szCs w:val="21"/>
              </w:rPr>
            </w:pPr>
            <w:r>
              <w:rPr>
                <w:szCs w:val="21"/>
              </w:rPr>
              <w:t>54</w:t>
            </w:r>
            <w:r>
              <w:rPr>
                <w:rFonts w:hAnsi="宋体"/>
                <w:szCs w:val="21"/>
              </w:rPr>
              <w:t>水上运输业</w:t>
            </w:r>
          </w:p>
        </w:tc>
        <w:tc>
          <w:tcPr>
            <w:tcW w:w="3578" w:type="dxa"/>
            <w:gridSpan w:val="4"/>
            <w:vAlign w:val="center"/>
          </w:tcPr>
          <w:p w:rsidR="00475650" w:rsidRDefault="00475650">
            <w:pPr>
              <w:adjustRightInd w:val="0"/>
              <w:snapToGrid w:val="0"/>
              <w:spacing w:line="276" w:lineRule="auto"/>
              <w:jc w:val="center"/>
              <w:rPr>
                <w:szCs w:val="21"/>
              </w:rPr>
            </w:pPr>
            <w:r>
              <w:rPr>
                <w:szCs w:val="21"/>
              </w:rPr>
              <w:t>541</w:t>
            </w:r>
            <w:r>
              <w:rPr>
                <w:rFonts w:hAnsi="宋体"/>
                <w:szCs w:val="21"/>
              </w:rPr>
              <w:t>水上旅客运输</w:t>
            </w:r>
          </w:p>
        </w:tc>
        <w:tc>
          <w:tcPr>
            <w:tcW w:w="1490" w:type="dxa"/>
            <w:vAlign w:val="center"/>
          </w:tcPr>
          <w:p w:rsidR="00475650" w:rsidRDefault="00475650">
            <w:pPr>
              <w:adjustRightInd w:val="0"/>
              <w:snapToGrid w:val="0"/>
              <w:spacing w:line="276" w:lineRule="auto"/>
              <w:jc w:val="center"/>
              <w:rPr>
                <w:szCs w:val="21"/>
              </w:rPr>
            </w:pPr>
            <w:r>
              <w:rPr>
                <w:rFonts w:hAnsi="宋体"/>
                <w:szCs w:val="21"/>
              </w:rPr>
              <w:t>禁止</w:t>
            </w:r>
          </w:p>
        </w:tc>
        <w:tc>
          <w:tcPr>
            <w:tcW w:w="2108" w:type="dxa"/>
            <w:vMerge/>
            <w:vAlign w:val="center"/>
          </w:tcPr>
          <w:p w:rsidR="00475650" w:rsidRDefault="00475650">
            <w:pPr>
              <w:adjustRightInd w:val="0"/>
              <w:snapToGrid w:val="0"/>
              <w:spacing w:line="276" w:lineRule="auto"/>
              <w:jc w:val="center"/>
              <w:rPr>
                <w:szCs w:val="21"/>
              </w:rPr>
            </w:pPr>
          </w:p>
        </w:tc>
      </w:tr>
      <w:tr w:rsidR="00475650">
        <w:tc>
          <w:tcPr>
            <w:tcW w:w="1050" w:type="dxa"/>
            <w:vMerge/>
            <w:vAlign w:val="center"/>
          </w:tcPr>
          <w:p w:rsidR="00475650" w:rsidRDefault="00475650">
            <w:pPr>
              <w:adjustRightInd w:val="0"/>
              <w:snapToGrid w:val="0"/>
              <w:spacing w:line="276" w:lineRule="auto"/>
              <w:jc w:val="center"/>
              <w:rPr>
                <w:szCs w:val="21"/>
              </w:rPr>
            </w:pPr>
          </w:p>
        </w:tc>
        <w:tc>
          <w:tcPr>
            <w:tcW w:w="1061" w:type="dxa"/>
            <w:vMerge/>
            <w:vAlign w:val="center"/>
          </w:tcPr>
          <w:p w:rsidR="00475650" w:rsidRDefault="00475650">
            <w:pPr>
              <w:adjustRightInd w:val="0"/>
              <w:snapToGrid w:val="0"/>
              <w:spacing w:line="276" w:lineRule="auto"/>
              <w:jc w:val="center"/>
              <w:rPr>
                <w:szCs w:val="21"/>
              </w:rPr>
            </w:pPr>
          </w:p>
        </w:tc>
        <w:tc>
          <w:tcPr>
            <w:tcW w:w="3578" w:type="dxa"/>
            <w:gridSpan w:val="4"/>
            <w:vAlign w:val="center"/>
          </w:tcPr>
          <w:p w:rsidR="00475650" w:rsidRDefault="00475650">
            <w:pPr>
              <w:adjustRightInd w:val="0"/>
              <w:snapToGrid w:val="0"/>
              <w:spacing w:line="276" w:lineRule="auto"/>
              <w:jc w:val="center"/>
              <w:rPr>
                <w:szCs w:val="21"/>
              </w:rPr>
            </w:pPr>
            <w:r>
              <w:rPr>
                <w:szCs w:val="21"/>
              </w:rPr>
              <w:t>542</w:t>
            </w:r>
            <w:r>
              <w:rPr>
                <w:rFonts w:hAnsi="宋体"/>
                <w:szCs w:val="21"/>
              </w:rPr>
              <w:t>水上货物运输</w:t>
            </w:r>
          </w:p>
        </w:tc>
        <w:tc>
          <w:tcPr>
            <w:tcW w:w="1490" w:type="dxa"/>
            <w:vAlign w:val="center"/>
          </w:tcPr>
          <w:p w:rsidR="00475650" w:rsidRDefault="00475650">
            <w:pPr>
              <w:adjustRightInd w:val="0"/>
              <w:snapToGrid w:val="0"/>
              <w:spacing w:line="276" w:lineRule="auto"/>
              <w:jc w:val="center"/>
              <w:rPr>
                <w:szCs w:val="21"/>
              </w:rPr>
            </w:pPr>
            <w:r>
              <w:rPr>
                <w:rFonts w:hAnsi="宋体"/>
                <w:szCs w:val="21"/>
              </w:rPr>
              <w:t>鼓励</w:t>
            </w:r>
          </w:p>
        </w:tc>
        <w:tc>
          <w:tcPr>
            <w:tcW w:w="2108" w:type="dxa"/>
            <w:vMerge/>
            <w:vAlign w:val="center"/>
          </w:tcPr>
          <w:p w:rsidR="00475650" w:rsidRDefault="00475650">
            <w:pPr>
              <w:adjustRightInd w:val="0"/>
              <w:snapToGrid w:val="0"/>
              <w:spacing w:line="276" w:lineRule="auto"/>
              <w:jc w:val="center"/>
              <w:rPr>
                <w:szCs w:val="21"/>
              </w:rPr>
            </w:pPr>
          </w:p>
        </w:tc>
      </w:tr>
      <w:tr w:rsidR="00475650">
        <w:trPr>
          <w:trHeight w:val="365"/>
        </w:trPr>
        <w:tc>
          <w:tcPr>
            <w:tcW w:w="1050" w:type="dxa"/>
            <w:vMerge/>
            <w:vAlign w:val="center"/>
          </w:tcPr>
          <w:p w:rsidR="00475650" w:rsidRDefault="00475650">
            <w:pPr>
              <w:adjustRightInd w:val="0"/>
              <w:snapToGrid w:val="0"/>
              <w:spacing w:line="276" w:lineRule="auto"/>
              <w:jc w:val="center"/>
              <w:rPr>
                <w:szCs w:val="21"/>
              </w:rPr>
            </w:pPr>
          </w:p>
        </w:tc>
        <w:tc>
          <w:tcPr>
            <w:tcW w:w="1061" w:type="dxa"/>
            <w:vMerge/>
            <w:vAlign w:val="center"/>
          </w:tcPr>
          <w:p w:rsidR="00475650" w:rsidRDefault="00475650">
            <w:pPr>
              <w:adjustRightInd w:val="0"/>
              <w:snapToGrid w:val="0"/>
              <w:spacing w:line="276" w:lineRule="auto"/>
              <w:jc w:val="center"/>
              <w:rPr>
                <w:szCs w:val="21"/>
              </w:rPr>
            </w:pPr>
          </w:p>
        </w:tc>
        <w:tc>
          <w:tcPr>
            <w:tcW w:w="869" w:type="dxa"/>
            <w:vMerge w:val="restart"/>
            <w:vAlign w:val="center"/>
          </w:tcPr>
          <w:p w:rsidR="00475650" w:rsidRDefault="00475650">
            <w:pPr>
              <w:adjustRightInd w:val="0"/>
              <w:snapToGrid w:val="0"/>
              <w:spacing w:line="276" w:lineRule="auto"/>
              <w:jc w:val="center"/>
              <w:rPr>
                <w:szCs w:val="21"/>
              </w:rPr>
            </w:pPr>
            <w:r>
              <w:rPr>
                <w:szCs w:val="21"/>
              </w:rPr>
              <w:t>543</w:t>
            </w:r>
            <w:r>
              <w:rPr>
                <w:rFonts w:hAnsi="宋体"/>
                <w:szCs w:val="21"/>
              </w:rPr>
              <w:t>水上运输辅助活动</w:t>
            </w:r>
          </w:p>
        </w:tc>
        <w:tc>
          <w:tcPr>
            <w:tcW w:w="2709" w:type="dxa"/>
            <w:gridSpan w:val="3"/>
            <w:vAlign w:val="center"/>
          </w:tcPr>
          <w:p w:rsidR="00475650" w:rsidRDefault="00475650">
            <w:pPr>
              <w:adjustRightInd w:val="0"/>
              <w:snapToGrid w:val="0"/>
              <w:spacing w:line="276" w:lineRule="auto"/>
              <w:jc w:val="center"/>
              <w:rPr>
                <w:szCs w:val="21"/>
              </w:rPr>
            </w:pPr>
            <w:r>
              <w:rPr>
                <w:szCs w:val="21"/>
              </w:rPr>
              <w:t>5431</w:t>
            </w:r>
            <w:r>
              <w:rPr>
                <w:rFonts w:hAnsi="宋体"/>
                <w:szCs w:val="21"/>
              </w:rPr>
              <w:t>客运港口</w:t>
            </w:r>
          </w:p>
        </w:tc>
        <w:tc>
          <w:tcPr>
            <w:tcW w:w="1490" w:type="dxa"/>
            <w:vAlign w:val="center"/>
          </w:tcPr>
          <w:p w:rsidR="00475650" w:rsidRDefault="00475650">
            <w:pPr>
              <w:adjustRightInd w:val="0"/>
              <w:snapToGrid w:val="0"/>
              <w:spacing w:line="276" w:lineRule="auto"/>
              <w:jc w:val="center"/>
              <w:rPr>
                <w:szCs w:val="21"/>
              </w:rPr>
            </w:pPr>
            <w:r>
              <w:rPr>
                <w:rFonts w:hAnsi="宋体"/>
                <w:szCs w:val="21"/>
              </w:rPr>
              <w:t>禁止</w:t>
            </w:r>
          </w:p>
        </w:tc>
        <w:tc>
          <w:tcPr>
            <w:tcW w:w="2108" w:type="dxa"/>
            <w:vMerge/>
            <w:vAlign w:val="center"/>
          </w:tcPr>
          <w:p w:rsidR="00475650" w:rsidRDefault="00475650">
            <w:pPr>
              <w:adjustRightInd w:val="0"/>
              <w:snapToGrid w:val="0"/>
              <w:spacing w:line="276" w:lineRule="auto"/>
              <w:jc w:val="center"/>
              <w:rPr>
                <w:szCs w:val="21"/>
              </w:rPr>
            </w:pPr>
          </w:p>
        </w:tc>
      </w:tr>
      <w:tr w:rsidR="00475650">
        <w:trPr>
          <w:trHeight w:val="365"/>
        </w:trPr>
        <w:tc>
          <w:tcPr>
            <w:tcW w:w="1050" w:type="dxa"/>
            <w:vMerge/>
            <w:vAlign w:val="center"/>
          </w:tcPr>
          <w:p w:rsidR="00475650" w:rsidRDefault="00475650">
            <w:pPr>
              <w:adjustRightInd w:val="0"/>
              <w:snapToGrid w:val="0"/>
              <w:spacing w:line="276" w:lineRule="auto"/>
              <w:jc w:val="center"/>
              <w:rPr>
                <w:szCs w:val="21"/>
              </w:rPr>
            </w:pPr>
          </w:p>
        </w:tc>
        <w:tc>
          <w:tcPr>
            <w:tcW w:w="1061" w:type="dxa"/>
            <w:vMerge/>
            <w:vAlign w:val="center"/>
          </w:tcPr>
          <w:p w:rsidR="00475650" w:rsidRDefault="00475650">
            <w:pPr>
              <w:adjustRightInd w:val="0"/>
              <w:snapToGrid w:val="0"/>
              <w:spacing w:line="276" w:lineRule="auto"/>
              <w:jc w:val="center"/>
              <w:rPr>
                <w:szCs w:val="21"/>
              </w:rPr>
            </w:pPr>
          </w:p>
        </w:tc>
        <w:tc>
          <w:tcPr>
            <w:tcW w:w="869" w:type="dxa"/>
            <w:vMerge/>
            <w:vAlign w:val="center"/>
          </w:tcPr>
          <w:p w:rsidR="00475650" w:rsidRDefault="00475650">
            <w:pPr>
              <w:adjustRightInd w:val="0"/>
              <w:snapToGrid w:val="0"/>
              <w:spacing w:line="276" w:lineRule="auto"/>
              <w:jc w:val="center"/>
              <w:rPr>
                <w:szCs w:val="21"/>
              </w:rPr>
            </w:pPr>
          </w:p>
        </w:tc>
        <w:tc>
          <w:tcPr>
            <w:tcW w:w="2709" w:type="dxa"/>
            <w:gridSpan w:val="3"/>
            <w:vAlign w:val="center"/>
          </w:tcPr>
          <w:p w:rsidR="00475650" w:rsidRDefault="00475650">
            <w:pPr>
              <w:adjustRightInd w:val="0"/>
              <w:snapToGrid w:val="0"/>
              <w:spacing w:line="276" w:lineRule="auto"/>
              <w:jc w:val="center"/>
              <w:rPr>
                <w:szCs w:val="21"/>
              </w:rPr>
            </w:pPr>
            <w:r>
              <w:rPr>
                <w:szCs w:val="21"/>
              </w:rPr>
              <w:t>5432</w:t>
            </w:r>
            <w:r>
              <w:rPr>
                <w:rFonts w:hAnsi="宋体"/>
                <w:szCs w:val="21"/>
              </w:rPr>
              <w:t>货运港口</w:t>
            </w:r>
          </w:p>
        </w:tc>
        <w:tc>
          <w:tcPr>
            <w:tcW w:w="1490" w:type="dxa"/>
            <w:vAlign w:val="center"/>
          </w:tcPr>
          <w:p w:rsidR="00475650" w:rsidRDefault="00475650">
            <w:pPr>
              <w:adjustRightInd w:val="0"/>
              <w:snapToGrid w:val="0"/>
              <w:spacing w:line="276" w:lineRule="auto"/>
              <w:jc w:val="center"/>
              <w:rPr>
                <w:szCs w:val="21"/>
              </w:rPr>
            </w:pPr>
            <w:r>
              <w:rPr>
                <w:rFonts w:hAnsi="宋体"/>
                <w:szCs w:val="21"/>
              </w:rPr>
              <w:t>鼓励</w:t>
            </w:r>
          </w:p>
        </w:tc>
        <w:tc>
          <w:tcPr>
            <w:tcW w:w="2108" w:type="dxa"/>
            <w:vMerge/>
            <w:vAlign w:val="center"/>
          </w:tcPr>
          <w:p w:rsidR="00475650" w:rsidRDefault="00475650">
            <w:pPr>
              <w:adjustRightInd w:val="0"/>
              <w:snapToGrid w:val="0"/>
              <w:spacing w:line="276" w:lineRule="auto"/>
              <w:jc w:val="center"/>
              <w:rPr>
                <w:szCs w:val="21"/>
              </w:rPr>
            </w:pPr>
          </w:p>
        </w:tc>
      </w:tr>
      <w:tr w:rsidR="00475650">
        <w:trPr>
          <w:trHeight w:val="365"/>
        </w:trPr>
        <w:tc>
          <w:tcPr>
            <w:tcW w:w="1050" w:type="dxa"/>
            <w:vMerge/>
            <w:vAlign w:val="center"/>
          </w:tcPr>
          <w:p w:rsidR="00475650" w:rsidRDefault="00475650">
            <w:pPr>
              <w:adjustRightInd w:val="0"/>
              <w:snapToGrid w:val="0"/>
              <w:spacing w:line="276" w:lineRule="auto"/>
              <w:jc w:val="center"/>
              <w:rPr>
                <w:szCs w:val="21"/>
              </w:rPr>
            </w:pPr>
          </w:p>
        </w:tc>
        <w:tc>
          <w:tcPr>
            <w:tcW w:w="1061" w:type="dxa"/>
            <w:vMerge/>
            <w:vAlign w:val="center"/>
          </w:tcPr>
          <w:p w:rsidR="00475650" w:rsidRDefault="00475650">
            <w:pPr>
              <w:adjustRightInd w:val="0"/>
              <w:snapToGrid w:val="0"/>
              <w:spacing w:line="276" w:lineRule="auto"/>
              <w:jc w:val="center"/>
              <w:rPr>
                <w:szCs w:val="21"/>
              </w:rPr>
            </w:pPr>
          </w:p>
        </w:tc>
        <w:tc>
          <w:tcPr>
            <w:tcW w:w="869" w:type="dxa"/>
            <w:vMerge/>
            <w:vAlign w:val="center"/>
          </w:tcPr>
          <w:p w:rsidR="00475650" w:rsidRDefault="00475650">
            <w:pPr>
              <w:adjustRightInd w:val="0"/>
              <w:snapToGrid w:val="0"/>
              <w:spacing w:line="276" w:lineRule="auto"/>
              <w:jc w:val="center"/>
              <w:rPr>
                <w:szCs w:val="21"/>
              </w:rPr>
            </w:pPr>
          </w:p>
        </w:tc>
        <w:tc>
          <w:tcPr>
            <w:tcW w:w="2709" w:type="dxa"/>
            <w:gridSpan w:val="3"/>
            <w:vAlign w:val="center"/>
          </w:tcPr>
          <w:p w:rsidR="00475650" w:rsidRDefault="00475650">
            <w:pPr>
              <w:adjustRightInd w:val="0"/>
              <w:snapToGrid w:val="0"/>
              <w:spacing w:line="276" w:lineRule="auto"/>
              <w:jc w:val="center"/>
              <w:rPr>
                <w:szCs w:val="21"/>
              </w:rPr>
            </w:pPr>
            <w:r>
              <w:rPr>
                <w:szCs w:val="21"/>
              </w:rPr>
              <w:t>5433</w:t>
            </w:r>
            <w:r>
              <w:rPr>
                <w:rFonts w:hAnsi="宋体"/>
                <w:szCs w:val="21"/>
              </w:rPr>
              <w:t>其他水上运输辅助活动</w:t>
            </w:r>
          </w:p>
        </w:tc>
        <w:tc>
          <w:tcPr>
            <w:tcW w:w="1490" w:type="dxa"/>
            <w:vAlign w:val="center"/>
          </w:tcPr>
          <w:p w:rsidR="00475650" w:rsidRDefault="00475650">
            <w:pPr>
              <w:adjustRightInd w:val="0"/>
              <w:snapToGrid w:val="0"/>
              <w:spacing w:line="276" w:lineRule="auto"/>
              <w:jc w:val="center"/>
              <w:rPr>
                <w:szCs w:val="21"/>
              </w:rPr>
            </w:pPr>
            <w:r>
              <w:rPr>
                <w:rFonts w:hAnsi="宋体"/>
                <w:szCs w:val="21"/>
              </w:rPr>
              <w:t>鼓励</w:t>
            </w:r>
          </w:p>
        </w:tc>
        <w:tc>
          <w:tcPr>
            <w:tcW w:w="2108" w:type="dxa"/>
            <w:vMerge/>
            <w:vAlign w:val="center"/>
          </w:tcPr>
          <w:p w:rsidR="00475650" w:rsidRDefault="00475650">
            <w:pPr>
              <w:adjustRightInd w:val="0"/>
              <w:snapToGrid w:val="0"/>
              <w:spacing w:line="276" w:lineRule="auto"/>
              <w:jc w:val="center"/>
              <w:rPr>
                <w:szCs w:val="21"/>
              </w:rPr>
            </w:pPr>
          </w:p>
        </w:tc>
      </w:tr>
    </w:tbl>
    <w:p w:rsidR="00475650" w:rsidRDefault="00475650">
      <w:pPr>
        <w:spacing w:line="360" w:lineRule="auto"/>
        <w:ind w:firstLineChars="200" w:firstLine="480"/>
        <w:rPr>
          <w:rFonts w:hAnsi="宋体"/>
          <w:sz w:val="24"/>
        </w:rPr>
      </w:pPr>
      <w:r>
        <w:rPr>
          <w:rFonts w:hint="eastAsia"/>
          <w:sz w:val="24"/>
        </w:rPr>
        <w:t>4</w:t>
      </w:r>
      <w:r>
        <w:rPr>
          <w:rFonts w:hAnsi="宋体"/>
          <w:sz w:val="24"/>
        </w:rPr>
        <w:t>、</w:t>
      </w:r>
      <w:r>
        <w:rPr>
          <w:rFonts w:hAnsi="宋体" w:hint="eastAsia"/>
          <w:sz w:val="24"/>
        </w:rPr>
        <w:t>用地布局</w:t>
      </w:r>
    </w:p>
    <w:p w:rsidR="00475650" w:rsidRDefault="00475650">
      <w:pPr>
        <w:spacing w:line="360" w:lineRule="auto"/>
        <w:ind w:firstLineChars="200" w:firstLine="480"/>
        <w:rPr>
          <w:rFonts w:hAnsi="宋体"/>
          <w:sz w:val="24"/>
        </w:rPr>
      </w:pPr>
      <w:r>
        <w:rPr>
          <w:rFonts w:hAnsi="宋体" w:hint="eastAsia"/>
          <w:sz w:val="24"/>
        </w:rPr>
        <w:t>（</w:t>
      </w:r>
      <w:r>
        <w:rPr>
          <w:rFonts w:hAnsi="宋体"/>
          <w:sz w:val="24"/>
        </w:rPr>
        <w:t>1</w:t>
      </w:r>
      <w:r>
        <w:rPr>
          <w:rFonts w:hAnsi="宋体" w:hint="eastAsia"/>
          <w:sz w:val="24"/>
        </w:rPr>
        <w:t>）</w:t>
      </w:r>
      <w:r>
        <w:rPr>
          <w:rFonts w:hAnsi="宋体"/>
          <w:sz w:val="24"/>
        </w:rPr>
        <w:t>居住用地</w:t>
      </w:r>
    </w:p>
    <w:p w:rsidR="00475650" w:rsidRDefault="00475650">
      <w:pPr>
        <w:spacing w:line="360" w:lineRule="auto"/>
        <w:ind w:firstLineChars="200" w:firstLine="480"/>
        <w:rPr>
          <w:rFonts w:hAnsi="宋体"/>
          <w:sz w:val="24"/>
        </w:rPr>
      </w:pPr>
      <w:r>
        <w:rPr>
          <w:rFonts w:hAnsi="宋体"/>
          <w:sz w:val="24"/>
        </w:rPr>
        <w:t>根据临湘市总体规划，规划区内的原有村民及工业园内部的职工将考虑进行集中安置，主要安置于临港大道和建新路两侧的居住用地内。滨江产业区居住用地总面积</w:t>
      </w:r>
      <w:r>
        <w:rPr>
          <w:rFonts w:hAnsi="宋体"/>
          <w:sz w:val="24"/>
        </w:rPr>
        <w:t>23.70</w:t>
      </w:r>
      <w:r>
        <w:rPr>
          <w:rFonts w:hAnsi="宋体"/>
          <w:sz w:val="24"/>
        </w:rPr>
        <w:t>公顷，占滨江产业区园区近期建设用地</w:t>
      </w:r>
      <w:r>
        <w:rPr>
          <w:rFonts w:hAnsi="宋体"/>
          <w:sz w:val="24"/>
        </w:rPr>
        <w:t>2.87%</w:t>
      </w:r>
      <w:r>
        <w:rPr>
          <w:rFonts w:hAnsi="宋体"/>
          <w:sz w:val="24"/>
        </w:rPr>
        <w:t>。</w:t>
      </w:r>
    </w:p>
    <w:p w:rsidR="00475650" w:rsidRDefault="00475650">
      <w:pPr>
        <w:spacing w:line="360" w:lineRule="auto"/>
        <w:ind w:firstLineChars="200" w:firstLine="480"/>
        <w:rPr>
          <w:rFonts w:hAnsi="宋体"/>
          <w:sz w:val="24"/>
        </w:rPr>
      </w:pPr>
      <w:r>
        <w:rPr>
          <w:rFonts w:hAnsi="宋体" w:hint="eastAsia"/>
          <w:sz w:val="24"/>
        </w:rPr>
        <w:t>（</w:t>
      </w:r>
      <w:r>
        <w:rPr>
          <w:rFonts w:hAnsi="宋体"/>
          <w:sz w:val="24"/>
        </w:rPr>
        <w:t>2</w:t>
      </w:r>
      <w:r>
        <w:rPr>
          <w:rFonts w:hAnsi="宋体" w:hint="eastAsia"/>
          <w:sz w:val="24"/>
        </w:rPr>
        <w:t>）</w:t>
      </w:r>
      <w:r>
        <w:rPr>
          <w:rFonts w:hAnsi="宋体"/>
          <w:sz w:val="24"/>
        </w:rPr>
        <w:t>公共管理与公共服务设施用地</w:t>
      </w:r>
    </w:p>
    <w:p w:rsidR="00475650" w:rsidRDefault="00475650">
      <w:pPr>
        <w:spacing w:line="360" w:lineRule="auto"/>
        <w:ind w:firstLineChars="200" w:firstLine="480"/>
        <w:rPr>
          <w:rFonts w:hAnsi="宋体"/>
          <w:sz w:val="24"/>
        </w:rPr>
      </w:pPr>
      <w:r>
        <w:rPr>
          <w:rFonts w:hAnsi="宋体"/>
          <w:sz w:val="24"/>
        </w:rPr>
        <w:t>原滨江产业区的行政办公用地不变。园区管委会附近及建新路公园对面新增两处文化设施用地，同时园区管委会南侧的卫生所扩容。规划总用地面积</w:t>
      </w:r>
      <w:r>
        <w:rPr>
          <w:rFonts w:hAnsi="宋体"/>
          <w:sz w:val="24"/>
        </w:rPr>
        <w:t>9.06</w:t>
      </w:r>
      <w:r>
        <w:rPr>
          <w:rFonts w:hAnsi="宋体"/>
          <w:sz w:val="24"/>
        </w:rPr>
        <w:t>公顷，占园区近期建设用地的</w:t>
      </w:r>
      <w:r>
        <w:rPr>
          <w:rFonts w:hAnsi="宋体"/>
          <w:sz w:val="24"/>
        </w:rPr>
        <w:t>1.10%</w:t>
      </w:r>
      <w:r>
        <w:rPr>
          <w:rFonts w:hAnsi="宋体"/>
          <w:sz w:val="24"/>
        </w:rPr>
        <w:t>。</w:t>
      </w:r>
    </w:p>
    <w:p w:rsidR="00475650" w:rsidRDefault="00475650">
      <w:pPr>
        <w:spacing w:line="360" w:lineRule="auto"/>
        <w:ind w:firstLineChars="200" w:firstLine="480"/>
        <w:rPr>
          <w:rFonts w:hAnsi="宋体"/>
          <w:sz w:val="24"/>
        </w:rPr>
      </w:pPr>
      <w:r>
        <w:rPr>
          <w:rFonts w:hAnsi="宋体" w:hint="eastAsia"/>
          <w:sz w:val="24"/>
        </w:rPr>
        <w:t>（</w:t>
      </w:r>
      <w:r>
        <w:rPr>
          <w:rFonts w:hAnsi="宋体"/>
          <w:sz w:val="24"/>
        </w:rPr>
        <w:t>3</w:t>
      </w:r>
      <w:r>
        <w:rPr>
          <w:rFonts w:hAnsi="宋体" w:hint="eastAsia"/>
          <w:sz w:val="24"/>
        </w:rPr>
        <w:t>）</w:t>
      </w:r>
      <w:r>
        <w:rPr>
          <w:rFonts w:hAnsi="宋体"/>
          <w:sz w:val="24"/>
        </w:rPr>
        <w:t>商业服务业设施用地</w:t>
      </w:r>
    </w:p>
    <w:p w:rsidR="00475650" w:rsidRDefault="00475650">
      <w:pPr>
        <w:spacing w:line="360" w:lineRule="auto"/>
        <w:ind w:firstLineChars="200" w:firstLine="480"/>
        <w:rPr>
          <w:rFonts w:hAnsi="宋体"/>
          <w:sz w:val="24"/>
        </w:rPr>
      </w:pPr>
      <w:r>
        <w:rPr>
          <w:rFonts w:hAnsi="宋体"/>
          <w:sz w:val="24"/>
        </w:rPr>
        <w:t>保持滨江产业区原有商业服务设施不变，同时在规划控制区范围内结合滨江产业区内村民安置区适当布局商业服务业设施用地，以满足周边居民生活需求。规划总用地面积</w:t>
      </w:r>
      <w:r>
        <w:rPr>
          <w:rFonts w:hAnsi="宋体"/>
          <w:sz w:val="24"/>
        </w:rPr>
        <w:t>20.83</w:t>
      </w:r>
      <w:r>
        <w:rPr>
          <w:rFonts w:hAnsi="宋体"/>
          <w:sz w:val="24"/>
        </w:rPr>
        <w:t>公顷，占园区近期建设用地的</w:t>
      </w:r>
      <w:r>
        <w:rPr>
          <w:rFonts w:hAnsi="宋体"/>
          <w:sz w:val="24"/>
        </w:rPr>
        <w:t>2.52%</w:t>
      </w:r>
      <w:r>
        <w:rPr>
          <w:rFonts w:hAnsi="宋体"/>
          <w:sz w:val="24"/>
        </w:rPr>
        <w:t>。</w:t>
      </w:r>
    </w:p>
    <w:p w:rsidR="00475650" w:rsidRDefault="00475650">
      <w:pPr>
        <w:spacing w:line="360" w:lineRule="auto"/>
        <w:ind w:firstLineChars="200" w:firstLine="480"/>
        <w:rPr>
          <w:rFonts w:hAnsi="宋体"/>
          <w:sz w:val="24"/>
        </w:rPr>
      </w:pPr>
      <w:r>
        <w:rPr>
          <w:rFonts w:hAnsi="宋体" w:hint="eastAsia"/>
          <w:sz w:val="24"/>
        </w:rPr>
        <w:t>（</w:t>
      </w:r>
      <w:r>
        <w:rPr>
          <w:rFonts w:hAnsi="宋体"/>
          <w:sz w:val="24"/>
        </w:rPr>
        <w:t>4</w:t>
      </w:r>
      <w:r>
        <w:rPr>
          <w:rFonts w:hAnsi="宋体" w:hint="eastAsia"/>
          <w:sz w:val="24"/>
        </w:rPr>
        <w:t>）</w:t>
      </w:r>
      <w:r>
        <w:rPr>
          <w:rFonts w:hAnsi="宋体"/>
          <w:sz w:val="24"/>
        </w:rPr>
        <w:t>工业用地</w:t>
      </w:r>
    </w:p>
    <w:p w:rsidR="00475650" w:rsidRDefault="00475650">
      <w:pPr>
        <w:spacing w:line="360" w:lineRule="auto"/>
        <w:ind w:firstLineChars="200" w:firstLine="480"/>
        <w:rPr>
          <w:rFonts w:hAnsi="宋体"/>
          <w:sz w:val="24"/>
        </w:rPr>
      </w:pPr>
      <w:r>
        <w:rPr>
          <w:rFonts w:hAnsi="宋体"/>
          <w:sz w:val="24"/>
        </w:rPr>
        <w:t>工业用地为滨江产业区内主要用地性质，依据临湘市的环保要求，近期主要发展三类工业用地。主要发展产业为精细化工和有色</w:t>
      </w:r>
      <w:r>
        <w:rPr>
          <w:rFonts w:hAnsi="宋体" w:hint="eastAsia"/>
          <w:sz w:val="24"/>
        </w:rPr>
        <w:t>金属</w:t>
      </w:r>
      <w:r>
        <w:rPr>
          <w:rFonts w:hAnsi="宋体"/>
          <w:sz w:val="24"/>
        </w:rPr>
        <w:t>冶炼。规划用地面积为</w:t>
      </w:r>
      <w:r>
        <w:rPr>
          <w:rFonts w:hAnsi="宋体"/>
          <w:sz w:val="24"/>
        </w:rPr>
        <w:t>573.32</w:t>
      </w:r>
      <w:r>
        <w:rPr>
          <w:rFonts w:hAnsi="宋体"/>
          <w:sz w:val="24"/>
        </w:rPr>
        <w:t>公顷，占园区</w:t>
      </w:r>
      <w:r>
        <w:rPr>
          <w:rFonts w:hAnsi="宋体" w:hint="eastAsia"/>
          <w:sz w:val="24"/>
        </w:rPr>
        <w:t>近期</w:t>
      </w:r>
      <w:r>
        <w:rPr>
          <w:rFonts w:hAnsi="宋体"/>
          <w:sz w:val="24"/>
        </w:rPr>
        <w:t>建设用地的</w:t>
      </w:r>
      <w:r>
        <w:rPr>
          <w:rFonts w:hAnsi="宋体"/>
          <w:sz w:val="24"/>
        </w:rPr>
        <w:t>69.46%</w:t>
      </w:r>
      <w:r>
        <w:rPr>
          <w:rFonts w:hAnsi="宋体"/>
          <w:sz w:val="24"/>
        </w:rPr>
        <w:t>。</w:t>
      </w:r>
    </w:p>
    <w:p w:rsidR="00475650" w:rsidRDefault="00475650">
      <w:pPr>
        <w:spacing w:line="360" w:lineRule="auto"/>
        <w:ind w:firstLineChars="200" w:firstLine="480"/>
        <w:rPr>
          <w:rFonts w:hAnsi="宋体"/>
          <w:sz w:val="24"/>
        </w:rPr>
      </w:pPr>
      <w:r>
        <w:rPr>
          <w:rFonts w:hAnsi="宋体" w:hint="eastAsia"/>
          <w:sz w:val="24"/>
        </w:rPr>
        <w:t>（</w:t>
      </w:r>
      <w:r>
        <w:rPr>
          <w:rFonts w:hAnsi="宋体"/>
          <w:sz w:val="24"/>
        </w:rPr>
        <w:t>5</w:t>
      </w:r>
      <w:r>
        <w:rPr>
          <w:rFonts w:hAnsi="宋体" w:hint="eastAsia"/>
          <w:sz w:val="24"/>
        </w:rPr>
        <w:t>）</w:t>
      </w:r>
      <w:r>
        <w:rPr>
          <w:rFonts w:hAnsi="宋体"/>
          <w:sz w:val="24"/>
        </w:rPr>
        <w:t>物流仓储用地</w:t>
      </w:r>
    </w:p>
    <w:p w:rsidR="00475650" w:rsidRDefault="00475650">
      <w:pPr>
        <w:spacing w:line="360" w:lineRule="auto"/>
        <w:ind w:firstLineChars="200" w:firstLine="480"/>
        <w:rPr>
          <w:rFonts w:hAnsi="宋体"/>
          <w:sz w:val="24"/>
        </w:rPr>
      </w:pPr>
      <w:r>
        <w:rPr>
          <w:rFonts w:hAnsi="宋体"/>
          <w:sz w:val="24"/>
        </w:rPr>
        <w:lastRenderedPageBreak/>
        <w:t>滨江产业区的物流仓储用地结合鸭栏码头和货运站布置。近期规划用地面积为</w:t>
      </w:r>
      <w:r>
        <w:rPr>
          <w:rFonts w:hAnsi="宋体"/>
          <w:sz w:val="24"/>
        </w:rPr>
        <w:t>39.61</w:t>
      </w:r>
      <w:r>
        <w:rPr>
          <w:rFonts w:hAnsi="宋体"/>
          <w:sz w:val="24"/>
        </w:rPr>
        <w:t>公顷，占园区建设用地的</w:t>
      </w:r>
      <w:r>
        <w:rPr>
          <w:rFonts w:hAnsi="宋体"/>
          <w:sz w:val="24"/>
        </w:rPr>
        <w:t>4.8%</w:t>
      </w:r>
      <w:r>
        <w:rPr>
          <w:rFonts w:hAnsi="宋体"/>
          <w:sz w:val="24"/>
        </w:rPr>
        <w:t>。</w:t>
      </w:r>
    </w:p>
    <w:p w:rsidR="00475650" w:rsidRDefault="00475650">
      <w:pPr>
        <w:spacing w:line="360" w:lineRule="auto"/>
        <w:ind w:firstLineChars="200" w:firstLine="480"/>
        <w:rPr>
          <w:rFonts w:hAnsi="宋体"/>
          <w:sz w:val="24"/>
        </w:rPr>
      </w:pPr>
      <w:r>
        <w:rPr>
          <w:rFonts w:hAnsi="宋体" w:hint="eastAsia"/>
          <w:sz w:val="24"/>
        </w:rPr>
        <w:t>（</w:t>
      </w:r>
      <w:r>
        <w:rPr>
          <w:rFonts w:hAnsi="宋体"/>
          <w:sz w:val="24"/>
        </w:rPr>
        <w:t>6</w:t>
      </w:r>
      <w:r>
        <w:rPr>
          <w:rFonts w:hAnsi="宋体" w:hint="eastAsia"/>
          <w:sz w:val="24"/>
        </w:rPr>
        <w:t>）</w:t>
      </w:r>
      <w:r>
        <w:rPr>
          <w:rFonts w:hAnsi="宋体"/>
          <w:sz w:val="24"/>
        </w:rPr>
        <w:t>道路与交通设施用地</w:t>
      </w:r>
    </w:p>
    <w:p w:rsidR="00475650" w:rsidRDefault="00475650">
      <w:pPr>
        <w:spacing w:line="360" w:lineRule="auto"/>
        <w:ind w:firstLineChars="200" w:firstLine="480"/>
        <w:rPr>
          <w:rFonts w:hAnsi="宋体"/>
          <w:sz w:val="24"/>
        </w:rPr>
      </w:pPr>
      <w:r>
        <w:rPr>
          <w:rFonts w:hAnsi="宋体"/>
          <w:sz w:val="24"/>
        </w:rPr>
        <w:t>近期规划占地面积为</w:t>
      </w:r>
      <w:r>
        <w:rPr>
          <w:rFonts w:hAnsi="宋体"/>
          <w:sz w:val="24"/>
        </w:rPr>
        <w:t>80.06</w:t>
      </w:r>
      <w:r>
        <w:rPr>
          <w:rFonts w:hAnsi="宋体"/>
          <w:sz w:val="24"/>
        </w:rPr>
        <w:t>公顷，占园区建设用地的</w:t>
      </w:r>
      <w:r>
        <w:rPr>
          <w:rFonts w:hAnsi="宋体"/>
          <w:sz w:val="24"/>
        </w:rPr>
        <w:t>9.70%</w:t>
      </w:r>
      <w:r>
        <w:rPr>
          <w:rFonts w:hAnsi="宋体"/>
          <w:sz w:val="24"/>
        </w:rPr>
        <w:t>。</w:t>
      </w:r>
    </w:p>
    <w:p w:rsidR="00475650" w:rsidRDefault="00475650">
      <w:pPr>
        <w:spacing w:line="360" w:lineRule="auto"/>
        <w:ind w:firstLineChars="200" w:firstLine="480"/>
        <w:rPr>
          <w:rFonts w:hAnsi="宋体"/>
          <w:sz w:val="24"/>
        </w:rPr>
      </w:pPr>
      <w:r>
        <w:rPr>
          <w:rFonts w:hAnsi="宋体" w:hint="eastAsia"/>
          <w:sz w:val="24"/>
        </w:rPr>
        <w:t>（</w:t>
      </w:r>
      <w:r>
        <w:rPr>
          <w:rFonts w:hAnsi="宋体"/>
          <w:sz w:val="24"/>
        </w:rPr>
        <w:t>7</w:t>
      </w:r>
      <w:r>
        <w:rPr>
          <w:rFonts w:hAnsi="宋体" w:hint="eastAsia"/>
          <w:sz w:val="24"/>
        </w:rPr>
        <w:t>）</w:t>
      </w:r>
      <w:r>
        <w:rPr>
          <w:rFonts w:hAnsi="宋体"/>
          <w:sz w:val="24"/>
        </w:rPr>
        <w:t>绿地与广场用地</w:t>
      </w:r>
    </w:p>
    <w:p w:rsidR="00475650" w:rsidRDefault="00475650">
      <w:pPr>
        <w:spacing w:line="360" w:lineRule="auto"/>
        <w:ind w:firstLineChars="200" w:firstLine="480"/>
        <w:rPr>
          <w:rFonts w:hAnsi="宋体"/>
          <w:sz w:val="24"/>
        </w:rPr>
      </w:pPr>
      <w:r>
        <w:rPr>
          <w:rFonts w:hAnsi="宋体" w:hint="eastAsia"/>
          <w:sz w:val="24"/>
        </w:rPr>
        <w:t>①</w:t>
      </w:r>
      <w:r>
        <w:rPr>
          <w:rFonts w:hAnsi="宋体"/>
          <w:sz w:val="24"/>
        </w:rPr>
        <w:t>公园绿地</w:t>
      </w:r>
    </w:p>
    <w:p w:rsidR="00475650" w:rsidRDefault="00475650">
      <w:pPr>
        <w:spacing w:line="360" w:lineRule="auto"/>
        <w:ind w:firstLineChars="200" w:firstLine="480"/>
        <w:rPr>
          <w:rFonts w:hAnsi="宋体"/>
          <w:sz w:val="24"/>
        </w:rPr>
      </w:pPr>
      <w:r>
        <w:rPr>
          <w:rFonts w:hAnsi="宋体"/>
          <w:sz w:val="24"/>
        </w:rPr>
        <w:t>公园绿地面积</w:t>
      </w:r>
      <w:r>
        <w:rPr>
          <w:rFonts w:hAnsi="宋体"/>
          <w:sz w:val="24"/>
        </w:rPr>
        <w:t>1.57</w:t>
      </w:r>
      <w:r>
        <w:rPr>
          <w:rFonts w:hAnsi="宋体"/>
          <w:sz w:val="24"/>
        </w:rPr>
        <w:t>公顷，占园区近期建设用地的</w:t>
      </w:r>
      <w:r>
        <w:rPr>
          <w:rFonts w:hAnsi="宋体"/>
          <w:sz w:val="24"/>
        </w:rPr>
        <w:t>0.19%</w:t>
      </w:r>
      <w:r>
        <w:rPr>
          <w:rFonts w:hAnsi="宋体"/>
          <w:sz w:val="24"/>
        </w:rPr>
        <w:t>。</w:t>
      </w:r>
    </w:p>
    <w:p w:rsidR="00475650" w:rsidRDefault="00475650">
      <w:pPr>
        <w:spacing w:line="360" w:lineRule="auto"/>
        <w:ind w:firstLineChars="200" w:firstLine="480"/>
        <w:rPr>
          <w:rFonts w:hAnsi="宋体"/>
          <w:sz w:val="24"/>
        </w:rPr>
      </w:pPr>
      <w:r>
        <w:rPr>
          <w:rFonts w:hAnsi="宋体" w:hint="eastAsia"/>
          <w:sz w:val="24"/>
        </w:rPr>
        <w:t>②</w:t>
      </w:r>
      <w:r>
        <w:rPr>
          <w:rFonts w:hAnsi="宋体"/>
          <w:sz w:val="24"/>
        </w:rPr>
        <w:t>生产防护绿地</w:t>
      </w:r>
    </w:p>
    <w:p w:rsidR="00475650" w:rsidRDefault="00475650">
      <w:pPr>
        <w:spacing w:line="360" w:lineRule="auto"/>
        <w:ind w:firstLineChars="200" w:firstLine="480"/>
        <w:rPr>
          <w:rFonts w:hAnsi="宋体"/>
          <w:sz w:val="24"/>
        </w:rPr>
      </w:pPr>
      <w:r>
        <w:rPr>
          <w:rFonts w:hAnsi="宋体"/>
          <w:sz w:val="24"/>
        </w:rPr>
        <w:t>在铁路、高压线及主要道路两侧均布置防护绿地。</w:t>
      </w:r>
    </w:p>
    <w:p w:rsidR="00475650" w:rsidRDefault="00475650">
      <w:pPr>
        <w:spacing w:line="360" w:lineRule="auto"/>
        <w:ind w:firstLineChars="200" w:firstLine="480"/>
        <w:rPr>
          <w:rFonts w:hAnsi="宋体"/>
          <w:sz w:val="24"/>
        </w:rPr>
      </w:pPr>
      <w:r>
        <w:rPr>
          <w:rFonts w:hAnsi="宋体"/>
          <w:sz w:val="24"/>
        </w:rPr>
        <w:t>工业用地、公用设施用地和其他用地之间规划布置防护绿地。</w:t>
      </w:r>
    </w:p>
    <w:p w:rsidR="00475650" w:rsidRDefault="00475650">
      <w:pPr>
        <w:spacing w:line="360" w:lineRule="auto"/>
        <w:ind w:firstLineChars="200" w:firstLine="480"/>
        <w:rPr>
          <w:rFonts w:hAnsi="宋体"/>
          <w:sz w:val="24"/>
        </w:rPr>
      </w:pPr>
      <w:r>
        <w:rPr>
          <w:rFonts w:hAnsi="宋体"/>
          <w:sz w:val="24"/>
        </w:rPr>
        <w:t>防护绿地面积</w:t>
      </w:r>
      <w:r>
        <w:rPr>
          <w:rFonts w:hAnsi="宋体"/>
          <w:sz w:val="24"/>
        </w:rPr>
        <w:t>51.37</w:t>
      </w:r>
      <w:r>
        <w:rPr>
          <w:rFonts w:hAnsi="宋体"/>
          <w:sz w:val="24"/>
        </w:rPr>
        <w:t>公顷，占园区近期建设用地的</w:t>
      </w:r>
      <w:r>
        <w:rPr>
          <w:rFonts w:hAnsi="宋体"/>
          <w:sz w:val="24"/>
        </w:rPr>
        <w:t>6.22%</w:t>
      </w:r>
      <w:r>
        <w:rPr>
          <w:rFonts w:hAnsi="宋体"/>
          <w:sz w:val="24"/>
        </w:rPr>
        <w:t>。</w:t>
      </w:r>
    </w:p>
    <w:p w:rsidR="00475650" w:rsidRDefault="00475650">
      <w:pPr>
        <w:spacing w:line="360" w:lineRule="auto"/>
        <w:ind w:firstLineChars="200" w:firstLine="480"/>
        <w:rPr>
          <w:rFonts w:hAnsi="宋体"/>
          <w:sz w:val="24"/>
        </w:rPr>
      </w:pPr>
      <w:r>
        <w:rPr>
          <w:rFonts w:hAnsi="宋体" w:hint="eastAsia"/>
          <w:sz w:val="24"/>
        </w:rPr>
        <w:t>③</w:t>
      </w:r>
      <w:r>
        <w:rPr>
          <w:rFonts w:hAnsi="宋体"/>
          <w:sz w:val="24"/>
        </w:rPr>
        <w:t>附属绿地</w:t>
      </w:r>
    </w:p>
    <w:p w:rsidR="00475650" w:rsidRDefault="00475650">
      <w:pPr>
        <w:spacing w:line="360" w:lineRule="auto"/>
        <w:ind w:firstLineChars="200" w:firstLine="480"/>
        <w:rPr>
          <w:rFonts w:hAnsi="宋体"/>
          <w:sz w:val="24"/>
        </w:rPr>
      </w:pPr>
      <w:r>
        <w:rPr>
          <w:rFonts w:hAnsi="宋体"/>
          <w:sz w:val="24"/>
        </w:rPr>
        <w:t>附属绿地包括居住社区内绿地、工厂厂区绿地和道路绿地等。</w:t>
      </w:r>
    </w:p>
    <w:p w:rsidR="00475650" w:rsidRDefault="00475650">
      <w:pPr>
        <w:spacing w:line="360" w:lineRule="auto"/>
        <w:ind w:firstLineChars="200" w:firstLine="480"/>
        <w:rPr>
          <w:rFonts w:hAnsi="宋体"/>
          <w:sz w:val="24"/>
        </w:rPr>
      </w:pPr>
      <w:r>
        <w:rPr>
          <w:rFonts w:hAnsi="宋体"/>
          <w:sz w:val="24"/>
        </w:rPr>
        <w:t>居住社区根据规模必须布置组团绿地并尽可能提高用地指标；工厂厂区根据工厂总平面设计必须布置厂区绿地。</w:t>
      </w:r>
    </w:p>
    <w:p w:rsidR="00475650" w:rsidRDefault="00475650">
      <w:pPr>
        <w:spacing w:line="336" w:lineRule="auto"/>
        <w:ind w:firstLineChars="200" w:firstLine="480"/>
        <w:rPr>
          <w:sz w:val="24"/>
        </w:rPr>
      </w:pPr>
      <w:r>
        <w:rPr>
          <w:rFonts w:hAnsi="宋体"/>
          <w:sz w:val="24"/>
        </w:rPr>
        <w:t>本项目</w:t>
      </w:r>
      <w:r>
        <w:rPr>
          <w:rFonts w:hAnsi="宋体" w:hint="eastAsia"/>
          <w:sz w:val="24"/>
        </w:rPr>
        <w:t>为化工项目，</w:t>
      </w:r>
      <w:r>
        <w:rPr>
          <w:rFonts w:hAnsi="宋体"/>
          <w:sz w:val="24"/>
        </w:rPr>
        <w:t>位于湘市鹏程化工有限公司现有厂区预留地内，其性质属于</w:t>
      </w:r>
      <w:r>
        <w:rPr>
          <w:rFonts w:hAnsi="宋体" w:hint="eastAsia"/>
          <w:sz w:val="24"/>
        </w:rPr>
        <w:t>产业区绿色化工组团的</w:t>
      </w:r>
      <w:r>
        <w:rPr>
          <w:rFonts w:hAnsi="宋体"/>
          <w:sz w:val="24"/>
        </w:rPr>
        <w:t>三类用地，满足园区产业定位及用地规划要求。</w:t>
      </w:r>
      <w:r>
        <w:rPr>
          <w:sz w:val="24"/>
        </w:rPr>
        <w:t>2014</w:t>
      </w:r>
      <w:r>
        <w:rPr>
          <w:rFonts w:hAnsi="宋体"/>
          <w:sz w:val="24"/>
        </w:rPr>
        <w:t>年</w:t>
      </w:r>
      <w:r>
        <w:rPr>
          <w:sz w:val="24"/>
        </w:rPr>
        <w:t>4</w:t>
      </w:r>
      <w:r>
        <w:rPr>
          <w:rFonts w:hAnsi="宋体"/>
          <w:sz w:val="24"/>
        </w:rPr>
        <w:t>月</w:t>
      </w:r>
      <w:r>
        <w:rPr>
          <w:sz w:val="24"/>
        </w:rPr>
        <w:t>30</w:t>
      </w:r>
      <w:r>
        <w:rPr>
          <w:rFonts w:hAnsi="宋体"/>
          <w:sz w:val="24"/>
        </w:rPr>
        <w:t>日，临湘市招商引资工作领导小组办公室以</w:t>
      </w:r>
      <w:r>
        <w:rPr>
          <w:sz w:val="24"/>
        </w:rPr>
        <w:t>“</w:t>
      </w:r>
      <w:r>
        <w:rPr>
          <w:rFonts w:hAnsi="宋体"/>
          <w:sz w:val="24"/>
        </w:rPr>
        <w:t>临招办</w:t>
      </w:r>
      <w:r>
        <w:rPr>
          <w:sz w:val="24"/>
        </w:rPr>
        <w:t>[2014]2</w:t>
      </w:r>
      <w:r>
        <w:rPr>
          <w:rFonts w:hAnsi="宋体"/>
          <w:sz w:val="24"/>
        </w:rPr>
        <w:t>号</w:t>
      </w:r>
      <w:r>
        <w:rPr>
          <w:sz w:val="24"/>
        </w:rPr>
        <w:t>”</w:t>
      </w:r>
      <w:r>
        <w:rPr>
          <w:rFonts w:hAnsi="宋体"/>
          <w:sz w:val="24"/>
        </w:rPr>
        <w:t>文同意本项目于园区内进行建设（文件见附件）。</w:t>
      </w:r>
    </w:p>
    <w:p w:rsidR="00475650" w:rsidRDefault="00475650">
      <w:pPr>
        <w:pStyle w:val="31"/>
        <w:snapToGrid w:val="0"/>
        <w:spacing w:before="0" w:after="0"/>
        <w:rPr>
          <w:sz w:val="24"/>
          <w:szCs w:val="24"/>
        </w:rPr>
      </w:pPr>
      <w:r>
        <w:rPr>
          <w:sz w:val="24"/>
          <w:szCs w:val="24"/>
        </w:rPr>
        <w:t>2.3.2</w:t>
      </w:r>
      <w:r>
        <w:rPr>
          <w:rFonts w:hAnsi="宋体"/>
          <w:sz w:val="24"/>
          <w:szCs w:val="24"/>
        </w:rPr>
        <w:t>市政公用工程</w:t>
      </w:r>
    </w:p>
    <w:p w:rsidR="00475650" w:rsidRDefault="00475650">
      <w:pPr>
        <w:spacing w:line="360" w:lineRule="auto"/>
        <w:ind w:firstLineChars="200" w:firstLine="480"/>
        <w:rPr>
          <w:sz w:val="24"/>
        </w:rPr>
      </w:pPr>
      <w:r>
        <w:rPr>
          <w:rFonts w:hAnsi="宋体"/>
          <w:sz w:val="24"/>
        </w:rPr>
        <w:t>（</w:t>
      </w:r>
      <w:r>
        <w:rPr>
          <w:sz w:val="24"/>
        </w:rPr>
        <w:t>1</w:t>
      </w:r>
      <w:r>
        <w:rPr>
          <w:rFonts w:hAnsi="宋体"/>
          <w:sz w:val="24"/>
        </w:rPr>
        <w:t>）给排水</w:t>
      </w:r>
      <w:r>
        <w:rPr>
          <w:sz w:val="24"/>
        </w:rPr>
        <w:t xml:space="preserve"> </w:t>
      </w:r>
    </w:p>
    <w:p w:rsidR="00475650" w:rsidRDefault="00475650">
      <w:pPr>
        <w:spacing w:line="360" w:lineRule="auto"/>
        <w:ind w:firstLineChars="200" w:firstLine="480"/>
        <w:rPr>
          <w:sz w:val="24"/>
        </w:rPr>
      </w:pPr>
      <w:r>
        <w:rPr>
          <w:rFonts w:hAnsi="宋体"/>
          <w:sz w:val="24"/>
        </w:rPr>
        <w:t>产业园内建设有北控集团负责运营的自来水厂以及污水处理厂。</w:t>
      </w:r>
    </w:p>
    <w:p w:rsidR="00475650" w:rsidRDefault="00475650">
      <w:pPr>
        <w:spacing w:line="360" w:lineRule="auto"/>
        <w:ind w:firstLineChars="200" w:firstLine="480"/>
        <w:rPr>
          <w:sz w:val="24"/>
        </w:rPr>
      </w:pPr>
      <w:r>
        <w:rPr>
          <w:rFonts w:hAnsi="宋体"/>
          <w:sz w:val="24"/>
        </w:rPr>
        <w:t>自来水厂位于工业大道与纬八路交叉口西南角，总占地面积为</w:t>
      </w:r>
      <w:r>
        <w:rPr>
          <w:sz w:val="24"/>
        </w:rPr>
        <w:t>49905.4m</w:t>
      </w:r>
      <w:r>
        <w:rPr>
          <w:sz w:val="24"/>
          <w:vertAlign w:val="superscript"/>
        </w:rPr>
        <w:t>2</w:t>
      </w:r>
      <w:r>
        <w:rPr>
          <w:rFonts w:hAnsi="宋体"/>
          <w:sz w:val="24"/>
        </w:rPr>
        <w:t>，取水水源为长江，总设计供水规模为</w:t>
      </w:r>
      <w:r>
        <w:rPr>
          <w:sz w:val="24"/>
        </w:rPr>
        <w:t>11</w:t>
      </w:r>
      <w:r>
        <w:rPr>
          <w:rFonts w:hAnsi="宋体"/>
          <w:sz w:val="24"/>
        </w:rPr>
        <w:t>万</w:t>
      </w:r>
      <w:r>
        <w:rPr>
          <w:sz w:val="24"/>
        </w:rPr>
        <w:t>m</w:t>
      </w:r>
      <w:r>
        <w:rPr>
          <w:sz w:val="24"/>
          <w:vertAlign w:val="superscript"/>
        </w:rPr>
        <w:t>3</w:t>
      </w:r>
      <w:r>
        <w:rPr>
          <w:sz w:val="24"/>
        </w:rPr>
        <w:t>/d</w:t>
      </w:r>
      <w:r>
        <w:rPr>
          <w:rFonts w:hAnsi="宋体"/>
          <w:sz w:val="24"/>
        </w:rPr>
        <w:t>，一期供水规模为</w:t>
      </w:r>
      <w:r>
        <w:rPr>
          <w:sz w:val="24"/>
        </w:rPr>
        <w:t>5</w:t>
      </w:r>
      <w:r>
        <w:rPr>
          <w:rFonts w:hAnsi="宋体"/>
          <w:sz w:val="24"/>
        </w:rPr>
        <w:t>万</w:t>
      </w:r>
      <w:r>
        <w:rPr>
          <w:sz w:val="24"/>
        </w:rPr>
        <w:t>m</w:t>
      </w:r>
      <w:r>
        <w:rPr>
          <w:sz w:val="24"/>
          <w:vertAlign w:val="superscript"/>
        </w:rPr>
        <w:t>3</w:t>
      </w:r>
      <w:r>
        <w:rPr>
          <w:sz w:val="24"/>
        </w:rPr>
        <w:t>/d</w:t>
      </w:r>
      <w:r>
        <w:rPr>
          <w:rFonts w:hint="eastAsia"/>
          <w:sz w:val="24"/>
        </w:rPr>
        <w:t>，</w:t>
      </w:r>
      <w:r>
        <w:rPr>
          <w:rFonts w:hAnsi="宋体"/>
          <w:sz w:val="24"/>
        </w:rPr>
        <w:t>其中生活用水的供水规模为</w:t>
      </w:r>
      <w:r>
        <w:rPr>
          <w:sz w:val="24"/>
        </w:rPr>
        <w:t>1</w:t>
      </w:r>
      <w:r>
        <w:rPr>
          <w:rFonts w:hAnsi="宋体"/>
          <w:sz w:val="24"/>
        </w:rPr>
        <w:t>万</w:t>
      </w:r>
      <w:r>
        <w:rPr>
          <w:sz w:val="24"/>
        </w:rPr>
        <w:t>m</w:t>
      </w:r>
      <w:r>
        <w:rPr>
          <w:sz w:val="24"/>
          <w:vertAlign w:val="superscript"/>
        </w:rPr>
        <w:t>3</w:t>
      </w:r>
      <w:r>
        <w:rPr>
          <w:sz w:val="24"/>
        </w:rPr>
        <w:t>/d</w:t>
      </w:r>
      <w:r>
        <w:rPr>
          <w:rFonts w:hAnsi="宋体"/>
          <w:sz w:val="24"/>
        </w:rPr>
        <w:t>，工业用水的供水规模为</w:t>
      </w:r>
      <w:r>
        <w:rPr>
          <w:sz w:val="24"/>
        </w:rPr>
        <w:t>4</w:t>
      </w:r>
      <w:r>
        <w:rPr>
          <w:rFonts w:hAnsi="宋体"/>
          <w:sz w:val="24"/>
        </w:rPr>
        <w:t>万</w:t>
      </w:r>
      <w:r>
        <w:rPr>
          <w:sz w:val="24"/>
        </w:rPr>
        <w:t>m</w:t>
      </w:r>
      <w:r>
        <w:rPr>
          <w:sz w:val="24"/>
          <w:vertAlign w:val="superscript"/>
        </w:rPr>
        <w:t>3</w:t>
      </w:r>
      <w:r>
        <w:rPr>
          <w:sz w:val="24"/>
        </w:rPr>
        <w:t>/d</w:t>
      </w:r>
      <w:r>
        <w:rPr>
          <w:rFonts w:hAnsi="宋体"/>
          <w:sz w:val="24"/>
        </w:rPr>
        <w:t>，目前沿工业大道两侧敷设</w:t>
      </w:r>
      <w:r>
        <w:rPr>
          <w:sz w:val="24"/>
        </w:rPr>
        <w:t>DN300</w:t>
      </w:r>
      <w:r>
        <w:rPr>
          <w:rFonts w:hAnsi="宋体"/>
          <w:sz w:val="24"/>
        </w:rPr>
        <w:t>的生活用水和</w:t>
      </w:r>
      <w:r>
        <w:rPr>
          <w:sz w:val="24"/>
        </w:rPr>
        <w:t>DN700</w:t>
      </w:r>
      <w:r>
        <w:rPr>
          <w:rFonts w:hAnsi="宋体"/>
          <w:sz w:val="24"/>
        </w:rPr>
        <w:t>的工业生产用水输水主干管，沿主要道路敷设</w:t>
      </w:r>
      <w:r>
        <w:rPr>
          <w:sz w:val="24"/>
        </w:rPr>
        <w:t>DN200</w:t>
      </w:r>
      <w:r>
        <w:rPr>
          <w:rFonts w:hAnsi="宋体"/>
          <w:sz w:val="24"/>
        </w:rPr>
        <w:t>的生活用水和</w:t>
      </w:r>
      <w:r>
        <w:rPr>
          <w:sz w:val="24"/>
        </w:rPr>
        <w:t>DN300</w:t>
      </w:r>
      <w:r>
        <w:rPr>
          <w:rFonts w:hAnsi="宋体"/>
          <w:sz w:val="24"/>
        </w:rPr>
        <w:t>的生产用水配水干管。每隔</w:t>
      </w:r>
      <w:r>
        <w:rPr>
          <w:sz w:val="24"/>
        </w:rPr>
        <w:t>120m</w:t>
      </w:r>
      <w:r>
        <w:rPr>
          <w:rFonts w:hAnsi="宋体"/>
          <w:sz w:val="24"/>
        </w:rPr>
        <w:t>至</w:t>
      </w:r>
      <w:r>
        <w:rPr>
          <w:sz w:val="24"/>
        </w:rPr>
        <w:t>150m</w:t>
      </w:r>
      <w:r>
        <w:rPr>
          <w:rFonts w:hAnsi="宋体"/>
          <w:sz w:val="24"/>
        </w:rPr>
        <w:t>设置一消防取水口。一期工程已于</w:t>
      </w:r>
      <w:r>
        <w:rPr>
          <w:sz w:val="24"/>
        </w:rPr>
        <w:t>2014</w:t>
      </w:r>
      <w:r>
        <w:rPr>
          <w:rFonts w:hAnsi="宋体"/>
          <w:sz w:val="24"/>
        </w:rPr>
        <w:t>年</w:t>
      </w:r>
      <w:r>
        <w:rPr>
          <w:sz w:val="24"/>
        </w:rPr>
        <w:t>1</w:t>
      </w:r>
      <w:r>
        <w:rPr>
          <w:rFonts w:hAnsi="宋体"/>
          <w:sz w:val="24"/>
        </w:rPr>
        <w:t>月投入运行。</w:t>
      </w:r>
    </w:p>
    <w:p w:rsidR="00475650" w:rsidRDefault="00475650">
      <w:pPr>
        <w:spacing w:line="360" w:lineRule="auto"/>
        <w:ind w:firstLineChars="200" w:firstLine="480"/>
        <w:rPr>
          <w:sz w:val="24"/>
        </w:rPr>
      </w:pPr>
      <w:r>
        <w:rPr>
          <w:rFonts w:hAnsi="宋体"/>
          <w:sz w:val="24"/>
        </w:rPr>
        <w:t>北控污水处理厂位于工业大道与纬四路交叉口西北角，总占地面积</w:t>
      </w:r>
      <w:r>
        <w:rPr>
          <w:sz w:val="24"/>
        </w:rPr>
        <w:t>64903m</w:t>
      </w:r>
      <w:r>
        <w:rPr>
          <w:sz w:val="24"/>
          <w:vertAlign w:val="superscript"/>
        </w:rPr>
        <w:t>2</w:t>
      </w:r>
      <w:r>
        <w:rPr>
          <w:rFonts w:hAnsi="宋体"/>
          <w:sz w:val="24"/>
        </w:rPr>
        <w:t>，现</w:t>
      </w:r>
      <w:r>
        <w:rPr>
          <w:rFonts w:hAnsi="宋体"/>
          <w:sz w:val="24"/>
        </w:rPr>
        <w:lastRenderedPageBreak/>
        <w:t>处理能力为</w:t>
      </w:r>
      <w:r>
        <w:rPr>
          <w:sz w:val="24"/>
        </w:rPr>
        <w:t>2</w:t>
      </w:r>
      <w:r>
        <w:rPr>
          <w:rFonts w:hAnsi="宋体"/>
          <w:sz w:val="24"/>
        </w:rPr>
        <w:t>万</w:t>
      </w:r>
      <w:r>
        <w:rPr>
          <w:sz w:val="24"/>
        </w:rPr>
        <w:t>m</w:t>
      </w:r>
      <w:r>
        <w:rPr>
          <w:sz w:val="24"/>
          <w:vertAlign w:val="superscript"/>
        </w:rPr>
        <w:t>3</w:t>
      </w:r>
      <w:r>
        <w:rPr>
          <w:sz w:val="24"/>
        </w:rPr>
        <w:t>/d</w:t>
      </w:r>
      <w:r>
        <w:rPr>
          <w:rFonts w:hAnsi="宋体"/>
          <w:sz w:val="24"/>
        </w:rPr>
        <w:t>，产业区内已入驻企业的废水采用采用</w:t>
      </w:r>
      <w:r>
        <w:rPr>
          <w:sz w:val="24"/>
        </w:rPr>
        <w:t>“</w:t>
      </w:r>
      <w:r>
        <w:rPr>
          <w:rFonts w:hAnsi="宋体"/>
          <w:sz w:val="24"/>
        </w:rPr>
        <w:t>一企一管</w:t>
      </w:r>
      <w:r>
        <w:rPr>
          <w:sz w:val="24"/>
        </w:rPr>
        <w:t>”</w:t>
      </w:r>
      <w:r>
        <w:rPr>
          <w:rFonts w:hAnsi="宋体"/>
          <w:sz w:val="24"/>
        </w:rPr>
        <w:t>的方式进入北控污水处理厂，目前其废水实际处理量约为</w:t>
      </w:r>
      <w:r>
        <w:rPr>
          <w:sz w:val="24"/>
        </w:rPr>
        <w:t>8000m</w:t>
      </w:r>
      <w:r>
        <w:rPr>
          <w:sz w:val="24"/>
          <w:vertAlign w:val="superscript"/>
        </w:rPr>
        <w:t>3</w:t>
      </w:r>
      <w:r>
        <w:rPr>
          <w:sz w:val="24"/>
        </w:rPr>
        <w:t>/d</w:t>
      </w:r>
      <w:r>
        <w:rPr>
          <w:rFonts w:hAnsi="宋体"/>
          <w:sz w:val="24"/>
        </w:rPr>
        <w:t>，采用</w:t>
      </w:r>
      <w:r>
        <w:rPr>
          <w:sz w:val="24"/>
        </w:rPr>
        <w:t>“</w:t>
      </w:r>
      <w:r>
        <w:rPr>
          <w:rFonts w:hAnsi="宋体"/>
          <w:sz w:val="24"/>
        </w:rPr>
        <w:t>水解酸化＋卡鲁塞尔氧化沟</w:t>
      </w:r>
      <w:r>
        <w:rPr>
          <w:sz w:val="24"/>
        </w:rPr>
        <w:t>”</w:t>
      </w:r>
      <w:r>
        <w:rPr>
          <w:rFonts w:hAnsi="宋体"/>
          <w:sz w:val="24"/>
        </w:rPr>
        <w:t>的处理工艺。根据北控污水处理厂原环评报告，其废水排放执行《污水综合排放标准》</w:t>
      </w:r>
      <w:r>
        <w:rPr>
          <w:sz w:val="24"/>
        </w:rPr>
        <w:t>(GB8978-1996)</w:t>
      </w:r>
      <w:r>
        <w:rPr>
          <w:rFonts w:hAnsi="宋体"/>
          <w:sz w:val="24"/>
        </w:rPr>
        <w:t>一级标准，经处理后的园区废水排入长江陆城段。临湘市环境监测站于</w:t>
      </w:r>
      <w:r>
        <w:rPr>
          <w:sz w:val="24"/>
        </w:rPr>
        <w:t>2015</w:t>
      </w:r>
      <w:r>
        <w:rPr>
          <w:rFonts w:hAnsi="宋体"/>
          <w:sz w:val="24"/>
        </w:rPr>
        <w:t>年</w:t>
      </w:r>
      <w:r>
        <w:rPr>
          <w:sz w:val="24"/>
        </w:rPr>
        <w:t>1</w:t>
      </w:r>
      <w:r>
        <w:rPr>
          <w:rFonts w:hAnsi="宋体"/>
          <w:sz w:val="24"/>
        </w:rPr>
        <w:t>月对北控污水处理厂的排放废水进行了监测，其监测结果见下表。</w:t>
      </w:r>
    </w:p>
    <w:p w:rsidR="00475650" w:rsidRDefault="00475650">
      <w:pPr>
        <w:autoSpaceDE w:val="0"/>
        <w:autoSpaceDN w:val="0"/>
        <w:adjustRightInd w:val="0"/>
        <w:jc w:val="center"/>
        <w:rPr>
          <w:b/>
          <w:sz w:val="24"/>
        </w:rPr>
      </w:pPr>
      <w:r>
        <w:rPr>
          <w:rFonts w:hAnsi="宋体"/>
          <w:b/>
          <w:sz w:val="24"/>
        </w:rPr>
        <w:t>表</w:t>
      </w:r>
      <w:r>
        <w:rPr>
          <w:b/>
          <w:sz w:val="24"/>
        </w:rPr>
        <w:t xml:space="preserve">2.3-1   </w:t>
      </w:r>
      <w:r>
        <w:rPr>
          <w:rFonts w:hAnsi="宋体"/>
          <w:b/>
          <w:sz w:val="24"/>
        </w:rPr>
        <w:t>北控污水处理厂排水水质监测一览表</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1101"/>
        <w:gridCol w:w="2047"/>
        <w:gridCol w:w="2047"/>
        <w:gridCol w:w="2047"/>
        <w:gridCol w:w="2045"/>
      </w:tblGrid>
      <w:tr w:rsidR="00475650">
        <w:trPr>
          <w:trHeight w:val="340"/>
        </w:trPr>
        <w:tc>
          <w:tcPr>
            <w:tcW w:w="1101" w:type="dxa"/>
            <w:vAlign w:val="center"/>
          </w:tcPr>
          <w:p w:rsidR="00475650" w:rsidRDefault="00475650">
            <w:pPr>
              <w:autoSpaceDE w:val="0"/>
              <w:autoSpaceDN w:val="0"/>
              <w:adjustRightInd w:val="0"/>
              <w:jc w:val="center"/>
              <w:rPr>
                <w:szCs w:val="21"/>
              </w:rPr>
            </w:pPr>
            <w:r>
              <w:rPr>
                <w:rFonts w:hAnsi="宋体"/>
                <w:szCs w:val="21"/>
              </w:rPr>
              <w:t>序号</w:t>
            </w:r>
          </w:p>
        </w:tc>
        <w:tc>
          <w:tcPr>
            <w:tcW w:w="2047" w:type="dxa"/>
            <w:vAlign w:val="center"/>
          </w:tcPr>
          <w:p w:rsidR="00475650" w:rsidRDefault="00475650">
            <w:pPr>
              <w:autoSpaceDE w:val="0"/>
              <w:autoSpaceDN w:val="0"/>
              <w:adjustRightInd w:val="0"/>
              <w:jc w:val="center"/>
              <w:rPr>
                <w:szCs w:val="21"/>
              </w:rPr>
            </w:pPr>
            <w:r>
              <w:rPr>
                <w:rFonts w:hAnsi="宋体"/>
                <w:szCs w:val="21"/>
              </w:rPr>
              <w:t>监测因子（</w:t>
            </w:r>
            <w:r>
              <w:rPr>
                <w:szCs w:val="21"/>
              </w:rPr>
              <w:t>mg/L</w:t>
            </w:r>
            <w:r>
              <w:rPr>
                <w:rFonts w:hAnsi="宋体"/>
                <w:szCs w:val="21"/>
              </w:rPr>
              <w:t>）</w:t>
            </w:r>
          </w:p>
        </w:tc>
        <w:tc>
          <w:tcPr>
            <w:tcW w:w="2047" w:type="dxa"/>
            <w:vAlign w:val="center"/>
          </w:tcPr>
          <w:p w:rsidR="00475650" w:rsidRDefault="00475650">
            <w:pPr>
              <w:autoSpaceDE w:val="0"/>
              <w:autoSpaceDN w:val="0"/>
              <w:adjustRightInd w:val="0"/>
              <w:jc w:val="center"/>
              <w:rPr>
                <w:szCs w:val="21"/>
              </w:rPr>
            </w:pPr>
            <w:r>
              <w:rPr>
                <w:rFonts w:hAnsi="宋体"/>
                <w:szCs w:val="21"/>
              </w:rPr>
              <w:t>监测结果（</w:t>
            </w:r>
            <w:r>
              <w:rPr>
                <w:szCs w:val="21"/>
              </w:rPr>
              <w:t>mg/L</w:t>
            </w:r>
            <w:r>
              <w:rPr>
                <w:rFonts w:hAnsi="宋体"/>
                <w:szCs w:val="21"/>
              </w:rPr>
              <w:t>）</w:t>
            </w:r>
          </w:p>
        </w:tc>
        <w:tc>
          <w:tcPr>
            <w:tcW w:w="2047" w:type="dxa"/>
            <w:vAlign w:val="center"/>
          </w:tcPr>
          <w:p w:rsidR="00475650" w:rsidRDefault="00475650">
            <w:pPr>
              <w:autoSpaceDE w:val="0"/>
              <w:autoSpaceDN w:val="0"/>
              <w:adjustRightInd w:val="0"/>
              <w:jc w:val="center"/>
              <w:rPr>
                <w:szCs w:val="21"/>
              </w:rPr>
            </w:pPr>
            <w:r>
              <w:rPr>
                <w:rFonts w:hAnsi="宋体"/>
                <w:szCs w:val="21"/>
              </w:rPr>
              <w:t>标准值（</w:t>
            </w:r>
            <w:r>
              <w:rPr>
                <w:szCs w:val="21"/>
              </w:rPr>
              <w:t>mg/L</w:t>
            </w:r>
            <w:r>
              <w:rPr>
                <w:rFonts w:hAnsi="宋体"/>
                <w:szCs w:val="21"/>
              </w:rPr>
              <w:t>）</w:t>
            </w:r>
          </w:p>
        </w:tc>
        <w:tc>
          <w:tcPr>
            <w:tcW w:w="2045" w:type="dxa"/>
            <w:vAlign w:val="center"/>
          </w:tcPr>
          <w:p w:rsidR="00475650" w:rsidRDefault="00475650">
            <w:pPr>
              <w:autoSpaceDE w:val="0"/>
              <w:autoSpaceDN w:val="0"/>
              <w:adjustRightInd w:val="0"/>
              <w:jc w:val="center"/>
              <w:rPr>
                <w:szCs w:val="21"/>
              </w:rPr>
            </w:pPr>
            <w:r>
              <w:rPr>
                <w:rFonts w:hAnsi="宋体"/>
                <w:szCs w:val="21"/>
              </w:rPr>
              <w:t>是否达标</w:t>
            </w:r>
          </w:p>
        </w:tc>
      </w:tr>
      <w:tr w:rsidR="00475650">
        <w:trPr>
          <w:trHeight w:val="340"/>
        </w:trPr>
        <w:tc>
          <w:tcPr>
            <w:tcW w:w="1101" w:type="dxa"/>
            <w:vAlign w:val="center"/>
          </w:tcPr>
          <w:p w:rsidR="00475650" w:rsidRDefault="00475650">
            <w:pPr>
              <w:autoSpaceDE w:val="0"/>
              <w:autoSpaceDN w:val="0"/>
              <w:adjustRightInd w:val="0"/>
              <w:jc w:val="center"/>
              <w:rPr>
                <w:szCs w:val="21"/>
              </w:rPr>
            </w:pPr>
            <w:r>
              <w:rPr>
                <w:szCs w:val="21"/>
              </w:rPr>
              <w:t>1</w:t>
            </w:r>
          </w:p>
        </w:tc>
        <w:tc>
          <w:tcPr>
            <w:tcW w:w="2047" w:type="dxa"/>
            <w:vAlign w:val="center"/>
          </w:tcPr>
          <w:p w:rsidR="00475650" w:rsidRDefault="00475650">
            <w:pPr>
              <w:autoSpaceDE w:val="0"/>
              <w:autoSpaceDN w:val="0"/>
              <w:adjustRightInd w:val="0"/>
              <w:jc w:val="center"/>
              <w:rPr>
                <w:szCs w:val="21"/>
              </w:rPr>
            </w:pPr>
            <w:r>
              <w:rPr>
                <w:bCs/>
                <w:szCs w:val="21"/>
              </w:rPr>
              <w:t>pH</w:t>
            </w:r>
          </w:p>
        </w:tc>
        <w:tc>
          <w:tcPr>
            <w:tcW w:w="2047" w:type="dxa"/>
            <w:vAlign w:val="center"/>
          </w:tcPr>
          <w:p w:rsidR="00475650" w:rsidRDefault="00475650">
            <w:pPr>
              <w:autoSpaceDE w:val="0"/>
              <w:autoSpaceDN w:val="0"/>
              <w:adjustRightInd w:val="0"/>
              <w:jc w:val="center"/>
              <w:rPr>
                <w:szCs w:val="21"/>
              </w:rPr>
            </w:pPr>
            <w:r>
              <w:rPr>
                <w:bCs/>
                <w:szCs w:val="21"/>
              </w:rPr>
              <w:t>7.47</w:t>
            </w:r>
          </w:p>
        </w:tc>
        <w:tc>
          <w:tcPr>
            <w:tcW w:w="2047" w:type="dxa"/>
            <w:vAlign w:val="center"/>
          </w:tcPr>
          <w:p w:rsidR="00475650" w:rsidRDefault="00475650">
            <w:pPr>
              <w:autoSpaceDE w:val="0"/>
              <w:autoSpaceDN w:val="0"/>
              <w:adjustRightInd w:val="0"/>
              <w:jc w:val="center"/>
              <w:rPr>
                <w:szCs w:val="21"/>
              </w:rPr>
            </w:pPr>
            <w:r>
              <w:rPr>
                <w:szCs w:val="21"/>
              </w:rPr>
              <w:t>6~9</w:t>
            </w:r>
          </w:p>
        </w:tc>
        <w:tc>
          <w:tcPr>
            <w:tcW w:w="2045" w:type="dxa"/>
            <w:vAlign w:val="center"/>
          </w:tcPr>
          <w:p w:rsidR="00475650" w:rsidRDefault="00475650">
            <w:pPr>
              <w:autoSpaceDE w:val="0"/>
              <w:autoSpaceDN w:val="0"/>
              <w:adjustRightInd w:val="0"/>
              <w:jc w:val="center"/>
              <w:rPr>
                <w:szCs w:val="21"/>
              </w:rPr>
            </w:pPr>
            <w:r>
              <w:rPr>
                <w:rFonts w:hAnsi="宋体"/>
                <w:szCs w:val="21"/>
              </w:rPr>
              <w:t>是</w:t>
            </w:r>
          </w:p>
        </w:tc>
      </w:tr>
      <w:tr w:rsidR="00475650">
        <w:trPr>
          <w:trHeight w:val="340"/>
        </w:trPr>
        <w:tc>
          <w:tcPr>
            <w:tcW w:w="1101" w:type="dxa"/>
            <w:vAlign w:val="center"/>
          </w:tcPr>
          <w:p w:rsidR="00475650" w:rsidRDefault="00475650">
            <w:pPr>
              <w:autoSpaceDE w:val="0"/>
              <w:autoSpaceDN w:val="0"/>
              <w:adjustRightInd w:val="0"/>
              <w:jc w:val="center"/>
              <w:rPr>
                <w:szCs w:val="21"/>
              </w:rPr>
            </w:pPr>
            <w:r>
              <w:rPr>
                <w:szCs w:val="21"/>
              </w:rPr>
              <w:t>2</w:t>
            </w:r>
          </w:p>
        </w:tc>
        <w:tc>
          <w:tcPr>
            <w:tcW w:w="2047" w:type="dxa"/>
            <w:vAlign w:val="center"/>
          </w:tcPr>
          <w:p w:rsidR="00475650" w:rsidRDefault="00475650">
            <w:pPr>
              <w:autoSpaceDE w:val="0"/>
              <w:autoSpaceDN w:val="0"/>
              <w:adjustRightInd w:val="0"/>
              <w:jc w:val="center"/>
              <w:rPr>
                <w:szCs w:val="21"/>
              </w:rPr>
            </w:pPr>
            <w:r>
              <w:rPr>
                <w:bCs/>
                <w:szCs w:val="21"/>
              </w:rPr>
              <w:t>COD</w:t>
            </w:r>
          </w:p>
        </w:tc>
        <w:tc>
          <w:tcPr>
            <w:tcW w:w="2047" w:type="dxa"/>
            <w:vAlign w:val="center"/>
          </w:tcPr>
          <w:p w:rsidR="00475650" w:rsidRDefault="00475650">
            <w:pPr>
              <w:autoSpaceDE w:val="0"/>
              <w:autoSpaceDN w:val="0"/>
              <w:adjustRightInd w:val="0"/>
              <w:jc w:val="center"/>
              <w:rPr>
                <w:szCs w:val="21"/>
              </w:rPr>
            </w:pPr>
            <w:r>
              <w:rPr>
                <w:bCs/>
                <w:szCs w:val="21"/>
              </w:rPr>
              <w:t>65.9</w:t>
            </w:r>
          </w:p>
        </w:tc>
        <w:tc>
          <w:tcPr>
            <w:tcW w:w="2047" w:type="dxa"/>
            <w:vAlign w:val="center"/>
          </w:tcPr>
          <w:p w:rsidR="00475650" w:rsidRDefault="00475650">
            <w:pPr>
              <w:autoSpaceDE w:val="0"/>
              <w:autoSpaceDN w:val="0"/>
              <w:adjustRightInd w:val="0"/>
              <w:jc w:val="center"/>
              <w:rPr>
                <w:szCs w:val="21"/>
              </w:rPr>
            </w:pPr>
            <w:r>
              <w:rPr>
                <w:szCs w:val="21"/>
              </w:rPr>
              <w:t>100</w:t>
            </w:r>
          </w:p>
        </w:tc>
        <w:tc>
          <w:tcPr>
            <w:tcW w:w="2045" w:type="dxa"/>
            <w:vAlign w:val="center"/>
          </w:tcPr>
          <w:p w:rsidR="00475650" w:rsidRDefault="00475650">
            <w:pPr>
              <w:autoSpaceDE w:val="0"/>
              <w:autoSpaceDN w:val="0"/>
              <w:adjustRightInd w:val="0"/>
              <w:jc w:val="center"/>
              <w:rPr>
                <w:szCs w:val="21"/>
              </w:rPr>
            </w:pPr>
            <w:r>
              <w:rPr>
                <w:rFonts w:hAnsi="宋体"/>
                <w:szCs w:val="21"/>
              </w:rPr>
              <w:t>是</w:t>
            </w:r>
          </w:p>
        </w:tc>
      </w:tr>
      <w:tr w:rsidR="00475650">
        <w:trPr>
          <w:trHeight w:val="340"/>
        </w:trPr>
        <w:tc>
          <w:tcPr>
            <w:tcW w:w="1101" w:type="dxa"/>
            <w:vAlign w:val="center"/>
          </w:tcPr>
          <w:p w:rsidR="00475650" w:rsidRDefault="00475650">
            <w:pPr>
              <w:autoSpaceDE w:val="0"/>
              <w:autoSpaceDN w:val="0"/>
              <w:adjustRightInd w:val="0"/>
              <w:jc w:val="center"/>
              <w:rPr>
                <w:szCs w:val="21"/>
              </w:rPr>
            </w:pPr>
            <w:r>
              <w:rPr>
                <w:szCs w:val="21"/>
              </w:rPr>
              <w:t>3</w:t>
            </w:r>
          </w:p>
        </w:tc>
        <w:tc>
          <w:tcPr>
            <w:tcW w:w="2047" w:type="dxa"/>
            <w:vAlign w:val="center"/>
          </w:tcPr>
          <w:p w:rsidR="00475650" w:rsidRDefault="00475650">
            <w:pPr>
              <w:autoSpaceDE w:val="0"/>
              <w:autoSpaceDN w:val="0"/>
              <w:adjustRightInd w:val="0"/>
              <w:jc w:val="center"/>
              <w:rPr>
                <w:szCs w:val="21"/>
              </w:rPr>
            </w:pPr>
            <w:r>
              <w:rPr>
                <w:szCs w:val="21"/>
              </w:rPr>
              <w:t>SS</w:t>
            </w:r>
          </w:p>
        </w:tc>
        <w:tc>
          <w:tcPr>
            <w:tcW w:w="2047" w:type="dxa"/>
            <w:vAlign w:val="center"/>
          </w:tcPr>
          <w:p w:rsidR="00475650" w:rsidRDefault="00475650">
            <w:pPr>
              <w:autoSpaceDE w:val="0"/>
              <w:autoSpaceDN w:val="0"/>
              <w:adjustRightInd w:val="0"/>
              <w:jc w:val="center"/>
              <w:rPr>
                <w:szCs w:val="21"/>
              </w:rPr>
            </w:pPr>
            <w:r>
              <w:rPr>
                <w:bCs/>
                <w:szCs w:val="21"/>
              </w:rPr>
              <w:t>19</w:t>
            </w:r>
          </w:p>
        </w:tc>
        <w:tc>
          <w:tcPr>
            <w:tcW w:w="2047" w:type="dxa"/>
            <w:vAlign w:val="center"/>
          </w:tcPr>
          <w:p w:rsidR="00475650" w:rsidRDefault="00475650">
            <w:pPr>
              <w:autoSpaceDE w:val="0"/>
              <w:autoSpaceDN w:val="0"/>
              <w:adjustRightInd w:val="0"/>
              <w:jc w:val="center"/>
              <w:rPr>
                <w:szCs w:val="21"/>
              </w:rPr>
            </w:pPr>
            <w:r>
              <w:rPr>
                <w:szCs w:val="21"/>
              </w:rPr>
              <w:t>20</w:t>
            </w:r>
          </w:p>
        </w:tc>
        <w:tc>
          <w:tcPr>
            <w:tcW w:w="2045" w:type="dxa"/>
            <w:vAlign w:val="center"/>
          </w:tcPr>
          <w:p w:rsidR="00475650" w:rsidRDefault="00475650">
            <w:pPr>
              <w:autoSpaceDE w:val="0"/>
              <w:autoSpaceDN w:val="0"/>
              <w:adjustRightInd w:val="0"/>
              <w:jc w:val="center"/>
              <w:rPr>
                <w:szCs w:val="21"/>
              </w:rPr>
            </w:pPr>
            <w:r>
              <w:rPr>
                <w:rFonts w:hAnsi="宋体"/>
                <w:szCs w:val="21"/>
              </w:rPr>
              <w:t>是</w:t>
            </w:r>
          </w:p>
        </w:tc>
      </w:tr>
      <w:tr w:rsidR="00475650">
        <w:trPr>
          <w:trHeight w:val="340"/>
        </w:trPr>
        <w:tc>
          <w:tcPr>
            <w:tcW w:w="1101" w:type="dxa"/>
            <w:vAlign w:val="center"/>
          </w:tcPr>
          <w:p w:rsidR="00475650" w:rsidRDefault="00475650">
            <w:pPr>
              <w:autoSpaceDE w:val="0"/>
              <w:autoSpaceDN w:val="0"/>
              <w:adjustRightInd w:val="0"/>
              <w:jc w:val="center"/>
              <w:rPr>
                <w:szCs w:val="21"/>
              </w:rPr>
            </w:pPr>
            <w:r>
              <w:rPr>
                <w:szCs w:val="21"/>
              </w:rPr>
              <w:t>4</w:t>
            </w:r>
          </w:p>
        </w:tc>
        <w:tc>
          <w:tcPr>
            <w:tcW w:w="2047" w:type="dxa"/>
            <w:vAlign w:val="center"/>
          </w:tcPr>
          <w:p w:rsidR="00475650" w:rsidRDefault="00475650">
            <w:pPr>
              <w:autoSpaceDE w:val="0"/>
              <w:autoSpaceDN w:val="0"/>
              <w:adjustRightInd w:val="0"/>
              <w:jc w:val="center"/>
              <w:rPr>
                <w:szCs w:val="21"/>
              </w:rPr>
            </w:pPr>
            <w:r>
              <w:rPr>
                <w:rFonts w:hAnsi="宋体"/>
                <w:szCs w:val="21"/>
              </w:rPr>
              <w:t>色度</w:t>
            </w:r>
          </w:p>
        </w:tc>
        <w:tc>
          <w:tcPr>
            <w:tcW w:w="2047" w:type="dxa"/>
            <w:vAlign w:val="center"/>
          </w:tcPr>
          <w:p w:rsidR="00475650" w:rsidRDefault="00475650">
            <w:pPr>
              <w:autoSpaceDE w:val="0"/>
              <w:autoSpaceDN w:val="0"/>
              <w:adjustRightInd w:val="0"/>
              <w:jc w:val="center"/>
              <w:rPr>
                <w:szCs w:val="21"/>
              </w:rPr>
            </w:pPr>
            <w:r>
              <w:rPr>
                <w:bCs/>
                <w:szCs w:val="21"/>
              </w:rPr>
              <w:t>8</w:t>
            </w:r>
          </w:p>
        </w:tc>
        <w:tc>
          <w:tcPr>
            <w:tcW w:w="2047" w:type="dxa"/>
            <w:vAlign w:val="center"/>
          </w:tcPr>
          <w:p w:rsidR="00475650" w:rsidRDefault="00475650">
            <w:pPr>
              <w:autoSpaceDE w:val="0"/>
              <w:autoSpaceDN w:val="0"/>
              <w:adjustRightInd w:val="0"/>
              <w:jc w:val="center"/>
              <w:rPr>
                <w:szCs w:val="21"/>
              </w:rPr>
            </w:pPr>
            <w:r>
              <w:rPr>
                <w:szCs w:val="21"/>
              </w:rPr>
              <w:t>50</w:t>
            </w:r>
          </w:p>
        </w:tc>
        <w:tc>
          <w:tcPr>
            <w:tcW w:w="2045" w:type="dxa"/>
            <w:vAlign w:val="center"/>
          </w:tcPr>
          <w:p w:rsidR="00475650" w:rsidRDefault="00475650">
            <w:pPr>
              <w:autoSpaceDE w:val="0"/>
              <w:autoSpaceDN w:val="0"/>
              <w:adjustRightInd w:val="0"/>
              <w:jc w:val="center"/>
              <w:rPr>
                <w:szCs w:val="21"/>
              </w:rPr>
            </w:pPr>
            <w:r>
              <w:rPr>
                <w:rFonts w:hAnsi="宋体"/>
                <w:szCs w:val="21"/>
              </w:rPr>
              <w:t>是</w:t>
            </w:r>
          </w:p>
        </w:tc>
      </w:tr>
      <w:tr w:rsidR="00475650">
        <w:trPr>
          <w:trHeight w:val="340"/>
        </w:trPr>
        <w:tc>
          <w:tcPr>
            <w:tcW w:w="1101" w:type="dxa"/>
            <w:vAlign w:val="center"/>
          </w:tcPr>
          <w:p w:rsidR="00475650" w:rsidRDefault="00475650">
            <w:pPr>
              <w:autoSpaceDE w:val="0"/>
              <w:autoSpaceDN w:val="0"/>
              <w:adjustRightInd w:val="0"/>
              <w:jc w:val="center"/>
              <w:rPr>
                <w:szCs w:val="21"/>
              </w:rPr>
            </w:pPr>
            <w:r>
              <w:rPr>
                <w:szCs w:val="21"/>
              </w:rPr>
              <w:t>5</w:t>
            </w:r>
          </w:p>
        </w:tc>
        <w:tc>
          <w:tcPr>
            <w:tcW w:w="2047" w:type="dxa"/>
            <w:vAlign w:val="center"/>
          </w:tcPr>
          <w:p w:rsidR="00475650" w:rsidRDefault="00475650">
            <w:pPr>
              <w:autoSpaceDE w:val="0"/>
              <w:autoSpaceDN w:val="0"/>
              <w:adjustRightInd w:val="0"/>
              <w:jc w:val="center"/>
              <w:rPr>
                <w:szCs w:val="21"/>
              </w:rPr>
            </w:pPr>
            <w:r>
              <w:rPr>
                <w:rFonts w:hAnsi="宋体"/>
                <w:szCs w:val="21"/>
              </w:rPr>
              <w:t>总磷</w:t>
            </w:r>
          </w:p>
        </w:tc>
        <w:tc>
          <w:tcPr>
            <w:tcW w:w="2047" w:type="dxa"/>
            <w:vAlign w:val="center"/>
          </w:tcPr>
          <w:p w:rsidR="00475650" w:rsidRDefault="00475650">
            <w:pPr>
              <w:autoSpaceDE w:val="0"/>
              <w:autoSpaceDN w:val="0"/>
              <w:adjustRightInd w:val="0"/>
              <w:jc w:val="center"/>
              <w:rPr>
                <w:szCs w:val="21"/>
              </w:rPr>
            </w:pPr>
            <w:r>
              <w:rPr>
                <w:bCs/>
                <w:szCs w:val="21"/>
              </w:rPr>
              <w:t>0.13</w:t>
            </w:r>
          </w:p>
        </w:tc>
        <w:tc>
          <w:tcPr>
            <w:tcW w:w="2047" w:type="dxa"/>
            <w:vAlign w:val="center"/>
          </w:tcPr>
          <w:p w:rsidR="00475650" w:rsidRDefault="00475650">
            <w:pPr>
              <w:autoSpaceDE w:val="0"/>
              <w:autoSpaceDN w:val="0"/>
              <w:adjustRightInd w:val="0"/>
              <w:jc w:val="center"/>
              <w:rPr>
                <w:szCs w:val="21"/>
              </w:rPr>
            </w:pPr>
            <w:r>
              <w:rPr>
                <w:szCs w:val="21"/>
              </w:rPr>
              <w:t>--</w:t>
            </w:r>
          </w:p>
        </w:tc>
        <w:tc>
          <w:tcPr>
            <w:tcW w:w="2045" w:type="dxa"/>
            <w:vAlign w:val="center"/>
          </w:tcPr>
          <w:p w:rsidR="00475650" w:rsidRDefault="00475650">
            <w:pPr>
              <w:autoSpaceDE w:val="0"/>
              <w:autoSpaceDN w:val="0"/>
              <w:adjustRightInd w:val="0"/>
              <w:jc w:val="center"/>
              <w:rPr>
                <w:szCs w:val="21"/>
              </w:rPr>
            </w:pPr>
            <w:r>
              <w:rPr>
                <w:rFonts w:hAnsi="宋体"/>
                <w:szCs w:val="21"/>
              </w:rPr>
              <w:t>是</w:t>
            </w:r>
          </w:p>
        </w:tc>
      </w:tr>
      <w:tr w:rsidR="00475650">
        <w:trPr>
          <w:trHeight w:val="340"/>
        </w:trPr>
        <w:tc>
          <w:tcPr>
            <w:tcW w:w="1101" w:type="dxa"/>
            <w:vAlign w:val="center"/>
          </w:tcPr>
          <w:p w:rsidR="00475650" w:rsidRDefault="00475650">
            <w:pPr>
              <w:autoSpaceDE w:val="0"/>
              <w:autoSpaceDN w:val="0"/>
              <w:adjustRightInd w:val="0"/>
              <w:jc w:val="center"/>
              <w:rPr>
                <w:szCs w:val="21"/>
              </w:rPr>
            </w:pPr>
            <w:r>
              <w:rPr>
                <w:szCs w:val="21"/>
              </w:rPr>
              <w:t>6</w:t>
            </w:r>
          </w:p>
        </w:tc>
        <w:tc>
          <w:tcPr>
            <w:tcW w:w="2047" w:type="dxa"/>
            <w:vAlign w:val="center"/>
          </w:tcPr>
          <w:p w:rsidR="00475650" w:rsidRDefault="00475650">
            <w:pPr>
              <w:autoSpaceDE w:val="0"/>
              <w:autoSpaceDN w:val="0"/>
              <w:adjustRightInd w:val="0"/>
              <w:jc w:val="center"/>
              <w:rPr>
                <w:szCs w:val="21"/>
              </w:rPr>
            </w:pPr>
            <w:r>
              <w:rPr>
                <w:rFonts w:hAnsi="宋体"/>
                <w:szCs w:val="21"/>
              </w:rPr>
              <w:t>挥发酚</w:t>
            </w:r>
          </w:p>
        </w:tc>
        <w:tc>
          <w:tcPr>
            <w:tcW w:w="2047" w:type="dxa"/>
            <w:vAlign w:val="center"/>
          </w:tcPr>
          <w:p w:rsidR="00475650" w:rsidRDefault="00475650">
            <w:pPr>
              <w:autoSpaceDE w:val="0"/>
              <w:autoSpaceDN w:val="0"/>
              <w:adjustRightInd w:val="0"/>
              <w:jc w:val="center"/>
              <w:rPr>
                <w:szCs w:val="21"/>
              </w:rPr>
            </w:pPr>
            <w:r>
              <w:rPr>
                <w:bCs/>
                <w:szCs w:val="21"/>
              </w:rPr>
              <w:t>0.08</w:t>
            </w:r>
          </w:p>
        </w:tc>
        <w:tc>
          <w:tcPr>
            <w:tcW w:w="2047" w:type="dxa"/>
            <w:vAlign w:val="center"/>
          </w:tcPr>
          <w:p w:rsidR="00475650" w:rsidRDefault="00475650">
            <w:pPr>
              <w:autoSpaceDE w:val="0"/>
              <w:autoSpaceDN w:val="0"/>
              <w:adjustRightInd w:val="0"/>
              <w:jc w:val="center"/>
              <w:rPr>
                <w:szCs w:val="21"/>
              </w:rPr>
            </w:pPr>
            <w:r>
              <w:rPr>
                <w:szCs w:val="21"/>
              </w:rPr>
              <w:t>0.5</w:t>
            </w:r>
          </w:p>
        </w:tc>
        <w:tc>
          <w:tcPr>
            <w:tcW w:w="2045" w:type="dxa"/>
            <w:vAlign w:val="center"/>
          </w:tcPr>
          <w:p w:rsidR="00475650" w:rsidRDefault="00475650">
            <w:pPr>
              <w:autoSpaceDE w:val="0"/>
              <w:autoSpaceDN w:val="0"/>
              <w:adjustRightInd w:val="0"/>
              <w:jc w:val="center"/>
              <w:rPr>
                <w:szCs w:val="21"/>
              </w:rPr>
            </w:pPr>
            <w:r>
              <w:rPr>
                <w:rFonts w:hAnsi="宋体"/>
                <w:szCs w:val="21"/>
              </w:rPr>
              <w:t>是</w:t>
            </w:r>
          </w:p>
        </w:tc>
      </w:tr>
      <w:tr w:rsidR="00475650">
        <w:trPr>
          <w:trHeight w:val="340"/>
        </w:trPr>
        <w:tc>
          <w:tcPr>
            <w:tcW w:w="1101" w:type="dxa"/>
            <w:vAlign w:val="center"/>
          </w:tcPr>
          <w:p w:rsidR="00475650" w:rsidRDefault="00475650">
            <w:pPr>
              <w:autoSpaceDE w:val="0"/>
              <w:autoSpaceDN w:val="0"/>
              <w:adjustRightInd w:val="0"/>
              <w:jc w:val="center"/>
              <w:rPr>
                <w:szCs w:val="21"/>
              </w:rPr>
            </w:pPr>
            <w:r>
              <w:rPr>
                <w:szCs w:val="21"/>
              </w:rPr>
              <w:t>7</w:t>
            </w:r>
          </w:p>
        </w:tc>
        <w:tc>
          <w:tcPr>
            <w:tcW w:w="2047" w:type="dxa"/>
            <w:vAlign w:val="center"/>
          </w:tcPr>
          <w:p w:rsidR="00475650" w:rsidRDefault="00475650">
            <w:pPr>
              <w:autoSpaceDE w:val="0"/>
              <w:autoSpaceDN w:val="0"/>
              <w:adjustRightInd w:val="0"/>
              <w:jc w:val="center"/>
              <w:rPr>
                <w:szCs w:val="21"/>
              </w:rPr>
            </w:pPr>
            <w:r>
              <w:rPr>
                <w:rFonts w:hAnsi="宋体"/>
                <w:bCs/>
                <w:szCs w:val="21"/>
              </w:rPr>
              <w:t>氨氮</w:t>
            </w:r>
          </w:p>
        </w:tc>
        <w:tc>
          <w:tcPr>
            <w:tcW w:w="2047" w:type="dxa"/>
            <w:vAlign w:val="center"/>
          </w:tcPr>
          <w:p w:rsidR="00475650" w:rsidRDefault="00475650">
            <w:pPr>
              <w:autoSpaceDE w:val="0"/>
              <w:autoSpaceDN w:val="0"/>
              <w:adjustRightInd w:val="0"/>
              <w:jc w:val="center"/>
              <w:rPr>
                <w:szCs w:val="21"/>
              </w:rPr>
            </w:pPr>
            <w:r>
              <w:rPr>
                <w:bCs/>
                <w:szCs w:val="21"/>
              </w:rPr>
              <w:t>10.19</w:t>
            </w:r>
          </w:p>
        </w:tc>
        <w:tc>
          <w:tcPr>
            <w:tcW w:w="2047" w:type="dxa"/>
            <w:vAlign w:val="center"/>
          </w:tcPr>
          <w:p w:rsidR="00475650" w:rsidRDefault="00475650">
            <w:pPr>
              <w:autoSpaceDE w:val="0"/>
              <w:autoSpaceDN w:val="0"/>
              <w:adjustRightInd w:val="0"/>
              <w:jc w:val="center"/>
              <w:rPr>
                <w:szCs w:val="21"/>
              </w:rPr>
            </w:pPr>
            <w:r>
              <w:rPr>
                <w:szCs w:val="21"/>
              </w:rPr>
              <w:t>15</w:t>
            </w:r>
          </w:p>
        </w:tc>
        <w:tc>
          <w:tcPr>
            <w:tcW w:w="2045" w:type="dxa"/>
            <w:vAlign w:val="center"/>
          </w:tcPr>
          <w:p w:rsidR="00475650" w:rsidRDefault="00475650">
            <w:pPr>
              <w:autoSpaceDE w:val="0"/>
              <w:autoSpaceDN w:val="0"/>
              <w:adjustRightInd w:val="0"/>
              <w:jc w:val="center"/>
              <w:rPr>
                <w:szCs w:val="21"/>
              </w:rPr>
            </w:pPr>
            <w:r>
              <w:rPr>
                <w:rFonts w:hAnsi="宋体"/>
                <w:szCs w:val="21"/>
              </w:rPr>
              <w:t>是</w:t>
            </w:r>
          </w:p>
        </w:tc>
      </w:tr>
      <w:tr w:rsidR="00475650">
        <w:trPr>
          <w:trHeight w:val="340"/>
        </w:trPr>
        <w:tc>
          <w:tcPr>
            <w:tcW w:w="1101" w:type="dxa"/>
            <w:vAlign w:val="center"/>
          </w:tcPr>
          <w:p w:rsidR="00475650" w:rsidRDefault="00475650">
            <w:pPr>
              <w:autoSpaceDE w:val="0"/>
              <w:autoSpaceDN w:val="0"/>
              <w:adjustRightInd w:val="0"/>
              <w:jc w:val="center"/>
              <w:rPr>
                <w:szCs w:val="21"/>
              </w:rPr>
            </w:pPr>
            <w:r>
              <w:rPr>
                <w:szCs w:val="21"/>
              </w:rPr>
              <w:t>8</w:t>
            </w:r>
          </w:p>
        </w:tc>
        <w:tc>
          <w:tcPr>
            <w:tcW w:w="2047" w:type="dxa"/>
            <w:vAlign w:val="center"/>
          </w:tcPr>
          <w:p w:rsidR="00475650" w:rsidRDefault="00475650">
            <w:pPr>
              <w:autoSpaceDE w:val="0"/>
              <w:autoSpaceDN w:val="0"/>
              <w:adjustRightInd w:val="0"/>
              <w:jc w:val="center"/>
              <w:rPr>
                <w:szCs w:val="21"/>
              </w:rPr>
            </w:pPr>
            <w:r>
              <w:rPr>
                <w:rFonts w:hAnsi="宋体"/>
                <w:szCs w:val="21"/>
              </w:rPr>
              <w:t>氰化物</w:t>
            </w:r>
          </w:p>
        </w:tc>
        <w:tc>
          <w:tcPr>
            <w:tcW w:w="2047" w:type="dxa"/>
            <w:vAlign w:val="center"/>
          </w:tcPr>
          <w:p w:rsidR="00475650" w:rsidRDefault="00475650">
            <w:pPr>
              <w:autoSpaceDE w:val="0"/>
              <w:autoSpaceDN w:val="0"/>
              <w:adjustRightInd w:val="0"/>
              <w:jc w:val="center"/>
              <w:rPr>
                <w:szCs w:val="21"/>
              </w:rPr>
            </w:pPr>
            <w:r>
              <w:rPr>
                <w:bCs/>
                <w:szCs w:val="21"/>
              </w:rPr>
              <w:t>0.004ND</w:t>
            </w:r>
          </w:p>
        </w:tc>
        <w:tc>
          <w:tcPr>
            <w:tcW w:w="2047" w:type="dxa"/>
            <w:vAlign w:val="center"/>
          </w:tcPr>
          <w:p w:rsidR="00475650" w:rsidRDefault="00475650">
            <w:pPr>
              <w:autoSpaceDE w:val="0"/>
              <w:autoSpaceDN w:val="0"/>
              <w:adjustRightInd w:val="0"/>
              <w:jc w:val="center"/>
              <w:rPr>
                <w:szCs w:val="21"/>
              </w:rPr>
            </w:pPr>
            <w:r>
              <w:rPr>
                <w:szCs w:val="21"/>
              </w:rPr>
              <w:t>0.5</w:t>
            </w:r>
          </w:p>
        </w:tc>
        <w:tc>
          <w:tcPr>
            <w:tcW w:w="2045" w:type="dxa"/>
            <w:vAlign w:val="center"/>
          </w:tcPr>
          <w:p w:rsidR="00475650" w:rsidRDefault="00475650">
            <w:pPr>
              <w:autoSpaceDE w:val="0"/>
              <w:autoSpaceDN w:val="0"/>
              <w:adjustRightInd w:val="0"/>
              <w:jc w:val="center"/>
              <w:rPr>
                <w:szCs w:val="21"/>
              </w:rPr>
            </w:pPr>
            <w:r>
              <w:rPr>
                <w:rFonts w:hAnsi="宋体"/>
                <w:szCs w:val="21"/>
              </w:rPr>
              <w:t>是</w:t>
            </w:r>
          </w:p>
        </w:tc>
      </w:tr>
    </w:tbl>
    <w:p w:rsidR="00475650" w:rsidRDefault="00475650">
      <w:pPr>
        <w:autoSpaceDE w:val="0"/>
        <w:autoSpaceDN w:val="0"/>
        <w:adjustRightInd w:val="0"/>
        <w:ind w:firstLineChars="200" w:firstLine="420"/>
        <w:rPr>
          <w:szCs w:val="21"/>
        </w:rPr>
      </w:pPr>
      <w:r>
        <w:rPr>
          <w:rFonts w:hAnsi="宋体"/>
          <w:szCs w:val="21"/>
        </w:rPr>
        <w:t>注：</w:t>
      </w:r>
      <w:r>
        <w:rPr>
          <w:szCs w:val="21"/>
        </w:rPr>
        <w:t>ND</w:t>
      </w:r>
      <w:r>
        <w:rPr>
          <w:rFonts w:hAnsi="宋体"/>
          <w:szCs w:val="21"/>
        </w:rPr>
        <w:t>达标未检出</w:t>
      </w:r>
    </w:p>
    <w:p w:rsidR="00475650" w:rsidRDefault="00475650">
      <w:pPr>
        <w:spacing w:line="360" w:lineRule="auto"/>
        <w:ind w:firstLineChars="200" w:firstLine="480"/>
        <w:rPr>
          <w:sz w:val="24"/>
        </w:rPr>
      </w:pPr>
    </w:p>
    <w:p w:rsidR="00475650" w:rsidRDefault="00475650">
      <w:pPr>
        <w:spacing w:line="360" w:lineRule="auto"/>
        <w:ind w:firstLineChars="200" w:firstLine="480"/>
        <w:rPr>
          <w:sz w:val="24"/>
        </w:rPr>
      </w:pPr>
      <w:r>
        <w:rPr>
          <w:rFonts w:hAnsi="宋体"/>
          <w:sz w:val="24"/>
        </w:rPr>
        <w:t>产业区内雨水管按重力自流管建设，管道走向与道路坡度方向一致，直接排入洋溪湖。企业内的初期雨水经各企业自行处置，清净雨水顺地势采取就近排放的原则进入周边水体。</w:t>
      </w:r>
      <w:r>
        <w:rPr>
          <w:sz w:val="24"/>
        </w:rPr>
        <w:t xml:space="preserve">    </w:t>
      </w:r>
    </w:p>
    <w:p w:rsidR="00475650" w:rsidRDefault="00475650">
      <w:pPr>
        <w:spacing w:line="360" w:lineRule="auto"/>
        <w:ind w:firstLineChars="250" w:firstLine="600"/>
        <w:rPr>
          <w:rFonts w:hAnsi="宋体"/>
          <w:sz w:val="24"/>
        </w:rPr>
      </w:pPr>
      <w:r>
        <w:rPr>
          <w:rFonts w:hAnsi="宋体" w:hint="eastAsia"/>
          <w:sz w:val="24"/>
        </w:rPr>
        <w:t>（</w:t>
      </w:r>
      <w:r>
        <w:rPr>
          <w:rFonts w:hAnsi="宋体" w:hint="eastAsia"/>
          <w:sz w:val="24"/>
        </w:rPr>
        <w:t>2</w:t>
      </w:r>
      <w:r>
        <w:rPr>
          <w:rFonts w:hAnsi="宋体" w:hint="eastAsia"/>
          <w:sz w:val="24"/>
        </w:rPr>
        <w:t>）供热</w:t>
      </w:r>
    </w:p>
    <w:p w:rsidR="00475650" w:rsidRDefault="00475650">
      <w:pPr>
        <w:spacing w:line="360" w:lineRule="auto"/>
        <w:ind w:firstLineChars="250" w:firstLine="600"/>
        <w:rPr>
          <w:rFonts w:hAnsi="宋体"/>
          <w:sz w:val="24"/>
        </w:rPr>
      </w:pPr>
      <w:r>
        <w:rPr>
          <w:rFonts w:hAnsi="宋体"/>
          <w:sz w:val="24"/>
        </w:rPr>
        <w:t>产业区内的企业生产用蒸汽均由区内的岳阳市龙正节能环保科技有限公司集中供应，目前园区内已形成</w:t>
      </w:r>
      <w:r>
        <w:rPr>
          <w:sz w:val="24"/>
        </w:rPr>
        <w:t>72</w:t>
      </w:r>
      <w:r>
        <w:rPr>
          <w:rFonts w:hAnsi="宋体"/>
          <w:sz w:val="24"/>
        </w:rPr>
        <w:t>万</w:t>
      </w:r>
      <w:r>
        <w:rPr>
          <w:sz w:val="24"/>
        </w:rPr>
        <w:t>t/a</w:t>
      </w:r>
      <w:r>
        <w:rPr>
          <w:rFonts w:hAnsi="宋体"/>
          <w:sz w:val="24"/>
        </w:rPr>
        <w:t>供汽能力，其采用煤粉</w:t>
      </w:r>
      <w:r>
        <w:rPr>
          <w:sz w:val="24"/>
        </w:rPr>
        <w:t>(</w:t>
      </w:r>
      <w:r>
        <w:rPr>
          <w:rFonts w:hAnsi="宋体"/>
          <w:sz w:val="24"/>
        </w:rPr>
        <w:t>无烟煤</w:t>
      </w:r>
      <w:r>
        <w:rPr>
          <w:sz w:val="24"/>
        </w:rPr>
        <w:t>)</w:t>
      </w:r>
      <w:r>
        <w:rPr>
          <w:rFonts w:hAnsi="宋体"/>
          <w:sz w:val="24"/>
        </w:rPr>
        <w:t>作为燃料，供汽时间为</w:t>
      </w:r>
      <w:r>
        <w:rPr>
          <w:sz w:val="24"/>
        </w:rPr>
        <w:t>24h/d</w:t>
      </w:r>
      <w:r>
        <w:rPr>
          <w:rFonts w:hAnsi="宋体"/>
          <w:sz w:val="24"/>
        </w:rPr>
        <w:t>、</w:t>
      </w:r>
      <w:r>
        <w:rPr>
          <w:sz w:val="24"/>
        </w:rPr>
        <w:t>300d/a</w:t>
      </w:r>
      <w:r>
        <w:rPr>
          <w:rFonts w:hAnsi="宋体"/>
          <w:sz w:val="24"/>
        </w:rPr>
        <w:t>，蒸汽均通过蒸汽管道送至各企业，产业区内其他企业不再自行建设供热锅炉。目前产业区内的企业的蒸汽总消耗量为</w:t>
      </w:r>
      <w:r>
        <w:rPr>
          <w:sz w:val="24"/>
        </w:rPr>
        <w:t>12</w:t>
      </w:r>
      <w:r>
        <w:rPr>
          <w:rFonts w:hAnsi="宋体"/>
          <w:sz w:val="24"/>
        </w:rPr>
        <w:t>万</w:t>
      </w:r>
      <w:r>
        <w:rPr>
          <w:sz w:val="24"/>
        </w:rPr>
        <w:t>t/a</w:t>
      </w:r>
      <w:r>
        <w:rPr>
          <w:rFonts w:hAnsi="宋体"/>
          <w:sz w:val="24"/>
        </w:rPr>
        <w:t>，龙正节能环保的剩余蒸汽供应能力为</w:t>
      </w:r>
      <w:r>
        <w:rPr>
          <w:sz w:val="24"/>
        </w:rPr>
        <w:t>60</w:t>
      </w:r>
      <w:r>
        <w:rPr>
          <w:rFonts w:hAnsi="宋体"/>
          <w:sz w:val="24"/>
        </w:rPr>
        <w:t>万</w:t>
      </w:r>
      <w:r>
        <w:rPr>
          <w:sz w:val="24"/>
        </w:rPr>
        <w:t>t/a</w:t>
      </w:r>
      <w:r>
        <w:rPr>
          <w:rFonts w:hAnsi="宋体"/>
          <w:sz w:val="24"/>
        </w:rPr>
        <w:t>。</w:t>
      </w:r>
    </w:p>
    <w:p w:rsidR="00475650" w:rsidRDefault="00475650">
      <w:pPr>
        <w:spacing w:line="360" w:lineRule="auto"/>
        <w:ind w:firstLineChars="250" w:firstLine="600"/>
        <w:rPr>
          <w:sz w:val="24"/>
        </w:rPr>
      </w:pPr>
      <w:r>
        <w:rPr>
          <w:rFonts w:hAnsi="宋体" w:hint="eastAsia"/>
          <w:sz w:val="24"/>
        </w:rPr>
        <w:t>本项目工作时间为</w:t>
      </w:r>
      <w:r>
        <w:rPr>
          <w:rFonts w:hAnsi="宋体" w:hint="eastAsia"/>
          <w:sz w:val="24"/>
        </w:rPr>
        <w:t>300</w:t>
      </w:r>
      <w:r>
        <w:rPr>
          <w:rFonts w:hAnsi="宋体" w:hint="eastAsia"/>
          <w:sz w:val="24"/>
        </w:rPr>
        <w:t>天，与园区供热时间同步生产。</w:t>
      </w:r>
    </w:p>
    <w:p w:rsidR="00475650" w:rsidRDefault="00475650">
      <w:pPr>
        <w:spacing w:line="360" w:lineRule="auto"/>
        <w:ind w:firstLineChars="200" w:firstLine="480"/>
        <w:rPr>
          <w:sz w:val="24"/>
        </w:rPr>
      </w:pPr>
      <w:r>
        <w:rPr>
          <w:rFonts w:hAnsi="宋体"/>
          <w:sz w:val="24"/>
        </w:rPr>
        <w:t>（</w:t>
      </w:r>
      <w:r>
        <w:rPr>
          <w:rFonts w:hint="eastAsia"/>
          <w:sz w:val="24"/>
        </w:rPr>
        <w:t>3</w:t>
      </w:r>
      <w:r>
        <w:rPr>
          <w:rFonts w:hAnsi="宋体"/>
          <w:sz w:val="24"/>
        </w:rPr>
        <w:t>）供电</w:t>
      </w:r>
    </w:p>
    <w:p w:rsidR="00475650" w:rsidRDefault="00475650">
      <w:pPr>
        <w:spacing w:line="360" w:lineRule="auto"/>
        <w:ind w:firstLineChars="200" w:firstLine="480"/>
        <w:rPr>
          <w:sz w:val="24"/>
        </w:rPr>
      </w:pPr>
      <w:r>
        <w:rPr>
          <w:rFonts w:hAnsi="宋体"/>
          <w:sz w:val="24"/>
        </w:rPr>
        <w:t>根据勘查，滨江产业区附近现有的变电站为陆城变电站，位于云溪区陆城镇镇中心位置，距离园区</w:t>
      </w:r>
      <w:r>
        <w:rPr>
          <w:sz w:val="24"/>
        </w:rPr>
        <w:t>6</w:t>
      </w:r>
      <w:r>
        <w:rPr>
          <w:rFonts w:hAnsi="宋体"/>
          <w:sz w:val="24"/>
        </w:rPr>
        <w:t>公里，变电站电压</w:t>
      </w:r>
      <w:r>
        <w:rPr>
          <w:sz w:val="24"/>
        </w:rPr>
        <w:t>110KV</w:t>
      </w:r>
      <w:r>
        <w:rPr>
          <w:rFonts w:hAnsi="宋体"/>
          <w:sz w:val="24"/>
        </w:rPr>
        <w:t>，目前产业区供电电源由临湘市电网从该变电站引入</w:t>
      </w:r>
      <w:r>
        <w:rPr>
          <w:sz w:val="24"/>
        </w:rPr>
        <w:t>110kV</w:t>
      </w:r>
      <w:r>
        <w:rPr>
          <w:rFonts w:hAnsi="宋体"/>
          <w:sz w:val="24"/>
        </w:rPr>
        <w:t>电力线路作为滨江产业区主要供电电源，由于目前进驻企</w:t>
      </w:r>
      <w:r>
        <w:rPr>
          <w:rFonts w:hAnsi="宋体"/>
          <w:sz w:val="24"/>
        </w:rPr>
        <w:lastRenderedPageBreak/>
        <w:t>业较少，能满足现状需求。</w:t>
      </w:r>
    </w:p>
    <w:p w:rsidR="00475650" w:rsidRDefault="00475650">
      <w:pPr>
        <w:pStyle w:val="31"/>
        <w:snapToGrid w:val="0"/>
        <w:spacing w:before="0" w:after="0"/>
        <w:rPr>
          <w:sz w:val="24"/>
          <w:szCs w:val="24"/>
        </w:rPr>
      </w:pPr>
      <w:r>
        <w:rPr>
          <w:sz w:val="24"/>
          <w:szCs w:val="24"/>
        </w:rPr>
        <w:t>2.3.3</w:t>
      </w:r>
      <w:r>
        <w:rPr>
          <w:rFonts w:hAnsi="宋体" w:hint="eastAsia"/>
          <w:sz w:val="24"/>
          <w:szCs w:val="24"/>
        </w:rPr>
        <w:t>环境保护规划</w:t>
      </w:r>
    </w:p>
    <w:p w:rsidR="00475650" w:rsidRDefault="00475650">
      <w:pPr>
        <w:spacing w:line="360" w:lineRule="auto"/>
        <w:ind w:firstLineChars="250" w:firstLine="525"/>
        <w:rPr>
          <w:rFonts w:hAnsi="宋体"/>
          <w:sz w:val="24"/>
        </w:rPr>
      </w:pPr>
      <w:bookmarkStart w:id="387" w:name="_Toc332292982"/>
      <w:r>
        <w:rPr>
          <w:rFonts w:hint="eastAsia"/>
          <w:szCs w:val="18"/>
        </w:rPr>
        <w:t>（</w:t>
      </w:r>
      <w:r>
        <w:rPr>
          <w:rFonts w:hAnsi="宋体" w:hint="eastAsia"/>
          <w:sz w:val="24"/>
        </w:rPr>
        <w:t>1</w:t>
      </w:r>
      <w:r>
        <w:rPr>
          <w:rFonts w:hAnsi="宋体" w:hint="eastAsia"/>
          <w:sz w:val="24"/>
        </w:rPr>
        <w:t>）总体目标</w:t>
      </w:r>
    </w:p>
    <w:p w:rsidR="00475650" w:rsidRDefault="00475650">
      <w:pPr>
        <w:spacing w:line="360" w:lineRule="auto"/>
        <w:ind w:firstLineChars="250" w:firstLine="600"/>
        <w:rPr>
          <w:rFonts w:hAnsi="宋体"/>
          <w:sz w:val="24"/>
        </w:rPr>
      </w:pPr>
      <w:r>
        <w:rPr>
          <w:rFonts w:hAnsi="宋体" w:hint="eastAsia"/>
          <w:sz w:val="24"/>
        </w:rPr>
        <w:t>实施可持续发展战略，预防因规划和建设项目实施后对环境造成较大的不良影响，促进工业园区经济、社会和环境的协调发展，把工业园区建成环境优美的现代化、生态化工业区环境。</w:t>
      </w:r>
    </w:p>
    <w:p w:rsidR="00475650" w:rsidRDefault="00475650">
      <w:pPr>
        <w:spacing w:line="360" w:lineRule="auto"/>
        <w:ind w:firstLineChars="250" w:firstLine="600"/>
        <w:rPr>
          <w:rFonts w:hAnsi="宋体"/>
          <w:sz w:val="24"/>
        </w:rPr>
      </w:pPr>
      <w:r>
        <w:rPr>
          <w:rFonts w:hAnsi="宋体"/>
          <w:sz w:val="24"/>
        </w:rPr>
        <w:t>（</w:t>
      </w:r>
      <w:r>
        <w:rPr>
          <w:rFonts w:hAnsi="宋体"/>
          <w:sz w:val="24"/>
        </w:rPr>
        <w:t>2</w:t>
      </w:r>
      <w:r>
        <w:rPr>
          <w:rFonts w:hAnsi="宋体"/>
          <w:sz w:val="24"/>
        </w:rPr>
        <w:t>）分项目标</w:t>
      </w:r>
    </w:p>
    <w:p w:rsidR="00475650" w:rsidRDefault="00475650">
      <w:pPr>
        <w:spacing w:line="360" w:lineRule="auto"/>
        <w:ind w:firstLineChars="250" w:firstLine="600"/>
        <w:rPr>
          <w:rFonts w:hAnsi="宋体"/>
          <w:sz w:val="24"/>
        </w:rPr>
      </w:pPr>
      <w:r>
        <w:rPr>
          <w:rFonts w:hAnsi="宋体"/>
          <w:sz w:val="24"/>
        </w:rPr>
        <w:t>①环境空气质量：达到《环境空气质量标准》（</w:t>
      </w:r>
      <w:r>
        <w:rPr>
          <w:rFonts w:hAnsi="宋体"/>
          <w:sz w:val="24"/>
        </w:rPr>
        <w:t>GB3095-2012</w:t>
      </w:r>
      <w:r>
        <w:rPr>
          <w:rFonts w:hAnsi="宋体"/>
          <w:sz w:val="24"/>
        </w:rPr>
        <w:t>）二级标准。</w:t>
      </w:r>
    </w:p>
    <w:p w:rsidR="00475650" w:rsidRDefault="00475650">
      <w:pPr>
        <w:spacing w:line="360" w:lineRule="auto"/>
        <w:ind w:firstLineChars="250" w:firstLine="600"/>
        <w:rPr>
          <w:rFonts w:hAnsi="宋体"/>
          <w:sz w:val="24"/>
        </w:rPr>
      </w:pPr>
      <w:r>
        <w:rPr>
          <w:rFonts w:hAnsi="宋体"/>
          <w:sz w:val="24"/>
        </w:rPr>
        <w:t>②水环境质量：达到《地表水环境质量标准》（</w:t>
      </w:r>
      <w:r>
        <w:rPr>
          <w:rFonts w:hAnsi="宋体"/>
          <w:sz w:val="24"/>
        </w:rPr>
        <w:t>GB3838-2002</w:t>
      </w:r>
      <w:r>
        <w:rPr>
          <w:rFonts w:hAnsi="宋体"/>
          <w:sz w:val="24"/>
        </w:rPr>
        <w:t>）Ⅲ类标准。</w:t>
      </w:r>
    </w:p>
    <w:p w:rsidR="00475650" w:rsidRDefault="00475650">
      <w:pPr>
        <w:spacing w:line="360" w:lineRule="auto"/>
        <w:ind w:firstLineChars="250" w:firstLine="600"/>
        <w:rPr>
          <w:rFonts w:hAnsi="宋体"/>
          <w:sz w:val="24"/>
        </w:rPr>
      </w:pPr>
      <w:r>
        <w:rPr>
          <w:rFonts w:hAnsi="宋体"/>
          <w:sz w:val="24"/>
        </w:rPr>
        <w:t>③声环境质量：达到《声环境质量标准》（</w:t>
      </w:r>
      <w:r>
        <w:rPr>
          <w:rFonts w:hAnsi="宋体"/>
          <w:sz w:val="24"/>
        </w:rPr>
        <w:t>GB3096-2008</w:t>
      </w:r>
      <w:r>
        <w:rPr>
          <w:rFonts w:hAnsi="宋体"/>
          <w:sz w:val="24"/>
        </w:rPr>
        <w:t>）规定的各功能区标准。</w:t>
      </w:r>
    </w:p>
    <w:p w:rsidR="00475650" w:rsidRDefault="00475650">
      <w:pPr>
        <w:spacing w:line="360" w:lineRule="auto"/>
        <w:ind w:firstLineChars="250" w:firstLine="600"/>
        <w:rPr>
          <w:rFonts w:hAnsi="宋体"/>
          <w:sz w:val="24"/>
        </w:rPr>
      </w:pPr>
      <w:r>
        <w:rPr>
          <w:rFonts w:hAnsi="宋体"/>
          <w:sz w:val="24"/>
        </w:rPr>
        <w:t>④土壤标准值达到国家二级标准。固体废弃物处理处置达到</w:t>
      </w:r>
      <w:r>
        <w:rPr>
          <w:rFonts w:hAnsi="宋体"/>
          <w:sz w:val="24"/>
        </w:rPr>
        <w:t>100%</w:t>
      </w:r>
      <w:r>
        <w:rPr>
          <w:rFonts w:hAnsi="宋体"/>
          <w:sz w:val="24"/>
        </w:rPr>
        <w:t>以上。</w:t>
      </w:r>
    </w:p>
    <w:p w:rsidR="00475650" w:rsidRDefault="00475650">
      <w:pPr>
        <w:spacing w:line="360" w:lineRule="auto"/>
        <w:ind w:firstLineChars="250" w:firstLine="600"/>
        <w:rPr>
          <w:rFonts w:hAnsi="宋体"/>
          <w:sz w:val="24"/>
        </w:rPr>
      </w:pPr>
      <w:r>
        <w:rPr>
          <w:rFonts w:hAnsi="宋体" w:hint="eastAsia"/>
          <w:sz w:val="24"/>
        </w:rPr>
        <w:t>（</w:t>
      </w:r>
      <w:r>
        <w:rPr>
          <w:rFonts w:hAnsi="宋体" w:hint="eastAsia"/>
          <w:sz w:val="24"/>
        </w:rPr>
        <w:t>3</w:t>
      </w:r>
      <w:r>
        <w:rPr>
          <w:rFonts w:hAnsi="宋体" w:hint="eastAsia"/>
          <w:sz w:val="24"/>
        </w:rPr>
        <w:t>）环境功能区划</w:t>
      </w:r>
    </w:p>
    <w:p w:rsidR="00475650" w:rsidRDefault="00475650">
      <w:pPr>
        <w:spacing w:line="360" w:lineRule="auto"/>
        <w:ind w:firstLineChars="250" w:firstLine="600"/>
        <w:rPr>
          <w:rFonts w:hAnsi="宋体"/>
          <w:sz w:val="24"/>
        </w:rPr>
      </w:pPr>
      <w:r>
        <w:rPr>
          <w:rFonts w:hAnsi="宋体" w:hint="eastAsia"/>
          <w:sz w:val="24"/>
        </w:rPr>
        <w:t>①环境空气功能区划</w:t>
      </w:r>
      <w:r>
        <w:rPr>
          <w:rFonts w:hAnsi="宋体" w:hint="eastAsia"/>
          <w:sz w:val="24"/>
        </w:rPr>
        <w:t xml:space="preserve"> </w:t>
      </w:r>
    </w:p>
    <w:p w:rsidR="00475650" w:rsidRDefault="00475650">
      <w:pPr>
        <w:spacing w:line="360" w:lineRule="auto"/>
        <w:ind w:firstLineChars="250" w:firstLine="600"/>
        <w:rPr>
          <w:rFonts w:hAnsi="宋体"/>
          <w:sz w:val="24"/>
        </w:rPr>
      </w:pPr>
      <w:r>
        <w:rPr>
          <w:rFonts w:hAnsi="宋体" w:hint="eastAsia"/>
          <w:sz w:val="24"/>
        </w:rPr>
        <w:t>各规划区均为二类功能区。</w:t>
      </w:r>
    </w:p>
    <w:p w:rsidR="00475650" w:rsidRDefault="00475650">
      <w:pPr>
        <w:spacing w:line="360" w:lineRule="auto"/>
        <w:ind w:firstLineChars="250" w:firstLine="600"/>
        <w:rPr>
          <w:rFonts w:hAnsi="宋体"/>
          <w:sz w:val="24"/>
        </w:rPr>
      </w:pPr>
      <w:r>
        <w:rPr>
          <w:rFonts w:hAnsi="宋体" w:hint="eastAsia"/>
          <w:sz w:val="24"/>
        </w:rPr>
        <w:t>②水环境质量功能区划</w:t>
      </w:r>
      <w:r>
        <w:rPr>
          <w:rFonts w:hAnsi="宋体" w:hint="eastAsia"/>
          <w:sz w:val="24"/>
        </w:rPr>
        <w:t xml:space="preserve"> </w:t>
      </w:r>
    </w:p>
    <w:p w:rsidR="00475650" w:rsidRDefault="00475650">
      <w:pPr>
        <w:spacing w:line="360" w:lineRule="auto"/>
        <w:ind w:firstLineChars="250" w:firstLine="600"/>
        <w:rPr>
          <w:rFonts w:hAnsi="宋体"/>
          <w:sz w:val="24"/>
        </w:rPr>
      </w:pPr>
      <w:r>
        <w:rPr>
          <w:rFonts w:hAnsi="宋体" w:hint="eastAsia"/>
          <w:sz w:val="24"/>
        </w:rPr>
        <w:t>规划区排污口所处长江段划为三类功能区，属一般渔业用水区。</w:t>
      </w:r>
    </w:p>
    <w:p w:rsidR="00475650" w:rsidRDefault="00475650">
      <w:pPr>
        <w:spacing w:line="360" w:lineRule="auto"/>
        <w:ind w:firstLineChars="250" w:firstLine="600"/>
        <w:rPr>
          <w:rFonts w:hAnsi="宋体"/>
          <w:sz w:val="24"/>
        </w:rPr>
      </w:pPr>
      <w:r>
        <w:rPr>
          <w:rFonts w:hAnsi="宋体" w:hint="eastAsia"/>
          <w:sz w:val="24"/>
        </w:rPr>
        <w:t>③声环境功能区划</w:t>
      </w:r>
    </w:p>
    <w:p w:rsidR="00475650" w:rsidRDefault="00475650">
      <w:pPr>
        <w:spacing w:line="360" w:lineRule="auto"/>
        <w:ind w:firstLineChars="250" w:firstLine="600"/>
        <w:rPr>
          <w:rFonts w:hAnsi="宋体"/>
          <w:sz w:val="24"/>
        </w:rPr>
      </w:pPr>
      <w:r>
        <w:rPr>
          <w:rFonts w:hAnsi="宋体" w:hint="eastAsia"/>
          <w:sz w:val="24"/>
        </w:rPr>
        <w:t>规划居住商业用地区为</w:t>
      </w:r>
      <w:r>
        <w:rPr>
          <w:rFonts w:hAnsi="宋体" w:hint="eastAsia"/>
          <w:sz w:val="24"/>
        </w:rPr>
        <w:t>2</w:t>
      </w:r>
      <w:r>
        <w:rPr>
          <w:rFonts w:hAnsi="宋体" w:hint="eastAsia"/>
          <w:sz w:val="24"/>
        </w:rPr>
        <w:t>类功能区；规划工业用地区和物流仓储区为</w:t>
      </w:r>
      <w:r>
        <w:rPr>
          <w:rFonts w:hAnsi="宋体" w:hint="eastAsia"/>
          <w:sz w:val="24"/>
        </w:rPr>
        <w:t>3</w:t>
      </w:r>
      <w:r>
        <w:rPr>
          <w:rFonts w:hAnsi="宋体" w:hint="eastAsia"/>
          <w:sz w:val="24"/>
        </w:rPr>
        <w:t>类功能区；规划各分园主干道与铁路两侧分别为</w:t>
      </w:r>
      <w:r>
        <w:rPr>
          <w:rFonts w:hAnsi="宋体" w:hint="eastAsia"/>
          <w:sz w:val="24"/>
        </w:rPr>
        <w:t>4a</w:t>
      </w:r>
      <w:r>
        <w:rPr>
          <w:rFonts w:hAnsi="宋体" w:hint="eastAsia"/>
          <w:sz w:val="24"/>
        </w:rPr>
        <w:t>、</w:t>
      </w:r>
      <w:r>
        <w:rPr>
          <w:rFonts w:hAnsi="宋体" w:hint="eastAsia"/>
          <w:sz w:val="24"/>
        </w:rPr>
        <w:t>4b</w:t>
      </w:r>
      <w:r>
        <w:rPr>
          <w:rFonts w:hAnsi="宋体" w:hint="eastAsia"/>
          <w:sz w:val="24"/>
        </w:rPr>
        <w:t>类功能区。</w:t>
      </w:r>
    </w:p>
    <w:p w:rsidR="00475650" w:rsidRDefault="00475650">
      <w:pPr>
        <w:spacing w:line="360" w:lineRule="auto"/>
        <w:ind w:firstLineChars="250" w:firstLine="600"/>
        <w:rPr>
          <w:rFonts w:hAnsi="宋体"/>
          <w:sz w:val="24"/>
        </w:rPr>
      </w:pPr>
      <w:r>
        <w:rPr>
          <w:rFonts w:hAnsi="宋体" w:hint="eastAsia"/>
          <w:sz w:val="24"/>
        </w:rPr>
        <w:t>（</w:t>
      </w:r>
      <w:r>
        <w:rPr>
          <w:rFonts w:hAnsi="宋体" w:hint="eastAsia"/>
          <w:sz w:val="24"/>
        </w:rPr>
        <w:t>4</w:t>
      </w:r>
      <w:r>
        <w:rPr>
          <w:rFonts w:hAnsi="宋体" w:hint="eastAsia"/>
          <w:sz w:val="24"/>
        </w:rPr>
        <w:t>）环境控制措施</w:t>
      </w:r>
    </w:p>
    <w:p w:rsidR="00475650" w:rsidRDefault="00475650">
      <w:pPr>
        <w:spacing w:line="360" w:lineRule="auto"/>
        <w:ind w:firstLineChars="250" w:firstLine="600"/>
        <w:rPr>
          <w:rFonts w:hAnsi="宋体"/>
          <w:sz w:val="24"/>
        </w:rPr>
      </w:pPr>
      <w:r>
        <w:rPr>
          <w:rFonts w:hAnsi="宋体" w:hint="eastAsia"/>
          <w:sz w:val="24"/>
        </w:rPr>
        <w:t>①在园区产生的废水、废气和废渣中，废气除少部分进行资源回收外，其他部分经处理后达标排放。</w:t>
      </w:r>
    </w:p>
    <w:p w:rsidR="00475650" w:rsidRDefault="00475650">
      <w:pPr>
        <w:spacing w:line="360" w:lineRule="auto"/>
        <w:ind w:firstLineChars="250" w:firstLine="600"/>
        <w:rPr>
          <w:rFonts w:hAnsi="宋体"/>
          <w:sz w:val="24"/>
        </w:rPr>
      </w:pPr>
      <w:r>
        <w:rPr>
          <w:rFonts w:hAnsi="宋体" w:hint="eastAsia"/>
          <w:sz w:val="24"/>
        </w:rPr>
        <w:t>②废水首先经过企业内部循环利用，少部分废水对其中有用的成份进行资源化利用，最后送园区污水处理厂统一处理后达标排放；其中有色金属冶炼工业废水零排放。</w:t>
      </w:r>
    </w:p>
    <w:p w:rsidR="00475650" w:rsidRDefault="00475650">
      <w:pPr>
        <w:spacing w:line="360" w:lineRule="auto"/>
        <w:ind w:firstLineChars="250" w:firstLine="600"/>
        <w:rPr>
          <w:rFonts w:hAnsi="宋体"/>
          <w:sz w:val="24"/>
        </w:rPr>
      </w:pPr>
      <w:r>
        <w:rPr>
          <w:rFonts w:hAnsi="宋体" w:hint="eastAsia"/>
          <w:sz w:val="24"/>
        </w:rPr>
        <w:t>③园区产生的固废，可循环利用部分进行再利用，其他的必须按照固废的相关规定进行妥善的处置。</w:t>
      </w:r>
    </w:p>
    <w:p w:rsidR="00475650" w:rsidRDefault="00475650">
      <w:pPr>
        <w:spacing w:line="360" w:lineRule="auto"/>
        <w:ind w:firstLineChars="250" w:firstLine="600"/>
        <w:rPr>
          <w:rFonts w:hAnsi="宋体"/>
          <w:sz w:val="24"/>
        </w:rPr>
      </w:pPr>
      <w:r>
        <w:rPr>
          <w:rFonts w:hAnsi="宋体" w:hint="eastAsia"/>
          <w:sz w:val="24"/>
        </w:rPr>
        <w:t>④应保护建设好园区内外已有的植被生态系统。</w:t>
      </w:r>
    </w:p>
    <w:p w:rsidR="00475650" w:rsidRDefault="00475650">
      <w:pPr>
        <w:spacing w:line="360" w:lineRule="auto"/>
        <w:ind w:firstLineChars="250" w:firstLine="600"/>
        <w:rPr>
          <w:rFonts w:hAnsi="宋体"/>
          <w:sz w:val="24"/>
        </w:rPr>
      </w:pPr>
      <w:r>
        <w:rPr>
          <w:rFonts w:hAnsi="宋体" w:hint="eastAsia"/>
          <w:sz w:val="24"/>
        </w:rPr>
        <w:t>（</w:t>
      </w:r>
      <w:r>
        <w:rPr>
          <w:rFonts w:hAnsi="宋体" w:hint="eastAsia"/>
          <w:sz w:val="24"/>
        </w:rPr>
        <w:t>5</w:t>
      </w:r>
      <w:r>
        <w:rPr>
          <w:rFonts w:hAnsi="宋体" w:hint="eastAsia"/>
          <w:sz w:val="24"/>
        </w:rPr>
        <w:t>）污染控制方案</w:t>
      </w:r>
    </w:p>
    <w:p w:rsidR="00475650" w:rsidRDefault="00475650">
      <w:pPr>
        <w:spacing w:line="360" w:lineRule="auto"/>
        <w:ind w:firstLineChars="250" w:firstLine="600"/>
        <w:rPr>
          <w:rFonts w:hAnsi="宋体"/>
          <w:sz w:val="24"/>
        </w:rPr>
      </w:pPr>
      <w:r>
        <w:rPr>
          <w:rFonts w:hAnsi="宋体" w:hint="eastAsia"/>
          <w:sz w:val="24"/>
        </w:rPr>
        <w:lastRenderedPageBreak/>
        <w:t>①大气污染物控制方案</w:t>
      </w:r>
    </w:p>
    <w:p w:rsidR="00475650" w:rsidRDefault="00475650">
      <w:pPr>
        <w:spacing w:line="360" w:lineRule="auto"/>
        <w:ind w:firstLineChars="250" w:firstLine="600"/>
        <w:rPr>
          <w:rFonts w:hAnsi="宋体"/>
          <w:sz w:val="24"/>
        </w:rPr>
      </w:pPr>
      <w:r>
        <w:rPr>
          <w:rFonts w:hAnsi="宋体" w:hint="eastAsia"/>
          <w:sz w:val="24"/>
        </w:rPr>
        <w:t>严格控制各分园内工业企业的废气排放，治理老污染源，削减排污量，各入园企业生产过程中产生的废气，由各企业根据废气的性质，按照环保要求处理后达标排放；加强园区绿化工作，重视公共绿地和防护绿地的建设。</w:t>
      </w:r>
      <w:r>
        <w:rPr>
          <w:rFonts w:hAnsi="宋体" w:hint="eastAsia"/>
          <w:sz w:val="24"/>
        </w:rPr>
        <w:t xml:space="preserve"> </w:t>
      </w:r>
    </w:p>
    <w:p w:rsidR="00475650" w:rsidRDefault="00475650">
      <w:pPr>
        <w:spacing w:line="360" w:lineRule="auto"/>
        <w:ind w:firstLineChars="250" w:firstLine="600"/>
        <w:rPr>
          <w:rFonts w:hAnsi="宋体"/>
          <w:sz w:val="24"/>
        </w:rPr>
      </w:pPr>
      <w:r>
        <w:rPr>
          <w:rFonts w:hAnsi="宋体" w:hint="eastAsia"/>
          <w:sz w:val="24"/>
        </w:rPr>
        <w:t>园区采取集中供热，禁止企业新增燃煤锅炉。</w:t>
      </w:r>
      <w:r>
        <w:rPr>
          <w:rFonts w:hAnsi="宋体" w:hint="eastAsia"/>
          <w:sz w:val="24"/>
        </w:rPr>
        <w:t xml:space="preserve"> </w:t>
      </w:r>
    </w:p>
    <w:p w:rsidR="00475650" w:rsidRDefault="00475650">
      <w:pPr>
        <w:spacing w:line="360" w:lineRule="auto"/>
        <w:ind w:firstLineChars="250" w:firstLine="600"/>
        <w:rPr>
          <w:rFonts w:hAnsi="宋体"/>
          <w:sz w:val="24"/>
        </w:rPr>
      </w:pPr>
      <w:r>
        <w:rPr>
          <w:rFonts w:hAnsi="宋体" w:hint="eastAsia"/>
          <w:sz w:val="24"/>
        </w:rPr>
        <w:t>各入园精细化工企业必须配套有机工艺废气收集和处理装置；有色金属冶炼企业必须严格按照规范设置高效环保处理装置，确保达标排放。</w:t>
      </w:r>
    </w:p>
    <w:p w:rsidR="00475650" w:rsidRDefault="00475650">
      <w:pPr>
        <w:spacing w:line="360" w:lineRule="auto"/>
        <w:ind w:firstLineChars="250" w:firstLine="600"/>
        <w:rPr>
          <w:rFonts w:hAnsi="宋体"/>
          <w:sz w:val="24"/>
        </w:rPr>
      </w:pPr>
      <w:r>
        <w:rPr>
          <w:rFonts w:hAnsi="宋体" w:hint="eastAsia"/>
          <w:sz w:val="24"/>
        </w:rPr>
        <w:t>②固体废物污染控制方案</w:t>
      </w:r>
    </w:p>
    <w:p w:rsidR="00475650" w:rsidRDefault="00475650">
      <w:pPr>
        <w:spacing w:line="360" w:lineRule="auto"/>
        <w:ind w:firstLineChars="250" w:firstLine="600"/>
        <w:rPr>
          <w:rFonts w:hAnsi="宋体"/>
          <w:sz w:val="24"/>
        </w:rPr>
      </w:pPr>
      <w:r>
        <w:rPr>
          <w:rFonts w:hAnsi="宋体" w:hint="eastAsia"/>
          <w:sz w:val="24"/>
        </w:rPr>
        <w:t>园区固体废物通过减量化、资源化和无害化处理，达到环境保护的有关要求。各入园企业应加强一般工业固体废物排放和堆放管理，其综合利用率应达到</w:t>
      </w:r>
      <w:r>
        <w:rPr>
          <w:rFonts w:hAnsi="宋体" w:hint="eastAsia"/>
          <w:sz w:val="24"/>
        </w:rPr>
        <w:t>90%</w:t>
      </w:r>
      <w:r>
        <w:rPr>
          <w:rFonts w:hAnsi="宋体" w:hint="eastAsia"/>
          <w:sz w:val="24"/>
        </w:rPr>
        <w:t>以上。对有害有毒的危险废物采取集中堆放和定点处理，按《危险废物贮存污染控制标准》（</w:t>
      </w:r>
      <w:r>
        <w:rPr>
          <w:rFonts w:hAnsi="宋体" w:hint="eastAsia"/>
          <w:sz w:val="24"/>
        </w:rPr>
        <w:t>GB18597-2001</w:t>
      </w:r>
      <w:r>
        <w:rPr>
          <w:rFonts w:hAnsi="宋体" w:hint="eastAsia"/>
          <w:sz w:val="24"/>
        </w:rPr>
        <w:t>）以及</w:t>
      </w:r>
      <w:r>
        <w:rPr>
          <w:rFonts w:hAnsi="宋体" w:hint="eastAsia"/>
          <w:sz w:val="24"/>
        </w:rPr>
        <w:t>2013</w:t>
      </w:r>
      <w:r>
        <w:rPr>
          <w:rFonts w:hAnsi="宋体" w:hint="eastAsia"/>
          <w:sz w:val="24"/>
        </w:rPr>
        <w:t>年修改单的要求加强管理，由企业委托有危险废物处理、处置资质的单位进行处置、处理。生活垃圾在区内集中后，由环卫部门运至临湘市生活垃圾填埋场统一处理。</w:t>
      </w:r>
    </w:p>
    <w:p w:rsidR="00475650" w:rsidRDefault="00475650">
      <w:pPr>
        <w:spacing w:line="360" w:lineRule="auto"/>
        <w:ind w:firstLineChars="250" w:firstLine="600"/>
        <w:rPr>
          <w:rFonts w:hAnsi="宋体"/>
          <w:sz w:val="24"/>
        </w:rPr>
      </w:pPr>
      <w:r>
        <w:rPr>
          <w:rFonts w:hAnsi="宋体" w:hint="eastAsia"/>
          <w:sz w:val="24"/>
        </w:rPr>
        <w:t>③水污染控制方案</w:t>
      </w:r>
    </w:p>
    <w:p w:rsidR="00475650" w:rsidRDefault="00475650">
      <w:pPr>
        <w:spacing w:line="360" w:lineRule="auto"/>
        <w:ind w:firstLineChars="250" w:firstLine="600"/>
        <w:rPr>
          <w:rFonts w:hAnsi="宋体"/>
          <w:sz w:val="24"/>
        </w:rPr>
      </w:pPr>
      <w:r>
        <w:rPr>
          <w:rFonts w:hAnsi="宋体" w:hint="eastAsia"/>
          <w:sz w:val="24"/>
        </w:rPr>
        <w:t>实行雨污分流、污污分流的排水体制，配套独立的雨水、生活污水和工业废水排水管网；规定各入园企业工业用水重复利用率应达到</w:t>
      </w:r>
      <w:r>
        <w:rPr>
          <w:rFonts w:hAnsi="宋体" w:hint="eastAsia"/>
          <w:sz w:val="24"/>
        </w:rPr>
        <w:t>70%</w:t>
      </w:r>
      <w:r>
        <w:rPr>
          <w:rFonts w:hAnsi="宋体" w:hint="eastAsia"/>
          <w:sz w:val="24"/>
        </w:rPr>
        <w:t>以上，其中有色金属冶炼工业废水零排放；加强对各排污单位的管理，企业污染物排放浓度不得超过国家规定的排放浓度，实行排污许可制度；对工业主要污染源实行污水排放总量控制与浓度控制相结合的方法，使污水排放量和废物排放量控制在较低的水平。</w:t>
      </w:r>
    </w:p>
    <w:p w:rsidR="00475650" w:rsidRDefault="00475650">
      <w:pPr>
        <w:spacing w:line="360" w:lineRule="auto"/>
        <w:ind w:firstLineChars="250" w:firstLine="600"/>
        <w:rPr>
          <w:rFonts w:hAnsi="宋体"/>
          <w:sz w:val="24"/>
        </w:rPr>
      </w:pPr>
      <w:r>
        <w:rPr>
          <w:rFonts w:hAnsi="宋体" w:hint="eastAsia"/>
          <w:sz w:val="24"/>
        </w:rPr>
        <w:t>④噪声污染控制方案</w:t>
      </w:r>
    </w:p>
    <w:p w:rsidR="00475650" w:rsidRDefault="00475650">
      <w:pPr>
        <w:spacing w:line="360" w:lineRule="auto"/>
        <w:ind w:firstLineChars="250" w:firstLine="600"/>
        <w:rPr>
          <w:rFonts w:hAnsi="宋体"/>
          <w:sz w:val="24"/>
        </w:rPr>
      </w:pPr>
      <w:r>
        <w:rPr>
          <w:rFonts w:hAnsi="宋体" w:hint="eastAsia"/>
          <w:sz w:val="24"/>
        </w:rPr>
        <w:t>调整交通设施布局，科学组织道路网，有效组织园区内部、对外和过境交通，降低交通噪声污染，建立交通噪声禁鸣区；在噪声源周围设置绿化带，形成隔声带；各分园内企业生产过程中应尽量控制噪声源，选用符合噪声限值要求的低噪声设备，在噪声大的设备上加装消声、隔音装置；在设备管道设计中，采取隔震、防震、防冲击措施以减轻振动噪声，并考虑改善输送流场状况，以减小空气动力噪声；在厂房建筑设计中，尽量使主要工作和休息场所远离声源，并设置必要的值班室，结合车间环境的建筑，设置吸音、隔声措施。尤其在临厂界一面密植林木，建立有效的隔声屏障。</w:t>
      </w:r>
    </w:p>
    <w:p w:rsidR="00475650" w:rsidRDefault="00475650">
      <w:pPr>
        <w:spacing w:line="360" w:lineRule="auto"/>
        <w:ind w:firstLineChars="250" w:firstLine="600"/>
        <w:rPr>
          <w:rFonts w:hAnsi="宋体"/>
          <w:sz w:val="24"/>
        </w:rPr>
      </w:pPr>
      <w:r>
        <w:rPr>
          <w:rFonts w:hAnsi="宋体" w:hint="eastAsia"/>
          <w:sz w:val="24"/>
        </w:rPr>
        <w:lastRenderedPageBreak/>
        <w:t>⑤园区污染控制的市场化运行体制</w:t>
      </w:r>
    </w:p>
    <w:p w:rsidR="00475650" w:rsidRDefault="00475650">
      <w:pPr>
        <w:spacing w:line="360" w:lineRule="auto"/>
        <w:ind w:firstLineChars="250" w:firstLine="600"/>
        <w:rPr>
          <w:rFonts w:hAnsi="宋体"/>
          <w:sz w:val="24"/>
        </w:rPr>
      </w:pPr>
      <w:r>
        <w:rPr>
          <w:rFonts w:hAnsi="宋体" w:hint="eastAsia"/>
          <w:sz w:val="24"/>
        </w:rPr>
        <w:t>对一些重要的污染控制项目，如园区固体废物焚烧厂、园区污水处理厂、园区绿化以及废弃物的综合利用等利用独立的污染控制专业公司，采用“谁排污谁付费”的原则，进行市场化运作，保证工业园区外排三废达标排放和改善园区的环境质量。</w:t>
      </w:r>
    </w:p>
    <w:p w:rsidR="00475650" w:rsidRDefault="00475650">
      <w:pPr>
        <w:pStyle w:val="13"/>
        <w:spacing w:before="100" w:beforeAutospacing="1" w:after="100" w:afterAutospacing="1" w:line="360" w:lineRule="auto"/>
        <w:rPr>
          <w:rFonts w:eastAsia="宋体"/>
          <w:b w:val="0"/>
        </w:rPr>
      </w:pPr>
      <w:r>
        <w:rPr>
          <w:rFonts w:eastAsia="宋体"/>
          <w:b w:val="0"/>
        </w:rPr>
        <w:br w:type="page"/>
      </w:r>
      <w:bookmarkStart w:id="388" w:name="_Toc492"/>
      <w:r>
        <w:rPr>
          <w:rFonts w:eastAsia="宋体"/>
          <w:b w:val="0"/>
          <w:sz w:val="32"/>
          <w:szCs w:val="32"/>
        </w:rPr>
        <w:lastRenderedPageBreak/>
        <w:t xml:space="preserve">3 </w:t>
      </w:r>
      <w:r>
        <w:rPr>
          <w:rFonts w:eastAsia="宋体" w:hAnsi="宋体"/>
          <w:b w:val="0"/>
          <w:sz w:val="32"/>
          <w:szCs w:val="32"/>
        </w:rPr>
        <w:t>拟建工程概况</w:t>
      </w:r>
      <w:bookmarkEnd w:id="387"/>
      <w:bookmarkEnd w:id="388"/>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389" w:name="_Toc273462093"/>
      <w:bookmarkStart w:id="390" w:name="_Toc332292983"/>
      <w:bookmarkStart w:id="391" w:name="_Toc274984494"/>
      <w:bookmarkStart w:id="392" w:name="_Toc22677"/>
      <w:r>
        <w:rPr>
          <w:rStyle w:val="2Char1Char"/>
          <w:rFonts w:ascii="Times New Roman" w:eastAsia="宋体" w:hAnsi="Times New Roman" w:cs="Times New Roman"/>
          <w:b w:val="0"/>
          <w:sz w:val="28"/>
          <w:szCs w:val="28"/>
        </w:rPr>
        <w:t>3.1</w:t>
      </w:r>
      <w:r>
        <w:rPr>
          <w:rStyle w:val="2Char1Char"/>
          <w:rFonts w:ascii="Times New Roman" w:eastAsia="宋体" w:hAnsi="宋体" w:cs="Times New Roman"/>
          <w:b w:val="0"/>
          <w:sz w:val="28"/>
          <w:szCs w:val="28"/>
        </w:rPr>
        <w:t>基本情况</w:t>
      </w:r>
      <w:bookmarkEnd w:id="389"/>
      <w:bookmarkEnd w:id="390"/>
      <w:bookmarkEnd w:id="391"/>
      <w:bookmarkEnd w:id="392"/>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393" w:name="_Toc274984495"/>
      <w:bookmarkStart w:id="394" w:name="_Toc333229938"/>
      <w:bookmarkStart w:id="395" w:name="_Toc332292984"/>
      <w:bookmarkStart w:id="396" w:name="_Toc273462094"/>
      <w:bookmarkStart w:id="397" w:name="_Toc302936763"/>
      <w:bookmarkStart w:id="398" w:name="_Toc334080771"/>
      <w:bookmarkStart w:id="399" w:name="_Toc334014129"/>
      <w:bookmarkStart w:id="400" w:name="_Toc465676978"/>
      <w:bookmarkStart w:id="401" w:name="_Toc24366"/>
      <w:r>
        <w:rPr>
          <w:rStyle w:val="2Char1Char"/>
          <w:rFonts w:ascii="Times New Roman" w:eastAsia="宋体" w:hAnsi="Times New Roman" w:cs="Times New Roman"/>
          <w:b w:val="0"/>
          <w:sz w:val="24"/>
          <w:szCs w:val="24"/>
        </w:rPr>
        <w:t>3.1.1</w:t>
      </w:r>
      <w:r>
        <w:rPr>
          <w:rStyle w:val="2Char1Char"/>
          <w:rFonts w:ascii="Times New Roman" w:eastAsia="宋体" w:hAnsi="宋体" w:cs="Times New Roman"/>
          <w:b w:val="0"/>
          <w:sz w:val="24"/>
          <w:szCs w:val="24"/>
        </w:rPr>
        <w:t>项目名称、生产规模、建设性质</w:t>
      </w:r>
      <w:bookmarkEnd w:id="393"/>
      <w:bookmarkEnd w:id="394"/>
      <w:bookmarkEnd w:id="395"/>
      <w:bookmarkEnd w:id="396"/>
      <w:bookmarkEnd w:id="397"/>
      <w:bookmarkEnd w:id="398"/>
      <w:bookmarkEnd w:id="399"/>
      <w:bookmarkEnd w:id="400"/>
      <w:bookmarkEnd w:id="401"/>
    </w:p>
    <w:p w:rsidR="00475650" w:rsidRDefault="00475650">
      <w:pPr>
        <w:snapToGrid w:val="0"/>
        <w:spacing w:line="360" w:lineRule="auto"/>
        <w:ind w:firstLineChars="200" w:firstLine="464"/>
        <w:rPr>
          <w:spacing w:val="-4"/>
          <w:sz w:val="24"/>
        </w:rPr>
      </w:pPr>
      <w:r>
        <w:rPr>
          <w:rFonts w:hAnsi="宋体"/>
          <w:spacing w:val="-4"/>
          <w:sz w:val="24"/>
        </w:rPr>
        <w:t>项目名称：临湘市鹏程化工有限公司年产</w:t>
      </w:r>
      <w:r>
        <w:rPr>
          <w:spacing w:val="-4"/>
          <w:sz w:val="24"/>
        </w:rPr>
        <w:t>6000</w:t>
      </w:r>
      <w:r>
        <w:rPr>
          <w:rFonts w:hAnsi="宋体"/>
          <w:spacing w:val="-4"/>
          <w:sz w:val="24"/>
        </w:rPr>
        <w:t>吨弱酸性染料建设项目；</w:t>
      </w:r>
    </w:p>
    <w:p w:rsidR="00475650" w:rsidRDefault="00475650">
      <w:pPr>
        <w:snapToGrid w:val="0"/>
        <w:spacing w:line="360" w:lineRule="auto"/>
        <w:ind w:firstLineChars="200" w:firstLine="464"/>
        <w:rPr>
          <w:spacing w:val="-4"/>
          <w:sz w:val="24"/>
        </w:rPr>
      </w:pPr>
      <w:r>
        <w:rPr>
          <w:rFonts w:hAnsi="宋体"/>
          <w:spacing w:val="-4"/>
          <w:sz w:val="24"/>
        </w:rPr>
        <w:t>生产规模及建设内容：</w:t>
      </w:r>
      <w:r>
        <w:rPr>
          <w:spacing w:val="-4"/>
          <w:sz w:val="24"/>
        </w:rPr>
        <w:t xml:space="preserve"> 6000</w:t>
      </w:r>
      <w:r>
        <w:rPr>
          <w:rFonts w:hAnsi="宋体"/>
          <w:spacing w:val="-4"/>
          <w:sz w:val="24"/>
        </w:rPr>
        <w:t>吨</w:t>
      </w:r>
      <w:r>
        <w:rPr>
          <w:spacing w:val="-4"/>
          <w:sz w:val="24"/>
        </w:rPr>
        <w:t>/</w:t>
      </w:r>
      <w:r>
        <w:rPr>
          <w:rFonts w:hAnsi="宋体"/>
          <w:spacing w:val="-4"/>
          <w:sz w:val="24"/>
        </w:rPr>
        <w:t>年弱酸性染料</w:t>
      </w:r>
      <w:r>
        <w:rPr>
          <w:rFonts w:hAnsi="宋体" w:hint="eastAsia"/>
          <w:spacing w:val="-4"/>
          <w:sz w:val="24"/>
        </w:rPr>
        <w:t>生产装置（包括</w:t>
      </w:r>
      <w:r>
        <w:rPr>
          <w:rFonts w:hAnsi="宋体" w:hint="eastAsia"/>
          <w:spacing w:val="-4"/>
          <w:sz w:val="24"/>
        </w:rPr>
        <w:t>4000t/a</w:t>
      </w:r>
      <w:r>
        <w:rPr>
          <w:rFonts w:hAnsi="宋体" w:hint="eastAsia"/>
          <w:spacing w:val="-4"/>
          <w:sz w:val="24"/>
        </w:rPr>
        <w:t>酸性红和</w:t>
      </w:r>
      <w:r>
        <w:rPr>
          <w:rFonts w:hAnsi="宋体" w:hint="eastAsia"/>
          <w:spacing w:val="-4"/>
          <w:sz w:val="24"/>
        </w:rPr>
        <w:t>2000t/a</w:t>
      </w:r>
      <w:r>
        <w:rPr>
          <w:rFonts w:hAnsi="宋体" w:hint="eastAsia"/>
          <w:spacing w:val="-4"/>
          <w:sz w:val="24"/>
        </w:rPr>
        <w:t>酸性黄）</w:t>
      </w:r>
      <w:r>
        <w:rPr>
          <w:rFonts w:hAnsi="宋体"/>
          <w:spacing w:val="-4"/>
          <w:sz w:val="24"/>
        </w:rPr>
        <w:t>，配套建设</w:t>
      </w:r>
      <w:r>
        <w:rPr>
          <w:spacing w:val="-4"/>
          <w:sz w:val="24"/>
        </w:rPr>
        <w:t>1</w:t>
      </w:r>
      <w:r>
        <w:rPr>
          <w:rFonts w:hAnsi="宋体"/>
          <w:spacing w:val="-4"/>
          <w:sz w:val="24"/>
        </w:rPr>
        <w:t>台制冷机、</w:t>
      </w:r>
      <w:r>
        <w:rPr>
          <w:spacing w:val="-4"/>
          <w:sz w:val="24"/>
        </w:rPr>
        <w:t>2</w:t>
      </w:r>
      <w:r>
        <w:rPr>
          <w:rFonts w:hAnsi="宋体"/>
          <w:spacing w:val="-4"/>
          <w:sz w:val="24"/>
        </w:rPr>
        <w:t>套布袋收尘器、</w:t>
      </w:r>
      <w:r>
        <w:rPr>
          <w:rFonts w:hAnsi="宋体" w:hint="eastAsia"/>
          <w:spacing w:val="-4"/>
          <w:sz w:val="24"/>
        </w:rPr>
        <w:t>1</w:t>
      </w:r>
      <w:r>
        <w:rPr>
          <w:rFonts w:hAnsi="宋体" w:hint="eastAsia"/>
          <w:spacing w:val="-4"/>
          <w:sz w:val="24"/>
        </w:rPr>
        <w:t>套</w:t>
      </w:r>
      <w:r>
        <w:rPr>
          <w:rFonts w:hAnsi="宋体"/>
          <w:spacing w:val="-4"/>
          <w:sz w:val="24"/>
        </w:rPr>
        <w:t>污水处理设施等；</w:t>
      </w:r>
    </w:p>
    <w:p w:rsidR="00475650" w:rsidRDefault="00475650">
      <w:pPr>
        <w:snapToGrid w:val="0"/>
        <w:spacing w:line="360" w:lineRule="auto"/>
        <w:ind w:firstLineChars="200" w:firstLine="464"/>
        <w:rPr>
          <w:spacing w:val="-4"/>
          <w:sz w:val="24"/>
        </w:rPr>
      </w:pPr>
      <w:r>
        <w:rPr>
          <w:rFonts w:hAnsi="宋体"/>
          <w:spacing w:val="-4"/>
          <w:sz w:val="24"/>
        </w:rPr>
        <w:t>建设单位：临湘市鹏程化工有限公司；</w:t>
      </w:r>
    </w:p>
    <w:p w:rsidR="00475650" w:rsidRDefault="00475650">
      <w:pPr>
        <w:snapToGrid w:val="0"/>
        <w:spacing w:line="360" w:lineRule="auto"/>
        <w:ind w:firstLineChars="200" w:firstLine="480"/>
        <w:rPr>
          <w:spacing w:val="-4"/>
          <w:sz w:val="24"/>
        </w:rPr>
      </w:pPr>
      <w:r>
        <w:rPr>
          <w:rFonts w:hAnsi="宋体"/>
          <w:sz w:val="24"/>
        </w:rPr>
        <w:t>建设性质：新建</w:t>
      </w:r>
      <w:r>
        <w:rPr>
          <w:rFonts w:hAnsi="宋体" w:hint="eastAsia"/>
          <w:sz w:val="24"/>
        </w:rPr>
        <w:t>（未批先建，补办环评手续）</w:t>
      </w:r>
      <w:r>
        <w:rPr>
          <w:rFonts w:hAnsi="宋体"/>
          <w:sz w:val="24"/>
        </w:rPr>
        <w:t>；</w:t>
      </w:r>
      <w:r>
        <w:rPr>
          <w:rFonts w:hAnsi="宋体"/>
          <w:spacing w:val="-4"/>
          <w:sz w:val="24"/>
        </w:rPr>
        <w:t>本项目除污水处理站暂未建成外，</w:t>
      </w:r>
      <w:r>
        <w:rPr>
          <w:rFonts w:hAnsi="宋体" w:hint="eastAsia"/>
          <w:spacing w:val="-4"/>
          <w:sz w:val="24"/>
        </w:rPr>
        <w:t>主体</w:t>
      </w:r>
      <w:r>
        <w:rPr>
          <w:rFonts w:hAnsi="宋体"/>
          <w:spacing w:val="-4"/>
          <w:sz w:val="24"/>
        </w:rPr>
        <w:t>生产设备已</w:t>
      </w:r>
      <w:r>
        <w:rPr>
          <w:rFonts w:hAnsi="宋体" w:hint="eastAsia"/>
          <w:spacing w:val="-4"/>
          <w:sz w:val="24"/>
        </w:rPr>
        <w:t>于</w:t>
      </w:r>
      <w:r>
        <w:rPr>
          <w:rFonts w:hAnsi="宋体" w:hint="eastAsia"/>
          <w:spacing w:val="-4"/>
          <w:sz w:val="24"/>
        </w:rPr>
        <w:t>2013</w:t>
      </w:r>
      <w:r>
        <w:rPr>
          <w:rFonts w:hAnsi="宋体" w:hint="eastAsia"/>
          <w:spacing w:val="-4"/>
          <w:sz w:val="24"/>
        </w:rPr>
        <w:t>年年底</w:t>
      </w:r>
      <w:r>
        <w:rPr>
          <w:rFonts w:hAnsi="宋体"/>
          <w:spacing w:val="-4"/>
          <w:sz w:val="24"/>
        </w:rPr>
        <w:t>建成，暂未投产</w:t>
      </w:r>
      <w:r>
        <w:rPr>
          <w:rFonts w:hAnsi="宋体" w:hint="eastAsia"/>
          <w:spacing w:val="-4"/>
          <w:sz w:val="24"/>
        </w:rPr>
        <w:t>；</w:t>
      </w:r>
    </w:p>
    <w:p w:rsidR="00475650" w:rsidRDefault="00475650">
      <w:pPr>
        <w:snapToGrid w:val="0"/>
        <w:spacing w:line="360" w:lineRule="auto"/>
        <w:ind w:firstLineChars="200" w:firstLine="480"/>
        <w:rPr>
          <w:sz w:val="24"/>
        </w:rPr>
      </w:pPr>
      <w:r>
        <w:rPr>
          <w:rFonts w:hAnsi="宋体"/>
          <w:sz w:val="24"/>
        </w:rPr>
        <w:t>年生产时间：</w:t>
      </w:r>
      <w:r>
        <w:rPr>
          <w:sz w:val="24"/>
        </w:rPr>
        <w:t>7200</w:t>
      </w:r>
      <w:r>
        <w:rPr>
          <w:rFonts w:hAnsi="宋体"/>
          <w:sz w:val="24"/>
        </w:rPr>
        <w:t>小时；</w:t>
      </w:r>
    </w:p>
    <w:p w:rsidR="00475650" w:rsidRDefault="00475650">
      <w:pPr>
        <w:snapToGrid w:val="0"/>
        <w:spacing w:line="360" w:lineRule="auto"/>
        <w:ind w:firstLineChars="200" w:firstLine="480"/>
        <w:rPr>
          <w:sz w:val="24"/>
        </w:rPr>
      </w:pPr>
      <w:r>
        <w:rPr>
          <w:rFonts w:hAnsi="宋体"/>
          <w:sz w:val="24"/>
        </w:rPr>
        <w:t>建设进度：</w:t>
      </w:r>
      <w:r>
        <w:rPr>
          <w:sz w:val="24"/>
        </w:rPr>
        <w:t>12</w:t>
      </w:r>
      <w:r>
        <w:rPr>
          <w:rFonts w:hAnsi="宋体"/>
          <w:sz w:val="24"/>
        </w:rPr>
        <w:t>个月；</w:t>
      </w:r>
    </w:p>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402" w:name="_Toc274984497"/>
      <w:bookmarkStart w:id="403" w:name="_Toc302936765"/>
      <w:bookmarkStart w:id="404" w:name="_Toc334014130"/>
      <w:bookmarkStart w:id="405" w:name="_Toc332292985"/>
      <w:bookmarkStart w:id="406" w:name="_Toc334080772"/>
      <w:bookmarkStart w:id="407" w:name="_Toc333229939"/>
      <w:bookmarkStart w:id="408" w:name="_Toc465676979"/>
      <w:bookmarkStart w:id="409" w:name="_Toc16921"/>
      <w:r>
        <w:rPr>
          <w:rStyle w:val="2Char1Char"/>
          <w:rFonts w:ascii="Times New Roman" w:eastAsia="宋体" w:hAnsi="Times New Roman" w:cs="Times New Roman"/>
          <w:b w:val="0"/>
          <w:sz w:val="24"/>
          <w:szCs w:val="24"/>
        </w:rPr>
        <w:t>3.1.2</w:t>
      </w:r>
      <w:r>
        <w:rPr>
          <w:rStyle w:val="2Char1Char"/>
          <w:rFonts w:ascii="Times New Roman" w:eastAsia="宋体" w:hAnsi="宋体" w:cs="Times New Roman"/>
          <w:b w:val="0"/>
          <w:sz w:val="24"/>
          <w:szCs w:val="24"/>
        </w:rPr>
        <w:t>资金筹措</w:t>
      </w:r>
      <w:bookmarkEnd w:id="402"/>
      <w:bookmarkEnd w:id="403"/>
      <w:r>
        <w:rPr>
          <w:rStyle w:val="2Char1Char"/>
          <w:rFonts w:ascii="Times New Roman" w:eastAsia="宋体" w:hAnsi="宋体" w:cs="Times New Roman"/>
          <w:b w:val="0"/>
          <w:sz w:val="24"/>
          <w:szCs w:val="24"/>
        </w:rPr>
        <w:t>及建设地点</w:t>
      </w:r>
      <w:bookmarkEnd w:id="404"/>
      <w:bookmarkEnd w:id="405"/>
      <w:bookmarkEnd w:id="406"/>
      <w:bookmarkEnd w:id="407"/>
      <w:bookmarkEnd w:id="408"/>
      <w:bookmarkEnd w:id="409"/>
    </w:p>
    <w:p w:rsidR="00475650" w:rsidRDefault="00475650">
      <w:pPr>
        <w:snapToGrid w:val="0"/>
        <w:spacing w:line="360" w:lineRule="auto"/>
        <w:ind w:firstLineChars="200" w:firstLine="464"/>
        <w:rPr>
          <w:spacing w:val="4"/>
          <w:sz w:val="24"/>
        </w:rPr>
      </w:pPr>
      <w:r>
        <w:rPr>
          <w:rFonts w:hAnsi="宋体"/>
          <w:spacing w:val="-4"/>
          <w:sz w:val="24"/>
        </w:rPr>
        <w:t>拟建项目总投资为</w:t>
      </w:r>
      <w:r>
        <w:rPr>
          <w:spacing w:val="-4"/>
          <w:sz w:val="24"/>
        </w:rPr>
        <w:t>3000</w:t>
      </w:r>
      <w:r>
        <w:rPr>
          <w:rFonts w:hAnsi="宋体"/>
          <w:spacing w:val="-4"/>
          <w:sz w:val="24"/>
        </w:rPr>
        <w:t>万元，其中建设投资为</w:t>
      </w:r>
      <w:r>
        <w:rPr>
          <w:spacing w:val="-4"/>
          <w:sz w:val="24"/>
        </w:rPr>
        <w:t>2574</w:t>
      </w:r>
      <w:r>
        <w:rPr>
          <w:rFonts w:hAnsi="宋体"/>
          <w:spacing w:val="-4"/>
          <w:sz w:val="24"/>
        </w:rPr>
        <w:t>万元，全部为企业自筹</w:t>
      </w:r>
      <w:r>
        <w:rPr>
          <w:rFonts w:hAnsi="宋体"/>
          <w:spacing w:val="4"/>
          <w:sz w:val="24"/>
        </w:rPr>
        <w:t>。</w:t>
      </w:r>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410" w:name="_Toc274984498"/>
      <w:bookmarkStart w:id="411" w:name="_Toc334014131"/>
      <w:bookmarkStart w:id="412" w:name="_Toc302936766"/>
      <w:bookmarkStart w:id="413" w:name="_Toc334080773"/>
      <w:bookmarkStart w:id="414" w:name="_Toc273462096"/>
      <w:bookmarkStart w:id="415" w:name="_Toc333229940"/>
      <w:bookmarkStart w:id="416" w:name="_Toc332292986"/>
      <w:bookmarkStart w:id="417" w:name="_Toc465676980"/>
      <w:bookmarkStart w:id="418" w:name="_Toc12770"/>
      <w:r>
        <w:rPr>
          <w:rStyle w:val="2Char1Char"/>
          <w:rFonts w:ascii="Times New Roman" w:eastAsia="宋体" w:hAnsi="Times New Roman" w:cs="Times New Roman"/>
          <w:b w:val="0"/>
          <w:sz w:val="24"/>
          <w:szCs w:val="24"/>
        </w:rPr>
        <w:t xml:space="preserve">3.1.3 </w:t>
      </w:r>
      <w:r>
        <w:rPr>
          <w:rStyle w:val="2Char1Char"/>
          <w:rFonts w:ascii="Times New Roman" w:eastAsia="宋体" w:hAnsi="宋体" w:cs="Times New Roman"/>
          <w:b w:val="0"/>
          <w:sz w:val="24"/>
          <w:szCs w:val="24"/>
        </w:rPr>
        <w:t>建设地点</w:t>
      </w:r>
      <w:bookmarkEnd w:id="410"/>
      <w:bookmarkEnd w:id="411"/>
      <w:bookmarkEnd w:id="412"/>
      <w:bookmarkEnd w:id="413"/>
      <w:bookmarkEnd w:id="414"/>
      <w:bookmarkEnd w:id="415"/>
      <w:bookmarkEnd w:id="416"/>
      <w:bookmarkEnd w:id="417"/>
      <w:bookmarkEnd w:id="418"/>
      <w:r>
        <w:rPr>
          <w:rStyle w:val="2Char1Char"/>
          <w:rFonts w:ascii="Times New Roman" w:eastAsia="宋体" w:hAnsi="宋体" w:cs="Times New Roman" w:hint="eastAsia"/>
          <w:b w:val="0"/>
          <w:sz w:val="24"/>
          <w:szCs w:val="24"/>
        </w:rPr>
        <w:t>及人员机构</w:t>
      </w:r>
    </w:p>
    <w:p w:rsidR="00475650" w:rsidRDefault="00475650">
      <w:pPr>
        <w:spacing w:line="360" w:lineRule="auto"/>
        <w:ind w:firstLineChars="200" w:firstLine="464"/>
        <w:rPr>
          <w:rFonts w:hAnsi="宋体"/>
          <w:spacing w:val="-4"/>
          <w:sz w:val="24"/>
        </w:rPr>
      </w:pPr>
      <w:r>
        <w:rPr>
          <w:rFonts w:hAnsi="宋体"/>
          <w:spacing w:val="-4"/>
          <w:sz w:val="24"/>
        </w:rPr>
        <w:t>建设地点：</w:t>
      </w:r>
      <w:r>
        <w:rPr>
          <w:rFonts w:hAnsi="宋体"/>
          <w:sz w:val="24"/>
        </w:rPr>
        <w:t>临湘工业园滨江产业区</w:t>
      </w:r>
      <w:r>
        <w:rPr>
          <w:rFonts w:hAnsi="宋体"/>
          <w:spacing w:val="-4"/>
          <w:sz w:val="24"/>
        </w:rPr>
        <w:t>（原湖南省临湘工业园儒溪工业区）</w:t>
      </w:r>
      <w:r>
        <w:rPr>
          <w:spacing w:val="-4"/>
          <w:sz w:val="24"/>
        </w:rPr>
        <w:t>——</w:t>
      </w:r>
      <w:r>
        <w:rPr>
          <w:rFonts w:hAnsi="宋体"/>
          <w:spacing w:val="-4"/>
          <w:sz w:val="24"/>
        </w:rPr>
        <w:t>临湘市鹏程化工有限公司预留地内。</w:t>
      </w:r>
    </w:p>
    <w:p w:rsidR="00475650" w:rsidRDefault="00475650">
      <w:pPr>
        <w:spacing w:line="360" w:lineRule="auto"/>
        <w:ind w:firstLineChars="200" w:firstLine="464"/>
        <w:rPr>
          <w:spacing w:val="-4"/>
          <w:sz w:val="24"/>
        </w:rPr>
      </w:pPr>
      <w:r>
        <w:rPr>
          <w:rFonts w:hAnsi="宋体"/>
          <w:spacing w:val="-4"/>
          <w:sz w:val="24"/>
        </w:rPr>
        <w:t>本装置仅考虑操作定员，管理人员及系统配套所需人员均为公司现有工程调配。装置操作新增定员共</w:t>
      </w:r>
      <w:r>
        <w:rPr>
          <w:spacing w:val="-4"/>
          <w:sz w:val="24"/>
        </w:rPr>
        <w:t>60</w:t>
      </w:r>
      <w:r>
        <w:rPr>
          <w:rFonts w:hAnsi="宋体"/>
          <w:spacing w:val="-4"/>
          <w:sz w:val="24"/>
        </w:rPr>
        <w:t>人，采用</w:t>
      </w:r>
      <w:r>
        <w:rPr>
          <w:spacing w:val="-4"/>
          <w:sz w:val="24"/>
        </w:rPr>
        <w:t>“</w:t>
      </w:r>
      <w:r>
        <w:rPr>
          <w:rFonts w:hAnsi="宋体"/>
          <w:spacing w:val="-4"/>
          <w:sz w:val="24"/>
        </w:rPr>
        <w:t>三班制</w:t>
      </w:r>
      <w:r>
        <w:rPr>
          <w:spacing w:val="-4"/>
          <w:sz w:val="24"/>
        </w:rPr>
        <w:t>”</w:t>
      </w:r>
      <w:r>
        <w:rPr>
          <w:rFonts w:hAnsi="宋体"/>
          <w:spacing w:val="-4"/>
          <w:sz w:val="24"/>
        </w:rPr>
        <w:t>生产方式，工作时间为</w:t>
      </w:r>
      <w:r>
        <w:rPr>
          <w:spacing w:val="-4"/>
          <w:sz w:val="24"/>
        </w:rPr>
        <w:t>300</w:t>
      </w:r>
      <w:r>
        <w:rPr>
          <w:rFonts w:hAnsi="宋体"/>
          <w:spacing w:val="-4"/>
          <w:sz w:val="24"/>
        </w:rPr>
        <w:t>天，每天工作时间为</w:t>
      </w:r>
      <w:r>
        <w:rPr>
          <w:spacing w:val="-4"/>
          <w:sz w:val="24"/>
        </w:rPr>
        <w:t>24</w:t>
      </w:r>
      <w:r>
        <w:rPr>
          <w:rFonts w:hAnsi="宋体"/>
          <w:spacing w:val="-4"/>
          <w:sz w:val="24"/>
        </w:rPr>
        <w:t>小时。</w:t>
      </w:r>
    </w:p>
    <w:p w:rsidR="00475650" w:rsidRDefault="00475650">
      <w:pPr>
        <w:pStyle w:val="h"/>
        <w:spacing w:before="0" w:after="0" w:line="360" w:lineRule="auto"/>
        <w:ind w:firstLine="0"/>
        <w:outlineLvl w:val="0"/>
        <w:rPr>
          <w:rStyle w:val="2Char1Char"/>
          <w:rFonts w:ascii="Times New Roman" w:eastAsia="宋体" w:hAnsi="宋体" w:cs="Times New Roman"/>
          <w:b w:val="0"/>
          <w:sz w:val="24"/>
          <w:szCs w:val="24"/>
          <w:u w:val="single"/>
        </w:rPr>
      </w:pPr>
      <w:bookmarkStart w:id="419" w:name="_Toc302936767"/>
      <w:bookmarkStart w:id="420" w:name="_Toc332292987"/>
      <w:bookmarkStart w:id="421" w:name="_Toc334080774"/>
      <w:bookmarkStart w:id="422" w:name="_Toc333229941"/>
      <w:bookmarkStart w:id="423" w:name="_Toc334014132"/>
      <w:bookmarkStart w:id="424" w:name="_Toc465676981"/>
      <w:bookmarkStart w:id="425" w:name="_Toc25305"/>
      <w:bookmarkStart w:id="426" w:name="_Toc273462097"/>
      <w:bookmarkStart w:id="427" w:name="_Toc274984499"/>
      <w:r>
        <w:rPr>
          <w:rStyle w:val="2Char1Char"/>
          <w:rFonts w:ascii="Times New Roman" w:eastAsia="宋体" w:hAnsi="Times New Roman" w:cs="Times New Roman"/>
          <w:b w:val="0"/>
          <w:sz w:val="24"/>
          <w:szCs w:val="24"/>
          <w:u w:val="single"/>
        </w:rPr>
        <w:t>3.1.</w:t>
      </w:r>
      <w:bookmarkStart w:id="428" w:name="_Toc273462099"/>
      <w:bookmarkStart w:id="429" w:name="_Toc274984501"/>
      <w:r>
        <w:rPr>
          <w:rStyle w:val="2Char1Char"/>
          <w:rFonts w:ascii="Times New Roman" w:eastAsia="宋体" w:hAnsi="Times New Roman" w:cs="Times New Roman"/>
          <w:b w:val="0"/>
          <w:sz w:val="24"/>
          <w:szCs w:val="24"/>
          <w:u w:val="single"/>
        </w:rPr>
        <w:t>4</w:t>
      </w:r>
      <w:bookmarkEnd w:id="419"/>
      <w:bookmarkEnd w:id="420"/>
      <w:bookmarkEnd w:id="421"/>
      <w:bookmarkEnd w:id="422"/>
      <w:bookmarkEnd w:id="423"/>
      <w:bookmarkEnd w:id="424"/>
      <w:bookmarkEnd w:id="425"/>
      <w:bookmarkEnd w:id="428"/>
      <w:bookmarkEnd w:id="429"/>
      <w:r>
        <w:rPr>
          <w:rStyle w:val="2Char1Char"/>
          <w:rFonts w:ascii="Times New Roman" w:eastAsia="宋体" w:hAnsi="宋体" w:cs="Times New Roman" w:hint="eastAsia"/>
          <w:b w:val="0"/>
          <w:sz w:val="24"/>
          <w:szCs w:val="24"/>
          <w:u w:val="single"/>
        </w:rPr>
        <w:t>建设背景调查</w:t>
      </w:r>
    </w:p>
    <w:p w:rsidR="00475650" w:rsidRDefault="00475650">
      <w:pPr>
        <w:snapToGrid w:val="0"/>
        <w:spacing w:line="360" w:lineRule="auto"/>
        <w:ind w:firstLineChars="200" w:firstLine="480"/>
        <w:rPr>
          <w:rFonts w:hAnsi="宋体"/>
          <w:sz w:val="24"/>
          <w:u w:val="single"/>
        </w:rPr>
      </w:pPr>
      <w:r>
        <w:rPr>
          <w:rFonts w:hAnsi="宋体" w:hint="eastAsia"/>
          <w:sz w:val="24"/>
          <w:u w:val="single"/>
        </w:rPr>
        <w:t>本项目于</w:t>
      </w:r>
      <w:r>
        <w:rPr>
          <w:rFonts w:hAnsi="宋体" w:hint="eastAsia"/>
          <w:sz w:val="24"/>
          <w:u w:val="single"/>
        </w:rPr>
        <w:t>2013</w:t>
      </w:r>
      <w:r>
        <w:rPr>
          <w:rFonts w:hAnsi="宋体" w:hint="eastAsia"/>
          <w:sz w:val="24"/>
          <w:u w:val="single"/>
        </w:rPr>
        <w:t>年开工建设，</w:t>
      </w:r>
      <w:r>
        <w:rPr>
          <w:rFonts w:hAnsi="宋体" w:hint="eastAsia"/>
          <w:sz w:val="24"/>
          <w:u w:val="single"/>
        </w:rPr>
        <w:t>2014</w:t>
      </w:r>
      <w:r>
        <w:rPr>
          <w:rFonts w:hAnsi="宋体" w:hint="eastAsia"/>
          <w:sz w:val="24"/>
          <w:u w:val="single"/>
        </w:rPr>
        <w:t>年年底生产主体工程已建成，设主厂房一座，除污水处理站外，其他建设工程内容均位于主厂房内，其中主厂房占地约</w:t>
      </w:r>
      <w:r>
        <w:rPr>
          <w:rFonts w:hAnsi="宋体" w:hint="eastAsia"/>
          <w:sz w:val="24"/>
          <w:u w:val="single"/>
        </w:rPr>
        <w:t>3000m</w:t>
      </w:r>
      <w:r>
        <w:rPr>
          <w:rFonts w:hAnsi="宋体" w:hint="eastAsia"/>
          <w:sz w:val="24"/>
          <w:u w:val="single"/>
          <w:vertAlign w:val="superscript"/>
        </w:rPr>
        <w:t>2</w:t>
      </w:r>
      <w:r>
        <w:rPr>
          <w:rFonts w:hAnsi="宋体" w:hint="eastAsia"/>
          <w:sz w:val="24"/>
          <w:u w:val="single"/>
        </w:rPr>
        <w:t>，污水处理设施拟占地约</w:t>
      </w:r>
      <w:r>
        <w:rPr>
          <w:rFonts w:hAnsi="宋体" w:hint="eastAsia"/>
          <w:sz w:val="24"/>
          <w:u w:val="single"/>
        </w:rPr>
        <w:t>300 m</w:t>
      </w:r>
      <w:r>
        <w:rPr>
          <w:rFonts w:hAnsi="宋体" w:hint="eastAsia"/>
          <w:sz w:val="24"/>
          <w:u w:val="single"/>
          <w:vertAlign w:val="superscript"/>
        </w:rPr>
        <w:t>2</w:t>
      </w:r>
      <w:r>
        <w:rPr>
          <w:rFonts w:hAnsi="宋体" w:hint="eastAsia"/>
          <w:sz w:val="24"/>
          <w:u w:val="single"/>
        </w:rPr>
        <w:t>，建成项目及待建项目清单如下：</w:t>
      </w:r>
    </w:p>
    <w:p w:rsidR="00475650" w:rsidRDefault="00475650">
      <w:pPr>
        <w:snapToGrid w:val="0"/>
        <w:spacing w:line="360" w:lineRule="auto"/>
        <w:ind w:firstLineChars="200" w:firstLine="480"/>
        <w:rPr>
          <w:rFonts w:hAnsi="宋体"/>
          <w:sz w:val="24"/>
          <w:u w:val="single"/>
        </w:rPr>
      </w:pPr>
    </w:p>
    <w:p w:rsidR="00475650" w:rsidRDefault="00475650">
      <w:pPr>
        <w:snapToGrid w:val="0"/>
        <w:spacing w:line="360" w:lineRule="auto"/>
        <w:ind w:firstLineChars="200" w:firstLine="480"/>
        <w:rPr>
          <w:rFonts w:hAnsi="宋体"/>
          <w:sz w:val="24"/>
          <w:u w:val="single"/>
        </w:rPr>
      </w:pPr>
    </w:p>
    <w:p w:rsidR="00475650" w:rsidRDefault="00475650">
      <w:pPr>
        <w:snapToGrid w:val="0"/>
        <w:spacing w:line="360" w:lineRule="auto"/>
        <w:ind w:firstLineChars="200" w:firstLine="480"/>
        <w:rPr>
          <w:rFonts w:hAnsi="宋体"/>
          <w:sz w:val="24"/>
          <w:u w:val="single"/>
        </w:rPr>
      </w:pPr>
    </w:p>
    <w:p w:rsidR="00475650" w:rsidRDefault="00475650">
      <w:pPr>
        <w:snapToGrid w:val="0"/>
        <w:spacing w:line="360" w:lineRule="auto"/>
        <w:ind w:firstLineChars="200" w:firstLine="480"/>
        <w:rPr>
          <w:rFonts w:hAnsi="宋体"/>
          <w:sz w:val="24"/>
          <w:u w:val="single"/>
        </w:rPr>
      </w:pPr>
    </w:p>
    <w:p w:rsidR="00475650" w:rsidRDefault="00475650">
      <w:pPr>
        <w:pStyle w:val="affffffffff3"/>
        <w:rPr>
          <w:rFonts w:ascii="Times New Roman"/>
          <w:u w:val="single"/>
        </w:rPr>
      </w:pPr>
      <w:r>
        <w:rPr>
          <w:rFonts w:ascii="Times New Roman"/>
          <w:u w:val="single"/>
        </w:rPr>
        <w:lastRenderedPageBreak/>
        <w:t>表</w:t>
      </w:r>
      <w:r>
        <w:rPr>
          <w:rFonts w:ascii="Times New Roman" w:hAnsi="Times New Roman"/>
          <w:u w:val="single"/>
        </w:rPr>
        <w:t xml:space="preserve">3.1-1    </w:t>
      </w:r>
      <w:r>
        <w:rPr>
          <w:rFonts w:ascii="Times New Roman" w:hint="eastAsia"/>
          <w:u w:val="single"/>
        </w:rPr>
        <w:t>本项目基本建设情况一览表</w:t>
      </w:r>
    </w:p>
    <w:tbl>
      <w:tblPr>
        <w:tblW w:w="89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585"/>
        <w:gridCol w:w="1277"/>
        <w:gridCol w:w="1532"/>
        <w:gridCol w:w="3685"/>
        <w:gridCol w:w="1916"/>
      </w:tblGrid>
      <w:tr w:rsidR="00475650" w:rsidTr="008A065C">
        <w:trPr>
          <w:trHeight w:val="159"/>
          <w:jc w:val="center"/>
        </w:trPr>
        <w:tc>
          <w:tcPr>
            <w:tcW w:w="585" w:type="dxa"/>
            <w:vAlign w:val="center"/>
          </w:tcPr>
          <w:p w:rsidR="00475650" w:rsidRDefault="00475650">
            <w:pPr>
              <w:pStyle w:val="21f1"/>
              <w:spacing w:line="216" w:lineRule="auto"/>
              <w:rPr>
                <w:rFonts w:ascii="Times New Roman" w:hAnsi="Times New Roman"/>
                <w:color w:val="auto"/>
                <w:szCs w:val="21"/>
                <w:u w:val="single"/>
              </w:rPr>
            </w:pPr>
            <w:r>
              <w:rPr>
                <w:rFonts w:ascii="Times New Roman" w:hAnsi="宋体"/>
                <w:color w:val="auto"/>
                <w:szCs w:val="21"/>
                <w:u w:val="single"/>
              </w:rPr>
              <w:t>序号</w:t>
            </w:r>
          </w:p>
        </w:tc>
        <w:tc>
          <w:tcPr>
            <w:tcW w:w="2809" w:type="dxa"/>
            <w:gridSpan w:val="2"/>
            <w:vAlign w:val="center"/>
          </w:tcPr>
          <w:p w:rsidR="00475650" w:rsidRDefault="00475650">
            <w:pPr>
              <w:pStyle w:val="21f1"/>
              <w:spacing w:line="300" w:lineRule="auto"/>
              <w:rPr>
                <w:rFonts w:ascii="Times New Roman" w:hAnsi="Times New Roman"/>
                <w:color w:val="auto"/>
                <w:szCs w:val="21"/>
                <w:u w:val="single"/>
              </w:rPr>
            </w:pPr>
            <w:r>
              <w:rPr>
                <w:rFonts w:ascii="Times New Roman" w:hAnsi="宋体" w:hint="eastAsia"/>
                <w:color w:val="auto"/>
                <w:szCs w:val="21"/>
                <w:u w:val="single"/>
              </w:rPr>
              <w:t>项目</w:t>
            </w:r>
          </w:p>
        </w:tc>
        <w:tc>
          <w:tcPr>
            <w:tcW w:w="3685" w:type="dxa"/>
            <w:vAlign w:val="center"/>
          </w:tcPr>
          <w:p w:rsidR="00475650" w:rsidRDefault="00475650">
            <w:pPr>
              <w:pStyle w:val="21f1"/>
              <w:spacing w:line="300" w:lineRule="auto"/>
              <w:rPr>
                <w:rFonts w:ascii="Times New Roman" w:hAnsi="Times New Roman"/>
                <w:color w:val="auto"/>
                <w:szCs w:val="21"/>
                <w:u w:val="single"/>
              </w:rPr>
            </w:pPr>
            <w:r>
              <w:rPr>
                <w:rFonts w:ascii="Times New Roman" w:hAnsi="宋体" w:hint="eastAsia"/>
                <w:color w:val="auto"/>
                <w:szCs w:val="21"/>
                <w:u w:val="single"/>
              </w:rPr>
              <w:t>建设内容</w:t>
            </w:r>
          </w:p>
        </w:tc>
        <w:tc>
          <w:tcPr>
            <w:tcW w:w="1916" w:type="dxa"/>
            <w:vAlign w:val="center"/>
          </w:tcPr>
          <w:p w:rsidR="00475650" w:rsidRDefault="00475650">
            <w:pPr>
              <w:pStyle w:val="21f1"/>
              <w:spacing w:line="300" w:lineRule="auto"/>
              <w:rPr>
                <w:rFonts w:ascii="Times New Roman" w:hAnsi="Times New Roman"/>
                <w:color w:val="auto"/>
                <w:szCs w:val="21"/>
                <w:u w:val="single"/>
              </w:rPr>
            </w:pPr>
            <w:r>
              <w:rPr>
                <w:rFonts w:ascii="Times New Roman" w:hAnsi="宋体"/>
                <w:color w:val="auto"/>
                <w:szCs w:val="21"/>
                <w:u w:val="single"/>
              </w:rPr>
              <w:t>备注</w:t>
            </w:r>
          </w:p>
        </w:tc>
      </w:tr>
      <w:tr w:rsidR="00475650" w:rsidTr="008A065C">
        <w:trPr>
          <w:trHeight w:val="159"/>
          <w:jc w:val="center"/>
        </w:trPr>
        <w:tc>
          <w:tcPr>
            <w:tcW w:w="8995" w:type="dxa"/>
            <w:gridSpan w:val="5"/>
            <w:vAlign w:val="center"/>
          </w:tcPr>
          <w:p w:rsidR="00475650" w:rsidRDefault="00475650">
            <w:pPr>
              <w:snapToGrid w:val="0"/>
              <w:jc w:val="center"/>
              <w:rPr>
                <w:szCs w:val="21"/>
                <w:u w:val="single"/>
              </w:rPr>
            </w:pPr>
            <w:r>
              <w:rPr>
                <w:rFonts w:hAnsi="宋体"/>
                <w:szCs w:val="21"/>
                <w:u w:val="single"/>
              </w:rPr>
              <w:t>一</w:t>
            </w:r>
            <w:r>
              <w:rPr>
                <w:rFonts w:hint="eastAsia"/>
                <w:szCs w:val="21"/>
                <w:u w:val="single"/>
              </w:rPr>
              <w:t>、</w:t>
            </w:r>
            <w:r>
              <w:rPr>
                <w:rFonts w:hAnsi="宋体" w:hint="eastAsia"/>
                <w:szCs w:val="21"/>
                <w:u w:val="single"/>
              </w:rPr>
              <w:t>主体工程</w:t>
            </w:r>
          </w:p>
        </w:tc>
      </w:tr>
      <w:tr w:rsidR="00475650" w:rsidTr="008A065C">
        <w:trPr>
          <w:trHeight w:val="159"/>
          <w:jc w:val="center"/>
        </w:trPr>
        <w:tc>
          <w:tcPr>
            <w:tcW w:w="585" w:type="dxa"/>
            <w:vMerge w:val="restart"/>
            <w:vAlign w:val="center"/>
          </w:tcPr>
          <w:p w:rsidR="00475650" w:rsidRDefault="00475650">
            <w:pPr>
              <w:snapToGrid w:val="0"/>
              <w:jc w:val="center"/>
              <w:rPr>
                <w:szCs w:val="21"/>
                <w:u w:val="single"/>
              </w:rPr>
            </w:pPr>
            <w:r>
              <w:rPr>
                <w:szCs w:val="21"/>
                <w:u w:val="single"/>
              </w:rPr>
              <w:t>1</w:t>
            </w:r>
          </w:p>
        </w:tc>
        <w:tc>
          <w:tcPr>
            <w:tcW w:w="1277" w:type="dxa"/>
            <w:vMerge w:val="restart"/>
            <w:vAlign w:val="center"/>
          </w:tcPr>
          <w:p w:rsidR="00475650" w:rsidRDefault="00475650">
            <w:pPr>
              <w:snapToGrid w:val="0"/>
              <w:jc w:val="center"/>
              <w:rPr>
                <w:szCs w:val="21"/>
                <w:u w:val="single"/>
              </w:rPr>
            </w:pPr>
            <w:r>
              <w:rPr>
                <w:rFonts w:hint="eastAsia"/>
                <w:szCs w:val="21"/>
                <w:u w:val="single"/>
              </w:rPr>
              <w:t>主生产装置</w:t>
            </w:r>
          </w:p>
        </w:tc>
        <w:tc>
          <w:tcPr>
            <w:tcW w:w="1532" w:type="dxa"/>
            <w:vAlign w:val="center"/>
          </w:tcPr>
          <w:p w:rsidR="00475650" w:rsidRDefault="00475650">
            <w:pPr>
              <w:snapToGrid w:val="0"/>
              <w:jc w:val="center"/>
              <w:rPr>
                <w:szCs w:val="21"/>
                <w:u w:val="single"/>
              </w:rPr>
            </w:pPr>
            <w:r>
              <w:rPr>
                <w:rFonts w:hint="eastAsia"/>
                <w:szCs w:val="21"/>
                <w:u w:val="single"/>
              </w:rPr>
              <w:t>酸性红生产线</w:t>
            </w:r>
          </w:p>
        </w:tc>
        <w:tc>
          <w:tcPr>
            <w:tcW w:w="3685" w:type="dxa"/>
            <w:vAlign w:val="center"/>
          </w:tcPr>
          <w:p w:rsidR="00475650" w:rsidRDefault="00475650">
            <w:pPr>
              <w:snapToGrid w:val="0"/>
              <w:jc w:val="center"/>
              <w:rPr>
                <w:szCs w:val="21"/>
                <w:u w:val="single"/>
              </w:rPr>
            </w:pPr>
            <w:r>
              <w:rPr>
                <w:rFonts w:hint="eastAsia"/>
                <w:szCs w:val="21"/>
                <w:u w:val="single"/>
              </w:rPr>
              <w:t>生产规模为</w:t>
            </w:r>
            <w:r>
              <w:rPr>
                <w:rFonts w:hint="eastAsia"/>
                <w:szCs w:val="21"/>
                <w:u w:val="single"/>
              </w:rPr>
              <w:t>4000t/a</w:t>
            </w:r>
            <w:r>
              <w:rPr>
                <w:rFonts w:hint="eastAsia"/>
                <w:szCs w:val="21"/>
                <w:u w:val="single"/>
              </w:rPr>
              <w:t>，生产工序为酰化、重氮、偶合等；</w:t>
            </w:r>
          </w:p>
        </w:tc>
        <w:tc>
          <w:tcPr>
            <w:tcW w:w="1916" w:type="dxa"/>
            <w:vAlign w:val="center"/>
          </w:tcPr>
          <w:p w:rsidR="00475650" w:rsidRDefault="00475650">
            <w:pPr>
              <w:snapToGrid w:val="0"/>
              <w:jc w:val="center"/>
              <w:rPr>
                <w:szCs w:val="21"/>
                <w:u w:val="single"/>
              </w:rPr>
            </w:pPr>
            <w:r>
              <w:rPr>
                <w:rFonts w:hint="eastAsia"/>
                <w:szCs w:val="21"/>
                <w:u w:val="single"/>
              </w:rPr>
              <w:t>已建成，位于主厂房</w:t>
            </w:r>
          </w:p>
        </w:tc>
      </w:tr>
      <w:tr w:rsidR="00475650" w:rsidTr="008A065C">
        <w:trPr>
          <w:trHeight w:val="159"/>
          <w:jc w:val="center"/>
        </w:trPr>
        <w:tc>
          <w:tcPr>
            <w:tcW w:w="585" w:type="dxa"/>
            <w:vMerge/>
            <w:vAlign w:val="center"/>
          </w:tcPr>
          <w:p w:rsidR="00475650" w:rsidRDefault="00475650">
            <w:pPr>
              <w:snapToGrid w:val="0"/>
              <w:jc w:val="center"/>
              <w:rPr>
                <w:szCs w:val="21"/>
                <w:u w:val="single"/>
              </w:rPr>
            </w:pPr>
          </w:p>
        </w:tc>
        <w:tc>
          <w:tcPr>
            <w:tcW w:w="1277" w:type="dxa"/>
            <w:vMerge/>
            <w:vAlign w:val="center"/>
          </w:tcPr>
          <w:p w:rsidR="00475650" w:rsidRDefault="00475650">
            <w:pPr>
              <w:snapToGrid w:val="0"/>
              <w:jc w:val="center"/>
              <w:rPr>
                <w:szCs w:val="21"/>
                <w:u w:val="single"/>
              </w:rPr>
            </w:pPr>
          </w:p>
        </w:tc>
        <w:tc>
          <w:tcPr>
            <w:tcW w:w="1532" w:type="dxa"/>
            <w:vAlign w:val="center"/>
          </w:tcPr>
          <w:p w:rsidR="00475650" w:rsidRDefault="00475650">
            <w:pPr>
              <w:snapToGrid w:val="0"/>
              <w:jc w:val="center"/>
              <w:rPr>
                <w:szCs w:val="21"/>
                <w:u w:val="single"/>
              </w:rPr>
            </w:pPr>
            <w:r>
              <w:rPr>
                <w:rFonts w:hint="eastAsia"/>
                <w:szCs w:val="21"/>
                <w:u w:val="single"/>
              </w:rPr>
              <w:t>酸性黄生产线</w:t>
            </w:r>
          </w:p>
        </w:tc>
        <w:tc>
          <w:tcPr>
            <w:tcW w:w="3685" w:type="dxa"/>
            <w:vAlign w:val="center"/>
          </w:tcPr>
          <w:p w:rsidR="00475650" w:rsidRDefault="00475650">
            <w:pPr>
              <w:snapToGrid w:val="0"/>
              <w:jc w:val="center"/>
              <w:rPr>
                <w:szCs w:val="21"/>
                <w:u w:val="single"/>
              </w:rPr>
            </w:pPr>
            <w:r>
              <w:rPr>
                <w:rFonts w:hint="eastAsia"/>
                <w:szCs w:val="21"/>
                <w:u w:val="single"/>
              </w:rPr>
              <w:t>生产规模为</w:t>
            </w:r>
            <w:r>
              <w:rPr>
                <w:rFonts w:hint="eastAsia"/>
                <w:szCs w:val="21"/>
                <w:u w:val="single"/>
              </w:rPr>
              <w:t>2000t/a</w:t>
            </w:r>
            <w:r>
              <w:rPr>
                <w:rFonts w:hint="eastAsia"/>
                <w:szCs w:val="21"/>
                <w:u w:val="single"/>
              </w:rPr>
              <w:t>，生产工序为重氮、偶合等；</w:t>
            </w:r>
          </w:p>
        </w:tc>
        <w:tc>
          <w:tcPr>
            <w:tcW w:w="1916" w:type="dxa"/>
            <w:vAlign w:val="center"/>
          </w:tcPr>
          <w:p w:rsidR="00475650" w:rsidRDefault="00475650">
            <w:pPr>
              <w:snapToGrid w:val="0"/>
              <w:jc w:val="center"/>
              <w:rPr>
                <w:szCs w:val="21"/>
                <w:u w:val="single"/>
              </w:rPr>
            </w:pPr>
            <w:r>
              <w:rPr>
                <w:rFonts w:hint="eastAsia"/>
                <w:szCs w:val="21"/>
                <w:u w:val="single"/>
              </w:rPr>
              <w:t>已建成，位于主厂房</w:t>
            </w:r>
          </w:p>
        </w:tc>
      </w:tr>
      <w:tr w:rsidR="00475650" w:rsidTr="008A065C">
        <w:trPr>
          <w:trHeight w:val="159"/>
          <w:jc w:val="center"/>
        </w:trPr>
        <w:tc>
          <w:tcPr>
            <w:tcW w:w="585" w:type="dxa"/>
            <w:vAlign w:val="center"/>
          </w:tcPr>
          <w:p w:rsidR="00475650" w:rsidRDefault="00475650">
            <w:pPr>
              <w:snapToGrid w:val="0"/>
              <w:jc w:val="center"/>
              <w:rPr>
                <w:szCs w:val="21"/>
                <w:u w:val="single"/>
              </w:rPr>
            </w:pPr>
            <w:r>
              <w:rPr>
                <w:szCs w:val="21"/>
                <w:u w:val="single"/>
              </w:rPr>
              <w:t>2</w:t>
            </w:r>
          </w:p>
        </w:tc>
        <w:tc>
          <w:tcPr>
            <w:tcW w:w="1277" w:type="dxa"/>
            <w:vAlign w:val="center"/>
          </w:tcPr>
          <w:p w:rsidR="00475650" w:rsidRDefault="00475650">
            <w:pPr>
              <w:snapToGrid w:val="0"/>
              <w:jc w:val="center"/>
              <w:rPr>
                <w:szCs w:val="21"/>
                <w:u w:val="single"/>
              </w:rPr>
            </w:pPr>
            <w:r>
              <w:rPr>
                <w:rFonts w:hint="eastAsia"/>
                <w:szCs w:val="21"/>
                <w:u w:val="single"/>
              </w:rPr>
              <w:t>计量装置</w:t>
            </w:r>
          </w:p>
        </w:tc>
        <w:tc>
          <w:tcPr>
            <w:tcW w:w="5217" w:type="dxa"/>
            <w:gridSpan w:val="2"/>
            <w:vAlign w:val="center"/>
          </w:tcPr>
          <w:p w:rsidR="00475650" w:rsidRDefault="00475650">
            <w:pPr>
              <w:snapToGrid w:val="0"/>
              <w:jc w:val="center"/>
              <w:rPr>
                <w:szCs w:val="21"/>
                <w:u w:val="single"/>
              </w:rPr>
            </w:pPr>
            <w:r>
              <w:rPr>
                <w:rFonts w:hint="eastAsia"/>
                <w:szCs w:val="21"/>
                <w:u w:val="single"/>
              </w:rPr>
              <w:t>包括盐酸计量槽、碳酸钠计量槽、亚硝酸钠计量槽、液碱计量槽等，位于生产车间</w:t>
            </w:r>
          </w:p>
        </w:tc>
        <w:tc>
          <w:tcPr>
            <w:tcW w:w="1916" w:type="dxa"/>
            <w:vAlign w:val="center"/>
          </w:tcPr>
          <w:p w:rsidR="00475650" w:rsidRDefault="00475650">
            <w:pPr>
              <w:snapToGrid w:val="0"/>
              <w:jc w:val="center"/>
              <w:rPr>
                <w:szCs w:val="21"/>
                <w:u w:val="single"/>
              </w:rPr>
            </w:pPr>
            <w:r>
              <w:rPr>
                <w:rFonts w:hint="eastAsia"/>
                <w:szCs w:val="21"/>
                <w:u w:val="single"/>
              </w:rPr>
              <w:t>已建成，位于主厂房</w:t>
            </w:r>
          </w:p>
        </w:tc>
      </w:tr>
      <w:tr w:rsidR="00475650" w:rsidTr="008A065C">
        <w:trPr>
          <w:trHeight w:val="159"/>
          <w:jc w:val="center"/>
        </w:trPr>
        <w:tc>
          <w:tcPr>
            <w:tcW w:w="585" w:type="dxa"/>
            <w:vMerge w:val="restart"/>
            <w:vAlign w:val="center"/>
          </w:tcPr>
          <w:p w:rsidR="00475650" w:rsidRDefault="00475650">
            <w:pPr>
              <w:snapToGrid w:val="0"/>
              <w:jc w:val="center"/>
              <w:rPr>
                <w:szCs w:val="21"/>
                <w:u w:val="single"/>
              </w:rPr>
            </w:pPr>
            <w:r>
              <w:rPr>
                <w:szCs w:val="21"/>
                <w:u w:val="single"/>
              </w:rPr>
              <w:t>3</w:t>
            </w:r>
          </w:p>
        </w:tc>
        <w:tc>
          <w:tcPr>
            <w:tcW w:w="1277" w:type="dxa"/>
            <w:vMerge w:val="restart"/>
            <w:vAlign w:val="center"/>
          </w:tcPr>
          <w:p w:rsidR="00475650" w:rsidRDefault="00475650">
            <w:pPr>
              <w:snapToGrid w:val="0"/>
              <w:jc w:val="center"/>
              <w:rPr>
                <w:szCs w:val="21"/>
                <w:u w:val="single"/>
              </w:rPr>
            </w:pPr>
            <w:r>
              <w:rPr>
                <w:rFonts w:hint="eastAsia"/>
                <w:szCs w:val="21"/>
                <w:u w:val="single"/>
              </w:rPr>
              <w:t>后处理装置</w:t>
            </w:r>
          </w:p>
        </w:tc>
        <w:tc>
          <w:tcPr>
            <w:tcW w:w="1532" w:type="dxa"/>
            <w:vAlign w:val="center"/>
          </w:tcPr>
          <w:p w:rsidR="00475650" w:rsidRDefault="00475650">
            <w:pPr>
              <w:snapToGrid w:val="0"/>
              <w:jc w:val="center"/>
              <w:rPr>
                <w:szCs w:val="21"/>
                <w:u w:val="single"/>
              </w:rPr>
            </w:pPr>
            <w:r>
              <w:rPr>
                <w:rFonts w:hint="eastAsia"/>
                <w:szCs w:val="21"/>
                <w:u w:val="single"/>
              </w:rPr>
              <w:t>压滤</w:t>
            </w:r>
          </w:p>
        </w:tc>
        <w:tc>
          <w:tcPr>
            <w:tcW w:w="3685" w:type="dxa"/>
            <w:vAlign w:val="center"/>
          </w:tcPr>
          <w:p w:rsidR="00475650" w:rsidRDefault="00475650">
            <w:pPr>
              <w:snapToGrid w:val="0"/>
              <w:jc w:val="center"/>
              <w:rPr>
                <w:szCs w:val="21"/>
                <w:u w:val="single"/>
              </w:rPr>
            </w:pPr>
            <w:r>
              <w:rPr>
                <w:rFonts w:hint="eastAsia"/>
                <w:szCs w:val="21"/>
                <w:u w:val="single"/>
              </w:rPr>
              <w:t>将生产装置来的初成品进行压滤脱水，设隔膜压滤设备，需建设两台隔膜压滤机，现已建成一台</w:t>
            </w:r>
          </w:p>
        </w:tc>
        <w:tc>
          <w:tcPr>
            <w:tcW w:w="1916" w:type="dxa"/>
            <w:vAlign w:val="center"/>
          </w:tcPr>
          <w:p w:rsidR="00475650" w:rsidRDefault="00475650">
            <w:pPr>
              <w:snapToGrid w:val="0"/>
              <w:jc w:val="center"/>
              <w:rPr>
                <w:szCs w:val="21"/>
                <w:u w:val="single"/>
              </w:rPr>
            </w:pPr>
            <w:r>
              <w:rPr>
                <w:rFonts w:hint="eastAsia"/>
                <w:szCs w:val="21"/>
                <w:u w:val="single"/>
              </w:rPr>
              <w:t>部分建成，位于主厂房</w:t>
            </w:r>
          </w:p>
        </w:tc>
      </w:tr>
      <w:tr w:rsidR="00475650" w:rsidTr="008A065C">
        <w:trPr>
          <w:trHeight w:val="159"/>
          <w:jc w:val="center"/>
        </w:trPr>
        <w:tc>
          <w:tcPr>
            <w:tcW w:w="585" w:type="dxa"/>
            <w:vMerge/>
            <w:vAlign w:val="center"/>
          </w:tcPr>
          <w:p w:rsidR="00475650" w:rsidRDefault="00475650">
            <w:pPr>
              <w:snapToGrid w:val="0"/>
              <w:jc w:val="center"/>
              <w:rPr>
                <w:szCs w:val="21"/>
                <w:u w:val="single"/>
              </w:rPr>
            </w:pPr>
          </w:p>
        </w:tc>
        <w:tc>
          <w:tcPr>
            <w:tcW w:w="1277" w:type="dxa"/>
            <w:vMerge/>
            <w:vAlign w:val="center"/>
          </w:tcPr>
          <w:p w:rsidR="00475650" w:rsidRDefault="00475650">
            <w:pPr>
              <w:snapToGrid w:val="0"/>
              <w:jc w:val="center"/>
              <w:rPr>
                <w:szCs w:val="21"/>
                <w:u w:val="single"/>
              </w:rPr>
            </w:pPr>
          </w:p>
        </w:tc>
        <w:tc>
          <w:tcPr>
            <w:tcW w:w="1532" w:type="dxa"/>
            <w:vAlign w:val="center"/>
          </w:tcPr>
          <w:p w:rsidR="00475650" w:rsidRDefault="00475650">
            <w:pPr>
              <w:snapToGrid w:val="0"/>
              <w:jc w:val="center"/>
              <w:rPr>
                <w:szCs w:val="21"/>
                <w:u w:val="single"/>
              </w:rPr>
            </w:pPr>
            <w:r>
              <w:rPr>
                <w:rFonts w:hint="eastAsia"/>
                <w:szCs w:val="21"/>
                <w:u w:val="single"/>
              </w:rPr>
              <w:t>烘干</w:t>
            </w:r>
          </w:p>
        </w:tc>
        <w:tc>
          <w:tcPr>
            <w:tcW w:w="3685" w:type="dxa"/>
            <w:vAlign w:val="center"/>
          </w:tcPr>
          <w:p w:rsidR="00475650" w:rsidRDefault="00475650">
            <w:pPr>
              <w:snapToGrid w:val="0"/>
              <w:jc w:val="center"/>
              <w:rPr>
                <w:szCs w:val="21"/>
                <w:u w:val="single"/>
              </w:rPr>
            </w:pPr>
            <w:r>
              <w:rPr>
                <w:rFonts w:hint="eastAsia"/>
                <w:szCs w:val="21"/>
                <w:u w:val="single"/>
              </w:rPr>
              <w:t>设烘箱对压滤车间来的滤饼进行烘干，采取蒸汽间接加热的方式</w:t>
            </w:r>
          </w:p>
        </w:tc>
        <w:tc>
          <w:tcPr>
            <w:tcW w:w="1916" w:type="dxa"/>
            <w:vAlign w:val="center"/>
          </w:tcPr>
          <w:p w:rsidR="00475650" w:rsidRDefault="00475650">
            <w:pPr>
              <w:snapToGrid w:val="0"/>
              <w:jc w:val="center"/>
              <w:rPr>
                <w:szCs w:val="21"/>
                <w:u w:val="single"/>
              </w:rPr>
            </w:pPr>
            <w:r>
              <w:rPr>
                <w:rFonts w:hint="eastAsia"/>
                <w:szCs w:val="21"/>
                <w:u w:val="single"/>
              </w:rPr>
              <w:t>已建成，于主厂房内设独立的烘干间</w:t>
            </w:r>
          </w:p>
        </w:tc>
      </w:tr>
      <w:tr w:rsidR="00475650" w:rsidTr="008A065C">
        <w:trPr>
          <w:trHeight w:val="159"/>
          <w:jc w:val="center"/>
        </w:trPr>
        <w:tc>
          <w:tcPr>
            <w:tcW w:w="585" w:type="dxa"/>
            <w:vMerge/>
            <w:vAlign w:val="center"/>
          </w:tcPr>
          <w:p w:rsidR="00475650" w:rsidRDefault="00475650">
            <w:pPr>
              <w:snapToGrid w:val="0"/>
              <w:jc w:val="center"/>
              <w:rPr>
                <w:szCs w:val="21"/>
                <w:u w:val="single"/>
              </w:rPr>
            </w:pPr>
          </w:p>
        </w:tc>
        <w:tc>
          <w:tcPr>
            <w:tcW w:w="1277" w:type="dxa"/>
            <w:vMerge/>
            <w:vAlign w:val="center"/>
          </w:tcPr>
          <w:p w:rsidR="00475650" w:rsidRDefault="00475650">
            <w:pPr>
              <w:snapToGrid w:val="0"/>
              <w:jc w:val="center"/>
              <w:rPr>
                <w:szCs w:val="21"/>
                <w:u w:val="single"/>
              </w:rPr>
            </w:pPr>
          </w:p>
        </w:tc>
        <w:tc>
          <w:tcPr>
            <w:tcW w:w="1532" w:type="dxa"/>
            <w:vAlign w:val="center"/>
          </w:tcPr>
          <w:p w:rsidR="00475650" w:rsidRDefault="00475650">
            <w:pPr>
              <w:snapToGrid w:val="0"/>
              <w:jc w:val="center"/>
              <w:rPr>
                <w:szCs w:val="21"/>
                <w:u w:val="single"/>
              </w:rPr>
            </w:pPr>
            <w:r>
              <w:rPr>
                <w:rFonts w:hint="eastAsia"/>
                <w:szCs w:val="21"/>
                <w:u w:val="single"/>
              </w:rPr>
              <w:t>破碎</w:t>
            </w:r>
          </w:p>
        </w:tc>
        <w:tc>
          <w:tcPr>
            <w:tcW w:w="3685" w:type="dxa"/>
            <w:vAlign w:val="center"/>
          </w:tcPr>
          <w:p w:rsidR="00475650" w:rsidRDefault="00475650">
            <w:pPr>
              <w:snapToGrid w:val="0"/>
              <w:jc w:val="center"/>
              <w:rPr>
                <w:szCs w:val="21"/>
                <w:u w:val="single"/>
              </w:rPr>
            </w:pPr>
            <w:r>
              <w:rPr>
                <w:rFonts w:hint="eastAsia"/>
                <w:szCs w:val="21"/>
                <w:u w:val="single"/>
              </w:rPr>
              <w:t>采用球磨破碎机对干燥后的滤饼进行破碎</w:t>
            </w:r>
          </w:p>
        </w:tc>
        <w:tc>
          <w:tcPr>
            <w:tcW w:w="1916" w:type="dxa"/>
            <w:vAlign w:val="center"/>
          </w:tcPr>
          <w:p w:rsidR="00475650" w:rsidRDefault="00475650">
            <w:pPr>
              <w:snapToGrid w:val="0"/>
              <w:jc w:val="center"/>
              <w:rPr>
                <w:szCs w:val="21"/>
                <w:u w:val="single"/>
              </w:rPr>
            </w:pPr>
            <w:r>
              <w:rPr>
                <w:rFonts w:hint="eastAsia"/>
                <w:szCs w:val="21"/>
                <w:u w:val="single"/>
              </w:rPr>
              <w:t>已建成，于主厂房内设独立的破碎间</w:t>
            </w:r>
          </w:p>
        </w:tc>
      </w:tr>
      <w:tr w:rsidR="00475650" w:rsidTr="008A065C">
        <w:trPr>
          <w:trHeight w:val="159"/>
          <w:jc w:val="center"/>
        </w:trPr>
        <w:tc>
          <w:tcPr>
            <w:tcW w:w="585" w:type="dxa"/>
            <w:vMerge/>
            <w:vAlign w:val="center"/>
          </w:tcPr>
          <w:p w:rsidR="00475650" w:rsidRDefault="00475650">
            <w:pPr>
              <w:snapToGrid w:val="0"/>
              <w:jc w:val="center"/>
              <w:rPr>
                <w:szCs w:val="21"/>
                <w:u w:val="single"/>
              </w:rPr>
            </w:pPr>
          </w:p>
        </w:tc>
        <w:tc>
          <w:tcPr>
            <w:tcW w:w="1277" w:type="dxa"/>
            <w:vMerge/>
            <w:vAlign w:val="center"/>
          </w:tcPr>
          <w:p w:rsidR="00475650" w:rsidRDefault="00475650">
            <w:pPr>
              <w:snapToGrid w:val="0"/>
              <w:jc w:val="center"/>
              <w:rPr>
                <w:szCs w:val="21"/>
                <w:u w:val="single"/>
              </w:rPr>
            </w:pPr>
          </w:p>
        </w:tc>
        <w:tc>
          <w:tcPr>
            <w:tcW w:w="1532" w:type="dxa"/>
            <w:vAlign w:val="center"/>
          </w:tcPr>
          <w:p w:rsidR="00475650" w:rsidRDefault="00475650">
            <w:pPr>
              <w:snapToGrid w:val="0"/>
              <w:jc w:val="center"/>
              <w:rPr>
                <w:szCs w:val="21"/>
                <w:u w:val="single"/>
              </w:rPr>
            </w:pPr>
            <w:r>
              <w:rPr>
                <w:rFonts w:hint="eastAsia"/>
                <w:szCs w:val="21"/>
                <w:u w:val="single"/>
              </w:rPr>
              <w:t>收集</w:t>
            </w:r>
          </w:p>
        </w:tc>
        <w:tc>
          <w:tcPr>
            <w:tcW w:w="3685" w:type="dxa"/>
            <w:vAlign w:val="center"/>
          </w:tcPr>
          <w:p w:rsidR="00475650" w:rsidRDefault="00475650">
            <w:pPr>
              <w:snapToGrid w:val="0"/>
              <w:jc w:val="center"/>
              <w:rPr>
                <w:szCs w:val="21"/>
                <w:u w:val="single"/>
              </w:rPr>
            </w:pPr>
            <w:r>
              <w:rPr>
                <w:rFonts w:hint="eastAsia"/>
                <w:szCs w:val="21"/>
                <w:u w:val="single"/>
              </w:rPr>
              <w:t>设一体式收集设施对破碎后的物料进行均质收集，目前仅建成一套，还需建设一套，自动包装设备暂未建成</w:t>
            </w:r>
          </w:p>
        </w:tc>
        <w:tc>
          <w:tcPr>
            <w:tcW w:w="1916" w:type="dxa"/>
            <w:vAlign w:val="center"/>
          </w:tcPr>
          <w:p w:rsidR="00475650" w:rsidRDefault="00475650">
            <w:pPr>
              <w:snapToGrid w:val="0"/>
              <w:jc w:val="center"/>
              <w:rPr>
                <w:szCs w:val="21"/>
                <w:u w:val="single"/>
              </w:rPr>
            </w:pPr>
            <w:r>
              <w:rPr>
                <w:rFonts w:hint="eastAsia"/>
                <w:szCs w:val="21"/>
                <w:u w:val="single"/>
              </w:rPr>
              <w:t>部分建成，位于主厂房内破碎间外</w:t>
            </w:r>
          </w:p>
        </w:tc>
      </w:tr>
      <w:tr w:rsidR="00475650" w:rsidTr="008A065C">
        <w:trPr>
          <w:trHeight w:val="159"/>
          <w:jc w:val="center"/>
        </w:trPr>
        <w:tc>
          <w:tcPr>
            <w:tcW w:w="8995" w:type="dxa"/>
            <w:gridSpan w:val="5"/>
            <w:vAlign w:val="center"/>
          </w:tcPr>
          <w:p w:rsidR="00475650" w:rsidRDefault="00475650">
            <w:pPr>
              <w:snapToGrid w:val="0"/>
              <w:jc w:val="center"/>
              <w:rPr>
                <w:szCs w:val="21"/>
                <w:u w:val="single"/>
              </w:rPr>
            </w:pPr>
            <w:r>
              <w:rPr>
                <w:rFonts w:hint="eastAsia"/>
                <w:szCs w:val="21"/>
                <w:u w:val="single"/>
              </w:rPr>
              <w:t>二、辅助工程</w:t>
            </w:r>
          </w:p>
        </w:tc>
      </w:tr>
      <w:tr w:rsidR="00475650" w:rsidTr="008A065C">
        <w:trPr>
          <w:trHeight w:val="159"/>
          <w:jc w:val="center"/>
        </w:trPr>
        <w:tc>
          <w:tcPr>
            <w:tcW w:w="585" w:type="dxa"/>
            <w:vAlign w:val="center"/>
          </w:tcPr>
          <w:p w:rsidR="00475650" w:rsidRDefault="00475650">
            <w:pPr>
              <w:snapToGrid w:val="0"/>
              <w:jc w:val="center"/>
              <w:rPr>
                <w:szCs w:val="21"/>
                <w:u w:val="single"/>
              </w:rPr>
            </w:pPr>
            <w:r>
              <w:rPr>
                <w:rFonts w:hint="eastAsia"/>
                <w:szCs w:val="21"/>
                <w:u w:val="single"/>
              </w:rPr>
              <w:t>1</w:t>
            </w:r>
          </w:p>
        </w:tc>
        <w:tc>
          <w:tcPr>
            <w:tcW w:w="1277" w:type="dxa"/>
            <w:vAlign w:val="center"/>
          </w:tcPr>
          <w:p w:rsidR="00475650" w:rsidRDefault="00475650">
            <w:pPr>
              <w:snapToGrid w:val="0"/>
              <w:jc w:val="center"/>
              <w:rPr>
                <w:szCs w:val="21"/>
                <w:u w:val="single"/>
              </w:rPr>
            </w:pPr>
            <w:r>
              <w:rPr>
                <w:rFonts w:hint="eastAsia"/>
                <w:szCs w:val="21"/>
                <w:u w:val="single"/>
              </w:rPr>
              <w:t>供冷</w:t>
            </w:r>
          </w:p>
        </w:tc>
        <w:tc>
          <w:tcPr>
            <w:tcW w:w="1532" w:type="dxa"/>
            <w:vAlign w:val="center"/>
          </w:tcPr>
          <w:p w:rsidR="00475650" w:rsidRDefault="00475650">
            <w:pPr>
              <w:snapToGrid w:val="0"/>
              <w:jc w:val="center"/>
              <w:rPr>
                <w:szCs w:val="21"/>
                <w:u w:val="single"/>
              </w:rPr>
            </w:pPr>
            <w:r>
              <w:rPr>
                <w:rFonts w:hint="eastAsia"/>
                <w:szCs w:val="21"/>
                <w:u w:val="single"/>
              </w:rPr>
              <w:t>制冰机</w:t>
            </w:r>
          </w:p>
        </w:tc>
        <w:tc>
          <w:tcPr>
            <w:tcW w:w="3685" w:type="dxa"/>
            <w:vAlign w:val="center"/>
          </w:tcPr>
          <w:p w:rsidR="00475650" w:rsidRDefault="00475650">
            <w:pPr>
              <w:snapToGrid w:val="0"/>
              <w:jc w:val="center"/>
              <w:rPr>
                <w:szCs w:val="21"/>
                <w:u w:val="single"/>
              </w:rPr>
            </w:pPr>
            <w:r>
              <w:rPr>
                <w:rFonts w:hint="eastAsia"/>
                <w:szCs w:val="21"/>
                <w:u w:val="single"/>
              </w:rPr>
              <w:t>拟建设制冰机一套，能源为电源，为生产提供冰块确保反应在低温中进行</w:t>
            </w:r>
          </w:p>
        </w:tc>
        <w:tc>
          <w:tcPr>
            <w:tcW w:w="1916" w:type="dxa"/>
            <w:vAlign w:val="center"/>
          </w:tcPr>
          <w:p w:rsidR="00475650" w:rsidRDefault="00475650">
            <w:pPr>
              <w:snapToGrid w:val="0"/>
              <w:jc w:val="center"/>
              <w:rPr>
                <w:szCs w:val="21"/>
                <w:u w:val="single"/>
              </w:rPr>
            </w:pPr>
            <w:r>
              <w:rPr>
                <w:rFonts w:hint="eastAsia"/>
                <w:szCs w:val="21"/>
                <w:u w:val="single"/>
              </w:rPr>
              <w:t>未建</w:t>
            </w:r>
          </w:p>
        </w:tc>
      </w:tr>
      <w:tr w:rsidR="00475650" w:rsidTr="008A065C">
        <w:trPr>
          <w:trHeight w:val="159"/>
          <w:jc w:val="center"/>
        </w:trPr>
        <w:tc>
          <w:tcPr>
            <w:tcW w:w="585" w:type="dxa"/>
            <w:vMerge w:val="restart"/>
            <w:vAlign w:val="center"/>
          </w:tcPr>
          <w:p w:rsidR="00475650" w:rsidRDefault="00475650">
            <w:pPr>
              <w:snapToGrid w:val="0"/>
              <w:jc w:val="center"/>
              <w:rPr>
                <w:szCs w:val="21"/>
                <w:u w:val="single"/>
              </w:rPr>
            </w:pPr>
            <w:r>
              <w:rPr>
                <w:rFonts w:hint="eastAsia"/>
                <w:szCs w:val="21"/>
                <w:u w:val="single"/>
              </w:rPr>
              <w:t>2</w:t>
            </w:r>
          </w:p>
        </w:tc>
        <w:tc>
          <w:tcPr>
            <w:tcW w:w="1277" w:type="dxa"/>
            <w:vMerge w:val="restart"/>
            <w:vAlign w:val="center"/>
          </w:tcPr>
          <w:p w:rsidR="00475650" w:rsidRDefault="00475650">
            <w:pPr>
              <w:snapToGrid w:val="0"/>
              <w:jc w:val="center"/>
              <w:rPr>
                <w:szCs w:val="21"/>
                <w:u w:val="single"/>
              </w:rPr>
            </w:pPr>
            <w:r>
              <w:rPr>
                <w:rFonts w:hint="eastAsia"/>
                <w:szCs w:val="21"/>
                <w:u w:val="single"/>
              </w:rPr>
              <w:t>供热</w:t>
            </w:r>
          </w:p>
        </w:tc>
        <w:tc>
          <w:tcPr>
            <w:tcW w:w="1532" w:type="dxa"/>
            <w:vAlign w:val="center"/>
          </w:tcPr>
          <w:p w:rsidR="00475650" w:rsidRDefault="00475650">
            <w:pPr>
              <w:snapToGrid w:val="0"/>
              <w:jc w:val="center"/>
              <w:rPr>
                <w:szCs w:val="21"/>
                <w:u w:val="single"/>
              </w:rPr>
            </w:pPr>
            <w:r>
              <w:rPr>
                <w:rFonts w:hint="eastAsia"/>
                <w:szCs w:val="21"/>
                <w:u w:val="single"/>
              </w:rPr>
              <w:t>锅炉房</w:t>
            </w:r>
          </w:p>
        </w:tc>
        <w:tc>
          <w:tcPr>
            <w:tcW w:w="3685" w:type="dxa"/>
            <w:vAlign w:val="center"/>
          </w:tcPr>
          <w:p w:rsidR="00475650" w:rsidRDefault="00475650">
            <w:pPr>
              <w:snapToGrid w:val="0"/>
              <w:rPr>
                <w:szCs w:val="21"/>
                <w:u w:val="single"/>
              </w:rPr>
            </w:pPr>
            <w:r>
              <w:rPr>
                <w:szCs w:val="21"/>
                <w:u w:val="single"/>
              </w:rPr>
              <w:t>包括一个</w:t>
            </w:r>
            <w:r>
              <w:rPr>
                <w:szCs w:val="21"/>
                <w:u w:val="single"/>
              </w:rPr>
              <w:t xml:space="preserve">4t/h </w:t>
            </w:r>
            <w:r>
              <w:rPr>
                <w:szCs w:val="21"/>
                <w:u w:val="single"/>
              </w:rPr>
              <w:t>的燃煤锅炉和一个</w:t>
            </w:r>
            <w:r>
              <w:rPr>
                <w:szCs w:val="21"/>
                <w:u w:val="single"/>
              </w:rPr>
              <w:t>35m</w:t>
            </w:r>
            <w:r>
              <w:rPr>
                <w:szCs w:val="21"/>
                <w:u w:val="single"/>
              </w:rPr>
              <w:t>的</w:t>
            </w:r>
            <w:r>
              <w:rPr>
                <w:rFonts w:hint="eastAsia"/>
                <w:szCs w:val="21"/>
                <w:u w:val="single"/>
              </w:rPr>
              <w:t>钢</w:t>
            </w:r>
            <w:r>
              <w:rPr>
                <w:szCs w:val="21"/>
                <w:u w:val="single"/>
              </w:rPr>
              <w:t>烟囱，目前园区已实现集中供热，锅炉</w:t>
            </w:r>
            <w:r>
              <w:rPr>
                <w:rFonts w:hint="eastAsia"/>
                <w:szCs w:val="21"/>
                <w:u w:val="single"/>
              </w:rPr>
              <w:t>及烟囱闲置，锅炉拟拆除</w:t>
            </w:r>
          </w:p>
        </w:tc>
        <w:tc>
          <w:tcPr>
            <w:tcW w:w="1916" w:type="dxa"/>
            <w:vAlign w:val="center"/>
          </w:tcPr>
          <w:p w:rsidR="00475650" w:rsidRDefault="00475650">
            <w:pPr>
              <w:snapToGrid w:val="0"/>
              <w:ind w:firstLineChars="250" w:firstLine="525"/>
              <w:rPr>
                <w:szCs w:val="21"/>
                <w:u w:val="single"/>
              </w:rPr>
            </w:pPr>
            <w:r>
              <w:rPr>
                <w:rFonts w:hint="eastAsia"/>
                <w:szCs w:val="21"/>
                <w:u w:val="single"/>
              </w:rPr>
              <w:t>拟拆除</w:t>
            </w:r>
          </w:p>
        </w:tc>
      </w:tr>
      <w:tr w:rsidR="00475650" w:rsidTr="008A065C">
        <w:trPr>
          <w:trHeight w:val="159"/>
          <w:jc w:val="center"/>
        </w:trPr>
        <w:tc>
          <w:tcPr>
            <w:tcW w:w="585" w:type="dxa"/>
            <w:vMerge/>
            <w:vAlign w:val="center"/>
          </w:tcPr>
          <w:p w:rsidR="00475650" w:rsidRDefault="00475650">
            <w:pPr>
              <w:snapToGrid w:val="0"/>
              <w:jc w:val="center"/>
              <w:rPr>
                <w:szCs w:val="21"/>
                <w:u w:val="single"/>
              </w:rPr>
            </w:pPr>
          </w:p>
        </w:tc>
        <w:tc>
          <w:tcPr>
            <w:tcW w:w="1277" w:type="dxa"/>
            <w:vMerge/>
            <w:vAlign w:val="center"/>
          </w:tcPr>
          <w:p w:rsidR="00475650" w:rsidRDefault="00475650">
            <w:pPr>
              <w:snapToGrid w:val="0"/>
              <w:jc w:val="center"/>
              <w:rPr>
                <w:szCs w:val="21"/>
                <w:u w:val="single"/>
              </w:rPr>
            </w:pPr>
          </w:p>
        </w:tc>
        <w:tc>
          <w:tcPr>
            <w:tcW w:w="1532" w:type="dxa"/>
            <w:vAlign w:val="center"/>
          </w:tcPr>
          <w:p w:rsidR="00475650" w:rsidRDefault="00475650">
            <w:pPr>
              <w:snapToGrid w:val="0"/>
              <w:jc w:val="center"/>
              <w:rPr>
                <w:szCs w:val="21"/>
                <w:u w:val="single"/>
              </w:rPr>
            </w:pPr>
            <w:r>
              <w:rPr>
                <w:rFonts w:hint="eastAsia"/>
                <w:szCs w:val="21"/>
                <w:u w:val="single"/>
              </w:rPr>
              <w:t>蒸汽</w:t>
            </w:r>
          </w:p>
        </w:tc>
        <w:tc>
          <w:tcPr>
            <w:tcW w:w="3685" w:type="dxa"/>
            <w:vAlign w:val="center"/>
          </w:tcPr>
          <w:p w:rsidR="00475650" w:rsidRDefault="00475650">
            <w:pPr>
              <w:snapToGrid w:val="0"/>
              <w:jc w:val="center"/>
              <w:rPr>
                <w:szCs w:val="21"/>
                <w:u w:val="single"/>
              </w:rPr>
            </w:pPr>
            <w:r>
              <w:rPr>
                <w:rFonts w:hint="eastAsia"/>
                <w:szCs w:val="21"/>
                <w:u w:val="single"/>
              </w:rPr>
              <w:t>蒸汽来源于园区集中供热，供热管网已铺设至鹏程化工有限公司</w:t>
            </w:r>
          </w:p>
        </w:tc>
        <w:tc>
          <w:tcPr>
            <w:tcW w:w="1916" w:type="dxa"/>
            <w:vAlign w:val="center"/>
          </w:tcPr>
          <w:p w:rsidR="00475650" w:rsidRDefault="00475650">
            <w:pPr>
              <w:snapToGrid w:val="0"/>
              <w:jc w:val="center"/>
              <w:rPr>
                <w:szCs w:val="21"/>
                <w:u w:val="single"/>
              </w:rPr>
            </w:pPr>
            <w:r>
              <w:rPr>
                <w:rFonts w:hint="eastAsia"/>
                <w:szCs w:val="21"/>
                <w:u w:val="single"/>
              </w:rPr>
              <w:t>利用园区蒸汽管网集中供热</w:t>
            </w:r>
          </w:p>
        </w:tc>
      </w:tr>
      <w:tr w:rsidR="00475650" w:rsidTr="008A065C">
        <w:trPr>
          <w:trHeight w:val="159"/>
          <w:jc w:val="center"/>
        </w:trPr>
        <w:tc>
          <w:tcPr>
            <w:tcW w:w="585" w:type="dxa"/>
            <w:vMerge w:val="restart"/>
            <w:vAlign w:val="center"/>
          </w:tcPr>
          <w:p w:rsidR="00475650" w:rsidRDefault="00475650">
            <w:pPr>
              <w:snapToGrid w:val="0"/>
              <w:jc w:val="center"/>
              <w:rPr>
                <w:szCs w:val="21"/>
                <w:u w:val="single"/>
              </w:rPr>
            </w:pPr>
            <w:r>
              <w:rPr>
                <w:rFonts w:hint="eastAsia"/>
                <w:szCs w:val="21"/>
                <w:u w:val="single"/>
              </w:rPr>
              <w:t>3</w:t>
            </w:r>
          </w:p>
        </w:tc>
        <w:tc>
          <w:tcPr>
            <w:tcW w:w="1277" w:type="dxa"/>
            <w:vMerge w:val="restart"/>
            <w:vAlign w:val="center"/>
          </w:tcPr>
          <w:p w:rsidR="00475650" w:rsidRDefault="00475650">
            <w:pPr>
              <w:snapToGrid w:val="0"/>
              <w:jc w:val="center"/>
              <w:rPr>
                <w:szCs w:val="21"/>
                <w:u w:val="single"/>
              </w:rPr>
            </w:pPr>
            <w:r>
              <w:rPr>
                <w:rFonts w:hint="eastAsia"/>
                <w:szCs w:val="21"/>
                <w:u w:val="single"/>
              </w:rPr>
              <w:t>储运</w:t>
            </w:r>
          </w:p>
        </w:tc>
        <w:tc>
          <w:tcPr>
            <w:tcW w:w="1532" w:type="dxa"/>
            <w:vAlign w:val="center"/>
          </w:tcPr>
          <w:p w:rsidR="00475650" w:rsidRDefault="00475650">
            <w:pPr>
              <w:snapToGrid w:val="0"/>
              <w:jc w:val="center"/>
              <w:rPr>
                <w:szCs w:val="21"/>
                <w:u w:val="single"/>
              </w:rPr>
            </w:pPr>
            <w:r>
              <w:rPr>
                <w:rFonts w:hint="eastAsia"/>
                <w:szCs w:val="21"/>
                <w:u w:val="single"/>
              </w:rPr>
              <w:t>原料</w:t>
            </w:r>
          </w:p>
        </w:tc>
        <w:tc>
          <w:tcPr>
            <w:tcW w:w="3685" w:type="dxa"/>
            <w:vAlign w:val="center"/>
          </w:tcPr>
          <w:p w:rsidR="00475650" w:rsidRDefault="00475650" w:rsidP="00FC5B4D">
            <w:pPr>
              <w:snapToGrid w:val="0"/>
              <w:jc w:val="center"/>
              <w:rPr>
                <w:szCs w:val="21"/>
                <w:u w:val="single"/>
              </w:rPr>
            </w:pPr>
            <w:r>
              <w:rPr>
                <w:rFonts w:hint="eastAsia"/>
                <w:szCs w:val="21"/>
                <w:u w:val="single"/>
              </w:rPr>
              <w:t>于主厂房内设原料房用于原料的暂存，</w:t>
            </w:r>
            <w:r w:rsidR="00F07E48">
              <w:rPr>
                <w:rFonts w:hint="eastAsia"/>
                <w:szCs w:val="21"/>
                <w:u w:val="single"/>
              </w:rPr>
              <w:t>其中乙酸酐采用</w:t>
            </w:r>
            <w:r w:rsidR="00F07E48">
              <w:rPr>
                <w:rFonts w:hint="eastAsia"/>
                <w:szCs w:val="21"/>
                <w:u w:val="single"/>
              </w:rPr>
              <w:t>0.2m</w:t>
            </w:r>
            <w:r w:rsidR="00F07E48" w:rsidRPr="00F07E48">
              <w:rPr>
                <w:rFonts w:hint="eastAsia"/>
                <w:szCs w:val="21"/>
                <w:u w:val="single"/>
                <w:vertAlign w:val="superscript"/>
              </w:rPr>
              <w:t>3</w:t>
            </w:r>
            <w:r w:rsidR="00F07E48">
              <w:rPr>
                <w:rFonts w:hint="eastAsia"/>
                <w:szCs w:val="21"/>
                <w:u w:val="single"/>
              </w:rPr>
              <w:t>包装桶暂存，一次储存量约为</w:t>
            </w:r>
            <w:r w:rsidR="00F07E48">
              <w:rPr>
                <w:rFonts w:hint="eastAsia"/>
                <w:szCs w:val="21"/>
                <w:u w:val="single"/>
              </w:rPr>
              <w:t>15</w:t>
            </w:r>
            <w:r w:rsidR="00F07E48">
              <w:rPr>
                <w:rFonts w:hint="eastAsia"/>
                <w:szCs w:val="21"/>
                <w:u w:val="single"/>
              </w:rPr>
              <w:t>吨，</w:t>
            </w:r>
            <w:r w:rsidR="00FC5B4D">
              <w:rPr>
                <w:rFonts w:hint="eastAsia"/>
                <w:szCs w:val="21"/>
                <w:u w:val="single"/>
              </w:rPr>
              <w:t>盐酸</w:t>
            </w:r>
            <w:r>
              <w:rPr>
                <w:rFonts w:hint="eastAsia"/>
                <w:szCs w:val="21"/>
                <w:u w:val="single"/>
              </w:rPr>
              <w:t>中间罐位于主厂房装置区</w:t>
            </w:r>
            <w:r w:rsidR="00F07E48">
              <w:rPr>
                <w:rFonts w:hint="eastAsia"/>
                <w:szCs w:val="21"/>
                <w:u w:val="single"/>
              </w:rPr>
              <w:t>，中间罐容积为</w:t>
            </w:r>
            <w:r w:rsidR="00F07E48">
              <w:rPr>
                <w:rFonts w:hint="eastAsia"/>
                <w:szCs w:val="21"/>
                <w:u w:val="single"/>
              </w:rPr>
              <w:t>3.5m</w:t>
            </w:r>
            <w:r w:rsidR="00F07E48" w:rsidRPr="00F07E48">
              <w:rPr>
                <w:rFonts w:hint="eastAsia"/>
                <w:szCs w:val="21"/>
                <w:u w:val="single"/>
                <w:vertAlign w:val="superscript"/>
              </w:rPr>
              <w:t>3</w:t>
            </w:r>
          </w:p>
        </w:tc>
        <w:tc>
          <w:tcPr>
            <w:tcW w:w="1916" w:type="dxa"/>
            <w:vAlign w:val="center"/>
          </w:tcPr>
          <w:p w:rsidR="00475650" w:rsidRDefault="00475650">
            <w:pPr>
              <w:snapToGrid w:val="0"/>
              <w:jc w:val="center"/>
              <w:rPr>
                <w:szCs w:val="21"/>
                <w:u w:val="single"/>
              </w:rPr>
            </w:pPr>
            <w:r>
              <w:rPr>
                <w:rFonts w:hint="eastAsia"/>
                <w:szCs w:val="21"/>
                <w:u w:val="single"/>
              </w:rPr>
              <w:t>已建成，暂未外购原料</w:t>
            </w:r>
          </w:p>
        </w:tc>
      </w:tr>
      <w:tr w:rsidR="00475650" w:rsidTr="008A065C">
        <w:trPr>
          <w:trHeight w:val="159"/>
          <w:jc w:val="center"/>
        </w:trPr>
        <w:tc>
          <w:tcPr>
            <w:tcW w:w="585" w:type="dxa"/>
            <w:vMerge/>
            <w:vAlign w:val="center"/>
          </w:tcPr>
          <w:p w:rsidR="00475650" w:rsidRDefault="00475650">
            <w:pPr>
              <w:snapToGrid w:val="0"/>
              <w:jc w:val="center"/>
              <w:rPr>
                <w:szCs w:val="21"/>
                <w:u w:val="single"/>
              </w:rPr>
            </w:pPr>
          </w:p>
        </w:tc>
        <w:tc>
          <w:tcPr>
            <w:tcW w:w="1277" w:type="dxa"/>
            <w:vMerge/>
            <w:vAlign w:val="center"/>
          </w:tcPr>
          <w:p w:rsidR="00475650" w:rsidRDefault="00475650">
            <w:pPr>
              <w:snapToGrid w:val="0"/>
              <w:jc w:val="center"/>
              <w:rPr>
                <w:szCs w:val="21"/>
                <w:u w:val="single"/>
              </w:rPr>
            </w:pPr>
          </w:p>
        </w:tc>
        <w:tc>
          <w:tcPr>
            <w:tcW w:w="1532" w:type="dxa"/>
            <w:vAlign w:val="center"/>
          </w:tcPr>
          <w:p w:rsidR="00475650" w:rsidRDefault="00475650">
            <w:pPr>
              <w:snapToGrid w:val="0"/>
              <w:jc w:val="center"/>
              <w:rPr>
                <w:szCs w:val="21"/>
                <w:u w:val="single"/>
              </w:rPr>
            </w:pPr>
            <w:r>
              <w:rPr>
                <w:rFonts w:hint="eastAsia"/>
                <w:szCs w:val="21"/>
                <w:u w:val="single"/>
              </w:rPr>
              <w:t>产品</w:t>
            </w:r>
          </w:p>
        </w:tc>
        <w:tc>
          <w:tcPr>
            <w:tcW w:w="3685" w:type="dxa"/>
            <w:vAlign w:val="center"/>
          </w:tcPr>
          <w:p w:rsidR="00475650" w:rsidRDefault="00F07E48" w:rsidP="006D3383">
            <w:pPr>
              <w:snapToGrid w:val="0"/>
              <w:jc w:val="center"/>
              <w:rPr>
                <w:szCs w:val="21"/>
                <w:u w:val="single"/>
              </w:rPr>
            </w:pPr>
            <w:r>
              <w:rPr>
                <w:rFonts w:hint="eastAsia"/>
                <w:szCs w:val="21"/>
                <w:u w:val="single"/>
              </w:rPr>
              <w:t>储存间</w:t>
            </w:r>
            <w:r w:rsidR="006D3383">
              <w:rPr>
                <w:rFonts w:hint="eastAsia"/>
                <w:szCs w:val="21"/>
                <w:u w:val="single"/>
              </w:rPr>
              <w:t>占地面积约</w:t>
            </w:r>
            <w:r w:rsidR="006D3383">
              <w:rPr>
                <w:rFonts w:hint="eastAsia"/>
                <w:szCs w:val="21"/>
                <w:u w:val="single"/>
              </w:rPr>
              <w:t>80 m</w:t>
            </w:r>
            <w:r w:rsidR="006D3383" w:rsidRPr="006D3383">
              <w:rPr>
                <w:rFonts w:hint="eastAsia"/>
                <w:szCs w:val="21"/>
                <w:u w:val="single"/>
                <w:vertAlign w:val="superscript"/>
              </w:rPr>
              <w:t>2</w:t>
            </w:r>
            <w:r w:rsidR="006D3383">
              <w:rPr>
                <w:rFonts w:hint="eastAsia"/>
                <w:szCs w:val="21"/>
                <w:u w:val="single"/>
              </w:rPr>
              <w:t>，</w:t>
            </w:r>
            <w:r w:rsidR="00475650">
              <w:rPr>
                <w:rFonts w:hint="eastAsia"/>
                <w:szCs w:val="21"/>
                <w:u w:val="single"/>
              </w:rPr>
              <w:t>设于主厂房内</w:t>
            </w:r>
            <w:r>
              <w:rPr>
                <w:rFonts w:hint="eastAsia"/>
                <w:szCs w:val="21"/>
                <w:u w:val="single"/>
              </w:rPr>
              <w:t>，采用包装袋袋装的方式暂存，</w:t>
            </w:r>
            <w:r w:rsidR="006D3383">
              <w:rPr>
                <w:rFonts w:hint="eastAsia"/>
                <w:szCs w:val="21"/>
                <w:u w:val="single"/>
              </w:rPr>
              <w:t>最大</w:t>
            </w:r>
            <w:r>
              <w:rPr>
                <w:rFonts w:hint="eastAsia"/>
                <w:szCs w:val="21"/>
                <w:u w:val="single"/>
              </w:rPr>
              <w:t>储存量约为</w:t>
            </w:r>
            <w:r w:rsidR="006D3383">
              <w:rPr>
                <w:rFonts w:hint="eastAsia"/>
                <w:szCs w:val="21"/>
                <w:u w:val="single"/>
              </w:rPr>
              <w:t>300</w:t>
            </w:r>
            <w:r w:rsidR="006D3383">
              <w:rPr>
                <w:rFonts w:hint="eastAsia"/>
                <w:szCs w:val="21"/>
                <w:u w:val="single"/>
              </w:rPr>
              <w:t>吨</w:t>
            </w:r>
          </w:p>
        </w:tc>
        <w:tc>
          <w:tcPr>
            <w:tcW w:w="1916" w:type="dxa"/>
            <w:vAlign w:val="center"/>
          </w:tcPr>
          <w:p w:rsidR="00475650" w:rsidRDefault="00475650">
            <w:pPr>
              <w:snapToGrid w:val="0"/>
              <w:jc w:val="center"/>
              <w:rPr>
                <w:szCs w:val="21"/>
                <w:u w:val="single"/>
              </w:rPr>
            </w:pPr>
            <w:r>
              <w:rPr>
                <w:rFonts w:hint="eastAsia"/>
                <w:szCs w:val="21"/>
                <w:u w:val="single"/>
              </w:rPr>
              <w:t>未建成</w:t>
            </w:r>
          </w:p>
        </w:tc>
      </w:tr>
      <w:tr w:rsidR="00475650" w:rsidTr="008A065C">
        <w:trPr>
          <w:trHeight w:val="159"/>
          <w:jc w:val="center"/>
        </w:trPr>
        <w:tc>
          <w:tcPr>
            <w:tcW w:w="585" w:type="dxa"/>
            <w:vMerge w:val="restart"/>
            <w:vAlign w:val="center"/>
          </w:tcPr>
          <w:p w:rsidR="00475650" w:rsidRDefault="00475650">
            <w:pPr>
              <w:snapToGrid w:val="0"/>
              <w:jc w:val="center"/>
              <w:rPr>
                <w:szCs w:val="21"/>
                <w:u w:val="single"/>
              </w:rPr>
            </w:pPr>
            <w:r>
              <w:rPr>
                <w:rFonts w:hint="eastAsia"/>
                <w:szCs w:val="21"/>
                <w:u w:val="single"/>
              </w:rPr>
              <w:t>4</w:t>
            </w:r>
          </w:p>
        </w:tc>
        <w:tc>
          <w:tcPr>
            <w:tcW w:w="1277" w:type="dxa"/>
            <w:vMerge w:val="restart"/>
            <w:vAlign w:val="center"/>
          </w:tcPr>
          <w:p w:rsidR="00475650" w:rsidRDefault="00475650">
            <w:pPr>
              <w:snapToGrid w:val="0"/>
              <w:jc w:val="center"/>
              <w:rPr>
                <w:szCs w:val="21"/>
                <w:u w:val="single"/>
              </w:rPr>
            </w:pPr>
            <w:r>
              <w:rPr>
                <w:rFonts w:hint="eastAsia"/>
                <w:szCs w:val="21"/>
                <w:u w:val="single"/>
              </w:rPr>
              <w:t>给排水</w:t>
            </w:r>
          </w:p>
        </w:tc>
        <w:tc>
          <w:tcPr>
            <w:tcW w:w="1532" w:type="dxa"/>
            <w:vAlign w:val="center"/>
          </w:tcPr>
          <w:p w:rsidR="00475650" w:rsidRDefault="00475650">
            <w:pPr>
              <w:snapToGrid w:val="0"/>
              <w:jc w:val="center"/>
              <w:rPr>
                <w:szCs w:val="21"/>
                <w:u w:val="single"/>
              </w:rPr>
            </w:pPr>
            <w:r>
              <w:rPr>
                <w:rFonts w:hint="eastAsia"/>
                <w:szCs w:val="21"/>
                <w:u w:val="single"/>
              </w:rPr>
              <w:t>给水</w:t>
            </w:r>
          </w:p>
        </w:tc>
        <w:tc>
          <w:tcPr>
            <w:tcW w:w="3685" w:type="dxa"/>
            <w:vAlign w:val="center"/>
          </w:tcPr>
          <w:p w:rsidR="00475650" w:rsidRDefault="00475650">
            <w:pPr>
              <w:snapToGrid w:val="0"/>
              <w:jc w:val="center"/>
              <w:rPr>
                <w:szCs w:val="21"/>
                <w:u w:val="single"/>
              </w:rPr>
            </w:pPr>
            <w:r>
              <w:rPr>
                <w:rFonts w:hint="eastAsia"/>
                <w:szCs w:val="21"/>
                <w:u w:val="single"/>
              </w:rPr>
              <w:t>已铺设完成，用水来自工业园集中供水</w:t>
            </w:r>
          </w:p>
        </w:tc>
        <w:tc>
          <w:tcPr>
            <w:tcW w:w="1916" w:type="dxa"/>
            <w:vAlign w:val="center"/>
          </w:tcPr>
          <w:p w:rsidR="00475650" w:rsidRDefault="00475650">
            <w:pPr>
              <w:snapToGrid w:val="0"/>
              <w:jc w:val="center"/>
              <w:rPr>
                <w:szCs w:val="21"/>
                <w:u w:val="single"/>
              </w:rPr>
            </w:pPr>
            <w:r>
              <w:rPr>
                <w:rFonts w:hint="eastAsia"/>
                <w:szCs w:val="21"/>
                <w:u w:val="single"/>
              </w:rPr>
              <w:t>已建成</w:t>
            </w:r>
          </w:p>
        </w:tc>
      </w:tr>
      <w:tr w:rsidR="00475650" w:rsidTr="008A065C">
        <w:trPr>
          <w:trHeight w:val="159"/>
          <w:jc w:val="center"/>
        </w:trPr>
        <w:tc>
          <w:tcPr>
            <w:tcW w:w="585" w:type="dxa"/>
            <w:vMerge/>
            <w:vAlign w:val="center"/>
          </w:tcPr>
          <w:p w:rsidR="00475650" w:rsidRDefault="00475650">
            <w:pPr>
              <w:snapToGrid w:val="0"/>
              <w:jc w:val="center"/>
              <w:rPr>
                <w:szCs w:val="21"/>
                <w:u w:val="single"/>
              </w:rPr>
            </w:pPr>
          </w:p>
        </w:tc>
        <w:tc>
          <w:tcPr>
            <w:tcW w:w="1277" w:type="dxa"/>
            <w:vMerge/>
            <w:vAlign w:val="center"/>
          </w:tcPr>
          <w:p w:rsidR="00475650" w:rsidRDefault="00475650">
            <w:pPr>
              <w:snapToGrid w:val="0"/>
              <w:jc w:val="center"/>
              <w:rPr>
                <w:szCs w:val="21"/>
                <w:u w:val="single"/>
              </w:rPr>
            </w:pPr>
          </w:p>
        </w:tc>
        <w:tc>
          <w:tcPr>
            <w:tcW w:w="1532" w:type="dxa"/>
            <w:vAlign w:val="center"/>
          </w:tcPr>
          <w:p w:rsidR="00475650" w:rsidRDefault="00475650">
            <w:pPr>
              <w:snapToGrid w:val="0"/>
              <w:jc w:val="center"/>
              <w:rPr>
                <w:szCs w:val="21"/>
                <w:u w:val="single"/>
              </w:rPr>
            </w:pPr>
            <w:r>
              <w:rPr>
                <w:rFonts w:hint="eastAsia"/>
                <w:szCs w:val="21"/>
                <w:u w:val="single"/>
              </w:rPr>
              <w:t>排水</w:t>
            </w:r>
          </w:p>
        </w:tc>
        <w:tc>
          <w:tcPr>
            <w:tcW w:w="3685" w:type="dxa"/>
            <w:vAlign w:val="center"/>
          </w:tcPr>
          <w:p w:rsidR="00475650" w:rsidRDefault="00475650">
            <w:pPr>
              <w:snapToGrid w:val="0"/>
              <w:jc w:val="center"/>
              <w:rPr>
                <w:szCs w:val="21"/>
                <w:u w:val="single"/>
              </w:rPr>
            </w:pPr>
            <w:r>
              <w:rPr>
                <w:rFonts w:hint="eastAsia"/>
                <w:szCs w:val="21"/>
                <w:u w:val="single"/>
              </w:rPr>
              <w:t>鹏程公司已设有专用排水管网至园区污水处理厂，本项目位于公司占地范围内，厂内污水管网已建成，厂区连接至污水处理站及公司总排污口的污水管网暂未建成</w:t>
            </w:r>
          </w:p>
        </w:tc>
        <w:tc>
          <w:tcPr>
            <w:tcW w:w="1916" w:type="dxa"/>
            <w:vAlign w:val="center"/>
          </w:tcPr>
          <w:p w:rsidR="00475650" w:rsidRDefault="00475650">
            <w:pPr>
              <w:snapToGrid w:val="0"/>
              <w:jc w:val="center"/>
              <w:rPr>
                <w:szCs w:val="21"/>
                <w:u w:val="single"/>
              </w:rPr>
            </w:pPr>
            <w:r>
              <w:rPr>
                <w:rFonts w:hint="eastAsia"/>
                <w:szCs w:val="21"/>
                <w:u w:val="single"/>
              </w:rPr>
              <w:t>部分建设</w:t>
            </w:r>
          </w:p>
        </w:tc>
      </w:tr>
      <w:tr w:rsidR="00475650" w:rsidTr="008A065C">
        <w:trPr>
          <w:trHeight w:val="159"/>
          <w:jc w:val="center"/>
        </w:trPr>
        <w:tc>
          <w:tcPr>
            <w:tcW w:w="8995" w:type="dxa"/>
            <w:gridSpan w:val="5"/>
            <w:vAlign w:val="center"/>
          </w:tcPr>
          <w:p w:rsidR="00475650" w:rsidRDefault="00475650">
            <w:pPr>
              <w:snapToGrid w:val="0"/>
              <w:jc w:val="center"/>
              <w:rPr>
                <w:szCs w:val="21"/>
                <w:u w:val="single"/>
              </w:rPr>
            </w:pPr>
            <w:r>
              <w:rPr>
                <w:rFonts w:hint="eastAsia"/>
                <w:szCs w:val="21"/>
                <w:u w:val="single"/>
              </w:rPr>
              <w:t>三、环保工程</w:t>
            </w:r>
          </w:p>
        </w:tc>
      </w:tr>
      <w:tr w:rsidR="00475650" w:rsidTr="008A065C">
        <w:trPr>
          <w:trHeight w:val="159"/>
          <w:jc w:val="center"/>
        </w:trPr>
        <w:tc>
          <w:tcPr>
            <w:tcW w:w="585" w:type="dxa"/>
            <w:vAlign w:val="center"/>
          </w:tcPr>
          <w:p w:rsidR="00475650" w:rsidRDefault="00475650">
            <w:pPr>
              <w:snapToGrid w:val="0"/>
              <w:jc w:val="center"/>
              <w:rPr>
                <w:szCs w:val="21"/>
                <w:u w:val="single"/>
              </w:rPr>
            </w:pPr>
            <w:r>
              <w:rPr>
                <w:rFonts w:hint="eastAsia"/>
                <w:szCs w:val="21"/>
                <w:u w:val="single"/>
              </w:rPr>
              <w:t>1</w:t>
            </w:r>
          </w:p>
        </w:tc>
        <w:tc>
          <w:tcPr>
            <w:tcW w:w="1277" w:type="dxa"/>
            <w:vAlign w:val="center"/>
          </w:tcPr>
          <w:p w:rsidR="00475650" w:rsidRDefault="00475650">
            <w:pPr>
              <w:snapToGrid w:val="0"/>
              <w:jc w:val="center"/>
              <w:rPr>
                <w:rFonts w:hAnsi="宋体"/>
                <w:kern w:val="0"/>
                <w:szCs w:val="21"/>
                <w:u w:val="single"/>
              </w:rPr>
            </w:pPr>
            <w:r>
              <w:rPr>
                <w:rFonts w:hAnsi="宋体" w:hint="eastAsia"/>
                <w:kern w:val="0"/>
                <w:szCs w:val="21"/>
                <w:u w:val="single"/>
              </w:rPr>
              <w:t>污水处理站</w:t>
            </w:r>
          </w:p>
        </w:tc>
        <w:tc>
          <w:tcPr>
            <w:tcW w:w="1532" w:type="dxa"/>
            <w:vAlign w:val="center"/>
          </w:tcPr>
          <w:p w:rsidR="00475650" w:rsidRDefault="00475650">
            <w:pPr>
              <w:snapToGrid w:val="0"/>
              <w:jc w:val="center"/>
              <w:rPr>
                <w:rFonts w:hAnsi="宋体"/>
                <w:szCs w:val="21"/>
                <w:u w:val="single"/>
              </w:rPr>
            </w:pPr>
          </w:p>
        </w:tc>
        <w:tc>
          <w:tcPr>
            <w:tcW w:w="3685" w:type="dxa"/>
            <w:vAlign w:val="center"/>
          </w:tcPr>
          <w:p w:rsidR="00475650" w:rsidRDefault="00475650">
            <w:pPr>
              <w:snapToGrid w:val="0"/>
              <w:jc w:val="center"/>
              <w:rPr>
                <w:kern w:val="0"/>
                <w:szCs w:val="21"/>
                <w:u w:val="single"/>
              </w:rPr>
            </w:pPr>
            <w:r>
              <w:rPr>
                <w:rFonts w:hint="eastAsia"/>
                <w:kern w:val="0"/>
                <w:szCs w:val="21"/>
                <w:u w:val="single"/>
              </w:rPr>
              <w:t>由于本项目废水浓度较高，需自建污水处理站对废水水质进行处理，确保其满足园区污水处理厂进水水质标准；</w:t>
            </w:r>
            <w:r w:rsidR="00F07E48">
              <w:rPr>
                <w:rFonts w:hint="eastAsia"/>
                <w:kern w:val="0"/>
                <w:szCs w:val="21"/>
                <w:u w:val="single"/>
              </w:rPr>
              <w:t>处理规模为</w:t>
            </w:r>
            <w:r w:rsidR="00F07E48">
              <w:rPr>
                <w:rFonts w:hint="eastAsia"/>
                <w:kern w:val="0"/>
                <w:szCs w:val="21"/>
                <w:u w:val="single"/>
              </w:rPr>
              <w:t>700</w:t>
            </w:r>
            <w:r w:rsidR="00F07E48">
              <w:rPr>
                <w:rFonts w:hAnsi="宋体" w:hint="eastAsia"/>
                <w:sz w:val="24"/>
              </w:rPr>
              <w:t xml:space="preserve"> m</w:t>
            </w:r>
            <w:r w:rsidR="00F07E48">
              <w:rPr>
                <w:rFonts w:hAnsi="宋体" w:hint="eastAsia"/>
                <w:sz w:val="24"/>
                <w:vertAlign w:val="superscript"/>
              </w:rPr>
              <w:t>3</w:t>
            </w:r>
            <w:r w:rsidR="00F07E48">
              <w:rPr>
                <w:rFonts w:hAnsi="宋体" w:hint="eastAsia"/>
                <w:sz w:val="24"/>
              </w:rPr>
              <w:t>/d</w:t>
            </w:r>
          </w:p>
        </w:tc>
        <w:tc>
          <w:tcPr>
            <w:tcW w:w="1916" w:type="dxa"/>
            <w:vAlign w:val="center"/>
          </w:tcPr>
          <w:p w:rsidR="00475650" w:rsidRDefault="00475650">
            <w:pPr>
              <w:snapToGrid w:val="0"/>
              <w:jc w:val="center"/>
              <w:rPr>
                <w:szCs w:val="21"/>
                <w:u w:val="single"/>
              </w:rPr>
            </w:pPr>
            <w:r>
              <w:rPr>
                <w:rFonts w:hint="eastAsia"/>
                <w:szCs w:val="21"/>
                <w:u w:val="single"/>
              </w:rPr>
              <w:t>未建成</w:t>
            </w:r>
          </w:p>
        </w:tc>
      </w:tr>
      <w:tr w:rsidR="00475650" w:rsidTr="008A065C">
        <w:trPr>
          <w:trHeight w:val="159"/>
          <w:jc w:val="center"/>
        </w:trPr>
        <w:tc>
          <w:tcPr>
            <w:tcW w:w="585" w:type="dxa"/>
            <w:vAlign w:val="center"/>
          </w:tcPr>
          <w:p w:rsidR="00475650" w:rsidRDefault="00475650">
            <w:pPr>
              <w:snapToGrid w:val="0"/>
              <w:jc w:val="center"/>
              <w:rPr>
                <w:szCs w:val="21"/>
                <w:u w:val="single"/>
              </w:rPr>
            </w:pPr>
            <w:r>
              <w:rPr>
                <w:rFonts w:hint="eastAsia"/>
                <w:szCs w:val="21"/>
                <w:u w:val="single"/>
              </w:rPr>
              <w:t>2</w:t>
            </w:r>
          </w:p>
        </w:tc>
        <w:tc>
          <w:tcPr>
            <w:tcW w:w="1277" w:type="dxa"/>
            <w:vAlign w:val="center"/>
          </w:tcPr>
          <w:p w:rsidR="00475650" w:rsidRDefault="00475650">
            <w:pPr>
              <w:snapToGrid w:val="0"/>
              <w:jc w:val="center"/>
              <w:rPr>
                <w:rFonts w:hAnsi="宋体"/>
                <w:kern w:val="0"/>
                <w:szCs w:val="21"/>
                <w:u w:val="single"/>
              </w:rPr>
            </w:pPr>
            <w:r>
              <w:rPr>
                <w:rFonts w:hAnsi="宋体" w:hint="eastAsia"/>
                <w:kern w:val="0"/>
                <w:szCs w:val="21"/>
                <w:u w:val="single"/>
              </w:rPr>
              <w:t>碱液喷淋塔</w:t>
            </w:r>
          </w:p>
        </w:tc>
        <w:tc>
          <w:tcPr>
            <w:tcW w:w="1532" w:type="dxa"/>
            <w:vAlign w:val="center"/>
          </w:tcPr>
          <w:p w:rsidR="00475650" w:rsidRDefault="00475650">
            <w:pPr>
              <w:snapToGrid w:val="0"/>
              <w:jc w:val="center"/>
              <w:rPr>
                <w:rFonts w:hAnsi="宋体"/>
                <w:szCs w:val="21"/>
                <w:u w:val="single"/>
              </w:rPr>
            </w:pPr>
          </w:p>
        </w:tc>
        <w:tc>
          <w:tcPr>
            <w:tcW w:w="3685" w:type="dxa"/>
            <w:vAlign w:val="center"/>
          </w:tcPr>
          <w:p w:rsidR="00475650" w:rsidRDefault="00475650">
            <w:pPr>
              <w:snapToGrid w:val="0"/>
              <w:jc w:val="center"/>
              <w:rPr>
                <w:kern w:val="0"/>
                <w:szCs w:val="21"/>
                <w:u w:val="single"/>
              </w:rPr>
            </w:pPr>
            <w:r>
              <w:rPr>
                <w:rFonts w:hint="eastAsia"/>
                <w:kern w:val="0"/>
                <w:szCs w:val="21"/>
                <w:u w:val="single"/>
              </w:rPr>
              <w:t>对废气采用负压收集</w:t>
            </w:r>
            <w:r>
              <w:rPr>
                <w:rFonts w:hint="eastAsia"/>
                <w:kern w:val="0"/>
                <w:szCs w:val="21"/>
                <w:u w:val="single"/>
              </w:rPr>
              <w:t>+</w:t>
            </w:r>
            <w:r>
              <w:rPr>
                <w:rFonts w:hint="eastAsia"/>
                <w:kern w:val="0"/>
                <w:szCs w:val="21"/>
                <w:u w:val="single"/>
              </w:rPr>
              <w:t>碱液喷淋的方式处理，碱液喷淋主要是对废气中的氯</w:t>
            </w:r>
            <w:r>
              <w:rPr>
                <w:rFonts w:hint="eastAsia"/>
                <w:kern w:val="0"/>
                <w:szCs w:val="21"/>
                <w:u w:val="single"/>
              </w:rPr>
              <w:lastRenderedPageBreak/>
              <w:t>化氢污染进行处理</w:t>
            </w:r>
          </w:p>
        </w:tc>
        <w:tc>
          <w:tcPr>
            <w:tcW w:w="1916" w:type="dxa"/>
            <w:vAlign w:val="center"/>
          </w:tcPr>
          <w:p w:rsidR="00475650" w:rsidRDefault="00475650">
            <w:pPr>
              <w:snapToGrid w:val="0"/>
              <w:jc w:val="center"/>
              <w:rPr>
                <w:szCs w:val="21"/>
                <w:u w:val="single"/>
              </w:rPr>
            </w:pPr>
            <w:r>
              <w:rPr>
                <w:rFonts w:hint="eastAsia"/>
                <w:szCs w:val="21"/>
                <w:u w:val="single"/>
              </w:rPr>
              <w:lastRenderedPageBreak/>
              <w:t>未建成</w:t>
            </w:r>
          </w:p>
        </w:tc>
      </w:tr>
      <w:tr w:rsidR="00475650" w:rsidTr="008A065C">
        <w:trPr>
          <w:trHeight w:val="159"/>
          <w:jc w:val="center"/>
        </w:trPr>
        <w:tc>
          <w:tcPr>
            <w:tcW w:w="585" w:type="dxa"/>
            <w:vAlign w:val="center"/>
          </w:tcPr>
          <w:p w:rsidR="00475650" w:rsidRDefault="00475650">
            <w:pPr>
              <w:snapToGrid w:val="0"/>
              <w:jc w:val="center"/>
              <w:rPr>
                <w:szCs w:val="21"/>
                <w:u w:val="single"/>
              </w:rPr>
            </w:pPr>
            <w:r>
              <w:rPr>
                <w:rFonts w:hint="eastAsia"/>
                <w:szCs w:val="21"/>
                <w:u w:val="single"/>
              </w:rPr>
              <w:lastRenderedPageBreak/>
              <w:t>3</w:t>
            </w:r>
          </w:p>
        </w:tc>
        <w:tc>
          <w:tcPr>
            <w:tcW w:w="1277" w:type="dxa"/>
            <w:vAlign w:val="center"/>
          </w:tcPr>
          <w:p w:rsidR="00475650" w:rsidRDefault="00475650">
            <w:pPr>
              <w:snapToGrid w:val="0"/>
              <w:jc w:val="center"/>
              <w:rPr>
                <w:rFonts w:hAnsi="宋体"/>
                <w:kern w:val="0"/>
                <w:szCs w:val="21"/>
                <w:u w:val="single"/>
              </w:rPr>
            </w:pPr>
            <w:r>
              <w:rPr>
                <w:rFonts w:hAnsi="宋体" w:hint="eastAsia"/>
                <w:kern w:val="0"/>
                <w:szCs w:val="21"/>
                <w:u w:val="single"/>
              </w:rPr>
              <w:t>布袋收尘器</w:t>
            </w:r>
          </w:p>
        </w:tc>
        <w:tc>
          <w:tcPr>
            <w:tcW w:w="1532" w:type="dxa"/>
            <w:vAlign w:val="center"/>
          </w:tcPr>
          <w:p w:rsidR="00475650" w:rsidRDefault="00475650">
            <w:pPr>
              <w:snapToGrid w:val="0"/>
              <w:jc w:val="center"/>
              <w:rPr>
                <w:rFonts w:hAnsi="宋体"/>
                <w:szCs w:val="21"/>
                <w:u w:val="single"/>
              </w:rPr>
            </w:pPr>
          </w:p>
        </w:tc>
        <w:tc>
          <w:tcPr>
            <w:tcW w:w="3685" w:type="dxa"/>
            <w:vAlign w:val="center"/>
          </w:tcPr>
          <w:p w:rsidR="00475650" w:rsidRDefault="00475650">
            <w:pPr>
              <w:snapToGrid w:val="0"/>
              <w:jc w:val="center"/>
              <w:rPr>
                <w:kern w:val="0"/>
                <w:szCs w:val="21"/>
                <w:u w:val="single"/>
              </w:rPr>
            </w:pPr>
            <w:r>
              <w:rPr>
                <w:rFonts w:hint="eastAsia"/>
                <w:kern w:val="0"/>
                <w:szCs w:val="21"/>
                <w:u w:val="single"/>
              </w:rPr>
              <w:t>对外排的含尘尾气进行处理，减少废气中粉尘的浓度，减少物料损失</w:t>
            </w:r>
          </w:p>
        </w:tc>
        <w:tc>
          <w:tcPr>
            <w:tcW w:w="1916" w:type="dxa"/>
            <w:vAlign w:val="center"/>
          </w:tcPr>
          <w:p w:rsidR="00475650" w:rsidRDefault="00475650">
            <w:pPr>
              <w:snapToGrid w:val="0"/>
              <w:jc w:val="center"/>
              <w:rPr>
                <w:szCs w:val="21"/>
                <w:u w:val="single"/>
              </w:rPr>
            </w:pPr>
            <w:r>
              <w:rPr>
                <w:rFonts w:hint="eastAsia"/>
                <w:szCs w:val="21"/>
                <w:u w:val="single"/>
              </w:rPr>
              <w:t>未建成</w:t>
            </w:r>
          </w:p>
        </w:tc>
      </w:tr>
      <w:tr w:rsidR="00475650" w:rsidTr="008A065C">
        <w:trPr>
          <w:trHeight w:val="159"/>
          <w:jc w:val="center"/>
        </w:trPr>
        <w:tc>
          <w:tcPr>
            <w:tcW w:w="585" w:type="dxa"/>
            <w:vAlign w:val="center"/>
          </w:tcPr>
          <w:p w:rsidR="00475650" w:rsidRDefault="00475650">
            <w:pPr>
              <w:snapToGrid w:val="0"/>
              <w:jc w:val="center"/>
              <w:rPr>
                <w:szCs w:val="21"/>
                <w:u w:val="single"/>
              </w:rPr>
            </w:pPr>
            <w:r>
              <w:rPr>
                <w:rFonts w:hint="eastAsia"/>
                <w:szCs w:val="21"/>
                <w:u w:val="single"/>
              </w:rPr>
              <w:t>4</w:t>
            </w:r>
          </w:p>
        </w:tc>
        <w:tc>
          <w:tcPr>
            <w:tcW w:w="1277" w:type="dxa"/>
            <w:vAlign w:val="center"/>
          </w:tcPr>
          <w:p w:rsidR="00475650" w:rsidRDefault="00475650">
            <w:pPr>
              <w:snapToGrid w:val="0"/>
              <w:jc w:val="center"/>
              <w:rPr>
                <w:rFonts w:hAnsi="宋体"/>
                <w:kern w:val="0"/>
                <w:szCs w:val="21"/>
                <w:u w:val="single"/>
              </w:rPr>
            </w:pPr>
            <w:r>
              <w:rPr>
                <w:rFonts w:hAnsi="宋体" w:hint="eastAsia"/>
                <w:kern w:val="0"/>
                <w:szCs w:val="21"/>
                <w:u w:val="single"/>
              </w:rPr>
              <w:t>排气筒</w:t>
            </w:r>
          </w:p>
        </w:tc>
        <w:tc>
          <w:tcPr>
            <w:tcW w:w="1532" w:type="dxa"/>
            <w:vAlign w:val="center"/>
          </w:tcPr>
          <w:p w:rsidR="00475650" w:rsidRDefault="00475650">
            <w:pPr>
              <w:snapToGrid w:val="0"/>
              <w:jc w:val="center"/>
              <w:rPr>
                <w:rFonts w:hAnsi="宋体"/>
                <w:szCs w:val="21"/>
                <w:u w:val="single"/>
              </w:rPr>
            </w:pPr>
          </w:p>
        </w:tc>
        <w:tc>
          <w:tcPr>
            <w:tcW w:w="3685" w:type="dxa"/>
            <w:vAlign w:val="center"/>
          </w:tcPr>
          <w:p w:rsidR="00475650" w:rsidRDefault="00475650">
            <w:pPr>
              <w:snapToGrid w:val="0"/>
              <w:jc w:val="center"/>
              <w:rPr>
                <w:kern w:val="0"/>
                <w:szCs w:val="21"/>
                <w:u w:val="single"/>
              </w:rPr>
            </w:pPr>
            <w:r>
              <w:rPr>
                <w:rFonts w:hint="eastAsia"/>
                <w:kern w:val="0"/>
                <w:szCs w:val="21"/>
                <w:u w:val="single"/>
              </w:rPr>
              <w:t>需建</w:t>
            </w:r>
            <w:r>
              <w:rPr>
                <w:rFonts w:hint="eastAsia"/>
                <w:kern w:val="0"/>
                <w:szCs w:val="21"/>
                <w:u w:val="single"/>
              </w:rPr>
              <w:t>1</w:t>
            </w:r>
            <w:r>
              <w:rPr>
                <w:rFonts w:hint="eastAsia"/>
                <w:kern w:val="0"/>
                <w:szCs w:val="21"/>
                <w:u w:val="single"/>
              </w:rPr>
              <w:t>个不低于</w:t>
            </w:r>
            <w:r>
              <w:rPr>
                <w:rFonts w:hint="eastAsia"/>
                <w:kern w:val="0"/>
                <w:szCs w:val="21"/>
                <w:u w:val="single"/>
              </w:rPr>
              <w:t>15m</w:t>
            </w:r>
            <w:r>
              <w:rPr>
                <w:rFonts w:hint="eastAsia"/>
                <w:kern w:val="0"/>
                <w:szCs w:val="21"/>
                <w:u w:val="single"/>
              </w:rPr>
              <w:t>的排气筒用于废气的集中外排</w:t>
            </w:r>
          </w:p>
        </w:tc>
        <w:tc>
          <w:tcPr>
            <w:tcW w:w="1916" w:type="dxa"/>
            <w:vAlign w:val="center"/>
          </w:tcPr>
          <w:p w:rsidR="00475650" w:rsidRDefault="00475650">
            <w:pPr>
              <w:snapToGrid w:val="0"/>
              <w:jc w:val="center"/>
              <w:rPr>
                <w:szCs w:val="21"/>
                <w:u w:val="single"/>
              </w:rPr>
            </w:pPr>
            <w:r>
              <w:rPr>
                <w:rFonts w:hint="eastAsia"/>
                <w:szCs w:val="21"/>
                <w:u w:val="single"/>
              </w:rPr>
              <w:t>未建成</w:t>
            </w:r>
          </w:p>
        </w:tc>
      </w:tr>
      <w:tr w:rsidR="00F07E48" w:rsidTr="008A065C">
        <w:trPr>
          <w:trHeight w:val="159"/>
          <w:jc w:val="center"/>
        </w:trPr>
        <w:tc>
          <w:tcPr>
            <w:tcW w:w="585" w:type="dxa"/>
            <w:vMerge w:val="restart"/>
            <w:vAlign w:val="center"/>
          </w:tcPr>
          <w:p w:rsidR="00F07E48" w:rsidRPr="008A065C" w:rsidRDefault="00F07E48" w:rsidP="00BD74CB">
            <w:pPr>
              <w:snapToGrid w:val="0"/>
              <w:jc w:val="center"/>
              <w:rPr>
                <w:rFonts w:eastAsiaTheme="minorEastAsia"/>
                <w:szCs w:val="21"/>
                <w:u w:val="single"/>
              </w:rPr>
            </w:pPr>
            <w:r>
              <w:rPr>
                <w:rFonts w:eastAsiaTheme="minorEastAsia" w:hint="eastAsia"/>
                <w:szCs w:val="21"/>
                <w:u w:val="single"/>
              </w:rPr>
              <w:t>5</w:t>
            </w:r>
          </w:p>
        </w:tc>
        <w:tc>
          <w:tcPr>
            <w:tcW w:w="1277" w:type="dxa"/>
            <w:vMerge w:val="restart"/>
            <w:vAlign w:val="center"/>
          </w:tcPr>
          <w:p w:rsidR="00F07E48" w:rsidRPr="00D340DB" w:rsidRDefault="00F07E48">
            <w:pPr>
              <w:snapToGrid w:val="0"/>
              <w:jc w:val="center"/>
              <w:rPr>
                <w:rFonts w:eastAsiaTheme="minorEastAsia" w:hAnsi="宋体"/>
                <w:kern w:val="0"/>
                <w:szCs w:val="21"/>
                <w:u w:val="single"/>
              </w:rPr>
            </w:pPr>
            <w:r>
              <w:rPr>
                <w:rFonts w:eastAsiaTheme="minorEastAsia" w:hAnsi="宋体" w:hint="eastAsia"/>
                <w:kern w:val="0"/>
                <w:szCs w:val="21"/>
                <w:u w:val="single"/>
              </w:rPr>
              <w:t>池体</w:t>
            </w:r>
          </w:p>
        </w:tc>
        <w:tc>
          <w:tcPr>
            <w:tcW w:w="1532" w:type="dxa"/>
            <w:vAlign w:val="center"/>
          </w:tcPr>
          <w:p w:rsidR="00F07E48" w:rsidRDefault="00F07E48">
            <w:pPr>
              <w:snapToGrid w:val="0"/>
              <w:jc w:val="center"/>
              <w:rPr>
                <w:rFonts w:hAnsi="宋体"/>
                <w:szCs w:val="21"/>
                <w:u w:val="single"/>
              </w:rPr>
            </w:pPr>
          </w:p>
        </w:tc>
        <w:tc>
          <w:tcPr>
            <w:tcW w:w="3685" w:type="dxa"/>
            <w:vAlign w:val="center"/>
          </w:tcPr>
          <w:p w:rsidR="00F07E48" w:rsidRPr="00D340DB" w:rsidRDefault="00F07E48">
            <w:pPr>
              <w:snapToGrid w:val="0"/>
              <w:jc w:val="center"/>
              <w:rPr>
                <w:rFonts w:eastAsiaTheme="minorEastAsia"/>
                <w:kern w:val="0"/>
                <w:szCs w:val="21"/>
                <w:u w:val="single"/>
              </w:rPr>
            </w:pPr>
            <w:r>
              <w:rPr>
                <w:rFonts w:eastAsiaTheme="minorEastAsia" w:hint="eastAsia"/>
                <w:kern w:val="0"/>
                <w:szCs w:val="21"/>
                <w:u w:val="single"/>
              </w:rPr>
              <w:t>利旧公司现有的初期雨水收集池</w:t>
            </w:r>
            <w:r>
              <w:rPr>
                <w:rFonts w:eastAsiaTheme="minorEastAsia" w:hint="eastAsia"/>
                <w:kern w:val="0"/>
                <w:szCs w:val="21"/>
                <w:u w:val="single"/>
              </w:rPr>
              <w:t>350m</w:t>
            </w:r>
            <w:r w:rsidRPr="00D340DB">
              <w:rPr>
                <w:rFonts w:eastAsiaTheme="minorEastAsia" w:hint="eastAsia"/>
                <w:kern w:val="0"/>
                <w:szCs w:val="21"/>
                <w:u w:val="single"/>
                <w:vertAlign w:val="superscript"/>
              </w:rPr>
              <w:t>3</w:t>
            </w:r>
          </w:p>
        </w:tc>
        <w:tc>
          <w:tcPr>
            <w:tcW w:w="1916" w:type="dxa"/>
            <w:vMerge w:val="restart"/>
            <w:vAlign w:val="center"/>
          </w:tcPr>
          <w:p w:rsidR="00F07E48" w:rsidRPr="00D340DB" w:rsidRDefault="00F07E48" w:rsidP="00D340DB">
            <w:pPr>
              <w:snapToGrid w:val="0"/>
              <w:jc w:val="center"/>
              <w:rPr>
                <w:rFonts w:eastAsiaTheme="minorEastAsia"/>
                <w:szCs w:val="21"/>
                <w:u w:val="single"/>
              </w:rPr>
            </w:pPr>
            <w:r>
              <w:rPr>
                <w:rFonts w:eastAsiaTheme="minorEastAsia" w:hint="eastAsia"/>
                <w:szCs w:val="21"/>
                <w:u w:val="single"/>
              </w:rPr>
              <w:t>依托公司现有工程，已建成</w:t>
            </w:r>
          </w:p>
        </w:tc>
      </w:tr>
      <w:tr w:rsidR="00F07E48" w:rsidTr="008A065C">
        <w:trPr>
          <w:trHeight w:val="159"/>
          <w:jc w:val="center"/>
        </w:trPr>
        <w:tc>
          <w:tcPr>
            <w:tcW w:w="585" w:type="dxa"/>
            <w:vMerge/>
            <w:vAlign w:val="center"/>
          </w:tcPr>
          <w:p w:rsidR="00F07E48" w:rsidRPr="008A065C" w:rsidRDefault="00F07E48">
            <w:pPr>
              <w:snapToGrid w:val="0"/>
              <w:jc w:val="center"/>
              <w:rPr>
                <w:rFonts w:eastAsiaTheme="minorEastAsia"/>
                <w:szCs w:val="21"/>
                <w:u w:val="single"/>
              </w:rPr>
            </w:pPr>
          </w:p>
        </w:tc>
        <w:tc>
          <w:tcPr>
            <w:tcW w:w="1277" w:type="dxa"/>
            <w:vMerge/>
            <w:vAlign w:val="center"/>
          </w:tcPr>
          <w:p w:rsidR="00F07E48" w:rsidRDefault="00F07E48">
            <w:pPr>
              <w:snapToGrid w:val="0"/>
              <w:jc w:val="center"/>
              <w:rPr>
                <w:rFonts w:hAnsi="宋体"/>
                <w:kern w:val="0"/>
                <w:szCs w:val="21"/>
                <w:u w:val="single"/>
              </w:rPr>
            </w:pPr>
          </w:p>
        </w:tc>
        <w:tc>
          <w:tcPr>
            <w:tcW w:w="1532" w:type="dxa"/>
            <w:vAlign w:val="center"/>
          </w:tcPr>
          <w:p w:rsidR="00F07E48" w:rsidRDefault="00F07E48">
            <w:pPr>
              <w:snapToGrid w:val="0"/>
              <w:jc w:val="center"/>
              <w:rPr>
                <w:rFonts w:hAnsi="宋体"/>
                <w:szCs w:val="21"/>
                <w:u w:val="single"/>
              </w:rPr>
            </w:pPr>
          </w:p>
        </w:tc>
        <w:tc>
          <w:tcPr>
            <w:tcW w:w="3685" w:type="dxa"/>
            <w:vAlign w:val="center"/>
          </w:tcPr>
          <w:p w:rsidR="00F07E48" w:rsidRPr="00D340DB" w:rsidRDefault="00F07E48" w:rsidP="00D340DB">
            <w:pPr>
              <w:snapToGrid w:val="0"/>
              <w:jc w:val="center"/>
              <w:rPr>
                <w:rFonts w:eastAsiaTheme="minorEastAsia"/>
                <w:kern w:val="0"/>
                <w:szCs w:val="21"/>
                <w:u w:val="single"/>
              </w:rPr>
            </w:pPr>
            <w:r>
              <w:rPr>
                <w:rFonts w:hint="eastAsia"/>
                <w:szCs w:val="21"/>
                <w:u w:val="single"/>
              </w:rPr>
              <w:t>利旧公司现有的</w:t>
            </w:r>
            <w:r>
              <w:rPr>
                <w:rFonts w:eastAsiaTheme="minorEastAsia" w:hint="eastAsia"/>
                <w:kern w:val="0"/>
                <w:szCs w:val="21"/>
                <w:u w:val="single"/>
              </w:rPr>
              <w:t>事故池</w:t>
            </w:r>
            <w:r>
              <w:rPr>
                <w:rFonts w:hint="eastAsia"/>
                <w:kern w:val="0"/>
                <w:szCs w:val="21"/>
                <w:u w:val="single"/>
              </w:rPr>
              <w:t>500m</w:t>
            </w:r>
            <w:r>
              <w:rPr>
                <w:rFonts w:hint="eastAsia"/>
                <w:kern w:val="0"/>
                <w:szCs w:val="21"/>
                <w:u w:val="single"/>
                <w:vertAlign w:val="superscript"/>
              </w:rPr>
              <w:t>3</w:t>
            </w:r>
          </w:p>
        </w:tc>
        <w:tc>
          <w:tcPr>
            <w:tcW w:w="1916" w:type="dxa"/>
            <w:vMerge/>
            <w:vAlign w:val="center"/>
          </w:tcPr>
          <w:p w:rsidR="00F07E48" w:rsidRDefault="00F07E48">
            <w:pPr>
              <w:snapToGrid w:val="0"/>
              <w:jc w:val="center"/>
              <w:rPr>
                <w:szCs w:val="21"/>
                <w:u w:val="single"/>
              </w:rPr>
            </w:pPr>
          </w:p>
        </w:tc>
      </w:tr>
      <w:tr w:rsidR="00F07E48" w:rsidTr="008A065C">
        <w:trPr>
          <w:trHeight w:val="159"/>
          <w:jc w:val="center"/>
        </w:trPr>
        <w:tc>
          <w:tcPr>
            <w:tcW w:w="585" w:type="dxa"/>
            <w:vMerge w:val="restart"/>
            <w:vAlign w:val="center"/>
          </w:tcPr>
          <w:p w:rsidR="00F07E48" w:rsidRPr="008A065C" w:rsidRDefault="00F07E48" w:rsidP="00BD74CB">
            <w:pPr>
              <w:snapToGrid w:val="0"/>
              <w:jc w:val="center"/>
              <w:rPr>
                <w:rFonts w:eastAsiaTheme="minorEastAsia"/>
                <w:szCs w:val="21"/>
                <w:u w:val="single"/>
              </w:rPr>
            </w:pPr>
            <w:r>
              <w:rPr>
                <w:rFonts w:eastAsiaTheme="minorEastAsia" w:hint="eastAsia"/>
                <w:szCs w:val="21"/>
                <w:u w:val="single"/>
              </w:rPr>
              <w:t>6</w:t>
            </w:r>
          </w:p>
        </w:tc>
        <w:tc>
          <w:tcPr>
            <w:tcW w:w="1277" w:type="dxa"/>
            <w:vMerge w:val="restart"/>
            <w:vAlign w:val="center"/>
          </w:tcPr>
          <w:p w:rsidR="00F07E48" w:rsidRPr="00F07E48" w:rsidRDefault="00F07E48">
            <w:pPr>
              <w:snapToGrid w:val="0"/>
              <w:jc w:val="center"/>
              <w:rPr>
                <w:rFonts w:eastAsiaTheme="minorEastAsia" w:hAnsi="宋体"/>
                <w:kern w:val="0"/>
                <w:szCs w:val="21"/>
                <w:u w:val="single"/>
              </w:rPr>
            </w:pPr>
            <w:r>
              <w:rPr>
                <w:rFonts w:eastAsiaTheme="minorEastAsia" w:hAnsi="宋体" w:hint="eastAsia"/>
                <w:kern w:val="0"/>
                <w:szCs w:val="21"/>
                <w:u w:val="single"/>
              </w:rPr>
              <w:t>固废暂存场所</w:t>
            </w:r>
          </w:p>
        </w:tc>
        <w:tc>
          <w:tcPr>
            <w:tcW w:w="1532" w:type="dxa"/>
            <w:vAlign w:val="center"/>
          </w:tcPr>
          <w:p w:rsidR="00F07E48" w:rsidRPr="00F07E48" w:rsidRDefault="00F07E48">
            <w:pPr>
              <w:snapToGrid w:val="0"/>
              <w:jc w:val="center"/>
              <w:rPr>
                <w:rFonts w:eastAsiaTheme="minorEastAsia" w:hAnsi="宋体"/>
                <w:szCs w:val="21"/>
                <w:u w:val="single"/>
              </w:rPr>
            </w:pPr>
            <w:r>
              <w:rPr>
                <w:rFonts w:eastAsiaTheme="minorEastAsia" w:hAnsi="宋体" w:hint="eastAsia"/>
                <w:szCs w:val="21"/>
                <w:u w:val="single"/>
              </w:rPr>
              <w:t>一般固废暂存场</w:t>
            </w:r>
          </w:p>
        </w:tc>
        <w:tc>
          <w:tcPr>
            <w:tcW w:w="3685" w:type="dxa"/>
            <w:vAlign w:val="center"/>
          </w:tcPr>
          <w:p w:rsidR="00F07E48" w:rsidRPr="00F07E48" w:rsidRDefault="00F07E48" w:rsidP="00F07E48">
            <w:pPr>
              <w:snapToGrid w:val="0"/>
              <w:jc w:val="center"/>
              <w:rPr>
                <w:rFonts w:eastAsiaTheme="minorEastAsia"/>
                <w:kern w:val="0"/>
                <w:szCs w:val="21"/>
                <w:u w:val="single"/>
              </w:rPr>
            </w:pPr>
            <w:r>
              <w:rPr>
                <w:rFonts w:eastAsiaTheme="minorEastAsia" w:hint="eastAsia"/>
                <w:kern w:val="0"/>
                <w:szCs w:val="21"/>
                <w:u w:val="single"/>
              </w:rPr>
              <w:t>于车间内原料车间设置一般固废暂存场，占地面积为</w:t>
            </w:r>
            <w:r>
              <w:rPr>
                <w:rFonts w:eastAsiaTheme="minorEastAsia" w:hint="eastAsia"/>
                <w:kern w:val="0"/>
                <w:szCs w:val="21"/>
                <w:u w:val="single"/>
              </w:rPr>
              <w:t>10</w:t>
            </w:r>
            <w:r>
              <w:rPr>
                <w:rFonts w:hint="eastAsia"/>
                <w:kern w:val="0"/>
                <w:szCs w:val="21"/>
                <w:u w:val="single"/>
              </w:rPr>
              <w:t xml:space="preserve"> m</w:t>
            </w:r>
            <w:r>
              <w:rPr>
                <w:rFonts w:hint="eastAsia"/>
                <w:kern w:val="0"/>
                <w:szCs w:val="21"/>
                <w:u w:val="single"/>
                <w:vertAlign w:val="superscript"/>
              </w:rPr>
              <w:t>2</w:t>
            </w:r>
            <w:r>
              <w:rPr>
                <w:szCs w:val="21"/>
                <w:u w:val="single"/>
              </w:rPr>
              <w:t>，</w:t>
            </w:r>
            <w:r>
              <w:rPr>
                <w:rFonts w:hint="eastAsia"/>
                <w:szCs w:val="21"/>
                <w:u w:val="single"/>
              </w:rPr>
              <w:t>满足废包装等一般固废的暂存要求（周转周期按照一月一次考虑）</w:t>
            </w:r>
          </w:p>
        </w:tc>
        <w:tc>
          <w:tcPr>
            <w:tcW w:w="1916" w:type="dxa"/>
            <w:vAlign w:val="center"/>
          </w:tcPr>
          <w:p w:rsidR="00F07E48" w:rsidRPr="00F07E48" w:rsidRDefault="00F07E48">
            <w:pPr>
              <w:snapToGrid w:val="0"/>
              <w:jc w:val="center"/>
              <w:rPr>
                <w:rFonts w:eastAsiaTheme="minorEastAsia"/>
                <w:szCs w:val="21"/>
                <w:u w:val="single"/>
              </w:rPr>
            </w:pPr>
            <w:r>
              <w:rPr>
                <w:rFonts w:eastAsiaTheme="minorEastAsia" w:hint="eastAsia"/>
                <w:szCs w:val="21"/>
                <w:u w:val="single"/>
              </w:rPr>
              <w:t>未建</w:t>
            </w:r>
          </w:p>
        </w:tc>
      </w:tr>
      <w:tr w:rsidR="00F07E48" w:rsidTr="008A065C">
        <w:trPr>
          <w:trHeight w:val="159"/>
          <w:jc w:val="center"/>
        </w:trPr>
        <w:tc>
          <w:tcPr>
            <w:tcW w:w="585" w:type="dxa"/>
            <w:vMerge/>
            <w:vAlign w:val="center"/>
          </w:tcPr>
          <w:p w:rsidR="00F07E48" w:rsidRPr="008A065C" w:rsidRDefault="00F07E48">
            <w:pPr>
              <w:snapToGrid w:val="0"/>
              <w:jc w:val="center"/>
              <w:rPr>
                <w:rFonts w:eastAsiaTheme="minorEastAsia"/>
                <w:szCs w:val="21"/>
                <w:u w:val="single"/>
              </w:rPr>
            </w:pPr>
          </w:p>
        </w:tc>
        <w:tc>
          <w:tcPr>
            <w:tcW w:w="1277" w:type="dxa"/>
            <w:vMerge/>
            <w:vAlign w:val="center"/>
          </w:tcPr>
          <w:p w:rsidR="00F07E48" w:rsidRDefault="00F07E48">
            <w:pPr>
              <w:snapToGrid w:val="0"/>
              <w:jc w:val="center"/>
              <w:rPr>
                <w:rFonts w:hAnsi="宋体"/>
                <w:kern w:val="0"/>
                <w:szCs w:val="21"/>
                <w:u w:val="single"/>
              </w:rPr>
            </w:pPr>
          </w:p>
        </w:tc>
        <w:tc>
          <w:tcPr>
            <w:tcW w:w="1532" w:type="dxa"/>
            <w:vAlign w:val="center"/>
          </w:tcPr>
          <w:p w:rsidR="00F07E48" w:rsidRPr="00F07E48" w:rsidRDefault="00F07E48" w:rsidP="00F07E48">
            <w:pPr>
              <w:snapToGrid w:val="0"/>
              <w:jc w:val="center"/>
              <w:rPr>
                <w:rFonts w:eastAsiaTheme="minorEastAsia" w:hAnsi="宋体"/>
                <w:szCs w:val="21"/>
                <w:u w:val="single"/>
              </w:rPr>
            </w:pPr>
            <w:r>
              <w:rPr>
                <w:rFonts w:eastAsiaTheme="minorEastAsia" w:hAnsi="宋体" w:hint="eastAsia"/>
                <w:szCs w:val="21"/>
                <w:u w:val="single"/>
              </w:rPr>
              <w:t>危险废物暂存库</w:t>
            </w:r>
          </w:p>
        </w:tc>
        <w:tc>
          <w:tcPr>
            <w:tcW w:w="3685" w:type="dxa"/>
            <w:vAlign w:val="center"/>
          </w:tcPr>
          <w:p w:rsidR="00F07E48" w:rsidRPr="00F07E48" w:rsidRDefault="00F07E48" w:rsidP="00F07E48">
            <w:pPr>
              <w:snapToGrid w:val="0"/>
              <w:jc w:val="center"/>
              <w:rPr>
                <w:rFonts w:eastAsiaTheme="minorEastAsia"/>
                <w:kern w:val="0"/>
                <w:szCs w:val="21"/>
                <w:u w:val="single"/>
              </w:rPr>
            </w:pPr>
            <w:r>
              <w:rPr>
                <w:rFonts w:eastAsiaTheme="minorEastAsia" w:hint="eastAsia"/>
                <w:kern w:val="0"/>
                <w:szCs w:val="21"/>
                <w:u w:val="single"/>
              </w:rPr>
              <w:t>设</w:t>
            </w:r>
            <w:r>
              <w:rPr>
                <w:rFonts w:eastAsiaTheme="minorEastAsia" w:hint="eastAsia"/>
                <w:kern w:val="0"/>
                <w:szCs w:val="21"/>
                <w:u w:val="single"/>
              </w:rPr>
              <w:t>200</w:t>
            </w:r>
            <w:r>
              <w:rPr>
                <w:rFonts w:hint="eastAsia"/>
                <w:kern w:val="0"/>
                <w:szCs w:val="21"/>
                <w:u w:val="single"/>
              </w:rPr>
              <w:t xml:space="preserve"> m</w:t>
            </w:r>
            <w:r>
              <w:rPr>
                <w:rFonts w:hint="eastAsia"/>
                <w:kern w:val="0"/>
                <w:szCs w:val="21"/>
                <w:u w:val="single"/>
                <w:vertAlign w:val="superscript"/>
              </w:rPr>
              <w:t>3</w:t>
            </w:r>
            <w:r>
              <w:rPr>
                <w:rFonts w:hint="eastAsia"/>
                <w:szCs w:val="21"/>
                <w:u w:val="single"/>
              </w:rPr>
              <w:t>危险废物暂存库（周转周期按照一月一次考虑）</w:t>
            </w:r>
          </w:p>
        </w:tc>
        <w:tc>
          <w:tcPr>
            <w:tcW w:w="1916" w:type="dxa"/>
            <w:vAlign w:val="center"/>
          </w:tcPr>
          <w:p w:rsidR="00F07E48" w:rsidRPr="00F07E48" w:rsidRDefault="00F07E48">
            <w:pPr>
              <w:snapToGrid w:val="0"/>
              <w:jc w:val="center"/>
              <w:rPr>
                <w:rFonts w:eastAsiaTheme="minorEastAsia"/>
                <w:szCs w:val="21"/>
                <w:u w:val="single"/>
              </w:rPr>
            </w:pPr>
            <w:r>
              <w:rPr>
                <w:rFonts w:eastAsiaTheme="minorEastAsia" w:hint="eastAsia"/>
                <w:szCs w:val="21"/>
                <w:u w:val="single"/>
              </w:rPr>
              <w:t>未建</w:t>
            </w:r>
          </w:p>
        </w:tc>
      </w:tr>
    </w:tbl>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u w:val="single"/>
        </w:rPr>
      </w:pPr>
      <w:r>
        <w:rPr>
          <w:rStyle w:val="2Char1Char"/>
          <w:rFonts w:ascii="Times New Roman" w:eastAsia="宋体" w:hAnsi="Times New Roman" w:cs="Times New Roman" w:hint="eastAsia"/>
          <w:b w:val="0"/>
          <w:sz w:val="24"/>
          <w:szCs w:val="24"/>
          <w:u w:val="single"/>
        </w:rPr>
        <w:t xml:space="preserve">3.1.5 </w:t>
      </w:r>
      <w:r>
        <w:rPr>
          <w:rStyle w:val="2Char1Char"/>
          <w:rFonts w:ascii="Times New Roman" w:eastAsia="宋体" w:hAnsi="Times New Roman" w:cs="Times New Roman" w:hint="eastAsia"/>
          <w:b w:val="0"/>
          <w:sz w:val="24"/>
          <w:szCs w:val="24"/>
          <w:u w:val="single"/>
        </w:rPr>
        <w:t>已有污染防治措施</w:t>
      </w:r>
    </w:p>
    <w:p w:rsidR="00475650" w:rsidRDefault="00475650">
      <w:pPr>
        <w:spacing w:line="360" w:lineRule="auto"/>
        <w:ind w:firstLineChars="200" w:firstLine="464"/>
        <w:rPr>
          <w:rFonts w:hAnsi="宋体"/>
          <w:spacing w:val="-4"/>
          <w:sz w:val="24"/>
        </w:rPr>
      </w:pPr>
      <w:r>
        <w:rPr>
          <w:rFonts w:hAnsi="宋体" w:hint="eastAsia"/>
          <w:spacing w:val="-4"/>
          <w:sz w:val="24"/>
        </w:rPr>
        <w:t>根据现场的实际建设情况来看，本项目已有的建设内容主要为主体工程，环保设施及风险防范措施除部分利旧鹏程化工有限公司现有措施外，其余均为建设，污染防治措</w:t>
      </w:r>
      <w:r w:rsidR="00F07E48">
        <w:rPr>
          <w:rFonts w:hAnsi="宋体" w:hint="eastAsia"/>
          <w:spacing w:val="-4"/>
          <w:sz w:val="24"/>
        </w:rPr>
        <w:t xml:space="preserve">                                                                                                               </w:t>
      </w:r>
      <w:r>
        <w:rPr>
          <w:rFonts w:hAnsi="宋体" w:hint="eastAsia"/>
          <w:spacing w:val="-4"/>
          <w:sz w:val="24"/>
        </w:rPr>
        <w:t>施利旧及待建基本情况如下：</w:t>
      </w:r>
    </w:p>
    <w:p w:rsidR="00475650" w:rsidRDefault="00475650">
      <w:pPr>
        <w:pStyle w:val="affffffffff3"/>
        <w:rPr>
          <w:rFonts w:ascii="Times New Roman" w:hAnsi="Times New Roman"/>
          <w:u w:val="single"/>
        </w:rPr>
      </w:pPr>
      <w:r>
        <w:rPr>
          <w:rFonts w:ascii="Times New Roman"/>
          <w:u w:val="single"/>
        </w:rPr>
        <w:t>表</w:t>
      </w:r>
      <w:r>
        <w:rPr>
          <w:rFonts w:ascii="Times New Roman" w:hAnsi="Times New Roman"/>
          <w:u w:val="single"/>
        </w:rPr>
        <w:t>3.1-</w:t>
      </w:r>
      <w:r>
        <w:rPr>
          <w:rFonts w:ascii="Times New Roman" w:hAnsi="Times New Roman" w:hint="eastAsia"/>
          <w:u w:val="single"/>
        </w:rPr>
        <w:t>2</w:t>
      </w:r>
      <w:r>
        <w:rPr>
          <w:rFonts w:ascii="Times New Roman" w:hAnsi="Times New Roman"/>
          <w:u w:val="single"/>
        </w:rPr>
        <w:t xml:space="preserve">    </w:t>
      </w:r>
      <w:r>
        <w:rPr>
          <w:rFonts w:ascii="Times New Roman" w:hint="eastAsia"/>
          <w:u w:val="single"/>
        </w:rPr>
        <w:t>污染防治措施利旧及待建基本情况表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700"/>
        <w:gridCol w:w="872"/>
        <w:gridCol w:w="1417"/>
        <w:gridCol w:w="3402"/>
        <w:gridCol w:w="3355"/>
      </w:tblGrid>
      <w:tr w:rsidR="00475650">
        <w:trPr>
          <w:trHeight w:val="160"/>
          <w:jc w:val="center"/>
        </w:trPr>
        <w:tc>
          <w:tcPr>
            <w:tcW w:w="700" w:type="dxa"/>
            <w:vAlign w:val="center"/>
          </w:tcPr>
          <w:p w:rsidR="00475650" w:rsidRDefault="00475650">
            <w:pPr>
              <w:pStyle w:val="21f1"/>
              <w:spacing w:line="300" w:lineRule="auto"/>
              <w:rPr>
                <w:rFonts w:ascii="Times New Roman" w:hAnsi="Times New Roman"/>
                <w:color w:val="auto"/>
                <w:szCs w:val="21"/>
                <w:u w:val="single"/>
              </w:rPr>
            </w:pPr>
            <w:r>
              <w:rPr>
                <w:rFonts w:ascii="Times New Roman" w:hAnsi="宋体"/>
                <w:color w:val="auto"/>
                <w:szCs w:val="21"/>
                <w:u w:val="single"/>
              </w:rPr>
              <w:t>序号</w:t>
            </w:r>
          </w:p>
        </w:tc>
        <w:tc>
          <w:tcPr>
            <w:tcW w:w="2289" w:type="dxa"/>
            <w:gridSpan w:val="2"/>
            <w:vAlign w:val="center"/>
          </w:tcPr>
          <w:p w:rsidR="00475650" w:rsidRDefault="00475650">
            <w:pPr>
              <w:pStyle w:val="21f1"/>
              <w:spacing w:line="300" w:lineRule="auto"/>
              <w:rPr>
                <w:rFonts w:ascii="Times New Roman" w:hAnsi="Times New Roman"/>
                <w:color w:val="auto"/>
                <w:szCs w:val="21"/>
                <w:u w:val="single"/>
              </w:rPr>
            </w:pPr>
            <w:r>
              <w:rPr>
                <w:rFonts w:ascii="Times New Roman" w:hAnsi="宋体" w:hint="eastAsia"/>
                <w:color w:val="auto"/>
                <w:szCs w:val="21"/>
                <w:u w:val="single"/>
              </w:rPr>
              <w:t>项目</w:t>
            </w:r>
          </w:p>
        </w:tc>
        <w:tc>
          <w:tcPr>
            <w:tcW w:w="3402" w:type="dxa"/>
            <w:vAlign w:val="center"/>
          </w:tcPr>
          <w:p w:rsidR="00475650" w:rsidRDefault="00475650">
            <w:pPr>
              <w:pStyle w:val="21f1"/>
              <w:spacing w:line="300" w:lineRule="auto"/>
              <w:rPr>
                <w:rFonts w:ascii="Times New Roman" w:hAnsi="Times New Roman"/>
                <w:color w:val="auto"/>
                <w:szCs w:val="21"/>
                <w:u w:val="single"/>
              </w:rPr>
            </w:pPr>
            <w:r>
              <w:rPr>
                <w:rFonts w:ascii="Times New Roman" w:hAnsi="宋体" w:hint="eastAsia"/>
                <w:color w:val="auto"/>
                <w:szCs w:val="21"/>
                <w:u w:val="single"/>
              </w:rPr>
              <w:t>污染防治措施内容</w:t>
            </w:r>
          </w:p>
        </w:tc>
        <w:tc>
          <w:tcPr>
            <w:tcW w:w="3355" w:type="dxa"/>
            <w:vAlign w:val="center"/>
          </w:tcPr>
          <w:p w:rsidR="00475650" w:rsidRDefault="00475650">
            <w:pPr>
              <w:pStyle w:val="21f1"/>
              <w:spacing w:line="300" w:lineRule="auto"/>
              <w:rPr>
                <w:rFonts w:ascii="Times New Roman" w:hAnsi="Times New Roman"/>
                <w:color w:val="auto"/>
                <w:szCs w:val="21"/>
                <w:u w:val="single"/>
              </w:rPr>
            </w:pPr>
            <w:r>
              <w:rPr>
                <w:rFonts w:ascii="Times New Roman" w:hAnsi="宋体" w:hint="eastAsia"/>
                <w:color w:val="auto"/>
                <w:szCs w:val="21"/>
                <w:u w:val="single"/>
              </w:rPr>
              <w:t>整改方案</w:t>
            </w:r>
          </w:p>
        </w:tc>
      </w:tr>
      <w:tr w:rsidR="00475650">
        <w:trPr>
          <w:trHeight w:val="160"/>
          <w:jc w:val="center"/>
        </w:trPr>
        <w:tc>
          <w:tcPr>
            <w:tcW w:w="9746" w:type="dxa"/>
            <w:gridSpan w:val="5"/>
            <w:vAlign w:val="center"/>
          </w:tcPr>
          <w:p w:rsidR="00475650" w:rsidRDefault="00475650">
            <w:pPr>
              <w:snapToGrid w:val="0"/>
              <w:jc w:val="center"/>
              <w:rPr>
                <w:szCs w:val="21"/>
                <w:u w:val="single"/>
              </w:rPr>
            </w:pPr>
            <w:r>
              <w:rPr>
                <w:rFonts w:hAnsi="宋体"/>
                <w:szCs w:val="21"/>
                <w:u w:val="single"/>
              </w:rPr>
              <w:t>一</w:t>
            </w:r>
            <w:r>
              <w:rPr>
                <w:rFonts w:hint="eastAsia"/>
                <w:szCs w:val="21"/>
                <w:u w:val="single"/>
              </w:rPr>
              <w:t>、</w:t>
            </w:r>
            <w:r>
              <w:rPr>
                <w:rFonts w:hAnsi="宋体" w:hint="eastAsia"/>
                <w:szCs w:val="21"/>
                <w:u w:val="single"/>
              </w:rPr>
              <w:t>废水处理</w:t>
            </w:r>
          </w:p>
        </w:tc>
      </w:tr>
      <w:tr w:rsidR="00475650">
        <w:trPr>
          <w:trHeight w:val="160"/>
          <w:jc w:val="center"/>
        </w:trPr>
        <w:tc>
          <w:tcPr>
            <w:tcW w:w="700" w:type="dxa"/>
            <w:vMerge w:val="restart"/>
            <w:vAlign w:val="center"/>
          </w:tcPr>
          <w:p w:rsidR="00475650" w:rsidRDefault="00475650">
            <w:pPr>
              <w:snapToGrid w:val="0"/>
              <w:jc w:val="center"/>
              <w:rPr>
                <w:szCs w:val="21"/>
                <w:u w:val="single"/>
              </w:rPr>
            </w:pPr>
            <w:r>
              <w:rPr>
                <w:szCs w:val="21"/>
                <w:u w:val="single"/>
              </w:rPr>
              <w:t>1</w:t>
            </w:r>
          </w:p>
        </w:tc>
        <w:tc>
          <w:tcPr>
            <w:tcW w:w="872" w:type="dxa"/>
            <w:vMerge w:val="restart"/>
            <w:vAlign w:val="center"/>
          </w:tcPr>
          <w:p w:rsidR="00475650" w:rsidRDefault="00475650">
            <w:pPr>
              <w:snapToGrid w:val="0"/>
              <w:jc w:val="center"/>
              <w:rPr>
                <w:szCs w:val="21"/>
                <w:u w:val="single"/>
              </w:rPr>
            </w:pPr>
            <w:r>
              <w:rPr>
                <w:rFonts w:hint="eastAsia"/>
                <w:szCs w:val="21"/>
                <w:u w:val="single"/>
              </w:rPr>
              <w:t>废水收集</w:t>
            </w:r>
          </w:p>
        </w:tc>
        <w:tc>
          <w:tcPr>
            <w:tcW w:w="1417" w:type="dxa"/>
            <w:vAlign w:val="center"/>
          </w:tcPr>
          <w:p w:rsidR="00475650" w:rsidRDefault="00475650">
            <w:pPr>
              <w:snapToGrid w:val="0"/>
              <w:jc w:val="center"/>
              <w:rPr>
                <w:szCs w:val="21"/>
                <w:u w:val="single"/>
              </w:rPr>
            </w:pPr>
            <w:r>
              <w:rPr>
                <w:rFonts w:hint="eastAsia"/>
                <w:szCs w:val="21"/>
                <w:u w:val="single"/>
              </w:rPr>
              <w:t>雨污分流</w:t>
            </w:r>
          </w:p>
        </w:tc>
        <w:tc>
          <w:tcPr>
            <w:tcW w:w="3402" w:type="dxa"/>
            <w:vAlign w:val="center"/>
          </w:tcPr>
          <w:p w:rsidR="00475650" w:rsidRDefault="00475650">
            <w:pPr>
              <w:snapToGrid w:val="0"/>
              <w:jc w:val="center"/>
              <w:rPr>
                <w:szCs w:val="21"/>
                <w:u w:val="single"/>
              </w:rPr>
            </w:pPr>
            <w:r>
              <w:rPr>
                <w:rFonts w:hint="eastAsia"/>
                <w:szCs w:val="21"/>
                <w:u w:val="single"/>
              </w:rPr>
              <w:t>主厂房设有防雨棚，主厂房外设有雨水沟，由于污水处理站暂未建设，仅铺设了主厂房内的污水管网</w:t>
            </w:r>
          </w:p>
        </w:tc>
        <w:tc>
          <w:tcPr>
            <w:tcW w:w="3355" w:type="dxa"/>
            <w:vAlign w:val="center"/>
          </w:tcPr>
          <w:p w:rsidR="00475650" w:rsidRDefault="00475650">
            <w:pPr>
              <w:snapToGrid w:val="0"/>
              <w:jc w:val="center"/>
              <w:rPr>
                <w:szCs w:val="21"/>
                <w:u w:val="single"/>
              </w:rPr>
            </w:pPr>
            <w:r>
              <w:rPr>
                <w:rFonts w:hint="eastAsia"/>
                <w:szCs w:val="21"/>
                <w:u w:val="single"/>
              </w:rPr>
              <w:t>加快污水处理站的建设，污水管网与公司现有的污水管网连接</w:t>
            </w:r>
          </w:p>
        </w:tc>
      </w:tr>
      <w:tr w:rsidR="00475650">
        <w:trPr>
          <w:trHeight w:val="160"/>
          <w:jc w:val="center"/>
        </w:trPr>
        <w:tc>
          <w:tcPr>
            <w:tcW w:w="700" w:type="dxa"/>
            <w:vMerge/>
            <w:vAlign w:val="center"/>
          </w:tcPr>
          <w:p w:rsidR="00475650" w:rsidRDefault="00475650">
            <w:pPr>
              <w:snapToGrid w:val="0"/>
              <w:jc w:val="center"/>
              <w:rPr>
                <w:szCs w:val="21"/>
                <w:u w:val="single"/>
              </w:rPr>
            </w:pPr>
          </w:p>
        </w:tc>
        <w:tc>
          <w:tcPr>
            <w:tcW w:w="872" w:type="dxa"/>
            <w:vMerge/>
            <w:vAlign w:val="center"/>
          </w:tcPr>
          <w:p w:rsidR="00475650" w:rsidRDefault="00475650">
            <w:pPr>
              <w:snapToGrid w:val="0"/>
              <w:jc w:val="center"/>
              <w:rPr>
                <w:szCs w:val="21"/>
                <w:u w:val="single"/>
              </w:rPr>
            </w:pPr>
          </w:p>
        </w:tc>
        <w:tc>
          <w:tcPr>
            <w:tcW w:w="1417" w:type="dxa"/>
            <w:vAlign w:val="center"/>
          </w:tcPr>
          <w:p w:rsidR="00475650" w:rsidRDefault="00475650">
            <w:pPr>
              <w:snapToGrid w:val="0"/>
              <w:jc w:val="center"/>
              <w:rPr>
                <w:szCs w:val="21"/>
                <w:u w:val="single"/>
              </w:rPr>
            </w:pPr>
            <w:r>
              <w:rPr>
                <w:rFonts w:hint="eastAsia"/>
                <w:szCs w:val="21"/>
                <w:u w:val="single"/>
              </w:rPr>
              <w:t>初期雨水收集</w:t>
            </w:r>
          </w:p>
        </w:tc>
        <w:tc>
          <w:tcPr>
            <w:tcW w:w="3402" w:type="dxa"/>
            <w:vAlign w:val="center"/>
          </w:tcPr>
          <w:p w:rsidR="00475650" w:rsidRDefault="00475650">
            <w:pPr>
              <w:snapToGrid w:val="0"/>
              <w:jc w:val="center"/>
              <w:rPr>
                <w:szCs w:val="21"/>
                <w:u w:val="single"/>
              </w:rPr>
            </w:pPr>
            <w:r>
              <w:rPr>
                <w:rFonts w:hint="eastAsia"/>
                <w:szCs w:val="21"/>
                <w:u w:val="single"/>
              </w:rPr>
              <w:t>占地范围内未设初期雨水收集管网，初期雨水及后期雨水混合收集</w:t>
            </w:r>
          </w:p>
        </w:tc>
        <w:tc>
          <w:tcPr>
            <w:tcW w:w="3355" w:type="dxa"/>
            <w:vAlign w:val="center"/>
          </w:tcPr>
          <w:p w:rsidR="00475650" w:rsidRDefault="00475650">
            <w:pPr>
              <w:snapToGrid w:val="0"/>
              <w:jc w:val="center"/>
              <w:rPr>
                <w:szCs w:val="21"/>
                <w:u w:val="single"/>
              </w:rPr>
            </w:pPr>
            <w:r>
              <w:rPr>
                <w:rFonts w:hint="eastAsia"/>
                <w:szCs w:val="21"/>
                <w:u w:val="single"/>
              </w:rPr>
              <w:t>设初期雨水收集管网，收集的初期雨水依托公司现有</w:t>
            </w:r>
            <w:r>
              <w:rPr>
                <w:rFonts w:hint="eastAsia"/>
                <w:szCs w:val="21"/>
                <w:u w:val="single"/>
              </w:rPr>
              <w:t>350</w:t>
            </w:r>
            <w:r>
              <w:rPr>
                <w:rFonts w:hint="eastAsia"/>
                <w:szCs w:val="21"/>
              </w:rPr>
              <w:t xml:space="preserve"> m</w:t>
            </w:r>
            <w:r>
              <w:rPr>
                <w:rFonts w:hint="eastAsia"/>
                <w:szCs w:val="21"/>
                <w:vertAlign w:val="superscript"/>
              </w:rPr>
              <w:t>3</w:t>
            </w:r>
            <w:r>
              <w:rPr>
                <w:rFonts w:hint="eastAsia"/>
                <w:szCs w:val="21"/>
                <w:u w:val="single"/>
              </w:rPr>
              <w:t>的初期雨水收集池暂存</w:t>
            </w:r>
          </w:p>
        </w:tc>
      </w:tr>
      <w:tr w:rsidR="00475650">
        <w:trPr>
          <w:trHeight w:val="160"/>
          <w:jc w:val="center"/>
        </w:trPr>
        <w:tc>
          <w:tcPr>
            <w:tcW w:w="700" w:type="dxa"/>
            <w:vAlign w:val="center"/>
          </w:tcPr>
          <w:p w:rsidR="00475650" w:rsidRDefault="00475650">
            <w:pPr>
              <w:snapToGrid w:val="0"/>
              <w:jc w:val="center"/>
              <w:rPr>
                <w:szCs w:val="21"/>
                <w:u w:val="single"/>
              </w:rPr>
            </w:pPr>
            <w:r>
              <w:rPr>
                <w:szCs w:val="21"/>
                <w:u w:val="single"/>
              </w:rPr>
              <w:t>2</w:t>
            </w:r>
          </w:p>
        </w:tc>
        <w:tc>
          <w:tcPr>
            <w:tcW w:w="872" w:type="dxa"/>
            <w:vAlign w:val="center"/>
          </w:tcPr>
          <w:p w:rsidR="00475650" w:rsidRDefault="00475650">
            <w:pPr>
              <w:snapToGrid w:val="0"/>
              <w:jc w:val="center"/>
              <w:rPr>
                <w:szCs w:val="21"/>
                <w:u w:val="single"/>
              </w:rPr>
            </w:pPr>
            <w:r>
              <w:rPr>
                <w:rFonts w:hint="eastAsia"/>
                <w:szCs w:val="21"/>
                <w:u w:val="single"/>
              </w:rPr>
              <w:t>污水处理站</w:t>
            </w:r>
          </w:p>
        </w:tc>
        <w:tc>
          <w:tcPr>
            <w:tcW w:w="1417" w:type="dxa"/>
            <w:vAlign w:val="center"/>
          </w:tcPr>
          <w:p w:rsidR="00475650" w:rsidRDefault="00475650">
            <w:pPr>
              <w:snapToGrid w:val="0"/>
              <w:jc w:val="center"/>
              <w:rPr>
                <w:szCs w:val="21"/>
                <w:u w:val="single"/>
              </w:rPr>
            </w:pPr>
            <w:r>
              <w:rPr>
                <w:rFonts w:hint="eastAsia"/>
                <w:szCs w:val="21"/>
              </w:rPr>
              <w:t>处理能力应大于</w:t>
            </w:r>
            <w:r>
              <w:rPr>
                <w:rFonts w:hint="eastAsia"/>
                <w:szCs w:val="21"/>
              </w:rPr>
              <w:t>700m</w:t>
            </w:r>
            <w:r>
              <w:rPr>
                <w:rFonts w:hint="eastAsia"/>
                <w:szCs w:val="21"/>
                <w:vertAlign w:val="superscript"/>
              </w:rPr>
              <w:t>3</w:t>
            </w:r>
            <w:r>
              <w:rPr>
                <w:rFonts w:hint="eastAsia"/>
                <w:szCs w:val="21"/>
              </w:rPr>
              <w:t>/d</w:t>
            </w:r>
          </w:p>
        </w:tc>
        <w:tc>
          <w:tcPr>
            <w:tcW w:w="3402" w:type="dxa"/>
            <w:vAlign w:val="center"/>
          </w:tcPr>
          <w:p w:rsidR="00475650" w:rsidRDefault="00475650">
            <w:pPr>
              <w:snapToGrid w:val="0"/>
              <w:jc w:val="center"/>
              <w:rPr>
                <w:szCs w:val="21"/>
                <w:u w:val="single"/>
              </w:rPr>
            </w:pPr>
            <w:r>
              <w:rPr>
                <w:rFonts w:hint="eastAsia"/>
                <w:szCs w:val="21"/>
                <w:u w:val="single"/>
              </w:rPr>
              <w:t>“车间沉淀预处理</w:t>
            </w:r>
            <w:r>
              <w:rPr>
                <w:rFonts w:hint="eastAsia"/>
                <w:szCs w:val="21"/>
                <w:u w:val="single"/>
              </w:rPr>
              <w:t>+</w:t>
            </w:r>
            <w:r>
              <w:rPr>
                <w:szCs w:val="21"/>
                <w:u w:val="single"/>
              </w:rPr>
              <w:t>pH</w:t>
            </w:r>
            <w:r>
              <w:rPr>
                <w:szCs w:val="21"/>
                <w:u w:val="single"/>
              </w:rPr>
              <w:t>调节</w:t>
            </w:r>
            <w:r>
              <w:rPr>
                <w:szCs w:val="21"/>
                <w:u w:val="single"/>
              </w:rPr>
              <w:t>+</w:t>
            </w:r>
            <w:r>
              <w:rPr>
                <w:rFonts w:hint="eastAsia"/>
                <w:szCs w:val="21"/>
                <w:u w:val="single"/>
              </w:rPr>
              <w:t>活性炭吸附</w:t>
            </w:r>
            <w:r>
              <w:rPr>
                <w:rFonts w:hint="eastAsia"/>
                <w:szCs w:val="21"/>
                <w:u w:val="single"/>
              </w:rPr>
              <w:t>+</w:t>
            </w:r>
            <w:r>
              <w:rPr>
                <w:szCs w:val="21"/>
                <w:u w:val="single"/>
              </w:rPr>
              <w:t>蒸发脱盐</w:t>
            </w:r>
            <w:r>
              <w:rPr>
                <w:szCs w:val="21"/>
                <w:u w:val="single"/>
              </w:rPr>
              <w:t>+</w:t>
            </w:r>
            <w:r>
              <w:rPr>
                <w:szCs w:val="21"/>
                <w:u w:val="single"/>
              </w:rPr>
              <w:t>微电解</w:t>
            </w:r>
            <w:r>
              <w:rPr>
                <w:szCs w:val="21"/>
                <w:u w:val="single"/>
              </w:rPr>
              <w:t>+</w:t>
            </w:r>
            <w:r>
              <w:rPr>
                <w:szCs w:val="21"/>
                <w:u w:val="single"/>
              </w:rPr>
              <w:t>化学氧化</w:t>
            </w:r>
            <w:r>
              <w:rPr>
                <w:szCs w:val="21"/>
                <w:u w:val="single"/>
              </w:rPr>
              <w:t>+</w:t>
            </w:r>
            <w:r>
              <w:rPr>
                <w:szCs w:val="21"/>
                <w:u w:val="single"/>
              </w:rPr>
              <w:t>厌氧生化</w:t>
            </w:r>
            <w:r>
              <w:rPr>
                <w:szCs w:val="21"/>
                <w:u w:val="single"/>
              </w:rPr>
              <w:t>+</w:t>
            </w:r>
            <w:r>
              <w:rPr>
                <w:szCs w:val="21"/>
                <w:u w:val="single"/>
              </w:rPr>
              <w:t>生物滤池处理</w:t>
            </w:r>
            <w:r>
              <w:rPr>
                <w:rFonts w:hint="eastAsia"/>
                <w:szCs w:val="21"/>
                <w:u w:val="single"/>
              </w:rPr>
              <w:t>+</w:t>
            </w:r>
            <w:r>
              <w:rPr>
                <w:rFonts w:hint="eastAsia"/>
                <w:szCs w:val="21"/>
                <w:u w:val="single"/>
              </w:rPr>
              <w:t>活性炭吸附</w:t>
            </w:r>
            <w:r>
              <w:rPr>
                <w:rFonts w:hint="eastAsia"/>
                <w:szCs w:val="21"/>
                <w:u w:val="single"/>
              </w:rPr>
              <w:t>+</w:t>
            </w:r>
            <w:r>
              <w:rPr>
                <w:rFonts w:hint="eastAsia"/>
                <w:szCs w:val="21"/>
                <w:u w:val="single"/>
              </w:rPr>
              <w:t>炉膛煤渣吸附脱色”</w:t>
            </w:r>
          </w:p>
        </w:tc>
        <w:tc>
          <w:tcPr>
            <w:tcW w:w="3355" w:type="dxa"/>
            <w:vAlign w:val="center"/>
          </w:tcPr>
          <w:p w:rsidR="00475650" w:rsidRDefault="00475650">
            <w:pPr>
              <w:snapToGrid w:val="0"/>
              <w:jc w:val="center"/>
              <w:rPr>
                <w:szCs w:val="21"/>
                <w:u w:val="single"/>
              </w:rPr>
            </w:pPr>
            <w:r>
              <w:rPr>
                <w:rFonts w:hint="eastAsia"/>
                <w:szCs w:val="21"/>
                <w:u w:val="single"/>
              </w:rPr>
              <w:t>未建设</w:t>
            </w:r>
          </w:p>
        </w:tc>
      </w:tr>
      <w:tr w:rsidR="00475650">
        <w:trPr>
          <w:trHeight w:val="160"/>
          <w:jc w:val="center"/>
        </w:trPr>
        <w:tc>
          <w:tcPr>
            <w:tcW w:w="9746" w:type="dxa"/>
            <w:gridSpan w:val="5"/>
            <w:vAlign w:val="center"/>
          </w:tcPr>
          <w:p w:rsidR="00475650" w:rsidRDefault="00475650">
            <w:pPr>
              <w:snapToGrid w:val="0"/>
              <w:jc w:val="center"/>
              <w:rPr>
                <w:szCs w:val="21"/>
                <w:u w:val="single"/>
              </w:rPr>
            </w:pPr>
            <w:r>
              <w:rPr>
                <w:rFonts w:hint="eastAsia"/>
                <w:szCs w:val="21"/>
                <w:u w:val="single"/>
              </w:rPr>
              <w:t>二、废气处理</w:t>
            </w:r>
          </w:p>
        </w:tc>
      </w:tr>
      <w:tr w:rsidR="00475650">
        <w:trPr>
          <w:trHeight w:val="160"/>
          <w:jc w:val="center"/>
        </w:trPr>
        <w:tc>
          <w:tcPr>
            <w:tcW w:w="700" w:type="dxa"/>
            <w:vMerge w:val="restart"/>
            <w:vAlign w:val="center"/>
          </w:tcPr>
          <w:p w:rsidR="00475650" w:rsidRDefault="00475650">
            <w:pPr>
              <w:snapToGrid w:val="0"/>
              <w:jc w:val="center"/>
              <w:rPr>
                <w:szCs w:val="21"/>
                <w:u w:val="single"/>
              </w:rPr>
            </w:pPr>
            <w:r>
              <w:rPr>
                <w:rFonts w:hint="eastAsia"/>
                <w:szCs w:val="21"/>
                <w:u w:val="single"/>
              </w:rPr>
              <w:t>1</w:t>
            </w:r>
          </w:p>
        </w:tc>
        <w:tc>
          <w:tcPr>
            <w:tcW w:w="872" w:type="dxa"/>
            <w:vMerge w:val="restart"/>
            <w:vAlign w:val="center"/>
          </w:tcPr>
          <w:p w:rsidR="00475650" w:rsidRDefault="00475650">
            <w:pPr>
              <w:snapToGrid w:val="0"/>
              <w:jc w:val="center"/>
              <w:rPr>
                <w:szCs w:val="21"/>
                <w:u w:val="single"/>
              </w:rPr>
            </w:pPr>
            <w:r>
              <w:rPr>
                <w:rFonts w:hint="eastAsia"/>
                <w:szCs w:val="21"/>
                <w:u w:val="single"/>
              </w:rPr>
              <w:t>生产废气</w:t>
            </w:r>
          </w:p>
        </w:tc>
        <w:tc>
          <w:tcPr>
            <w:tcW w:w="1417" w:type="dxa"/>
            <w:vAlign w:val="center"/>
          </w:tcPr>
          <w:p w:rsidR="00475650" w:rsidRDefault="00475650">
            <w:pPr>
              <w:snapToGrid w:val="0"/>
              <w:jc w:val="center"/>
              <w:rPr>
                <w:szCs w:val="21"/>
                <w:u w:val="single"/>
              </w:rPr>
            </w:pPr>
            <w:r>
              <w:rPr>
                <w:rFonts w:hint="eastAsia"/>
                <w:szCs w:val="21"/>
                <w:u w:val="single"/>
              </w:rPr>
              <w:t>负压收集</w:t>
            </w:r>
          </w:p>
        </w:tc>
        <w:tc>
          <w:tcPr>
            <w:tcW w:w="3402" w:type="dxa"/>
            <w:vAlign w:val="center"/>
          </w:tcPr>
          <w:p w:rsidR="00475650" w:rsidRDefault="00475650">
            <w:pPr>
              <w:snapToGrid w:val="0"/>
              <w:jc w:val="center"/>
              <w:rPr>
                <w:szCs w:val="21"/>
                <w:u w:val="single"/>
              </w:rPr>
            </w:pPr>
            <w:r>
              <w:rPr>
                <w:rFonts w:hint="eastAsia"/>
                <w:szCs w:val="21"/>
                <w:u w:val="single"/>
              </w:rPr>
              <w:t>对反应釜废气、烘干废气、污水处理站废气、隔膜压滤废气等生产采取负压收集</w:t>
            </w:r>
          </w:p>
        </w:tc>
        <w:tc>
          <w:tcPr>
            <w:tcW w:w="3355" w:type="dxa"/>
            <w:vAlign w:val="center"/>
          </w:tcPr>
          <w:p w:rsidR="00475650" w:rsidRDefault="00475650">
            <w:pPr>
              <w:snapToGrid w:val="0"/>
              <w:jc w:val="center"/>
              <w:rPr>
                <w:szCs w:val="21"/>
                <w:u w:val="single"/>
              </w:rPr>
            </w:pPr>
            <w:r>
              <w:rPr>
                <w:rFonts w:hint="eastAsia"/>
                <w:szCs w:val="21"/>
                <w:u w:val="single"/>
              </w:rPr>
              <w:t>未建设</w:t>
            </w:r>
          </w:p>
        </w:tc>
      </w:tr>
      <w:tr w:rsidR="00475650">
        <w:trPr>
          <w:trHeight w:val="160"/>
          <w:jc w:val="center"/>
        </w:trPr>
        <w:tc>
          <w:tcPr>
            <w:tcW w:w="700" w:type="dxa"/>
            <w:vMerge/>
            <w:vAlign w:val="center"/>
          </w:tcPr>
          <w:p w:rsidR="00475650" w:rsidRDefault="00475650">
            <w:pPr>
              <w:snapToGrid w:val="0"/>
              <w:jc w:val="center"/>
              <w:rPr>
                <w:szCs w:val="21"/>
                <w:u w:val="single"/>
              </w:rPr>
            </w:pPr>
          </w:p>
        </w:tc>
        <w:tc>
          <w:tcPr>
            <w:tcW w:w="872" w:type="dxa"/>
            <w:vMerge/>
            <w:vAlign w:val="center"/>
          </w:tcPr>
          <w:p w:rsidR="00475650" w:rsidRDefault="00475650">
            <w:pPr>
              <w:snapToGrid w:val="0"/>
              <w:jc w:val="center"/>
              <w:rPr>
                <w:szCs w:val="21"/>
                <w:u w:val="single"/>
              </w:rPr>
            </w:pPr>
          </w:p>
        </w:tc>
        <w:tc>
          <w:tcPr>
            <w:tcW w:w="1417" w:type="dxa"/>
            <w:vAlign w:val="center"/>
          </w:tcPr>
          <w:p w:rsidR="00475650" w:rsidRDefault="00475650">
            <w:pPr>
              <w:snapToGrid w:val="0"/>
              <w:jc w:val="center"/>
              <w:rPr>
                <w:szCs w:val="21"/>
                <w:u w:val="single"/>
              </w:rPr>
            </w:pPr>
            <w:r>
              <w:rPr>
                <w:rFonts w:hint="eastAsia"/>
                <w:szCs w:val="21"/>
                <w:u w:val="single"/>
              </w:rPr>
              <w:t>碱液喷淋</w:t>
            </w:r>
          </w:p>
        </w:tc>
        <w:tc>
          <w:tcPr>
            <w:tcW w:w="3402" w:type="dxa"/>
            <w:vAlign w:val="center"/>
          </w:tcPr>
          <w:p w:rsidR="00475650" w:rsidRDefault="00475650">
            <w:pPr>
              <w:snapToGrid w:val="0"/>
              <w:jc w:val="center"/>
              <w:rPr>
                <w:szCs w:val="21"/>
                <w:u w:val="single"/>
              </w:rPr>
            </w:pPr>
            <w:r>
              <w:rPr>
                <w:rFonts w:hint="eastAsia"/>
                <w:szCs w:val="21"/>
                <w:u w:val="single"/>
              </w:rPr>
              <w:t>生产废气采用碱液喷淋的措施去除其中的氯化氢，去除效率</w:t>
            </w:r>
            <w:r>
              <w:rPr>
                <w:rFonts w:hint="eastAsia"/>
                <w:szCs w:val="21"/>
                <w:u w:val="single"/>
              </w:rPr>
              <w:t>85.5%</w:t>
            </w:r>
          </w:p>
        </w:tc>
        <w:tc>
          <w:tcPr>
            <w:tcW w:w="3355" w:type="dxa"/>
            <w:vAlign w:val="center"/>
          </w:tcPr>
          <w:p w:rsidR="00475650" w:rsidRDefault="00475650">
            <w:pPr>
              <w:snapToGrid w:val="0"/>
              <w:jc w:val="center"/>
              <w:rPr>
                <w:szCs w:val="21"/>
                <w:u w:val="single"/>
              </w:rPr>
            </w:pPr>
            <w:r>
              <w:rPr>
                <w:rFonts w:hint="eastAsia"/>
                <w:szCs w:val="21"/>
                <w:u w:val="single"/>
              </w:rPr>
              <w:t>未建设</w:t>
            </w:r>
          </w:p>
        </w:tc>
      </w:tr>
      <w:tr w:rsidR="00475650">
        <w:trPr>
          <w:trHeight w:val="160"/>
          <w:jc w:val="center"/>
        </w:trPr>
        <w:tc>
          <w:tcPr>
            <w:tcW w:w="700" w:type="dxa"/>
            <w:vAlign w:val="center"/>
          </w:tcPr>
          <w:p w:rsidR="00475650" w:rsidRDefault="00475650">
            <w:pPr>
              <w:snapToGrid w:val="0"/>
              <w:jc w:val="center"/>
              <w:rPr>
                <w:szCs w:val="21"/>
                <w:u w:val="single"/>
              </w:rPr>
            </w:pPr>
            <w:r>
              <w:rPr>
                <w:rFonts w:hint="eastAsia"/>
                <w:szCs w:val="21"/>
                <w:u w:val="single"/>
              </w:rPr>
              <w:t>2</w:t>
            </w:r>
          </w:p>
        </w:tc>
        <w:tc>
          <w:tcPr>
            <w:tcW w:w="872" w:type="dxa"/>
            <w:vAlign w:val="center"/>
          </w:tcPr>
          <w:p w:rsidR="00475650" w:rsidRDefault="00475650">
            <w:pPr>
              <w:snapToGrid w:val="0"/>
              <w:jc w:val="center"/>
              <w:rPr>
                <w:szCs w:val="21"/>
                <w:u w:val="single"/>
              </w:rPr>
            </w:pPr>
            <w:r>
              <w:rPr>
                <w:rFonts w:hint="eastAsia"/>
                <w:szCs w:val="21"/>
                <w:u w:val="single"/>
              </w:rPr>
              <w:t>破碎废气</w:t>
            </w:r>
          </w:p>
        </w:tc>
        <w:tc>
          <w:tcPr>
            <w:tcW w:w="1417" w:type="dxa"/>
            <w:vAlign w:val="center"/>
          </w:tcPr>
          <w:p w:rsidR="00475650" w:rsidRDefault="00475650">
            <w:pPr>
              <w:snapToGrid w:val="0"/>
              <w:jc w:val="center"/>
              <w:rPr>
                <w:szCs w:val="21"/>
                <w:u w:val="single"/>
              </w:rPr>
            </w:pPr>
            <w:r>
              <w:rPr>
                <w:rFonts w:hint="eastAsia"/>
                <w:szCs w:val="21"/>
                <w:u w:val="single"/>
              </w:rPr>
              <w:t>负压收集</w:t>
            </w:r>
            <w:r>
              <w:rPr>
                <w:rFonts w:hint="eastAsia"/>
                <w:szCs w:val="21"/>
                <w:u w:val="single"/>
              </w:rPr>
              <w:t>+</w:t>
            </w:r>
            <w:r>
              <w:rPr>
                <w:rFonts w:hint="eastAsia"/>
                <w:szCs w:val="21"/>
                <w:u w:val="single"/>
              </w:rPr>
              <w:t>布袋收尘</w:t>
            </w:r>
          </w:p>
        </w:tc>
        <w:tc>
          <w:tcPr>
            <w:tcW w:w="3402" w:type="dxa"/>
            <w:vAlign w:val="center"/>
          </w:tcPr>
          <w:p w:rsidR="00475650" w:rsidRDefault="00475650">
            <w:pPr>
              <w:snapToGrid w:val="0"/>
              <w:jc w:val="center"/>
              <w:rPr>
                <w:szCs w:val="21"/>
                <w:u w:val="single"/>
              </w:rPr>
            </w:pPr>
            <w:r>
              <w:rPr>
                <w:rFonts w:hint="eastAsia"/>
                <w:szCs w:val="21"/>
                <w:u w:val="single"/>
              </w:rPr>
              <w:t>对破碎及包装生产线的废气负压收集后采用布袋收尘的方式回收粉尘，减少废气中粉尘颗粒物污染物浓度，收尘效率为</w:t>
            </w:r>
            <w:r>
              <w:rPr>
                <w:rFonts w:hint="eastAsia"/>
                <w:szCs w:val="21"/>
                <w:u w:val="single"/>
              </w:rPr>
              <w:t>94.525%</w:t>
            </w:r>
          </w:p>
        </w:tc>
        <w:tc>
          <w:tcPr>
            <w:tcW w:w="3355" w:type="dxa"/>
            <w:vAlign w:val="center"/>
          </w:tcPr>
          <w:p w:rsidR="00475650" w:rsidRDefault="00475650">
            <w:pPr>
              <w:snapToGrid w:val="0"/>
              <w:jc w:val="center"/>
              <w:rPr>
                <w:szCs w:val="21"/>
                <w:u w:val="single"/>
              </w:rPr>
            </w:pPr>
            <w:r>
              <w:rPr>
                <w:rFonts w:hint="eastAsia"/>
                <w:szCs w:val="21"/>
                <w:u w:val="single"/>
              </w:rPr>
              <w:t>未建设</w:t>
            </w:r>
          </w:p>
        </w:tc>
      </w:tr>
      <w:tr w:rsidR="00475650">
        <w:trPr>
          <w:trHeight w:val="160"/>
          <w:jc w:val="center"/>
        </w:trPr>
        <w:tc>
          <w:tcPr>
            <w:tcW w:w="700" w:type="dxa"/>
            <w:vAlign w:val="center"/>
          </w:tcPr>
          <w:p w:rsidR="00475650" w:rsidRDefault="00475650">
            <w:pPr>
              <w:snapToGrid w:val="0"/>
              <w:jc w:val="center"/>
              <w:rPr>
                <w:szCs w:val="21"/>
                <w:u w:val="single"/>
              </w:rPr>
            </w:pPr>
            <w:r>
              <w:rPr>
                <w:rFonts w:hint="eastAsia"/>
                <w:szCs w:val="21"/>
                <w:u w:val="single"/>
              </w:rPr>
              <w:t>3</w:t>
            </w:r>
          </w:p>
        </w:tc>
        <w:tc>
          <w:tcPr>
            <w:tcW w:w="872" w:type="dxa"/>
            <w:vAlign w:val="center"/>
          </w:tcPr>
          <w:p w:rsidR="00475650" w:rsidRDefault="00475650">
            <w:pPr>
              <w:snapToGrid w:val="0"/>
              <w:jc w:val="center"/>
              <w:rPr>
                <w:szCs w:val="21"/>
                <w:u w:val="single"/>
              </w:rPr>
            </w:pPr>
            <w:r>
              <w:rPr>
                <w:rFonts w:hint="eastAsia"/>
                <w:szCs w:val="21"/>
                <w:u w:val="single"/>
              </w:rPr>
              <w:t>排气筒</w:t>
            </w:r>
          </w:p>
        </w:tc>
        <w:tc>
          <w:tcPr>
            <w:tcW w:w="1417" w:type="dxa"/>
            <w:vAlign w:val="center"/>
          </w:tcPr>
          <w:p w:rsidR="00475650" w:rsidRDefault="00475650">
            <w:pPr>
              <w:snapToGrid w:val="0"/>
              <w:jc w:val="center"/>
              <w:rPr>
                <w:szCs w:val="21"/>
                <w:u w:val="single"/>
              </w:rPr>
            </w:pPr>
          </w:p>
        </w:tc>
        <w:tc>
          <w:tcPr>
            <w:tcW w:w="3402" w:type="dxa"/>
            <w:vAlign w:val="center"/>
          </w:tcPr>
          <w:p w:rsidR="00475650" w:rsidRDefault="00475650">
            <w:pPr>
              <w:snapToGrid w:val="0"/>
              <w:jc w:val="center"/>
              <w:rPr>
                <w:szCs w:val="21"/>
                <w:u w:val="single"/>
              </w:rPr>
            </w:pPr>
            <w:r>
              <w:rPr>
                <w:rFonts w:hint="eastAsia"/>
                <w:szCs w:val="21"/>
                <w:u w:val="single"/>
              </w:rPr>
              <w:t>设</w:t>
            </w:r>
            <w:r>
              <w:rPr>
                <w:rFonts w:hint="eastAsia"/>
                <w:szCs w:val="21"/>
                <w:u w:val="single"/>
              </w:rPr>
              <w:t>1</w:t>
            </w:r>
            <w:r>
              <w:rPr>
                <w:rFonts w:hint="eastAsia"/>
                <w:szCs w:val="21"/>
                <w:u w:val="single"/>
              </w:rPr>
              <w:t>个排气筒，高度不低于</w:t>
            </w:r>
            <w:r>
              <w:rPr>
                <w:rFonts w:hint="eastAsia"/>
                <w:szCs w:val="21"/>
                <w:u w:val="single"/>
              </w:rPr>
              <w:t>15m</w:t>
            </w:r>
            <w:r>
              <w:rPr>
                <w:rFonts w:hint="eastAsia"/>
                <w:szCs w:val="21"/>
                <w:u w:val="single"/>
              </w:rPr>
              <w:t>，采用防腐蚀材料</w:t>
            </w:r>
            <w:r>
              <w:rPr>
                <w:rFonts w:hint="eastAsia"/>
                <w:szCs w:val="21"/>
                <w:u w:val="single"/>
              </w:rPr>
              <w:t xml:space="preserve"> ,</w:t>
            </w:r>
          </w:p>
        </w:tc>
        <w:tc>
          <w:tcPr>
            <w:tcW w:w="3355" w:type="dxa"/>
            <w:vAlign w:val="center"/>
          </w:tcPr>
          <w:p w:rsidR="00475650" w:rsidRDefault="00475650">
            <w:pPr>
              <w:snapToGrid w:val="0"/>
              <w:jc w:val="center"/>
              <w:rPr>
                <w:szCs w:val="21"/>
                <w:u w:val="single"/>
              </w:rPr>
            </w:pPr>
            <w:r>
              <w:rPr>
                <w:rFonts w:hint="eastAsia"/>
                <w:szCs w:val="21"/>
                <w:u w:val="single"/>
              </w:rPr>
              <w:t>未建设</w:t>
            </w:r>
          </w:p>
        </w:tc>
      </w:tr>
      <w:tr w:rsidR="00475650">
        <w:trPr>
          <w:trHeight w:val="160"/>
          <w:jc w:val="center"/>
        </w:trPr>
        <w:tc>
          <w:tcPr>
            <w:tcW w:w="9746" w:type="dxa"/>
            <w:gridSpan w:val="5"/>
            <w:vAlign w:val="center"/>
          </w:tcPr>
          <w:p w:rsidR="00475650" w:rsidRDefault="00475650">
            <w:pPr>
              <w:snapToGrid w:val="0"/>
              <w:jc w:val="center"/>
              <w:rPr>
                <w:szCs w:val="21"/>
                <w:u w:val="single"/>
              </w:rPr>
            </w:pPr>
            <w:r>
              <w:rPr>
                <w:rFonts w:hint="eastAsia"/>
                <w:szCs w:val="21"/>
                <w:u w:val="single"/>
              </w:rPr>
              <w:t>三、固废处理</w:t>
            </w:r>
          </w:p>
        </w:tc>
      </w:tr>
      <w:tr w:rsidR="00475650">
        <w:trPr>
          <w:trHeight w:val="160"/>
          <w:jc w:val="center"/>
        </w:trPr>
        <w:tc>
          <w:tcPr>
            <w:tcW w:w="700" w:type="dxa"/>
            <w:vAlign w:val="center"/>
          </w:tcPr>
          <w:p w:rsidR="00475650" w:rsidRDefault="00475650">
            <w:pPr>
              <w:snapToGrid w:val="0"/>
              <w:jc w:val="center"/>
              <w:rPr>
                <w:szCs w:val="21"/>
                <w:u w:val="single"/>
              </w:rPr>
            </w:pPr>
            <w:r>
              <w:rPr>
                <w:rFonts w:hint="eastAsia"/>
                <w:szCs w:val="21"/>
                <w:u w:val="single"/>
              </w:rPr>
              <w:t>1</w:t>
            </w:r>
          </w:p>
        </w:tc>
        <w:tc>
          <w:tcPr>
            <w:tcW w:w="872" w:type="dxa"/>
            <w:vAlign w:val="center"/>
          </w:tcPr>
          <w:p w:rsidR="00475650" w:rsidRDefault="00475650">
            <w:pPr>
              <w:snapToGrid w:val="0"/>
              <w:jc w:val="center"/>
              <w:rPr>
                <w:rFonts w:hAnsi="宋体"/>
                <w:kern w:val="0"/>
                <w:szCs w:val="21"/>
                <w:u w:val="single"/>
              </w:rPr>
            </w:pPr>
            <w:r>
              <w:rPr>
                <w:rFonts w:hAnsi="宋体" w:hint="eastAsia"/>
                <w:kern w:val="0"/>
                <w:szCs w:val="21"/>
                <w:u w:val="single"/>
              </w:rPr>
              <w:t>污水处</w:t>
            </w:r>
            <w:r>
              <w:rPr>
                <w:rFonts w:hAnsi="宋体" w:hint="eastAsia"/>
                <w:kern w:val="0"/>
                <w:szCs w:val="21"/>
                <w:u w:val="single"/>
              </w:rPr>
              <w:lastRenderedPageBreak/>
              <w:t>理站污泥</w:t>
            </w:r>
          </w:p>
        </w:tc>
        <w:tc>
          <w:tcPr>
            <w:tcW w:w="1417" w:type="dxa"/>
            <w:vAlign w:val="center"/>
          </w:tcPr>
          <w:p w:rsidR="00475650" w:rsidRDefault="00475650">
            <w:pPr>
              <w:snapToGrid w:val="0"/>
              <w:jc w:val="center"/>
              <w:rPr>
                <w:rFonts w:hAnsi="宋体"/>
                <w:szCs w:val="21"/>
                <w:u w:val="single"/>
              </w:rPr>
            </w:pPr>
            <w:r>
              <w:rPr>
                <w:rFonts w:hAnsi="宋体" w:hint="eastAsia"/>
                <w:szCs w:val="21"/>
                <w:u w:val="single"/>
              </w:rPr>
              <w:lastRenderedPageBreak/>
              <w:t>危废</w:t>
            </w:r>
            <w:r>
              <w:rPr>
                <w:rFonts w:hAnsi="宋体" w:hint="eastAsia"/>
                <w:szCs w:val="21"/>
                <w:u w:val="single"/>
              </w:rPr>
              <w:t>HW12</w:t>
            </w:r>
          </w:p>
        </w:tc>
        <w:tc>
          <w:tcPr>
            <w:tcW w:w="3402" w:type="dxa"/>
            <w:vAlign w:val="center"/>
          </w:tcPr>
          <w:p w:rsidR="00475650" w:rsidRDefault="00475650">
            <w:pPr>
              <w:snapToGrid w:val="0"/>
              <w:jc w:val="center"/>
              <w:rPr>
                <w:kern w:val="0"/>
                <w:szCs w:val="21"/>
                <w:u w:val="single"/>
              </w:rPr>
            </w:pPr>
            <w:r>
              <w:rPr>
                <w:rFonts w:hint="eastAsia"/>
                <w:kern w:val="0"/>
                <w:szCs w:val="21"/>
                <w:u w:val="single"/>
              </w:rPr>
              <w:t>设危险废物暂存库房暂存该污泥，</w:t>
            </w:r>
            <w:r>
              <w:rPr>
                <w:rFonts w:hint="eastAsia"/>
                <w:kern w:val="0"/>
                <w:szCs w:val="21"/>
                <w:u w:val="single"/>
              </w:rPr>
              <w:lastRenderedPageBreak/>
              <w:t>危险废物暂存库应满足《危险废物贮存污染控制标准》（</w:t>
            </w:r>
            <w:r>
              <w:rPr>
                <w:rFonts w:hint="eastAsia"/>
                <w:kern w:val="0"/>
                <w:szCs w:val="21"/>
                <w:u w:val="single"/>
              </w:rPr>
              <w:t>GB18597-2001</w:t>
            </w:r>
            <w:r>
              <w:rPr>
                <w:rFonts w:hint="eastAsia"/>
                <w:kern w:val="0"/>
                <w:szCs w:val="21"/>
                <w:u w:val="single"/>
              </w:rPr>
              <w:t>）的要求，外委有资质的单位处理</w:t>
            </w:r>
          </w:p>
        </w:tc>
        <w:tc>
          <w:tcPr>
            <w:tcW w:w="3355" w:type="dxa"/>
            <w:vAlign w:val="center"/>
          </w:tcPr>
          <w:p w:rsidR="00475650" w:rsidRDefault="00475650">
            <w:pPr>
              <w:snapToGrid w:val="0"/>
              <w:jc w:val="center"/>
              <w:rPr>
                <w:szCs w:val="21"/>
                <w:u w:val="single"/>
              </w:rPr>
            </w:pPr>
            <w:r>
              <w:rPr>
                <w:rFonts w:hint="eastAsia"/>
                <w:szCs w:val="21"/>
                <w:u w:val="single"/>
              </w:rPr>
              <w:lastRenderedPageBreak/>
              <w:t>已与湖南德泽环保科技有限公司</w:t>
            </w:r>
            <w:r>
              <w:rPr>
                <w:rFonts w:hint="eastAsia"/>
                <w:szCs w:val="21"/>
                <w:u w:val="single"/>
              </w:rPr>
              <w:lastRenderedPageBreak/>
              <w:t>签订委托处理的协议，暂未建设危险废物暂存库</w:t>
            </w:r>
          </w:p>
        </w:tc>
      </w:tr>
      <w:tr w:rsidR="00475650">
        <w:trPr>
          <w:trHeight w:val="160"/>
          <w:jc w:val="center"/>
        </w:trPr>
        <w:tc>
          <w:tcPr>
            <w:tcW w:w="700" w:type="dxa"/>
            <w:vAlign w:val="center"/>
          </w:tcPr>
          <w:p w:rsidR="00475650" w:rsidRDefault="00475650">
            <w:pPr>
              <w:snapToGrid w:val="0"/>
              <w:jc w:val="center"/>
              <w:rPr>
                <w:szCs w:val="21"/>
                <w:u w:val="single"/>
              </w:rPr>
            </w:pPr>
            <w:r>
              <w:rPr>
                <w:rFonts w:hint="eastAsia"/>
                <w:szCs w:val="21"/>
                <w:u w:val="single"/>
              </w:rPr>
              <w:lastRenderedPageBreak/>
              <w:t>2</w:t>
            </w:r>
          </w:p>
        </w:tc>
        <w:tc>
          <w:tcPr>
            <w:tcW w:w="872" w:type="dxa"/>
            <w:vAlign w:val="center"/>
          </w:tcPr>
          <w:p w:rsidR="00475650" w:rsidRDefault="00475650">
            <w:pPr>
              <w:snapToGrid w:val="0"/>
              <w:jc w:val="center"/>
              <w:rPr>
                <w:rFonts w:hAnsi="宋体"/>
                <w:kern w:val="0"/>
                <w:szCs w:val="21"/>
                <w:u w:val="single"/>
              </w:rPr>
            </w:pPr>
            <w:r>
              <w:rPr>
                <w:rFonts w:hAnsi="宋体" w:hint="eastAsia"/>
                <w:kern w:val="0"/>
                <w:szCs w:val="21"/>
                <w:u w:val="single"/>
              </w:rPr>
              <w:t>污水处理站析出盐</w:t>
            </w:r>
          </w:p>
        </w:tc>
        <w:tc>
          <w:tcPr>
            <w:tcW w:w="1417" w:type="dxa"/>
            <w:vAlign w:val="center"/>
          </w:tcPr>
          <w:p w:rsidR="00475650" w:rsidRDefault="00475650">
            <w:pPr>
              <w:snapToGrid w:val="0"/>
              <w:jc w:val="center"/>
              <w:rPr>
                <w:rFonts w:hAnsi="宋体"/>
                <w:szCs w:val="21"/>
                <w:u w:val="single"/>
              </w:rPr>
            </w:pPr>
            <w:r>
              <w:rPr>
                <w:rFonts w:hAnsi="宋体" w:hint="eastAsia"/>
                <w:szCs w:val="21"/>
                <w:u w:val="single"/>
              </w:rPr>
              <w:t>/</w:t>
            </w:r>
          </w:p>
        </w:tc>
        <w:tc>
          <w:tcPr>
            <w:tcW w:w="3402" w:type="dxa"/>
            <w:vAlign w:val="center"/>
          </w:tcPr>
          <w:p w:rsidR="00475650" w:rsidRDefault="00475650">
            <w:pPr>
              <w:snapToGrid w:val="0"/>
              <w:jc w:val="center"/>
              <w:rPr>
                <w:kern w:val="0"/>
                <w:szCs w:val="21"/>
                <w:u w:val="single"/>
              </w:rPr>
            </w:pPr>
            <w:r>
              <w:rPr>
                <w:rFonts w:hint="eastAsia"/>
                <w:kern w:val="0"/>
                <w:szCs w:val="21"/>
                <w:u w:val="single"/>
              </w:rPr>
              <w:t>业主拟作为副产品外售</w:t>
            </w:r>
          </w:p>
        </w:tc>
        <w:tc>
          <w:tcPr>
            <w:tcW w:w="3355" w:type="dxa"/>
            <w:vAlign w:val="center"/>
          </w:tcPr>
          <w:p w:rsidR="00475650" w:rsidRDefault="00475650">
            <w:pPr>
              <w:snapToGrid w:val="0"/>
              <w:jc w:val="center"/>
              <w:rPr>
                <w:szCs w:val="21"/>
                <w:u w:val="single"/>
              </w:rPr>
            </w:pPr>
            <w:r>
              <w:rPr>
                <w:rFonts w:hint="eastAsia"/>
                <w:szCs w:val="21"/>
                <w:u w:val="single"/>
              </w:rPr>
              <w:t>竣工验收期间对析出盐进行危险性质鉴定，按照鉴定结果对该固废进行处理处置；如作为副产品外售，则需相应的管理部门出具其可作为副产品外售的证明材料</w:t>
            </w:r>
          </w:p>
        </w:tc>
      </w:tr>
      <w:tr w:rsidR="00475650">
        <w:trPr>
          <w:trHeight w:val="160"/>
          <w:jc w:val="center"/>
        </w:trPr>
        <w:tc>
          <w:tcPr>
            <w:tcW w:w="700" w:type="dxa"/>
            <w:vAlign w:val="center"/>
          </w:tcPr>
          <w:p w:rsidR="00475650" w:rsidRDefault="00475650">
            <w:pPr>
              <w:snapToGrid w:val="0"/>
              <w:jc w:val="center"/>
              <w:rPr>
                <w:szCs w:val="21"/>
                <w:u w:val="single"/>
              </w:rPr>
            </w:pPr>
            <w:r>
              <w:rPr>
                <w:rFonts w:hint="eastAsia"/>
                <w:szCs w:val="21"/>
                <w:u w:val="single"/>
              </w:rPr>
              <w:t>3</w:t>
            </w:r>
          </w:p>
        </w:tc>
        <w:tc>
          <w:tcPr>
            <w:tcW w:w="872" w:type="dxa"/>
            <w:vAlign w:val="center"/>
          </w:tcPr>
          <w:p w:rsidR="00475650" w:rsidRDefault="00475650">
            <w:pPr>
              <w:snapToGrid w:val="0"/>
              <w:jc w:val="center"/>
              <w:rPr>
                <w:rFonts w:hAnsi="宋体"/>
                <w:kern w:val="0"/>
                <w:szCs w:val="21"/>
                <w:u w:val="single"/>
              </w:rPr>
            </w:pPr>
            <w:r>
              <w:rPr>
                <w:rFonts w:hAnsi="宋体" w:hint="eastAsia"/>
                <w:kern w:val="0"/>
                <w:szCs w:val="21"/>
                <w:u w:val="single"/>
              </w:rPr>
              <w:t>废包装桶及废包装袋</w:t>
            </w:r>
          </w:p>
        </w:tc>
        <w:tc>
          <w:tcPr>
            <w:tcW w:w="1417" w:type="dxa"/>
            <w:vAlign w:val="center"/>
          </w:tcPr>
          <w:p w:rsidR="00475650" w:rsidRDefault="00475650">
            <w:pPr>
              <w:snapToGrid w:val="0"/>
              <w:jc w:val="center"/>
              <w:rPr>
                <w:rFonts w:hAnsi="宋体"/>
                <w:szCs w:val="21"/>
                <w:u w:val="single"/>
              </w:rPr>
            </w:pPr>
            <w:r>
              <w:rPr>
                <w:rFonts w:hAnsi="宋体" w:hint="eastAsia"/>
                <w:szCs w:val="21"/>
                <w:u w:val="single"/>
              </w:rPr>
              <w:t>一般固废</w:t>
            </w:r>
          </w:p>
        </w:tc>
        <w:tc>
          <w:tcPr>
            <w:tcW w:w="3402" w:type="dxa"/>
            <w:vAlign w:val="center"/>
          </w:tcPr>
          <w:p w:rsidR="00475650" w:rsidRDefault="00475650">
            <w:pPr>
              <w:snapToGrid w:val="0"/>
              <w:jc w:val="center"/>
              <w:rPr>
                <w:kern w:val="0"/>
                <w:szCs w:val="21"/>
                <w:u w:val="single"/>
              </w:rPr>
            </w:pPr>
            <w:r>
              <w:rPr>
                <w:rFonts w:hint="eastAsia"/>
                <w:kern w:val="0"/>
                <w:szCs w:val="21"/>
                <w:u w:val="single"/>
              </w:rPr>
              <w:t>于原料间内暂存后由厂家回收</w:t>
            </w:r>
          </w:p>
        </w:tc>
        <w:tc>
          <w:tcPr>
            <w:tcW w:w="3355" w:type="dxa"/>
            <w:vAlign w:val="center"/>
          </w:tcPr>
          <w:p w:rsidR="00475650" w:rsidRDefault="00475650">
            <w:pPr>
              <w:snapToGrid w:val="0"/>
              <w:jc w:val="center"/>
              <w:rPr>
                <w:szCs w:val="21"/>
                <w:u w:val="single"/>
              </w:rPr>
            </w:pPr>
            <w:r>
              <w:rPr>
                <w:rFonts w:hint="eastAsia"/>
                <w:szCs w:val="21"/>
                <w:u w:val="single"/>
              </w:rPr>
              <w:t>/</w:t>
            </w:r>
          </w:p>
        </w:tc>
      </w:tr>
      <w:tr w:rsidR="00475650">
        <w:trPr>
          <w:trHeight w:val="160"/>
          <w:jc w:val="center"/>
        </w:trPr>
        <w:tc>
          <w:tcPr>
            <w:tcW w:w="700" w:type="dxa"/>
            <w:vAlign w:val="center"/>
          </w:tcPr>
          <w:p w:rsidR="00475650" w:rsidRDefault="00475650">
            <w:pPr>
              <w:snapToGrid w:val="0"/>
              <w:jc w:val="center"/>
              <w:rPr>
                <w:szCs w:val="21"/>
                <w:u w:val="single"/>
              </w:rPr>
            </w:pPr>
            <w:r>
              <w:rPr>
                <w:rFonts w:hint="eastAsia"/>
                <w:szCs w:val="21"/>
                <w:u w:val="single"/>
              </w:rPr>
              <w:t>4</w:t>
            </w:r>
          </w:p>
        </w:tc>
        <w:tc>
          <w:tcPr>
            <w:tcW w:w="872" w:type="dxa"/>
            <w:vAlign w:val="center"/>
          </w:tcPr>
          <w:p w:rsidR="00475650" w:rsidRDefault="00475650">
            <w:pPr>
              <w:snapToGrid w:val="0"/>
              <w:jc w:val="center"/>
              <w:rPr>
                <w:rFonts w:hAnsi="宋体"/>
                <w:kern w:val="0"/>
                <w:szCs w:val="21"/>
                <w:u w:val="single"/>
              </w:rPr>
            </w:pPr>
            <w:r>
              <w:rPr>
                <w:rFonts w:hAnsi="宋体" w:hint="eastAsia"/>
                <w:kern w:val="0"/>
                <w:szCs w:val="21"/>
                <w:u w:val="single"/>
              </w:rPr>
              <w:t>生活垃圾</w:t>
            </w:r>
          </w:p>
        </w:tc>
        <w:tc>
          <w:tcPr>
            <w:tcW w:w="1417" w:type="dxa"/>
            <w:vAlign w:val="center"/>
          </w:tcPr>
          <w:p w:rsidR="00475650" w:rsidRDefault="00475650">
            <w:pPr>
              <w:snapToGrid w:val="0"/>
              <w:jc w:val="center"/>
              <w:rPr>
                <w:rFonts w:hAnsi="宋体"/>
                <w:szCs w:val="21"/>
                <w:u w:val="single"/>
              </w:rPr>
            </w:pPr>
            <w:r>
              <w:rPr>
                <w:rFonts w:hAnsi="宋体" w:hint="eastAsia"/>
                <w:szCs w:val="21"/>
                <w:u w:val="single"/>
              </w:rPr>
              <w:t>/</w:t>
            </w:r>
          </w:p>
        </w:tc>
        <w:tc>
          <w:tcPr>
            <w:tcW w:w="3402" w:type="dxa"/>
            <w:vAlign w:val="center"/>
          </w:tcPr>
          <w:p w:rsidR="00475650" w:rsidRDefault="00475650">
            <w:pPr>
              <w:snapToGrid w:val="0"/>
              <w:jc w:val="center"/>
              <w:rPr>
                <w:kern w:val="0"/>
                <w:szCs w:val="21"/>
                <w:u w:val="single"/>
              </w:rPr>
            </w:pPr>
            <w:r>
              <w:rPr>
                <w:rFonts w:hint="eastAsia"/>
                <w:kern w:val="0"/>
                <w:szCs w:val="21"/>
                <w:u w:val="single"/>
              </w:rPr>
              <w:t>利用公司现有的生活垃圾收集桶收集后由园区环卫部门统一处理</w:t>
            </w:r>
          </w:p>
        </w:tc>
        <w:tc>
          <w:tcPr>
            <w:tcW w:w="3355" w:type="dxa"/>
            <w:vAlign w:val="center"/>
          </w:tcPr>
          <w:p w:rsidR="00475650" w:rsidRDefault="00475650">
            <w:pPr>
              <w:snapToGrid w:val="0"/>
              <w:jc w:val="center"/>
              <w:rPr>
                <w:szCs w:val="21"/>
                <w:u w:val="single"/>
              </w:rPr>
            </w:pPr>
            <w:r>
              <w:rPr>
                <w:rFonts w:hint="eastAsia"/>
                <w:szCs w:val="21"/>
                <w:u w:val="single"/>
              </w:rPr>
              <w:t>利旧</w:t>
            </w:r>
          </w:p>
        </w:tc>
      </w:tr>
      <w:tr w:rsidR="00475650">
        <w:trPr>
          <w:trHeight w:val="160"/>
          <w:jc w:val="center"/>
        </w:trPr>
        <w:tc>
          <w:tcPr>
            <w:tcW w:w="9746" w:type="dxa"/>
            <w:gridSpan w:val="5"/>
            <w:vAlign w:val="center"/>
          </w:tcPr>
          <w:p w:rsidR="00475650" w:rsidRDefault="00475650">
            <w:pPr>
              <w:snapToGrid w:val="0"/>
              <w:jc w:val="center"/>
              <w:rPr>
                <w:szCs w:val="21"/>
                <w:u w:val="single"/>
              </w:rPr>
            </w:pPr>
            <w:r>
              <w:rPr>
                <w:rFonts w:hint="eastAsia"/>
                <w:szCs w:val="21"/>
                <w:u w:val="single"/>
              </w:rPr>
              <w:t>四、风险防范措施</w:t>
            </w:r>
          </w:p>
        </w:tc>
      </w:tr>
      <w:tr w:rsidR="00475650">
        <w:trPr>
          <w:trHeight w:val="160"/>
          <w:jc w:val="center"/>
        </w:trPr>
        <w:tc>
          <w:tcPr>
            <w:tcW w:w="700" w:type="dxa"/>
            <w:vMerge w:val="restart"/>
            <w:vAlign w:val="center"/>
          </w:tcPr>
          <w:p w:rsidR="00475650" w:rsidRDefault="00475650">
            <w:pPr>
              <w:snapToGrid w:val="0"/>
              <w:jc w:val="center"/>
              <w:rPr>
                <w:szCs w:val="21"/>
                <w:u w:val="single"/>
              </w:rPr>
            </w:pPr>
            <w:r>
              <w:rPr>
                <w:rFonts w:hint="eastAsia"/>
                <w:szCs w:val="21"/>
                <w:u w:val="single"/>
              </w:rPr>
              <w:t>1</w:t>
            </w:r>
          </w:p>
        </w:tc>
        <w:tc>
          <w:tcPr>
            <w:tcW w:w="872" w:type="dxa"/>
            <w:vMerge w:val="restart"/>
            <w:vAlign w:val="center"/>
          </w:tcPr>
          <w:p w:rsidR="00475650" w:rsidRDefault="00475650">
            <w:pPr>
              <w:snapToGrid w:val="0"/>
              <w:jc w:val="center"/>
              <w:rPr>
                <w:rFonts w:hAnsi="宋体"/>
                <w:kern w:val="0"/>
                <w:szCs w:val="21"/>
                <w:u w:val="single"/>
              </w:rPr>
            </w:pPr>
            <w:r>
              <w:rPr>
                <w:rFonts w:hAnsi="宋体" w:hint="eastAsia"/>
                <w:kern w:val="0"/>
                <w:szCs w:val="21"/>
                <w:u w:val="single"/>
              </w:rPr>
              <w:t>物料泄漏</w:t>
            </w:r>
          </w:p>
        </w:tc>
        <w:tc>
          <w:tcPr>
            <w:tcW w:w="1417" w:type="dxa"/>
            <w:vAlign w:val="center"/>
          </w:tcPr>
          <w:p w:rsidR="00475650" w:rsidRDefault="00475650">
            <w:pPr>
              <w:snapToGrid w:val="0"/>
              <w:jc w:val="center"/>
              <w:rPr>
                <w:rFonts w:hAnsi="宋体"/>
                <w:szCs w:val="21"/>
                <w:u w:val="single"/>
              </w:rPr>
            </w:pPr>
            <w:r>
              <w:rPr>
                <w:rFonts w:hAnsi="宋体" w:hint="eastAsia"/>
                <w:szCs w:val="21"/>
                <w:u w:val="single"/>
              </w:rPr>
              <w:t>设备泄漏</w:t>
            </w:r>
          </w:p>
        </w:tc>
        <w:tc>
          <w:tcPr>
            <w:tcW w:w="3402" w:type="dxa"/>
            <w:vAlign w:val="center"/>
          </w:tcPr>
          <w:p w:rsidR="00475650" w:rsidRDefault="00475650">
            <w:pPr>
              <w:snapToGrid w:val="0"/>
              <w:jc w:val="center"/>
              <w:rPr>
                <w:kern w:val="0"/>
                <w:szCs w:val="21"/>
                <w:u w:val="single"/>
              </w:rPr>
            </w:pPr>
            <w:r>
              <w:rPr>
                <w:rFonts w:hint="eastAsia"/>
                <w:kern w:val="0"/>
                <w:szCs w:val="21"/>
                <w:u w:val="single"/>
              </w:rPr>
              <w:t>目前生产区域已经采取水泥硬化措施</w:t>
            </w:r>
          </w:p>
        </w:tc>
        <w:tc>
          <w:tcPr>
            <w:tcW w:w="3355" w:type="dxa"/>
            <w:vAlign w:val="center"/>
          </w:tcPr>
          <w:p w:rsidR="00475650" w:rsidRDefault="00475650">
            <w:pPr>
              <w:snapToGrid w:val="0"/>
              <w:jc w:val="center"/>
              <w:rPr>
                <w:szCs w:val="21"/>
                <w:u w:val="single"/>
              </w:rPr>
            </w:pPr>
            <w:r>
              <w:rPr>
                <w:rFonts w:hint="eastAsia"/>
                <w:szCs w:val="21"/>
                <w:u w:val="single"/>
              </w:rPr>
              <w:t>需对涉酸碱区域的地面及管网、池体采取防腐措施，加强防渗系数，加强监管，避免设备及管道等的跑冒滴漏</w:t>
            </w:r>
          </w:p>
        </w:tc>
      </w:tr>
      <w:tr w:rsidR="00475650">
        <w:trPr>
          <w:trHeight w:val="160"/>
          <w:jc w:val="center"/>
        </w:trPr>
        <w:tc>
          <w:tcPr>
            <w:tcW w:w="700" w:type="dxa"/>
            <w:vMerge/>
            <w:vAlign w:val="center"/>
          </w:tcPr>
          <w:p w:rsidR="00475650" w:rsidRDefault="00475650">
            <w:pPr>
              <w:snapToGrid w:val="0"/>
              <w:jc w:val="center"/>
              <w:rPr>
                <w:szCs w:val="21"/>
                <w:u w:val="single"/>
              </w:rPr>
            </w:pPr>
          </w:p>
        </w:tc>
        <w:tc>
          <w:tcPr>
            <w:tcW w:w="872" w:type="dxa"/>
            <w:vMerge/>
            <w:vAlign w:val="center"/>
          </w:tcPr>
          <w:p w:rsidR="00475650" w:rsidRDefault="00475650">
            <w:pPr>
              <w:snapToGrid w:val="0"/>
              <w:jc w:val="center"/>
              <w:rPr>
                <w:rFonts w:hAnsi="宋体"/>
                <w:kern w:val="0"/>
                <w:szCs w:val="21"/>
                <w:u w:val="single"/>
              </w:rPr>
            </w:pPr>
          </w:p>
        </w:tc>
        <w:tc>
          <w:tcPr>
            <w:tcW w:w="1417" w:type="dxa"/>
            <w:vAlign w:val="center"/>
          </w:tcPr>
          <w:p w:rsidR="00475650" w:rsidRDefault="00475650">
            <w:pPr>
              <w:snapToGrid w:val="0"/>
              <w:jc w:val="center"/>
              <w:rPr>
                <w:rFonts w:hAnsi="宋体"/>
                <w:szCs w:val="21"/>
                <w:u w:val="single"/>
              </w:rPr>
            </w:pPr>
            <w:r>
              <w:rPr>
                <w:rFonts w:hAnsi="宋体" w:hint="eastAsia"/>
                <w:szCs w:val="21"/>
                <w:u w:val="single"/>
              </w:rPr>
              <w:t>储罐泄漏</w:t>
            </w:r>
          </w:p>
        </w:tc>
        <w:tc>
          <w:tcPr>
            <w:tcW w:w="3402" w:type="dxa"/>
            <w:vAlign w:val="center"/>
          </w:tcPr>
          <w:p w:rsidR="00475650" w:rsidRDefault="00475650">
            <w:pPr>
              <w:snapToGrid w:val="0"/>
              <w:jc w:val="center"/>
              <w:rPr>
                <w:kern w:val="0"/>
                <w:szCs w:val="21"/>
                <w:u w:val="single"/>
              </w:rPr>
            </w:pPr>
            <w:r>
              <w:rPr>
                <w:rFonts w:hint="eastAsia"/>
                <w:kern w:val="0"/>
                <w:szCs w:val="21"/>
                <w:u w:val="single"/>
              </w:rPr>
              <w:t>盐酸中间罐及乙酸酐暂存区应设围堰，其中罐区应设碱液池及碱液自动喷淋设施，碱液池的大小应大于盐酸中间罐及乙酸酐桶的大小</w:t>
            </w:r>
          </w:p>
        </w:tc>
        <w:tc>
          <w:tcPr>
            <w:tcW w:w="3355" w:type="dxa"/>
            <w:vAlign w:val="center"/>
          </w:tcPr>
          <w:p w:rsidR="00475650" w:rsidRDefault="00475650">
            <w:pPr>
              <w:snapToGrid w:val="0"/>
              <w:jc w:val="center"/>
              <w:rPr>
                <w:szCs w:val="21"/>
                <w:u w:val="single"/>
              </w:rPr>
            </w:pPr>
            <w:r>
              <w:rPr>
                <w:rFonts w:hint="eastAsia"/>
                <w:szCs w:val="21"/>
                <w:u w:val="single"/>
              </w:rPr>
              <w:t>未建设</w:t>
            </w:r>
          </w:p>
        </w:tc>
      </w:tr>
      <w:tr w:rsidR="00475650">
        <w:trPr>
          <w:trHeight w:val="160"/>
          <w:jc w:val="center"/>
        </w:trPr>
        <w:tc>
          <w:tcPr>
            <w:tcW w:w="700" w:type="dxa"/>
            <w:vMerge w:val="restart"/>
            <w:vAlign w:val="center"/>
          </w:tcPr>
          <w:p w:rsidR="00475650" w:rsidRDefault="00475650">
            <w:pPr>
              <w:snapToGrid w:val="0"/>
              <w:jc w:val="center"/>
              <w:rPr>
                <w:szCs w:val="21"/>
                <w:u w:val="single"/>
              </w:rPr>
            </w:pPr>
            <w:r>
              <w:rPr>
                <w:rFonts w:hint="eastAsia"/>
                <w:szCs w:val="21"/>
                <w:u w:val="single"/>
              </w:rPr>
              <w:t>2</w:t>
            </w:r>
          </w:p>
        </w:tc>
        <w:tc>
          <w:tcPr>
            <w:tcW w:w="872" w:type="dxa"/>
            <w:vMerge w:val="restart"/>
            <w:vAlign w:val="center"/>
          </w:tcPr>
          <w:p w:rsidR="00475650" w:rsidRDefault="00475650">
            <w:pPr>
              <w:snapToGrid w:val="0"/>
              <w:jc w:val="center"/>
              <w:rPr>
                <w:rFonts w:hAnsi="宋体"/>
                <w:kern w:val="0"/>
                <w:szCs w:val="21"/>
                <w:u w:val="single"/>
              </w:rPr>
            </w:pPr>
            <w:r>
              <w:rPr>
                <w:rFonts w:hAnsi="宋体" w:hint="eastAsia"/>
                <w:kern w:val="0"/>
                <w:szCs w:val="21"/>
                <w:u w:val="single"/>
              </w:rPr>
              <w:t>环保设施故障</w:t>
            </w:r>
          </w:p>
        </w:tc>
        <w:tc>
          <w:tcPr>
            <w:tcW w:w="1417" w:type="dxa"/>
            <w:vAlign w:val="center"/>
          </w:tcPr>
          <w:p w:rsidR="00475650" w:rsidRDefault="00475650">
            <w:pPr>
              <w:snapToGrid w:val="0"/>
              <w:jc w:val="center"/>
              <w:rPr>
                <w:rFonts w:hAnsi="宋体"/>
                <w:szCs w:val="21"/>
                <w:u w:val="single"/>
              </w:rPr>
            </w:pPr>
            <w:r>
              <w:rPr>
                <w:rFonts w:hAnsi="宋体" w:hint="eastAsia"/>
                <w:szCs w:val="21"/>
                <w:u w:val="single"/>
              </w:rPr>
              <w:t>污水处理站失效</w:t>
            </w:r>
          </w:p>
        </w:tc>
        <w:tc>
          <w:tcPr>
            <w:tcW w:w="3402" w:type="dxa"/>
            <w:vAlign w:val="center"/>
          </w:tcPr>
          <w:p w:rsidR="00475650" w:rsidRDefault="00475650">
            <w:pPr>
              <w:snapToGrid w:val="0"/>
              <w:jc w:val="center"/>
              <w:rPr>
                <w:kern w:val="0"/>
                <w:szCs w:val="21"/>
                <w:u w:val="single"/>
              </w:rPr>
            </w:pPr>
            <w:r>
              <w:rPr>
                <w:rFonts w:hint="eastAsia"/>
                <w:kern w:val="0"/>
                <w:szCs w:val="21"/>
                <w:u w:val="single"/>
              </w:rPr>
              <w:t>利用污水处理站调节池暂存生产废水，应停工检修，禁止不达标的废水外排；调节池不能满足暂存要求的情况下，依托公司现有的</w:t>
            </w:r>
            <w:r>
              <w:rPr>
                <w:rFonts w:hint="eastAsia"/>
                <w:kern w:val="0"/>
                <w:szCs w:val="21"/>
                <w:u w:val="single"/>
              </w:rPr>
              <w:t>500m</w:t>
            </w:r>
            <w:r>
              <w:rPr>
                <w:rFonts w:hint="eastAsia"/>
                <w:kern w:val="0"/>
                <w:szCs w:val="21"/>
                <w:u w:val="single"/>
                <w:vertAlign w:val="superscript"/>
              </w:rPr>
              <w:t>3</w:t>
            </w:r>
            <w:r>
              <w:rPr>
                <w:rFonts w:hint="eastAsia"/>
                <w:kern w:val="0"/>
                <w:szCs w:val="21"/>
                <w:u w:val="single"/>
              </w:rPr>
              <w:t xml:space="preserve"> </w:t>
            </w:r>
            <w:r>
              <w:rPr>
                <w:rFonts w:hint="eastAsia"/>
                <w:kern w:val="0"/>
                <w:szCs w:val="21"/>
                <w:u w:val="single"/>
              </w:rPr>
              <w:t>事故池进行暂存</w:t>
            </w:r>
          </w:p>
        </w:tc>
        <w:tc>
          <w:tcPr>
            <w:tcW w:w="3355" w:type="dxa"/>
            <w:vAlign w:val="center"/>
          </w:tcPr>
          <w:p w:rsidR="00475650" w:rsidRDefault="00475650">
            <w:pPr>
              <w:snapToGrid w:val="0"/>
              <w:jc w:val="center"/>
              <w:rPr>
                <w:szCs w:val="21"/>
                <w:u w:val="single"/>
              </w:rPr>
            </w:pPr>
            <w:r>
              <w:rPr>
                <w:rFonts w:hint="eastAsia"/>
                <w:szCs w:val="21"/>
                <w:u w:val="single"/>
              </w:rPr>
              <w:t>污水处理站及连接公司现有事故池的管网及控制阀门等设施均未建设</w:t>
            </w:r>
          </w:p>
        </w:tc>
      </w:tr>
      <w:tr w:rsidR="00475650">
        <w:trPr>
          <w:trHeight w:val="160"/>
          <w:jc w:val="center"/>
        </w:trPr>
        <w:tc>
          <w:tcPr>
            <w:tcW w:w="700" w:type="dxa"/>
            <w:vMerge/>
            <w:vAlign w:val="center"/>
          </w:tcPr>
          <w:p w:rsidR="00475650" w:rsidRDefault="00475650">
            <w:pPr>
              <w:snapToGrid w:val="0"/>
              <w:jc w:val="center"/>
              <w:rPr>
                <w:szCs w:val="21"/>
                <w:u w:val="single"/>
              </w:rPr>
            </w:pPr>
          </w:p>
        </w:tc>
        <w:tc>
          <w:tcPr>
            <w:tcW w:w="872" w:type="dxa"/>
            <w:vMerge/>
            <w:vAlign w:val="center"/>
          </w:tcPr>
          <w:p w:rsidR="00475650" w:rsidRDefault="00475650">
            <w:pPr>
              <w:snapToGrid w:val="0"/>
              <w:jc w:val="center"/>
              <w:rPr>
                <w:rFonts w:hAnsi="宋体"/>
                <w:kern w:val="0"/>
                <w:szCs w:val="21"/>
                <w:u w:val="single"/>
              </w:rPr>
            </w:pPr>
          </w:p>
        </w:tc>
        <w:tc>
          <w:tcPr>
            <w:tcW w:w="1417" w:type="dxa"/>
            <w:vAlign w:val="center"/>
          </w:tcPr>
          <w:p w:rsidR="00475650" w:rsidRDefault="00475650">
            <w:pPr>
              <w:snapToGrid w:val="0"/>
              <w:jc w:val="center"/>
              <w:rPr>
                <w:rFonts w:hAnsi="宋体"/>
                <w:szCs w:val="21"/>
                <w:u w:val="single"/>
              </w:rPr>
            </w:pPr>
            <w:r>
              <w:rPr>
                <w:rFonts w:hAnsi="宋体" w:hint="eastAsia"/>
                <w:szCs w:val="21"/>
                <w:u w:val="single"/>
              </w:rPr>
              <w:t>废气处理设施失效</w:t>
            </w:r>
          </w:p>
        </w:tc>
        <w:tc>
          <w:tcPr>
            <w:tcW w:w="3402" w:type="dxa"/>
            <w:vAlign w:val="center"/>
          </w:tcPr>
          <w:p w:rsidR="00475650" w:rsidRDefault="00475650">
            <w:pPr>
              <w:snapToGrid w:val="0"/>
              <w:jc w:val="center"/>
              <w:rPr>
                <w:kern w:val="0"/>
                <w:szCs w:val="21"/>
                <w:u w:val="single"/>
              </w:rPr>
            </w:pPr>
            <w:r>
              <w:rPr>
                <w:rFonts w:hint="eastAsia"/>
                <w:kern w:val="0"/>
                <w:szCs w:val="21"/>
                <w:u w:val="single"/>
              </w:rPr>
              <w:t>立即停产检修</w:t>
            </w:r>
          </w:p>
        </w:tc>
        <w:tc>
          <w:tcPr>
            <w:tcW w:w="3355" w:type="dxa"/>
            <w:vAlign w:val="center"/>
          </w:tcPr>
          <w:p w:rsidR="00475650" w:rsidRDefault="00475650">
            <w:pPr>
              <w:snapToGrid w:val="0"/>
              <w:jc w:val="center"/>
              <w:rPr>
                <w:szCs w:val="21"/>
                <w:u w:val="single"/>
              </w:rPr>
            </w:pPr>
            <w:r>
              <w:rPr>
                <w:rFonts w:hint="eastAsia"/>
                <w:szCs w:val="21"/>
                <w:u w:val="single"/>
              </w:rPr>
              <w:t>/</w:t>
            </w:r>
          </w:p>
        </w:tc>
      </w:tr>
    </w:tbl>
    <w:p w:rsidR="00475650" w:rsidRDefault="00475650">
      <w:pPr>
        <w:spacing w:line="360" w:lineRule="auto"/>
        <w:ind w:firstLineChars="200" w:firstLine="464"/>
        <w:rPr>
          <w:rFonts w:hAnsi="宋体"/>
          <w:spacing w:val="-4"/>
          <w:sz w:val="24"/>
        </w:rPr>
      </w:pPr>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430" w:name="_Toc12589"/>
      <w:bookmarkStart w:id="431" w:name="_Toc302936768"/>
      <w:bookmarkStart w:id="432" w:name="_Toc334014133"/>
      <w:bookmarkStart w:id="433" w:name="_Toc333229942"/>
      <w:bookmarkStart w:id="434" w:name="_Toc332292988"/>
      <w:bookmarkStart w:id="435" w:name="_Toc334080775"/>
      <w:bookmarkStart w:id="436" w:name="_Toc465676982"/>
      <w:r>
        <w:rPr>
          <w:rStyle w:val="2Char1Char"/>
          <w:rFonts w:ascii="Times New Roman" w:eastAsia="宋体" w:hAnsi="Times New Roman" w:cs="Times New Roman"/>
          <w:b w:val="0"/>
          <w:sz w:val="24"/>
          <w:szCs w:val="24"/>
        </w:rPr>
        <w:t>3.1.</w:t>
      </w:r>
      <w:bookmarkStart w:id="437" w:name="_Toc273462098"/>
      <w:bookmarkStart w:id="438" w:name="_Toc274984500"/>
      <w:r>
        <w:rPr>
          <w:rStyle w:val="2Char1Char"/>
          <w:rFonts w:ascii="Times New Roman" w:eastAsia="宋体" w:hAnsi="Times New Roman" w:cs="Times New Roman" w:hint="eastAsia"/>
          <w:b w:val="0"/>
          <w:sz w:val="24"/>
          <w:szCs w:val="24"/>
        </w:rPr>
        <w:t>6</w:t>
      </w:r>
      <w:r>
        <w:rPr>
          <w:rStyle w:val="2Char1Char"/>
          <w:rFonts w:ascii="Times New Roman" w:eastAsia="宋体" w:hAnsi="宋体" w:cs="Times New Roman"/>
          <w:b w:val="0"/>
          <w:sz w:val="24"/>
          <w:szCs w:val="24"/>
        </w:rPr>
        <w:t>主要经济技术指标</w:t>
      </w:r>
      <w:bookmarkEnd w:id="430"/>
      <w:bookmarkEnd w:id="431"/>
      <w:bookmarkEnd w:id="432"/>
      <w:bookmarkEnd w:id="433"/>
      <w:bookmarkEnd w:id="434"/>
      <w:bookmarkEnd w:id="435"/>
      <w:bookmarkEnd w:id="436"/>
      <w:bookmarkEnd w:id="437"/>
      <w:bookmarkEnd w:id="438"/>
    </w:p>
    <w:p w:rsidR="00475650" w:rsidRDefault="00475650">
      <w:pPr>
        <w:spacing w:line="360" w:lineRule="auto"/>
        <w:ind w:firstLineChars="200" w:firstLine="464"/>
        <w:rPr>
          <w:rFonts w:hAnsi="宋体"/>
          <w:spacing w:val="-4"/>
          <w:sz w:val="24"/>
        </w:rPr>
      </w:pPr>
      <w:r>
        <w:rPr>
          <w:rFonts w:hAnsi="宋体"/>
          <w:spacing w:val="-4"/>
          <w:sz w:val="24"/>
        </w:rPr>
        <w:t>项目的主要经济技术指标见表</w:t>
      </w:r>
      <w:r>
        <w:rPr>
          <w:spacing w:val="-4"/>
          <w:sz w:val="24"/>
        </w:rPr>
        <w:t>3.1-</w:t>
      </w:r>
      <w:r>
        <w:rPr>
          <w:rFonts w:hint="eastAsia"/>
          <w:spacing w:val="-4"/>
          <w:sz w:val="24"/>
        </w:rPr>
        <w:t>3</w:t>
      </w:r>
      <w:r>
        <w:rPr>
          <w:rFonts w:hAnsi="宋体"/>
          <w:spacing w:val="-4"/>
          <w:sz w:val="24"/>
        </w:rPr>
        <w:t>。</w:t>
      </w:r>
    </w:p>
    <w:p w:rsidR="00475650" w:rsidRDefault="00475650">
      <w:pPr>
        <w:pStyle w:val="affffffffff3"/>
        <w:rPr>
          <w:rFonts w:ascii="Times New Roman" w:hAnsi="Times New Roman"/>
        </w:rPr>
      </w:pPr>
      <w:r>
        <w:rPr>
          <w:rFonts w:ascii="Times New Roman"/>
        </w:rPr>
        <w:t>表</w:t>
      </w:r>
      <w:r>
        <w:rPr>
          <w:rFonts w:ascii="Times New Roman" w:hAnsi="Times New Roman"/>
        </w:rPr>
        <w:t>3.1-</w:t>
      </w:r>
      <w:r>
        <w:rPr>
          <w:rFonts w:ascii="Times New Roman" w:hAnsi="Times New Roman" w:hint="eastAsia"/>
        </w:rPr>
        <w:t>3</w:t>
      </w:r>
      <w:r>
        <w:rPr>
          <w:rFonts w:ascii="Times New Roman" w:hAnsi="Times New Roman"/>
        </w:rPr>
        <w:t xml:space="preserve">    </w:t>
      </w:r>
      <w:r>
        <w:rPr>
          <w:rFonts w:ascii="Times New Roman"/>
        </w:rPr>
        <w:t>拟建项目主要经济技术指标表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695"/>
        <w:gridCol w:w="1680"/>
        <w:gridCol w:w="1516"/>
        <w:gridCol w:w="1773"/>
        <w:gridCol w:w="3448"/>
      </w:tblGrid>
      <w:tr w:rsidR="00475650">
        <w:trPr>
          <w:trHeight w:val="160"/>
          <w:jc w:val="center"/>
        </w:trPr>
        <w:tc>
          <w:tcPr>
            <w:tcW w:w="695" w:type="dxa"/>
            <w:vAlign w:val="center"/>
          </w:tcPr>
          <w:p w:rsidR="00475650" w:rsidRDefault="00475650">
            <w:pPr>
              <w:pStyle w:val="21f1"/>
              <w:spacing w:line="300" w:lineRule="auto"/>
              <w:rPr>
                <w:rFonts w:ascii="Times New Roman" w:hAnsi="Times New Roman"/>
                <w:color w:val="auto"/>
                <w:szCs w:val="21"/>
              </w:rPr>
            </w:pPr>
            <w:r>
              <w:rPr>
                <w:rFonts w:ascii="Times New Roman" w:hAnsi="宋体"/>
                <w:color w:val="auto"/>
                <w:szCs w:val="21"/>
              </w:rPr>
              <w:t>序号</w:t>
            </w:r>
          </w:p>
        </w:tc>
        <w:tc>
          <w:tcPr>
            <w:tcW w:w="1680" w:type="dxa"/>
            <w:vAlign w:val="center"/>
          </w:tcPr>
          <w:p w:rsidR="00475650" w:rsidRDefault="00475650">
            <w:pPr>
              <w:pStyle w:val="21f1"/>
              <w:spacing w:line="300" w:lineRule="auto"/>
              <w:rPr>
                <w:rFonts w:ascii="Times New Roman" w:hAnsi="Times New Roman"/>
                <w:color w:val="auto"/>
                <w:szCs w:val="21"/>
              </w:rPr>
            </w:pPr>
            <w:r>
              <w:rPr>
                <w:rFonts w:ascii="Times New Roman" w:hAnsi="宋体"/>
                <w:color w:val="auto"/>
                <w:szCs w:val="21"/>
              </w:rPr>
              <w:t>项目</w:t>
            </w:r>
          </w:p>
        </w:tc>
        <w:tc>
          <w:tcPr>
            <w:tcW w:w="1516" w:type="dxa"/>
            <w:vAlign w:val="center"/>
          </w:tcPr>
          <w:p w:rsidR="00475650" w:rsidRDefault="00475650">
            <w:pPr>
              <w:pStyle w:val="21f1"/>
              <w:spacing w:line="300" w:lineRule="auto"/>
              <w:rPr>
                <w:rFonts w:ascii="Times New Roman" w:hAnsi="Times New Roman"/>
                <w:color w:val="auto"/>
                <w:szCs w:val="21"/>
              </w:rPr>
            </w:pPr>
            <w:r>
              <w:rPr>
                <w:rFonts w:ascii="Times New Roman" w:hAnsi="宋体"/>
                <w:color w:val="auto"/>
                <w:szCs w:val="21"/>
              </w:rPr>
              <w:t>单位</w:t>
            </w:r>
          </w:p>
        </w:tc>
        <w:tc>
          <w:tcPr>
            <w:tcW w:w="1773" w:type="dxa"/>
            <w:vAlign w:val="center"/>
          </w:tcPr>
          <w:p w:rsidR="00475650" w:rsidRDefault="00475650">
            <w:pPr>
              <w:pStyle w:val="21f1"/>
              <w:spacing w:line="300" w:lineRule="auto"/>
              <w:rPr>
                <w:rFonts w:ascii="Times New Roman" w:hAnsi="Times New Roman"/>
                <w:color w:val="auto"/>
                <w:szCs w:val="21"/>
              </w:rPr>
            </w:pPr>
            <w:r>
              <w:rPr>
                <w:rFonts w:ascii="Times New Roman" w:hAnsi="宋体"/>
                <w:color w:val="auto"/>
                <w:szCs w:val="21"/>
              </w:rPr>
              <w:t>数量</w:t>
            </w:r>
          </w:p>
        </w:tc>
        <w:tc>
          <w:tcPr>
            <w:tcW w:w="3448" w:type="dxa"/>
            <w:vAlign w:val="center"/>
          </w:tcPr>
          <w:p w:rsidR="00475650" w:rsidRDefault="00475650">
            <w:pPr>
              <w:pStyle w:val="21f1"/>
              <w:spacing w:line="300" w:lineRule="auto"/>
              <w:rPr>
                <w:rFonts w:ascii="Times New Roman" w:hAnsi="Times New Roman"/>
                <w:color w:val="auto"/>
                <w:szCs w:val="21"/>
              </w:rPr>
            </w:pPr>
            <w:r>
              <w:rPr>
                <w:rFonts w:ascii="Times New Roman" w:hAnsi="宋体"/>
                <w:color w:val="auto"/>
                <w:szCs w:val="21"/>
              </w:rPr>
              <w:t>备注</w:t>
            </w:r>
          </w:p>
        </w:tc>
      </w:tr>
      <w:tr w:rsidR="00475650">
        <w:trPr>
          <w:trHeight w:val="160"/>
          <w:jc w:val="center"/>
        </w:trPr>
        <w:tc>
          <w:tcPr>
            <w:tcW w:w="695" w:type="dxa"/>
            <w:vAlign w:val="center"/>
          </w:tcPr>
          <w:p w:rsidR="00475650" w:rsidRDefault="00475650">
            <w:pPr>
              <w:snapToGrid w:val="0"/>
              <w:jc w:val="center"/>
              <w:rPr>
                <w:szCs w:val="21"/>
              </w:rPr>
            </w:pPr>
            <w:bookmarkStart w:id="439" w:name="_Toc322521816"/>
            <w:r>
              <w:rPr>
                <w:rFonts w:hAnsi="宋体"/>
                <w:szCs w:val="21"/>
              </w:rPr>
              <w:t>一</w:t>
            </w:r>
            <w:bookmarkEnd w:id="439"/>
          </w:p>
        </w:tc>
        <w:tc>
          <w:tcPr>
            <w:tcW w:w="1680" w:type="dxa"/>
            <w:vAlign w:val="center"/>
          </w:tcPr>
          <w:p w:rsidR="00475650" w:rsidRDefault="00475650">
            <w:pPr>
              <w:snapToGrid w:val="0"/>
              <w:jc w:val="center"/>
              <w:rPr>
                <w:szCs w:val="21"/>
              </w:rPr>
            </w:pPr>
            <w:bookmarkStart w:id="440" w:name="_Toc322521817"/>
            <w:r>
              <w:rPr>
                <w:rFonts w:hAnsi="宋体"/>
                <w:szCs w:val="21"/>
              </w:rPr>
              <w:t>生产规模</w:t>
            </w:r>
            <w:bookmarkEnd w:id="440"/>
          </w:p>
        </w:tc>
        <w:tc>
          <w:tcPr>
            <w:tcW w:w="1516" w:type="dxa"/>
            <w:vAlign w:val="center"/>
          </w:tcPr>
          <w:p w:rsidR="00475650" w:rsidRDefault="00475650">
            <w:pPr>
              <w:snapToGrid w:val="0"/>
              <w:jc w:val="center"/>
              <w:rPr>
                <w:szCs w:val="21"/>
              </w:rPr>
            </w:pPr>
          </w:p>
        </w:tc>
        <w:tc>
          <w:tcPr>
            <w:tcW w:w="1773" w:type="dxa"/>
            <w:vAlign w:val="center"/>
          </w:tcPr>
          <w:p w:rsidR="00475650" w:rsidRDefault="00475650">
            <w:pPr>
              <w:snapToGrid w:val="0"/>
              <w:jc w:val="center"/>
              <w:rPr>
                <w:szCs w:val="21"/>
              </w:rPr>
            </w:pPr>
          </w:p>
        </w:tc>
        <w:tc>
          <w:tcPr>
            <w:tcW w:w="3448" w:type="dxa"/>
            <w:vAlign w:val="center"/>
          </w:tcPr>
          <w:p w:rsidR="00475650" w:rsidRDefault="00475650">
            <w:pPr>
              <w:snapToGrid w:val="0"/>
              <w:jc w:val="center"/>
              <w:rPr>
                <w:szCs w:val="21"/>
              </w:rPr>
            </w:pPr>
          </w:p>
        </w:tc>
      </w:tr>
      <w:tr w:rsidR="00475650">
        <w:trPr>
          <w:trHeight w:val="160"/>
          <w:jc w:val="center"/>
        </w:trPr>
        <w:tc>
          <w:tcPr>
            <w:tcW w:w="695" w:type="dxa"/>
            <w:vAlign w:val="center"/>
          </w:tcPr>
          <w:p w:rsidR="00475650" w:rsidRDefault="00475650">
            <w:pPr>
              <w:snapToGrid w:val="0"/>
              <w:jc w:val="center"/>
              <w:rPr>
                <w:szCs w:val="21"/>
              </w:rPr>
            </w:pPr>
            <w:bookmarkStart w:id="441" w:name="_Toc322521818"/>
            <w:r>
              <w:rPr>
                <w:szCs w:val="21"/>
              </w:rPr>
              <w:t>1</w:t>
            </w:r>
            <w:bookmarkEnd w:id="441"/>
          </w:p>
        </w:tc>
        <w:tc>
          <w:tcPr>
            <w:tcW w:w="1680" w:type="dxa"/>
            <w:vAlign w:val="center"/>
          </w:tcPr>
          <w:p w:rsidR="00475650" w:rsidRDefault="00475650">
            <w:pPr>
              <w:snapToGrid w:val="0"/>
              <w:jc w:val="center"/>
              <w:rPr>
                <w:szCs w:val="21"/>
              </w:rPr>
            </w:pPr>
            <w:r>
              <w:rPr>
                <w:rFonts w:hAnsi="宋体"/>
                <w:szCs w:val="21"/>
              </w:rPr>
              <w:t>弱酸性染料装置</w:t>
            </w:r>
          </w:p>
        </w:tc>
        <w:tc>
          <w:tcPr>
            <w:tcW w:w="1516" w:type="dxa"/>
            <w:vAlign w:val="center"/>
          </w:tcPr>
          <w:p w:rsidR="00475650" w:rsidRDefault="00475650">
            <w:pPr>
              <w:snapToGrid w:val="0"/>
              <w:jc w:val="center"/>
              <w:rPr>
                <w:szCs w:val="21"/>
              </w:rPr>
            </w:pPr>
            <w:bookmarkStart w:id="442" w:name="_Toc322521820"/>
            <w:r>
              <w:rPr>
                <w:rFonts w:hAnsi="宋体"/>
                <w:szCs w:val="21"/>
              </w:rPr>
              <w:t>万吨</w:t>
            </w:r>
            <w:r>
              <w:rPr>
                <w:szCs w:val="21"/>
              </w:rPr>
              <w:t>/</w:t>
            </w:r>
            <w:r>
              <w:rPr>
                <w:rFonts w:hAnsi="宋体"/>
                <w:szCs w:val="21"/>
              </w:rPr>
              <w:t>年</w:t>
            </w:r>
            <w:bookmarkEnd w:id="442"/>
          </w:p>
        </w:tc>
        <w:tc>
          <w:tcPr>
            <w:tcW w:w="1773" w:type="dxa"/>
            <w:vAlign w:val="center"/>
          </w:tcPr>
          <w:p w:rsidR="00475650" w:rsidRDefault="00475650">
            <w:pPr>
              <w:snapToGrid w:val="0"/>
              <w:jc w:val="center"/>
              <w:rPr>
                <w:szCs w:val="21"/>
              </w:rPr>
            </w:pPr>
            <w:r>
              <w:rPr>
                <w:szCs w:val="21"/>
              </w:rPr>
              <w:t>0.6</w:t>
            </w:r>
          </w:p>
        </w:tc>
        <w:tc>
          <w:tcPr>
            <w:tcW w:w="3448" w:type="dxa"/>
            <w:vAlign w:val="center"/>
          </w:tcPr>
          <w:p w:rsidR="00475650" w:rsidRDefault="00475650">
            <w:pPr>
              <w:snapToGrid w:val="0"/>
              <w:jc w:val="center"/>
              <w:rPr>
                <w:szCs w:val="21"/>
              </w:rPr>
            </w:pPr>
            <w:bookmarkStart w:id="443" w:name="_Toc322521822"/>
            <w:r>
              <w:rPr>
                <w:rFonts w:hAnsi="宋体"/>
                <w:szCs w:val="21"/>
              </w:rPr>
              <w:t>于公司现有预留地内</w:t>
            </w:r>
            <w:bookmarkEnd w:id="443"/>
            <w:r>
              <w:rPr>
                <w:rFonts w:hAnsi="宋体"/>
                <w:szCs w:val="21"/>
              </w:rPr>
              <w:t>新建</w:t>
            </w:r>
          </w:p>
        </w:tc>
      </w:tr>
      <w:tr w:rsidR="00475650">
        <w:trPr>
          <w:trHeight w:val="160"/>
          <w:jc w:val="center"/>
        </w:trPr>
        <w:tc>
          <w:tcPr>
            <w:tcW w:w="695" w:type="dxa"/>
            <w:vAlign w:val="center"/>
          </w:tcPr>
          <w:p w:rsidR="00475650" w:rsidRDefault="00475650">
            <w:pPr>
              <w:snapToGrid w:val="0"/>
              <w:jc w:val="center"/>
              <w:rPr>
                <w:szCs w:val="21"/>
              </w:rPr>
            </w:pPr>
            <w:bookmarkStart w:id="444" w:name="_Toc322521828"/>
            <w:r>
              <w:rPr>
                <w:rFonts w:hAnsi="宋体"/>
                <w:szCs w:val="21"/>
              </w:rPr>
              <w:t>二</w:t>
            </w:r>
            <w:bookmarkEnd w:id="444"/>
          </w:p>
        </w:tc>
        <w:tc>
          <w:tcPr>
            <w:tcW w:w="1680" w:type="dxa"/>
            <w:vAlign w:val="center"/>
          </w:tcPr>
          <w:p w:rsidR="00475650" w:rsidRDefault="00475650">
            <w:pPr>
              <w:snapToGrid w:val="0"/>
              <w:jc w:val="center"/>
              <w:rPr>
                <w:szCs w:val="21"/>
              </w:rPr>
            </w:pPr>
            <w:bookmarkStart w:id="445" w:name="_Toc322521829"/>
            <w:r>
              <w:rPr>
                <w:rFonts w:hAnsi="宋体"/>
                <w:szCs w:val="21"/>
              </w:rPr>
              <w:t>年操作时间</w:t>
            </w:r>
            <w:bookmarkEnd w:id="445"/>
          </w:p>
        </w:tc>
        <w:tc>
          <w:tcPr>
            <w:tcW w:w="1516" w:type="dxa"/>
            <w:vAlign w:val="center"/>
          </w:tcPr>
          <w:p w:rsidR="00475650" w:rsidRDefault="00475650">
            <w:pPr>
              <w:snapToGrid w:val="0"/>
              <w:jc w:val="center"/>
              <w:rPr>
                <w:szCs w:val="21"/>
              </w:rPr>
            </w:pPr>
            <w:bookmarkStart w:id="446" w:name="_Toc322521830"/>
            <w:r>
              <w:rPr>
                <w:rFonts w:hAnsi="宋体"/>
                <w:szCs w:val="21"/>
              </w:rPr>
              <w:t>小时</w:t>
            </w:r>
            <w:bookmarkEnd w:id="446"/>
          </w:p>
        </w:tc>
        <w:tc>
          <w:tcPr>
            <w:tcW w:w="1773" w:type="dxa"/>
            <w:vAlign w:val="center"/>
          </w:tcPr>
          <w:p w:rsidR="00475650" w:rsidRDefault="00475650">
            <w:pPr>
              <w:snapToGrid w:val="0"/>
              <w:jc w:val="center"/>
              <w:rPr>
                <w:szCs w:val="21"/>
              </w:rPr>
            </w:pPr>
            <w:r>
              <w:rPr>
                <w:szCs w:val="21"/>
              </w:rPr>
              <w:t>7200</w:t>
            </w:r>
          </w:p>
        </w:tc>
        <w:tc>
          <w:tcPr>
            <w:tcW w:w="3448" w:type="dxa"/>
            <w:vAlign w:val="center"/>
          </w:tcPr>
          <w:p w:rsidR="00475650" w:rsidRDefault="00475650">
            <w:pPr>
              <w:snapToGrid w:val="0"/>
              <w:jc w:val="center"/>
              <w:rPr>
                <w:szCs w:val="21"/>
              </w:rPr>
            </w:pPr>
            <w:r>
              <w:rPr>
                <w:szCs w:val="21"/>
              </w:rPr>
              <w:t>300</w:t>
            </w:r>
            <w:r>
              <w:rPr>
                <w:rFonts w:hAnsi="宋体"/>
                <w:szCs w:val="21"/>
              </w:rPr>
              <w:t>天</w:t>
            </w:r>
          </w:p>
        </w:tc>
      </w:tr>
      <w:tr w:rsidR="00475650">
        <w:trPr>
          <w:trHeight w:val="160"/>
          <w:jc w:val="center"/>
        </w:trPr>
        <w:tc>
          <w:tcPr>
            <w:tcW w:w="695" w:type="dxa"/>
            <w:vAlign w:val="center"/>
          </w:tcPr>
          <w:p w:rsidR="00475650" w:rsidRDefault="00475650">
            <w:pPr>
              <w:snapToGrid w:val="0"/>
              <w:jc w:val="center"/>
              <w:rPr>
                <w:szCs w:val="21"/>
              </w:rPr>
            </w:pPr>
            <w:bookmarkStart w:id="447" w:name="_Toc322521832"/>
            <w:r>
              <w:rPr>
                <w:rFonts w:hAnsi="宋体"/>
                <w:szCs w:val="21"/>
              </w:rPr>
              <w:t>三</w:t>
            </w:r>
            <w:bookmarkEnd w:id="447"/>
          </w:p>
        </w:tc>
        <w:tc>
          <w:tcPr>
            <w:tcW w:w="1680" w:type="dxa"/>
            <w:vAlign w:val="center"/>
          </w:tcPr>
          <w:p w:rsidR="00475650" w:rsidRDefault="00475650">
            <w:pPr>
              <w:snapToGrid w:val="0"/>
              <w:jc w:val="center"/>
              <w:rPr>
                <w:szCs w:val="21"/>
              </w:rPr>
            </w:pPr>
            <w:bookmarkStart w:id="448" w:name="_Toc322521833"/>
            <w:r>
              <w:rPr>
                <w:rFonts w:hAnsi="宋体"/>
                <w:szCs w:val="21"/>
              </w:rPr>
              <w:t>主要原料</w:t>
            </w:r>
            <w:bookmarkEnd w:id="448"/>
          </w:p>
        </w:tc>
        <w:tc>
          <w:tcPr>
            <w:tcW w:w="1516" w:type="dxa"/>
            <w:vAlign w:val="center"/>
          </w:tcPr>
          <w:p w:rsidR="00475650" w:rsidRDefault="00475650">
            <w:pPr>
              <w:snapToGrid w:val="0"/>
              <w:jc w:val="center"/>
              <w:rPr>
                <w:szCs w:val="21"/>
              </w:rPr>
            </w:pPr>
          </w:p>
        </w:tc>
        <w:tc>
          <w:tcPr>
            <w:tcW w:w="1773" w:type="dxa"/>
            <w:vAlign w:val="center"/>
          </w:tcPr>
          <w:p w:rsidR="00475650" w:rsidRDefault="00475650">
            <w:pPr>
              <w:snapToGrid w:val="0"/>
              <w:jc w:val="center"/>
              <w:rPr>
                <w:szCs w:val="21"/>
              </w:rPr>
            </w:pPr>
          </w:p>
        </w:tc>
        <w:tc>
          <w:tcPr>
            <w:tcW w:w="3448" w:type="dxa"/>
            <w:vAlign w:val="center"/>
          </w:tcPr>
          <w:p w:rsidR="00475650" w:rsidRDefault="00475650">
            <w:pPr>
              <w:snapToGrid w:val="0"/>
              <w:jc w:val="center"/>
              <w:rPr>
                <w:szCs w:val="21"/>
              </w:rPr>
            </w:pPr>
          </w:p>
        </w:tc>
      </w:tr>
      <w:tr w:rsidR="00475650">
        <w:trPr>
          <w:trHeight w:val="160"/>
          <w:jc w:val="center"/>
        </w:trPr>
        <w:tc>
          <w:tcPr>
            <w:tcW w:w="695" w:type="dxa"/>
            <w:vAlign w:val="center"/>
          </w:tcPr>
          <w:p w:rsidR="00475650" w:rsidRDefault="00475650">
            <w:pPr>
              <w:snapToGrid w:val="0"/>
              <w:jc w:val="center"/>
              <w:rPr>
                <w:szCs w:val="21"/>
              </w:rPr>
            </w:pPr>
            <w:bookmarkStart w:id="449" w:name="_Toc322521834"/>
            <w:r>
              <w:rPr>
                <w:szCs w:val="21"/>
              </w:rPr>
              <w:t>1</w:t>
            </w:r>
            <w:bookmarkEnd w:id="449"/>
          </w:p>
        </w:tc>
        <w:tc>
          <w:tcPr>
            <w:tcW w:w="1680" w:type="dxa"/>
            <w:vAlign w:val="center"/>
          </w:tcPr>
          <w:p w:rsidR="00475650" w:rsidRDefault="00475650">
            <w:pPr>
              <w:snapToGrid w:val="0"/>
              <w:jc w:val="center"/>
              <w:rPr>
                <w:szCs w:val="21"/>
              </w:rPr>
            </w:pPr>
            <w:bookmarkStart w:id="450" w:name="_Toc322521835"/>
            <w:r>
              <w:rPr>
                <w:kern w:val="0"/>
                <w:szCs w:val="21"/>
              </w:rPr>
              <w:t>2,5-</w:t>
            </w:r>
            <w:r>
              <w:rPr>
                <w:rFonts w:hAnsi="宋体"/>
                <w:kern w:val="0"/>
                <w:szCs w:val="21"/>
              </w:rPr>
              <w:t>二氨基苯磺酸</w:t>
            </w:r>
            <w:bookmarkEnd w:id="450"/>
          </w:p>
        </w:tc>
        <w:tc>
          <w:tcPr>
            <w:tcW w:w="1516" w:type="dxa"/>
            <w:vAlign w:val="center"/>
          </w:tcPr>
          <w:p w:rsidR="00475650" w:rsidRDefault="00475650">
            <w:pPr>
              <w:snapToGrid w:val="0"/>
              <w:jc w:val="center"/>
              <w:rPr>
                <w:szCs w:val="21"/>
              </w:rPr>
            </w:pPr>
            <w:bookmarkStart w:id="451" w:name="_Toc322521836"/>
            <w:r>
              <w:rPr>
                <w:rFonts w:hAnsi="宋体"/>
                <w:szCs w:val="21"/>
              </w:rPr>
              <w:t>吨</w:t>
            </w:r>
            <w:r>
              <w:rPr>
                <w:szCs w:val="21"/>
              </w:rPr>
              <w:t>/</w:t>
            </w:r>
            <w:r>
              <w:rPr>
                <w:rFonts w:hAnsi="宋体"/>
                <w:szCs w:val="21"/>
              </w:rPr>
              <w:t>年</w:t>
            </w:r>
            <w:bookmarkEnd w:id="451"/>
          </w:p>
        </w:tc>
        <w:tc>
          <w:tcPr>
            <w:tcW w:w="1773" w:type="dxa"/>
            <w:vAlign w:val="center"/>
          </w:tcPr>
          <w:p w:rsidR="00475650" w:rsidRDefault="00475650">
            <w:pPr>
              <w:snapToGrid w:val="0"/>
              <w:jc w:val="center"/>
              <w:rPr>
                <w:szCs w:val="21"/>
              </w:rPr>
            </w:pPr>
            <w:r>
              <w:rPr>
                <w:rFonts w:hint="eastAsia"/>
                <w:kern w:val="0"/>
                <w:szCs w:val="21"/>
              </w:rPr>
              <w:t>1523.26</w:t>
            </w:r>
          </w:p>
        </w:tc>
        <w:tc>
          <w:tcPr>
            <w:tcW w:w="3448" w:type="dxa"/>
            <w:vAlign w:val="center"/>
          </w:tcPr>
          <w:p w:rsidR="00475650" w:rsidRDefault="00475650">
            <w:pPr>
              <w:snapToGrid w:val="0"/>
              <w:jc w:val="center"/>
              <w:rPr>
                <w:szCs w:val="21"/>
              </w:rPr>
            </w:pPr>
          </w:p>
        </w:tc>
      </w:tr>
      <w:tr w:rsidR="00475650">
        <w:trPr>
          <w:trHeight w:val="160"/>
          <w:jc w:val="center"/>
        </w:trPr>
        <w:tc>
          <w:tcPr>
            <w:tcW w:w="695" w:type="dxa"/>
            <w:vAlign w:val="center"/>
          </w:tcPr>
          <w:p w:rsidR="00475650" w:rsidRDefault="00475650">
            <w:pPr>
              <w:snapToGrid w:val="0"/>
              <w:jc w:val="center"/>
              <w:rPr>
                <w:szCs w:val="21"/>
              </w:rPr>
            </w:pPr>
            <w:bookmarkStart w:id="452" w:name="_Toc322521838"/>
            <w:r>
              <w:rPr>
                <w:szCs w:val="21"/>
              </w:rPr>
              <w:t>2</w:t>
            </w:r>
            <w:bookmarkEnd w:id="452"/>
          </w:p>
        </w:tc>
        <w:tc>
          <w:tcPr>
            <w:tcW w:w="1680" w:type="dxa"/>
            <w:vAlign w:val="center"/>
          </w:tcPr>
          <w:p w:rsidR="00475650" w:rsidRDefault="00475650">
            <w:pPr>
              <w:snapToGrid w:val="0"/>
              <w:jc w:val="center"/>
              <w:rPr>
                <w:szCs w:val="21"/>
              </w:rPr>
            </w:pPr>
            <w:r>
              <w:rPr>
                <w:kern w:val="0"/>
                <w:szCs w:val="21"/>
              </w:rPr>
              <w:t>γ</w:t>
            </w:r>
            <w:r>
              <w:rPr>
                <w:rFonts w:hAnsi="宋体"/>
                <w:kern w:val="0"/>
                <w:szCs w:val="21"/>
              </w:rPr>
              <w:t>酸</w:t>
            </w:r>
          </w:p>
        </w:tc>
        <w:tc>
          <w:tcPr>
            <w:tcW w:w="1516" w:type="dxa"/>
            <w:vAlign w:val="center"/>
          </w:tcPr>
          <w:p w:rsidR="00475650" w:rsidRDefault="00475650">
            <w:pPr>
              <w:snapToGrid w:val="0"/>
              <w:jc w:val="center"/>
              <w:rPr>
                <w:szCs w:val="21"/>
              </w:rPr>
            </w:pPr>
            <w:r>
              <w:rPr>
                <w:rFonts w:hAnsi="宋体"/>
                <w:szCs w:val="21"/>
              </w:rPr>
              <w:t>吨</w:t>
            </w:r>
            <w:r>
              <w:rPr>
                <w:szCs w:val="21"/>
              </w:rPr>
              <w:t>/</w:t>
            </w:r>
            <w:r>
              <w:rPr>
                <w:rFonts w:hAnsi="宋体"/>
                <w:szCs w:val="21"/>
              </w:rPr>
              <w:t>年</w:t>
            </w:r>
          </w:p>
        </w:tc>
        <w:tc>
          <w:tcPr>
            <w:tcW w:w="1773" w:type="dxa"/>
            <w:vAlign w:val="center"/>
          </w:tcPr>
          <w:p w:rsidR="00475650" w:rsidRDefault="00475650">
            <w:pPr>
              <w:snapToGrid w:val="0"/>
              <w:jc w:val="center"/>
              <w:rPr>
                <w:szCs w:val="21"/>
              </w:rPr>
            </w:pPr>
            <w:r>
              <w:rPr>
                <w:rFonts w:hint="eastAsia"/>
                <w:kern w:val="0"/>
                <w:szCs w:val="21"/>
              </w:rPr>
              <w:t>1835.83</w:t>
            </w:r>
          </w:p>
        </w:tc>
        <w:tc>
          <w:tcPr>
            <w:tcW w:w="3448" w:type="dxa"/>
            <w:vAlign w:val="center"/>
          </w:tcPr>
          <w:p w:rsidR="00475650" w:rsidRDefault="00475650">
            <w:pPr>
              <w:snapToGrid w:val="0"/>
              <w:jc w:val="center"/>
              <w:rPr>
                <w:szCs w:val="21"/>
              </w:rPr>
            </w:pPr>
          </w:p>
        </w:tc>
      </w:tr>
      <w:tr w:rsidR="00475650">
        <w:trPr>
          <w:trHeight w:val="160"/>
          <w:jc w:val="center"/>
        </w:trPr>
        <w:tc>
          <w:tcPr>
            <w:tcW w:w="695" w:type="dxa"/>
            <w:vAlign w:val="center"/>
          </w:tcPr>
          <w:p w:rsidR="00475650" w:rsidRDefault="00475650">
            <w:pPr>
              <w:snapToGrid w:val="0"/>
              <w:jc w:val="center"/>
              <w:rPr>
                <w:szCs w:val="21"/>
              </w:rPr>
            </w:pPr>
            <w:bookmarkStart w:id="453" w:name="_Toc322521842"/>
            <w:r>
              <w:rPr>
                <w:szCs w:val="21"/>
              </w:rPr>
              <w:t>3</w:t>
            </w:r>
            <w:bookmarkEnd w:id="453"/>
          </w:p>
        </w:tc>
        <w:tc>
          <w:tcPr>
            <w:tcW w:w="1680" w:type="dxa"/>
            <w:vAlign w:val="center"/>
          </w:tcPr>
          <w:p w:rsidR="00475650" w:rsidRDefault="00475650">
            <w:pPr>
              <w:snapToGrid w:val="0"/>
              <w:jc w:val="center"/>
              <w:rPr>
                <w:szCs w:val="21"/>
              </w:rPr>
            </w:pPr>
            <w:bookmarkStart w:id="454" w:name="_Toc322521843"/>
            <w:r>
              <w:rPr>
                <w:kern w:val="0"/>
                <w:szCs w:val="21"/>
              </w:rPr>
              <w:t>2</w:t>
            </w:r>
            <w:r>
              <w:rPr>
                <w:rFonts w:hAnsi="宋体"/>
                <w:kern w:val="0"/>
                <w:szCs w:val="21"/>
              </w:rPr>
              <w:t>，</w:t>
            </w:r>
            <w:r>
              <w:rPr>
                <w:kern w:val="0"/>
                <w:szCs w:val="21"/>
              </w:rPr>
              <w:t>5-</w:t>
            </w:r>
            <w:r>
              <w:rPr>
                <w:rFonts w:hAnsi="宋体"/>
                <w:kern w:val="0"/>
                <w:szCs w:val="21"/>
              </w:rPr>
              <w:t>二氯</w:t>
            </w:r>
            <w:r>
              <w:rPr>
                <w:kern w:val="0"/>
                <w:szCs w:val="21"/>
              </w:rPr>
              <w:t>-4-</w:t>
            </w:r>
            <w:r>
              <w:rPr>
                <w:rFonts w:hAnsi="宋体"/>
                <w:kern w:val="0"/>
                <w:szCs w:val="21"/>
              </w:rPr>
              <w:t>氨基苯磺酸</w:t>
            </w:r>
            <w:bookmarkEnd w:id="454"/>
          </w:p>
        </w:tc>
        <w:tc>
          <w:tcPr>
            <w:tcW w:w="1516" w:type="dxa"/>
            <w:vAlign w:val="center"/>
          </w:tcPr>
          <w:p w:rsidR="00475650" w:rsidRDefault="00475650">
            <w:pPr>
              <w:snapToGrid w:val="0"/>
              <w:jc w:val="center"/>
              <w:rPr>
                <w:szCs w:val="21"/>
              </w:rPr>
            </w:pPr>
            <w:r>
              <w:rPr>
                <w:rFonts w:hAnsi="宋体"/>
                <w:szCs w:val="21"/>
              </w:rPr>
              <w:t>吨</w:t>
            </w:r>
            <w:r>
              <w:rPr>
                <w:szCs w:val="21"/>
              </w:rPr>
              <w:t>/</w:t>
            </w:r>
            <w:r>
              <w:rPr>
                <w:rFonts w:hAnsi="宋体"/>
                <w:szCs w:val="21"/>
              </w:rPr>
              <w:t>年</w:t>
            </w:r>
          </w:p>
        </w:tc>
        <w:tc>
          <w:tcPr>
            <w:tcW w:w="1773" w:type="dxa"/>
            <w:vAlign w:val="center"/>
          </w:tcPr>
          <w:p w:rsidR="00475650" w:rsidRDefault="00475650">
            <w:pPr>
              <w:snapToGrid w:val="0"/>
              <w:jc w:val="center"/>
              <w:rPr>
                <w:szCs w:val="21"/>
              </w:rPr>
            </w:pPr>
            <w:r>
              <w:rPr>
                <w:rFonts w:hint="eastAsia"/>
                <w:kern w:val="0"/>
                <w:szCs w:val="21"/>
              </w:rPr>
              <w:t>1258.49</w:t>
            </w:r>
          </w:p>
        </w:tc>
        <w:tc>
          <w:tcPr>
            <w:tcW w:w="3448" w:type="dxa"/>
            <w:vAlign w:val="center"/>
          </w:tcPr>
          <w:p w:rsidR="00475650" w:rsidRDefault="00475650">
            <w:pPr>
              <w:snapToGrid w:val="0"/>
              <w:jc w:val="center"/>
              <w:rPr>
                <w:szCs w:val="21"/>
              </w:rPr>
            </w:pPr>
          </w:p>
        </w:tc>
      </w:tr>
      <w:tr w:rsidR="00475650">
        <w:trPr>
          <w:trHeight w:val="160"/>
          <w:jc w:val="center"/>
        </w:trPr>
        <w:tc>
          <w:tcPr>
            <w:tcW w:w="695" w:type="dxa"/>
            <w:vAlign w:val="center"/>
          </w:tcPr>
          <w:p w:rsidR="00475650" w:rsidRDefault="00475650">
            <w:pPr>
              <w:snapToGrid w:val="0"/>
              <w:jc w:val="center"/>
              <w:rPr>
                <w:szCs w:val="21"/>
              </w:rPr>
            </w:pPr>
            <w:bookmarkStart w:id="455" w:name="_Toc322521846"/>
            <w:r>
              <w:rPr>
                <w:szCs w:val="21"/>
              </w:rPr>
              <w:t>4</w:t>
            </w:r>
            <w:bookmarkEnd w:id="455"/>
          </w:p>
        </w:tc>
        <w:tc>
          <w:tcPr>
            <w:tcW w:w="1680" w:type="dxa"/>
            <w:vAlign w:val="center"/>
          </w:tcPr>
          <w:p w:rsidR="00475650" w:rsidRDefault="00475650">
            <w:pPr>
              <w:snapToGrid w:val="0"/>
              <w:jc w:val="center"/>
              <w:rPr>
                <w:szCs w:val="21"/>
              </w:rPr>
            </w:pPr>
            <w:bookmarkStart w:id="456" w:name="_Toc322521847"/>
            <w:r>
              <w:rPr>
                <w:kern w:val="0"/>
                <w:szCs w:val="21"/>
              </w:rPr>
              <w:t>1-</w:t>
            </w:r>
            <w:r>
              <w:rPr>
                <w:rFonts w:hAnsi="宋体"/>
                <w:kern w:val="0"/>
                <w:szCs w:val="21"/>
              </w:rPr>
              <w:t>苯基</w:t>
            </w:r>
            <w:r>
              <w:rPr>
                <w:kern w:val="0"/>
                <w:szCs w:val="21"/>
              </w:rPr>
              <w:t>-3-</w:t>
            </w:r>
            <w:r>
              <w:rPr>
                <w:rFonts w:hAnsi="宋体"/>
                <w:kern w:val="0"/>
                <w:szCs w:val="21"/>
              </w:rPr>
              <w:t>甲基</w:t>
            </w:r>
            <w:r>
              <w:rPr>
                <w:kern w:val="0"/>
                <w:szCs w:val="21"/>
              </w:rPr>
              <w:lastRenderedPageBreak/>
              <w:t>-5-</w:t>
            </w:r>
            <w:r>
              <w:rPr>
                <w:rFonts w:hAnsi="宋体"/>
                <w:kern w:val="0"/>
                <w:szCs w:val="21"/>
              </w:rPr>
              <w:t>氨基吡唑</w:t>
            </w:r>
            <w:bookmarkEnd w:id="456"/>
          </w:p>
        </w:tc>
        <w:tc>
          <w:tcPr>
            <w:tcW w:w="1516" w:type="dxa"/>
            <w:vAlign w:val="center"/>
          </w:tcPr>
          <w:p w:rsidR="00475650" w:rsidRDefault="00475650">
            <w:pPr>
              <w:snapToGrid w:val="0"/>
              <w:jc w:val="center"/>
              <w:rPr>
                <w:szCs w:val="21"/>
              </w:rPr>
            </w:pPr>
            <w:r>
              <w:rPr>
                <w:rFonts w:hAnsi="宋体"/>
                <w:szCs w:val="21"/>
              </w:rPr>
              <w:lastRenderedPageBreak/>
              <w:t>吨</w:t>
            </w:r>
            <w:r>
              <w:rPr>
                <w:szCs w:val="21"/>
              </w:rPr>
              <w:t>/</w:t>
            </w:r>
            <w:r>
              <w:rPr>
                <w:rFonts w:hAnsi="宋体"/>
                <w:szCs w:val="21"/>
              </w:rPr>
              <w:t>年</w:t>
            </w:r>
          </w:p>
        </w:tc>
        <w:tc>
          <w:tcPr>
            <w:tcW w:w="1773" w:type="dxa"/>
            <w:vAlign w:val="center"/>
          </w:tcPr>
          <w:p w:rsidR="00475650" w:rsidRDefault="00475650">
            <w:pPr>
              <w:snapToGrid w:val="0"/>
              <w:jc w:val="center"/>
              <w:rPr>
                <w:szCs w:val="21"/>
              </w:rPr>
            </w:pPr>
            <w:r>
              <w:rPr>
                <w:rFonts w:hint="eastAsia"/>
                <w:kern w:val="0"/>
                <w:szCs w:val="21"/>
              </w:rPr>
              <w:t>855.2</w:t>
            </w:r>
          </w:p>
        </w:tc>
        <w:tc>
          <w:tcPr>
            <w:tcW w:w="3448" w:type="dxa"/>
            <w:vAlign w:val="center"/>
          </w:tcPr>
          <w:p w:rsidR="00475650" w:rsidRDefault="00475650">
            <w:pPr>
              <w:snapToGrid w:val="0"/>
              <w:jc w:val="center"/>
              <w:rPr>
                <w:szCs w:val="21"/>
              </w:rPr>
            </w:pPr>
          </w:p>
        </w:tc>
      </w:tr>
      <w:tr w:rsidR="00475650">
        <w:trPr>
          <w:trHeight w:val="160"/>
          <w:jc w:val="center"/>
        </w:trPr>
        <w:tc>
          <w:tcPr>
            <w:tcW w:w="695" w:type="dxa"/>
            <w:vAlign w:val="center"/>
          </w:tcPr>
          <w:p w:rsidR="00475650" w:rsidRDefault="00475650">
            <w:pPr>
              <w:snapToGrid w:val="0"/>
              <w:jc w:val="center"/>
              <w:rPr>
                <w:szCs w:val="21"/>
              </w:rPr>
            </w:pPr>
            <w:bookmarkStart w:id="457" w:name="_Toc322521850"/>
            <w:r>
              <w:rPr>
                <w:szCs w:val="21"/>
              </w:rPr>
              <w:lastRenderedPageBreak/>
              <w:t>5</w:t>
            </w:r>
            <w:bookmarkEnd w:id="457"/>
          </w:p>
        </w:tc>
        <w:tc>
          <w:tcPr>
            <w:tcW w:w="1680" w:type="dxa"/>
            <w:vAlign w:val="center"/>
          </w:tcPr>
          <w:p w:rsidR="00475650" w:rsidRDefault="00475650">
            <w:pPr>
              <w:snapToGrid w:val="0"/>
              <w:jc w:val="center"/>
              <w:rPr>
                <w:szCs w:val="21"/>
              </w:rPr>
            </w:pPr>
            <w:r>
              <w:rPr>
                <w:rFonts w:hAnsi="宋体"/>
                <w:kern w:val="0"/>
                <w:szCs w:val="21"/>
              </w:rPr>
              <w:t>碳酸钠（</w:t>
            </w:r>
            <w:r>
              <w:rPr>
                <w:kern w:val="0"/>
                <w:szCs w:val="21"/>
              </w:rPr>
              <w:t>98%</w:t>
            </w:r>
            <w:r>
              <w:rPr>
                <w:rFonts w:hAnsi="宋体"/>
                <w:kern w:val="0"/>
                <w:szCs w:val="21"/>
              </w:rPr>
              <w:t>）</w:t>
            </w:r>
          </w:p>
        </w:tc>
        <w:tc>
          <w:tcPr>
            <w:tcW w:w="1516" w:type="dxa"/>
            <w:vAlign w:val="center"/>
          </w:tcPr>
          <w:p w:rsidR="00475650" w:rsidRDefault="00475650">
            <w:pPr>
              <w:snapToGrid w:val="0"/>
              <w:jc w:val="center"/>
              <w:rPr>
                <w:szCs w:val="21"/>
              </w:rPr>
            </w:pPr>
            <w:r>
              <w:rPr>
                <w:rFonts w:hAnsi="宋体"/>
                <w:szCs w:val="21"/>
              </w:rPr>
              <w:t>吨</w:t>
            </w:r>
            <w:r>
              <w:rPr>
                <w:szCs w:val="21"/>
              </w:rPr>
              <w:t>/</w:t>
            </w:r>
            <w:r>
              <w:rPr>
                <w:rFonts w:hAnsi="宋体"/>
                <w:szCs w:val="21"/>
              </w:rPr>
              <w:t>年</w:t>
            </w:r>
          </w:p>
        </w:tc>
        <w:tc>
          <w:tcPr>
            <w:tcW w:w="1773" w:type="dxa"/>
            <w:vAlign w:val="center"/>
          </w:tcPr>
          <w:p w:rsidR="00475650" w:rsidRDefault="00475650">
            <w:pPr>
              <w:snapToGrid w:val="0"/>
              <w:jc w:val="center"/>
              <w:rPr>
                <w:szCs w:val="21"/>
              </w:rPr>
            </w:pPr>
            <w:r>
              <w:rPr>
                <w:rFonts w:hint="eastAsia"/>
                <w:kern w:val="0"/>
                <w:szCs w:val="21"/>
              </w:rPr>
              <w:t>881.8</w:t>
            </w:r>
          </w:p>
        </w:tc>
        <w:tc>
          <w:tcPr>
            <w:tcW w:w="3448" w:type="dxa"/>
            <w:vAlign w:val="center"/>
          </w:tcPr>
          <w:p w:rsidR="00475650" w:rsidRDefault="00475650">
            <w:pPr>
              <w:snapToGrid w:val="0"/>
              <w:jc w:val="center"/>
              <w:rPr>
                <w:szCs w:val="21"/>
              </w:rPr>
            </w:pPr>
          </w:p>
        </w:tc>
      </w:tr>
      <w:tr w:rsidR="00475650">
        <w:trPr>
          <w:trHeight w:val="160"/>
          <w:jc w:val="center"/>
        </w:trPr>
        <w:tc>
          <w:tcPr>
            <w:tcW w:w="695" w:type="dxa"/>
            <w:vAlign w:val="center"/>
          </w:tcPr>
          <w:p w:rsidR="00475650" w:rsidRDefault="00475650">
            <w:pPr>
              <w:snapToGrid w:val="0"/>
              <w:jc w:val="center"/>
              <w:rPr>
                <w:szCs w:val="21"/>
              </w:rPr>
            </w:pPr>
            <w:bookmarkStart w:id="458" w:name="_Toc322521854"/>
            <w:r>
              <w:rPr>
                <w:szCs w:val="21"/>
              </w:rPr>
              <w:t>6</w:t>
            </w:r>
            <w:bookmarkEnd w:id="458"/>
          </w:p>
        </w:tc>
        <w:tc>
          <w:tcPr>
            <w:tcW w:w="1680" w:type="dxa"/>
            <w:vAlign w:val="center"/>
          </w:tcPr>
          <w:p w:rsidR="00475650" w:rsidRDefault="00475650">
            <w:pPr>
              <w:snapToGrid w:val="0"/>
              <w:jc w:val="center"/>
              <w:rPr>
                <w:szCs w:val="21"/>
              </w:rPr>
            </w:pPr>
            <w:bookmarkStart w:id="459" w:name="_Toc322521855"/>
            <w:r>
              <w:rPr>
                <w:rFonts w:hAnsi="宋体"/>
                <w:kern w:val="0"/>
                <w:szCs w:val="21"/>
              </w:rPr>
              <w:t>乙酸酐</w:t>
            </w:r>
            <w:bookmarkEnd w:id="459"/>
          </w:p>
        </w:tc>
        <w:tc>
          <w:tcPr>
            <w:tcW w:w="1516" w:type="dxa"/>
            <w:vAlign w:val="center"/>
          </w:tcPr>
          <w:p w:rsidR="00475650" w:rsidRDefault="00475650">
            <w:pPr>
              <w:snapToGrid w:val="0"/>
              <w:jc w:val="center"/>
              <w:rPr>
                <w:szCs w:val="21"/>
              </w:rPr>
            </w:pPr>
            <w:r>
              <w:rPr>
                <w:rFonts w:hAnsi="宋体"/>
                <w:szCs w:val="21"/>
              </w:rPr>
              <w:t>吨</w:t>
            </w:r>
            <w:r>
              <w:rPr>
                <w:szCs w:val="21"/>
              </w:rPr>
              <w:t>/</w:t>
            </w:r>
            <w:r>
              <w:rPr>
                <w:rFonts w:hAnsi="宋体"/>
                <w:szCs w:val="21"/>
              </w:rPr>
              <w:t>年</w:t>
            </w:r>
          </w:p>
        </w:tc>
        <w:tc>
          <w:tcPr>
            <w:tcW w:w="1773" w:type="dxa"/>
            <w:vAlign w:val="center"/>
          </w:tcPr>
          <w:p w:rsidR="00475650" w:rsidRDefault="00475650">
            <w:pPr>
              <w:snapToGrid w:val="0"/>
              <w:jc w:val="center"/>
              <w:rPr>
                <w:szCs w:val="21"/>
              </w:rPr>
            </w:pPr>
            <w:r>
              <w:rPr>
                <w:rFonts w:hint="eastAsia"/>
                <w:kern w:val="0"/>
                <w:szCs w:val="21"/>
              </w:rPr>
              <w:t>863.41</w:t>
            </w:r>
          </w:p>
        </w:tc>
        <w:tc>
          <w:tcPr>
            <w:tcW w:w="3448" w:type="dxa"/>
            <w:vAlign w:val="center"/>
          </w:tcPr>
          <w:p w:rsidR="00475650" w:rsidRDefault="00475650">
            <w:pPr>
              <w:snapToGrid w:val="0"/>
              <w:jc w:val="center"/>
              <w:rPr>
                <w:szCs w:val="21"/>
              </w:rPr>
            </w:pPr>
          </w:p>
        </w:tc>
      </w:tr>
      <w:tr w:rsidR="00475650">
        <w:trPr>
          <w:trHeight w:val="160"/>
          <w:jc w:val="center"/>
        </w:trPr>
        <w:tc>
          <w:tcPr>
            <w:tcW w:w="695" w:type="dxa"/>
            <w:vAlign w:val="center"/>
          </w:tcPr>
          <w:p w:rsidR="00475650" w:rsidRDefault="00475650">
            <w:pPr>
              <w:snapToGrid w:val="0"/>
              <w:jc w:val="center"/>
              <w:rPr>
                <w:szCs w:val="21"/>
              </w:rPr>
            </w:pPr>
            <w:r>
              <w:rPr>
                <w:szCs w:val="21"/>
              </w:rPr>
              <w:t>7</w:t>
            </w:r>
          </w:p>
        </w:tc>
        <w:tc>
          <w:tcPr>
            <w:tcW w:w="1680" w:type="dxa"/>
            <w:vAlign w:val="center"/>
          </w:tcPr>
          <w:p w:rsidR="00475650" w:rsidRDefault="00475650">
            <w:pPr>
              <w:snapToGrid w:val="0"/>
              <w:jc w:val="center"/>
              <w:rPr>
                <w:szCs w:val="21"/>
              </w:rPr>
            </w:pPr>
            <w:bookmarkStart w:id="460" w:name="_Toc322521863"/>
            <w:r>
              <w:rPr>
                <w:rFonts w:hAnsi="宋体"/>
                <w:kern w:val="0"/>
                <w:szCs w:val="21"/>
              </w:rPr>
              <w:t>盐酸（</w:t>
            </w:r>
            <w:r>
              <w:rPr>
                <w:kern w:val="0"/>
                <w:szCs w:val="21"/>
              </w:rPr>
              <w:t>31%</w:t>
            </w:r>
            <w:r>
              <w:rPr>
                <w:rFonts w:hAnsi="宋体"/>
                <w:kern w:val="0"/>
                <w:szCs w:val="21"/>
              </w:rPr>
              <w:t>）</w:t>
            </w:r>
            <w:bookmarkEnd w:id="460"/>
          </w:p>
        </w:tc>
        <w:tc>
          <w:tcPr>
            <w:tcW w:w="1516" w:type="dxa"/>
            <w:vAlign w:val="center"/>
          </w:tcPr>
          <w:p w:rsidR="00475650" w:rsidRDefault="00475650">
            <w:pPr>
              <w:snapToGrid w:val="0"/>
              <w:jc w:val="center"/>
              <w:rPr>
                <w:szCs w:val="21"/>
              </w:rPr>
            </w:pPr>
            <w:r>
              <w:rPr>
                <w:rFonts w:hAnsi="宋体"/>
                <w:szCs w:val="21"/>
              </w:rPr>
              <w:t>吨</w:t>
            </w:r>
            <w:r>
              <w:rPr>
                <w:szCs w:val="21"/>
              </w:rPr>
              <w:t>/</w:t>
            </w:r>
            <w:r>
              <w:rPr>
                <w:rFonts w:hAnsi="宋体"/>
                <w:szCs w:val="21"/>
              </w:rPr>
              <w:t>年</w:t>
            </w:r>
          </w:p>
        </w:tc>
        <w:tc>
          <w:tcPr>
            <w:tcW w:w="1773" w:type="dxa"/>
            <w:vAlign w:val="center"/>
          </w:tcPr>
          <w:p w:rsidR="00475650" w:rsidRDefault="00475650">
            <w:pPr>
              <w:snapToGrid w:val="0"/>
              <w:jc w:val="center"/>
              <w:rPr>
                <w:szCs w:val="21"/>
              </w:rPr>
            </w:pPr>
            <w:r>
              <w:rPr>
                <w:rFonts w:hint="eastAsia"/>
                <w:kern w:val="0"/>
                <w:szCs w:val="21"/>
              </w:rPr>
              <w:t>3159.01</w:t>
            </w:r>
          </w:p>
        </w:tc>
        <w:tc>
          <w:tcPr>
            <w:tcW w:w="3448" w:type="dxa"/>
            <w:vAlign w:val="center"/>
          </w:tcPr>
          <w:p w:rsidR="00475650" w:rsidRDefault="00475650">
            <w:pPr>
              <w:snapToGrid w:val="0"/>
              <w:jc w:val="center"/>
              <w:rPr>
                <w:szCs w:val="21"/>
              </w:rPr>
            </w:pPr>
          </w:p>
        </w:tc>
      </w:tr>
      <w:tr w:rsidR="00475650">
        <w:trPr>
          <w:trHeight w:val="160"/>
          <w:jc w:val="center"/>
        </w:trPr>
        <w:tc>
          <w:tcPr>
            <w:tcW w:w="695" w:type="dxa"/>
            <w:vAlign w:val="center"/>
          </w:tcPr>
          <w:p w:rsidR="00475650" w:rsidRDefault="00475650">
            <w:pPr>
              <w:snapToGrid w:val="0"/>
              <w:jc w:val="center"/>
              <w:rPr>
                <w:szCs w:val="21"/>
              </w:rPr>
            </w:pPr>
            <w:r>
              <w:rPr>
                <w:szCs w:val="21"/>
              </w:rPr>
              <w:t>8</w:t>
            </w:r>
          </w:p>
        </w:tc>
        <w:tc>
          <w:tcPr>
            <w:tcW w:w="1680" w:type="dxa"/>
            <w:vAlign w:val="center"/>
          </w:tcPr>
          <w:p w:rsidR="00475650" w:rsidRDefault="00475650">
            <w:pPr>
              <w:snapToGrid w:val="0"/>
              <w:jc w:val="center"/>
              <w:rPr>
                <w:szCs w:val="21"/>
              </w:rPr>
            </w:pPr>
            <w:bookmarkStart w:id="461" w:name="_Toc322521867"/>
            <w:r>
              <w:rPr>
                <w:rFonts w:hAnsi="宋体"/>
                <w:kern w:val="0"/>
                <w:szCs w:val="21"/>
              </w:rPr>
              <w:t>亚硝酸钠（</w:t>
            </w:r>
            <w:r>
              <w:rPr>
                <w:kern w:val="0"/>
                <w:szCs w:val="21"/>
              </w:rPr>
              <w:t>98%</w:t>
            </w:r>
            <w:r>
              <w:rPr>
                <w:rFonts w:hAnsi="宋体"/>
                <w:kern w:val="0"/>
                <w:szCs w:val="21"/>
              </w:rPr>
              <w:t>）</w:t>
            </w:r>
            <w:bookmarkEnd w:id="461"/>
          </w:p>
        </w:tc>
        <w:tc>
          <w:tcPr>
            <w:tcW w:w="1516" w:type="dxa"/>
            <w:vAlign w:val="center"/>
          </w:tcPr>
          <w:p w:rsidR="00475650" w:rsidRDefault="00475650">
            <w:pPr>
              <w:snapToGrid w:val="0"/>
              <w:jc w:val="center"/>
              <w:rPr>
                <w:szCs w:val="21"/>
              </w:rPr>
            </w:pPr>
            <w:r>
              <w:rPr>
                <w:rFonts w:hAnsi="宋体"/>
                <w:szCs w:val="21"/>
              </w:rPr>
              <w:t>吨</w:t>
            </w:r>
            <w:r>
              <w:rPr>
                <w:szCs w:val="21"/>
              </w:rPr>
              <w:t>/</w:t>
            </w:r>
            <w:r>
              <w:rPr>
                <w:rFonts w:hAnsi="宋体"/>
                <w:szCs w:val="21"/>
              </w:rPr>
              <w:t>年</w:t>
            </w:r>
          </w:p>
        </w:tc>
        <w:tc>
          <w:tcPr>
            <w:tcW w:w="1773" w:type="dxa"/>
            <w:vAlign w:val="center"/>
          </w:tcPr>
          <w:p w:rsidR="00475650" w:rsidRDefault="00475650">
            <w:pPr>
              <w:snapToGrid w:val="0"/>
              <w:jc w:val="center"/>
              <w:rPr>
                <w:szCs w:val="21"/>
              </w:rPr>
            </w:pPr>
            <w:r>
              <w:rPr>
                <w:rFonts w:hint="eastAsia"/>
                <w:kern w:val="0"/>
                <w:szCs w:val="21"/>
              </w:rPr>
              <w:t>929.36</w:t>
            </w:r>
          </w:p>
        </w:tc>
        <w:tc>
          <w:tcPr>
            <w:tcW w:w="3448" w:type="dxa"/>
            <w:vAlign w:val="center"/>
          </w:tcPr>
          <w:p w:rsidR="00475650" w:rsidRDefault="00475650">
            <w:pPr>
              <w:snapToGrid w:val="0"/>
              <w:jc w:val="center"/>
              <w:rPr>
                <w:szCs w:val="21"/>
              </w:rPr>
            </w:pPr>
          </w:p>
        </w:tc>
      </w:tr>
      <w:tr w:rsidR="00475650">
        <w:trPr>
          <w:trHeight w:val="160"/>
          <w:jc w:val="center"/>
        </w:trPr>
        <w:tc>
          <w:tcPr>
            <w:tcW w:w="695" w:type="dxa"/>
            <w:vAlign w:val="center"/>
          </w:tcPr>
          <w:p w:rsidR="00475650" w:rsidRDefault="00475650">
            <w:pPr>
              <w:snapToGrid w:val="0"/>
              <w:jc w:val="center"/>
              <w:rPr>
                <w:szCs w:val="21"/>
              </w:rPr>
            </w:pPr>
            <w:r>
              <w:rPr>
                <w:szCs w:val="21"/>
              </w:rPr>
              <w:t>9</w:t>
            </w:r>
          </w:p>
        </w:tc>
        <w:tc>
          <w:tcPr>
            <w:tcW w:w="1680" w:type="dxa"/>
            <w:vAlign w:val="center"/>
          </w:tcPr>
          <w:p w:rsidR="00475650" w:rsidRDefault="00475650">
            <w:pPr>
              <w:snapToGrid w:val="0"/>
              <w:jc w:val="center"/>
              <w:rPr>
                <w:szCs w:val="21"/>
              </w:rPr>
            </w:pPr>
            <w:r>
              <w:rPr>
                <w:rFonts w:hAnsi="宋体"/>
                <w:kern w:val="0"/>
                <w:szCs w:val="21"/>
              </w:rPr>
              <w:t>乙酸钠</w:t>
            </w:r>
          </w:p>
        </w:tc>
        <w:tc>
          <w:tcPr>
            <w:tcW w:w="1516" w:type="dxa"/>
            <w:vAlign w:val="center"/>
          </w:tcPr>
          <w:p w:rsidR="00475650" w:rsidRDefault="00475650">
            <w:pPr>
              <w:snapToGrid w:val="0"/>
              <w:jc w:val="center"/>
              <w:rPr>
                <w:szCs w:val="21"/>
              </w:rPr>
            </w:pPr>
            <w:r>
              <w:rPr>
                <w:rFonts w:hAnsi="宋体"/>
                <w:szCs w:val="21"/>
              </w:rPr>
              <w:t>吨</w:t>
            </w:r>
            <w:r>
              <w:rPr>
                <w:szCs w:val="21"/>
              </w:rPr>
              <w:t>/</w:t>
            </w:r>
            <w:r>
              <w:rPr>
                <w:rFonts w:hAnsi="宋体"/>
                <w:szCs w:val="21"/>
              </w:rPr>
              <w:t>年</w:t>
            </w:r>
          </w:p>
        </w:tc>
        <w:tc>
          <w:tcPr>
            <w:tcW w:w="1773" w:type="dxa"/>
            <w:vAlign w:val="center"/>
          </w:tcPr>
          <w:p w:rsidR="00475650" w:rsidRDefault="00475650">
            <w:pPr>
              <w:snapToGrid w:val="0"/>
              <w:jc w:val="center"/>
              <w:rPr>
                <w:szCs w:val="21"/>
              </w:rPr>
            </w:pPr>
            <w:r>
              <w:rPr>
                <w:rFonts w:hint="eastAsia"/>
                <w:kern w:val="0"/>
                <w:szCs w:val="21"/>
              </w:rPr>
              <w:t>1259.73</w:t>
            </w:r>
          </w:p>
        </w:tc>
        <w:tc>
          <w:tcPr>
            <w:tcW w:w="3448" w:type="dxa"/>
            <w:vAlign w:val="center"/>
          </w:tcPr>
          <w:p w:rsidR="00475650" w:rsidRDefault="00475650">
            <w:pPr>
              <w:snapToGrid w:val="0"/>
              <w:jc w:val="center"/>
              <w:rPr>
                <w:szCs w:val="21"/>
              </w:rPr>
            </w:pPr>
          </w:p>
        </w:tc>
      </w:tr>
      <w:tr w:rsidR="00475650">
        <w:trPr>
          <w:trHeight w:val="160"/>
          <w:jc w:val="center"/>
        </w:trPr>
        <w:tc>
          <w:tcPr>
            <w:tcW w:w="695" w:type="dxa"/>
            <w:vAlign w:val="center"/>
          </w:tcPr>
          <w:p w:rsidR="00475650" w:rsidRDefault="00475650">
            <w:pPr>
              <w:snapToGrid w:val="0"/>
              <w:jc w:val="center"/>
              <w:rPr>
                <w:szCs w:val="21"/>
              </w:rPr>
            </w:pPr>
            <w:r>
              <w:rPr>
                <w:szCs w:val="21"/>
              </w:rPr>
              <w:t>10</w:t>
            </w:r>
          </w:p>
        </w:tc>
        <w:tc>
          <w:tcPr>
            <w:tcW w:w="1680" w:type="dxa"/>
            <w:vAlign w:val="center"/>
          </w:tcPr>
          <w:p w:rsidR="00475650" w:rsidRDefault="00475650">
            <w:pPr>
              <w:snapToGrid w:val="0"/>
              <w:jc w:val="center"/>
              <w:rPr>
                <w:szCs w:val="21"/>
              </w:rPr>
            </w:pPr>
            <w:r>
              <w:rPr>
                <w:rFonts w:hAnsi="宋体"/>
                <w:kern w:val="0"/>
                <w:szCs w:val="21"/>
              </w:rPr>
              <w:t>片碱（</w:t>
            </w:r>
            <w:r>
              <w:rPr>
                <w:kern w:val="0"/>
                <w:szCs w:val="21"/>
              </w:rPr>
              <w:t>99%</w:t>
            </w:r>
            <w:r>
              <w:rPr>
                <w:rFonts w:hAnsi="宋体"/>
                <w:kern w:val="0"/>
                <w:szCs w:val="21"/>
              </w:rPr>
              <w:t>）</w:t>
            </w:r>
          </w:p>
        </w:tc>
        <w:tc>
          <w:tcPr>
            <w:tcW w:w="1516" w:type="dxa"/>
            <w:vAlign w:val="center"/>
          </w:tcPr>
          <w:p w:rsidR="00475650" w:rsidRDefault="00475650">
            <w:pPr>
              <w:snapToGrid w:val="0"/>
              <w:jc w:val="center"/>
              <w:rPr>
                <w:szCs w:val="21"/>
              </w:rPr>
            </w:pPr>
            <w:r>
              <w:rPr>
                <w:rFonts w:hAnsi="宋体"/>
                <w:szCs w:val="21"/>
              </w:rPr>
              <w:t>吨</w:t>
            </w:r>
            <w:r>
              <w:rPr>
                <w:szCs w:val="21"/>
              </w:rPr>
              <w:t>/</w:t>
            </w:r>
            <w:r>
              <w:rPr>
                <w:rFonts w:hAnsi="宋体"/>
                <w:szCs w:val="21"/>
              </w:rPr>
              <w:t>年</w:t>
            </w:r>
          </w:p>
        </w:tc>
        <w:tc>
          <w:tcPr>
            <w:tcW w:w="1773" w:type="dxa"/>
            <w:vAlign w:val="center"/>
          </w:tcPr>
          <w:p w:rsidR="00475650" w:rsidRDefault="00475650">
            <w:pPr>
              <w:snapToGrid w:val="0"/>
              <w:jc w:val="center"/>
              <w:rPr>
                <w:szCs w:val="21"/>
              </w:rPr>
            </w:pPr>
            <w:r>
              <w:rPr>
                <w:rFonts w:hint="eastAsia"/>
                <w:kern w:val="0"/>
                <w:szCs w:val="21"/>
              </w:rPr>
              <w:t>856.55</w:t>
            </w:r>
          </w:p>
        </w:tc>
        <w:tc>
          <w:tcPr>
            <w:tcW w:w="3448" w:type="dxa"/>
            <w:vAlign w:val="center"/>
          </w:tcPr>
          <w:p w:rsidR="00475650" w:rsidRDefault="00475650">
            <w:pPr>
              <w:snapToGrid w:val="0"/>
              <w:jc w:val="center"/>
              <w:rPr>
                <w:szCs w:val="21"/>
              </w:rPr>
            </w:pPr>
          </w:p>
        </w:tc>
      </w:tr>
      <w:tr w:rsidR="00475650">
        <w:trPr>
          <w:trHeight w:val="160"/>
          <w:jc w:val="center"/>
        </w:trPr>
        <w:tc>
          <w:tcPr>
            <w:tcW w:w="695" w:type="dxa"/>
            <w:vAlign w:val="center"/>
          </w:tcPr>
          <w:p w:rsidR="00475650" w:rsidRDefault="00475650">
            <w:pPr>
              <w:snapToGrid w:val="0"/>
              <w:jc w:val="center"/>
              <w:rPr>
                <w:szCs w:val="21"/>
              </w:rPr>
            </w:pPr>
            <w:r>
              <w:rPr>
                <w:szCs w:val="21"/>
              </w:rPr>
              <w:t>11</w:t>
            </w:r>
          </w:p>
        </w:tc>
        <w:tc>
          <w:tcPr>
            <w:tcW w:w="1680" w:type="dxa"/>
            <w:vAlign w:val="center"/>
          </w:tcPr>
          <w:p w:rsidR="00475650" w:rsidRDefault="00475650">
            <w:pPr>
              <w:snapToGrid w:val="0"/>
              <w:jc w:val="center"/>
              <w:rPr>
                <w:kern w:val="0"/>
                <w:szCs w:val="21"/>
              </w:rPr>
            </w:pPr>
            <w:r>
              <w:rPr>
                <w:rFonts w:hAnsi="宋体"/>
                <w:kern w:val="0"/>
                <w:szCs w:val="21"/>
              </w:rPr>
              <w:t>尿素</w:t>
            </w:r>
          </w:p>
        </w:tc>
        <w:tc>
          <w:tcPr>
            <w:tcW w:w="1516" w:type="dxa"/>
            <w:vAlign w:val="center"/>
          </w:tcPr>
          <w:p w:rsidR="00475650" w:rsidRDefault="00475650">
            <w:pPr>
              <w:snapToGrid w:val="0"/>
              <w:jc w:val="center"/>
              <w:rPr>
                <w:szCs w:val="21"/>
              </w:rPr>
            </w:pPr>
            <w:r>
              <w:rPr>
                <w:rFonts w:hAnsi="宋体"/>
                <w:szCs w:val="21"/>
              </w:rPr>
              <w:t>吨</w:t>
            </w:r>
            <w:r>
              <w:rPr>
                <w:szCs w:val="21"/>
              </w:rPr>
              <w:t>/</w:t>
            </w:r>
            <w:r>
              <w:rPr>
                <w:rFonts w:hAnsi="宋体"/>
                <w:szCs w:val="21"/>
              </w:rPr>
              <w:t>年</w:t>
            </w:r>
          </w:p>
        </w:tc>
        <w:tc>
          <w:tcPr>
            <w:tcW w:w="1773" w:type="dxa"/>
            <w:vAlign w:val="center"/>
          </w:tcPr>
          <w:p w:rsidR="00475650" w:rsidRDefault="00475650">
            <w:pPr>
              <w:snapToGrid w:val="0"/>
              <w:jc w:val="center"/>
              <w:rPr>
                <w:kern w:val="0"/>
                <w:szCs w:val="21"/>
              </w:rPr>
            </w:pPr>
            <w:r>
              <w:rPr>
                <w:rFonts w:hint="eastAsia"/>
                <w:kern w:val="0"/>
                <w:szCs w:val="21"/>
              </w:rPr>
              <w:t>23.7</w:t>
            </w:r>
          </w:p>
        </w:tc>
        <w:tc>
          <w:tcPr>
            <w:tcW w:w="3448" w:type="dxa"/>
            <w:vAlign w:val="center"/>
          </w:tcPr>
          <w:p w:rsidR="00475650" w:rsidRDefault="00475650">
            <w:pPr>
              <w:snapToGrid w:val="0"/>
              <w:jc w:val="center"/>
              <w:rPr>
                <w:szCs w:val="21"/>
              </w:rPr>
            </w:pPr>
          </w:p>
        </w:tc>
      </w:tr>
      <w:tr w:rsidR="00475650">
        <w:trPr>
          <w:trHeight w:val="160"/>
          <w:jc w:val="center"/>
        </w:trPr>
        <w:tc>
          <w:tcPr>
            <w:tcW w:w="695" w:type="dxa"/>
            <w:vAlign w:val="center"/>
          </w:tcPr>
          <w:p w:rsidR="00475650" w:rsidRDefault="00475650">
            <w:pPr>
              <w:snapToGrid w:val="0"/>
              <w:jc w:val="center"/>
              <w:rPr>
                <w:szCs w:val="21"/>
              </w:rPr>
            </w:pPr>
            <w:bookmarkStart w:id="462" w:name="_Toc322521923"/>
            <w:r>
              <w:rPr>
                <w:rFonts w:hAnsi="宋体"/>
                <w:szCs w:val="21"/>
              </w:rPr>
              <w:t>四</w:t>
            </w:r>
            <w:bookmarkEnd w:id="462"/>
          </w:p>
        </w:tc>
        <w:tc>
          <w:tcPr>
            <w:tcW w:w="1680" w:type="dxa"/>
            <w:vAlign w:val="center"/>
          </w:tcPr>
          <w:p w:rsidR="00475650" w:rsidRDefault="00475650">
            <w:pPr>
              <w:snapToGrid w:val="0"/>
              <w:jc w:val="center"/>
              <w:rPr>
                <w:szCs w:val="21"/>
              </w:rPr>
            </w:pPr>
            <w:bookmarkStart w:id="463" w:name="_Toc322521924"/>
            <w:r>
              <w:rPr>
                <w:rFonts w:hAnsi="宋体"/>
                <w:szCs w:val="21"/>
              </w:rPr>
              <w:t>产品</w:t>
            </w:r>
            <w:bookmarkEnd w:id="463"/>
          </w:p>
        </w:tc>
        <w:tc>
          <w:tcPr>
            <w:tcW w:w="1516" w:type="dxa"/>
            <w:vAlign w:val="center"/>
          </w:tcPr>
          <w:p w:rsidR="00475650" w:rsidRDefault="00475650">
            <w:pPr>
              <w:snapToGrid w:val="0"/>
              <w:jc w:val="center"/>
              <w:rPr>
                <w:szCs w:val="21"/>
              </w:rPr>
            </w:pPr>
          </w:p>
        </w:tc>
        <w:tc>
          <w:tcPr>
            <w:tcW w:w="1773" w:type="dxa"/>
            <w:vAlign w:val="center"/>
          </w:tcPr>
          <w:p w:rsidR="00475650" w:rsidRDefault="00475650">
            <w:pPr>
              <w:snapToGrid w:val="0"/>
              <w:jc w:val="center"/>
              <w:rPr>
                <w:szCs w:val="21"/>
              </w:rPr>
            </w:pPr>
          </w:p>
        </w:tc>
        <w:tc>
          <w:tcPr>
            <w:tcW w:w="3448" w:type="dxa"/>
            <w:vAlign w:val="center"/>
          </w:tcPr>
          <w:p w:rsidR="00475650" w:rsidRDefault="00475650">
            <w:pPr>
              <w:snapToGrid w:val="0"/>
              <w:jc w:val="center"/>
              <w:rPr>
                <w:szCs w:val="21"/>
              </w:rPr>
            </w:pPr>
          </w:p>
        </w:tc>
      </w:tr>
      <w:tr w:rsidR="00475650">
        <w:trPr>
          <w:trHeight w:val="160"/>
          <w:jc w:val="center"/>
        </w:trPr>
        <w:tc>
          <w:tcPr>
            <w:tcW w:w="695" w:type="dxa"/>
            <w:vAlign w:val="center"/>
          </w:tcPr>
          <w:p w:rsidR="00475650" w:rsidRDefault="00475650">
            <w:pPr>
              <w:snapToGrid w:val="0"/>
              <w:jc w:val="center"/>
              <w:rPr>
                <w:szCs w:val="21"/>
              </w:rPr>
            </w:pPr>
            <w:bookmarkStart w:id="464" w:name="_Toc322521925"/>
            <w:r>
              <w:rPr>
                <w:szCs w:val="21"/>
              </w:rPr>
              <w:t>1</w:t>
            </w:r>
            <w:bookmarkEnd w:id="464"/>
          </w:p>
        </w:tc>
        <w:tc>
          <w:tcPr>
            <w:tcW w:w="1680" w:type="dxa"/>
            <w:vAlign w:val="center"/>
          </w:tcPr>
          <w:p w:rsidR="00475650" w:rsidRDefault="00475650">
            <w:pPr>
              <w:snapToGrid w:val="0"/>
              <w:jc w:val="center"/>
              <w:rPr>
                <w:szCs w:val="21"/>
              </w:rPr>
            </w:pPr>
            <w:bookmarkStart w:id="465" w:name="_Toc322521926"/>
            <w:r>
              <w:rPr>
                <w:rFonts w:hAnsi="宋体"/>
                <w:szCs w:val="21"/>
              </w:rPr>
              <w:t>酸性红</w:t>
            </w:r>
            <w:r>
              <w:rPr>
                <w:szCs w:val="21"/>
              </w:rPr>
              <w:t>37</w:t>
            </w:r>
            <w:bookmarkEnd w:id="465"/>
          </w:p>
        </w:tc>
        <w:tc>
          <w:tcPr>
            <w:tcW w:w="1516" w:type="dxa"/>
            <w:vAlign w:val="center"/>
          </w:tcPr>
          <w:p w:rsidR="00475650" w:rsidRDefault="00475650">
            <w:pPr>
              <w:snapToGrid w:val="0"/>
              <w:jc w:val="center"/>
              <w:rPr>
                <w:szCs w:val="21"/>
              </w:rPr>
            </w:pPr>
            <w:bookmarkStart w:id="466" w:name="_Toc322521927"/>
            <w:r>
              <w:rPr>
                <w:rFonts w:hAnsi="宋体"/>
                <w:szCs w:val="21"/>
              </w:rPr>
              <w:t>吨</w:t>
            </w:r>
            <w:r>
              <w:rPr>
                <w:szCs w:val="21"/>
              </w:rPr>
              <w:t>/</w:t>
            </w:r>
            <w:r>
              <w:rPr>
                <w:rFonts w:hAnsi="宋体"/>
                <w:szCs w:val="21"/>
              </w:rPr>
              <w:t>年</w:t>
            </w:r>
            <w:bookmarkEnd w:id="466"/>
          </w:p>
        </w:tc>
        <w:tc>
          <w:tcPr>
            <w:tcW w:w="1773" w:type="dxa"/>
            <w:vAlign w:val="center"/>
          </w:tcPr>
          <w:p w:rsidR="00475650" w:rsidRDefault="00475650">
            <w:pPr>
              <w:snapToGrid w:val="0"/>
              <w:jc w:val="center"/>
              <w:rPr>
                <w:szCs w:val="21"/>
              </w:rPr>
            </w:pPr>
            <w:bookmarkStart w:id="467" w:name="_Toc322521928"/>
            <w:r>
              <w:rPr>
                <w:szCs w:val="21"/>
              </w:rPr>
              <w:t>4000</w:t>
            </w:r>
            <w:bookmarkEnd w:id="467"/>
          </w:p>
        </w:tc>
        <w:tc>
          <w:tcPr>
            <w:tcW w:w="3448" w:type="dxa"/>
            <w:vAlign w:val="center"/>
          </w:tcPr>
          <w:p w:rsidR="00475650" w:rsidRDefault="00475650">
            <w:pPr>
              <w:snapToGrid w:val="0"/>
              <w:ind w:right="64"/>
              <w:jc w:val="center"/>
              <w:rPr>
                <w:szCs w:val="21"/>
              </w:rPr>
            </w:pPr>
            <w:bookmarkStart w:id="468" w:name="_Toc322521929"/>
            <w:r>
              <w:rPr>
                <w:rFonts w:hAnsi="宋体"/>
                <w:szCs w:val="21"/>
              </w:rPr>
              <w:t>市场销售</w:t>
            </w:r>
            <w:bookmarkEnd w:id="468"/>
          </w:p>
        </w:tc>
      </w:tr>
      <w:tr w:rsidR="00475650">
        <w:trPr>
          <w:trHeight w:val="160"/>
          <w:jc w:val="center"/>
        </w:trPr>
        <w:tc>
          <w:tcPr>
            <w:tcW w:w="695" w:type="dxa"/>
            <w:vAlign w:val="center"/>
          </w:tcPr>
          <w:p w:rsidR="00475650" w:rsidRDefault="00475650">
            <w:pPr>
              <w:snapToGrid w:val="0"/>
              <w:jc w:val="center"/>
              <w:rPr>
                <w:szCs w:val="21"/>
              </w:rPr>
            </w:pPr>
            <w:bookmarkStart w:id="469" w:name="_Toc322521930"/>
            <w:r>
              <w:rPr>
                <w:szCs w:val="21"/>
              </w:rPr>
              <w:t>2</w:t>
            </w:r>
            <w:bookmarkEnd w:id="469"/>
          </w:p>
        </w:tc>
        <w:tc>
          <w:tcPr>
            <w:tcW w:w="1680" w:type="dxa"/>
            <w:vAlign w:val="center"/>
          </w:tcPr>
          <w:p w:rsidR="00475650" w:rsidRDefault="00475650">
            <w:pPr>
              <w:snapToGrid w:val="0"/>
              <w:jc w:val="center"/>
              <w:rPr>
                <w:szCs w:val="21"/>
              </w:rPr>
            </w:pPr>
            <w:bookmarkStart w:id="470" w:name="_Toc322521931"/>
            <w:r>
              <w:rPr>
                <w:rFonts w:hAnsi="宋体"/>
                <w:szCs w:val="21"/>
              </w:rPr>
              <w:t>酸性</w:t>
            </w:r>
            <w:r>
              <w:rPr>
                <w:rFonts w:hAnsi="宋体" w:hint="eastAsia"/>
                <w:szCs w:val="21"/>
              </w:rPr>
              <w:t>黄</w:t>
            </w:r>
            <w:r>
              <w:rPr>
                <w:szCs w:val="21"/>
              </w:rPr>
              <w:t>49</w:t>
            </w:r>
            <w:bookmarkEnd w:id="470"/>
          </w:p>
        </w:tc>
        <w:tc>
          <w:tcPr>
            <w:tcW w:w="1516" w:type="dxa"/>
            <w:vAlign w:val="center"/>
          </w:tcPr>
          <w:p w:rsidR="00475650" w:rsidRDefault="00475650">
            <w:pPr>
              <w:snapToGrid w:val="0"/>
              <w:jc w:val="center"/>
              <w:rPr>
                <w:szCs w:val="21"/>
              </w:rPr>
            </w:pPr>
            <w:bookmarkStart w:id="471" w:name="_Toc322521932"/>
            <w:r>
              <w:rPr>
                <w:rFonts w:hAnsi="宋体"/>
                <w:szCs w:val="21"/>
              </w:rPr>
              <w:t>吨</w:t>
            </w:r>
            <w:r>
              <w:rPr>
                <w:szCs w:val="21"/>
              </w:rPr>
              <w:t>/</w:t>
            </w:r>
            <w:r>
              <w:rPr>
                <w:rFonts w:hAnsi="宋体"/>
                <w:szCs w:val="21"/>
              </w:rPr>
              <w:t>年</w:t>
            </w:r>
            <w:bookmarkEnd w:id="471"/>
          </w:p>
        </w:tc>
        <w:tc>
          <w:tcPr>
            <w:tcW w:w="1773" w:type="dxa"/>
            <w:vAlign w:val="center"/>
          </w:tcPr>
          <w:p w:rsidR="00475650" w:rsidRDefault="00475650">
            <w:pPr>
              <w:snapToGrid w:val="0"/>
              <w:jc w:val="center"/>
              <w:rPr>
                <w:szCs w:val="21"/>
              </w:rPr>
            </w:pPr>
            <w:bookmarkStart w:id="472" w:name="_Toc322521933"/>
            <w:r>
              <w:rPr>
                <w:szCs w:val="21"/>
              </w:rPr>
              <w:t>2000</w:t>
            </w:r>
            <w:bookmarkEnd w:id="472"/>
          </w:p>
        </w:tc>
        <w:tc>
          <w:tcPr>
            <w:tcW w:w="3448" w:type="dxa"/>
            <w:vAlign w:val="center"/>
          </w:tcPr>
          <w:p w:rsidR="00475650" w:rsidRDefault="00475650">
            <w:pPr>
              <w:snapToGrid w:val="0"/>
              <w:jc w:val="center"/>
              <w:rPr>
                <w:szCs w:val="21"/>
              </w:rPr>
            </w:pPr>
            <w:r>
              <w:rPr>
                <w:rFonts w:hAnsi="宋体"/>
                <w:szCs w:val="21"/>
              </w:rPr>
              <w:t>市场销售</w:t>
            </w:r>
          </w:p>
        </w:tc>
      </w:tr>
      <w:tr w:rsidR="00475650">
        <w:trPr>
          <w:trHeight w:val="160"/>
          <w:jc w:val="center"/>
        </w:trPr>
        <w:tc>
          <w:tcPr>
            <w:tcW w:w="695" w:type="dxa"/>
            <w:vAlign w:val="center"/>
          </w:tcPr>
          <w:p w:rsidR="00475650" w:rsidRDefault="00475650">
            <w:pPr>
              <w:snapToGrid w:val="0"/>
              <w:jc w:val="center"/>
              <w:rPr>
                <w:szCs w:val="21"/>
              </w:rPr>
            </w:pPr>
            <w:bookmarkStart w:id="473" w:name="_Toc322521940"/>
            <w:r>
              <w:rPr>
                <w:rFonts w:hAnsi="宋体"/>
                <w:szCs w:val="21"/>
              </w:rPr>
              <w:t>五</w:t>
            </w:r>
            <w:bookmarkEnd w:id="473"/>
          </w:p>
        </w:tc>
        <w:tc>
          <w:tcPr>
            <w:tcW w:w="1680" w:type="dxa"/>
            <w:vAlign w:val="center"/>
          </w:tcPr>
          <w:p w:rsidR="00475650" w:rsidRDefault="00475650">
            <w:pPr>
              <w:snapToGrid w:val="0"/>
              <w:jc w:val="center"/>
              <w:rPr>
                <w:szCs w:val="21"/>
              </w:rPr>
            </w:pPr>
            <w:bookmarkStart w:id="474" w:name="_Toc322521941"/>
            <w:r>
              <w:rPr>
                <w:rFonts w:hAnsi="宋体"/>
                <w:szCs w:val="21"/>
              </w:rPr>
              <w:t>公用工程和燃料</w:t>
            </w:r>
            <w:bookmarkEnd w:id="474"/>
          </w:p>
        </w:tc>
        <w:tc>
          <w:tcPr>
            <w:tcW w:w="1516" w:type="dxa"/>
            <w:vAlign w:val="center"/>
          </w:tcPr>
          <w:p w:rsidR="00475650" w:rsidRDefault="00475650">
            <w:pPr>
              <w:pStyle w:val="1f0"/>
              <w:snapToGrid w:val="0"/>
              <w:spacing w:line="240" w:lineRule="auto"/>
              <w:textAlignment w:val="auto"/>
              <w:rPr>
                <w:rFonts w:ascii="Times New Roman" w:hAnsi="Times New Roman"/>
                <w:kern w:val="2"/>
                <w:sz w:val="21"/>
                <w:szCs w:val="21"/>
              </w:rPr>
            </w:pPr>
          </w:p>
        </w:tc>
        <w:tc>
          <w:tcPr>
            <w:tcW w:w="1773" w:type="dxa"/>
            <w:vAlign w:val="center"/>
          </w:tcPr>
          <w:p w:rsidR="00475650" w:rsidRDefault="00475650">
            <w:pPr>
              <w:snapToGrid w:val="0"/>
              <w:jc w:val="center"/>
              <w:rPr>
                <w:szCs w:val="21"/>
              </w:rPr>
            </w:pPr>
          </w:p>
        </w:tc>
        <w:tc>
          <w:tcPr>
            <w:tcW w:w="3448" w:type="dxa"/>
            <w:vAlign w:val="center"/>
          </w:tcPr>
          <w:p w:rsidR="00475650" w:rsidRDefault="00475650">
            <w:pPr>
              <w:snapToGrid w:val="0"/>
              <w:jc w:val="center"/>
              <w:rPr>
                <w:szCs w:val="21"/>
              </w:rPr>
            </w:pPr>
          </w:p>
        </w:tc>
      </w:tr>
      <w:tr w:rsidR="00475650">
        <w:trPr>
          <w:trHeight w:val="346"/>
          <w:jc w:val="center"/>
        </w:trPr>
        <w:tc>
          <w:tcPr>
            <w:tcW w:w="695" w:type="dxa"/>
            <w:vAlign w:val="center"/>
          </w:tcPr>
          <w:p w:rsidR="00475650" w:rsidRDefault="00475650">
            <w:pPr>
              <w:snapToGrid w:val="0"/>
              <w:jc w:val="center"/>
              <w:rPr>
                <w:szCs w:val="21"/>
              </w:rPr>
            </w:pPr>
            <w:bookmarkStart w:id="475" w:name="_Toc322521942"/>
            <w:r>
              <w:rPr>
                <w:szCs w:val="21"/>
              </w:rPr>
              <w:t>1</w:t>
            </w:r>
            <w:bookmarkEnd w:id="475"/>
          </w:p>
        </w:tc>
        <w:tc>
          <w:tcPr>
            <w:tcW w:w="1680" w:type="dxa"/>
            <w:vAlign w:val="center"/>
          </w:tcPr>
          <w:p w:rsidR="00475650" w:rsidRDefault="00475650">
            <w:pPr>
              <w:snapToGrid w:val="0"/>
              <w:jc w:val="center"/>
              <w:rPr>
                <w:szCs w:val="21"/>
              </w:rPr>
            </w:pPr>
            <w:bookmarkStart w:id="476" w:name="_Toc322521943"/>
            <w:r>
              <w:rPr>
                <w:rFonts w:hAnsi="宋体"/>
                <w:szCs w:val="21"/>
              </w:rPr>
              <w:t>新鲜水</w:t>
            </w:r>
            <w:bookmarkEnd w:id="476"/>
          </w:p>
        </w:tc>
        <w:tc>
          <w:tcPr>
            <w:tcW w:w="1516" w:type="dxa"/>
            <w:vAlign w:val="center"/>
          </w:tcPr>
          <w:p w:rsidR="00475650" w:rsidRDefault="00475650">
            <w:pPr>
              <w:snapToGrid w:val="0"/>
              <w:jc w:val="center"/>
              <w:rPr>
                <w:szCs w:val="21"/>
              </w:rPr>
            </w:pPr>
            <w:bookmarkStart w:id="477" w:name="_Toc322521944"/>
            <w:r>
              <w:rPr>
                <w:rFonts w:hAnsi="宋体"/>
                <w:szCs w:val="21"/>
              </w:rPr>
              <w:t>吨</w:t>
            </w:r>
            <w:r>
              <w:rPr>
                <w:szCs w:val="21"/>
              </w:rPr>
              <w:t>/</w:t>
            </w:r>
            <w:bookmarkEnd w:id="477"/>
            <w:r>
              <w:rPr>
                <w:rFonts w:hAnsi="宋体"/>
                <w:szCs w:val="21"/>
              </w:rPr>
              <w:t>年</w:t>
            </w:r>
          </w:p>
        </w:tc>
        <w:tc>
          <w:tcPr>
            <w:tcW w:w="1773" w:type="dxa"/>
            <w:vAlign w:val="center"/>
          </w:tcPr>
          <w:p w:rsidR="00475650" w:rsidRDefault="00475650">
            <w:pPr>
              <w:snapToGrid w:val="0"/>
              <w:jc w:val="center"/>
              <w:rPr>
                <w:szCs w:val="21"/>
              </w:rPr>
            </w:pPr>
            <w:r>
              <w:rPr>
                <w:rFonts w:hint="eastAsia"/>
                <w:szCs w:val="21"/>
              </w:rPr>
              <w:t>177960</w:t>
            </w:r>
          </w:p>
        </w:tc>
        <w:tc>
          <w:tcPr>
            <w:tcW w:w="3448" w:type="dxa"/>
            <w:vAlign w:val="center"/>
          </w:tcPr>
          <w:p w:rsidR="00475650" w:rsidRDefault="00475650">
            <w:pPr>
              <w:snapToGrid w:val="0"/>
              <w:jc w:val="center"/>
              <w:rPr>
                <w:szCs w:val="21"/>
              </w:rPr>
            </w:pPr>
          </w:p>
        </w:tc>
      </w:tr>
      <w:tr w:rsidR="00475650">
        <w:trPr>
          <w:trHeight w:val="160"/>
          <w:jc w:val="center"/>
        </w:trPr>
        <w:tc>
          <w:tcPr>
            <w:tcW w:w="695" w:type="dxa"/>
            <w:vAlign w:val="center"/>
          </w:tcPr>
          <w:p w:rsidR="00475650" w:rsidRDefault="00475650">
            <w:pPr>
              <w:snapToGrid w:val="0"/>
              <w:jc w:val="center"/>
              <w:rPr>
                <w:szCs w:val="21"/>
              </w:rPr>
            </w:pPr>
            <w:bookmarkStart w:id="478" w:name="_Toc322521946"/>
            <w:r>
              <w:rPr>
                <w:szCs w:val="21"/>
              </w:rPr>
              <w:t>2</w:t>
            </w:r>
            <w:bookmarkEnd w:id="478"/>
          </w:p>
        </w:tc>
        <w:tc>
          <w:tcPr>
            <w:tcW w:w="1680" w:type="dxa"/>
            <w:vAlign w:val="center"/>
          </w:tcPr>
          <w:p w:rsidR="00475650" w:rsidRDefault="00475650">
            <w:pPr>
              <w:snapToGrid w:val="0"/>
              <w:jc w:val="center"/>
              <w:rPr>
                <w:szCs w:val="21"/>
              </w:rPr>
            </w:pPr>
            <w:bookmarkStart w:id="479" w:name="_Toc322521947"/>
            <w:r>
              <w:rPr>
                <w:rFonts w:hAnsi="宋体"/>
                <w:szCs w:val="21"/>
              </w:rPr>
              <w:t>供电</w:t>
            </w:r>
            <w:bookmarkEnd w:id="479"/>
          </w:p>
        </w:tc>
        <w:tc>
          <w:tcPr>
            <w:tcW w:w="1516" w:type="dxa"/>
            <w:vAlign w:val="center"/>
          </w:tcPr>
          <w:p w:rsidR="00475650" w:rsidRDefault="00475650">
            <w:pPr>
              <w:snapToGrid w:val="0"/>
              <w:jc w:val="center"/>
              <w:rPr>
                <w:szCs w:val="21"/>
              </w:rPr>
            </w:pPr>
            <w:bookmarkStart w:id="480" w:name="_Toc322521948"/>
            <w:r>
              <w:rPr>
                <w:rFonts w:hAnsi="宋体"/>
                <w:szCs w:val="21"/>
              </w:rPr>
              <w:t>万度</w:t>
            </w:r>
            <w:r>
              <w:rPr>
                <w:szCs w:val="21"/>
              </w:rPr>
              <w:t>/</w:t>
            </w:r>
            <w:r>
              <w:rPr>
                <w:rFonts w:hAnsi="宋体"/>
                <w:szCs w:val="21"/>
              </w:rPr>
              <w:t>年</w:t>
            </w:r>
            <w:bookmarkEnd w:id="480"/>
          </w:p>
        </w:tc>
        <w:tc>
          <w:tcPr>
            <w:tcW w:w="1773" w:type="dxa"/>
            <w:vAlign w:val="center"/>
          </w:tcPr>
          <w:p w:rsidR="00475650" w:rsidRDefault="00475650">
            <w:pPr>
              <w:snapToGrid w:val="0"/>
              <w:jc w:val="center"/>
              <w:rPr>
                <w:szCs w:val="21"/>
              </w:rPr>
            </w:pPr>
            <w:r>
              <w:rPr>
                <w:szCs w:val="21"/>
              </w:rPr>
              <w:t>120</w:t>
            </w:r>
          </w:p>
        </w:tc>
        <w:tc>
          <w:tcPr>
            <w:tcW w:w="3448" w:type="dxa"/>
            <w:vAlign w:val="center"/>
          </w:tcPr>
          <w:p w:rsidR="00475650" w:rsidRDefault="00475650">
            <w:pPr>
              <w:snapToGrid w:val="0"/>
              <w:jc w:val="center"/>
              <w:rPr>
                <w:szCs w:val="21"/>
              </w:rPr>
            </w:pPr>
          </w:p>
        </w:tc>
      </w:tr>
      <w:tr w:rsidR="00475650">
        <w:trPr>
          <w:trHeight w:val="160"/>
          <w:jc w:val="center"/>
        </w:trPr>
        <w:tc>
          <w:tcPr>
            <w:tcW w:w="695" w:type="dxa"/>
            <w:vAlign w:val="center"/>
          </w:tcPr>
          <w:p w:rsidR="00475650" w:rsidRDefault="00475650">
            <w:pPr>
              <w:snapToGrid w:val="0"/>
              <w:jc w:val="center"/>
              <w:rPr>
                <w:szCs w:val="21"/>
              </w:rPr>
            </w:pPr>
            <w:bookmarkStart w:id="481" w:name="_Toc322521950"/>
            <w:r>
              <w:rPr>
                <w:szCs w:val="21"/>
              </w:rPr>
              <w:t>3</w:t>
            </w:r>
            <w:bookmarkEnd w:id="481"/>
          </w:p>
        </w:tc>
        <w:tc>
          <w:tcPr>
            <w:tcW w:w="1680" w:type="dxa"/>
            <w:vAlign w:val="center"/>
          </w:tcPr>
          <w:p w:rsidR="00475650" w:rsidRDefault="00475650">
            <w:pPr>
              <w:snapToGrid w:val="0"/>
              <w:jc w:val="center"/>
              <w:rPr>
                <w:szCs w:val="21"/>
              </w:rPr>
            </w:pPr>
            <w:r>
              <w:rPr>
                <w:rFonts w:hAnsi="宋体"/>
                <w:szCs w:val="21"/>
              </w:rPr>
              <w:t>蒸汽</w:t>
            </w:r>
          </w:p>
        </w:tc>
        <w:tc>
          <w:tcPr>
            <w:tcW w:w="1516" w:type="dxa"/>
            <w:vAlign w:val="center"/>
          </w:tcPr>
          <w:p w:rsidR="00475650" w:rsidRDefault="00475650">
            <w:pPr>
              <w:snapToGrid w:val="0"/>
              <w:jc w:val="center"/>
              <w:rPr>
                <w:szCs w:val="21"/>
              </w:rPr>
            </w:pPr>
            <w:bookmarkStart w:id="482" w:name="_Toc322521952"/>
            <w:r>
              <w:rPr>
                <w:rFonts w:hAnsi="宋体"/>
                <w:szCs w:val="21"/>
              </w:rPr>
              <w:t>吨</w:t>
            </w:r>
            <w:r>
              <w:rPr>
                <w:szCs w:val="21"/>
              </w:rPr>
              <w:t>/</w:t>
            </w:r>
            <w:r>
              <w:rPr>
                <w:rFonts w:hAnsi="宋体"/>
                <w:szCs w:val="21"/>
              </w:rPr>
              <w:t>年</w:t>
            </w:r>
            <w:bookmarkEnd w:id="482"/>
          </w:p>
        </w:tc>
        <w:tc>
          <w:tcPr>
            <w:tcW w:w="1773" w:type="dxa"/>
            <w:vAlign w:val="center"/>
          </w:tcPr>
          <w:p w:rsidR="00475650" w:rsidRDefault="00475650">
            <w:pPr>
              <w:snapToGrid w:val="0"/>
              <w:jc w:val="center"/>
              <w:rPr>
                <w:szCs w:val="21"/>
              </w:rPr>
            </w:pPr>
            <w:r>
              <w:rPr>
                <w:rFonts w:hint="eastAsia"/>
                <w:szCs w:val="21"/>
              </w:rPr>
              <w:t>63000</w:t>
            </w:r>
          </w:p>
        </w:tc>
        <w:tc>
          <w:tcPr>
            <w:tcW w:w="3448" w:type="dxa"/>
            <w:vAlign w:val="center"/>
          </w:tcPr>
          <w:p w:rsidR="00475650" w:rsidRDefault="00475650">
            <w:pPr>
              <w:snapToGrid w:val="0"/>
              <w:jc w:val="center"/>
              <w:rPr>
                <w:szCs w:val="21"/>
              </w:rPr>
            </w:pPr>
            <w:r>
              <w:rPr>
                <w:rFonts w:hAnsi="宋体"/>
                <w:szCs w:val="21"/>
              </w:rPr>
              <w:t>园区集中供热</w:t>
            </w:r>
          </w:p>
        </w:tc>
      </w:tr>
      <w:tr w:rsidR="00475650">
        <w:trPr>
          <w:trHeight w:val="160"/>
          <w:jc w:val="center"/>
        </w:trPr>
        <w:tc>
          <w:tcPr>
            <w:tcW w:w="695" w:type="dxa"/>
            <w:vAlign w:val="center"/>
          </w:tcPr>
          <w:p w:rsidR="00475650" w:rsidRDefault="00475650">
            <w:pPr>
              <w:snapToGrid w:val="0"/>
              <w:jc w:val="center"/>
              <w:rPr>
                <w:szCs w:val="21"/>
              </w:rPr>
            </w:pPr>
            <w:bookmarkStart w:id="483" w:name="_Toc322521998"/>
            <w:r>
              <w:rPr>
                <w:rFonts w:hAnsi="宋体"/>
                <w:szCs w:val="21"/>
              </w:rPr>
              <w:t>六</w:t>
            </w:r>
            <w:bookmarkEnd w:id="483"/>
          </w:p>
        </w:tc>
        <w:tc>
          <w:tcPr>
            <w:tcW w:w="1680" w:type="dxa"/>
            <w:vAlign w:val="center"/>
          </w:tcPr>
          <w:p w:rsidR="00475650" w:rsidRDefault="00475650">
            <w:pPr>
              <w:snapToGrid w:val="0"/>
              <w:jc w:val="center"/>
              <w:rPr>
                <w:szCs w:val="21"/>
              </w:rPr>
            </w:pPr>
            <w:bookmarkStart w:id="484" w:name="_Toc322521995"/>
            <w:r>
              <w:rPr>
                <w:rFonts w:hAnsi="宋体"/>
                <w:szCs w:val="21"/>
              </w:rPr>
              <w:t>装置占地面积</w:t>
            </w:r>
            <w:bookmarkEnd w:id="484"/>
          </w:p>
        </w:tc>
        <w:tc>
          <w:tcPr>
            <w:tcW w:w="1516" w:type="dxa"/>
            <w:vAlign w:val="center"/>
          </w:tcPr>
          <w:p w:rsidR="00475650" w:rsidRDefault="00475650">
            <w:pPr>
              <w:snapToGrid w:val="0"/>
              <w:jc w:val="center"/>
              <w:rPr>
                <w:szCs w:val="21"/>
              </w:rPr>
            </w:pPr>
            <w:r>
              <w:rPr>
                <w:szCs w:val="21"/>
              </w:rPr>
              <w:t>m</w:t>
            </w:r>
            <w:r>
              <w:rPr>
                <w:szCs w:val="21"/>
                <w:vertAlign w:val="superscript"/>
              </w:rPr>
              <w:t>2</w:t>
            </w:r>
          </w:p>
        </w:tc>
        <w:tc>
          <w:tcPr>
            <w:tcW w:w="1773" w:type="dxa"/>
            <w:vAlign w:val="center"/>
          </w:tcPr>
          <w:p w:rsidR="00475650" w:rsidRDefault="00475650">
            <w:pPr>
              <w:snapToGrid w:val="0"/>
              <w:jc w:val="center"/>
              <w:rPr>
                <w:szCs w:val="21"/>
              </w:rPr>
            </w:pPr>
            <w:r>
              <w:rPr>
                <w:szCs w:val="21"/>
              </w:rPr>
              <w:t>3300</w:t>
            </w:r>
          </w:p>
        </w:tc>
        <w:tc>
          <w:tcPr>
            <w:tcW w:w="3448" w:type="dxa"/>
            <w:vAlign w:val="center"/>
          </w:tcPr>
          <w:p w:rsidR="00475650" w:rsidRDefault="00475650">
            <w:pPr>
              <w:snapToGrid w:val="0"/>
              <w:jc w:val="center"/>
              <w:rPr>
                <w:szCs w:val="21"/>
              </w:rPr>
            </w:pPr>
            <w:r>
              <w:rPr>
                <w:rFonts w:hAnsi="宋体"/>
                <w:szCs w:val="21"/>
              </w:rPr>
              <w:t>预留地内</w:t>
            </w:r>
          </w:p>
        </w:tc>
      </w:tr>
      <w:tr w:rsidR="00475650">
        <w:trPr>
          <w:trHeight w:val="160"/>
          <w:jc w:val="center"/>
        </w:trPr>
        <w:tc>
          <w:tcPr>
            <w:tcW w:w="695" w:type="dxa"/>
            <w:vAlign w:val="center"/>
          </w:tcPr>
          <w:p w:rsidR="00475650" w:rsidRDefault="00475650">
            <w:pPr>
              <w:snapToGrid w:val="0"/>
              <w:jc w:val="center"/>
              <w:rPr>
                <w:szCs w:val="21"/>
              </w:rPr>
            </w:pPr>
            <w:r>
              <w:rPr>
                <w:rFonts w:hAnsi="宋体"/>
                <w:szCs w:val="21"/>
              </w:rPr>
              <w:t>七</w:t>
            </w:r>
          </w:p>
        </w:tc>
        <w:tc>
          <w:tcPr>
            <w:tcW w:w="1680" w:type="dxa"/>
            <w:vAlign w:val="center"/>
          </w:tcPr>
          <w:p w:rsidR="00475650" w:rsidRDefault="00475650">
            <w:pPr>
              <w:snapToGrid w:val="0"/>
              <w:jc w:val="center"/>
              <w:rPr>
                <w:szCs w:val="21"/>
              </w:rPr>
            </w:pPr>
            <w:bookmarkStart w:id="485" w:name="_Toc322521999"/>
            <w:r>
              <w:rPr>
                <w:rFonts w:hAnsi="宋体"/>
                <w:szCs w:val="21"/>
              </w:rPr>
              <w:t>定员</w:t>
            </w:r>
            <w:bookmarkEnd w:id="485"/>
          </w:p>
        </w:tc>
        <w:tc>
          <w:tcPr>
            <w:tcW w:w="1516" w:type="dxa"/>
            <w:vAlign w:val="center"/>
          </w:tcPr>
          <w:p w:rsidR="00475650" w:rsidRDefault="00475650">
            <w:pPr>
              <w:snapToGrid w:val="0"/>
              <w:jc w:val="center"/>
              <w:rPr>
                <w:szCs w:val="21"/>
              </w:rPr>
            </w:pPr>
            <w:bookmarkStart w:id="486" w:name="_Toc322522000"/>
            <w:r>
              <w:rPr>
                <w:rFonts w:hAnsi="宋体"/>
                <w:szCs w:val="21"/>
              </w:rPr>
              <w:t>人</w:t>
            </w:r>
            <w:bookmarkEnd w:id="486"/>
          </w:p>
        </w:tc>
        <w:tc>
          <w:tcPr>
            <w:tcW w:w="1773" w:type="dxa"/>
            <w:vAlign w:val="center"/>
          </w:tcPr>
          <w:p w:rsidR="00475650" w:rsidRDefault="00475650">
            <w:pPr>
              <w:snapToGrid w:val="0"/>
              <w:jc w:val="center"/>
              <w:rPr>
                <w:szCs w:val="21"/>
              </w:rPr>
            </w:pPr>
            <w:r>
              <w:rPr>
                <w:szCs w:val="21"/>
              </w:rPr>
              <w:t>60</w:t>
            </w:r>
          </w:p>
        </w:tc>
        <w:tc>
          <w:tcPr>
            <w:tcW w:w="3448" w:type="dxa"/>
            <w:vAlign w:val="center"/>
          </w:tcPr>
          <w:p w:rsidR="00475650" w:rsidRDefault="00475650">
            <w:pPr>
              <w:snapToGrid w:val="0"/>
              <w:jc w:val="center"/>
              <w:rPr>
                <w:szCs w:val="21"/>
              </w:rPr>
            </w:pPr>
            <w:r>
              <w:rPr>
                <w:rFonts w:hAnsi="宋体"/>
                <w:szCs w:val="21"/>
              </w:rPr>
              <w:t>主要为当地招聘</w:t>
            </w:r>
          </w:p>
        </w:tc>
      </w:tr>
      <w:tr w:rsidR="00475650">
        <w:trPr>
          <w:trHeight w:val="160"/>
          <w:jc w:val="center"/>
        </w:trPr>
        <w:tc>
          <w:tcPr>
            <w:tcW w:w="695" w:type="dxa"/>
            <w:vAlign w:val="center"/>
          </w:tcPr>
          <w:p w:rsidR="00475650" w:rsidRDefault="00475650">
            <w:pPr>
              <w:snapToGrid w:val="0"/>
              <w:jc w:val="center"/>
              <w:rPr>
                <w:szCs w:val="21"/>
              </w:rPr>
            </w:pPr>
            <w:r>
              <w:rPr>
                <w:rFonts w:hAnsi="宋体"/>
                <w:szCs w:val="21"/>
              </w:rPr>
              <w:t>八</w:t>
            </w:r>
          </w:p>
        </w:tc>
        <w:tc>
          <w:tcPr>
            <w:tcW w:w="1680" w:type="dxa"/>
            <w:vAlign w:val="center"/>
          </w:tcPr>
          <w:p w:rsidR="00475650" w:rsidRDefault="00475650">
            <w:pPr>
              <w:snapToGrid w:val="0"/>
              <w:jc w:val="center"/>
              <w:rPr>
                <w:szCs w:val="21"/>
              </w:rPr>
            </w:pPr>
            <w:r>
              <w:rPr>
                <w:rFonts w:hAnsi="宋体"/>
                <w:szCs w:val="21"/>
              </w:rPr>
              <w:t>单位产品综合能耗</w:t>
            </w:r>
          </w:p>
        </w:tc>
        <w:tc>
          <w:tcPr>
            <w:tcW w:w="1516" w:type="dxa"/>
            <w:vAlign w:val="center"/>
          </w:tcPr>
          <w:p w:rsidR="00475650" w:rsidRDefault="00475650">
            <w:pPr>
              <w:snapToGrid w:val="0"/>
              <w:jc w:val="center"/>
              <w:rPr>
                <w:szCs w:val="21"/>
              </w:rPr>
            </w:pPr>
            <w:r>
              <w:rPr>
                <w:rFonts w:hAnsi="宋体"/>
                <w:kern w:val="0"/>
                <w:szCs w:val="21"/>
              </w:rPr>
              <w:t>吨标煤</w:t>
            </w:r>
            <w:r>
              <w:rPr>
                <w:kern w:val="0"/>
                <w:szCs w:val="21"/>
              </w:rPr>
              <w:t>/</w:t>
            </w:r>
            <w:r>
              <w:rPr>
                <w:rFonts w:hAnsi="宋体"/>
                <w:kern w:val="0"/>
                <w:szCs w:val="21"/>
              </w:rPr>
              <w:t>单位产品</w:t>
            </w:r>
          </w:p>
        </w:tc>
        <w:tc>
          <w:tcPr>
            <w:tcW w:w="1773" w:type="dxa"/>
            <w:vAlign w:val="center"/>
          </w:tcPr>
          <w:p w:rsidR="00475650" w:rsidRDefault="00475650">
            <w:pPr>
              <w:snapToGrid w:val="0"/>
              <w:jc w:val="center"/>
              <w:rPr>
                <w:szCs w:val="21"/>
              </w:rPr>
            </w:pPr>
            <w:r>
              <w:rPr>
                <w:kern w:val="0"/>
                <w:szCs w:val="21"/>
              </w:rPr>
              <w:t>1.29</w:t>
            </w:r>
          </w:p>
        </w:tc>
        <w:tc>
          <w:tcPr>
            <w:tcW w:w="3448" w:type="dxa"/>
            <w:vAlign w:val="center"/>
          </w:tcPr>
          <w:p w:rsidR="00475650" w:rsidRDefault="00475650">
            <w:pPr>
              <w:snapToGrid w:val="0"/>
              <w:jc w:val="center"/>
              <w:rPr>
                <w:szCs w:val="21"/>
              </w:rPr>
            </w:pPr>
          </w:p>
        </w:tc>
      </w:tr>
      <w:tr w:rsidR="00475650">
        <w:trPr>
          <w:trHeight w:val="160"/>
          <w:jc w:val="center"/>
        </w:trPr>
        <w:tc>
          <w:tcPr>
            <w:tcW w:w="695" w:type="dxa"/>
            <w:vAlign w:val="center"/>
          </w:tcPr>
          <w:p w:rsidR="00475650" w:rsidRDefault="00475650">
            <w:pPr>
              <w:snapToGrid w:val="0"/>
              <w:jc w:val="center"/>
              <w:rPr>
                <w:szCs w:val="21"/>
              </w:rPr>
            </w:pPr>
            <w:r>
              <w:rPr>
                <w:rFonts w:hAnsi="宋体"/>
                <w:szCs w:val="21"/>
              </w:rPr>
              <w:t>九</w:t>
            </w:r>
          </w:p>
        </w:tc>
        <w:tc>
          <w:tcPr>
            <w:tcW w:w="1680" w:type="dxa"/>
            <w:vAlign w:val="center"/>
          </w:tcPr>
          <w:p w:rsidR="00475650" w:rsidRDefault="00475650">
            <w:pPr>
              <w:snapToGrid w:val="0"/>
              <w:jc w:val="center"/>
              <w:rPr>
                <w:szCs w:val="21"/>
              </w:rPr>
            </w:pPr>
            <w:bookmarkStart w:id="487" w:name="_Toc322522014"/>
            <w:r>
              <w:rPr>
                <w:rFonts w:hAnsi="宋体"/>
                <w:szCs w:val="21"/>
              </w:rPr>
              <w:t>投资估算</w:t>
            </w:r>
            <w:bookmarkEnd w:id="487"/>
          </w:p>
        </w:tc>
        <w:tc>
          <w:tcPr>
            <w:tcW w:w="1516" w:type="dxa"/>
            <w:vAlign w:val="center"/>
          </w:tcPr>
          <w:p w:rsidR="00475650" w:rsidRDefault="00475650">
            <w:pPr>
              <w:snapToGrid w:val="0"/>
              <w:jc w:val="center"/>
              <w:rPr>
                <w:szCs w:val="21"/>
              </w:rPr>
            </w:pPr>
          </w:p>
        </w:tc>
        <w:tc>
          <w:tcPr>
            <w:tcW w:w="1773" w:type="dxa"/>
            <w:vAlign w:val="center"/>
          </w:tcPr>
          <w:p w:rsidR="00475650" w:rsidRDefault="00475650">
            <w:pPr>
              <w:snapToGrid w:val="0"/>
              <w:jc w:val="center"/>
              <w:rPr>
                <w:szCs w:val="21"/>
              </w:rPr>
            </w:pPr>
          </w:p>
        </w:tc>
        <w:tc>
          <w:tcPr>
            <w:tcW w:w="3448" w:type="dxa"/>
            <w:vAlign w:val="center"/>
          </w:tcPr>
          <w:p w:rsidR="00475650" w:rsidRDefault="00475650">
            <w:pPr>
              <w:snapToGrid w:val="0"/>
              <w:jc w:val="center"/>
              <w:rPr>
                <w:szCs w:val="21"/>
              </w:rPr>
            </w:pPr>
          </w:p>
        </w:tc>
      </w:tr>
      <w:tr w:rsidR="00475650">
        <w:trPr>
          <w:trHeight w:val="160"/>
          <w:jc w:val="center"/>
        </w:trPr>
        <w:tc>
          <w:tcPr>
            <w:tcW w:w="695" w:type="dxa"/>
            <w:vAlign w:val="center"/>
          </w:tcPr>
          <w:p w:rsidR="00475650" w:rsidRDefault="00475650">
            <w:pPr>
              <w:snapToGrid w:val="0"/>
              <w:jc w:val="center"/>
              <w:rPr>
                <w:szCs w:val="21"/>
              </w:rPr>
            </w:pPr>
            <w:bookmarkStart w:id="488" w:name="_Toc322522015"/>
            <w:r>
              <w:rPr>
                <w:szCs w:val="21"/>
              </w:rPr>
              <w:t>1</w:t>
            </w:r>
            <w:bookmarkEnd w:id="488"/>
          </w:p>
        </w:tc>
        <w:tc>
          <w:tcPr>
            <w:tcW w:w="1680" w:type="dxa"/>
            <w:vAlign w:val="center"/>
          </w:tcPr>
          <w:p w:rsidR="00475650" w:rsidRDefault="00475650">
            <w:pPr>
              <w:snapToGrid w:val="0"/>
              <w:jc w:val="center"/>
              <w:rPr>
                <w:szCs w:val="21"/>
              </w:rPr>
            </w:pPr>
            <w:bookmarkStart w:id="489" w:name="_Toc322522016"/>
            <w:r>
              <w:rPr>
                <w:rFonts w:hAnsi="宋体"/>
                <w:szCs w:val="21"/>
              </w:rPr>
              <w:t>总投资</w:t>
            </w:r>
            <w:bookmarkEnd w:id="489"/>
          </w:p>
        </w:tc>
        <w:tc>
          <w:tcPr>
            <w:tcW w:w="1516" w:type="dxa"/>
            <w:vAlign w:val="center"/>
          </w:tcPr>
          <w:p w:rsidR="00475650" w:rsidRDefault="00475650">
            <w:pPr>
              <w:snapToGrid w:val="0"/>
              <w:jc w:val="center"/>
              <w:rPr>
                <w:szCs w:val="21"/>
              </w:rPr>
            </w:pPr>
            <w:bookmarkStart w:id="490" w:name="_Toc322522017"/>
            <w:r>
              <w:rPr>
                <w:rFonts w:hAnsi="宋体"/>
                <w:szCs w:val="21"/>
              </w:rPr>
              <w:t>万元</w:t>
            </w:r>
            <w:bookmarkEnd w:id="490"/>
          </w:p>
        </w:tc>
        <w:tc>
          <w:tcPr>
            <w:tcW w:w="1773" w:type="dxa"/>
            <w:vAlign w:val="center"/>
          </w:tcPr>
          <w:p w:rsidR="00475650" w:rsidRDefault="00475650">
            <w:pPr>
              <w:snapToGrid w:val="0"/>
              <w:jc w:val="center"/>
              <w:rPr>
                <w:szCs w:val="21"/>
              </w:rPr>
            </w:pPr>
            <w:r>
              <w:rPr>
                <w:szCs w:val="21"/>
              </w:rPr>
              <w:t>3000</w:t>
            </w:r>
          </w:p>
        </w:tc>
        <w:tc>
          <w:tcPr>
            <w:tcW w:w="3448" w:type="dxa"/>
            <w:vAlign w:val="center"/>
          </w:tcPr>
          <w:p w:rsidR="00475650" w:rsidRDefault="00475650">
            <w:pPr>
              <w:snapToGrid w:val="0"/>
              <w:jc w:val="center"/>
              <w:rPr>
                <w:szCs w:val="21"/>
              </w:rPr>
            </w:pPr>
          </w:p>
        </w:tc>
      </w:tr>
      <w:tr w:rsidR="00475650">
        <w:trPr>
          <w:trHeight w:val="160"/>
          <w:jc w:val="center"/>
        </w:trPr>
        <w:tc>
          <w:tcPr>
            <w:tcW w:w="695" w:type="dxa"/>
            <w:vAlign w:val="center"/>
          </w:tcPr>
          <w:p w:rsidR="00475650" w:rsidRDefault="00475650">
            <w:pPr>
              <w:snapToGrid w:val="0"/>
              <w:jc w:val="center"/>
              <w:rPr>
                <w:szCs w:val="21"/>
              </w:rPr>
            </w:pPr>
            <w:bookmarkStart w:id="491" w:name="_Toc322522018"/>
            <w:r>
              <w:rPr>
                <w:szCs w:val="21"/>
              </w:rPr>
              <w:t>2</w:t>
            </w:r>
            <w:bookmarkEnd w:id="491"/>
          </w:p>
        </w:tc>
        <w:tc>
          <w:tcPr>
            <w:tcW w:w="1680" w:type="dxa"/>
            <w:vAlign w:val="center"/>
          </w:tcPr>
          <w:p w:rsidR="00475650" w:rsidRDefault="00475650">
            <w:pPr>
              <w:snapToGrid w:val="0"/>
              <w:jc w:val="center"/>
              <w:rPr>
                <w:szCs w:val="21"/>
              </w:rPr>
            </w:pPr>
            <w:bookmarkStart w:id="492" w:name="_Toc322522019"/>
            <w:r>
              <w:rPr>
                <w:rFonts w:hAnsi="宋体"/>
                <w:szCs w:val="21"/>
              </w:rPr>
              <w:t>建设投资</w:t>
            </w:r>
            <w:bookmarkEnd w:id="492"/>
          </w:p>
        </w:tc>
        <w:tc>
          <w:tcPr>
            <w:tcW w:w="1516" w:type="dxa"/>
            <w:vAlign w:val="center"/>
          </w:tcPr>
          <w:p w:rsidR="00475650" w:rsidRDefault="00475650">
            <w:pPr>
              <w:snapToGrid w:val="0"/>
              <w:jc w:val="center"/>
              <w:rPr>
                <w:szCs w:val="21"/>
              </w:rPr>
            </w:pPr>
            <w:bookmarkStart w:id="493" w:name="_Toc322522020"/>
            <w:r>
              <w:rPr>
                <w:rFonts w:hAnsi="宋体"/>
                <w:szCs w:val="21"/>
              </w:rPr>
              <w:t>万元</w:t>
            </w:r>
            <w:bookmarkEnd w:id="493"/>
          </w:p>
        </w:tc>
        <w:tc>
          <w:tcPr>
            <w:tcW w:w="1773" w:type="dxa"/>
            <w:vAlign w:val="center"/>
          </w:tcPr>
          <w:p w:rsidR="00475650" w:rsidRDefault="00475650">
            <w:pPr>
              <w:snapToGrid w:val="0"/>
              <w:jc w:val="center"/>
              <w:rPr>
                <w:szCs w:val="21"/>
              </w:rPr>
            </w:pPr>
            <w:r>
              <w:rPr>
                <w:szCs w:val="21"/>
              </w:rPr>
              <w:t>2574</w:t>
            </w:r>
          </w:p>
        </w:tc>
        <w:tc>
          <w:tcPr>
            <w:tcW w:w="3448" w:type="dxa"/>
            <w:vAlign w:val="center"/>
          </w:tcPr>
          <w:p w:rsidR="00475650" w:rsidRDefault="00475650">
            <w:pPr>
              <w:snapToGrid w:val="0"/>
              <w:jc w:val="center"/>
              <w:rPr>
                <w:szCs w:val="21"/>
              </w:rPr>
            </w:pPr>
          </w:p>
        </w:tc>
      </w:tr>
      <w:tr w:rsidR="00475650">
        <w:trPr>
          <w:trHeight w:val="160"/>
          <w:jc w:val="center"/>
        </w:trPr>
        <w:tc>
          <w:tcPr>
            <w:tcW w:w="695" w:type="dxa"/>
            <w:vAlign w:val="center"/>
          </w:tcPr>
          <w:p w:rsidR="00475650" w:rsidRDefault="00475650">
            <w:pPr>
              <w:snapToGrid w:val="0"/>
              <w:jc w:val="center"/>
              <w:rPr>
                <w:szCs w:val="21"/>
              </w:rPr>
            </w:pPr>
            <w:bookmarkStart w:id="494" w:name="_Toc322522021"/>
            <w:r>
              <w:rPr>
                <w:szCs w:val="21"/>
              </w:rPr>
              <w:t>3</w:t>
            </w:r>
            <w:bookmarkEnd w:id="494"/>
          </w:p>
        </w:tc>
        <w:tc>
          <w:tcPr>
            <w:tcW w:w="1680" w:type="dxa"/>
            <w:vAlign w:val="center"/>
          </w:tcPr>
          <w:p w:rsidR="00475650" w:rsidRDefault="00475650">
            <w:pPr>
              <w:snapToGrid w:val="0"/>
              <w:jc w:val="center"/>
              <w:rPr>
                <w:szCs w:val="21"/>
              </w:rPr>
            </w:pPr>
            <w:bookmarkStart w:id="495" w:name="_Toc322522022"/>
            <w:r>
              <w:rPr>
                <w:rFonts w:hAnsi="宋体"/>
                <w:szCs w:val="21"/>
              </w:rPr>
              <w:t>流动资金</w:t>
            </w:r>
            <w:bookmarkEnd w:id="495"/>
          </w:p>
        </w:tc>
        <w:tc>
          <w:tcPr>
            <w:tcW w:w="1516" w:type="dxa"/>
            <w:vAlign w:val="center"/>
          </w:tcPr>
          <w:p w:rsidR="00475650" w:rsidRDefault="00475650">
            <w:pPr>
              <w:snapToGrid w:val="0"/>
              <w:jc w:val="center"/>
              <w:rPr>
                <w:szCs w:val="21"/>
              </w:rPr>
            </w:pPr>
            <w:bookmarkStart w:id="496" w:name="_Toc322522023"/>
            <w:r>
              <w:rPr>
                <w:rFonts w:hAnsi="宋体"/>
                <w:szCs w:val="21"/>
              </w:rPr>
              <w:t>万元</w:t>
            </w:r>
            <w:bookmarkEnd w:id="496"/>
          </w:p>
        </w:tc>
        <w:tc>
          <w:tcPr>
            <w:tcW w:w="1773" w:type="dxa"/>
            <w:vAlign w:val="center"/>
          </w:tcPr>
          <w:p w:rsidR="00475650" w:rsidRDefault="00475650">
            <w:pPr>
              <w:snapToGrid w:val="0"/>
              <w:jc w:val="center"/>
              <w:rPr>
                <w:szCs w:val="21"/>
              </w:rPr>
            </w:pPr>
            <w:r>
              <w:rPr>
                <w:szCs w:val="21"/>
              </w:rPr>
              <w:t>426</w:t>
            </w:r>
          </w:p>
        </w:tc>
        <w:tc>
          <w:tcPr>
            <w:tcW w:w="3448" w:type="dxa"/>
            <w:vAlign w:val="center"/>
          </w:tcPr>
          <w:p w:rsidR="00475650" w:rsidRDefault="00475650">
            <w:pPr>
              <w:snapToGrid w:val="0"/>
              <w:jc w:val="center"/>
              <w:rPr>
                <w:szCs w:val="21"/>
              </w:rPr>
            </w:pPr>
          </w:p>
        </w:tc>
      </w:tr>
      <w:tr w:rsidR="00475650">
        <w:trPr>
          <w:trHeight w:val="160"/>
          <w:jc w:val="center"/>
        </w:trPr>
        <w:tc>
          <w:tcPr>
            <w:tcW w:w="695" w:type="dxa"/>
            <w:vAlign w:val="center"/>
          </w:tcPr>
          <w:p w:rsidR="00475650" w:rsidRDefault="00475650">
            <w:pPr>
              <w:snapToGrid w:val="0"/>
              <w:jc w:val="center"/>
              <w:rPr>
                <w:szCs w:val="21"/>
              </w:rPr>
            </w:pPr>
            <w:bookmarkStart w:id="497" w:name="_Toc322522024"/>
            <w:r>
              <w:rPr>
                <w:szCs w:val="21"/>
              </w:rPr>
              <w:t>4</w:t>
            </w:r>
            <w:bookmarkEnd w:id="497"/>
          </w:p>
        </w:tc>
        <w:tc>
          <w:tcPr>
            <w:tcW w:w="1680" w:type="dxa"/>
            <w:vAlign w:val="center"/>
          </w:tcPr>
          <w:p w:rsidR="00475650" w:rsidRDefault="00475650">
            <w:pPr>
              <w:snapToGrid w:val="0"/>
              <w:jc w:val="center"/>
              <w:rPr>
                <w:szCs w:val="21"/>
              </w:rPr>
            </w:pPr>
            <w:bookmarkStart w:id="498" w:name="_Toc322522025"/>
            <w:r>
              <w:rPr>
                <w:rFonts w:hAnsi="宋体"/>
                <w:szCs w:val="21"/>
              </w:rPr>
              <w:t>年均销售收入</w:t>
            </w:r>
            <w:bookmarkEnd w:id="498"/>
          </w:p>
        </w:tc>
        <w:tc>
          <w:tcPr>
            <w:tcW w:w="1516" w:type="dxa"/>
            <w:vAlign w:val="center"/>
          </w:tcPr>
          <w:p w:rsidR="00475650" w:rsidRDefault="00475650">
            <w:pPr>
              <w:snapToGrid w:val="0"/>
              <w:jc w:val="center"/>
              <w:rPr>
                <w:szCs w:val="21"/>
              </w:rPr>
            </w:pPr>
            <w:bookmarkStart w:id="499" w:name="_Toc322522026"/>
            <w:r>
              <w:rPr>
                <w:rFonts w:hAnsi="宋体"/>
                <w:szCs w:val="21"/>
              </w:rPr>
              <w:t>万元</w:t>
            </w:r>
            <w:bookmarkEnd w:id="499"/>
          </w:p>
        </w:tc>
        <w:tc>
          <w:tcPr>
            <w:tcW w:w="1773" w:type="dxa"/>
            <w:vAlign w:val="center"/>
          </w:tcPr>
          <w:p w:rsidR="00475650" w:rsidRDefault="00475650">
            <w:pPr>
              <w:snapToGrid w:val="0"/>
              <w:jc w:val="center"/>
              <w:rPr>
                <w:szCs w:val="21"/>
              </w:rPr>
            </w:pPr>
            <w:r>
              <w:rPr>
                <w:szCs w:val="21"/>
              </w:rPr>
              <w:t>15000</w:t>
            </w:r>
          </w:p>
        </w:tc>
        <w:tc>
          <w:tcPr>
            <w:tcW w:w="3448" w:type="dxa"/>
            <w:vAlign w:val="center"/>
          </w:tcPr>
          <w:p w:rsidR="00475650" w:rsidRDefault="00475650">
            <w:pPr>
              <w:snapToGrid w:val="0"/>
              <w:jc w:val="center"/>
              <w:rPr>
                <w:szCs w:val="21"/>
              </w:rPr>
            </w:pPr>
            <w:r>
              <w:rPr>
                <w:rFonts w:hAnsi="宋体"/>
                <w:szCs w:val="21"/>
              </w:rPr>
              <w:t>含税</w:t>
            </w:r>
          </w:p>
        </w:tc>
      </w:tr>
      <w:tr w:rsidR="00475650">
        <w:trPr>
          <w:trHeight w:val="160"/>
          <w:jc w:val="center"/>
        </w:trPr>
        <w:tc>
          <w:tcPr>
            <w:tcW w:w="695" w:type="dxa"/>
            <w:vAlign w:val="center"/>
          </w:tcPr>
          <w:p w:rsidR="00475650" w:rsidRDefault="00475650">
            <w:pPr>
              <w:snapToGrid w:val="0"/>
              <w:jc w:val="center"/>
              <w:rPr>
                <w:szCs w:val="21"/>
              </w:rPr>
            </w:pPr>
            <w:bookmarkStart w:id="500" w:name="_Toc322522027"/>
            <w:r>
              <w:rPr>
                <w:szCs w:val="21"/>
              </w:rPr>
              <w:t>5</w:t>
            </w:r>
            <w:bookmarkEnd w:id="500"/>
          </w:p>
        </w:tc>
        <w:tc>
          <w:tcPr>
            <w:tcW w:w="1680" w:type="dxa"/>
            <w:vAlign w:val="center"/>
          </w:tcPr>
          <w:p w:rsidR="00475650" w:rsidRDefault="00475650">
            <w:pPr>
              <w:snapToGrid w:val="0"/>
              <w:jc w:val="center"/>
              <w:rPr>
                <w:szCs w:val="21"/>
              </w:rPr>
            </w:pPr>
            <w:bookmarkStart w:id="501" w:name="_Toc322522028"/>
            <w:r>
              <w:rPr>
                <w:rFonts w:hAnsi="宋体"/>
                <w:szCs w:val="21"/>
              </w:rPr>
              <w:t>年均利润总额</w:t>
            </w:r>
            <w:bookmarkEnd w:id="501"/>
          </w:p>
        </w:tc>
        <w:tc>
          <w:tcPr>
            <w:tcW w:w="1516" w:type="dxa"/>
            <w:vAlign w:val="center"/>
          </w:tcPr>
          <w:p w:rsidR="00475650" w:rsidRDefault="00475650">
            <w:pPr>
              <w:snapToGrid w:val="0"/>
              <w:jc w:val="center"/>
              <w:rPr>
                <w:szCs w:val="21"/>
              </w:rPr>
            </w:pPr>
            <w:bookmarkStart w:id="502" w:name="_Toc322522029"/>
            <w:r>
              <w:rPr>
                <w:rFonts w:hAnsi="宋体"/>
                <w:szCs w:val="21"/>
              </w:rPr>
              <w:t>万元</w:t>
            </w:r>
            <w:bookmarkEnd w:id="502"/>
          </w:p>
        </w:tc>
        <w:tc>
          <w:tcPr>
            <w:tcW w:w="1773" w:type="dxa"/>
            <w:vAlign w:val="center"/>
          </w:tcPr>
          <w:p w:rsidR="00475650" w:rsidRDefault="00475650">
            <w:pPr>
              <w:snapToGrid w:val="0"/>
              <w:jc w:val="center"/>
              <w:rPr>
                <w:szCs w:val="21"/>
              </w:rPr>
            </w:pPr>
            <w:r>
              <w:rPr>
                <w:szCs w:val="21"/>
              </w:rPr>
              <w:t>887.72</w:t>
            </w:r>
          </w:p>
        </w:tc>
        <w:tc>
          <w:tcPr>
            <w:tcW w:w="3448" w:type="dxa"/>
            <w:vAlign w:val="center"/>
          </w:tcPr>
          <w:p w:rsidR="00475650" w:rsidRDefault="00475650">
            <w:pPr>
              <w:snapToGrid w:val="0"/>
              <w:jc w:val="center"/>
              <w:rPr>
                <w:szCs w:val="21"/>
              </w:rPr>
            </w:pPr>
            <w:r>
              <w:rPr>
                <w:rFonts w:hAnsi="宋体"/>
                <w:szCs w:val="21"/>
              </w:rPr>
              <w:t>税后</w:t>
            </w:r>
          </w:p>
        </w:tc>
      </w:tr>
      <w:tr w:rsidR="00475650">
        <w:trPr>
          <w:trHeight w:val="535"/>
          <w:jc w:val="center"/>
        </w:trPr>
        <w:tc>
          <w:tcPr>
            <w:tcW w:w="695" w:type="dxa"/>
            <w:vAlign w:val="center"/>
          </w:tcPr>
          <w:p w:rsidR="00475650" w:rsidRDefault="00475650">
            <w:pPr>
              <w:snapToGrid w:val="0"/>
              <w:jc w:val="center"/>
              <w:rPr>
                <w:szCs w:val="21"/>
              </w:rPr>
            </w:pPr>
            <w:bookmarkStart w:id="503" w:name="_Toc322522030"/>
            <w:r>
              <w:rPr>
                <w:szCs w:val="21"/>
              </w:rPr>
              <w:t>6</w:t>
            </w:r>
            <w:bookmarkEnd w:id="503"/>
          </w:p>
        </w:tc>
        <w:tc>
          <w:tcPr>
            <w:tcW w:w="1680" w:type="dxa"/>
            <w:vAlign w:val="center"/>
          </w:tcPr>
          <w:p w:rsidR="00475650" w:rsidRDefault="00475650">
            <w:pPr>
              <w:snapToGrid w:val="0"/>
              <w:jc w:val="center"/>
              <w:rPr>
                <w:szCs w:val="21"/>
              </w:rPr>
            </w:pPr>
            <w:bookmarkStart w:id="504" w:name="_Toc322522031"/>
            <w:r>
              <w:rPr>
                <w:rFonts w:hAnsi="宋体"/>
                <w:szCs w:val="21"/>
              </w:rPr>
              <w:t>全投资内部收益率</w:t>
            </w:r>
            <w:bookmarkEnd w:id="504"/>
          </w:p>
        </w:tc>
        <w:tc>
          <w:tcPr>
            <w:tcW w:w="1516" w:type="dxa"/>
            <w:vAlign w:val="center"/>
          </w:tcPr>
          <w:p w:rsidR="00475650" w:rsidRDefault="00475650">
            <w:pPr>
              <w:snapToGrid w:val="0"/>
              <w:jc w:val="center"/>
              <w:rPr>
                <w:szCs w:val="21"/>
              </w:rPr>
            </w:pPr>
            <w:bookmarkStart w:id="505" w:name="_Toc322522032"/>
            <w:r>
              <w:rPr>
                <w:szCs w:val="21"/>
              </w:rPr>
              <w:t>%</w:t>
            </w:r>
            <w:bookmarkEnd w:id="505"/>
          </w:p>
        </w:tc>
        <w:tc>
          <w:tcPr>
            <w:tcW w:w="1773" w:type="dxa"/>
            <w:vAlign w:val="center"/>
          </w:tcPr>
          <w:p w:rsidR="00475650" w:rsidRDefault="00475650">
            <w:pPr>
              <w:snapToGrid w:val="0"/>
              <w:jc w:val="center"/>
              <w:rPr>
                <w:szCs w:val="21"/>
              </w:rPr>
            </w:pPr>
            <w:r>
              <w:rPr>
                <w:szCs w:val="21"/>
              </w:rPr>
              <w:t>22.83</w:t>
            </w:r>
          </w:p>
        </w:tc>
        <w:tc>
          <w:tcPr>
            <w:tcW w:w="3448" w:type="dxa"/>
            <w:vAlign w:val="center"/>
          </w:tcPr>
          <w:p w:rsidR="00475650" w:rsidRDefault="00475650">
            <w:pPr>
              <w:snapToGrid w:val="0"/>
              <w:jc w:val="center"/>
              <w:rPr>
                <w:szCs w:val="21"/>
              </w:rPr>
            </w:pPr>
            <w:r>
              <w:rPr>
                <w:rFonts w:hAnsi="宋体"/>
                <w:szCs w:val="21"/>
              </w:rPr>
              <w:t>税后</w:t>
            </w:r>
          </w:p>
        </w:tc>
      </w:tr>
      <w:tr w:rsidR="00475650">
        <w:trPr>
          <w:trHeight w:val="160"/>
          <w:jc w:val="center"/>
        </w:trPr>
        <w:tc>
          <w:tcPr>
            <w:tcW w:w="695" w:type="dxa"/>
            <w:vAlign w:val="center"/>
          </w:tcPr>
          <w:p w:rsidR="00475650" w:rsidRDefault="00475650">
            <w:pPr>
              <w:snapToGrid w:val="0"/>
              <w:jc w:val="center"/>
              <w:rPr>
                <w:szCs w:val="21"/>
              </w:rPr>
            </w:pPr>
            <w:bookmarkStart w:id="506" w:name="_Toc322522033"/>
            <w:r>
              <w:rPr>
                <w:szCs w:val="21"/>
              </w:rPr>
              <w:t>7</w:t>
            </w:r>
            <w:bookmarkEnd w:id="506"/>
          </w:p>
        </w:tc>
        <w:tc>
          <w:tcPr>
            <w:tcW w:w="1680" w:type="dxa"/>
            <w:vAlign w:val="center"/>
          </w:tcPr>
          <w:p w:rsidR="00475650" w:rsidRDefault="00475650">
            <w:pPr>
              <w:snapToGrid w:val="0"/>
              <w:jc w:val="center"/>
              <w:rPr>
                <w:szCs w:val="21"/>
              </w:rPr>
            </w:pPr>
            <w:bookmarkStart w:id="507" w:name="_Toc322522034"/>
            <w:r>
              <w:rPr>
                <w:rFonts w:hAnsi="宋体"/>
                <w:szCs w:val="21"/>
              </w:rPr>
              <w:t>投资回收期（税后）</w:t>
            </w:r>
            <w:bookmarkEnd w:id="507"/>
          </w:p>
        </w:tc>
        <w:tc>
          <w:tcPr>
            <w:tcW w:w="1516" w:type="dxa"/>
            <w:vAlign w:val="center"/>
          </w:tcPr>
          <w:p w:rsidR="00475650" w:rsidRDefault="00475650">
            <w:pPr>
              <w:snapToGrid w:val="0"/>
              <w:jc w:val="center"/>
              <w:rPr>
                <w:szCs w:val="21"/>
              </w:rPr>
            </w:pPr>
            <w:bookmarkStart w:id="508" w:name="_Toc322522035"/>
            <w:r>
              <w:rPr>
                <w:rFonts w:hAnsi="宋体"/>
                <w:szCs w:val="21"/>
              </w:rPr>
              <w:t>年</w:t>
            </w:r>
            <w:bookmarkEnd w:id="508"/>
          </w:p>
        </w:tc>
        <w:tc>
          <w:tcPr>
            <w:tcW w:w="1773" w:type="dxa"/>
            <w:vAlign w:val="center"/>
          </w:tcPr>
          <w:p w:rsidR="00475650" w:rsidRDefault="00475650">
            <w:pPr>
              <w:snapToGrid w:val="0"/>
              <w:jc w:val="center"/>
              <w:rPr>
                <w:szCs w:val="21"/>
              </w:rPr>
            </w:pPr>
            <w:r>
              <w:rPr>
                <w:szCs w:val="21"/>
              </w:rPr>
              <w:t>5.43</w:t>
            </w:r>
          </w:p>
        </w:tc>
        <w:tc>
          <w:tcPr>
            <w:tcW w:w="3448" w:type="dxa"/>
            <w:vAlign w:val="center"/>
          </w:tcPr>
          <w:p w:rsidR="00475650" w:rsidRDefault="00475650">
            <w:pPr>
              <w:snapToGrid w:val="0"/>
              <w:jc w:val="center"/>
              <w:rPr>
                <w:szCs w:val="21"/>
              </w:rPr>
            </w:pPr>
            <w:r>
              <w:rPr>
                <w:rFonts w:hAnsi="宋体"/>
                <w:szCs w:val="21"/>
              </w:rPr>
              <w:t>含建设期</w:t>
            </w:r>
            <w:r>
              <w:rPr>
                <w:szCs w:val="21"/>
              </w:rPr>
              <w:t>1</w:t>
            </w:r>
            <w:r>
              <w:rPr>
                <w:rFonts w:hAnsi="宋体"/>
                <w:szCs w:val="21"/>
              </w:rPr>
              <w:t>年</w:t>
            </w:r>
          </w:p>
        </w:tc>
      </w:tr>
    </w:tbl>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509" w:name="_Toc332292989"/>
      <w:bookmarkStart w:id="510" w:name="_Toc11755"/>
      <w:r>
        <w:rPr>
          <w:rStyle w:val="2Char1Char"/>
          <w:rFonts w:ascii="Times New Roman" w:eastAsia="宋体" w:hAnsi="Times New Roman" w:cs="Times New Roman"/>
          <w:b w:val="0"/>
          <w:sz w:val="28"/>
          <w:szCs w:val="28"/>
        </w:rPr>
        <w:t>3.2</w:t>
      </w:r>
      <w:r>
        <w:rPr>
          <w:rStyle w:val="2Char1Char"/>
          <w:rFonts w:ascii="Times New Roman" w:eastAsia="宋体" w:hAnsi="宋体" w:cs="Times New Roman"/>
          <w:b w:val="0"/>
          <w:sz w:val="28"/>
          <w:szCs w:val="28"/>
        </w:rPr>
        <w:t>总图布置</w:t>
      </w:r>
      <w:bookmarkEnd w:id="426"/>
      <w:bookmarkEnd w:id="427"/>
      <w:bookmarkEnd w:id="509"/>
      <w:bookmarkEnd w:id="510"/>
    </w:p>
    <w:p w:rsidR="00475650" w:rsidRDefault="00475650">
      <w:pPr>
        <w:snapToGrid w:val="0"/>
        <w:spacing w:line="360" w:lineRule="auto"/>
        <w:ind w:firstLineChars="200" w:firstLine="464"/>
        <w:rPr>
          <w:spacing w:val="-4"/>
          <w:sz w:val="24"/>
        </w:rPr>
      </w:pPr>
      <w:bookmarkStart w:id="511" w:name="_Toc322523318"/>
      <w:r>
        <w:rPr>
          <w:rFonts w:hAnsi="宋体"/>
          <w:spacing w:val="-4"/>
          <w:sz w:val="24"/>
        </w:rPr>
        <w:t>根据工艺装置及辅助设施的功能要求和物料流向，同时结合公司已有氯化石蜡装置，</w:t>
      </w:r>
      <w:bookmarkEnd w:id="511"/>
      <w:r>
        <w:rPr>
          <w:rFonts w:hAnsi="宋体"/>
          <w:spacing w:val="-4"/>
          <w:sz w:val="24"/>
        </w:rPr>
        <w:t>平面布置满足以下原则：</w:t>
      </w:r>
      <w:bookmarkStart w:id="512" w:name="_Toc322523319"/>
      <w:r>
        <w:rPr>
          <w:rFonts w:hAnsi="宋体"/>
          <w:spacing w:val="-4"/>
          <w:sz w:val="24"/>
        </w:rPr>
        <w:t>在满足生产工艺和运输要求的前提下，布局尽量紧凑、合理，力求工程管线短捷，运输顺畅，尽量节约用地，满足消防、检修、运输以及人员疏散的要求</w:t>
      </w:r>
      <w:bookmarkEnd w:id="512"/>
      <w:r>
        <w:rPr>
          <w:rFonts w:hAnsi="宋体"/>
          <w:spacing w:val="-4"/>
          <w:sz w:val="24"/>
        </w:rPr>
        <w:t>。</w:t>
      </w:r>
    </w:p>
    <w:p w:rsidR="00475650" w:rsidRDefault="00475650">
      <w:pPr>
        <w:snapToGrid w:val="0"/>
        <w:spacing w:line="360" w:lineRule="auto"/>
        <w:ind w:firstLineChars="200" w:firstLine="464"/>
        <w:rPr>
          <w:spacing w:val="-4"/>
          <w:sz w:val="24"/>
        </w:rPr>
      </w:pPr>
      <w:r>
        <w:rPr>
          <w:rFonts w:hAnsi="宋体"/>
          <w:spacing w:val="-4"/>
          <w:sz w:val="24"/>
        </w:rPr>
        <w:t>厂区南部为建成区，已建有氯化石蜡厂房、主装置区、氯化石蜡仓库、液蜡罐区、盐酸储罐区等。本工程在厂区北部预留地内建设。建设地内自南向北依次布置染料生产车间、变配电室、污水处理站、事故池等，染料生产车间（含原料中间仓库一、原料中间仓库二、成品仓库）占地约</w:t>
      </w:r>
      <w:r>
        <w:rPr>
          <w:spacing w:val="-4"/>
          <w:sz w:val="24"/>
        </w:rPr>
        <w:t>1850m</w:t>
      </w:r>
      <w:r>
        <w:rPr>
          <w:spacing w:val="-4"/>
          <w:sz w:val="24"/>
          <w:vertAlign w:val="superscript"/>
        </w:rPr>
        <w:t>2</w:t>
      </w:r>
      <w:r>
        <w:rPr>
          <w:rFonts w:hAnsi="宋体"/>
          <w:spacing w:val="-4"/>
          <w:sz w:val="24"/>
        </w:rPr>
        <w:t>，其中，原料中间仓库一、原料中间仓库二、成</w:t>
      </w:r>
      <w:r>
        <w:rPr>
          <w:rFonts w:hAnsi="宋体"/>
          <w:spacing w:val="-4"/>
          <w:sz w:val="24"/>
        </w:rPr>
        <w:lastRenderedPageBreak/>
        <w:t>品仓库均采用通顶式防火墙与染料生产车间分隔开，并靠厂房内部外墙设置，原料中间仓库一、原料中间仓库二、成品仓库分别设置两个出入口。厂区主出入口已设于西北部，接长江大堤，东北侧设次出入口。</w:t>
      </w:r>
    </w:p>
    <w:p w:rsidR="00475650" w:rsidRDefault="00475650">
      <w:pPr>
        <w:snapToGrid w:val="0"/>
        <w:spacing w:line="360" w:lineRule="auto"/>
        <w:ind w:firstLineChars="200" w:firstLine="464"/>
        <w:rPr>
          <w:spacing w:val="-4"/>
          <w:sz w:val="24"/>
        </w:rPr>
      </w:pPr>
      <w:r>
        <w:rPr>
          <w:rFonts w:hAnsi="宋体"/>
          <w:spacing w:val="-4"/>
          <w:sz w:val="24"/>
        </w:rPr>
        <w:t>根据布局可分析，平面布置考虑清污分区原则：将装置区布置于中心位置以减少物流的运输；污水处理站位于厂区北面，其常年主导风下风向（区域常年风向为</w:t>
      </w:r>
      <w:r>
        <w:rPr>
          <w:spacing w:val="-4"/>
          <w:sz w:val="24"/>
        </w:rPr>
        <w:t>NNE</w:t>
      </w:r>
      <w:r>
        <w:rPr>
          <w:rFonts w:hAnsi="宋体"/>
          <w:spacing w:val="-4"/>
          <w:sz w:val="24"/>
        </w:rPr>
        <w:t>）为罐区及装置区，与综合楼隔离，其夏季主导风下风向为</w:t>
      </w:r>
      <w:r>
        <w:rPr>
          <w:rFonts w:hAnsi="宋体" w:hint="eastAsia"/>
          <w:spacing w:val="-4"/>
          <w:sz w:val="24"/>
        </w:rPr>
        <w:t>工业</w:t>
      </w:r>
      <w:r>
        <w:rPr>
          <w:rFonts w:hAnsi="宋体"/>
          <w:spacing w:val="-4"/>
          <w:sz w:val="24"/>
        </w:rPr>
        <w:t>生产装置区，对区外环境敏感点的影响较小；噪声设备以靠近厂区中心部位为原则，</w:t>
      </w:r>
      <w:r>
        <w:rPr>
          <w:rFonts w:hAnsi="宋体" w:hint="eastAsia"/>
          <w:spacing w:val="-4"/>
          <w:sz w:val="24"/>
        </w:rPr>
        <w:t>锅炉房位于厂区北面，锅炉拟拆除</w:t>
      </w:r>
      <w:r>
        <w:rPr>
          <w:rFonts w:hAnsi="宋体"/>
          <w:spacing w:val="-4"/>
          <w:sz w:val="24"/>
        </w:rPr>
        <w:t>。</w:t>
      </w:r>
      <w:r>
        <w:rPr>
          <w:spacing w:val="-4"/>
          <w:sz w:val="24"/>
        </w:rPr>
        <w:t xml:space="preserve"> </w:t>
      </w:r>
    </w:p>
    <w:p w:rsidR="00475650" w:rsidRDefault="00475650">
      <w:pPr>
        <w:snapToGrid w:val="0"/>
        <w:spacing w:line="360" w:lineRule="auto"/>
        <w:ind w:firstLineChars="200" w:firstLine="464"/>
        <w:rPr>
          <w:spacing w:val="-4"/>
          <w:sz w:val="24"/>
        </w:rPr>
      </w:pPr>
      <w:r>
        <w:rPr>
          <w:rFonts w:hAnsi="宋体"/>
          <w:spacing w:val="-4"/>
          <w:sz w:val="24"/>
        </w:rPr>
        <w:t>具体布置详见总平面布置图附图</w:t>
      </w:r>
      <w:r>
        <w:rPr>
          <w:spacing w:val="-4"/>
          <w:sz w:val="24"/>
        </w:rPr>
        <w:t>5</w:t>
      </w:r>
      <w:r>
        <w:rPr>
          <w:rFonts w:hAnsi="宋体"/>
          <w:spacing w:val="-4"/>
          <w:sz w:val="24"/>
        </w:rPr>
        <w:t>。</w:t>
      </w:r>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513" w:name="_Toc273462104"/>
      <w:bookmarkStart w:id="514" w:name="_Toc274984506"/>
      <w:bookmarkStart w:id="515" w:name="_Toc332292990"/>
      <w:bookmarkStart w:id="516" w:name="_Toc1541"/>
      <w:r>
        <w:rPr>
          <w:rStyle w:val="2Char1Char"/>
          <w:rFonts w:ascii="Times New Roman" w:eastAsia="宋体" w:hAnsi="Times New Roman" w:cs="Times New Roman"/>
          <w:b w:val="0"/>
          <w:sz w:val="28"/>
          <w:szCs w:val="28"/>
        </w:rPr>
        <w:t xml:space="preserve">3.3 </w:t>
      </w:r>
      <w:bookmarkEnd w:id="513"/>
      <w:bookmarkEnd w:id="514"/>
      <w:r>
        <w:rPr>
          <w:rStyle w:val="2Char1Char"/>
          <w:rFonts w:ascii="Times New Roman" w:eastAsia="宋体" w:hAnsi="宋体" w:cs="Times New Roman"/>
          <w:b w:val="0"/>
          <w:sz w:val="28"/>
          <w:szCs w:val="28"/>
        </w:rPr>
        <w:t>工程基本概况</w:t>
      </w:r>
      <w:bookmarkEnd w:id="515"/>
      <w:bookmarkEnd w:id="516"/>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517" w:name="_Toc302936771"/>
      <w:bookmarkStart w:id="518" w:name="_Toc334080779"/>
      <w:bookmarkStart w:id="519" w:name="_Toc332292991"/>
      <w:bookmarkStart w:id="520" w:name="_Toc334014137"/>
      <w:bookmarkStart w:id="521" w:name="_Toc333229945"/>
      <w:bookmarkStart w:id="522" w:name="_Toc465676986"/>
      <w:bookmarkStart w:id="523" w:name="_Toc1296"/>
      <w:r>
        <w:rPr>
          <w:rStyle w:val="2Char1Char"/>
          <w:rFonts w:ascii="Times New Roman" w:eastAsia="宋体" w:hAnsi="Times New Roman" w:cs="Times New Roman"/>
          <w:b w:val="0"/>
          <w:sz w:val="24"/>
          <w:szCs w:val="24"/>
        </w:rPr>
        <w:t>3.3.1</w:t>
      </w:r>
      <w:r>
        <w:rPr>
          <w:rStyle w:val="2Char1Char"/>
          <w:rFonts w:ascii="Times New Roman" w:eastAsia="宋体" w:hAnsi="宋体" w:cs="Times New Roman"/>
          <w:b w:val="0"/>
          <w:sz w:val="24"/>
          <w:szCs w:val="24"/>
        </w:rPr>
        <w:t>原料和产品方案</w:t>
      </w:r>
      <w:bookmarkEnd w:id="517"/>
      <w:bookmarkEnd w:id="518"/>
      <w:bookmarkEnd w:id="519"/>
      <w:bookmarkEnd w:id="520"/>
      <w:bookmarkEnd w:id="521"/>
      <w:bookmarkEnd w:id="522"/>
      <w:bookmarkEnd w:id="523"/>
    </w:p>
    <w:p w:rsidR="00475650" w:rsidRDefault="00475650">
      <w:pPr>
        <w:snapToGrid w:val="0"/>
        <w:spacing w:line="360" w:lineRule="auto"/>
        <w:ind w:firstLineChars="200" w:firstLine="464"/>
        <w:rPr>
          <w:spacing w:val="-4"/>
          <w:sz w:val="24"/>
        </w:rPr>
      </w:pPr>
      <w:bookmarkStart w:id="524" w:name="_Toc273462105"/>
      <w:bookmarkStart w:id="525" w:name="_Toc274984507"/>
      <w:r>
        <w:rPr>
          <w:spacing w:val="-4"/>
          <w:sz w:val="24"/>
        </w:rPr>
        <w:t>1</w:t>
      </w:r>
      <w:r>
        <w:rPr>
          <w:rFonts w:hAnsi="宋体"/>
          <w:spacing w:val="-4"/>
          <w:sz w:val="24"/>
        </w:rPr>
        <w:t>、原料方案</w:t>
      </w:r>
    </w:p>
    <w:p w:rsidR="00475650" w:rsidRDefault="00475650">
      <w:pPr>
        <w:snapToGrid w:val="0"/>
        <w:spacing w:line="360" w:lineRule="auto"/>
        <w:ind w:firstLineChars="200" w:firstLine="464"/>
        <w:rPr>
          <w:spacing w:val="-4"/>
          <w:sz w:val="24"/>
        </w:rPr>
      </w:pPr>
      <w:r>
        <w:rPr>
          <w:rFonts w:hAnsi="宋体"/>
          <w:spacing w:val="-4"/>
          <w:sz w:val="24"/>
        </w:rPr>
        <w:t>本项目除盐酸为公司氯化石蜡工程自产外，其余均为市场上购买的工业级生产原料。其中盐酸浓度为</w:t>
      </w:r>
      <w:r>
        <w:rPr>
          <w:spacing w:val="-4"/>
          <w:sz w:val="24"/>
        </w:rPr>
        <w:t>31%</w:t>
      </w:r>
      <w:r>
        <w:rPr>
          <w:rFonts w:hAnsi="宋体"/>
          <w:spacing w:val="-4"/>
          <w:sz w:val="24"/>
        </w:rPr>
        <w:t>，产品质量为工业级，满足本项目生产要求。目前作为产品外售园区内生产企业，现有工程盐酸规模产量为</w:t>
      </w:r>
      <w:r>
        <w:rPr>
          <w:spacing w:val="-4"/>
          <w:sz w:val="24"/>
        </w:rPr>
        <w:t>8.767</w:t>
      </w:r>
      <w:r>
        <w:rPr>
          <w:rFonts w:hAnsi="宋体"/>
          <w:spacing w:val="-4"/>
          <w:sz w:val="24"/>
        </w:rPr>
        <w:t>万吨</w:t>
      </w:r>
      <w:r>
        <w:rPr>
          <w:spacing w:val="-4"/>
          <w:sz w:val="24"/>
        </w:rPr>
        <w:t xml:space="preserve">/ </w:t>
      </w:r>
      <w:r>
        <w:rPr>
          <w:rFonts w:hAnsi="宋体"/>
          <w:spacing w:val="-4"/>
          <w:sz w:val="24"/>
        </w:rPr>
        <w:t>年，本项目需求量约为</w:t>
      </w:r>
      <w:r>
        <w:rPr>
          <w:rFonts w:hint="eastAsia"/>
          <w:spacing w:val="-4"/>
          <w:sz w:val="24"/>
        </w:rPr>
        <w:t>3159.01</w:t>
      </w:r>
      <w:r>
        <w:rPr>
          <w:rFonts w:hAnsi="宋体"/>
          <w:spacing w:val="-4"/>
          <w:sz w:val="24"/>
        </w:rPr>
        <w:t>吨</w:t>
      </w:r>
      <w:r>
        <w:rPr>
          <w:spacing w:val="-4"/>
          <w:sz w:val="24"/>
        </w:rPr>
        <w:t>/</w:t>
      </w:r>
      <w:r>
        <w:rPr>
          <w:rFonts w:hAnsi="宋体"/>
          <w:spacing w:val="-4"/>
          <w:sz w:val="24"/>
        </w:rPr>
        <w:t>年，占总产量的</w:t>
      </w:r>
      <w:r>
        <w:rPr>
          <w:spacing w:val="-4"/>
          <w:sz w:val="24"/>
        </w:rPr>
        <w:t>3.45%</w:t>
      </w:r>
      <w:r>
        <w:rPr>
          <w:rFonts w:hAnsi="宋体"/>
          <w:spacing w:val="-4"/>
          <w:sz w:val="24"/>
        </w:rPr>
        <w:t>。</w:t>
      </w:r>
    </w:p>
    <w:p w:rsidR="00475650" w:rsidRDefault="00475650">
      <w:pPr>
        <w:snapToGrid w:val="0"/>
        <w:spacing w:line="360" w:lineRule="auto"/>
        <w:ind w:firstLineChars="200" w:firstLine="464"/>
        <w:rPr>
          <w:spacing w:val="-4"/>
          <w:sz w:val="24"/>
        </w:rPr>
      </w:pPr>
      <w:r>
        <w:rPr>
          <w:spacing w:val="-4"/>
          <w:sz w:val="24"/>
        </w:rPr>
        <w:t>2</w:t>
      </w:r>
      <w:r>
        <w:rPr>
          <w:rFonts w:hAnsi="宋体"/>
          <w:spacing w:val="-4"/>
          <w:sz w:val="24"/>
        </w:rPr>
        <w:t>、</w:t>
      </w:r>
      <w:bookmarkStart w:id="526" w:name="_Toc333229946"/>
      <w:bookmarkStart w:id="527" w:name="_Toc334014138"/>
      <w:bookmarkStart w:id="528" w:name="_Toc334080780"/>
      <w:r>
        <w:rPr>
          <w:rFonts w:hAnsi="宋体"/>
          <w:spacing w:val="-4"/>
          <w:sz w:val="24"/>
        </w:rPr>
        <w:t>产品方案</w:t>
      </w:r>
      <w:bookmarkEnd w:id="526"/>
      <w:bookmarkEnd w:id="527"/>
      <w:bookmarkEnd w:id="528"/>
    </w:p>
    <w:p w:rsidR="00475650" w:rsidRDefault="00475650">
      <w:pPr>
        <w:snapToGrid w:val="0"/>
        <w:spacing w:line="360" w:lineRule="auto"/>
        <w:ind w:firstLineChars="200" w:firstLine="464"/>
        <w:rPr>
          <w:spacing w:val="-4"/>
          <w:sz w:val="24"/>
        </w:rPr>
      </w:pPr>
      <w:r>
        <w:rPr>
          <w:rFonts w:hAnsi="宋体"/>
          <w:spacing w:val="-4"/>
          <w:sz w:val="24"/>
        </w:rPr>
        <w:t>本装置的目标产品为酸性红</w:t>
      </w:r>
      <w:r>
        <w:rPr>
          <w:spacing w:val="-4"/>
          <w:sz w:val="24"/>
        </w:rPr>
        <w:t>37</w:t>
      </w:r>
      <w:r>
        <w:rPr>
          <w:rFonts w:hAnsi="宋体"/>
          <w:spacing w:val="-4"/>
          <w:sz w:val="24"/>
        </w:rPr>
        <w:t>和酸性黄</w:t>
      </w:r>
      <w:r>
        <w:rPr>
          <w:spacing w:val="-4"/>
          <w:sz w:val="24"/>
        </w:rPr>
        <w:t>49</w:t>
      </w:r>
      <w:r>
        <w:rPr>
          <w:rFonts w:hAnsi="宋体"/>
          <w:spacing w:val="-4"/>
          <w:sz w:val="24"/>
        </w:rPr>
        <w:t>，产品规格情况见表</w:t>
      </w:r>
      <w:r>
        <w:rPr>
          <w:spacing w:val="-4"/>
          <w:sz w:val="24"/>
        </w:rPr>
        <w:t>3.3-1</w:t>
      </w:r>
      <w:r>
        <w:rPr>
          <w:rFonts w:hAnsi="宋体"/>
          <w:spacing w:val="-4"/>
          <w:sz w:val="24"/>
        </w:rPr>
        <w:t>和表</w:t>
      </w:r>
      <w:r>
        <w:rPr>
          <w:spacing w:val="-4"/>
          <w:sz w:val="24"/>
        </w:rPr>
        <w:t>3.3-2</w:t>
      </w:r>
      <w:r>
        <w:rPr>
          <w:rFonts w:hAnsi="宋体"/>
          <w:spacing w:val="-4"/>
          <w:sz w:val="24"/>
        </w:rPr>
        <w:t>。</w:t>
      </w:r>
    </w:p>
    <w:p w:rsidR="00475650" w:rsidRDefault="00475650">
      <w:pPr>
        <w:snapToGrid w:val="0"/>
        <w:spacing w:line="360" w:lineRule="auto"/>
        <w:ind w:firstLineChars="200" w:firstLine="464"/>
        <w:rPr>
          <w:spacing w:val="-4"/>
          <w:sz w:val="24"/>
        </w:rPr>
      </w:pPr>
      <w:r>
        <w:rPr>
          <w:spacing w:val="-4"/>
          <w:sz w:val="24"/>
        </w:rPr>
        <w:t>(1)</w:t>
      </w:r>
      <w:r>
        <w:rPr>
          <w:rFonts w:hAnsi="宋体"/>
          <w:spacing w:val="-4"/>
          <w:sz w:val="24"/>
        </w:rPr>
        <w:t>酸性红</w:t>
      </w:r>
      <w:r>
        <w:rPr>
          <w:spacing w:val="-4"/>
          <w:sz w:val="24"/>
        </w:rPr>
        <w:t>37</w:t>
      </w:r>
    </w:p>
    <w:p w:rsidR="00475650" w:rsidRDefault="00475650">
      <w:pPr>
        <w:snapToGrid w:val="0"/>
        <w:spacing w:line="360" w:lineRule="auto"/>
        <w:ind w:firstLineChars="200" w:firstLine="464"/>
        <w:rPr>
          <w:spacing w:val="-4"/>
          <w:sz w:val="24"/>
        </w:rPr>
      </w:pPr>
      <w:r>
        <w:rPr>
          <w:rFonts w:hAnsi="宋体"/>
          <w:spacing w:val="-4"/>
          <w:sz w:val="24"/>
        </w:rPr>
        <w:t>酸性红</w:t>
      </w:r>
      <w:r>
        <w:rPr>
          <w:spacing w:val="-4"/>
          <w:sz w:val="24"/>
        </w:rPr>
        <w:t>37</w:t>
      </w:r>
      <w:r>
        <w:rPr>
          <w:rFonts w:hAnsi="宋体"/>
          <w:spacing w:val="-4"/>
          <w:sz w:val="24"/>
        </w:rPr>
        <w:t>为紫酱色粉末。极易溶于水，在水中溶解度</w:t>
      </w:r>
      <w:r>
        <w:rPr>
          <w:spacing w:val="-4"/>
          <w:sz w:val="24"/>
        </w:rPr>
        <w:t>(100</w:t>
      </w:r>
      <w:r>
        <w:rPr>
          <w:rFonts w:hAnsi="宋体"/>
          <w:spacing w:val="-4"/>
          <w:sz w:val="24"/>
        </w:rPr>
        <w:t>℃</w:t>
      </w:r>
      <w:r>
        <w:rPr>
          <w:spacing w:val="-4"/>
          <w:sz w:val="24"/>
        </w:rPr>
        <w:t>)</w:t>
      </w:r>
      <w:r>
        <w:rPr>
          <w:rFonts w:hAnsi="宋体"/>
          <w:spacing w:val="-4"/>
          <w:sz w:val="24"/>
        </w:rPr>
        <w:t>为</w:t>
      </w:r>
      <w:r>
        <w:rPr>
          <w:spacing w:val="-4"/>
          <w:sz w:val="24"/>
        </w:rPr>
        <w:t>200g/L</w:t>
      </w:r>
      <w:r>
        <w:rPr>
          <w:rFonts w:hAnsi="宋体"/>
          <w:spacing w:val="-4"/>
          <w:sz w:val="24"/>
        </w:rPr>
        <w:t>。水溶液为樱桃红色，室温时无聚集倾向，加入浓盐酸产生紫酱色沉淀；加入浓氢氧化钠溶液呈酒红色。微溶于乙醇呈紫红色。于浓硫酸中为暗蓝光红色，稀释后呈暗红色至红光紫色；于浓硝酸中初为橄榄色，并很快转变为棕色；于浓盐酸中为红光紫色沉淀，加水稀释可溶解。其产品规格如下：</w:t>
      </w:r>
    </w:p>
    <w:p w:rsidR="00475650" w:rsidRDefault="00475650">
      <w:pPr>
        <w:adjustRightInd w:val="0"/>
        <w:snapToGrid w:val="0"/>
        <w:spacing w:line="360" w:lineRule="auto"/>
        <w:jc w:val="center"/>
        <w:rPr>
          <w:bCs/>
          <w:spacing w:val="4"/>
          <w:sz w:val="24"/>
        </w:rPr>
      </w:pPr>
      <w:bookmarkStart w:id="529" w:name="_Toc322522739"/>
      <w:r>
        <w:rPr>
          <w:rFonts w:hAnsi="宋体"/>
          <w:sz w:val="24"/>
        </w:rPr>
        <w:t>表</w:t>
      </w:r>
      <w:r>
        <w:rPr>
          <w:sz w:val="24"/>
        </w:rPr>
        <w:t xml:space="preserve">3.3-1  </w:t>
      </w:r>
      <w:bookmarkEnd w:id="529"/>
      <w:r>
        <w:rPr>
          <w:rFonts w:hAnsi="宋体"/>
          <w:sz w:val="24"/>
        </w:rPr>
        <w:t>酸性红</w:t>
      </w:r>
      <w:r>
        <w:rPr>
          <w:sz w:val="24"/>
        </w:rPr>
        <w:t>37</w:t>
      </w:r>
      <w:r>
        <w:rPr>
          <w:rFonts w:hAnsi="宋体"/>
          <w:sz w:val="24"/>
        </w:rPr>
        <w:t>产品质量指标</w:t>
      </w:r>
      <w:r>
        <w:rPr>
          <w:rFonts w:hAnsi="宋体"/>
          <w:bCs/>
          <w:spacing w:val="4"/>
          <w:sz w:val="24"/>
        </w:rPr>
        <w:t>一览表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4473"/>
        <w:gridCol w:w="4473"/>
      </w:tblGrid>
      <w:tr w:rsidR="00475650">
        <w:tc>
          <w:tcPr>
            <w:tcW w:w="4473" w:type="dxa"/>
            <w:vAlign w:val="center"/>
          </w:tcPr>
          <w:p w:rsidR="00475650" w:rsidRDefault="00475650">
            <w:pPr>
              <w:snapToGrid w:val="0"/>
              <w:jc w:val="center"/>
              <w:rPr>
                <w:szCs w:val="21"/>
              </w:rPr>
            </w:pPr>
            <w:r>
              <w:rPr>
                <w:rFonts w:hAnsi="宋体"/>
                <w:szCs w:val="21"/>
              </w:rPr>
              <w:t>项目</w:t>
            </w:r>
          </w:p>
        </w:tc>
        <w:tc>
          <w:tcPr>
            <w:tcW w:w="4473" w:type="dxa"/>
            <w:vAlign w:val="center"/>
          </w:tcPr>
          <w:p w:rsidR="00475650" w:rsidRDefault="00475650">
            <w:pPr>
              <w:snapToGrid w:val="0"/>
              <w:jc w:val="center"/>
              <w:rPr>
                <w:szCs w:val="21"/>
              </w:rPr>
            </w:pPr>
            <w:r>
              <w:rPr>
                <w:rFonts w:hAnsi="宋体"/>
                <w:szCs w:val="21"/>
              </w:rPr>
              <w:t>指标</w:t>
            </w:r>
          </w:p>
        </w:tc>
      </w:tr>
      <w:tr w:rsidR="00475650">
        <w:tc>
          <w:tcPr>
            <w:tcW w:w="4473" w:type="dxa"/>
            <w:vAlign w:val="center"/>
          </w:tcPr>
          <w:p w:rsidR="00475650" w:rsidRDefault="00475650">
            <w:pPr>
              <w:snapToGrid w:val="0"/>
              <w:jc w:val="center"/>
              <w:rPr>
                <w:szCs w:val="21"/>
              </w:rPr>
            </w:pPr>
            <w:r>
              <w:rPr>
                <w:rFonts w:hAnsi="宋体"/>
                <w:szCs w:val="21"/>
              </w:rPr>
              <w:t>外观</w:t>
            </w:r>
          </w:p>
        </w:tc>
        <w:tc>
          <w:tcPr>
            <w:tcW w:w="4473" w:type="dxa"/>
            <w:vAlign w:val="center"/>
          </w:tcPr>
          <w:p w:rsidR="00475650" w:rsidRDefault="00475650">
            <w:pPr>
              <w:snapToGrid w:val="0"/>
              <w:jc w:val="center"/>
              <w:rPr>
                <w:szCs w:val="21"/>
              </w:rPr>
            </w:pPr>
            <w:r>
              <w:rPr>
                <w:rFonts w:hAnsi="宋体"/>
                <w:szCs w:val="21"/>
              </w:rPr>
              <w:t>紫酱色粉末均匀粉末</w:t>
            </w:r>
          </w:p>
        </w:tc>
      </w:tr>
      <w:tr w:rsidR="00475650">
        <w:tc>
          <w:tcPr>
            <w:tcW w:w="4473" w:type="dxa"/>
            <w:vAlign w:val="center"/>
          </w:tcPr>
          <w:p w:rsidR="00475650" w:rsidRDefault="00475650">
            <w:pPr>
              <w:snapToGrid w:val="0"/>
              <w:jc w:val="center"/>
              <w:rPr>
                <w:szCs w:val="21"/>
              </w:rPr>
            </w:pPr>
            <w:r>
              <w:rPr>
                <w:rFonts w:hAnsi="宋体"/>
                <w:szCs w:val="21"/>
              </w:rPr>
              <w:t>标准力份</w:t>
            </w:r>
          </w:p>
        </w:tc>
        <w:tc>
          <w:tcPr>
            <w:tcW w:w="4473" w:type="dxa"/>
            <w:vAlign w:val="center"/>
          </w:tcPr>
          <w:p w:rsidR="00475650" w:rsidRDefault="00475650">
            <w:pPr>
              <w:snapToGrid w:val="0"/>
              <w:jc w:val="center"/>
              <w:rPr>
                <w:szCs w:val="21"/>
              </w:rPr>
            </w:pPr>
            <w:r>
              <w:rPr>
                <w:szCs w:val="21"/>
              </w:rPr>
              <w:t>200%</w:t>
            </w:r>
          </w:p>
        </w:tc>
      </w:tr>
      <w:tr w:rsidR="00475650">
        <w:tc>
          <w:tcPr>
            <w:tcW w:w="4473" w:type="dxa"/>
            <w:vAlign w:val="center"/>
          </w:tcPr>
          <w:p w:rsidR="00475650" w:rsidRDefault="00475650">
            <w:pPr>
              <w:snapToGrid w:val="0"/>
              <w:jc w:val="center"/>
              <w:rPr>
                <w:szCs w:val="21"/>
              </w:rPr>
            </w:pPr>
            <w:r>
              <w:rPr>
                <w:rFonts w:hAnsi="宋体"/>
                <w:szCs w:val="21"/>
              </w:rPr>
              <w:t>水分含量，</w:t>
            </w:r>
            <w:r>
              <w:rPr>
                <w:szCs w:val="21"/>
              </w:rPr>
              <w:t>%</w:t>
            </w:r>
          </w:p>
        </w:tc>
        <w:tc>
          <w:tcPr>
            <w:tcW w:w="4473" w:type="dxa"/>
            <w:vAlign w:val="center"/>
          </w:tcPr>
          <w:p w:rsidR="00475650" w:rsidRDefault="00475650">
            <w:pPr>
              <w:snapToGrid w:val="0"/>
              <w:jc w:val="center"/>
              <w:rPr>
                <w:szCs w:val="21"/>
              </w:rPr>
            </w:pPr>
            <w:r>
              <w:rPr>
                <w:szCs w:val="21"/>
              </w:rPr>
              <w:t>≤5</w:t>
            </w:r>
          </w:p>
        </w:tc>
      </w:tr>
      <w:tr w:rsidR="00475650">
        <w:tc>
          <w:tcPr>
            <w:tcW w:w="4473" w:type="dxa"/>
            <w:vAlign w:val="center"/>
          </w:tcPr>
          <w:p w:rsidR="00475650" w:rsidRDefault="00475650">
            <w:pPr>
              <w:snapToGrid w:val="0"/>
              <w:jc w:val="center"/>
              <w:rPr>
                <w:szCs w:val="21"/>
              </w:rPr>
            </w:pPr>
            <w:r>
              <w:rPr>
                <w:rFonts w:hAnsi="宋体"/>
                <w:szCs w:val="21"/>
              </w:rPr>
              <w:lastRenderedPageBreak/>
              <w:t>水中不溶物含量，</w:t>
            </w:r>
            <w:r>
              <w:rPr>
                <w:szCs w:val="21"/>
              </w:rPr>
              <w:t>%</w:t>
            </w:r>
          </w:p>
        </w:tc>
        <w:tc>
          <w:tcPr>
            <w:tcW w:w="4473" w:type="dxa"/>
            <w:vAlign w:val="center"/>
          </w:tcPr>
          <w:p w:rsidR="00475650" w:rsidRDefault="00475650">
            <w:pPr>
              <w:snapToGrid w:val="0"/>
              <w:jc w:val="center"/>
              <w:rPr>
                <w:szCs w:val="21"/>
              </w:rPr>
            </w:pPr>
            <w:r>
              <w:rPr>
                <w:szCs w:val="21"/>
              </w:rPr>
              <w:t>≤1</w:t>
            </w:r>
          </w:p>
        </w:tc>
      </w:tr>
      <w:tr w:rsidR="00475650">
        <w:tc>
          <w:tcPr>
            <w:tcW w:w="4473" w:type="dxa"/>
            <w:vAlign w:val="center"/>
          </w:tcPr>
          <w:p w:rsidR="00475650" w:rsidRDefault="00475650">
            <w:pPr>
              <w:snapToGrid w:val="0"/>
              <w:jc w:val="center"/>
              <w:rPr>
                <w:szCs w:val="21"/>
              </w:rPr>
            </w:pPr>
            <w:r>
              <w:rPr>
                <w:rFonts w:hAnsi="宋体"/>
                <w:szCs w:val="21"/>
              </w:rPr>
              <w:t>细度（通过</w:t>
            </w:r>
            <w:r>
              <w:rPr>
                <w:szCs w:val="21"/>
              </w:rPr>
              <w:t>250μm</w:t>
            </w:r>
            <w:r>
              <w:rPr>
                <w:rFonts w:hAnsi="宋体"/>
                <w:szCs w:val="21"/>
              </w:rPr>
              <w:t>筛残余物含量），</w:t>
            </w:r>
            <w:r>
              <w:rPr>
                <w:szCs w:val="21"/>
              </w:rPr>
              <w:t>%</w:t>
            </w:r>
          </w:p>
        </w:tc>
        <w:tc>
          <w:tcPr>
            <w:tcW w:w="4473" w:type="dxa"/>
            <w:vAlign w:val="center"/>
          </w:tcPr>
          <w:p w:rsidR="00475650" w:rsidRDefault="00475650">
            <w:pPr>
              <w:snapToGrid w:val="0"/>
              <w:jc w:val="center"/>
              <w:rPr>
                <w:szCs w:val="21"/>
              </w:rPr>
            </w:pPr>
            <w:r>
              <w:rPr>
                <w:szCs w:val="21"/>
              </w:rPr>
              <w:t>≤5</w:t>
            </w:r>
          </w:p>
        </w:tc>
      </w:tr>
    </w:tbl>
    <w:p w:rsidR="00475650" w:rsidRDefault="00475650">
      <w:pPr>
        <w:snapToGrid w:val="0"/>
        <w:spacing w:line="360" w:lineRule="auto"/>
        <w:ind w:firstLineChars="200" w:firstLine="496"/>
        <w:rPr>
          <w:spacing w:val="-4"/>
          <w:sz w:val="24"/>
        </w:rPr>
      </w:pPr>
      <w:r>
        <w:rPr>
          <w:bCs/>
          <w:spacing w:val="4"/>
          <w:sz w:val="24"/>
        </w:rPr>
        <w:t xml:space="preserve"> </w:t>
      </w:r>
      <w:bookmarkStart w:id="530" w:name="_Toc322522685"/>
      <w:r>
        <w:rPr>
          <w:spacing w:val="-4"/>
          <w:sz w:val="24"/>
        </w:rPr>
        <w:t>(2)</w:t>
      </w:r>
      <w:r>
        <w:rPr>
          <w:rFonts w:hAnsi="宋体"/>
          <w:spacing w:val="-4"/>
          <w:sz w:val="24"/>
        </w:rPr>
        <w:t>酸性黄</w:t>
      </w:r>
      <w:r>
        <w:rPr>
          <w:spacing w:val="-4"/>
          <w:sz w:val="24"/>
        </w:rPr>
        <w:t>49</w:t>
      </w:r>
    </w:p>
    <w:p w:rsidR="00475650" w:rsidRDefault="00475650">
      <w:pPr>
        <w:snapToGrid w:val="0"/>
        <w:spacing w:line="360" w:lineRule="auto"/>
        <w:ind w:firstLineChars="200" w:firstLine="464"/>
        <w:rPr>
          <w:spacing w:val="-4"/>
          <w:sz w:val="24"/>
        </w:rPr>
      </w:pPr>
      <w:r>
        <w:rPr>
          <w:rFonts w:hAnsi="宋体"/>
          <w:spacing w:val="-4"/>
          <w:sz w:val="24"/>
        </w:rPr>
        <w:t>酸性黄</w:t>
      </w:r>
      <w:r>
        <w:rPr>
          <w:spacing w:val="-4"/>
          <w:sz w:val="24"/>
        </w:rPr>
        <w:t>49</w:t>
      </w:r>
      <w:r>
        <w:rPr>
          <w:rFonts w:hAnsi="宋体"/>
          <w:spacing w:val="-4"/>
          <w:sz w:val="24"/>
        </w:rPr>
        <w:t>为紫酱色粉末，极易溶于水，在水中溶解度</w:t>
      </w:r>
      <w:r>
        <w:rPr>
          <w:spacing w:val="-4"/>
          <w:sz w:val="24"/>
        </w:rPr>
        <w:t>(100</w:t>
      </w:r>
      <w:r>
        <w:rPr>
          <w:rFonts w:hAnsi="宋体"/>
          <w:spacing w:val="-4"/>
          <w:sz w:val="24"/>
        </w:rPr>
        <w:t>℃</w:t>
      </w:r>
      <w:r>
        <w:rPr>
          <w:spacing w:val="-4"/>
          <w:sz w:val="24"/>
        </w:rPr>
        <w:t>)</w:t>
      </w:r>
      <w:r>
        <w:rPr>
          <w:rFonts w:hAnsi="宋体"/>
          <w:spacing w:val="-4"/>
          <w:sz w:val="24"/>
        </w:rPr>
        <w:t>为</w:t>
      </w:r>
      <w:r>
        <w:rPr>
          <w:spacing w:val="-4"/>
          <w:sz w:val="24"/>
        </w:rPr>
        <w:t>200g/L</w:t>
      </w:r>
      <w:r>
        <w:rPr>
          <w:rFonts w:hAnsi="宋体"/>
          <w:spacing w:val="-4"/>
          <w:sz w:val="24"/>
        </w:rPr>
        <w:t>。水溶液为黄色，染色时遇</w:t>
      </w:r>
      <w:hyperlink r:id="rId19" w:tgtFrame="_blank" w:history="1">
        <w:r>
          <w:rPr>
            <w:rFonts w:hAnsi="宋体"/>
            <w:spacing w:val="-4"/>
            <w:sz w:val="24"/>
          </w:rPr>
          <w:t>铜</w:t>
        </w:r>
      </w:hyperlink>
      <w:r>
        <w:rPr>
          <w:rFonts w:hAnsi="宋体"/>
          <w:spacing w:val="-4"/>
          <w:sz w:val="24"/>
        </w:rPr>
        <w:t>、</w:t>
      </w:r>
      <w:hyperlink r:id="rId20" w:tgtFrame="_blank" w:history="1">
        <w:r>
          <w:rPr>
            <w:rFonts w:hAnsi="宋体"/>
            <w:spacing w:val="-4"/>
            <w:sz w:val="24"/>
          </w:rPr>
          <w:t>铁</w:t>
        </w:r>
      </w:hyperlink>
      <w:r>
        <w:rPr>
          <w:rFonts w:hAnsi="宋体"/>
          <w:spacing w:val="-4"/>
          <w:sz w:val="24"/>
        </w:rPr>
        <w:t>离子色光稍暗。其产品规格如下：</w:t>
      </w:r>
    </w:p>
    <w:p w:rsidR="00475650" w:rsidRDefault="00475650">
      <w:pPr>
        <w:adjustRightInd w:val="0"/>
        <w:snapToGrid w:val="0"/>
        <w:spacing w:line="360" w:lineRule="auto"/>
        <w:jc w:val="center"/>
        <w:rPr>
          <w:bCs/>
          <w:spacing w:val="4"/>
          <w:sz w:val="24"/>
        </w:rPr>
      </w:pPr>
      <w:r>
        <w:rPr>
          <w:rFonts w:hAnsi="宋体"/>
          <w:sz w:val="24"/>
        </w:rPr>
        <w:t>表</w:t>
      </w:r>
      <w:r>
        <w:rPr>
          <w:sz w:val="24"/>
        </w:rPr>
        <w:t xml:space="preserve">3.3-2   </w:t>
      </w:r>
      <w:r>
        <w:rPr>
          <w:rFonts w:hAnsi="宋体"/>
          <w:sz w:val="24"/>
        </w:rPr>
        <w:t>酸性黄</w:t>
      </w:r>
      <w:r>
        <w:rPr>
          <w:sz w:val="24"/>
        </w:rPr>
        <w:t>49</w:t>
      </w:r>
      <w:r>
        <w:rPr>
          <w:rFonts w:hAnsi="宋体"/>
          <w:sz w:val="24"/>
        </w:rPr>
        <w:t>产品质量指标</w:t>
      </w:r>
      <w:r>
        <w:rPr>
          <w:rFonts w:hAnsi="宋体"/>
          <w:bCs/>
          <w:spacing w:val="4"/>
          <w:sz w:val="24"/>
        </w:rPr>
        <w:t>一览表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4473"/>
        <w:gridCol w:w="4473"/>
      </w:tblGrid>
      <w:tr w:rsidR="00475650">
        <w:tc>
          <w:tcPr>
            <w:tcW w:w="4473" w:type="dxa"/>
            <w:vAlign w:val="center"/>
          </w:tcPr>
          <w:p w:rsidR="00475650" w:rsidRDefault="00475650">
            <w:pPr>
              <w:snapToGrid w:val="0"/>
              <w:jc w:val="center"/>
              <w:rPr>
                <w:szCs w:val="21"/>
              </w:rPr>
            </w:pPr>
            <w:r>
              <w:rPr>
                <w:rFonts w:hAnsi="宋体"/>
                <w:szCs w:val="21"/>
              </w:rPr>
              <w:t>项目</w:t>
            </w:r>
          </w:p>
        </w:tc>
        <w:tc>
          <w:tcPr>
            <w:tcW w:w="4473" w:type="dxa"/>
            <w:vAlign w:val="center"/>
          </w:tcPr>
          <w:p w:rsidR="00475650" w:rsidRDefault="00475650">
            <w:pPr>
              <w:snapToGrid w:val="0"/>
              <w:jc w:val="center"/>
              <w:rPr>
                <w:szCs w:val="21"/>
              </w:rPr>
            </w:pPr>
            <w:r>
              <w:rPr>
                <w:rFonts w:hAnsi="宋体"/>
                <w:szCs w:val="21"/>
              </w:rPr>
              <w:t>指标</w:t>
            </w:r>
          </w:p>
        </w:tc>
      </w:tr>
      <w:tr w:rsidR="00475650">
        <w:tc>
          <w:tcPr>
            <w:tcW w:w="4473" w:type="dxa"/>
            <w:vAlign w:val="center"/>
          </w:tcPr>
          <w:p w:rsidR="00475650" w:rsidRDefault="00475650">
            <w:pPr>
              <w:snapToGrid w:val="0"/>
              <w:jc w:val="center"/>
              <w:rPr>
                <w:szCs w:val="21"/>
              </w:rPr>
            </w:pPr>
            <w:r>
              <w:rPr>
                <w:rFonts w:hAnsi="宋体"/>
                <w:szCs w:val="21"/>
              </w:rPr>
              <w:t>含量，</w:t>
            </w:r>
            <w:r>
              <w:rPr>
                <w:szCs w:val="21"/>
              </w:rPr>
              <w:t>%</w:t>
            </w:r>
          </w:p>
        </w:tc>
        <w:tc>
          <w:tcPr>
            <w:tcW w:w="4473" w:type="dxa"/>
            <w:vAlign w:val="center"/>
          </w:tcPr>
          <w:p w:rsidR="00475650" w:rsidRDefault="00475650">
            <w:pPr>
              <w:snapToGrid w:val="0"/>
              <w:jc w:val="center"/>
              <w:rPr>
                <w:szCs w:val="21"/>
              </w:rPr>
            </w:pPr>
            <w:r>
              <w:rPr>
                <w:szCs w:val="21"/>
              </w:rPr>
              <w:t>≥99%</w:t>
            </w:r>
          </w:p>
        </w:tc>
      </w:tr>
      <w:tr w:rsidR="00475650">
        <w:tc>
          <w:tcPr>
            <w:tcW w:w="4473" w:type="dxa"/>
            <w:vAlign w:val="center"/>
          </w:tcPr>
          <w:p w:rsidR="00475650" w:rsidRDefault="00475650">
            <w:pPr>
              <w:snapToGrid w:val="0"/>
              <w:jc w:val="center"/>
              <w:rPr>
                <w:szCs w:val="21"/>
              </w:rPr>
            </w:pPr>
            <w:r>
              <w:rPr>
                <w:rFonts w:hAnsi="宋体"/>
                <w:szCs w:val="21"/>
              </w:rPr>
              <w:t>标准力份</w:t>
            </w:r>
          </w:p>
        </w:tc>
        <w:tc>
          <w:tcPr>
            <w:tcW w:w="4473" w:type="dxa"/>
            <w:vAlign w:val="center"/>
          </w:tcPr>
          <w:p w:rsidR="00475650" w:rsidRDefault="00475650">
            <w:pPr>
              <w:snapToGrid w:val="0"/>
              <w:jc w:val="center"/>
              <w:rPr>
                <w:szCs w:val="21"/>
              </w:rPr>
            </w:pPr>
            <w:r>
              <w:rPr>
                <w:szCs w:val="21"/>
              </w:rPr>
              <w:t>200%</w:t>
            </w:r>
          </w:p>
        </w:tc>
      </w:tr>
      <w:tr w:rsidR="00475650">
        <w:tc>
          <w:tcPr>
            <w:tcW w:w="4473" w:type="dxa"/>
            <w:vAlign w:val="center"/>
          </w:tcPr>
          <w:p w:rsidR="00475650" w:rsidRDefault="00475650">
            <w:pPr>
              <w:snapToGrid w:val="0"/>
              <w:jc w:val="center"/>
              <w:rPr>
                <w:szCs w:val="21"/>
              </w:rPr>
            </w:pPr>
            <w:r>
              <w:rPr>
                <w:rFonts w:hAnsi="宋体"/>
                <w:szCs w:val="21"/>
              </w:rPr>
              <w:t>溶</w:t>
            </w:r>
            <w:r>
              <w:rPr>
                <w:szCs w:val="21"/>
              </w:rPr>
              <w:t xml:space="preserve"> </w:t>
            </w:r>
            <w:r>
              <w:rPr>
                <w:rFonts w:hAnsi="宋体"/>
                <w:szCs w:val="21"/>
              </w:rPr>
              <w:t>解</w:t>
            </w:r>
            <w:r>
              <w:rPr>
                <w:szCs w:val="21"/>
              </w:rPr>
              <w:t xml:space="preserve"> </w:t>
            </w:r>
            <w:r>
              <w:rPr>
                <w:rFonts w:hAnsi="宋体"/>
                <w:szCs w:val="21"/>
              </w:rPr>
              <w:t>度</w:t>
            </w:r>
          </w:p>
        </w:tc>
        <w:tc>
          <w:tcPr>
            <w:tcW w:w="4473" w:type="dxa"/>
            <w:vAlign w:val="center"/>
          </w:tcPr>
          <w:p w:rsidR="00475650" w:rsidRDefault="00475650">
            <w:pPr>
              <w:snapToGrid w:val="0"/>
              <w:jc w:val="center"/>
              <w:rPr>
                <w:szCs w:val="21"/>
              </w:rPr>
            </w:pPr>
            <w:r>
              <w:rPr>
                <w:szCs w:val="21"/>
              </w:rPr>
              <w:t>80</w:t>
            </w:r>
            <w:r>
              <w:rPr>
                <w:rFonts w:hAnsi="宋体"/>
                <w:szCs w:val="21"/>
              </w:rPr>
              <w:t>克</w:t>
            </w:r>
            <w:r>
              <w:rPr>
                <w:szCs w:val="21"/>
              </w:rPr>
              <w:t>/</w:t>
            </w:r>
            <w:r>
              <w:rPr>
                <w:rFonts w:hAnsi="宋体"/>
                <w:szCs w:val="21"/>
              </w:rPr>
              <w:t>升（</w:t>
            </w:r>
            <w:r>
              <w:rPr>
                <w:szCs w:val="21"/>
              </w:rPr>
              <w:t>90</w:t>
            </w:r>
            <w:r>
              <w:rPr>
                <w:rFonts w:hAnsi="宋体"/>
                <w:szCs w:val="21"/>
              </w:rPr>
              <w:t>℃）</w:t>
            </w:r>
          </w:p>
        </w:tc>
      </w:tr>
      <w:tr w:rsidR="00475650">
        <w:tc>
          <w:tcPr>
            <w:tcW w:w="4473" w:type="dxa"/>
            <w:vAlign w:val="center"/>
          </w:tcPr>
          <w:p w:rsidR="00475650" w:rsidRDefault="00475650">
            <w:pPr>
              <w:snapToGrid w:val="0"/>
              <w:jc w:val="center"/>
              <w:rPr>
                <w:szCs w:val="21"/>
              </w:rPr>
            </w:pPr>
            <w:r>
              <w:rPr>
                <w:rFonts w:hAnsi="宋体"/>
                <w:szCs w:val="21"/>
              </w:rPr>
              <w:t>水不溶物</w:t>
            </w:r>
          </w:p>
        </w:tc>
        <w:tc>
          <w:tcPr>
            <w:tcW w:w="4473" w:type="dxa"/>
            <w:vAlign w:val="center"/>
          </w:tcPr>
          <w:p w:rsidR="00475650" w:rsidRDefault="00475650">
            <w:pPr>
              <w:snapToGrid w:val="0"/>
              <w:jc w:val="center"/>
              <w:rPr>
                <w:szCs w:val="21"/>
              </w:rPr>
            </w:pPr>
            <w:r>
              <w:rPr>
                <w:szCs w:val="21"/>
              </w:rPr>
              <w:t>≤0.2%</w:t>
            </w:r>
          </w:p>
        </w:tc>
      </w:tr>
      <w:tr w:rsidR="00475650">
        <w:tc>
          <w:tcPr>
            <w:tcW w:w="4473" w:type="dxa"/>
            <w:vAlign w:val="center"/>
          </w:tcPr>
          <w:p w:rsidR="00475650" w:rsidRDefault="00475650">
            <w:pPr>
              <w:snapToGrid w:val="0"/>
              <w:jc w:val="center"/>
              <w:rPr>
                <w:szCs w:val="21"/>
              </w:rPr>
            </w:pPr>
            <w:r>
              <w:rPr>
                <w:rFonts w:hAnsi="宋体"/>
                <w:szCs w:val="21"/>
              </w:rPr>
              <w:t>防</w:t>
            </w:r>
            <w:r>
              <w:rPr>
                <w:szCs w:val="21"/>
              </w:rPr>
              <w:t xml:space="preserve"> </w:t>
            </w:r>
            <w:r>
              <w:rPr>
                <w:rFonts w:hAnsi="宋体"/>
                <w:szCs w:val="21"/>
              </w:rPr>
              <w:t>尘</w:t>
            </w:r>
            <w:r>
              <w:rPr>
                <w:szCs w:val="21"/>
              </w:rPr>
              <w:t xml:space="preserve"> </w:t>
            </w:r>
            <w:r>
              <w:rPr>
                <w:rFonts w:hAnsi="宋体"/>
                <w:szCs w:val="21"/>
              </w:rPr>
              <w:t>性</w:t>
            </w:r>
          </w:p>
        </w:tc>
        <w:tc>
          <w:tcPr>
            <w:tcW w:w="4473" w:type="dxa"/>
            <w:vAlign w:val="center"/>
          </w:tcPr>
          <w:p w:rsidR="00475650" w:rsidRDefault="00475650">
            <w:pPr>
              <w:snapToGrid w:val="0"/>
              <w:jc w:val="center"/>
              <w:rPr>
                <w:szCs w:val="21"/>
              </w:rPr>
            </w:pPr>
            <w:r>
              <w:rPr>
                <w:rFonts w:hAnsi="宋体"/>
                <w:szCs w:val="21"/>
              </w:rPr>
              <w:t>＞</w:t>
            </w:r>
            <w:r>
              <w:rPr>
                <w:szCs w:val="21"/>
              </w:rPr>
              <w:t>3</w:t>
            </w:r>
            <w:r>
              <w:rPr>
                <w:rFonts w:hAnsi="宋体"/>
                <w:szCs w:val="21"/>
              </w:rPr>
              <w:t>级</w:t>
            </w:r>
          </w:p>
        </w:tc>
      </w:tr>
      <w:tr w:rsidR="00475650">
        <w:tc>
          <w:tcPr>
            <w:tcW w:w="4473" w:type="dxa"/>
            <w:vAlign w:val="center"/>
          </w:tcPr>
          <w:p w:rsidR="00475650" w:rsidRDefault="00475650">
            <w:pPr>
              <w:snapToGrid w:val="0"/>
              <w:jc w:val="center"/>
              <w:rPr>
                <w:szCs w:val="21"/>
              </w:rPr>
            </w:pPr>
            <w:r>
              <w:rPr>
                <w:rFonts w:hAnsi="宋体"/>
                <w:szCs w:val="21"/>
              </w:rPr>
              <w:t>细度（</w:t>
            </w:r>
            <w:r>
              <w:rPr>
                <w:szCs w:val="21"/>
              </w:rPr>
              <w:t>80</w:t>
            </w:r>
            <w:r>
              <w:rPr>
                <w:rFonts w:hAnsi="宋体"/>
                <w:szCs w:val="21"/>
              </w:rPr>
              <w:t>目筛余率）</w:t>
            </w:r>
          </w:p>
        </w:tc>
        <w:tc>
          <w:tcPr>
            <w:tcW w:w="4473" w:type="dxa"/>
            <w:vAlign w:val="center"/>
          </w:tcPr>
          <w:p w:rsidR="00475650" w:rsidRDefault="00475650">
            <w:pPr>
              <w:snapToGrid w:val="0"/>
              <w:jc w:val="center"/>
              <w:rPr>
                <w:szCs w:val="21"/>
              </w:rPr>
            </w:pPr>
            <w:r>
              <w:rPr>
                <w:szCs w:val="21"/>
              </w:rPr>
              <w:t>≥90%</w:t>
            </w:r>
          </w:p>
        </w:tc>
      </w:tr>
    </w:tbl>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531" w:name="_Toc334014139"/>
      <w:bookmarkStart w:id="532" w:name="_Toc334080781"/>
      <w:bookmarkStart w:id="533" w:name="_Toc302936772"/>
      <w:bookmarkStart w:id="534" w:name="_Toc465676987"/>
      <w:bookmarkStart w:id="535" w:name="_Toc32343"/>
      <w:bookmarkStart w:id="536" w:name="_Toc333229947"/>
      <w:bookmarkStart w:id="537" w:name="_Toc332292992"/>
      <w:bookmarkEnd w:id="530"/>
      <w:r>
        <w:rPr>
          <w:rStyle w:val="2Char1Char"/>
          <w:rFonts w:ascii="Times New Roman" w:eastAsia="宋体" w:hAnsi="Times New Roman" w:cs="Times New Roman"/>
          <w:b w:val="0"/>
          <w:sz w:val="24"/>
          <w:szCs w:val="24"/>
        </w:rPr>
        <w:t xml:space="preserve">3.3.2 </w:t>
      </w:r>
      <w:r>
        <w:rPr>
          <w:rStyle w:val="2Char1Char"/>
          <w:rFonts w:ascii="Times New Roman" w:eastAsia="宋体" w:hAnsi="宋体" w:cs="Times New Roman"/>
          <w:b w:val="0"/>
          <w:sz w:val="24"/>
          <w:szCs w:val="24"/>
        </w:rPr>
        <w:t>生产设备</w:t>
      </w:r>
      <w:bookmarkEnd w:id="531"/>
      <w:bookmarkEnd w:id="532"/>
      <w:bookmarkEnd w:id="533"/>
      <w:bookmarkEnd w:id="534"/>
      <w:bookmarkEnd w:id="535"/>
      <w:bookmarkEnd w:id="536"/>
      <w:bookmarkEnd w:id="537"/>
    </w:p>
    <w:p w:rsidR="00475650" w:rsidRDefault="00475650">
      <w:pPr>
        <w:snapToGrid w:val="0"/>
        <w:spacing w:line="360" w:lineRule="auto"/>
        <w:ind w:firstLineChars="200" w:firstLine="464"/>
        <w:rPr>
          <w:spacing w:val="-4"/>
          <w:sz w:val="24"/>
          <w:u w:val="single"/>
        </w:rPr>
      </w:pPr>
      <w:r>
        <w:rPr>
          <w:rFonts w:hAnsi="宋体"/>
          <w:spacing w:val="-4"/>
          <w:sz w:val="24"/>
          <w:u w:val="single"/>
        </w:rPr>
        <w:t>根据可研设计，本项目需要购置重氮反应釜、偶合反应釜、贮槽、压滤机、破碎机、烘箱等生产、环保、检测设备，详见表</w:t>
      </w:r>
      <w:r>
        <w:rPr>
          <w:spacing w:val="-4"/>
          <w:sz w:val="24"/>
          <w:u w:val="single"/>
        </w:rPr>
        <w:t>3.3-3</w:t>
      </w:r>
      <w:r>
        <w:rPr>
          <w:rFonts w:hAnsi="宋体"/>
          <w:spacing w:val="-4"/>
          <w:sz w:val="24"/>
          <w:u w:val="single"/>
        </w:rPr>
        <w:t>。</w:t>
      </w:r>
      <w:r>
        <w:rPr>
          <w:rFonts w:hAnsi="宋体" w:hint="eastAsia"/>
          <w:spacing w:val="-4"/>
          <w:sz w:val="24"/>
          <w:u w:val="single"/>
        </w:rPr>
        <w:t>本项目主体设备已建成，经过环评小组实地考察，现建成的各反应釜均为敞开装置配套机械搅拌设施，不能满足清洁生产要求，应采用国内先进的防腐生产设备并加盖设为密封装置，已建成的烘干及计量设备已生锈，应拆除全部置换为国内先进生产设备，采用密闭生产；已建成的破碎机为球磨破碎机，设于专用的破碎车间，可保留，并于破碎机房内增设负压吸收装置及除尘设施。保留的设备不属于《产业结构调整指导目录》（</w:t>
      </w:r>
      <w:r>
        <w:rPr>
          <w:rFonts w:hAnsi="宋体" w:hint="eastAsia"/>
          <w:spacing w:val="-4"/>
          <w:sz w:val="24"/>
          <w:u w:val="single"/>
        </w:rPr>
        <w:t>2013</w:t>
      </w:r>
      <w:r>
        <w:rPr>
          <w:rFonts w:hAnsi="宋体" w:hint="eastAsia"/>
          <w:spacing w:val="-4"/>
          <w:sz w:val="24"/>
          <w:u w:val="single"/>
        </w:rPr>
        <w:t>年修改版）中“限制类”及“淘汰类”设备类型。</w:t>
      </w:r>
    </w:p>
    <w:p w:rsidR="00475650" w:rsidRDefault="00475650">
      <w:pPr>
        <w:adjustRightInd w:val="0"/>
        <w:snapToGrid w:val="0"/>
        <w:spacing w:line="360" w:lineRule="auto"/>
        <w:jc w:val="center"/>
        <w:rPr>
          <w:bCs/>
          <w:spacing w:val="4"/>
          <w:sz w:val="24"/>
          <w:u w:val="single"/>
        </w:rPr>
      </w:pPr>
      <w:r>
        <w:rPr>
          <w:rFonts w:hAnsi="宋体"/>
          <w:bCs/>
          <w:spacing w:val="4"/>
          <w:sz w:val="24"/>
          <w:u w:val="single"/>
        </w:rPr>
        <w:t>表</w:t>
      </w:r>
      <w:r>
        <w:rPr>
          <w:bCs/>
          <w:spacing w:val="4"/>
          <w:sz w:val="24"/>
          <w:u w:val="single"/>
        </w:rPr>
        <w:t xml:space="preserve">3.3-3    </w:t>
      </w:r>
      <w:r>
        <w:rPr>
          <w:rFonts w:hAnsi="宋体"/>
          <w:bCs/>
          <w:spacing w:val="4"/>
          <w:sz w:val="24"/>
          <w:u w:val="single"/>
        </w:rPr>
        <w:t>装置主要</w:t>
      </w:r>
      <w:r>
        <w:rPr>
          <w:rFonts w:hAnsi="宋体" w:hint="eastAsia"/>
          <w:bCs/>
          <w:spacing w:val="4"/>
          <w:sz w:val="24"/>
          <w:u w:val="single"/>
        </w:rPr>
        <w:t>生产</w:t>
      </w:r>
      <w:r>
        <w:rPr>
          <w:rFonts w:hAnsi="宋体"/>
          <w:bCs/>
          <w:spacing w:val="4"/>
          <w:sz w:val="24"/>
          <w:u w:val="single"/>
        </w:rPr>
        <w:t>设备汇总表</w:t>
      </w:r>
    </w:p>
    <w:tbl>
      <w:tblPr>
        <w:tblW w:w="91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981"/>
        <w:gridCol w:w="1864"/>
        <w:gridCol w:w="1232"/>
        <w:gridCol w:w="993"/>
        <w:gridCol w:w="992"/>
        <w:gridCol w:w="3118"/>
      </w:tblGrid>
      <w:tr w:rsidR="00475650" w:rsidTr="00475650">
        <w:tc>
          <w:tcPr>
            <w:tcW w:w="981" w:type="dxa"/>
            <w:vAlign w:val="center"/>
          </w:tcPr>
          <w:p w:rsidR="00475650" w:rsidRDefault="00475650">
            <w:pPr>
              <w:snapToGrid w:val="0"/>
              <w:jc w:val="center"/>
              <w:rPr>
                <w:szCs w:val="21"/>
                <w:u w:val="single"/>
              </w:rPr>
            </w:pPr>
            <w:r>
              <w:rPr>
                <w:rFonts w:hAnsi="宋体"/>
                <w:szCs w:val="21"/>
                <w:u w:val="single"/>
              </w:rPr>
              <w:t>序号</w:t>
            </w:r>
          </w:p>
        </w:tc>
        <w:tc>
          <w:tcPr>
            <w:tcW w:w="1864" w:type="dxa"/>
            <w:vAlign w:val="center"/>
          </w:tcPr>
          <w:p w:rsidR="00475650" w:rsidRDefault="00475650">
            <w:pPr>
              <w:snapToGrid w:val="0"/>
              <w:jc w:val="center"/>
              <w:rPr>
                <w:szCs w:val="21"/>
                <w:u w:val="single"/>
              </w:rPr>
            </w:pPr>
            <w:r>
              <w:rPr>
                <w:rFonts w:hAnsi="宋体"/>
                <w:szCs w:val="21"/>
                <w:u w:val="single"/>
              </w:rPr>
              <w:t>设备名称</w:t>
            </w:r>
          </w:p>
        </w:tc>
        <w:tc>
          <w:tcPr>
            <w:tcW w:w="1232" w:type="dxa"/>
            <w:vAlign w:val="center"/>
          </w:tcPr>
          <w:p w:rsidR="00475650" w:rsidRDefault="00475650">
            <w:pPr>
              <w:snapToGrid w:val="0"/>
              <w:jc w:val="center"/>
              <w:rPr>
                <w:szCs w:val="21"/>
                <w:u w:val="single"/>
              </w:rPr>
            </w:pPr>
            <w:r>
              <w:rPr>
                <w:rFonts w:hAnsi="宋体"/>
                <w:szCs w:val="21"/>
                <w:u w:val="single"/>
              </w:rPr>
              <w:t>规格型号</w:t>
            </w:r>
          </w:p>
        </w:tc>
        <w:tc>
          <w:tcPr>
            <w:tcW w:w="993" w:type="dxa"/>
            <w:vAlign w:val="center"/>
          </w:tcPr>
          <w:p w:rsidR="00475650" w:rsidRDefault="00475650">
            <w:pPr>
              <w:snapToGrid w:val="0"/>
              <w:jc w:val="center"/>
              <w:rPr>
                <w:szCs w:val="21"/>
                <w:u w:val="single"/>
              </w:rPr>
            </w:pPr>
            <w:r>
              <w:rPr>
                <w:rFonts w:hAnsi="宋体"/>
                <w:szCs w:val="21"/>
                <w:u w:val="single"/>
              </w:rPr>
              <w:t>单位</w:t>
            </w:r>
          </w:p>
        </w:tc>
        <w:tc>
          <w:tcPr>
            <w:tcW w:w="992" w:type="dxa"/>
            <w:vAlign w:val="center"/>
          </w:tcPr>
          <w:p w:rsidR="00475650" w:rsidRDefault="00475650">
            <w:pPr>
              <w:snapToGrid w:val="0"/>
              <w:jc w:val="center"/>
              <w:rPr>
                <w:szCs w:val="21"/>
                <w:u w:val="single"/>
              </w:rPr>
            </w:pPr>
            <w:r>
              <w:rPr>
                <w:rFonts w:hAnsi="宋体"/>
                <w:szCs w:val="21"/>
                <w:u w:val="single"/>
              </w:rPr>
              <w:t>数量</w:t>
            </w:r>
          </w:p>
        </w:tc>
        <w:tc>
          <w:tcPr>
            <w:tcW w:w="3118" w:type="dxa"/>
            <w:vAlign w:val="center"/>
          </w:tcPr>
          <w:p w:rsidR="00475650" w:rsidRDefault="00475650">
            <w:pPr>
              <w:snapToGrid w:val="0"/>
              <w:jc w:val="center"/>
              <w:rPr>
                <w:szCs w:val="21"/>
                <w:u w:val="single"/>
              </w:rPr>
            </w:pPr>
            <w:r>
              <w:rPr>
                <w:rFonts w:hAnsi="宋体"/>
                <w:szCs w:val="21"/>
                <w:u w:val="single"/>
              </w:rPr>
              <w:t>备注</w:t>
            </w:r>
          </w:p>
        </w:tc>
      </w:tr>
      <w:tr w:rsidR="00475650" w:rsidTr="00475650">
        <w:tc>
          <w:tcPr>
            <w:tcW w:w="981" w:type="dxa"/>
            <w:vAlign w:val="center"/>
          </w:tcPr>
          <w:p w:rsidR="00475650" w:rsidRDefault="00475650">
            <w:pPr>
              <w:jc w:val="center"/>
              <w:rPr>
                <w:szCs w:val="21"/>
                <w:u w:val="single"/>
              </w:rPr>
            </w:pPr>
            <w:r>
              <w:rPr>
                <w:rFonts w:hAnsi="宋体"/>
                <w:szCs w:val="21"/>
                <w:u w:val="single"/>
              </w:rPr>
              <w:t>一</w:t>
            </w:r>
          </w:p>
        </w:tc>
        <w:tc>
          <w:tcPr>
            <w:tcW w:w="8199" w:type="dxa"/>
            <w:gridSpan w:val="5"/>
            <w:vAlign w:val="center"/>
          </w:tcPr>
          <w:p w:rsidR="00475650" w:rsidRDefault="00475650">
            <w:pPr>
              <w:jc w:val="center"/>
              <w:rPr>
                <w:szCs w:val="21"/>
                <w:u w:val="single"/>
              </w:rPr>
            </w:pPr>
            <w:r>
              <w:rPr>
                <w:rFonts w:hAnsi="宋体"/>
                <w:u w:val="single"/>
              </w:rPr>
              <w:t>酸性红</w:t>
            </w:r>
            <w:r>
              <w:rPr>
                <w:u w:val="single"/>
              </w:rPr>
              <w:t>37</w:t>
            </w:r>
            <w:r>
              <w:rPr>
                <w:rFonts w:hAnsi="宋体"/>
                <w:u w:val="single"/>
              </w:rPr>
              <w:t>生产线主要设备</w:t>
            </w:r>
          </w:p>
        </w:tc>
      </w:tr>
      <w:tr w:rsidR="00475650" w:rsidTr="00475650">
        <w:tc>
          <w:tcPr>
            <w:tcW w:w="981" w:type="dxa"/>
            <w:vAlign w:val="center"/>
          </w:tcPr>
          <w:p w:rsidR="00475650" w:rsidRDefault="00475650">
            <w:pPr>
              <w:snapToGrid w:val="0"/>
              <w:jc w:val="center"/>
              <w:rPr>
                <w:szCs w:val="21"/>
                <w:u w:val="single"/>
              </w:rPr>
            </w:pPr>
            <w:r>
              <w:rPr>
                <w:szCs w:val="21"/>
                <w:u w:val="single"/>
              </w:rPr>
              <w:t>1</w:t>
            </w:r>
          </w:p>
        </w:tc>
        <w:tc>
          <w:tcPr>
            <w:tcW w:w="1864" w:type="dxa"/>
            <w:vAlign w:val="center"/>
          </w:tcPr>
          <w:p w:rsidR="00475650" w:rsidRDefault="00475650">
            <w:pPr>
              <w:snapToGrid w:val="0"/>
              <w:jc w:val="center"/>
              <w:rPr>
                <w:szCs w:val="21"/>
                <w:u w:val="single"/>
              </w:rPr>
            </w:pPr>
            <w:r>
              <w:rPr>
                <w:rFonts w:hAnsi="宋体"/>
                <w:szCs w:val="21"/>
                <w:u w:val="single"/>
              </w:rPr>
              <w:t>酰化反应釜</w:t>
            </w:r>
          </w:p>
        </w:tc>
        <w:tc>
          <w:tcPr>
            <w:tcW w:w="1232" w:type="dxa"/>
            <w:vAlign w:val="center"/>
          </w:tcPr>
          <w:p w:rsidR="00475650" w:rsidRDefault="00475650">
            <w:pPr>
              <w:snapToGrid w:val="0"/>
              <w:jc w:val="center"/>
              <w:rPr>
                <w:szCs w:val="21"/>
                <w:u w:val="single"/>
              </w:rPr>
            </w:pPr>
            <w:r>
              <w:rPr>
                <w:szCs w:val="21"/>
                <w:u w:val="single"/>
              </w:rPr>
              <w:t>2000L</w:t>
            </w:r>
          </w:p>
        </w:tc>
        <w:tc>
          <w:tcPr>
            <w:tcW w:w="993" w:type="dxa"/>
            <w:vAlign w:val="center"/>
          </w:tcPr>
          <w:p w:rsidR="00475650" w:rsidRDefault="00475650">
            <w:pPr>
              <w:snapToGrid w:val="0"/>
              <w:jc w:val="center"/>
              <w:rPr>
                <w:szCs w:val="21"/>
                <w:u w:val="single"/>
              </w:rPr>
            </w:pPr>
            <w:r>
              <w:rPr>
                <w:rFonts w:hAnsi="宋体"/>
                <w:szCs w:val="21"/>
                <w:u w:val="single"/>
              </w:rPr>
              <w:t>台</w:t>
            </w:r>
          </w:p>
        </w:tc>
        <w:tc>
          <w:tcPr>
            <w:tcW w:w="992" w:type="dxa"/>
            <w:vAlign w:val="center"/>
          </w:tcPr>
          <w:p w:rsidR="00475650" w:rsidRDefault="00475650">
            <w:pPr>
              <w:snapToGrid w:val="0"/>
              <w:jc w:val="center"/>
              <w:rPr>
                <w:szCs w:val="21"/>
                <w:u w:val="single"/>
              </w:rPr>
            </w:pPr>
            <w:r>
              <w:rPr>
                <w:szCs w:val="21"/>
                <w:u w:val="single"/>
              </w:rPr>
              <w:t>2</w:t>
            </w:r>
          </w:p>
        </w:tc>
        <w:tc>
          <w:tcPr>
            <w:tcW w:w="3118" w:type="dxa"/>
            <w:vMerge w:val="restart"/>
            <w:vAlign w:val="center"/>
          </w:tcPr>
          <w:p w:rsidR="00475650" w:rsidRDefault="00475650">
            <w:pPr>
              <w:snapToGrid w:val="0"/>
              <w:jc w:val="center"/>
              <w:rPr>
                <w:szCs w:val="21"/>
                <w:u w:val="single"/>
              </w:rPr>
            </w:pPr>
            <w:r>
              <w:rPr>
                <w:rFonts w:hint="eastAsia"/>
                <w:szCs w:val="21"/>
                <w:u w:val="single"/>
              </w:rPr>
              <w:t>已建成，属于敞口设备，应拆除新建全密封性防腐设备</w:t>
            </w:r>
          </w:p>
        </w:tc>
      </w:tr>
      <w:tr w:rsidR="00475650" w:rsidTr="00475650">
        <w:tc>
          <w:tcPr>
            <w:tcW w:w="981" w:type="dxa"/>
            <w:vAlign w:val="center"/>
          </w:tcPr>
          <w:p w:rsidR="00475650" w:rsidRDefault="00475650">
            <w:pPr>
              <w:snapToGrid w:val="0"/>
              <w:jc w:val="center"/>
              <w:rPr>
                <w:szCs w:val="21"/>
                <w:u w:val="single"/>
              </w:rPr>
            </w:pPr>
            <w:r>
              <w:rPr>
                <w:szCs w:val="21"/>
                <w:u w:val="single"/>
              </w:rPr>
              <w:t>2</w:t>
            </w:r>
          </w:p>
        </w:tc>
        <w:tc>
          <w:tcPr>
            <w:tcW w:w="1864" w:type="dxa"/>
            <w:vAlign w:val="center"/>
          </w:tcPr>
          <w:p w:rsidR="00475650" w:rsidRDefault="00475650">
            <w:pPr>
              <w:snapToGrid w:val="0"/>
              <w:jc w:val="center"/>
              <w:rPr>
                <w:szCs w:val="21"/>
                <w:u w:val="single"/>
              </w:rPr>
            </w:pPr>
            <w:r>
              <w:rPr>
                <w:rFonts w:hAnsi="宋体"/>
                <w:szCs w:val="21"/>
                <w:u w:val="single"/>
              </w:rPr>
              <w:t>重氮反应釜</w:t>
            </w:r>
          </w:p>
        </w:tc>
        <w:tc>
          <w:tcPr>
            <w:tcW w:w="1232" w:type="dxa"/>
            <w:vAlign w:val="center"/>
          </w:tcPr>
          <w:p w:rsidR="00475650" w:rsidRDefault="00475650">
            <w:pPr>
              <w:snapToGrid w:val="0"/>
              <w:jc w:val="center"/>
              <w:rPr>
                <w:szCs w:val="21"/>
                <w:u w:val="single"/>
              </w:rPr>
            </w:pPr>
            <w:r>
              <w:rPr>
                <w:szCs w:val="21"/>
                <w:u w:val="single"/>
              </w:rPr>
              <w:t>2000L</w:t>
            </w:r>
          </w:p>
        </w:tc>
        <w:tc>
          <w:tcPr>
            <w:tcW w:w="993" w:type="dxa"/>
            <w:vAlign w:val="center"/>
          </w:tcPr>
          <w:p w:rsidR="00475650" w:rsidRDefault="00475650">
            <w:pPr>
              <w:snapToGrid w:val="0"/>
              <w:jc w:val="center"/>
              <w:rPr>
                <w:szCs w:val="21"/>
                <w:u w:val="single"/>
              </w:rPr>
            </w:pPr>
            <w:r>
              <w:rPr>
                <w:rFonts w:hAnsi="宋体"/>
                <w:szCs w:val="21"/>
                <w:u w:val="single"/>
              </w:rPr>
              <w:t>台</w:t>
            </w:r>
          </w:p>
        </w:tc>
        <w:tc>
          <w:tcPr>
            <w:tcW w:w="992" w:type="dxa"/>
            <w:vAlign w:val="center"/>
          </w:tcPr>
          <w:p w:rsidR="00475650" w:rsidRDefault="00475650">
            <w:pPr>
              <w:snapToGrid w:val="0"/>
              <w:jc w:val="center"/>
              <w:rPr>
                <w:szCs w:val="21"/>
                <w:u w:val="single"/>
              </w:rPr>
            </w:pPr>
            <w:r>
              <w:rPr>
                <w:szCs w:val="21"/>
                <w:u w:val="single"/>
              </w:rPr>
              <w:t>2</w:t>
            </w:r>
          </w:p>
        </w:tc>
        <w:tc>
          <w:tcPr>
            <w:tcW w:w="3118" w:type="dxa"/>
            <w:vMerge/>
            <w:vAlign w:val="center"/>
          </w:tcPr>
          <w:p w:rsidR="00475650" w:rsidRDefault="00475650">
            <w:pPr>
              <w:snapToGrid w:val="0"/>
              <w:jc w:val="center"/>
              <w:rPr>
                <w:szCs w:val="21"/>
                <w:u w:val="single"/>
              </w:rPr>
            </w:pPr>
          </w:p>
        </w:tc>
      </w:tr>
      <w:tr w:rsidR="00475650" w:rsidTr="00475650">
        <w:tc>
          <w:tcPr>
            <w:tcW w:w="981" w:type="dxa"/>
            <w:vAlign w:val="center"/>
          </w:tcPr>
          <w:p w:rsidR="00475650" w:rsidRDefault="00475650">
            <w:pPr>
              <w:snapToGrid w:val="0"/>
              <w:jc w:val="center"/>
              <w:rPr>
                <w:szCs w:val="21"/>
                <w:u w:val="single"/>
              </w:rPr>
            </w:pPr>
            <w:r>
              <w:rPr>
                <w:szCs w:val="21"/>
                <w:u w:val="single"/>
              </w:rPr>
              <w:t>3</w:t>
            </w:r>
          </w:p>
        </w:tc>
        <w:tc>
          <w:tcPr>
            <w:tcW w:w="1864" w:type="dxa"/>
            <w:vAlign w:val="center"/>
          </w:tcPr>
          <w:p w:rsidR="00475650" w:rsidRDefault="00475650">
            <w:pPr>
              <w:snapToGrid w:val="0"/>
              <w:jc w:val="center"/>
              <w:rPr>
                <w:szCs w:val="21"/>
                <w:u w:val="single"/>
              </w:rPr>
            </w:pPr>
            <w:r>
              <w:rPr>
                <w:rFonts w:hAnsi="宋体"/>
                <w:szCs w:val="21"/>
                <w:u w:val="single"/>
              </w:rPr>
              <w:t>偶合反应釜</w:t>
            </w:r>
          </w:p>
        </w:tc>
        <w:tc>
          <w:tcPr>
            <w:tcW w:w="1232" w:type="dxa"/>
            <w:vAlign w:val="center"/>
          </w:tcPr>
          <w:p w:rsidR="00475650" w:rsidRDefault="00475650">
            <w:pPr>
              <w:snapToGrid w:val="0"/>
              <w:jc w:val="center"/>
              <w:rPr>
                <w:szCs w:val="21"/>
                <w:u w:val="single"/>
              </w:rPr>
            </w:pPr>
            <w:r>
              <w:rPr>
                <w:szCs w:val="21"/>
                <w:u w:val="single"/>
              </w:rPr>
              <w:t>5000L</w:t>
            </w:r>
          </w:p>
        </w:tc>
        <w:tc>
          <w:tcPr>
            <w:tcW w:w="993" w:type="dxa"/>
            <w:vAlign w:val="center"/>
          </w:tcPr>
          <w:p w:rsidR="00475650" w:rsidRDefault="00475650">
            <w:pPr>
              <w:snapToGrid w:val="0"/>
              <w:jc w:val="center"/>
              <w:rPr>
                <w:szCs w:val="21"/>
                <w:u w:val="single"/>
              </w:rPr>
            </w:pPr>
            <w:r>
              <w:rPr>
                <w:rFonts w:hAnsi="宋体"/>
                <w:szCs w:val="21"/>
                <w:u w:val="single"/>
              </w:rPr>
              <w:t>台</w:t>
            </w:r>
          </w:p>
        </w:tc>
        <w:tc>
          <w:tcPr>
            <w:tcW w:w="992" w:type="dxa"/>
            <w:vAlign w:val="center"/>
          </w:tcPr>
          <w:p w:rsidR="00475650" w:rsidRDefault="00475650">
            <w:pPr>
              <w:snapToGrid w:val="0"/>
              <w:jc w:val="center"/>
              <w:rPr>
                <w:szCs w:val="21"/>
                <w:u w:val="single"/>
              </w:rPr>
            </w:pPr>
            <w:r>
              <w:rPr>
                <w:szCs w:val="21"/>
                <w:u w:val="single"/>
              </w:rPr>
              <w:t>2</w:t>
            </w:r>
          </w:p>
        </w:tc>
        <w:tc>
          <w:tcPr>
            <w:tcW w:w="3118" w:type="dxa"/>
            <w:vMerge/>
            <w:vAlign w:val="center"/>
          </w:tcPr>
          <w:p w:rsidR="00475650" w:rsidRDefault="00475650">
            <w:pPr>
              <w:snapToGrid w:val="0"/>
              <w:jc w:val="center"/>
              <w:rPr>
                <w:szCs w:val="21"/>
                <w:u w:val="single"/>
              </w:rPr>
            </w:pPr>
          </w:p>
        </w:tc>
      </w:tr>
      <w:tr w:rsidR="00475650" w:rsidTr="00475650">
        <w:tc>
          <w:tcPr>
            <w:tcW w:w="981" w:type="dxa"/>
            <w:vAlign w:val="center"/>
          </w:tcPr>
          <w:p w:rsidR="00475650" w:rsidRDefault="00475650">
            <w:pPr>
              <w:snapToGrid w:val="0"/>
              <w:jc w:val="center"/>
              <w:rPr>
                <w:szCs w:val="21"/>
                <w:u w:val="single"/>
              </w:rPr>
            </w:pPr>
            <w:r>
              <w:rPr>
                <w:szCs w:val="21"/>
                <w:u w:val="single"/>
              </w:rPr>
              <w:t>4</w:t>
            </w:r>
          </w:p>
        </w:tc>
        <w:tc>
          <w:tcPr>
            <w:tcW w:w="1864" w:type="dxa"/>
            <w:vAlign w:val="center"/>
          </w:tcPr>
          <w:p w:rsidR="00475650" w:rsidRDefault="00475650">
            <w:pPr>
              <w:snapToGrid w:val="0"/>
              <w:jc w:val="center"/>
              <w:rPr>
                <w:szCs w:val="21"/>
                <w:u w:val="single"/>
              </w:rPr>
            </w:pPr>
            <w:r>
              <w:rPr>
                <w:rFonts w:hAnsi="宋体"/>
                <w:szCs w:val="21"/>
                <w:u w:val="single"/>
              </w:rPr>
              <w:t>重结晶反应器</w:t>
            </w:r>
          </w:p>
        </w:tc>
        <w:tc>
          <w:tcPr>
            <w:tcW w:w="1232" w:type="dxa"/>
            <w:vAlign w:val="center"/>
          </w:tcPr>
          <w:p w:rsidR="00475650" w:rsidRDefault="00475650">
            <w:pPr>
              <w:snapToGrid w:val="0"/>
              <w:jc w:val="center"/>
              <w:rPr>
                <w:szCs w:val="21"/>
                <w:u w:val="single"/>
              </w:rPr>
            </w:pPr>
            <w:r>
              <w:rPr>
                <w:szCs w:val="21"/>
                <w:u w:val="single"/>
              </w:rPr>
              <w:t>2000L</w:t>
            </w:r>
          </w:p>
        </w:tc>
        <w:tc>
          <w:tcPr>
            <w:tcW w:w="993" w:type="dxa"/>
            <w:vAlign w:val="center"/>
          </w:tcPr>
          <w:p w:rsidR="00475650" w:rsidRDefault="00475650">
            <w:pPr>
              <w:snapToGrid w:val="0"/>
              <w:jc w:val="center"/>
              <w:rPr>
                <w:szCs w:val="21"/>
                <w:u w:val="single"/>
              </w:rPr>
            </w:pPr>
            <w:r>
              <w:rPr>
                <w:rFonts w:hAnsi="宋体"/>
                <w:szCs w:val="21"/>
                <w:u w:val="single"/>
              </w:rPr>
              <w:t>台</w:t>
            </w:r>
          </w:p>
        </w:tc>
        <w:tc>
          <w:tcPr>
            <w:tcW w:w="992" w:type="dxa"/>
            <w:vAlign w:val="center"/>
          </w:tcPr>
          <w:p w:rsidR="00475650" w:rsidRDefault="00475650">
            <w:pPr>
              <w:snapToGrid w:val="0"/>
              <w:jc w:val="center"/>
              <w:rPr>
                <w:szCs w:val="21"/>
                <w:u w:val="single"/>
              </w:rPr>
            </w:pPr>
            <w:r>
              <w:rPr>
                <w:szCs w:val="21"/>
                <w:u w:val="single"/>
              </w:rPr>
              <w:t>2</w:t>
            </w:r>
          </w:p>
        </w:tc>
        <w:tc>
          <w:tcPr>
            <w:tcW w:w="3118" w:type="dxa"/>
            <w:vMerge/>
            <w:vAlign w:val="center"/>
          </w:tcPr>
          <w:p w:rsidR="00475650" w:rsidRDefault="00475650">
            <w:pPr>
              <w:jc w:val="center"/>
              <w:rPr>
                <w:u w:val="single"/>
              </w:rPr>
            </w:pPr>
          </w:p>
        </w:tc>
      </w:tr>
      <w:tr w:rsidR="00475650" w:rsidTr="00475650">
        <w:tc>
          <w:tcPr>
            <w:tcW w:w="981" w:type="dxa"/>
            <w:vAlign w:val="center"/>
          </w:tcPr>
          <w:p w:rsidR="00475650" w:rsidRDefault="00475650">
            <w:pPr>
              <w:snapToGrid w:val="0"/>
              <w:jc w:val="center"/>
              <w:rPr>
                <w:szCs w:val="21"/>
                <w:u w:val="single"/>
              </w:rPr>
            </w:pPr>
            <w:r>
              <w:rPr>
                <w:szCs w:val="21"/>
                <w:u w:val="single"/>
              </w:rPr>
              <w:t>5</w:t>
            </w:r>
          </w:p>
        </w:tc>
        <w:tc>
          <w:tcPr>
            <w:tcW w:w="1864" w:type="dxa"/>
            <w:vAlign w:val="center"/>
          </w:tcPr>
          <w:p w:rsidR="00475650" w:rsidRDefault="00475650">
            <w:pPr>
              <w:snapToGrid w:val="0"/>
              <w:jc w:val="center"/>
              <w:rPr>
                <w:szCs w:val="21"/>
                <w:u w:val="single"/>
              </w:rPr>
            </w:pPr>
            <w:r>
              <w:rPr>
                <w:rFonts w:hint="eastAsia"/>
                <w:szCs w:val="21"/>
                <w:u w:val="single"/>
              </w:rPr>
              <w:t>原料贮槽</w:t>
            </w:r>
          </w:p>
        </w:tc>
        <w:tc>
          <w:tcPr>
            <w:tcW w:w="1232" w:type="dxa"/>
            <w:vAlign w:val="center"/>
          </w:tcPr>
          <w:p w:rsidR="00475650" w:rsidRDefault="00475650">
            <w:pPr>
              <w:snapToGrid w:val="0"/>
              <w:jc w:val="center"/>
              <w:rPr>
                <w:szCs w:val="21"/>
                <w:u w:val="single"/>
              </w:rPr>
            </w:pPr>
            <w:r>
              <w:rPr>
                <w:rFonts w:hint="eastAsia"/>
                <w:szCs w:val="21"/>
                <w:u w:val="single"/>
              </w:rPr>
              <w:t>100</w:t>
            </w:r>
            <w:r>
              <w:rPr>
                <w:szCs w:val="21"/>
                <w:u w:val="single"/>
              </w:rPr>
              <w:t xml:space="preserve"> m</w:t>
            </w:r>
            <w:r>
              <w:rPr>
                <w:rFonts w:hint="eastAsia"/>
                <w:szCs w:val="21"/>
                <w:u w:val="single"/>
                <w:vertAlign w:val="superscript"/>
              </w:rPr>
              <w:t>3</w:t>
            </w:r>
          </w:p>
        </w:tc>
        <w:tc>
          <w:tcPr>
            <w:tcW w:w="993" w:type="dxa"/>
            <w:vAlign w:val="center"/>
          </w:tcPr>
          <w:p w:rsidR="00475650" w:rsidRDefault="00475650">
            <w:pPr>
              <w:snapToGrid w:val="0"/>
              <w:jc w:val="center"/>
              <w:rPr>
                <w:szCs w:val="21"/>
                <w:u w:val="single"/>
              </w:rPr>
            </w:pPr>
            <w:r>
              <w:rPr>
                <w:rFonts w:hint="eastAsia"/>
                <w:szCs w:val="21"/>
                <w:u w:val="single"/>
              </w:rPr>
              <w:t>台</w:t>
            </w:r>
          </w:p>
        </w:tc>
        <w:tc>
          <w:tcPr>
            <w:tcW w:w="992" w:type="dxa"/>
            <w:vAlign w:val="center"/>
          </w:tcPr>
          <w:p w:rsidR="00475650" w:rsidRDefault="00475650">
            <w:pPr>
              <w:snapToGrid w:val="0"/>
              <w:jc w:val="center"/>
              <w:rPr>
                <w:szCs w:val="21"/>
                <w:u w:val="single"/>
              </w:rPr>
            </w:pPr>
            <w:r>
              <w:rPr>
                <w:rFonts w:hint="eastAsia"/>
                <w:szCs w:val="21"/>
                <w:u w:val="single"/>
              </w:rPr>
              <w:t>4</w:t>
            </w:r>
          </w:p>
        </w:tc>
        <w:tc>
          <w:tcPr>
            <w:tcW w:w="3118" w:type="dxa"/>
            <w:vAlign w:val="center"/>
          </w:tcPr>
          <w:p w:rsidR="00475650" w:rsidRDefault="00475650">
            <w:pPr>
              <w:jc w:val="center"/>
              <w:rPr>
                <w:szCs w:val="21"/>
                <w:u w:val="single"/>
              </w:rPr>
            </w:pPr>
            <w:r>
              <w:rPr>
                <w:rFonts w:hint="eastAsia"/>
                <w:szCs w:val="21"/>
                <w:u w:val="single"/>
              </w:rPr>
              <w:t>已建成，有锈损，拆除新建</w:t>
            </w:r>
          </w:p>
        </w:tc>
      </w:tr>
      <w:tr w:rsidR="00475650" w:rsidTr="00475650">
        <w:tc>
          <w:tcPr>
            <w:tcW w:w="981" w:type="dxa"/>
            <w:vAlign w:val="center"/>
          </w:tcPr>
          <w:p w:rsidR="00475650" w:rsidRDefault="00475650">
            <w:pPr>
              <w:snapToGrid w:val="0"/>
              <w:jc w:val="center"/>
              <w:rPr>
                <w:szCs w:val="21"/>
                <w:u w:val="single"/>
              </w:rPr>
            </w:pPr>
            <w:r>
              <w:rPr>
                <w:szCs w:val="21"/>
                <w:u w:val="single"/>
              </w:rPr>
              <w:t>6</w:t>
            </w:r>
          </w:p>
        </w:tc>
        <w:tc>
          <w:tcPr>
            <w:tcW w:w="1864" w:type="dxa"/>
            <w:vAlign w:val="center"/>
          </w:tcPr>
          <w:p w:rsidR="00475650" w:rsidRDefault="00475650">
            <w:pPr>
              <w:snapToGrid w:val="0"/>
              <w:jc w:val="center"/>
              <w:rPr>
                <w:szCs w:val="21"/>
                <w:u w:val="single"/>
              </w:rPr>
            </w:pPr>
            <w:r>
              <w:rPr>
                <w:rFonts w:hAnsi="宋体"/>
                <w:szCs w:val="21"/>
                <w:u w:val="single"/>
              </w:rPr>
              <w:t>盐酸计量槽</w:t>
            </w:r>
          </w:p>
        </w:tc>
        <w:tc>
          <w:tcPr>
            <w:tcW w:w="1232" w:type="dxa"/>
            <w:vAlign w:val="center"/>
          </w:tcPr>
          <w:p w:rsidR="00475650" w:rsidRDefault="00475650">
            <w:pPr>
              <w:snapToGrid w:val="0"/>
              <w:jc w:val="center"/>
              <w:rPr>
                <w:szCs w:val="21"/>
                <w:u w:val="single"/>
              </w:rPr>
            </w:pPr>
            <w:r>
              <w:rPr>
                <w:szCs w:val="21"/>
                <w:u w:val="single"/>
              </w:rPr>
              <w:t>1200L</w:t>
            </w:r>
          </w:p>
        </w:tc>
        <w:tc>
          <w:tcPr>
            <w:tcW w:w="993" w:type="dxa"/>
            <w:vAlign w:val="center"/>
          </w:tcPr>
          <w:p w:rsidR="00475650" w:rsidRDefault="00475650">
            <w:pPr>
              <w:snapToGrid w:val="0"/>
              <w:jc w:val="center"/>
              <w:rPr>
                <w:szCs w:val="21"/>
                <w:u w:val="single"/>
              </w:rPr>
            </w:pPr>
            <w:r>
              <w:rPr>
                <w:rFonts w:hAnsi="宋体"/>
                <w:szCs w:val="21"/>
                <w:u w:val="single"/>
              </w:rPr>
              <w:t>台</w:t>
            </w:r>
          </w:p>
        </w:tc>
        <w:tc>
          <w:tcPr>
            <w:tcW w:w="992" w:type="dxa"/>
            <w:vAlign w:val="center"/>
          </w:tcPr>
          <w:p w:rsidR="00475650" w:rsidRDefault="00475650">
            <w:pPr>
              <w:snapToGrid w:val="0"/>
              <w:jc w:val="center"/>
              <w:rPr>
                <w:szCs w:val="21"/>
                <w:u w:val="single"/>
              </w:rPr>
            </w:pPr>
            <w:r>
              <w:rPr>
                <w:szCs w:val="21"/>
                <w:u w:val="single"/>
              </w:rPr>
              <w:t>2</w:t>
            </w:r>
          </w:p>
        </w:tc>
        <w:tc>
          <w:tcPr>
            <w:tcW w:w="3118" w:type="dxa"/>
            <w:vAlign w:val="center"/>
          </w:tcPr>
          <w:p w:rsidR="00475650" w:rsidRDefault="00475650">
            <w:pPr>
              <w:jc w:val="center"/>
              <w:rPr>
                <w:szCs w:val="21"/>
                <w:u w:val="single"/>
              </w:rPr>
            </w:pPr>
            <w:r>
              <w:rPr>
                <w:rFonts w:hint="eastAsia"/>
                <w:szCs w:val="21"/>
                <w:u w:val="single"/>
              </w:rPr>
              <w:t>已建成，腐蚀严重，拆除新建</w:t>
            </w:r>
          </w:p>
        </w:tc>
      </w:tr>
      <w:tr w:rsidR="00475650" w:rsidTr="00475650">
        <w:tc>
          <w:tcPr>
            <w:tcW w:w="981" w:type="dxa"/>
            <w:vAlign w:val="center"/>
          </w:tcPr>
          <w:p w:rsidR="00475650" w:rsidRDefault="00475650">
            <w:pPr>
              <w:snapToGrid w:val="0"/>
              <w:jc w:val="center"/>
              <w:rPr>
                <w:szCs w:val="21"/>
                <w:u w:val="single"/>
              </w:rPr>
            </w:pPr>
            <w:r>
              <w:rPr>
                <w:szCs w:val="21"/>
                <w:u w:val="single"/>
              </w:rPr>
              <w:t>7</w:t>
            </w:r>
          </w:p>
        </w:tc>
        <w:tc>
          <w:tcPr>
            <w:tcW w:w="1864" w:type="dxa"/>
            <w:vAlign w:val="center"/>
          </w:tcPr>
          <w:p w:rsidR="00475650" w:rsidRDefault="00475650">
            <w:pPr>
              <w:snapToGrid w:val="0"/>
              <w:jc w:val="center"/>
              <w:rPr>
                <w:szCs w:val="21"/>
                <w:u w:val="single"/>
              </w:rPr>
            </w:pPr>
            <w:r>
              <w:rPr>
                <w:rFonts w:hAnsi="宋体"/>
                <w:szCs w:val="21"/>
                <w:u w:val="single"/>
              </w:rPr>
              <w:t>碳酸钠计量槽</w:t>
            </w:r>
          </w:p>
        </w:tc>
        <w:tc>
          <w:tcPr>
            <w:tcW w:w="1232" w:type="dxa"/>
            <w:vAlign w:val="center"/>
          </w:tcPr>
          <w:p w:rsidR="00475650" w:rsidRDefault="00475650">
            <w:pPr>
              <w:snapToGrid w:val="0"/>
              <w:jc w:val="center"/>
              <w:rPr>
                <w:szCs w:val="21"/>
                <w:u w:val="single"/>
              </w:rPr>
            </w:pPr>
            <w:r>
              <w:rPr>
                <w:szCs w:val="21"/>
                <w:u w:val="single"/>
              </w:rPr>
              <w:t>1200L</w:t>
            </w:r>
          </w:p>
        </w:tc>
        <w:tc>
          <w:tcPr>
            <w:tcW w:w="993" w:type="dxa"/>
            <w:vAlign w:val="center"/>
          </w:tcPr>
          <w:p w:rsidR="00475650" w:rsidRDefault="00475650">
            <w:pPr>
              <w:snapToGrid w:val="0"/>
              <w:jc w:val="center"/>
              <w:rPr>
                <w:szCs w:val="21"/>
                <w:u w:val="single"/>
              </w:rPr>
            </w:pPr>
            <w:r>
              <w:rPr>
                <w:rFonts w:hAnsi="宋体"/>
                <w:szCs w:val="21"/>
                <w:u w:val="single"/>
              </w:rPr>
              <w:t>台</w:t>
            </w:r>
          </w:p>
        </w:tc>
        <w:tc>
          <w:tcPr>
            <w:tcW w:w="992" w:type="dxa"/>
            <w:vAlign w:val="center"/>
          </w:tcPr>
          <w:p w:rsidR="00475650" w:rsidRDefault="00475650">
            <w:pPr>
              <w:snapToGrid w:val="0"/>
              <w:jc w:val="center"/>
              <w:rPr>
                <w:szCs w:val="21"/>
                <w:u w:val="single"/>
              </w:rPr>
            </w:pPr>
            <w:r>
              <w:rPr>
                <w:szCs w:val="21"/>
                <w:u w:val="single"/>
              </w:rPr>
              <w:t>2</w:t>
            </w:r>
          </w:p>
        </w:tc>
        <w:tc>
          <w:tcPr>
            <w:tcW w:w="3118" w:type="dxa"/>
            <w:vAlign w:val="center"/>
          </w:tcPr>
          <w:p w:rsidR="00475650" w:rsidRDefault="00475650">
            <w:pPr>
              <w:jc w:val="center"/>
              <w:rPr>
                <w:u w:val="single"/>
              </w:rPr>
            </w:pPr>
            <w:r>
              <w:rPr>
                <w:rFonts w:hint="eastAsia"/>
                <w:u w:val="single"/>
              </w:rPr>
              <w:t>已建成</w:t>
            </w:r>
          </w:p>
        </w:tc>
      </w:tr>
      <w:tr w:rsidR="00475650" w:rsidTr="00475650">
        <w:tc>
          <w:tcPr>
            <w:tcW w:w="981" w:type="dxa"/>
            <w:vAlign w:val="center"/>
          </w:tcPr>
          <w:p w:rsidR="00475650" w:rsidRDefault="00475650">
            <w:pPr>
              <w:snapToGrid w:val="0"/>
              <w:jc w:val="center"/>
              <w:rPr>
                <w:szCs w:val="21"/>
                <w:u w:val="single"/>
              </w:rPr>
            </w:pPr>
            <w:r>
              <w:rPr>
                <w:szCs w:val="21"/>
                <w:u w:val="single"/>
              </w:rPr>
              <w:t>8</w:t>
            </w:r>
          </w:p>
        </w:tc>
        <w:tc>
          <w:tcPr>
            <w:tcW w:w="1864" w:type="dxa"/>
            <w:vAlign w:val="center"/>
          </w:tcPr>
          <w:p w:rsidR="00475650" w:rsidRDefault="00475650">
            <w:pPr>
              <w:snapToGrid w:val="0"/>
              <w:jc w:val="center"/>
              <w:rPr>
                <w:szCs w:val="21"/>
                <w:u w:val="single"/>
              </w:rPr>
            </w:pPr>
            <w:r>
              <w:rPr>
                <w:rFonts w:hAnsi="宋体"/>
                <w:szCs w:val="21"/>
                <w:u w:val="single"/>
              </w:rPr>
              <w:t>亚硝酸钠计量槽</w:t>
            </w:r>
          </w:p>
        </w:tc>
        <w:tc>
          <w:tcPr>
            <w:tcW w:w="1232" w:type="dxa"/>
            <w:vAlign w:val="center"/>
          </w:tcPr>
          <w:p w:rsidR="00475650" w:rsidRDefault="00475650">
            <w:pPr>
              <w:snapToGrid w:val="0"/>
              <w:jc w:val="center"/>
              <w:rPr>
                <w:szCs w:val="21"/>
                <w:u w:val="single"/>
              </w:rPr>
            </w:pPr>
            <w:r>
              <w:rPr>
                <w:szCs w:val="21"/>
                <w:u w:val="single"/>
              </w:rPr>
              <w:t>1200L</w:t>
            </w:r>
          </w:p>
        </w:tc>
        <w:tc>
          <w:tcPr>
            <w:tcW w:w="993" w:type="dxa"/>
            <w:vAlign w:val="center"/>
          </w:tcPr>
          <w:p w:rsidR="00475650" w:rsidRDefault="00475650">
            <w:pPr>
              <w:snapToGrid w:val="0"/>
              <w:jc w:val="center"/>
              <w:rPr>
                <w:szCs w:val="21"/>
                <w:u w:val="single"/>
              </w:rPr>
            </w:pPr>
            <w:r>
              <w:rPr>
                <w:rFonts w:hAnsi="宋体"/>
                <w:szCs w:val="21"/>
                <w:u w:val="single"/>
              </w:rPr>
              <w:t>台</w:t>
            </w:r>
          </w:p>
        </w:tc>
        <w:tc>
          <w:tcPr>
            <w:tcW w:w="992" w:type="dxa"/>
            <w:vAlign w:val="center"/>
          </w:tcPr>
          <w:p w:rsidR="00475650" w:rsidRDefault="00475650">
            <w:pPr>
              <w:snapToGrid w:val="0"/>
              <w:jc w:val="center"/>
              <w:rPr>
                <w:szCs w:val="21"/>
                <w:u w:val="single"/>
              </w:rPr>
            </w:pPr>
            <w:r>
              <w:rPr>
                <w:szCs w:val="21"/>
                <w:u w:val="single"/>
              </w:rPr>
              <w:t>2</w:t>
            </w:r>
          </w:p>
        </w:tc>
        <w:tc>
          <w:tcPr>
            <w:tcW w:w="3118" w:type="dxa"/>
            <w:vAlign w:val="center"/>
          </w:tcPr>
          <w:p w:rsidR="00475650" w:rsidRDefault="00475650">
            <w:pPr>
              <w:jc w:val="center"/>
              <w:rPr>
                <w:u w:val="single"/>
              </w:rPr>
            </w:pPr>
            <w:r>
              <w:rPr>
                <w:rFonts w:hint="eastAsia"/>
                <w:u w:val="single"/>
              </w:rPr>
              <w:t>已建成</w:t>
            </w:r>
          </w:p>
        </w:tc>
      </w:tr>
      <w:tr w:rsidR="00475650" w:rsidTr="00475650">
        <w:trPr>
          <w:trHeight w:val="57"/>
        </w:trPr>
        <w:tc>
          <w:tcPr>
            <w:tcW w:w="981" w:type="dxa"/>
            <w:vAlign w:val="center"/>
          </w:tcPr>
          <w:p w:rsidR="00475650" w:rsidRDefault="00475650">
            <w:pPr>
              <w:snapToGrid w:val="0"/>
              <w:jc w:val="center"/>
              <w:rPr>
                <w:szCs w:val="21"/>
                <w:u w:val="single"/>
              </w:rPr>
            </w:pPr>
            <w:r>
              <w:rPr>
                <w:szCs w:val="21"/>
                <w:u w:val="single"/>
              </w:rPr>
              <w:t>9</w:t>
            </w:r>
          </w:p>
        </w:tc>
        <w:tc>
          <w:tcPr>
            <w:tcW w:w="1864" w:type="dxa"/>
            <w:vAlign w:val="center"/>
          </w:tcPr>
          <w:p w:rsidR="00475650" w:rsidRDefault="00475650">
            <w:pPr>
              <w:snapToGrid w:val="0"/>
              <w:jc w:val="center"/>
              <w:rPr>
                <w:szCs w:val="21"/>
                <w:u w:val="single"/>
              </w:rPr>
            </w:pPr>
            <w:r>
              <w:rPr>
                <w:rFonts w:hAnsi="宋体"/>
                <w:szCs w:val="21"/>
                <w:u w:val="single"/>
              </w:rPr>
              <w:t>液碱计量槽</w:t>
            </w:r>
          </w:p>
        </w:tc>
        <w:tc>
          <w:tcPr>
            <w:tcW w:w="1232" w:type="dxa"/>
            <w:vAlign w:val="center"/>
          </w:tcPr>
          <w:p w:rsidR="00475650" w:rsidRDefault="00475650">
            <w:pPr>
              <w:snapToGrid w:val="0"/>
              <w:jc w:val="center"/>
              <w:rPr>
                <w:szCs w:val="21"/>
                <w:u w:val="single"/>
              </w:rPr>
            </w:pPr>
            <w:r>
              <w:rPr>
                <w:szCs w:val="21"/>
                <w:u w:val="single"/>
              </w:rPr>
              <w:t>1200L</w:t>
            </w:r>
          </w:p>
        </w:tc>
        <w:tc>
          <w:tcPr>
            <w:tcW w:w="993" w:type="dxa"/>
            <w:vAlign w:val="center"/>
          </w:tcPr>
          <w:p w:rsidR="00475650" w:rsidRDefault="00475650">
            <w:pPr>
              <w:snapToGrid w:val="0"/>
              <w:jc w:val="center"/>
              <w:rPr>
                <w:szCs w:val="21"/>
                <w:u w:val="single"/>
              </w:rPr>
            </w:pPr>
            <w:r>
              <w:rPr>
                <w:rFonts w:hAnsi="宋体"/>
                <w:szCs w:val="21"/>
                <w:u w:val="single"/>
              </w:rPr>
              <w:t>台</w:t>
            </w:r>
          </w:p>
        </w:tc>
        <w:tc>
          <w:tcPr>
            <w:tcW w:w="992" w:type="dxa"/>
            <w:vAlign w:val="center"/>
          </w:tcPr>
          <w:p w:rsidR="00475650" w:rsidRDefault="00475650">
            <w:pPr>
              <w:snapToGrid w:val="0"/>
              <w:jc w:val="center"/>
              <w:rPr>
                <w:szCs w:val="21"/>
                <w:u w:val="single"/>
              </w:rPr>
            </w:pPr>
            <w:r>
              <w:rPr>
                <w:szCs w:val="21"/>
                <w:u w:val="single"/>
              </w:rPr>
              <w:t>2</w:t>
            </w:r>
          </w:p>
        </w:tc>
        <w:tc>
          <w:tcPr>
            <w:tcW w:w="3118" w:type="dxa"/>
            <w:vAlign w:val="center"/>
          </w:tcPr>
          <w:p w:rsidR="00475650" w:rsidRDefault="00475650">
            <w:pPr>
              <w:jc w:val="center"/>
              <w:rPr>
                <w:u w:val="single"/>
              </w:rPr>
            </w:pPr>
            <w:r>
              <w:rPr>
                <w:rFonts w:hint="eastAsia"/>
                <w:szCs w:val="21"/>
                <w:u w:val="single"/>
              </w:rPr>
              <w:t>已建成，腐蚀严重，拆除新建</w:t>
            </w:r>
          </w:p>
        </w:tc>
      </w:tr>
      <w:tr w:rsidR="00475650" w:rsidTr="00475650">
        <w:tc>
          <w:tcPr>
            <w:tcW w:w="981" w:type="dxa"/>
            <w:vAlign w:val="center"/>
          </w:tcPr>
          <w:p w:rsidR="00475650" w:rsidRDefault="00475650">
            <w:pPr>
              <w:snapToGrid w:val="0"/>
              <w:jc w:val="center"/>
              <w:rPr>
                <w:szCs w:val="21"/>
                <w:u w:val="single"/>
              </w:rPr>
            </w:pPr>
            <w:r>
              <w:rPr>
                <w:szCs w:val="21"/>
                <w:u w:val="single"/>
              </w:rPr>
              <w:t>10</w:t>
            </w:r>
          </w:p>
        </w:tc>
        <w:tc>
          <w:tcPr>
            <w:tcW w:w="1864" w:type="dxa"/>
            <w:vAlign w:val="center"/>
          </w:tcPr>
          <w:p w:rsidR="00475650" w:rsidRDefault="00475650">
            <w:pPr>
              <w:snapToGrid w:val="0"/>
              <w:jc w:val="center"/>
              <w:rPr>
                <w:szCs w:val="21"/>
                <w:u w:val="single"/>
              </w:rPr>
            </w:pPr>
            <w:r>
              <w:rPr>
                <w:rFonts w:hAnsi="宋体"/>
                <w:szCs w:val="21"/>
                <w:u w:val="single"/>
              </w:rPr>
              <w:t>隔膜压滤机</w:t>
            </w:r>
          </w:p>
        </w:tc>
        <w:tc>
          <w:tcPr>
            <w:tcW w:w="1232" w:type="dxa"/>
            <w:vAlign w:val="center"/>
          </w:tcPr>
          <w:p w:rsidR="00475650" w:rsidRDefault="00475650">
            <w:pPr>
              <w:snapToGrid w:val="0"/>
              <w:jc w:val="center"/>
              <w:rPr>
                <w:szCs w:val="21"/>
                <w:u w:val="single"/>
              </w:rPr>
            </w:pPr>
            <w:r>
              <w:rPr>
                <w:szCs w:val="21"/>
                <w:u w:val="single"/>
              </w:rPr>
              <w:t>120m</w:t>
            </w:r>
            <w:r>
              <w:rPr>
                <w:szCs w:val="21"/>
                <w:u w:val="single"/>
                <w:vertAlign w:val="superscript"/>
              </w:rPr>
              <w:t>2</w:t>
            </w:r>
          </w:p>
        </w:tc>
        <w:tc>
          <w:tcPr>
            <w:tcW w:w="993" w:type="dxa"/>
            <w:vAlign w:val="center"/>
          </w:tcPr>
          <w:p w:rsidR="00475650" w:rsidRDefault="00475650">
            <w:pPr>
              <w:snapToGrid w:val="0"/>
              <w:jc w:val="center"/>
              <w:rPr>
                <w:szCs w:val="21"/>
                <w:u w:val="single"/>
              </w:rPr>
            </w:pPr>
            <w:r>
              <w:rPr>
                <w:rFonts w:hAnsi="宋体"/>
                <w:szCs w:val="21"/>
                <w:u w:val="single"/>
              </w:rPr>
              <w:t>台</w:t>
            </w:r>
          </w:p>
        </w:tc>
        <w:tc>
          <w:tcPr>
            <w:tcW w:w="992" w:type="dxa"/>
            <w:vAlign w:val="center"/>
          </w:tcPr>
          <w:p w:rsidR="00475650" w:rsidRDefault="00475650">
            <w:pPr>
              <w:snapToGrid w:val="0"/>
              <w:jc w:val="center"/>
              <w:rPr>
                <w:szCs w:val="21"/>
                <w:u w:val="single"/>
              </w:rPr>
            </w:pPr>
            <w:r>
              <w:rPr>
                <w:szCs w:val="21"/>
                <w:u w:val="single"/>
              </w:rPr>
              <w:t>2</w:t>
            </w:r>
          </w:p>
        </w:tc>
        <w:tc>
          <w:tcPr>
            <w:tcW w:w="3118" w:type="dxa"/>
            <w:vAlign w:val="center"/>
          </w:tcPr>
          <w:p w:rsidR="00475650" w:rsidRDefault="00475650">
            <w:pPr>
              <w:snapToGrid w:val="0"/>
              <w:jc w:val="center"/>
              <w:rPr>
                <w:szCs w:val="21"/>
                <w:u w:val="single"/>
              </w:rPr>
            </w:pPr>
            <w:r>
              <w:rPr>
                <w:rFonts w:hint="eastAsia"/>
                <w:szCs w:val="21"/>
                <w:u w:val="single"/>
              </w:rPr>
              <w:t>已建成一台</w:t>
            </w:r>
          </w:p>
        </w:tc>
      </w:tr>
      <w:tr w:rsidR="00475650" w:rsidTr="00475650">
        <w:tc>
          <w:tcPr>
            <w:tcW w:w="981" w:type="dxa"/>
            <w:vAlign w:val="center"/>
          </w:tcPr>
          <w:p w:rsidR="00475650" w:rsidRDefault="00475650">
            <w:pPr>
              <w:snapToGrid w:val="0"/>
              <w:jc w:val="center"/>
              <w:rPr>
                <w:szCs w:val="21"/>
                <w:u w:val="single"/>
              </w:rPr>
            </w:pPr>
            <w:r>
              <w:rPr>
                <w:szCs w:val="21"/>
                <w:u w:val="single"/>
              </w:rPr>
              <w:t>11</w:t>
            </w:r>
          </w:p>
        </w:tc>
        <w:tc>
          <w:tcPr>
            <w:tcW w:w="1864" w:type="dxa"/>
            <w:vAlign w:val="center"/>
          </w:tcPr>
          <w:p w:rsidR="00475650" w:rsidRDefault="00475650">
            <w:pPr>
              <w:snapToGrid w:val="0"/>
              <w:jc w:val="center"/>
              <w:rPr>
                <w:szCs w:val="21"/>
                <w:u w:val="single"/>
              </w:rPr>
            </w:pPr>
            <w:r>
              <w:rPr>
                <w:rFonts w:hAnsi="宋体"/>
                <w:szCs w:val="21"/>
                <w:u w:val="single"/>
              </w:rPr>
              <w:t>烘箱</w:t>
            </w:r>
          </w:p>
        </w:tc>
        <w:tc>
          <w:tcPr>
            <w:tcW w:w="1232" w:type="dxa"/>
            <w:vAlign w:val="center"/>
          </w:tcPr>
          <w:p w:rsidR="00475650" w:rsidRDefault="00475650">
            <w:pPr>
              <w:snapToGrid w:val="0"/>
              <w:jc w:val="center"/>
              <w:rPr>
                <w:szCs w:val="21"/>
                <w:u w:val="single"/>
              </w:rPr>
            </w:pPr>
            <w:r>
              <w:rPr>
                <w:rFonts w:hAnsi="宋体"/>
                <w:szCs w:val="21"/>
                <w:u w:val="single"/>
              </w:rPr>
              <w:t>组合件</w:t>
            </w:r>
          </w:p>
        </w:tc>
        <w:tc>
          <w:tcPr>
            <w:tcW w:w="993" w:type="dxa"/>
            <w:vAlign w:val="center"/>
          </w:tcPr>
          <w:p w:rsidR="00475650" w:rsidRDefault="00475650">
            <w:pPr>
              <w:snapToGrid w:val="0"/>
              <w:jc w:val="center"/>
              <w:rPr>
                <w:szCs w:val="21"/>
                <w:u w:val="single"/>
              </w:rPr>
            </w:pPr>
            <w:r>
              <w:rPr>
                <w:rFonts w:hAnsi="宋体"/>
                <w:szCs w:val="21"/>
                <w:u w:val="single"/>
              </w:rPr>
              <w:t>台</w:t>
            </w:r>
          </w:p>
        </w:tc>
        <w:tc>
          <w:tcPr>
            <w:tcW w:w="992" w:type="dxa"/>
            <w:vAlign w:val="center"/>
          </w:tcPr>
          <w:p w:rsidR="00475650" w:rsidRDefault="00475650">
            <w:pPr>
              <w:snapToGrid w:val="0"/>
              <w:jc w:val="center"/>
              <w:rPr>
                <w:szCs w:val="21"/>
                <w:u w:val="single"/>
              </w:rPr>
            </w:pPr>
            <w:r>
              <w:rPr>
                <w:szCs w:val="21"/>
                <w:u w:val="single"/>
              </w:rPr>
              <w:t>4</w:t>
            </w:r>
          </w:p>
        </w:tc>
        <w:tc>
          <w:tcPr>
            <w:tcW w:w="3118" w:type="dxa"/>
            <w:vAlign w:val="center"/>
          </w:tcPr>
          <w:p w:rsidR="00475650" w:rsidRDefault="00475650">
            <w:pPr>
              <w:snapToGrid w:val="0"/>
              <w:jc w:val="center"/>
              <w:rPr>
                <w:szCs w:val="21"/>
                <w:u w:val="single"/>
              </w:rPr>
            </w:pPr>
            <w:r>
              <w:rPr>
                <w:rFonts w:hint="eastAsia"/>
                <w:szCs w:val="21"/>
                <w:u w:val="single"/>
              </w:rPr>
              <w:t>已建成，锈损严重，需拆除重建</w:t>
            </w:r>
          </w:p>
        </w:tc>
      </w:tr>
      <w:tr w:rsidR="00475650" w:rsidTr="00475650">
        <w:tc>
          <w:tcPr>
            <w:tcW w:w="981" w:type="dxa"/>
            <w:vAlign w:val="center"/>
          </w:tcPr>
          <w:p w:rsidR="00475650" w:rsidRDefault="00475650">
            <w:pPr>
              <w:snapToGrid w:val="0"/>
              <w:jc w:val="center"/>
              <w:rPr>
                <w:szCs w:val="21"/>
                <w:u w:val="single"/>
              </w:rPr>
            </w:pPr>
            <w:r>
              <w:rPr>
                <w:szCs w:val="21"/>
                <w:u w:val="single"/>
              </w:rPr>
              <w:t>12</w:t>
            </w:r>
          </w:p>
        </w:tc>
        <w:tc>
          <w:tcPr>
            <w:tcW w:w="1864" w:type="dxa"/>
            <w:vAlign w:val="center"/>
          </w:tcPr>
          <w:p w:rsidR="00475650" w:rsidRDefault="00475650">
            <w:pPr>
              <w:snapToGrid w:val="0"/>
              <w:jc w:val="center"/>
              <w:rPr>
                <w:szCs w:val="21"/>
                <w:u w:val="single"/>
              </w:rPr>
            </w:pPr>
            <w:r>
              <w:rPr>
                <w:rFonts w:hAnsi="宋体"/>
                <w:szCs w:val="21"/>
                <w:u w:val="single"/>
              </w:rPr>
              <w:t>破碎机</w:t>
            </w:r>
          </w:p>
        </w:tc>
        <w:tc>
          <w:tcPr>
            <w:tcW w:w="1232" w:type="dxa"/>
            <w:vAlign w:val="center"/>
          </w:tcPr>
          <w:p w:rsidR="00475650" w:rsidRDefault="00475650">
            <w:pPr>
              <w:snapToGrid w:val="0"/>
              <w:jc w:val="center"/>
              <w:rPr>
                <w:szCs w:val="21"/>
                <w:u w:val="single"/>
              </w:rPr>
            </w:pPr>
            <w:r>
              <w:rPr>
                <w:szCs w:val="21"/>
                <w:u w:val="single"/>
              </w:rPr>
              <w:t>QB-400-2</w:t>
            </w:r>
          </w:p>
        </w:tc>
        <w:tc>
          <w:tcPr>
            <w:tcW w:w="993" w:type="dxa"/>
            <w:vAlign w:val="center"/>
          </w:tcPr>
          <w:p w:rsidR="00475650" w:rsidRDefault="00475650">
            <w:pPr>
              <w:snapToGrid w:val="0"/>
              <w:jc w:val="center"/>
              <w:rPr>
                <w:szCs w:val="21"/>
                <w:u w:val="single"/>
              </w:rPr>
            </w:pPr>
            <w:r>
              <w:rPr>
                <w:rFonts w:hAnsi="宋体"/>
                <w:szCs w:val="21"/>
                <w:u w:val="single"/>
              </w:rPr>
              <w:t>台</w:t>
            </w:r>
          </w:p>
        </w:tc>
        <w:tc>
          <w:tcPr>
            <w:tcW w:w="992" w:type="dxa"/>
            <w:vAlign w:val="center"/>
          </w:tcPr>
          <w:p w:rsidR="00475650" w:rsidRDefault="00475650">
            <w:pPr>
              <w:snapToGrid w:val="0"/>
              <w:jc w:val="center"/>
              <w:rPr>
                <w:szCs w:val="21"/>
                <w:u w:val="single"/>
              </w:rPr>
            </w:pPr>
            <w:r>
              <w:rPr>
                <w:szCs w:val="21"/>
                <w:u w:val="single"/>
              </w:rPr>
              <w:t>2</w:t>
            </w:r>
          </w:p>
        </w:tc>
        <w:tc>
          <w:tcPr>
            <w:tcW w:w="3118" w:type="dxa"/>
            <w:vAlign w:val="center"/>
          </w:tcPr>
          <w:p w:rsidR="00475650" w:rsidRDefault="00475650">
            <w:pPr>
              <w:snapToGrid w:val="0"/>
              <w:jc w:val="center"/>
              <w:rPr>
                <w:szCs w:val="21"/>
                <w:u w:val="single"/>
              </w:rPr>
            </w:pPr>
            <w:r>
              <w:rPr>
                <w:rFonts w:hint="eastAsia"/>
                <w:szCs w:val="21"/>
                <w:u w:val="single"/>
              </w:rPr>
              <w:t>已建成，为球磨破碎机，设有专用破碎机房</w:t>
            </w:r>
          </w:p>
        </w:tc>
      </w:tr>
      <w:tr w:rsidR="00475650" w:rsidTr="00475650">
        <w:tc>
          <w:tcPr>
            <w:tcW w:w="981" w:type="dxa"/>
            <w:vAlign w:val="center"/>
          </w:tcPr>
          <w:p w:rsidR="00475650" w:rsidRDefault="00475650">
            <w:pPr>
              <w:snapToGrid w:val="0"/>
              <w:jc w:val="center"/>
              <w:rPr>
                <w:szCs w:val="21"/>
                <w:u w:val="single"/>
              </w:rPr>
            </w:pPr>
            <w:r>
              <w:rPr>
                <w:szCs w:val="21"/>
                <w:u w:val="single"/>
              </w:rPr>
              <w:lastRenderedPageBreak/>
              <w:t>13</w:t>
            </w:r>
          </w:p>
        </w:tc>
        <w:tc>
          <w:tcPr>
            <w:tcW w:w="1864" w:type="dxa"/>
            <w:vAlign w:val="center"/>
          </w:tcPr>
          <w:p w:rsidR="00475650" w:rsidRDefault="00475650">
            <w:pPr>
              <w:snapToGrid w:val="0"/>
              <w:jc w:val="center"/>
              <w:rPr>
                <w:szCs w:val="21"/>
                <w:u w:val="single"/>
              </w:rPr>
            </w:pPr>
            <w:r>
              <w:rPr>
                <w:rFonts w:hAnsi="宋体"/>
                <w:szCs w:val="21"/>
                <w:u w:val="single"/>
              </w:rPr>
              <w:t>自动粉体计量泵</w:t>
            </w:r>
          </w:p>
        </w:tc>
        <w:tc>
          <w:tcPr>
            <w:tcW w:w="1232" w:type="dxa"/>
            <w:vAlign w:val="center"/>
          </w:tcPr>
          <w:p w:rsidR="00475650" w:rsidRDefault="00475650">
            <w:pPr>
              <w:snapToGrid w:val="0"/>
              <w:jc w:val="center"/>
              <w:rPr>
                <w:szCs w:val="21"/>
                <w:u w:val="single"/>
              </w:rPr>
            </w:pPr>
          </w:p>
        </w:tc>
        <w:tc>
          <w:tcPr>
            <w:tcW w:w="993" w:type="dxa"/>
            <w:vAlign w:val="center"/>
          </w:tcPr>
          <w:p w:rsidR="00475650" w:rsidRDefault="00475650">
            <w:pPr>
              <w:snapToGrid w:val="0"/>
              <w:jc w:val="center"/>
              <w:rPr>
                <w:szCs w:val="21"/>
                <w:u w:val="single"/>
              </w:rPr>
            </w:pPr>
            <w:r>
              <w:rPr>
                <w:rFonts w:hAnsi="宋体"/>
                <w:szCs w:val="21"/>
                <w:u w:val="single"/>
              </w:rPr>
              <w:t>台</w:t>
            </w:r>
          </w:p>
        </w:tc>
        <w:tc>
          <w:tcPr>
            <w:tcW w:w="992" w:type="dxa"/>
            <w:vAlign w:val="center"/>
          </w:tcPr>
          <w:p w:rsidR="00475650" w:rsidRDefault="00475650">
            <w:pPr>
              <w:snapToGrid w:val="0"/>
              <w:jc w:val="center"/>
              <w:rPr>
                <w:szCs w:val="21"/>
                <w:u w:val="single"/>
              </w:rPr>
            </w:pPr>
            <w:r>
              <w:rPr>
                <w:szCs w:val="21"/>
                <w:u w:val="single"/>
              </w:rPr>
              <w:t>4</w:t>
            </w:r>
          </w:p>
        </w:tc>
        <w:tc>
          <w:tcPr>
            <w:tcW w:w="3118" w:type="dxa"/>
            <w:vAlign w:val="center"/>
          </w:tcPr>
          <w:p w:rsidR="00475650" w:rsidRDefault="00475650">
            <w:pPr>
              <w:jc w:val="center"/>
              <w:rPr>
                <w:u w:val="single"/>
              </w:rPr>
            </w:pPr>
            <w:r>
              <w:rPr>
                <w:rFonts w:hint="eastAsia"/>
                <w:szCs w:val="21"/>
                <w:u w:val="single"/>
              </w:rPr>
              <w:t>未建</w:t>
            </w:r>
          </w:p>
        </w:tc>
      </w:tr>
      <w:tr w:rsidR="00475650" w:rsidTr="00475650">
        <w:trPr>
          <w:trHeight w:val="162"/>
        </w:trPr>
        <w:tc>
          <w:tcPr>
            <w:tcW w:w="981" w:type="dxa"/>
            <w:vAlign w:val="center"/>
          </w:tcPr>
          <w:p w:rsidR="00475650" w:rsidRDefault="00475650">
            <w:pPr>
              <w:snapToGrid w:val="0"/>
              <w:jc w:val="center"/>
              <w:rPr>
                <w:szCs w:val="21"/>
                <w:u w:val="single"/>
              </w:rPr>
            </w:pPr>
            <w:r>
              <w:rPr>
                <w:szCs w:val="21"/>
                <w:u w:val="single"/>
              </w:rPr>
              <w:t>14</w:t>
            </w:r>
          </w:p>
        </w:tc>
        <w:tc>
          <w:tcPr>
            <w:tcW w:w="1864" w:type="dxa"/>
            <w:vAlign w:val="center"/>
          </w:tcPr>
          <w:p w:rsidR="00475650" w:rsidRDefault="00475650">
            <w:pPr>
              <w:snapToGrid w:val="0"/>
              <w:jc w:val="center"/>
              <w:rPr>
                <w:szCs w:val="21"/>
                <w:u w:val="single"/>
              </w:rPr>
            </w:pPr>
            <w:r>
              <w:rPr>
                <w:rFonts w:hAnsi="宋体"/>
                <w:szCs w:val="21"/>
                <w:u w:val="single"/>
              </w:rPr>
              <w:t>助剂计量加料泵</w:t>
            </w:r>
          </w:p>
        </w:tc>
        <w:tc>
          <w:tcPr>
            <w:tcW w:w="1232" w:type="dxa"/>
            <w:vAlign w:val="center"/>
          </w:tcPr>
          <w:p w:rsidR="00475650" w:rsidRDefault="00475650">
            <w:pPr>
              <w:snapToGrid w:val="0"/>
              <w:jc w:val="center"/>
              <w:rPr>
                <w:szCs w:val="21"/>
                <w:u w:val="single"/>
              </w:rPr>
            </w:pPr>
          </w:p>
        </w:tc>
        <w:tc>
          <w:tcPr>
            <w:tcW w:w="993" w:type="dxa"/>
            <w:vAlign w:val="center"/>
          </w:tcPr>
          <w:p w:rsidR="00475650" w:rsidRDefault="00475650">
            <w:pPr>
              <w:snapToGrid w:val="0"/>
              <w:jc w:val="center"/>
              <w:rPr>
                <w:szCs w:val="21"/>
                <w:u w:val="single"/>
              </w:rPr>
            </w:pPr>
            <w:r>
              <w:rPr>
                <w:rFonts w:hAnsi="宋体"/>
                <w:szCs w:val="21"/>
                <w:u w:val="single"/>
              </w:rPr>
              <w:t>台</w:t>
            </w:r>
          </w:p>
        </w:tc>
        <w:tc>
          <w:tcPr>
            <w:tcW w:w="992" w:type="dxa"/>
            <w:vAlign w:val="center"/>
          </w:tcPr>
          <w:p w:rsidR="00475650" w:rsidRDefault="00475650">
            <w:pPr>
              <w:snapToGrid w:val="0"/>
              <w:jc w:val="center"/>
              <w:rPr>
                <w:szCs w:val="21"/>
                <w:u w:val="single"/>
              </w:rPr>
            </w:pPr>
            <w:r>
              <w:rPr>
                <w:szCs w:val="21"/>
                <w:u w:val="single"/>
              </w:rPr>
              <w:t>8</w:t>
            </w:r>
          </w:p>
        </w:tc>
        <w:tc>
          <w:tcPr>
            <w:tcW w:w="3118" w:type="dxa"/>
            <w:vAlign w:val="center"/>
          </w:tcPr>
          <w:p w:rsidR="00475650" w:rsidRDefault="00475650">
            <w:pPr>
              <w:jc w:val="center"/>
              <w:rPr>
                <w:u w:val="single"/>
              </w:rPr>
            </w:pPr>
            <w:r>
              <w:rPr>
                <w:rFonts w:hint="eastAsia"/>
                <w:szCs w:val="21"/>
                <w:u w:val="single"/>
              </w:rPr>
              <w:t>未建</w:t>
            </w:r>
          </w:p>
        </w:tc>
      </w:tr>
      <w:tr w:rsidR="00475650" w:rsidTr="00475650">
        <w:tc>
          <w:tcPr>
            <w:tcW w:w="981" w:type="dxa"/>
            <w:vAlign w:val="center"/>
          </w:tcPr>
          <w:p w:rsidR="00475650" w:rsidRDefault="00475650">
            <w:pPr>
              <w:snapToGrid w:val="0"/>
              <w:jc w:val="center"/>
              <w:rPr>
                <w:szCs w:val="21"/>
                <w:u w:val="single"/>
              </w:rPr>
            </w:pPr>
            <w:r>
              <w:rPr>
                <w:szCs w:val="21"/>
                <w:u w:val="single"/>
              </w:rPr>
              <w:t>15</w:t>
            </w:r>
          </w:p>
        </w:tc>
        <w:tc>
          <w:tcPr>
            <w:tcW w:w="1864" w:type="dxa"/>
            <w:vAlign w:val="center"/>
          </w:tcPr>
          <w:p w:rsidR="00475650" w:rsidRDefault="00475650">
            <w:pPr>
              <w:snapToGrid w:val="0"/>
              <w:jc w:val="center"/>
              <w:rPr>
                <w:szCs w:val="21"/>
                <w:u w:val="single"/>
              </w:rPr>
            </w:pPr>
            <w:r>
              <w:rPr>
                <w:rFonts w:hAnsi="宋体"/>
                <w:szCs w:val="21"/>
                <w:u w:val="single"/>
              </w:rPr>
              <w:t>粉体回收装置</w:t>
            </w:r>
          </w:p>
        </w:tc>
        <w:tc>
          <w:tcPr>
            <w:tcW w:w="1232" w:type="dxa"/>
            <w:vAlign w:val="center"/>
          </w:tcPr>
          <w:p w:rsidR="00475650" w:rsidRDefault="00475650">
            <w:pPr>
              <w:snapToGrid w:val="0"/>
              <w:jc w:val="center"/>
              <w:rPr>
                <w:szCs w:val="21"/>
                <w:u w:val="single"/>
              </w:rPr>
            </w:pPr>
          </w:p>
        </w:tc>
        <w:tc>
          <w:tcPr>
            <w:tcW w:w="993" w:type="dxa"/>
            <w:vAlign w:val="center"/>
          </w:tcPr>
          <w:p w:rsidR="00475650" w:rsidRDefault="00475650">
            <w:pPr>
              <w:snapToGrid w:val="0"/>
              <w:jc w:val="center"/>
              <w:rPr>
                <w:szCs w:val="21"/>
                <w:u w:val="single"/>
              </w:rPr>
            </w:pPr>
            <w:r>
              <w:rPr>
                <w:rFonts w:hAnsi="宋体"/>
                <w:szCs w:val="21"/>
                <w:u w:val="single"/>
              </w:rPr>
              <w:t>台</w:t>
            </w:r>
          </w:p>
        </w:tc>
        <w:tc>
          <w:tcPr>
            <w:tcW w:w="992" w:type="dxa"/>
            <w:vAlign w:val="center"/>
          </w:tcPr>
          <w:p w:rsidR="00475650" w:rsidRDefault="00475650">
            <w:pPr>
              <w:snapToGrid w:val="0"/>
              <w:jc w:val="center"/>
              <w:rPr>
                <w:szCs w:val="21"/>
                <w:u w:val="single"/>
              </w:rPr>
            </w:pPr>
            <w:r>
              <w:rPr>
                <w:szCs w:val="21"/>
                <w:u w:val="single"/>
              </w:rPr>
              <w:t>2</w:t>
            </w:r>
          </w:p>
        </w:tc>
        <w:tc>
          <w:tcPr>
            <w:tcW w:w="3118" w:type="dxa"/>
            <w:vAlign w:val="center"/>
          </w:tcPr>
          <w:p w:rsidR="00475650" w:rsidRDefault="00475650">
            <w:pPr>
              <w:jc w:val="center"/>
              <w:rPr>
                <w:u w:val="single"/>
              </w:rPr>
            </w:pPr>
            <w:r>
              <w:rPr>
                <w:rFonts w:hint="eastAsia"/>
                <w:u w:val="single"/>
              </w:rPr>
              <w:t>未建</w:t>
            </w:r>
          </w:p>
        </w:tc>
      </w:tr>
      <w:tr w:rsidR="00475650" w:rsidTr="00475650">
        <w:tc>
          <w:tcPr>
            <w:tcW w:w="981" w:type="dxa"/>
            <w:vAlign w:val="center"/>
          </w:tcPr>
          <w:p w:rsidR="00475650" w:rsidRDefault="00475650">
            <w:pPr>
              <w:snapToGrid w:val="0"/>
              <w:jc w:val="center"/>
              <w:rPr>
                <w:szCs w:val="21"/>
                <w:u w:val="single"/>
              </w:rPr>
            </w:pPr>
            <w:r>
              <w:rPr>
                <w:szCs w:val="21"/>
                <w:u w:val="single"/>
              </w:rPr>
              <w:t>16</w:t>
            </w:r>
          </w:p>
        </w:tc>
        <w:tc>
          <w:tcPr>
            <w:tcW w:w="1864" w:type="dxa"/>
            <w:vAlign w:val="center"/>
          </w:tcPr>
          <w:p w:rsidR="00475650" w:rsidRDefault="00475650">
            <w:pPr>
              <w:snapToGrid w:val="0"/>
              <w:jc w:val="center"/>
              <w:rPr>
                <w:szCs w:val="21"/>
                <w:u w:val="single"/>
              </w:rPr>
            </w:pPr>
            <w:r>
              <w:rPr>
                <w:rFonts w:hAnsi="宋体"/>
                <w:szCs w:val="21"/>
                <w:u w:val="single"/>
              </w:rPr>
              <w:t>移动式粉体料仓</w:t>
            </w:r>
          </w:p>
        </w:tc>
        <w:tc>
          <w:tcPr>
            <w:tcW w:w="1232" w:type="dxa"/>
            <w:vAlign w:val="center"/>
          </w:tcPr>
          <w:p w:rsidR="00475650" w:rsidRDefault="00475650">
            <w:pPr>
              <w:snapToGrid w:val="0"/>
              <w:jc w:val="center"/>
              <w:rPr>
                <w:szCs w:val="21"/>
                <w:u w:val="single"/>
              </w:rPr>
            </w:pPr>
            <w:r>
              <w:rPr>
                <w:szCs w:val="21"/>
                <w:u w:val="single"/>
              </w:rPr>
              <w:t>1000L</w:t>
            </w:r>
          </w:p>
        </w:tc>
        <w:tc>
          <w:tcPr>
            <w:tcW w:w="993" w:type="dxa"/>
            <w:vAlign w:val="center"/>
          </w:tcPr>
          <w:p w:rsidR="00475650" w:rsidRDefault="00475650">
            <w:pPr>
              <w:snapToGrid w:val="0"/>
              <w:jc w:val="center"/>
              <w:rPr>
                <w:szCs w:val="21"/>
                <w:u w:val="single"/>
              </w:rPr>
            </w:pPr>
            <w:r>
              <w:rPr>
                <w:rFonts w:hAnsi="宋体"/>
                <w:szCs w:val="21"/>
                <w:u w:val="single"/>
              </w:rPr>
              <w:t>台</w:t>
            </w:r>
          </w:p>
        </w:tc>
        <w:tc>
          <w:tcPr>
            <w:tcW w:w="992" w:type="dxa"/>
            <w:vAlign w:val="center"/>
          </w:tcPr>
          <w:p w:rsidR="00475650" w:rsidRDefault="00475650">
            <w:pPr>
              <w:snapToGrid w:val="0"/>
              <w:jc w:val="center"/>
              <w:rPr>
                <w:szCs w:val="21"/>
                <w:u w:val="single"/>
              </w:rPr>
            </w:pPr>
            <w:r>
              <w:rPr>
                <w:szCs w:val="21"/>
                <w:u w:val="single"/>
              </w:rPr>
              <w:t>2</w:t>
            </w:r>
          </w:p>
        </w:tc>
        <w:tc>
          <w:tcPr>
            <w:tcW w:w="3118" w:type="dxa"/>
            <w:vAlign w:val="center"/>
          </w:tcPr>
          <w:p w:rsidR="00475650" w:rsidRDefault="00475650">
            <w:pPr>
              <w:jc w:val="center"/>
              <w:rPr>
                <w:u w:val="single"/>
              </w:rPr>
            </w:pPr>
            <w:r>
              <w:rPr>
                <w:rFonts w:hint="eastAsia"/>
                <w:u w:val="single"/>
              </w:rPr>
              <w:t>已建</w:t>
            </w:r>
          </w:p>
        </w:tc>
      </w:tr>
      <w:tr w:rsidR="00475650" w:rsidTr="00475650">
        <w:tc>
          <w:tcPr>
            <w:tcW w:w="981" w:type="dxa"/>
            <w:vAlign w:val="center"/>
          </w:tcPr>
          <w:p w:rsidR="00475650" w:rsidRDefault="00475650">
            <w:pPr>
              <w:snapToGrid w:val="0"/>
              <w:jc w:val="center"/>
              <w:rPr>
                <w:szCs w:val="21"/>
                <w:u w:val="single"/>
              </w:rPr>
            </w:pPr>
            <w:r>
              <w:rPr>
                <w:szCs w:val="21"/>
                <w:u w:val="single"/>
              </w:rPr>
              <w:t>17</w:t>
            </w:r>
          </w:p>
        </w:tc>
        <w:tc>
          <w:tcPr>
            <w:tcW w:w="1864" w:type="dxa"/>
            <w:vAlign w:val="center"/>
          </w:tcPr>
          <w:p w:rsidR="00475650" w:rsidRDefault="00475650">
            <w:pPr>
              <w:snapToGrid w:val="0"/>
              <w:jc w:val="center"/>
              <w:rPr>
                <w:szCs w:val="21"/>
                <w:u w:val="single"/>
              </w:rPr>
            </w:pPr>
            <w:r>
              <w:rPr>
                <w:rFonts w:hAnsi="宋体"/>
                <w:szCs w:val="21"/>
                <w:u w:val="single"/>
              </w:rPr>
              <w:t>粉体贮存仓</w:t>
            </w:r>
          </w:p>
        </w:tc>
        <w:tc>
          <w:tcPr>
            <w:tcW w:w="1232" w:type="dxa"/>
            <w:vAlign w:val="center"/>
          </w:tcPr>
          <w:p w:rsidR="00475650" w:rsidRDefault="00475650">
            <w:pPr>
              <w:snapToGrid w:val="0"/>
              <w:jc w:val="center"/>
              <w:rPr>
                <w:szCs w:val="21"/>
                <w:u w:val="single"/>
              </w:rPr>
            </w:pPr>
            <w:r>
              <w:rPr>
                <w:szCs w:val="21"/>
                <w:u w:val="single"/>
              </w:rPr>
              <w:t>10000L</w:t>
            </w:r>
          </w:p>
        </w:tc>
        <w:tc>
          <w:tcPr>
            <w:tcW w:w="993" w:type="dxa"/>
            <w:vAlign w:val="center"/>
          </w:tcPr>
          <w:p w:rsidR="00475650" w:rsidRDefault="00475650">
            <w:pPr>
              <w:snapToGrid w:val="0"/>
              <w:jc w:val="center"/>
              <w:rPr>
                <w:szCs w:val="21"/>
                <w:u w:val="single"/>
              </w:rPr>
            </w:pPr>
            <w:r>
              <w:rPr>
                <w:rFonts w:hAnsi="宋体"/>
                <w:szCs w:val="21"/>
                <w:u w:val="single"/>
              </w:rPr>
              <w:t>台</w:t>
            </w:r>
          </w:p>
        </w:tc>
        <w:tc>
          <w:tcPr>
            <w:tcW w:w="992" w:type="dxa"/>
            <w:vAlign w:val="center"/>
          </w:tcPr>
          <w:p w:rsidR="00475650" w:rsidRDefault="00475650">
            <w:pPr>
              <w:snapToGrid w:val="0"/>
              <w:jc w:val="center"/>
              <w:rPr>
                <w:szCs w:val="21"/>
                <w:u w:val="single"/>
              </w:rPr>
            </w:pPr>
            <w:r>
              <w:rPr>
                <w:szCs w:val="21"/>
                <w:u w:val="single"/>
              </w:rPr>
              <w:t>1</w:t>
            </w:r>
          </w:p>
        </w:tc>
        <w:tc>
          <w:tcPr>
            <w:tcW w:w="3118" w:type="dxa"/>
            <w:vAlign w:val="center"/>
          </w:tcPr>
          <w:p w:rsidR="00475650" w:rsidRDefault="00475650">
            <w:pPr>
              <w:jc w:val="center"/>
              <w:rPr>
                <w:u w:val="single"/>
              </w:rPr>
            </w:pPr>
            <w:r>
              <w:rPr>
                <w:rFonts w:hint="eastAsia"/>
                <w:u w:val="single"/>
              </w:rPr>
              <w:t>已建</w:t>
            </w:r>
          </w:p>
        </w:tc>
      </w:tr>
      <w:tr w:rsidR="00475650" w:rsidTr="00475650">
        <w:tc>
          <w:tcPr>
            <w:tcW w:w="981" w:type="dxa"/>
            <w:vAlign w:val="center"/>
          </w:tcPr>
          <w:p w:rsidR="00475650" w:rsidRDefault="00475650">
            <w:pPr>
              <w:snapToGrid w:val="0"/>
              <w:jc w:val="center"/>
              <w:rPr>
                <w:szCs w:val="21"/>
                <w:u w:val="single"/>
              </w:rPr>
            </w:pPr>
            <w:r>
              <w:rPr>
                <w:rFonts w:hint="eastAsia"/>
                <w:szCs w:val="21"/>
                <w:u w:val="single"/>
              </w:rPr>
              <w:t>18</w:t>
            </w:r>
          </w:p>
        </w:tc>
        <w:tc>
          <w:tcPr>
            <w:tcW w:w="1864" w:type="dxa"/>
            <w:vAlign w:val="center"/>
          </w:tcPr>
          <w:p w:rsidR="00475650" w:rsidRDefault="00475650">
            <w:pPr>
              <w:snapToGrid w:val="0"/>
              <w:jc w:val="center"/>
              <w:rPr>
                <w:szCs w:val="21"/>
                <w:u w:val="single"/>
              </w:rPr>
            </w:pPr>
            <w:r>
              <w:rPr>
                <w:rFonts w:hAnsi="宋体"/>
                <w:szCs w:val="21"/>
                <w:u w:val="single"/>
              </w:rPr>
              <w:t>粉体计量包装机</w:t>
            </w:r>
          </w:p>
        </w:tc>
        <w:tc>
          <w:tcPr>
            <w:tcW w:w="1232" w:type="dxa"/>
            <w:vAlign w:val="center"/>
          </w:tcPr>
          <w:p w:rsidR="00475650" w:rsidRDefault="00475650">
            <w:pPr>
              <w:snapToGrid w:val="0"/>
              <w:jc w:val="center"/>
              <w:rPr>
                <w:szCs w:val="21"/>
                <w:u w:val="single"/>
              </w:rPr>
            </w:pPr>
          </w:p>
        </w:tc>
        <w:tc>
          <w:tcPr>
            <w:tcW w:w="993" w:type="dxa"/>
            <w:vAlign w:val="center"/>
          </w:tcPr>
          <w:p w:rsidR="00475650" w:rsidRDefault="00475650">
            <w:pPr>
              <w:snapToGrid w:val="0"/>
              <w:jc w:val="center"/>
              <w:rPr>
                <w:szCs w:val="21"/>
                <w:u w:val="single"/>
              </w:rPr>
            </w:pPr>
            <w:r>
              <w:rPr>
                <w:rFonts w:hAnsi="宋体"/>
                <w:szCs w:val="21"/>
                <w:u w:val="single"/>
              </w:rPr>
              <w:t>套</w:t>
            </w:r>
          </w:p>
        </w:tc>
        <w:tc>
          <w:tcPr>
            <w:tcW w:w="992" w:type="dxa"/>
            <w:vAlign w:val="center"/>
          </w:tcPr>
          <w:p w:rsidR="00475650" w:rsidRDefault="00475650">
            <w:pPr>
              <w:snapToGrid w:val="0"/>
              <w:jc w:val="center"/>
              <w:rPr>
                <w:szCs w:val="21"/>
                <w:u w:val="single"/>
              </w:rPr>
            </w:pPr>
            <w:r>
              <w:rPr>
                <w:szCs w:val="21"/>
                <w:u w:val="single"/>
              </w:rPr>
              <w:t>2</w:t>
            </w:r>
          </w:p>
        </w:tc>
        <w:tc>
          <w:tcPr>
            <w:tcW w:w="3118" w:type="dxa"/>
            <w:vAlign w:val="center"/>
          </w:tcPr>
          <w:p w:rsidR="00475650" w:rsidRDefault="00475650">
            <w:pPr>
              <w:snapToGrid w:val="0"/>
              <w:jc w:val="center"/>
              <w:rPr>
                <w:szCs w:val="21"/>
                <w:u w:val="single"/>
              </w:rPr>
            </w:pPr>
            <w:r>
              <w:rPr>
                <w:rFonts w:hint="eastAsia"/>
                <w:szCs w:val="21"/>
                <w:u w:val="single"/>
              </w:rPr>
              <w:t>未建</w:t>
            </w:r>
          </w:p>
        </w:tc>
      </w:tr>
      <w:tr w:rsidR="00475650" w:rsidTr="00475650">
        <w:tc>
          <w:tcPr>
            <w:tcW w:w="981" w:type="dxa"/>
            <w:vAlign w:val="center"/>
          </w:tcPr>
          <w:p w:rsidR="00475650" w:rsidRDefault="00475650">
            <w:pPr>
              <w:jc w:val="center"/>
              <w:rPr>
                <w:szCs w:val="21"/>
                <w:u w:val="single"/>
              </w:rPr>
            </w:pPr>
            <w:r>
              <w:rPr>
                <w:rFonts w:hAnsi="宋体"/>
                <w:szCs w:val="21"/>
                <w:u w:val="single"/>
              </w:rPr>
              <w:t>二</w:t>
            </w:r>
          </w:p>
        </w:tc>
        <w:tc>
          <w:tcPr>
            <w:tcW w:w="8199" w:type="dxa"/>
            <w:gridSpan w:val="5"/>
            <w:vAlign w:val="center"/>
          </w:tcPr>
          <w:p w:rsidR="00475650" w:rsidRDefault="00475650">
            <w:pPr>
              <w:jc w:val="center"/>
              <w:rPr>
                <w:u w:val="single"/>
              </w:rPr>
            </w:pPr>
            <w:r>
              <w:rPr>
                <w:rFonts w:hAnsi="宋体"/>
                <w:u w:val="single"/>
              </w:rPr>
              <w:t>酸性黄</w:t>
            </w:r>
            <w:r>
              <w:rPr>
                <w:u w:val="single"/>
              </w:rPr>
              <w:t>49</w:t>
            </w:r>
            <w:r>
              <w:rPr>
                <w:rFonts w:hAnsi="宋体"/>
                <w:u w:val="single"/>
              </w:rPr>
              <w:t>生产线主要设备</w:t>
            </w:r>
          </w:p>
        </w:tc>
      </w:tr>
      <w:tr w:rsidR="00475650" w:rsidTr="00475650">
        <w:tc>
          <w:tcPr>
            <w:tcW w:w="981" w:type="dxa"/>
            <w:vAlign w:val="center"/>
          </w:tcPr>
          <w:p w:rsidR="00475650" w:rsidRDefault="00475650">
            <w:pPr>
              <w:jc w:val="center"/>
              <w:rPr>
                <w:szCs w:val="21"/>
                <w:u w:val="single"/>
              </w:rPr>
            </w:pPr>
            <w:r>
              <w:rPr>
                <w:kern w:val="0"/>
                <w:szCs w:val="21"/>
                <w:u w:val="single"/>
              </w:rPr>
              <w:t>1</w:t>
            </w:r>
          </w:p>
        </w:tc>
        <w:tc>
          <w:tcPr>
            <w:tcW w:w="1864" w:type="dxa"/>
            <w:vAlign w:val="center"/>
          </w:tcPr>
          <w:p w:rsidR="00475650" w:rsidRDefault="00475650">
            <w:pPr>
              <w:jc w:val="center"/>
              <w:rPr>
                <w:szCs w:val="21"/>
                <w:u w:val="single"/>
              </w:rPr>
            </w:pPr>
            <w:r>
              <w:rPr>
                <w:rFonts w:hAnsi="宋体"/>
                <w:kern w:val="0"/>
                <w:szCs w:val="21"/>
                <w:u w:val="single"/>
              </w:rPr>
              <w:t>重氮反应釜</w:t>
            </w:r>
          </w:p>
        </w:tc>
        <w:tc>
          <w:tcPr>
            <w:tcW w:w="1232" w:type="dxa"/>
            <w:vAlign w:val="center"/>
          </w:tcPr>
          <w:p w:rsidR="00475650" w:rsidRDefault="00475650">
            <w:pPr>
              <w:jc w:val="center"/>
              <w:rPr>
                <w:szCs w:val="21"/>
                <w:u w:val="single"/>
              </w:rPr>
            </w:pPr>
            <w:r>
              <w:rPr>
                <w:kern w:val="0"/>
                <w:szCs w:val="21"/>
                <w:u w:val="single"/>
              </w:rPr>
              <w:t>2000L</w:t>
            </w:r>
          </w:p>
        </w:tc>
        <w:tc>
          <w:tcPr>
            <w:tcW w:w="993" w:type="dxa"/>
            <w:vAlign w:val="center"/>
          </w:tcPr>
          <w:p w:rsidR="00475650" w:rsidRDefault="00475650">
            <w:pPr>
              <w:jc w:val="center"/>
              <w:rPr>
                <w:szCs w:val="21"/>
                <w:u w:val="single"/>
              </w:rPr>
            </w:pPr>
            <w:r>
              <w:rPr>
                <w:rFonts w:hAnsi="宋体"/>
                <w:kern w:val="0"/>
                <w:szCs w:val="21"/>
                <w:u w:val="single"/>
              </w:rPr>
              <w:t>台</w:t>
            </w:r>
          </w:p>
        </w:tc>
        <w:tc>
          <w:tcPr>
            <w:tcW w:w="992" w:type="dxa"/>
            <w:vAlign w:val="center"/>
          </w:tcPr>
          <w:p w:rsidR="00475650" w:rsidRDefault="00475650">
            <w:pPr>
              <w:jc w:val="center"/>
              <w:rPr>
                <w:szCs w:val="21"/>
                <w:u w:val="single"/>
              </w:rPr>
            </w:pPr>
            <w:r>
              <w:rPr>
                <w:kern w:val="0"/>
                <w:szCs w:val="21"/>
                <w:u w:val="single"/>
              </w:rPr>
              <w:t>1</w:t>
            </w:r>
          </w:p>
        </w:tc>
        <w:tc>
          <w:tcPr>
            <w:tcW w:w="3118" w:type="dxa"/>
            <w:vMerge w:val="restart"/>
            <w:vAlign w:val="center"/>
          </w:tcPr>
          <w:p w:rsidR="00475650" w:rsidRDefault="00475650">
            <w:pPr>
              <w:jc w:val="center"/>
              <w:rPr>
                <w:szCs w:val="21"/>
                <w:u w:val="single"/>
              </w:rPr>
            </w:pPr>
            <w:r>
              <w:rPr>
                <w:rFonts w:hint="eastAsia"/>
                <w:szCs w:val="21"/>
                <w:u w:val="single"/>
              </w:rPr>
              <w:t>已建成，为敞开装置，拆除新建为国内先进的全密封设备</w:t>
            </w:r>
          </w:p>
        </w:tc>
      </w:tr>
      <w:tr w:rsidR="00475650" w:rsidTr="00475650">
        <w:tc>
          <w:tcPr>
            <w:tcW w:w="981" w:type="dxa"/>
            <w:vAlign w:val="center"/>
          </w:tcPr>
          <w:p w:rsidR="00475650" w:rsidRDefault="00475650">
            <w:pPr>
              <w:jc w:val="center"/>
              <w:rPr>
                <w:szCs w:val="21"/>
                <w:u w:val="single"/>
              </w:rPr>
            </w:pPr>
            <w:r>
              <w:rPr>
                <w:kern w:val="0"/>
                <w:szCs w:val="21"/>
                <w:u w:val="single"/>
              </w:rPr>
              <w:t>2</w:t>
            </w:r>
          </w:p>
        </w:tc>
        <w:tc>
          <w:tcPr>
            <w:tcW w:w="1864" w:type="dxa"/>
            <w:vAlign w:val="center"/>
          </w:tcPr>
          <w:p w:rsidR="00475650" w:rsidRDefault="00475650">
            <w:pPr>
              <w:jc w:val="center"/>
              <w:rPr>
                <w:szCs w:val="21"/>
                <w:u w:val="single"/>
              </w:rPr>
            </w:pPr>
            <w:r>
              <w:rPr>
                <w:rFonts w:hAnsi="宋体"/>
                <w:kern w:val="0"/>
                <w:szCs w:val="21"/>
                <w:u w:val="single"/>
              </w:rPr>
              <w:t>偶合反应釜</w:t>
            </w:r>
          </w:p>
        </w:tc>
        <w:tc>
          <w:tcPr>
            <w:tcW w:w="1232" w:type="dxa"/>
            <w:vAlign w:val="center"/>
          </w:tcPr>
          <w:p w:rsidR="00475650" w:rsidRDefault="00475650">
            <w:pPr>
              <w:jc w:val="center"/>
              <w:rPr>
                <w:szCs w:val="21"/>
                <w:u w:val="single"/>
              </w:rPr>
            </w:pPr>
            <w:r>
              <w:rPr>
                <w:kern w:val="0"/>
                <w:szCs w:val="21"/>
                <w:u w:val="single"/>
              </w:rPr>
              <w:t>5000L</w:t>
            </w:r>
          </w:p>
        </w:tc>
        <w:tc>
          <w:tcPr>
            <w:tcW w:w="993" w:type="dxa"/>
            <w:vAlign w:val="center"/>
          </w:tcPr>
          <w:p w:rsidR="00475650" w:rsidRDefault="00475650">
            <w:pPr>
              <w:jc w:val="center"/>
              <w:rPr>
                <w:szCs w:val="21"/>
                <w:u w:val="single"/>
              </w:rPr>
            </w:pPr>
            <w:r>
              <w:rPr>
                <w:rFonts w:hAnsi="宋体"/>
                <w:kern w:val="0"/>
                <w:szCs w:val="21"/>
                <w:u w:val="single"/>
              </w:rPr>
              <w:t>台</w:t>
            </w:r>
          </w:p>
        </w:tc>
        <w:tc>
          <w:tcPr>
            <w:tcW w:w="992" w:type="dxa"/>
            <w:vAlign w:val="center"/>
          </w:tcPr>
          <w:p w:rsidR="00475650" w:rsidRDefault="00475650">
            <w:pPr>
              <w:jc w:val="center"/>
              <w:rPr>
                <w:szCs w:val="21"/>
                <w:u w:val="single"/>
              </w:rPr>
            </w:pPr>
            <w:r>
              <w:rPr>
                <w:kern w:val="0"/>
                <w:szCs w:val="21"/>
                <w:u w:val="single"/>
              </w:rPr>
              <w:t>1</w:t>
            </w:r>
          </w:p>
        </w:tc>
        <w:tc>
          <w:tcPr>
            <w:tcW w:w="3118" w:type="dxa"/>
            <w:vMerge/>
            <w:vAlign w:val="center"/>
          </w:tcPr>
          <w:p w:rsidR="00475650" w:rsidRDefault="00475650">
            <w:pPr>
              <w:jc w:val="center"/>
              <w:rPr>
                <w:szCs w:val="21"/>
                <w:u w:val="single"/>
              </w:rPr>
            </w:pPr>
          </w:p>
        </w:tc>
      </w:tr>
      <w:tr w:rsidR="00475650" w:rsidTr="00475650">
        <w:tc>
          <w:tcPr>
            <w:tcW w:w="981" w:type="dxa"/>
            <w:vAlign w:val="center"/>
          </w:tcPr>
          <w:p w:rsidR="00475650" w:rsidRDefault="00475650">
            <w:pPr>
              <w:jc w:val="center"/>
              <w:rPr>
                <w:szCs w:val="21"/>
                <w:u w:val="single"/>
              </w:rPr>
            </w:pPr>
            <w:r>
              <w:rPr>
                <w:kern w:val="0"/>
                <w:szCs w:val="21"/>
                <w:u w:val="single"/>
              </w:rPr>
              <w:t>3</w:t>
            </w:r>
          </w:p>
        </w:tc>
        <w:tc>
          <w:tcPr>
            <w:tcW w:w="1864" w:type="dxa"/>
            <w:vAlign w:val="center"/>
          </w:tcPr>
          <w:p w:rsidR="00475650" w:rsidRDefault="00475650">
            <w:pPr>
              <w:jc w:val="center"/>
              <w:rPr>
                <w:szCs w:val="21"/>
                <w:u w:val="single"/>
              </w:rPr>
            </w:pPr>
            <w:r>
              <w:rPr>
                <w:rFonts w:hAnsi="宋体"/>
                <w:kern w:val="0"/>
                <w:szCs w:val="21"/>
                <w:u w:val="single"/>
              </w:rPr>
              <w:t>重结晶反应器</w:t>
            </w:r>
          </w:p>
        </w:tc>
        <w:tc>
          <w:tcPr>
            <w:tcW w:w="1232" w:type="dxa"/>
            <w:vAlign w:val="center"/>
          </w:tcPr>
          <w:p w:rsidR="00475650" w:rsidRDefault="00475650">
            <w:pPr>
              <w:jc w:val="center"/>
              <w:rPr>
                <w:szCs w:val="21"/>
                <w:u w:val="single"/>
              </w:rPr>
            </w:pPr>
            <w:r>
              <w:rPr>
                <w:kern w:val="0"/>
                <w:szCs w:val="21"/>
                <w:u w:val="single"/>
              </w:rPr>
              <w:t>2000L</w:t>
            </w:r>
          </w:p>
        </w:tc>
        <w:tc>
          <w:tcPr>
            <w:tcW w:w="993" w:type="dxa"/>
            <w:vAlign w:val="center"/>
          </w:tcPr>
          <w:p w:rsidR="00475650" w:rsidRDefault="00475650">
            <w:pPr>
              <w:jc w:val="center"/>
              <w:rPr>
                <w:szCs w:val="21"/>
                <w:u w:val="single"/>
              </w:rPr>
            </w:pPr>
            <w:r>
              <w:rPr>
                <w:rFonts w:hAnsi="宋体"/>
                <w:kern w:val="0"/>
                <w:szCs w:val="21"/>
                <w:u w:val="single"/>
              </w:rPr>
              <w:t>台</w:t>
            </w:r>
          </w:p>
        </w:tc>
        <w:tc>
          <w:tcPr>
            <w:tcW w:w="992" w:type="dxa"/>
            <w:vAlign w:val="center"/>
          </w:tcPr>
          <w:p w:rsidR="00475650" w:rsidRDefault="00475650">
            <w:pPr>
              <w:jc w:val="center"/>
              <w:rPr>
                <w:szCs w:val="21"/>
                <w:u w:val="single"/>
              </w:rPr>
            </w:pPr>
            <w:r>
              <w:rPr>
                <w:kern w:val="0"/>
                <w:szCs w:val="21"/>
                <w:u w:val="single"/>
              </w:rPr>
              <w:t>1</w:t>
            </w:r>
          </w:p>
        </w:tc>
        <w:tc>
          <w:tcPr>
            <w:tcW w:w="3118" w:type="dxa"/>
            <w:vMerge/>
            <w:vAlign w:val="center"/>
          </w:tcPr>
          <w:p w:rsidR="00475650" w:rsidRDefault="00475650">
            <w:pPr>
              <w:jc w:val="center"/>
              <w:rPr>
                <w:szCs w:val="21"/>
                <w:u w:val="single"/>
              </w:rPr>
            </w:pPr>
          </w:p>
        </w:tc>
      </w:tr>
      <w:tr w:rsidR="00475650" w:rsidTr="00475650">
        <w:tc>
          <w:tcPr>
            <w:tcW w:w="981" w:type="dxa"/>
            <w:vAlign w:val="center"/>
          </w:tcPr>
          <w:p w:rsidR="00475650" w:rsidRDefault="00475650">
            <w:pPr>
              <w:jc w:val="center"/>
              <w:rPr>
                <w:szCs w:val="21"/>
                <w:u w:val="single"/>
              </w:rPr>
            </w:pPr>
            <w:r>
              <w:rPr>
                <w:kern w:val="0"/>
                <w:szCs w:val="21"/>
                <w:u w:val="single"/>
              </w:rPr>
              <w:t>4</w:t>
            </w:r>
          </w:p>
        </w:tc>
        <w:tc>
          <w:tcPr>
            <w:tcW w:w="1864" w:type="dxa"/>
            <w:vAlign w:val="center"/>
          </w:tcPr>
          <w:p w:rsidR="00475650" w:rsidRDefault="00475650">
            <w:pPr>
              <w:jc w:val="center"/>
              <w:rPr>
                <w:szCs w:val="21"/>
                <w:u w:val="single"/>
              </w:rPr>
            </w:pPr>
            <w:r>
              <w:rPr>
                <w:rFonts w:hAnsi="宋体"/>
                <w:kern w:val="0"/>
                <w:szCs w:val="21"/>
                <w:u w:val="single"/>
              </w:rPr>
              <w:t>原料贮槽</w:t>
            </w:r>
          </w:p>
        </w:tc>
        <w:tc>
          <w:tcPr>
            <w:tcW w:w="1232" w:type="dxa"/>
            <w:vAlign w:val="center"/>
          </w:tcPr>
          <w:p w:rsidR="00475650" w:rsidRDefault="00475650">
            <w:pPr>
              <w:jc w:val="center"/>
              <w:rPr>
                <w:szCs w:val="21"/>
                <w:u w:val="single"/>
              </w:rPr>
            </w:pPr>
            <w:r>
              <w:rPr>
                <w:kern w:val="0"/>
                <w:szCs w:val="21"/>
                <w:u w:val="single"/>
              </w:rPr>
              <w:t>100m</w:t>
            </w:r>
            <w:r>
              <w:rPr>
                <w:kern w:val="0"/>
                <w:szCs w:val="21"/>
                <w:u w:val="single"/>
                <w:vertAlign w:val="superscript"/>
              </w:rPr>
              <w:t>3</w:t>
            </w:r>
          </w:p>
        </w:tc>
        <w:tc>
          <w:tcPr>
            <w:tcW w:w="993" w:type="dxa"/>
            <w:vAlign w:val="center"/>
          </w:tcPr>
          <w:p w:rsidR="00475650" w:rsidRDefault="00475650">
            <w:pPr>
              <w:jc w:val="center"/>
              <w:rPr>
                <w:szCs w:val="21"/>
                <w:u w:val="single"/>
              </w:rPr>
            </w:pPr>
            <w:r>
              <w:rPr>
                <w:rFonts w:hAnsi="宋体"/>
                <w:kern w:val="0"/>
                <w:szCs w:val="21"/>
                <w:u w:val="single"/>
              </w:rPr>
              <w:t>台</w:t>
            </w:r>
          </w:p>
        </w:tc>
        <w:tc>
          <w:tcPr>
            <w:tcW w:w="992" w:type="dxa"/>
            <w:vAlign w:val="center"/>
          </w:tcPr>
          <w:p w:rsidR="00475650" w:rsidRDefault="00475650">
            <w:pPr>
              <w:jc w:val="center"/>
              <w:rPr>
                <w:szCs w:val="21"/>
                <w:u w:val="single"/>
              </w:rPr>
            </w:pPr>
            <w:r>
              <w:rPr>
                <w:kern w:val="0"/>
                <w:szCs w:val="21"/>
                <w:u w:val="single"/>
              </w:rPr>
              <w:t>2</w:t>
            </w:r>
          </w:p>
        </w:tc>
        <w:tc>
          <w:tcPr>
            <w:tcW w:w="3118" w:type="dxa"/>
            <w:vAlign w:val="center"/>
          </w:tcPr>
          <w:p w:rsidR="00475650" w:rsidRDefault="00475650">
            <w:pPr>
              <w:jc w:val="center"/>
              <w:rPr>
                <w:szCs w:val="21"/>
                <w:u w:val="single"/>
              </w:rPr>
            </w:pPr>
            <w:r>
              <w:rPr>
                <w:rFonts w:hint="eastAsia"/>
                <w:szCs w:val="21"/>
                <w:u w:val="single"/>
              </w:rPr>
              <w:t>已建成，有锈损，拆除新建</w:t>
            </w:r>
          </w:p>
        </w:tc>
      </w:tr>
      <w:tr w:rsidR="00475650" w:rsidTr="00475650">
        <w:tc>
          <w:tcPr>
            <w:tcW w:w="981" w:type="dxa"/>
            <w:vAlign w:val="center"/>
          </w:tcPr>
          <w:p w:rsidR="00475650" w:rsidRDefault="00475650">
            <w:pPr>
              <w:jc w:val="center"/>
              <w:rPr>
                <w:szCs w:val="21"/>
                <w:u w:val="single"/>
              </w:rPr>
            </w:pPr>
            <w:r>
              <w:rPr>
                <w:kern w:val="0"/>
                <w:szCs w:val="21"/>
                <w:u w:val="single"/>
              </w:rPr>
              <w:t>5</w:t>
            </w:r>
          </w:p>
        </w:tc>
        <w:tc>
          <w:tcPr>
            <w:tcW w:w="1864" w:type="dxa"/>
            <w:vAlign w:val="center"/>
          </w:tcPr>
          <w:p w:rsidR="00475650" w:rsidRDefault="00475650">
            <w:pPr>
              <w:jc w:val="center"/>
              <w:rPr>
                <w:szCs w:val="21"/>
                <w:u w:val="single"/>
              </w:rPr>
            </w:pPr>
            <w:r>
              <w:rPr>
                <w:rFonts w:hAnsi="宋体"/>
                <w:kern w:val="0"/>
                <w:szCs w:val="21"/>
                <w:u w:val="single"/>
              </w:rPr>
              <w:t>盐酸计量槽</w:t>
            </w:r>
          </w:p>
        </w:tc>
        <w:tc>
          <w:tcPr>
            <w:tcW w:w="1232" w:type="dxa"/>
            <w:vAlign w:val="center"/>
          </w:tcPr>
          <w:p w:rsidR="00475650" w:rsidRDefault="00475650">
            <w:pPr>
              <w:jc w:val="center"/>
              <w:rPr>
                <w:szCs w:val="21"/>
                <w:u w:val="single"/>
              </w:rPr>
            </w:pPr>
            <w:r>
              <w:rPr>
                <w:kern w:val="0"/>
                <w:szCs w:val="21"/>
                <w:u w:val="single"/>
              </w:rPr>
              <w:t>1200L</w:t>
            </w:r>
          </w:p>
        </w:tc>
        <w:tc>
          <w:tcPr>
            <w:tcW w:w="993" w:type="dxa"/>
            <w:vAlign w:val="center"/>
          </w:tcPr>
          <w:p w:rsidR="00475650" w:rsidRDefault="00475650">
            <w:pPr>
              <w:jc w:val="center"/>
              <w:rPr>
                <w:szCs w:val="21"/>
                <w:u w:val="single"/>
              </w:rPr>
            </w:pPr>
            <w:r>
              <w:rPr>
                <w:rFonts w:hAnsi="宋体"/>
                <w:kern w:val="0"/>
                <w:szCs w:val="21"/>
                <w:u w:val="single"/>
              </w:rPr>
              <w:t>台</w:t>
            </w:r>
          </w:p>
        </w:tc>
        <w:tc>
          <w:tcPr>
            <w:tcW w:w="992" w:type="dxa"/>
            <w:vAlign w:val="center"/>
          </w:tcPr>
          <w:p w:rsidR="00475650" w:rsidRDefault="00475650">
            <w:pPr>
              <w:jc w:val="center"/>
              <w:rPr>
                <w:szCs w:val="21"/>
                <w:u w:val="single"/>
              </w:rPr>
            </w:pPr>
            <w:r>
              <w:rPr>
                <w:kern w:val="0"/>
                <w:szCs w:val="21"/>
                <w:u w:val="single"/>
              </w:rPr>
              <w:t>1</w:t>
            </w:r>
          </w:p>
        </w:tc>
        <w:tc>
          <w:tcPr>
            <w:tcW w:w="3118" w:type="dxa"/>
            <w:vAlign w:val="center"/>
          </w:tcPr>
          <w:p w:rsidR="00475650" w:rsidRDefault="00475650">
            <w:pPr>
              <w:jc w:val="center"/>
              <w:rPr>
                <w:szCs w:val="21"/>
                <w:u w:val="single"/>
              </w:rPr>
            </w:pPr>
            <w:r>
              <w:rPr>
                <w:rFonts w:hint="eastAsia"/>
                <w:szCs w:val="21"/>
                <w:u w:val="single"/>
              </w:rPr>
              <w:t>已建成，腐蚀严重，拆除新建</w:t>
            </w:r>
          </w:p>
        </w:tc>
      </w:tr>
      <w:tr w:rsidR="00475650" w:rsidTr="00475650">
        <w:tc>
          <w:tcPr>
            <w:tcW w:w="981" w:type="dxa"/>
            <w:vAlign w:val="center"/>
          </w:tcPr>
          <w:p w:rsidR="00475650" w:rsidRDefault="00475650">
            <w:pPr>
              <w:jc w:val="center"/>
              <w:rPr>
                <w:szCs w:val="21"/>
                <w:u w:val="single"/>
              </w:rPr>
            </w:pPr>
            <w:r>
              <w:rPr>
                <w:kern w:val="0"/>
                <w:szCs w:val="21"/>
                <w:u w:val="single"/>
              </w:rPr>
              <w:t>6</w:t>
            </w:r>
          </w:p>
        </w:tc>
        <w:tc>
          <w:tcPr>
            <w:tcW w:w="1864" w:type="dxa"/>
            <w:vAlign w:val="center"/>
          </w:tcPr>
          <w:p w:rsidR="00475650" w:rsidRDefault="00475650">
            <w:pPr>
              <w:jc w:val="center"/>
              <w:rPr>
                <w:szCs w:val="21"/>
                <w:u w:val="single"/>
              </w:rPr>
            </w:pPr>
            <w:r>
              <w:rPr>
                <w:rFonts w:hAnsi="宋体"/>
                <w:kern w:val="0"/>
                <w:szCs w:val="21"/>
                <w:u w:val="single"/>
              </w:rPr>
              <w:t>亚硝酸钠计量槽</w:t>
            </w:r>
          </w:p>
        </w:tc>
        <w:tc>
          <w:tcPr>
            <w:tcW w:w="1232" w:type="dxa"/>
            <w:vAlign w:val="center"/>
          </w:tcPr>
          <w:p w:rsidR="00475650" w:rsidRDefault="00475650">
            <w:pPr>
              <w:jc w:val="center"/>
              <w:rPr>
                <w:szCs w:val="21"/>
                <w:u w:val="single"/>
              </w:rPr>
            </w:pPr>
            <w:r>
              <w:rPr>
                <w:kern w:val="0"/>
                <w:szCs w:val="21"/>
                <w:u w:val="single"/>
              </w:rPr>
              <w:t>1200L</w:t>
            </w:r>
          </w:p>
        </w:tc>
        <w:tc>
          <w:tcPr>
            <w:tcW w:w="993" w:type="dxa"/>
            <w:vAlign w:val="center"/>
          </w:tcPr>
          <w:p w:rsidR="00475650" w:rsidRDefault="00475650">
            <w:pPr>
              <w:jc w:val="center"/>
              <w:rPr>
                <w:szCs w:val="21"/>
                <w:u w:val="single"/>
              </w:rPr>
            </w:pPr>
            <w:r>
              <w:rPr>
                <w:rFonts w:hAnsi="宋体"/>
                <w:kern w:val="0"/>
                <w:szCs w:val="21"/>
                <w:u w:val="single"/>
              </w:rPr>
              <w:t>台</w:t>
            </w:r>
          </w:p>
        </w:tc>
        <w:tc>
          <w:tcPr>
            <w:tcW w:w="992" w:type="dxa"/>
            <w:vAlign w:val="center"/>
          </w:tcPr>
          <w:p w:rsidR="00475650" w:rsidRDefault="00475650">
            <w:pPr>
              <w:jc w:val="center"/>
              <w:rPr>
                <w:szCs w:val="21"/>
                <w:u w:val="single"/>
              </w:rPr>
            </w:pPr>
            <w:r>
              <w:rPr>
                <w:kern w:val="0"/>
                <w:szCs w:val="21"/>
                <w:u w:val="single"/>
              </w:rPr>
              <w:t>1</w:t>
            </w:r>
          </w:p>
        </w:tc>
        <w:tc>
          <w:tcPr>
            <w:tcW w:w="3118" w:type="dxa"/>
            <w:vAlign w:val="center"/>
          </w:tcPr>
          <w:p w:rsidR="00475650" w:rsidRDefault="00475650">
            <w:pPr>
              <w:jc w:val="center"/>
              <w:rPr>
                <w:u w:val="single"/>
              </w:rPr>
            </w:pPr>
            <w:r>
              <w:rPr>
                <w:rFonts w:hint="eastAsia"/>
                <w:u w:val="single"/>
              </w:rPr>
              <w:t>已建成</w:t>
            </w:r>
          </w:p>
        </w:tc>
      </w:tr>
      <w:tr w:rsidR="00475650" w:rsidTr="00475650">
        <w:tc>
          <w:tcPr>
            <w:tcW w:w="981" w:type="dxa"/>
            <w:vAlign w:val="center"/>
          </w:tcPr>
          <w:p w:rsidR="00475650" w:rsidRDefault="00475650">
            <w:pPr>
              <w:jc w:val="center"/>
              <w:rPr>
                <w:szCs w:val="21"/>
                <w:u w:val="single"/>
              </w:rPr>
            </w:pPr>
            <w:r>
              <w:rPr>
                <w:kern w:val="0"/>
                <w:szCs w:val="21"/>
                <w:u w:val="single"/>
              </w:rPr>
              <w:t>7</w:t>
            </w:r>
          </w:p>
        </w:tc>
        <w:tc>
          <w:tcPr>
            <w:tcW w:w="1864" w:type="dxa"/>
            <w:vAlign w:val="center"/>
          </w:tcPr>
          <w:p w:rsidR="00475650" w:rsidRDefault="00475650">
            <w:pPr>
              <w:jc w:val="center"/>
              <w:rPr>
                <w:szCs w:val="21"/>
                <w:u w:val="single"/>
              </w:rPr>
            </w:pPr>
            <w:r>
              <w:rPr>
                <w:rFonts w:hAnsi="宋体"/>
                <w:kern w:val="0"/>
                <w:szCs w:val="21"/>
                <w:u w:val="single"/>
              </w:rPr>
              <w:t>碳酸钠计量槽</w:t>
            </w:r>
          </w:p>
        </w:tc>
        <w:tc>
          <w:tcPr>
            <w:tcW w:w="1232" w:type="dxa"/>
            <w:vAlign w:val="center"/>
          </w:tcPr>
          <w:p w:rsidR="00475650" w:rsidRDefault="00475650">
            <w:pPr>
              <w:jc w:val="center"/>
              <w:rPr>
                <w:szCs w:val="21"/>
                <w:u w:val="single"/>
              </w:rPr>
            </w:pPr>
            <w:r>
              <w:rPr>
                <w:kern w:val="0"/>
                <w:szCs w:val="21"/>
                <w:u w:val="single"/>
              </w:rPr>
              <w:t>1200L</w:t>
            </w:r>
          </w:p>
        </w:tc>
        <w:tc>
          <w:tcPr>
            <w:tcW w:w="993" w:type="dxa"/>
            <w:vAlign w:val="center"/>
          </w:tcPr>
          <w:p w:rsidR="00475650" w:rsidRDefault="00475650">
            <w:pPr>
              <w:jc w:val="center"/>
              <w:rPr>
                <w:szCs w:val="21"/>
                <w:u w:val="single"/>
              </w:rPr>
            </w:pPr>
            <w:r>
              <w:rPr>
                <w:rFonts w:hAnsi="宋体"/>
                <w:kern w:val="0"/>
                <w:szCs w:val="21"/>
                <w:u w:val="single"/>
              </w:rPr>
              <w:t>台</w:t>
            </w:r>
          </w:p>
        </w:tc>
        <w:tc>
          <w:tcPr>
            <w:tcW w:w="992" w:type="dxa"/>
            <w:vAlign w:val="center"/>
          </w:tcPr>
          <w:p w:rsidR="00475650" w:rsidRDefault="00475650">
            <w:pPr>
              <w:jc w:val="center"/>
              <w:rPr>
                <w:szCs w:val="21"/>
                <w:u w:val="single"/>
              </w:rPr>
            </w:pPr>
            <w:r>
              <w:rPr>
                <w:kern w:val="0"/>
                <w:szCs w:val="21"/>
                <w:u w:val="single"/>
              </w:rPr>
              <w:t>1</w:t>
            </w:r>
          </w:p>
        </w:tc>
        <w:tc>
          <w:tcPr>
            <w:tcW w:w="3118" w:type="dxa"/>
            <w:vAlign w:val="center"/>
          </w:tcPr>
          <w:p w:rsidR="00475650" w:rsidRDefault="00475650">
            <w:pPr>
              <w:jc w:val="center"/>
              <w:rPr>
                <w:u w:val="single"/>
              </w:rPr>
            </w:pPr>
            <w:r>
              <w:rPr>
                <w:rFonts w:hint="eastAsia"/>
                <w:u w:val="single"/>
              </w:rPr>
              <w:t>已建成</w:t>
            </w:r>
          </w:p>
        </w:tc>
      </w:tr>
      <w:tr w:rsidR="00475650" w:rsidTr="00475650">
        <w:tc>
          <w:tcPr>
            <w:tcW w:w="981" w:type="dxa"/>
            <w:vAlign w:val="center"/>
          </w:tcPr>
          <w:p w:rsidR="00475650" w:rsidRDefault="00475650">
            <w:pPr>
              <w:jc w:val="center"/>
              <w:rPr>
                <w:szCs w:val="21"/>
                <w:u w:val="single"/>
              </w:rPr>
            </w:pPr>
            <w:r>
              <w:rPr>
                <w:kern w:val="0"/>
                <w:szCs w:val="21"/>
                <w:u w:val="single"/>
              </w:rPr>
              <w:t>8</w:t>
            </w:r>
          </w:p>
        </w:tc>
        <w:tc>
          <w:tcPr>
            <w:tcW w:w="1864" w:type="dxa"/>
            <w:vAlign w:val="center"/>
          </w:tcPr>
          <w:p w:rsidR="00475650" w:rsidRDefault="00475650">
            <w:pPr>
              <w:jc w:val="center"/>
              <w:rPr>
                <w:szCs w:val="21"/>
                <w:u w:val="single"/>
              </w:rPr>
            </w:pPr>
            <w:r>
              <w:rPr>
                <w:rFonts w:hAnsi="宋体"/>
                <w:kern w:val="0"/>
                <w:szCs w:val="21"/>
                <w:u w:val="single"/>
              </w:rPr>
              <w:t>隔膜压滤机</w:t>
            </w:r>
          </w:p>
        </w:tc>
        <w:tc>
          <w:tcPr>
            <w:tcW w:w="1232" w:type="dxa"/>
            <w:vAlign w:val="center"/>
          </w:tcPr>
          <w:p w:rsidR="00475650" w:rsidRDefault="00475650">
            <w:pPr>
              <w:jc w:val="center"/>
              <w:rPr>
                <w:szCs w:val="21"/>
                <w:u w:val="single"/>
              </w:rPr>
            </w:pPr>
            <w:r>
              <w:rPr>
                <w:kern w:val="0"/>
                <w:szCs w:val="21"/>
                <w:u w:val="single"/>
              </w:rPr>
              <w:t>120m</w:t>
            </w:r>
            <w:r>
              <w:rPr>
                <w:kern w:val="0"/>
                <w:szCs w:val="21"/>
                <w:u w:val="single"/>
                <w:vertAlign w:val="superscript"/>
              </w:rPr>
              <w:t>2</w:t>
            </w:r>
          </w:p>
        </w:tc>
        <w:tc>
          <w:tcPr>
            <w:tcW w:w="993" w:type="dxa"/>
            <w:vAlign w:val="center"/>
          </w:tcPr>
          <w:p w:rsidR="00475650" w:rsidRDefault="00475650">
            <w:pPr>
              <w:jc w:val="center"/>
              <w:rPr>
                <w:szCs w:val="21"/>
                <w:u w:val="single"/>
              </w:rPr>
            </w:pPr>
            <w:r>
              <w:rPr>
                <w:rFonts w:hAnsi="宋体"/>
                <w:kern w:val="0"/>
                <w:szCs w:val="21"/>
                <w:u w:val="single"/>
              </w:rPr>
              <w:t>台</w:t>
            </w:r>
          </w:p>
        </w:tc>
        <w:tc>
          <w:tcPr>
            <w:tcW w:w="992" w:type="dxa"/>
            <w:vAlign w:val="center"/>
          </w:tcPr>
          <w:p w:rsidR="00475650" w:rsidRDefault="00475650">
            <w:pPr>
              <w:jc w:val="center"/>
              <w:rPr>
                <w:szCs w:val="21"/>
                <w:u w:val="single"/>
              </w:rPr>
            </w:pPr>
            <w:r>
              <w:rPr>
                <w:kern w:val="0"/>
                <w:szCs w:val="21"/>
                <w:u w:val="single"/>
              </w:rPr>
              <w:t>1</w:t>
            </w:r>
          </w:p>
        </w:tc>
        <w:tc>
          <w:tcPr>
            <w:tcW w:w="3118" w:type="dxa"/>
            <w:vAlign w:val="center"/>
          </w:tcPr>
          <w:p w:rsidR="00475650" w:rsidRDefault="00475650">
            <w:pPr>
              <w:jc w:val="center"/>
              <w:rPr>
                <w:u w:val="single"/>
              </w:rPr>
            </w:pPr>
            <w:r>
              <w:rPr>
                <w:rFonts w:hint="eastAsia"/>
                <w:szCs w:val="21"/>
                <w:u w:val="single"/>
              </w:rPr>
              <w:t>未建</w:t>
            </w:r>
          </w:p>
        </w:tc>
      </w:tr>
      <w:tr w:rsidR="00475650" w:rsidTr="00475650">
        <w:tc>
          <w:tcPr>
            <w:tcW w:w="981" w:type="dxa"/>
            <w:vAlign w:val="center"/>
          </w:tcPr>
          <w:p w:rsidR="00475650" w:rsidRDefault="00475650">
            <w:pPr>
              <w:jc w:val="center"/>
              <w:rPr>
                <w:szCs w:val="21"/>
                <w:u w:val="single"/>
              </w:rPr>
            </w:pPr>
            <w:r>
              <w:rPr>
                <w:kern w:val="0"/>
                <w:szCs w:val="21"/>
                <w:u w:val="single"/>
              </w:rPr>
              <w:t>9</w:t>
            </w:r>
          </w:p>
        </w:tc>
        <w:tc>
          <w:tcPr>
            <w:tcW w:w="1864" w:type="dxa"/>
            <w:vAlign w:val="center"/>
          </w:tcPr>
          <w:p w:rsidR="00475650" w:rsidRDefault="00475650">
            <w:pPr>
              <w:jc w:val="center"/>
              <w:rPr>
                <w:szCs w:val="21"/>
                <w:u w:val="single"/>
              </w:rPr>
            </w:pPr>
            <w:r>
              <w:rPr>
                <w:rFonts w:hAnsi="宋体"/>
                <w:kern w:val="0"/>
                <w:szCs w:val="21"/>
                <w:u w:val="single"/>
              </w:rPr>
              <w:t>烘箱</w:t>
            </w:r>
          </w:p>
        </w:tc>
        <w:tc>
          <w:tcPr>
            <w:tcW w:w="1232" w:type="dxa"/>
            <w:vAlign w:val="center"/>
          </w:tcPr>
          <w:p w:rsidR="00475650" w:rsidRDefault="00475650">
            <w:pPr>
              <w:jc w:val="center"/>
              <w:rPr>
                <w:szCs w:val="21"/>
                <w:u w:val="single"/>
              </w:rPr>
            </w:pPr>
          </w:p>
        </w:tc>
        <w:tc>
          <w:tcPr>
            <w:tcW w:w="993" w:type="dxa"/>
            <w:vAlign w:val="center"/>
          </w:tcPr>
          <w:p w:rsidR="00475650" w:rsidRDefault="00475650">
            <w:pPr>
              <w:jc w:val="center"/>
              <w:rPr>
                <w:szCs w:val="21"/>
                <w:u w:val="single"/>
              </w:rPr>
            </w:pPr>
            <w:r>
              <w:rPr>
                <w:rFonts w:hAnsi="宋体"/>
                <w:kern w:val="0"/>
                <w:szCs w:val="21"/>
                <w:u w:val="single"/>
              </w:rPr>
              <w:t>台</w:t>
            </w:r>
          </w:p>
        </w:tc>
        <w:tc>
          <w:tcPr>
            <w:tcW w:w="992" w:type="dxa"/>
            <w:vAlign w:val="center"/>
          </w:tcPr>
          <w:p w:rsidR="00475650" w:rsidRDefault="00475650">
            <w:pPr>
              <w:jc w:val="center"/>
              <w:rPr>
                <w:szCs w:val="21"/>
                <w:u w:val="single"/>
              </w:rPr>
            </w:pPr>
            <w:r>
              <w:rPr>
                <w:kern w:val="0"/>
                <w:szCs w:val="21"/>
                <w:u w:val="single"/>
              </w:rPr>
              <w:t>2</w:t>
            </w:r>
          </w:p>
        </w:tc>
        <w:tc>
          <w:tcPr>
            <w:tcW w:w="3118" w:type="dxa"/>
            <w:vAlign w:val="center"/>
          </w:tcPr>
          <w:p w:rsidR="00475650" w:rsidRDefault="00475650">
            <w:pPr>
              <w:snapToGrid w:val="0"/>
              <w:jc w:val="center"/>
              <w:rPr>
                <w:szCs w:val="21"/>
                <w:u w:val="single"/>
              </w:rPr>
            </w:pPr>
            <w:r>
              <w:rPr>
                <w:rFonts w:hint="eastAsia"/>
                <w:szCs w:val="21"/>
                <w:u w:val="single"/>
              </w:rPr>
              <w:t>已建成，锈损严重，需拆除新建</w:t>
            </w:r>
          </w:p>
        </w:tc>
      </w:tr>
      <w:tr w:rsidR="00475650" w:rsidTr="00475650">
        <w:tc>
          <w:tcPr>
            <w:tcW w:w="981" w:type="dxa"/>
            <w:vAlign w:val="center"/>
          </w:tcPr>
          <w:p w:rsidR="00475650" w:rsidRDefault="00475650">
            <w:pPr>
              <w:jc w:val="center"/>
              <w:rPr>
                <w:szCs w:val="21"/>
                <w:u w:val="single"/>
              </w:rPr>
            </w:pPr>
            <w:r>
              <w:rPr>
                <w:kern w:val="0"/>
                <w:szCs w:val="21"/>
                <w:u w:val="single"/>
              </w:rPr>
              <w:t>10</w:t>
            </w:r>
          </w:p>
        </w:tc>
        <w:tc>
          <w:tcPr>
            <w:tcW w:w="1864" w:type="dxa"/>
            <w:vAlign w:val="center"/>
          </w:tcPr>
          <w:p w:rsidR="00475650" w:rsidRDefault="00475650">
            <w:pPr>
              <w:jc w:val="center"/>
              <w:rPr>
                <w:szCs w:val="21"/>
                <w:u w:val="single"/>
              </w:rPr>
            </w:pPr>
            <w:r>
              <w:rPr>
                <w:rFonts w:hAnsi="宋体"/>
                <w:kern w:val="0"/>
                <w:szCs w:val="21"/>
                <w:u w:val="single"/>
              </w:rPr>
              <w:t>破碎机</w:t>
            </w:r>
          </w:p>
        </w:tc>
        <w:tc>
          <w:tcPr>
            <w:tcW w:w="1232" w:type="dxa"/>
            <w:vAlign w:val="center"/>
          </w:tcPr>
          <w:p w:rsidR="00475650" w:rsidRDefault="00475650">
            <w:pPr>
              <w:jc w:val="center"/>
              <w:rPr>
                <w:szCs w:val="21"/>
                <w:u w:val="single"/>
              </w:rPr>
            </w:pPr>
            <w:r>
              <w:rPr>
                <w:kern w:val="0"/>
                <w:szCs w:val="21"/>
                <w:u w:val="single"/>
              </w:rPr>
              <w:t>QB-400-2</w:t>
            </w:r>
          </w:p>
        </w:tc>
        <w:tc>
          <w:tcPr>
            <w:tcW w:w="993" w:type="dxa"/>
            <w:vAlign w:val="center"/>
          </w:tcPr>
          <w:p w:rsidR="00475650" w:rsidRDefault="00475650">
            <w:pPr>
              <w:jc w:val="center"/>
              <w:rPr>
                <w:szCs w:val="21"/>
                <w:u w:val="single"/>
              </w:rPr>
            </w:pPr>
            <w:r>
              <w:rPr>
                <w:rFonts w:hAnsi="宋体"/>
                <w:kern w:val="0"/>
                <w:szCs w:val="21"/>
                <w:u w:val="single"/>
              </w:rPr>
              <w:t>台</w:t>
            </w:r>
          </w:p>
        </w:tc>
        <w:tc>
          <w:tcPr>
            <w:tcW w:w="992" w:type="dxa"/>
            <w:vAlign w:val="center"/>
          </w:tcPr>
          <w:p w:rsidR="00475650" w:rsidRDefault="00475650">
            <w:pPr>
              <w:jc w:val="center"/>
              <w:rPr>
                <w:szCs w:val="21"/>
                <w:u w:val="single"/>
              </w:rPr>
            </w:pPr>
            <w:r>
              <w:rPr>
                <w:kern w:val="0"/>
                <w:szCs w:val="21"/>
                <w:u w:val="single"/>
              </w:rPr>
              <w:t>1</w:t>
            </w:r>
          </w:p>
        </w:tc>
        <w:tc>
          <w:tcPr>
            <w:tcW w:w="3118" w:type="dxa"/>
            <w:vAlign w:val="center"/>
          </w:tcPr>
          <w:p w:rsidR="00475650" w:rsidRDefault="00475650">
            <w:pPr>
              <w:jc w:val="center"/>
              <w:rPr>
                <w:u w:val="single"/>
              </w:rPr>
            </w:pPr>
            <w:r>
              <w:rPr>
                <w:rFonts w:hint="eastAsia"/>
                <w:szCs w:val="21"/>
                <w:u w:val="single"/>
              </w:rPr>
              <w:t>未建</w:t>
            </w:r>
          </w:p>
        </w:tc>
      </w:tr>
      <w:tr w:rsidR="00475650" w:rsidTr="00475650">
        <w:tc>
          <w:tcPr>
            <w:tcW w:w="981" w:type="dxa"/>
            <w:vAlign w:val="center"/>
          </w:tcPr>
          <w:p w:rsidR="00475650" w:rsidRDefault="00475650">
            <w:pPr>
              <w:jc w:val="center"/>
              <w:rPr>
                <w:szCs w:val="21"/>
                <w:u w:val="single"/>
              </w:rPr>
            </w:pPr>
            <w:r>
              <w:rPr>
                <w:kern w:val="0"/>
                <w:szCs w:val="21"/>
                <w:u w:val="single"/>
              </w:rPr>
              <w:t>11</w:t>
            </w:r>
          </w:p>
        </w:tc>
        <w:tc>
          <w:tcPr>
            <w:tcW w:w="1864" w:type="dxa"/>
            <w:vAlign w:val="center"/>
          </w:tcPr>
          <w:p w:rsidR="00475650" w:rsidRDefault="00475650">
            <w:pPr>
              <w:jc w:val="center"/>
              <w:rPr>
                <w:szCs w:val="21"/>
                <w:u w:val="single"/>
              </w:rPr>
            </w:pPr>
            <w:r>
              <w:rPr>
                <w:rFonts w:hAnsi="宋体"/>
                <w:kern w:val="0"/>
                <w:szCs w:val="21"/>
                <w:u w:val="single"/>
              </w:rPr>
              <w:t>自动粉体计量泵</w:t>
            </w:r>
          </w:p>
        </w:tc>
        <w:tc>
          <w:tcPr>
            <w:tcW w:w="1232" w:type="dxa"/>
            <w:vAlign w:val="center"/>
          </w:tcPr>
          <w:p w:rsidR="00475650" w:rsidRDefault="00475650">
            <w:pPr>
              <w:jc w:val="center"/>
              <w:rPr>
                <w:szCs w:val="21"/>
                <w:u w:val="single"/>
              </w:rPr>
            </w:pPr>
          </w:p>
        </w:tc>
        <w:tc>
          <w:tcPr>
            <w:tcW w:w="993" w:type="dxa"/>
            <w:vAlign w:val="center"/>
          </w:tcPr>
          <w:p w:rsidR="00475650" w:rsidRDefault="00475650">
            <w:pPr>
              <w:jc w:val="center"/>
              <w:rPr>
                <w:szCs w:val="21"/>
                <w:u w:val="single"/>
              </w:rPr>
            </w:pPr>
            <w:r>
              <w:rPr>
                <w:rFonts w:hAnsi="宋体"/>
                <w:kern w:val="0"/>
                <w:szCs w:val="21"/>
                <w:u w:val="single"/>
              </w:rPr>
              <w:t>台</w:t>
            </w:r>
          </w:p>
        </w:tc>
        <w:tc>
          <w:tcPr>
            <w:tcW w:w="992" w:type="dxa"/>
            <w:vAlign w:val="center"/>
          </w:tcPr>
          <w:p w:rsidR="00475650" w:rsidRDefault="00475650">
            <w:pPr>
              <w:jc w:val="center"/>
              <w:rPr>
                <w:szCs w:val="21"/>
                <w:u w:val="single"/>
              </w:rPr>
            </w:pPr>
            <w:r>
              <w:rPr>
                <w:kern w:val="0"/>
                <w:szCs w:val="21"/>
                <w:u w:val="single"/>
              </w:rPr>
              <w:t>1</w:t>
            </w:r>
          </w:p>
        </w:tc>
        <w:tc>
          <w:tcPr>
            <w:tcW w:w="3118" w:type="dxa"/>
            <w:vAlign w:val="center"/>
          </w:tcPr>
          <w:p w:rsidR="00475650" w:rsidRDefault="00475650">
            <w:pPr>
              <w:jc w:val="center"/>
              <w:rPr>
                <w:u w:val="single"/>
              </w:rPr>
            </w:pPr>
            <w:r>
              <w:rPr>
                <w:rFonts w:hint="eastAsia"/>
                <w:szCs w:val="21"/>
                <w:u w:val="single"/>
              </w:rPr>
              <w:t>未建</w:t>
            </w:r>
          </w:p>
        </w:tc>
      </w:tr>
      <w:tr w:rsidR="00475650" w:rsidTr="00475650">
        <w:tc>
          <w:tcPr>
            <w:tcW w:w="981" w:type="dxa"/>
            <w:vAlign w:val="center"/>
          </w:tcPr>
          <w:p w:rsidR="00475650" w:rsidRDefault="00475650">
            <w:pPr>
              <w:jc w:val="center"/>
              <w:rPr>
                <w:szCs w:val="21"/>
                <w:u w:val="single"/>
              </w:rPr>
            </w:pPr>
            <w:r>
              <w:rPr>
                <w:kern w:val="0"/>
                <w:szCs w:val="21"/>
                <w:u w:val="single"/>
              </w:rPr>
              <w:t>12</w:t>
            </w:r>
          </w:p>
        </w:tc>
        <w:tc>
          <w:tcPr>
            <w:tcW w:w="1864" w:type="dxa"/>
            <w:vAlign w:val="center"/>
          </w:tcPr>
          <w:p w:rsidR="00475650" w:rsidRDefault="00475650">
            <w:pPr>
              <w:jc w:val="center"/>
              <w:rPr>
                <w:szCs w:val="21"/>
                <w:u w:val="single"/>
              </w:rPr>
            </w:pPr>
            <w:r>
              <w:rPr>
                <w:rFonts w:hAnsi="宋体"/>
                <w:kern w:val="0"/>
                <w:szCs w:val="21"/>
                <w:u w:val="single"/>
              </w:rPr>
              <w:t>助剂计量加料泵</w:t>
            </w:r>
          </w:p>
        </w:tc>
        <w:tc>
          <w:tcPr>
            <w:tcW w:w="1232" w:type="dxa"/>
            <w:vAlign w:val="center"/>
          </w:tcPr>
          <w:p w:rsidR="00475650" w:rsidRDefault="00475650">
            <w:pPr>
              <w:jc w:val="center"/>
              <w:rPr>
                <w:szCs w:val="21"/>
                <w:u w:val="single"/>
              </w:rPr>
            </w:pPr>
          </w:p>
        </w:tc>
        <w:tc>
          <w:tcPr>
            <w:tcW w:w="993" w:type="dxa"/>
            <w:vAlign w:val="center"/>
          </w:tcPr>
          <w:p w:rsidR="00475650" w:rsidRDefault="00475650">
            <w:pPr>
              <w:jc w:val="center"/>
              <w:rPr>
                <w:szCs w:val="21"/>
                <w:u w:val="single"/>
              </w:rPr>
            </w:pPr>
            <w:r>
              <w:rPr>
                <w:rFonts w:hAnsi="宋体"/>
                <w:kern w:val="0"/>
                <w:szCs w:val="21"/>
                <w:u w:val="single"/>
              </w:rPr>
              <w:t>台</w:t>
            </w:r>
          </w:p>
        </w:tc>
        <w:tc>
          <w:tcPr>
            <w:tcW w:w="992" w:type="dxa"/>
            <w:vAlign w:val="center"/>
          </w:tcPr>
          <w:p w:rsidR="00475650" w:rsidRDefault="00475650">
            <w:pPr>
              <w:jc w:val="center"/>
              <w:rPr>
                <w:szCs w:val="21"/>
                <w:u w:val="single"/>
              </w:rPr>
            </w:pPr>
            <w:r>
              <w:rPr>
                <w:kern w:val="0"/>
                <w:szCs w:val="21"/>
                <w:u w:val="single"/>
              </w:rPr>
              <w:t>4</w:t>
            </w:r>
          </w:p>
        </w:tc>
        <w:tc>
          <w:tcPr>
            <w:tcW w:w="3118" w:type="dxa"/>
            <w:vAlign w:val="center"/>
          </w:tcPr>
          <w:p w:rsidR="00475650" w:rsidRDefault="00475650">
            <w:pPr>
              <w:jc w:val="center"/>
              <w:rPr>
                <w:u w:val="single"/>
              </w:rPr>
            </w:pPr>
            <w:r>
              <w:rPr>
                <w:rFonts w:hint="eastAsia"/>
                <w:szCs w:val="21"/>
                <w:u w:val="single"/>
              </w:rPr>
              <w:t>未建</w:t>
            </w:r>
          </w:p>
        </w:tc>
      </w:tr>
      <w:tr w:rsidR="00475650" w:rsidTr="00475650">
        <w:tc>
          <w:tcPr>
            <w:tcW w:w="981" w:type="dxa"/>
            <w:vAlign w:val="center"/>
          </w:tcPr>
          <w:p w:rsidR="00475650" w:rsidRDefault="00475650">
            <w:pPr>
              <w:jc w:val="center"/>
              <w:rPr>
                <w:szCs w:val="21"/>
                <w:u w:val="single"/>
              </w:rPr>
            </w:pPr>
            <w:r>
              <w:rPr>
                <w:kern w:val="0"/>
                <w:szCs w:val="21"/>
                <w:u w:val="single"/>
              </w:rPr>
              <w:t>13</w:t>
            </w:r>
          </w:p>
        </w:tc>
        <w:tc>
          <w:tcPr>
            <w:tcW w:w="1864" w:type="dxa"/>
            <w:vAlign w:val="center"/>
          </w:tcPr>
          <w:p w:rsidR="00475650" w:rsidRDefault="00475650">
            <w:pPr>
              <w:jc w:val="center"/>
              <w:rPr>
                <w:szCs w:val="21"/>
                <w:u w:val="single"/>
              </w:rPr>
            </w:pPr>
            <w:r>
              <w:rPr>
                <w:rFonts w:hAnsi="宋体"/>
                <w:kern w:val="0"/>
                <w:szCs w:val="21"/>
                <w:u w:val="single"/>
              </w:rPr>
              <w:t>粉体回收装置</w:t>
            </w:r>
          </w:p>
        </w:tc>
        <w:tc>
          <w:tcPr>
            <w:tcW w:w="1232" w:type="dxa"/>
            <w:vAlign w:val="center"/>
          </w:tcPr>
          <w:p w:rsidR="00475650" w:rsidRDefault="00475650">
            <w:pPr>
              <w:jc w:val="center"/>
              <w:rPr>
                <w:szCs w:val="21"/>
                <w:u w:val="single"/>
              </w:rPr>
            </w:pPr>
          </w:p>
        </w:tc>
        <w:tc>
          <w:tcPr>
            <w:tcW w:w="993" w:type="dxa"/>
            <w:vAlign w:val="center"/>
          </w:tcPr>
          <w:p w:rsidR="00475650" w:rsidRDefault="00475650">
            <w:pPr>
              <w:jc w:val="center"/>
              <w:rPr>
                <w:szCs w:val="21"/>
                <w:u w:val="single"/>
              </w:rPr>
            </w:pPr>
            <w:r>
              <w:rPr>
                <w:rFonts w:hAnsi="宋体"/>
                <w:kern w:val="0"/>
                <w:szCs w:val="21"/>
                <w:u w:val="single"/>
              </w:rPr>
              <w:t>台</w:t>
            </w:r>
          </w:p>
        </w:tc>
        <w:tc>
          <w:tcPr>
            <w:tcW w:w="992" w:type="dxa"/>
            <w:vAlign w:val="center"/>
          </w:tcPr>
          <w:p w:rsidR="00475650" w:rsidRDefault="00475650">
            <w:pPr>
              <w:jc w:val="center"/>
              <w:rPr>
                <w:szCs w:val="21"/>
                <w:u w:val="single"/>
              </w:rPr>
            </w:pPr>
            <w:r>
              <w:rPr>
                <w:kern w:val="0"/>
                <w:szCs w:val="21"/>
                <w:u w:val="single"/>
              </w:rPr>
              <w:t>1</w:t>
            </w:r>
          </w:p>
        </w:tc>
        <w:tc>
          <w:tcPr>
            <w:tcW w:w="3118" w:type="dxa"/>
            <w:vAlign w:val="center"/>
          </w:tcPr>
          <w:p w:rsidR="00475650" w:rsidRDefault="00475650">
            <w:pPr>
              <w:jc w:val="center"/>
              <w:rPr>
                <w:u w:val="single"/>
              </w:rPr>
            </w:pPr>
            <w:r>
              <w:rPr>
                <w:rFonts w:hint="eastAsia"/>
                <w:szCs w:val="21"/>
                <w:u w:val="single"/>
              </w:rPr>
              <w:t>未建</w:t>
            </w:r>
          </w:p>
        </w:tc>
      </w:tr>
      <w:tr w:rsidR="00475650" w:rsidTr="00475650">
        <w:tc>
          <w:tcPr>
            <w:tcW w:w="981" w:type="dxa"/>
            <w:vAlign w:val="center"/>
          </w:tcPr>
          <w:p w:rsidR="00475650" w:rsidRDefault="00475650">
            <w:pPr>
              <w:jc w:val="center"/>
              <w:rPr>
                <w:szCs w:val="21"/>
                <w:u w:val="single"/>
              </w:rPr>
            </w:pPr>
            <w:r>
              <w:rPr>
                <w:kern w:val="0"/>
                <w:szCs w:val="21"/>
                <w:u w:val="single"/>
              </w:rPr>
              <w:t>14</w:t>
            </w:r>
          </w:p>
        </w:tc>
        <w:tc>
          <w:tcPr>
            <w:tcW w:w="1864" w:type="dxa"/>
            <w:vAlign w:val="center"/>
          </w:tcPr>
          <w:p w:rsidR="00475650" w:rsidRDefault="00475650">
            <w:pPr>
              <w:jc w:val="center"/>
              <w:rPr>
                <w:szCs w:val="21"/>
                <w:u w:val="single"/>
              </w:rPr>
            </w:pPr>
            <w:r>
              <w:rPr>
                <w:rFonts w:hAnsi="宋体"/>
                <w:kern w:val="0"/>
                <w:szCs w:val="21"/>
                <w:u w:val="single"/>
              </w:rPr>
              <w:t>移动式粉体料仓</w:t>
            </w:r>
          </w:p>
        </w:tc>
        <w:tc>
          <w:tcPr>
            <w:tcW w:w="1232" w:type="dxa"/>
            <w:vAlign w:val="center"/>
          </w:tcPr>
          <w:p w:rsidR="00475650" w:rsidRDefault="00475650">
            <w:pPr>
              <w:jc w:val="center"/>
              <w:rPr>
                <w:szCs w:val="21"/>
                <w:u w:val="single"/>
              </w:rPr>
            </w:pPr>
            <w:r>
              <w:rPr>
                <w:kern w:val="0"/>
                <w:szCs w:val="21"/>
                <w:u w:val="single"/>
              </w:rPr>
              <w:t>1000L</w:t>
            </w:r>
          </w:p>
        </w:tc>
        <w:tc>
          <w:tcPr>
            <w:tcW w:w="993" w:type="dxa"/>
            <w:vAlign w:val="center"/>
          </w:tcPr>
          <w:p w:rsidR="00475650" w:rsidRDefault="00475650">
            <w:pPr>
              <w:jc w:val="center"/>
              <w:rPr>
                <w:szCs w:val="21"/>
                <w:u w:val="single"/>
              </w:rPr>
            </w:pPr>
            <w:r>
              <w:rPr>
                <w:rFonts w:hAnsi="宋体"/>
                <w:kern w:val="0"/>
                <w:szCs w:val="21"/>
                <w:u w:val="single"/>
              </w:rPr>
              <w:t>台</w:t>
            </w:r>
          </w:p>
        </w:tc>
        <w:tc>
          <w:tcPr>
            <w:tcW w:w="992" w:type="dxa"/>
            <w:vAlign w:val="center"/>
          </w:tcPr>
          <w:p w:rsidR="00475650" w:rsidRDefault="00475650">
            <w:pPr>
              <w:jc w:val="center"/>
              <w:rPr>
                <w:szCs w:val="21"/>
                <w:u w:val="single"/>
              </w:rPr>
            </w:pPr>
            <w:r>
              <w:rPr>
                <w:kern w:val="0"/>
                <w:szCs w:val="21"/>
                <w:u w:val="single"/>
              </w:rPr>
              <w:t>1</w:t>
            </w:r>
          </w:p>
        </w:tc>
        <w:tc>
          <w:tcPr>
            <w:tcW w:w="3118" w:type="dxa"/>
            <w:vAlign w:val="center"/>
          </w:tcPr>
          <w:p w:rsidR="00475650" w:rsidRDefault="00475650">
            <w:pPr>
              <w:jc w:val="center"/>
              <w:rPr>
                <w:szCs w:val="21"/>
                <w:u w:val="single"/>
              </w:rPr>
            </w:pPr>
            <w:r>
              <w:rPr>
                <w:rFonts w:hint="eastAsia"/>
                <w:szCs w:val="21"/>
                <w:u w:val="single"/>
              </w:rPr>
              <w:t>已建成，有破损，需拆除新建</w:t>
            </w:r>
          </w:p>
        </w:tc>
      </w:tr>
      <w:tr w:rsidR="00475650" w:rsidTr="00475650">
        <w:tc>
          <w:tcPr>
            <w:tcW w:w="981" w:type="dxa"/>
            <w:vAlign w:val="center"/>
          </w:tcPr>
          <w:p w:rsidR="00475650" w:rsidRDefault="00475650">
            <w:pPr>
              <w:jc w:val="center"/>
              <w:rPr>
                <w:szCs w:val="21"/>
                <w:u w:val="single"/>
              </w:rPr>
            </w:pPr>
            <w:r>
              <w:rPr>
                <w:kern w:val="0"/>
                <w:szCs w:val="21"/>
                <w:u w:val="single"/>
              </w:rPr>
              <w:t>15</w:t>
            </w:r>
          </w:p>
        </w:tc>
        <w:tc>
          <w:tcPr>
            <w:tcW w:w="1864" w:type="dxa"/>
            <w:vAlign w:val="center"/>
          </w:tcPr>
          <w:p w:rsidR="00475650" w:rsidRDefault="00475650">
            <w:pPr>
              <w:jc w:val="center"/>
              <w:rPr>
                <w:szCs w:val="21"/>
                <w:u w:val="single"/>
              </w:rPr>
            </w:pPr>
            <w:r>
              <w:rPr>
                <w:rFonts w:hAnsi="宋体"/>
                <w:kern w:val="0"/>
                <w:szCs w:val="21"/>
                <w:u w:val="single"/>
              </w:rPr>
              <w:t>粉体贮存仓</w:t>
            </w:r>
          </w:p>
        </w:tc>
        <w:tc>
          <w:tcPr>
            <w:tcW w:w="1232" w:type="dxa"/>
            <w:vAlign w:val="center"/>
          </w:tcPr>
          <w:p w:rsidR="00475650" w:rsidRDefault="00475650">
            <w:pPr>
              <w:jc w:val="center"/>
              <w:rPr>
                <w:szCs w:val="21"/>
                <w:u w:val="single"/>
              </w:rPr>
            </w:pPr>
            <w:r>
              <w:rPr>
                <w:kern w:val="0"/>
                <w:szCs w:val="21"/>
                <w:u w:val="single"/>
              </w:rPr>
              <w:t>5000L</w:t>
            </w:r>
          </w:p>
        </w:tc>
        <w:tc>
          <w:tcPr>
            <w:tcW w:w="993" w:type="dxa"/>
            <w:vAlign w:val="center"/>
          </w:tcPr>
          <w:p w:rsidR="00475650" w:rsidRDefault="00475650">
            <w:pPr>
              <w:jc w:val="center"/>
              <w:rPr>
                <w:szCs w:val="21"/>
                <w:u w:val="single"/>
              </w:rPr>
            </w:pPr>
            <w:r>
              <w:rPr>
                <w:rFonts w:hAnsi="宋体"/>
                <w:kern w:val="0"/>
                <w:szCs w:val="21"/>
                <w:u w:val="single"/>
              </w:rPr>
              <w:t>台</w:t>
            </w:r>
          </w:p>
        </w:tc>
        <w:tc>
          <w:tcPr>
            <w:tcW w:w="992" w:type="dxa"/>
            <w:vAlign w:val="center"/>
          </w:tcPr>
          <w:p w:rsidR="00475650" w:rsidRDefault="00475650">
            <w:pPr>
              <w:jc w:val="center"/>
              <w:rPr>
                <w:szCs w:val="21"/>
                <w:u w:val="single"/>
              </w:rPr>
            </w:pPr>
            <w:r>
              <w:rPr>
                <w:kern w:val="0"/>
                <w:szCs w:val="21"/>
                <w:u w:val="single"/>
              </w:rPr>
              <w:t>1</w:t>
            </w:r>
          </w:p>
        </w:tc>
        <w:tc>
          <w:tcPr>
            <w:tcW w:w="3118" w:type="dxa"/>
            <w:vAlign w:val="center"/>
          </w:tcPr>
          <w:p w:rsidR="00475650" w:rsidRDefault="00475650">
            <w:pPr>
              <w:jc w:val="center"/>
              <w:rPr>
                <w:szCs w:val="21"/>
                <w:u w:val="single"/>
              </w:rPr>
            </w:pPr>
            <w:r>
              <w:rPr>
                <w:rFonts w:hint="eastAsia"/>
                <w:szCs w:val="21"/>
                <w:u w:val="single"/>
              </w:rPr>
              <w:t>未建</w:t>
            </w:r>
          </w:p>
        </w:tc>
      </w:tr>
      <w:tr w:rsidR="00475650" w:rsidTr="00475650">
        <w:tc>
          <w:tcPr>
            <w:tcW w:w="981" w:type="dxa"/>
            <w:vAlign w:val="center"/>
          </w:tcPr>
          <w:p w:rsidR="00475650" w:rsidRDefault="00475650">
            <w:pPr>
              <w:jc w:val="center"/>
              <w:rPr>
                <w:szCs w:val="21"/>
                <w:u w:val="single"/>
              </w:rPr>
            </w:pPr>
            <w:r>
              <w:rPr>
                <w:kern w:val="0"/>
                <w:szCs w:val="21"/>
                <w:u w:val="single"/>
              </w:rPr>
              <w:t>16</w:t>
            </w:r>
          </w:p>
        </w:tc>
        <w:tc>
          <w:tcPr>
            <w:tcW w:w="1864" w:type="dxa"/>
            <w:vAlign w:val="center"/>
          </w:tcPr>
          <w:p w:rsidR="00475650" w:rsidRDefault="00475650">
            <w:pPr>
              <w:jc w:val="center"/>
              <w:rPr>
                <w:szCs w:val="21"/>
                <w:u w:val="single"/>
              </w:rPr>
            </w:pPr>
            <w:r>
              <w:rPr>
                <w:rFonts w:hAnsi="宋体"/>
                <w:kern w:val="0"/>
                <w:szCs w:val="21"/>
                <w:u w:val="single"/>
              </w:rPr>
              <w:t>粉体计量包装机</w:t>
            </w:r>
          </w:p>
        </w:tc>
        <w:tc>
          <w:tcPr>
            <w:tcW w:w="1232" w:type="dxa"/>
            <w:vAlign w:val="center"/>
          </w:tcPr>
          <w:p w:rsidR="00475650" w:rsidRDefault="00475650">
            <w:pPr>
              <w:jc w:val="center"/>
              <w:rPr>
                <w:szCs w:val="21"/>
                <w:u w:val="single"/>
              </w:rPr>
            </w:pPr>
          </w:p>
        </w:tc>
        <w:tc>
          <w:tcPr>
            <w:tcW w:w="993" w:type="dxa"/>
            <w:vAlign w:val="center"/>
          </w:tcPr>
          <w:p w:rsidR="00475650" w:rsidRDefault="00475650">
            <w:pPr>
              <w:jc w:val="center"/>
              <w:rPr>
                <w:szCs w:val="21"/>
                <w:u w:val="single"/>
              </w:rPr>
            </w:pPr>
            <w:r>
              <w:rPr>
                <w:rFonts w:hAnsi="宋体"/>
                <w:kern w:val="0"/>
                <w:szCs w:val="21"/>
                <w:u w:val="single"/>
              </w:rPr>
              <w:t>套</w:t>
            </w:r>
          </w:p>
        </w:tc>
        <w:tc>
          <w:tcPr>
            <w:tcW w:w="992" w:type="dxa"/>
            <w:vAlign w:val="center"/>
          </w:tcPr>
          <w:p w:rsidR="00475650" w:rsidRDefault="00475650">
            <w:pPr>
              <w:jc w:val="center"/>
              <w:rPr>
                <w:szCs w:val="21"/>
                <w:u w:val="single"/>
              </w:rPr>
            </w:pPr>
            <w:r>
              <w:rPr>
                <w:kern w:val="0"/>
                <w:szCs w:val="21"/>
                <w:u w:val="single"/>
              </w:rPr>
              <w:t>1</w:t>
            </w:r>
          </w:p>
        </w:tc>
        <w:tc>
          <w:tcPr>
            <w:tcW w:w="3118" w:type="dxa"/>
            <w:vAlign w:val="center"/>
          </w:tcPr>
          <w:p w:rsidR="00475650" w:rsidRDefault="00475650">
            <w:pPr>
              <w:jc w:val="center"/>
              <w:rPr>
                <w:szCs w:val="21"/>
                <w:u w:val="single"/>
              </w:rPr>
            </w:pPr>
            <w:r>
              <w:rPr>
                <w:rFonts w:hint="eastAsia"/>
                <w:szCs w:val="21"/>
                <w:u w:val="single"/>
              </w:rPr>
              <w:t>未建</w:t>
            </w:r>
          </w:p>
        </w:tc>
      </w:tr>
    </w:tbl>
    <w:p w:rsidR="00475650" w:rsidRDefault="00475650" w:rsidP="00475650">
      <w:pPr>
        <w:spacing w:line="360" w:lineRule="auto"/>
        <w:ind w:firstLineChars="200" w:firstLine="464"/>
        <w:rPr>
          <w:rFonts w:hAnsi="宋体"/>
          <w:bCs/>
          <w:spacing w:val="-4"/>
          <w:sz w:val="24"/>
        </w:rPr>
      </w:pPr>
      <w:r>
        <w:rPr>
          <w:rFonts w:hAnsi="宋体" w:hint="eastAsia"/>
          <w:bCs/>
          <w:spacing w:val="-4"/>
          <w:sz w:val="24"/>
        </w:rPr>
        <w:t>已建成部分设施照片见图</w:t>
      </w:r>
      <w:r>
        <w:rPr>
          <w:rFonts w:hAnsi="宋体" w:hint="eastAsia"/>
          <w:bCs/>
          <w:spacing w:val="-4"/>
          <w:sz w:val="24"/>
        </w:rPr>
        <w:t>3-1</w:t>
      </w:r>
      <w:r>
        <w:rPr>
          <w:rFonts w:hAnsi="宋体" w:hint="eastAsia"/>
          <w:bCs/>
          <w:spacing w:val="-4"/>
          <w:sz w:val="24"/>
        </w:rPr>
        <w:t>。</w:t>
      </w:r>
    </w:p>
    <w:p w:rsidR="00475650" w:rsidRDefault="00475650">
      <w:pPr>
        <w:pStyle w:val="h"/>
        <w:spacing w:before="0" w:after="0" w:line="348" w:lineRule="auto"/>
        <w:ind w:firstLine="0"/>
        <w:outlineLvl w:val="1"/>
        <w:rPr>
          <w:rStyle w:val="2Char1Char"/>
          <w:rFonts w:ascii="Times New Roman" w:eastAsia="宋体" w:hAnsi="Times New Roman" w:cs="Times New Roman"/>
          <w:b w:val="0"/>
          <w:sz w:val="24"/>
          <w:szCs w:val="24"/>
        </w:rPr>
      </w:pPr>
      <w:bookmarkStart w:id="538" w:name="_Toc332292993"/>
      <w:bookmarkStart w:id="539" w:name="_Toc333229948"/>
      <w:bookmarkStart w:id="540" w:name="_Toc334014140"/>
      <w:bookmarkStart w:id="541" w:name="_Toc334080782"/>
      <w:bookmarkStart w:id="542" w:name="_Toc465676988"/>
      <w:bookmarkStart w:id="543" w:name="_Toc18942"/>
      <w:bookmarkEnd w:id="524"/>
      <w:bookmarkEnd w:id="525"/>
      <w:r>
        <w:rPr>
          <w:rStyle w:val="2Char1Char"/>
          <w:rFonts w:ascii="Times New Roman" w:eastAsia="宋体" w:hAnsi="Times New Roman" w:cs="Times New Roman"/>
          <w:b w:val="0"/>
          <w:sz w:val="24"/>
          <w:szCs w:val="24"/>
        </w:rPr>
        <w:t>3.3.3</w:t>
      </w:r>
      <w:r>
        <w:rPr>
          <w:rStyle w:val="2Char1Char"/>
          <w:rFonts w:ascii="Times New Roman" w:eastAsia="宋体" w:hAnsi="宋体" w:cs="Times New Roman"/>
          <w:b w:val="0"/>
          <w:sz w:val="24"/>
          <w:szCs w:val="24"/>
        </w:rPr>
        <w:t>技术方案选择</w:t>
      </w:r>
      <w:bookmarkEnd w:id="538"/>
      <w:bookmarkEnd w:id="539"/>
      <w:bookmarkEnd w:id="540"/>
      <w:bookmarkEnd w:id="541"/>
      <w:bookmarkEnd w:id="542"/>
      <w:bookmarkEnd w:id="543"/>
    </w:p>
    <w:p w:rsidR="00475650" w:rsidRDefault="00475650">
      <w:pPr>
        <w:pStyle w:val="h"/>
        <w:spacing w:before="0" w:after="0" w:line="360" w:lineRule="auto"/>
        <w:ind w:firstLine="0"/>
        <w:outlineLvl w:val="2"/>
        <w:rPr>
          <w:rStyle w:val="2Char1Char"/>
          <w:rFonts w:ascii="Times New Roman" w:eastAsia="宋体" w:hAnsi="Times New Roman" w:cs="Times New Roman"/>
          <w:b w:val="0"/>
          <w:sz w:val="24"/>
          <w:szCs w:val="24"/>
        </w:rPr>
      </w:pPr>
      <w:bookmarkStart w:id="544" w:name="_Toc322522777"/>
      <w:r>
        <w:rPr>
          <w:rStyle w:val="2Char1Char"/>
          <w:rFonts w:ascii="Times New Roman" w:eastAsia="宋体" w:hAnsi="Times New Roman" w:cs="Times New Roman"/>
          <w:b w:val="0"/>
          <w:sz w:val="24"/>
          <w:szCs w:val="24"/>
        </w:rPr>
        <w:t>3.3.3.1</w:t>
      </w:r>
      <w:bookmarkEnd w:id="544"/>
      <w:r>
        <w:rPr>
          <w:rStyle w:val="2Char1Char"/>
          <w:rFonts w:ascii="Times New Roman" w:eastAsia="宋体" w:hAnsi="宋体" w:cs="Times New Roman"/>
          <w:b w:val="0"/>
          <w:sz w:val="24"/>
          <w:szCs w:val="24"/>
        </w:rPr>
        <w:t>同类产品概况</w:t>
      </w:r>
    </w:p>
    <w:p w:rsidR="00475650" w:rsidRDefault="00475650">
      <w:pPr>
        <w:autoSpaceDE w:val="0"/>
        <w:autoSpaceDN w:val="0"/>
        <w:adjustRightInd w:val="0"/>
        <w:snapToGrid w:val="0"/>
        <w:spacing w:line="360" w:lineRule="auto"/>
        <w:ind w:firstLineChars="200" w:firstLine="480"/>
        <w:rPr>
          <w:sz w:val="24"/>
        </w:rPr>
      </w:pPr>
      <w:r>
        <w:rPr>
          <w:rFonts w:hAnsi="宋体"/>
          <w:sz w:val="24"/>
        </w:rPr>
        <w:t>目前国内产用的染料产品包括活性染料、分散染料和酸性染料。各染料的基本情况如下：</w:t>
      </w:r>
    </w:p>
    <w:p w:rsidR="00475650" w:rsidRDefault="00475650">
      <w:pPr>
        <w:autoSpaceDE w:val="0"/>
        <w:autoSpaceDN w:val="0"/>
        <w:adjustRightInd w:val="0"/>
        <w:snapToGrid w:val="0"/>
        <w:spacing w:line="360" w:lineRule="auto"/>
        <w:ind w:firstLineChars="200" w:firstLine="480"/>
        <w:rPr>
          <w:sz w:val="24"/>
        </w:rPr>
      </w:pPr>
      <w:r>
        <w:rPr>
          <w:sz w:val="24"/>
        </w:rPr>
        <w:t>1</w:t>
      </w:r>
      <w:r>
        <w:rPr>
          <w:rFonts w:hAnsi="宋体"/>
          <w:sz w:val="24"/>
        </w:rPr>
        <w:t>、活性染料</w:t>
      </w:r>
    </w:p>
    <w:p w:rsidR="00475650" w:rsidRDefault="00475650">
      <w:pPr>
        <w:autoSpaceDE w:val="0"/>
        <w:autoSpaceDN w:val="0"/>
        <w:adjustRightInd w:val="0"/>
        <w:snapToGrid w:val="0"/>
        <w:spacing w:line="360" w:lineRule="auto"/>
        <w:ind w:firstLineChars="200" w:firstLine="480"/>
        <w:rPr>
          <w:sz w:val="24"/>
        </w:rPr>
      </w:pPr>
      <w:r>
        <w:rPr>
          <w:rFonts w:hAnsi="宋体"/>
          <w:sz w:val="24"/>
        </w:rPr>
        <w:t>活性染料是</w:t>
      </w:r>
      <w:r>
        <w:rPr>
          <w:sz w:val="24"/>
        </w:rPr>
        <w:t>50</w:t>
      </w:r>
      <w:r>
        <w:rPr>
          <w:rFonts w:hAnsi="宋体"/>
          <w:sz w:val="24"/>
        </w:rPr>
        <w:t>年代才发展起来的新型染料。它可以用于棉、麻、丝、毛、粘纤、锦纶、维纶等多种纺织品的染色。这类染料分子中含有能与纤维发生化学反应的基团，染色时染料与纤维反应，二者之间形成</w:t>
      </w:r>
      <w:hyperlink r:id="rId21" w:tgtFrame="_blank" w:history="1">
        <w:r>
          <w:rPr>
            <w:rFonts w:hAnsi="宋体"/>
            <w:sz w:val="24"/>
          </w:rPr>
          <w:t>共价键</w:t>
        </w:r>
      </w:hyperlink>
      <w:r>
        <w:rPr>
          <w:rFonts w:hAnsi="宋体"/>
          <w:sz w:val="24"/>
        </w:rPr>
        <w:t>，成为整体，使耐洗和耐摩擦牢度提高。活性染料能用经济的染色工艺和简单的染色操作获得高水平的各项坚牢性能特别是湿牢度。活性染料的色谱广、色泽鲜艳、性能优异、适用性强，其色相和性能基本上与市场对纤维和衣料的要求相适应。</w:t>
      </w:r>
    </w:p>
    <w:p w:rsidR="00475650" w:rsidRDefault="00475650">
      <w:pPr>
        <w:autoSpaceDE w:val="0"/>
        <w:autoSpaceDN w:val="0"/>
        <w:adjustRightInd w:val="0"/>
        <w:snapToGrid w:val="0"/>
        <w:spacing w:line="360" w:lineRule="auto"/>
        <w:ind w:firstLineChars="200" w:firstLine="480"/>
        <w:rPr>
          <w:sz w:val="24"/>
        </w:rPr>
      </w:pPr>
      <w:r>
        <w:rPr>
          <w:sz w:val="24"/>
        </w:rPr>
        <w:t>2</w:t>
      </w:r>
      <w:r>
        <w:rPr>
          <w:rFonts w:hAnsi="宋体"/>
          <w:sz w:val="24"/>
        </w:rPr>
        <w:t>、分散染料</w:t>
      </w:r>
    </w:p>
    <w:p w:rsidR="00475650" w:rsidRDefault="00475650">
      <w:pPr>
        <w:autoSpaceDE w:val="0"/>
        <w:autoSpaceDN w:val="0"/>
        <w:adjustRightInd w:val="0"/>
        <w:snapToGrid w:val="0"/>
        <w:spacing w:line="360" w:lineRule="auto"/>
        <w:ind w:firstLineChars="200" w:firstLine="480"/>
        <w:rPr>
          <w:sz w:val="24"/>
        </w:rPr>
      </w:pPr>
      <w:r>
        <w:rPr>
          <w:rFonts w:hAnsi="宋体"/>
          <w:sz w:val="24"/>
        </w:rPr>
        <w:t>分散染料是一类水溶性较低的非离子型染料。最早用于醋酯纤维的染色，称为醋纤染料。随着合成纤维的发展，锦纶、涤纶相继出现，尤其是涤纶，由于具有整</w:t>
      </w:r>
      <w:r>
        <w:rPr>
          <w:rFonts w:hAnsi="宋体"/>
          <w:sz w:val="24"/>
        </w:rPr>
        <w:lastRenderedPageBreak/>
        <w:t>列度高，纤维空隙少，疏水性强等特性，要在有载体或高温、热溶下使纤维膨化，染料才能进入纤维并上染。因此，对染料提出了新的要求，即要求具有更好疏水性和一定分散性及耐升华等的染料，目前印染加工中用于涤纶织物染色的分散染料基本上具备这些性能，但由于品种较多，使用时还必须根据加工要求选行选择。</w:t>
      </w:r>
    </w:p>
    <w:p w:rsidR="00475650" w:rsidRDefault="00475650">
      <w:pPr>
        <w:autoSpaceDE w:val="0"/>
        <w:autoSpaceDN w:val="0"/>
        <w:adjustRightInd w:val="0"/>
        <w:snapToGrid w:val="0"/>
        <w:spacing w:line="360" w:lineRule="auto"/>
        <w:ind w:firstLineChars="200" w:firstLine="480"/>
        <w:rPr>
          <w:sz w:val="24"/>
        </w:rPr>
      </w:pPr>
      <w:r>
        <w:rPr>
          <w:sz w:val="24"/>
        </w:rPr>
        <w:t>3</w:t>
      </w:r>
      <w:r>
        <w:rPr>
          <w:rFonts w:hAnsi="宋体"/>
          <w:sz w:val="24"/>
        </w:rPr>
        <w:t>、酸性染料</w:t>
      </w:r>
    </w:p>
    <w:p w:rsidR="00475650" w:rsidRDefault="00475650">
      <w:pPr>
        <w:pStyle w:val="afffffffff2"/>
        <w:adjustRightInd w:val="0"/>
        <w:snapToGrid w:val="0"/>
        <w:spacing w:line="360" w:lineRule="auto"/>
        <w:ind w:firstLine="496"/>
        <w:rPr>
          <w:rFonts w:ascii="Times New Roman" w:hAnsi="宋体" w:cs="Times New Roman"/>
          <w:spacing w:val="4"/>
          <w:sz w:val="24"/>
          <w:szCs w:val="24"/>
        </w:rPr>
      </w:pPr>
      <w:r>
        <w:rPr>
          <w:rFonts w:ascii="Times New Roman" w:hAnsi="宋体" w:cs="Times New Roman"/>
          <w:spacing w:val="4"/>
          <w:sz w:val="24"/>
          <w:szCs w:val="24"/>
        </w:rPr>
        <w:t>酸性染料是一类在酸性介质中进行染色的</w:t>
      </w:r>
      <w:hyperlink r:id="rId22" w:tgtFrame="_blank" w:history="1">
        <w:r>
          <w:rPr>
            <w:rFonts w:ascii="Times New Roman" w:hAnsi="宋体" w:cs="Times New Roman"/>
            <w:spacing w:val="4"/>
            <w:sz w:val="24"/>
            <w:szCs w:val="24"/>
          </w:rPr>
          <w:t>染料</w:t>
        </w:r>
      </w:hyperlink>
      <w:r>
        <w:rPr>
          <w:rFonts w:ascii="Times New Roman" w:hAnsi="宋体" w:cs="Times New Roman"/>
          <w:spacing w:val="4"/>
          <w:sz w:val="24"/>
          <w:szCs w:val="24"/>
        </w:rPr>
        <w:t>。酸性染料大多数含有磺酸钠盐，能溶于水，色泽鲜艳、色谱齐全。主要用于羊毛、蚕丝和锦纶等染色，也可用于皮革、纸张、墨水等方面。酸性染料按其化学结构和染色条件的不同分为强</w:t>
      </w:r>
    </w:p>
    <w:p w:rsidR="00475650" w:rsidRDefault="007C19B0" w:rsidP="00475650">
      <w:pPr>
        <w:spacing w:line="360" w:lineRule="auto"/>
        <w:ind w:firstLineChars="200" w:firstLine="420"/>
        <w:rPr>
          <w:rFonts w:hAnsi="宋体"/>
          <w:bCs/>
          <w:spacing w:val="-4"/>
        </w:rPr>
      </w:pPr>
      <w:r>
        <w:rPr>
          <w:noProof/>
        </w:rPr>
        <w:drawing>
          <wp:anchor distT="0" distB="0" distL="114300" distR="114300" simplePos="0" relativeHeight="251650048" behindDoc="1" locked="0" layoutInCell="1" allowOverlap="1">
            <wp:simplePos x="0" y="0"/>
            <wp:positionH relativeFrom="column">
              <wp:posOffset>2733675</wp:posOffset>
            </wp:positionH>
            <wp:positionV relativeFrom="paragraph">
              <wp:posOffset>37465</wp:posOffset>
            </wp:positionV>
            <wp:extent cx="2600325" cy="2179955"/>
            <wp:effectExtent l="19050" t="0" r="9525" b="0"/>
            <wp:wrapNone/>
            <wp:docPr id="20454" name="图片 2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28"/>
                    <pic:cNvPicPr>
                      <a:picLocks noChangeAspect="1" noChangeArrowheads="1"/>
                    </pic:cNvPicPr>
                  </pic:nvPicPr>
                  <pic:blipFill>
                    <a:blip r:embed="rId23" cstate="print"/>
                    <a:srcRect/>
                    <a:stretch>
                      <a:fillRect/>
                    </a:stretch>
                  </pic:blipFill>
                  <pic:spPr bwMode="auto">
                    <a:xfrm>
                      <a:off x="0" y="0"/>
                      <a:ext cx="2600325" cy="2179955"/>
                    </a:xfrm>
                    <a:prstGeom prst="rect">
                      <a:avLst/>
                    </a:prstGeom>
                    <a:noFill/>
                    <a:ln w="9525">
                      <a:noFill/>
                      <a:miter lim="800000"/>
                      <a:headEnd/>
                      <a:tailEnd/>
                    </a:ln>
                  </pic:spPr>
                </pic:pic>
              </a:graphicData>
            </a:graphic>
          </wp:anchor>
        </w:drawing>
      </w:r>
      <w:r>
        <w:rPr>
          <w:noProof/>
        </w:rPr>
        <w:drawing>
          <wp:anchor distT="0" distB="0" distL="114300" distR="114300" simplePos="0" relativeHeight="251651072" behindDoc="1" locked="0" layoutInCell="1" allowOverlap="1">
            <wp:simplePos x="0" y="0"/>
            <wp:positionH relativeFrom="column">
              <wp:posOffset>200025</wp:posOffset>
            </wp:positionH>
            <wp:positionV relativeFrom="paragraph">
              <wp:posOffset>37465</wp:posOffset>
            </wp:positionV>
            <wp:extent cx="2466975" cy="2185035"/>
            <wp:effectExtent l="19050" t="0" r="9525" b="0"/>
            <wp:wrapNone/>
            <wp:docPr id="20455" name="图片 2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29"/>
                    <pic:cNvPicPr>
                      <a:picLocks noChangeAspect="1" noChangeArrowheads="1"/>
                    </pic:cNvPicPr>
                  </pic:nvPicPr>
                  <pic:blipFill>
                    <a:blip r:embed="rId24" cstate="print"/>
                    <a:srcRect/>
                    <a:stretch>
                      <a:fillRect/>
                    </a:stretch>
                  </pic:blipFill>
                  <pic:spPr bwMode="auto">
                    <a:xfrm>
                      <a:off x="0" y="0"/>
                      <a:ext cx="2466975" cy="2185035"/>
                    </a:xfrm>
                    <a:prstGeom prst="rect">
                      <a:avLst/>
                    </a:prstGeom>
                    <a:noFill/>
                    <a:ln w="9525">
                      <a:noFill/>
                      <a:miter lim="800000"/>
                      <a:headEnd/>
                      <a:tailEnd/>
                    </a:ln>
                  </pic:spPr>
                </pic:pic>
              </a:graphicData>
            </a:graphic>
          </wp:anchor>
        </w:drawing>
      </w:r>
    </w:p>
    <w:p w:rsidR="00475650" w:rsidRDefault="00475650" w:rsidP="00475650">
      <w:pPr>
        <w:spacing w:line="360" w:lineRule="auto"/>
        <w:ind w:firstLineChars="200" w:firstLine="404"/>
        <w:rPr>
          <w:rFonts w:hAnsi="宋体"/>
          <w:bCs/>
          <w:spacing w:val="-4"/>
        </w:rPr>
      </w:pPr>
    </w:p>
    <w:p w:rsidR="00475650" w:rsidRDefault="00475650" w:rsidP="00475650">
      <w:pPr>
        <w:spacing w:line="360" w:lineRule="auto"/>
        <w:ind w:firstLineChars="200" w:firstLine="404"/>
        <w:rPr>
          <w:rFonts w:hAnsi="宋体"/>
          <w:bCs/>
          <w:spacing w:val="-4"/>
        </w:rPr>
      </w:pPr>
    </w:p>
    <w:p w:rsidR="00475650" w:rsidRDefault="00475650" w:rsidP="00475650">
      <w:pPr>
        <w:spacing w:line="360" w:lineRule="auto"/>
        <w:ind w:firstLineChars="200" w:firstLine="404"/>
        <w:rPr>
          <w:rFonts w:hAnsi="宋体"/>
          <w:bCs/>
          <w:spacing w:val="-4"/>
        </w:rPr>
      </w:pPr>
    </w:p>
    <w:p w:rsidR="00475650" w:rsidRDefault="00475650" w:rsidP="00475650">
      <w:pPr>
        <w:spacing w:line="360" w:lineRule="auto"/>
        <w:ind w:firstLineChars="200" w:firstLine="404"/>
        <w:rPr>
          <w:rFonts w:hAnsi="宋体"/>
          <w:bCs/>
          <w:spacing w:val="-4"/>
        </w:rPr>
      </w:pPr>
    </w:p>
    <w:p w:rsidR="00475650" w:rsidRDefault="00475650" w:rsidP="00475650">
      <w:pPr>
        <w:spacing w:line="360" w:lineRule="auto"/>
        <w:ind w:firstLineChars="200" w:firstLine="404"/>
        <w:rPr>
          <w:rFonts w:hAnsi="宋体"/>
          <w:bCs/>
          <w:spacing w:val="-4"/>
        </w:rPr>
      </w:pPr>
    </w:p>
    <w:p w:rsidR="00475650" w:rsidRDefault="00475650" w:rsidP="00475650">
      <w:pPr>
        <w:spacing w:line="360" w:lineRule="auto"/>
        <w:ind w:firstLineChars="200" w:firstLine="404"/>
        <w:rPr>
          <w:rFonts w:hAnsi="宋体"/>
          <w:bCs/>
          <w:spacing w:val="-4"/>
        </w:rPr>
      </w:pPr>
    </w:p>
    <w:p w:rsidR="00475650" w:rsidRDefault="00475650" w:rsidP="00475650">
      <w:pPr>
        <w:spacing w:line="360" w:lineRule="auto"/>
        <w:ind w:firstLineChars="200" w:firstLine="404"/>
        <w:rPr>
          <w:rFonts w:hAnsi="宋体"/>
          <w:bCs/>
          <w:spacing w:val="-4"/>
        </w:rPr>
      </w:pPr>
    </w:p>
    <w:p w:rsidR="00475650" w:rsidRDefault="006F27A1" w:rsidP="00475650">
      <w:pPr>
        <w:spacing w:line="360" w:lineRule="auto"/>
        <w:ind w:firstLineChars="200" w:firstLine="420"/>
        <w:rPr>
          <w:rFonts w:hAnsi="宋体"/>
          <w:bCs/>
          <w:spacing w:val="-4"/>
        </w:rPr>
      </w:pPr>
      <w:r>
        <w:rPr>
          <w:rFonts w:hAnsi="宋体"/>
          <w:bCs/>
          <w:spacing w:val="-4"/>
        </w:rPr>
        <w:pict>
          <v:shapetype id="_x0000_t202" coordsize="21600,21600" o:spt="202" path="m,l,21600r21600,l21600,xe">
            <v:stroke joinstyle="miter"/>
            <v:path gradientshapeok="t" o:connecttype="rect"/>
          </v:shapetype>
          <v:shape id="文本框 20436" o:spid="_x0000_s22508" type="#_x0000_t202" style="position:absolute;left:0;text-align:left;margin-left:94.5pt;margin-top:12.7pt;width:38.5pt;height:16.3pt;z-index:251656192" stroked="f">
            <v:textbox inset="0,0,0,0">
              <w:txbxContent>
                <w:p w:rsidR="00BD74CB" w:rsidRDefault="00BD74CB" w:rsidP="00475650">
                  <w:pPr>
                    <w:rPr>
                      <w:b/>
                      <w:sz w:val="24"/>
                    </w:rPr>
                  </w:pPr>
                  <w:r>
                    <w:rPr>
                      <w:rFonts w:hint="eastAsia"/>
                      <w:b/>
                      <w:sz w:val="24"/>
                    </w:rPr>
                    <w:t>除尘器</w:t>
                  </w:r>
                </w:p>
              </w:txbxContent>
            </v:textbox>
          </v:shape>
        </w:pict>
      </w:r>
      <w:r w:rsidRPr="006F27A1">
        <w:pict>
          <v:shape id="文本框 20437" o:spid="_x0000_s22509" type="#_x0000_t202" style="position:absolute;left:0;text-align:left;margin-left:302.4pt;margin-top:12.7pt;width:38.5pt;height:16.3pt;z-index:251657216" stroked="f">
            <v:textbox inset="0,0,0,0">
              <w:txbxContent>
                <w:p w:rsidR="00BD74CB" w:rsidRDefault="00BD74CB" w:rsidP="00475650">
                  <w:pPr>
                    <w:rPr>
                      <w:b/>
                      <w:sz w:val="24"/>
                    </w:rPr>
                  </w:pPr>
                  <w:r>
                    <w:rPr>
                      <w:rFonts w:hint="eastAsia"/>
                      <w:b/>
                      <w:sz w:val="24"/>
                    </w:rPr>
                    <w:t>反应釜</w:t>
                  </w:r>
                </w:p>
              </w:txbxContent>
            </v:textbox>
          </v:shape>
        </w:pict>
      </w:r>
    </w:p>
    <w:p w:rsidR="00475650" w:rsidRDefault="007C19B0" w:rsidP="00475650">
      <w:pPr>
        <w:spacing w:line="360" w:lineRule="auto"/>
        <w:ind w:firstLineChars="200" w:firstLine="420"/>
        <w:rPr>
          <w:rFonts w:hAnsi="宋体"/>
          <w:bCs/>
          <w:spacing w:val="-4"/>
        </w:rPr>
      </w:pPr>
      <w:r>
        <w:rPr>
          <w:noProof/>
        </w:rPr>
        <w:drawing>
          <wp:anchor distT="0" distB="0" distL="114300" distR="114300" simplePos="0" relativeHeight="251653120" behindDoc="1" locked="0" layoutInCell="1" allowOverlap="1">
            <wp:simplePos x="0" y="0"/>
            <wp:positionH relativeFrom="column">
              <wp:posOffset>2733675</wp:posOffset>
            </wp:positionH>
            <wp:positionV relativeFrom="paragraph">
              <wp:posOffset>173355</wp:posOffset>
            </wp:positionV>
            <wp:extent cx="2667000" cy="2296160"/>
            <wp:effectExtent l="19050" t="0" r="0" b="0"/>
            <wp:wrapNone/>
            <wp:docPr id="20457" name="图片 2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31"/>
                    <pic:cNvPicPr>
                      <a:picLocks noChangeAspect="1" noChangeArrowheads="1"/>
                    </pic:cNvPicPr>
                  </pic:nvPicPr>
                  <pic:blipFill>
                    <a:blip r:embed="rId25" cstate="print"/>
                    <a:srcRect/>
                    <a:stretch>
                      <a:fillRect/>
                    </a:stretch>
                  </pic:blipFill>
                  <pic:spPr bwMode="auto">
                    <a:xfrm>
                      <a:off x="0" y="0"/>
                      <a:ext cx="2667000" cy="2296160"/>
                    </a:xfrm>
                    <a:prstGeom prst="rect">
                      <a:avLst/>
                    </a:prstGeom>
                    <a:noFill/>
                    <a:ln w="9525">
                      <a:noFill/>
                      <a:miter lim="800000"/>
                      <a:headEnd/>
                      <a:tailEnd/>
                    </a:ln>
                  </pic:spPr>
                </pic:pic>
              </a:graphicData>
            </a:graphic>
          </wp:anchor>
        </w:drawing>
      </w:r>
      <w:r>
        <w:rPr>
          <w:noProof/>
        </w:rPr>
        <w:drawing>
          <wp:anchor distT="0" distB="0" distL="114300" distR="114300" simplePos="0" relativeHeight="251652096" behindDoc="1" locked="0" layoutInCell="1" allowOverlap="1">
            <wp:simplePos x="0" y="0"/>
            <wp:positionH relativeFrom="column">
              <wp:posOffset>200025</wp:posOffset>
            </wp:positionH>
            <wp:positionV relativeFrom="paragraph">
              <wp:posOffset>174625</wp:posOffset>
            </wp:positionV>
            <wp:extent cx="2489835" cy="2278380"/>
            <wp:effectExtent l="19050" t="0" r="5715" b="0"/>
            <wp:wrapNone/>
            <wp:docPr id="20456" name="图片 2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30"/>
                    <pic:cNvPicPr>
                      <a:picLocks noChangeAspect="1" noChangeArrowheads="1"/>
                    </pic:cNvPicPr>
                  </pic:nvPicPr>
                  <pic:blipFill>
                    <a:blip r:embed="rId26" cstate="print"/>
                    <a:srcRect/>
                    <a:stretch>
                      <a:fillRect/>
                    </a:stretch>
                  </pic:blipFill>
                  <pic:spPr bwMode="auto">
                    <a:xfrm>
                      <a:off x="0" y="0"/>
                      <a:ext cx="2489835" cy="2278380"/>
                    </a:xfrm>
                    <a:prstGeom prst="rect">
                      <a:avLst/>
                    </a:prstGeom>
                    <a:noFill/>
                    <a:ln w="9525">
                      <a:noFill/>
                      <a:miter lim="800000"/>
                      <a:headEnd/>
                      <a:tailEnd/>
                    </a:ln>
                  </pic:spPr>
                </pic:pic>
              </a:graphicData>
            </a:graphic>
          </wp:anchor>
        </w:drawing>
      </w:r>
    </w:p>
    <w:p w:rsidR="00475650" w:rsidRDefault="00475650" w:rsidP="00475650">
      <w:pPr>
        <w:spacing w:line="360" w:lineRule="auto"/>
        <w:ind w:firstLineChars="200" w:firstLine="404"/>
        <w:rPr>
          <w:rFonts w:hAnsi="宋体"/>
          <w:bCs/>
          <w:spacing w:val="-4"/>
        </w:rPr>
      </w:pPr>
    </w:p>
    <w:p w:rsidR="00475650" w:rsidRDefault="00475650" w:rsidP="00475650">
      <w:pPr>
        <w:spacing w:line="360" w:lineRule="auto"/>
        <w:ind w:firstLineChars="200" w:firstLine="404"/>
        <w:rPr>
          <w:rFonts w:hAnsi="宋体"/>
          <w:bCs/>
          <w:spacing w:val="-4"/>
        </w:rPr>
      </w:pPr>
    </w:p>
    <w:p w:rsidR="00475650" w:rsidRDefault="00475650" w:rsidP="00475650">
      <w:pPr>
        <w:spacing w:line="360" w:lineRule="auto"/>
        <w:ind w:firstLineChars="200" w:firstLine="404"/>
        <w:rPr>
          <w:rFonts w:hAnsi="宋体"/>
          <w:bCs/>
          <w:spacing w:val="-4"/>
        </w:rPr>
      </w:pPr>
    </w:p>
    <w:p w:rsidR="00475650" w:rsidRDefault="00475650" w:rsidP="00475650">
      <w:pPr>
        <w:spacing w:line="360" w:lineRule="auto"/>
        <w:ind w:firstLineChars="200" w:firstLine="404"/>
        <w:rPr>
          <w:rFonts w:hAnsi="宋体"/>
          <w:bCs/>
          <w:spacing w:val="-4"/>
        </w:rPr>
      </w:pPr>
    </w:p>
    <w:p w:rsidR="00475650" w:rsidRDefault="00475650" w:rsidP="00475650">
      <w:pPr>
        <w:spacing w:line="360" w:lineRule="auto"/>
        <w:ind w:firstLineChars="200" w:firstLine="404"/>
        <w:rPr>
          <w:rFonts w:hAnsi="宋体"/>
          <w:bCs/>
          <w:spacing w:val="-4"/>
        </w:rPr>
      </w:pPr>
    </w:p>
    <w:p w:rsidR="00475650" w:rsidRDefault="00475650" w:rsidP="00475650">
      <w:pPr>
        <w:spacing w:line="360" w:lineRule="auto"/>
        <w:ind w:firstLineChars="200" w:firstLine="404"/>
        <w:rPr>
          <w:rFonts w:hAnsi="宋体"/>
          <w:bCs/>
          <w:spacing w:val="-4"/>
        </w:rPr>
      </w:pPr>
    </w:p>
    <w:p w:rsidR="00475650" w:rsidRDefault="00475650" w:rsidP="00475650">
      <w:pPr>
        <w:spacing w:line="360" w:lineRule="auto"/>
        <w:ind w:firstLineChars="200" w:firstLine="404"/>
        <w:rPr>
          <w:rFonts w:hAnsi="宋体"/>
          <w:bCs/>
          <w:spacing w:val="-4"/>
        </w:rPr>
      </w:pPr>
    </w:p>
    <w:p w:rsidR="00475650" w:rsidRDefault="00475650" w:rsidP="00475650">
      <w:pPr>
        <w:spacing w:line="360" w:lineRule="auto"/>
        <w:ind w:firstLineChars="200" w:firstLine="404"/>
        <w:rPr>
          <w:rFonts w:hAnsi="宋体"/>
          <w:bCs/>
          <w:spacing w:val="-4"/>
        </w:rPr>
      </w:pPr>
    </w:p>
    <w:p w:rsidR="00475650" w:rsidRDefault="006F27A1" w:rsidP="00475650">
      <w:pPr>
        <w:spacing w:line="360" w:lineRule="auto"/>
        <w:ind w:firstLineChars="200" w:firstLine="420"/>
        <w:rPr>
          <w:rFonts w:hAnsi="宋体"/>
          <w:bCs/>
          <w:spacing w:val="-4"/>
        </w:rPr>
      </w:pPr>
      <w:r w:rsidRPr="006F27A1">
        <w:pict>
          <v:shape id="文本框 20438" o:spid="_x0000_s22510" type="#_x0000_t202" style="position:absolute;left:0;text-align:left;margin-left:94.5pt;margin-top:13.05pt;width:38.5pt;height:16.3pt;z-index:251658240" stroked="f">
            <v:textbox inset="0,0,0,0">
              <w:txbxContent>
                <w:p w:rsidR="00BD74CB" w:rsidRDefault="00BD74CB" w:rsidP="00475650">
                  <w:pPr>
                    <w:rPr>
                      <w:b/>
                      <w:sz w:val="24"/>
                    </w:rPr>
                  </w:pPr>
                  <w:r>
                    <w:rPr>
                      <w:rFonts w:hint="eastAsia"/>
                      <w:b/>
                      <w:sz w:val="24"/>
                    </w:rPr>
                    <w:t>偶合罐</w:t>
                  </w:r>
                </w:p>
              </w:txbxContent>
            </v:textbox>
          </v:shape>
        </w:pict>
      </w:r>
      <w:r w:rsidRPr="006F27A1">
        <w:pict>
          <v:shape id="文本框 20439" o:spid="_x0000_s22511" type="#_x0000_t202" style="position:absolute;left:0;text-align:left;margin-left:301.35pt;margin-top:15.15pt;width:38.5pt;height:16.3pt;z-index:251659264" stroked="f">
            <v:textbox inset="0,0,0,0">
              <w:txbxContent>
                <w:p w:rsidR="00BD74CB" w:rsidRDefault="00BD74CB" w:rsidP="00475650">
                  <w:pPr>
                    <w:rPr>
                      <w:b/>
                      <w:sz w:val="24"/>
                    </w:rPr>
                  </w:pPr>
                  <w:r>
                    <w:rPr>
                      <w:rFonts w:hint="eastAsia"/>
                      <w:b/>
                      <w:sz w:val="24"/>
                    </w:rPr>
                    <w:t>压滤机</w:t>
                  </w:r>
                </w:p>
              </w:txbxContent>
            </v:textbox>
          </v:shape>
        </w:pict>
      </w:r>
    </w:p>
    <w:p w:rsidR="00475650" w:rsidRDefault="007C19B0" w:rsidP="00475650">
      <w:pPr>
        <w:spacing w:line="360" w:lineRule="auto"/>
        <w:ind w:firstLineChars="200" w:firstLine="420"/>
        <w:rPr>
          <w:rFonts w:hAnsi="宋体"/>
          <w:bCs/>
          <w:spacing w:val="-4"/>
        </w:rPr>
      </w:pPr>
      <w:r>
        <w:rPr>
          <w:noProof/>
        </w:rPr>
        <w:drawing>
          <wp:anchor distT="0" distB="0" distL="114300" distR="114300" simplePos="0" relativeHeight="251654144" behindDoc="1" locked="0" layoutInCell="1" allowOverlap="1">
            <wp:simplePos x="0" y="0"/>
            <wp:positionH relativeFrom="column">
              <wp:posOffset>173355</wp:posOffset>
            </wp:positionH>
            <wp:positionV relativeFrom="paragraph">
              <wp:posOffset>182245</wp:posOffset>
            </wp:positionV>
            <wp:extent cx="2508885" cy="2320290"/>
            <wp:effectExtent l="19050" t="0" r="5715" b="0"/>
            <wp:wrapNone/>
            <wp:docPr id="20458" name="图片 2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32"/>
                    <pic:cNvPicPr>
                      <a:picLocks noChangeAspect="1" noChangeArrowheads="1"/>
                    </pic:cNvPicPr>
                  </pic:nvPicPr>
                  <pic:blipFill>
                    <a:blip r:embed="rId27" cstate="print"/>
                    <a:srcRect/>
                    <a:stretch>
                      <a:fillRect/>
                    </a:stretch>
                  </pic:blipFill>
                  <pic:spPr bwMode="auto">
                    <a:xfrm>
                      <a:off x="0" y="0"/>
                      <a:ext cx="2508885" cy="2320290"/>
                    </a:xfrm>
                    <a:prstGeom prst="rect">
                      <a:avLst/>
                    </a:prstGeom>
                    <a:noFill/>
                    <a:ln w="9525">
                      <a:noFill/>
                      <a:miter lim="800000"/>
                      <a:headEnd/>
                      <a:tailEnd/>
                    </a:ln>
                  </pic:spPr>
                </pic:pic>
              </a:graphicData>
            </a:graphic>
          </wp:anchor>
        </w:drawing>
      </w:r>
    </w:p>
    <w:p w:rsidR="00475650" w:rsidRDefault="007C19B0" w:rsidP="00475650">
      <w:pPr>
        <w:spacing w:line="360" w:lineRule="auto"/>
        <w:ind w:firstLineChars="200" w:firstLine="420"/>
        <w:rPr>
          <w:rFonts w:hAnsi="宋体"/>
          <w:bCs/>
          <w:spacing w:val="-4"/>
        </w:rPr>
      </w:pPr>
      <w:r>
        <w:rPr>
          <w:noProof/>
        </w:rPr>
        <w:drawing>
          <wp:anchor distT="0" distB="0" distL="114300" distR="114300" simplePos="0" relativeHeight="251655168" behindDoc="1" locked="0" layoutInCell="1" allowOverlap="1">
            <wp:simplePos x="0" y="0"/>
            <wp:positionH relativeFrom="column">
              <wp:posOffset>2733675</wp:posOffset>
            </wp:positionH>
            <wp:positionV relativeFrom="paragraph">
              <wp:posOffset>-5715</wp:posOffset>
            </wp:positionV>
            <wp:extent cx="2667000" cy="2278380"/>
            <wp:effectExtent l="19050" t="0" r="0" b="0"/>
            <wp:wrapNone/>
            <wp:docPr id="20459" name="图片 2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33"/>
                    <pic:cNvPicPr>
                      <a:picLocks noChangeAspect="1" noChangeArrowheads="1"/>
                    </pic:cNvPicPr>
                  </pic:nvPicPr>
                  <pic:blipFill>
                    <a:blip r:embed="rId28" cstate="print"/>
                    <a:srcRect/>
                    <a:stretch>
                      <a:fillRect/>
                    </a:stretch>
                  </pic:blipFill>
                  <pic:spPr bwMode="auto">
                    <a:xfrm>
                      <a:off x="0" y="0"/>
                      <a:ext cx="2667000" cy="2278380"/>
                    </a:xfrm>
                    <a:prstGeom prst="rect">
                      <a:avLst/>
                    </a:prstGeom>
                    <a:noFill/>
                    <a:ln w="9525">
                      <a:noFill/>
                      <a:miter lim="800000"/>
                      <a:headEnd/>
                      <a:tailEnd/>
                    </a:ln>
                  </pic:spPr>
                </pic:pic>
              </a:graphicData>
            </a:graphic>
          </wp:anchor>
        </w:drawing>
      </w:r>
    </w:p>
    <w:p w:rsidR="00475650" w:rsidRDefault="00475650" w:rsidP="00475650">
      <w:pPr>
        <w:spacing w:line="360" w:lineRule="auto"/>
        <w:ind w:firstLineChars="200" w:firstLine="404"/>
        <w:rPr>
          <w:rFonts w:hAnsi="宋体"/>
          <w:bCs/>
          <w:spacing w:val="-4"/>
        </w:rPr>
      </w:pPr>
    </w:p>
    <w:p w:rsidR="00475650" w:rsidRDefault="00475650" w:rsidP="00475650">
      <w:pPr>
        <w:spacing w:line="360" w:lineRule="auto"/>
        <w:ind w:firstLineChars="200" w:firstLine="404"/>
        <w:rPr>
          <w:rFonts w:hAnsi="宋体"/>
          <w:bCs/>
          <w:spacing w:val="-4"/>
        </w:rPr>
      </w:pPr>
    </w:p>
    <w:p w:rsidR="00475650" w:rsidRDefault="00475650" w:rsidP="00475650">
      <w:pPr>
        <w:spacing w:line="360" w:lineRule="auto"/>
        <w:ind w:firstLineChars="200" w:firstLine="404"/>
        <w:rPr>
          <w:rFonts w:hAnsi="宋体"/>
          <w:bCs/>
          <w:spacing w:val="-4"/>
        </w:rPr>
      </w:pPr>
    </w:p>
    <w:p w:rsidR="00475650" w:rsidRDefault="00475650" w:rsidP="00475650">
      <w:pPr>
        <w:spacing w:line="360" w:lineRule="auto"/>
        <w:ind w:firstLineChars="200" w:firstLine="404"/>
        <w:rPr>
          <w:rFonts w:hAnsi="宋体"/>
          <w:bCs/>
          <w:spacing w:val="-4"/>
        </w:rPr>
      </w:pPr>
    </w:p>
    <w:p w:rsidR="00475650" w:rsidRDefault="00475650" w:rsidP="00475650">
      <w:pPr>
        <w:spacing w:line="360" w:lineRule="auto"/>
        <w:ind w:firstLineChars="200" w:firstLine="404"/>
        <w:rPr>
          <w:rFonts w:hAnsi="宋体"/>
          <w:bCs/>
          <w:spacing w:val="-4"/>
        </w:rPr>
      </w:pPr>
    </w:p>
    <w:p w:rsidR="00475650" w:rsidRDefault="00475650" w:rsidP="00475650">
      <w:pPr>
        <w:spacing w:line="360" w:lineRule="auto"/>
        <w:ind w:firstLineChars="200" w:firstLine="404"/>
        <w:rPr>
          <w:rFonts w:hAnsi="宋体"/>
          <w:bCs/>
          <w:spacing w:val="-4"/>
        </w:rPr>
      </w:pPr>
    </w:p>
    <w:p w:rsidR="00475650" w:rsidRDefault="00475650" w:rsidP="00475650">
      <w:pPr>
        <w:spacing w:line="360" w:lineRule="auto"/>
        <w:ind w:firstLineChars="200" w:firstLine="404"/>
        <w:rPr>
          <w:rFonts w:hAnsi="宋体"/>
          <w:bCs/>
          <w:spacing w:val="-4"/>
        </w:rPr>
      </w:pPr>
    </w:p>
    <w:p w:rsidR="00475650" w:rsidRDefault="006F27A1" w:rsidP="00475650">
      <w:pPr>
        <w:spacing w:line="360" w:lineRule="auto"/>
        <w:ind w:firstLineChars="200" w:firstLine="420"/>
        <w:rPr>
          <w:rFonts w:hAnsi="宋体"/>
          <w:bCs/>
          <w:spacing w:val="-4"/>
        </w:rPr>
      </w:pPr>
      <w:r>
        <w:rPr>
          <w:rFonts w:hAnsi="宋体"/>
          <w:bCs/>
          <w:spacing w:val="-4"/>
        </w:rPr>
        <w:pict>
          <v:shape id="文本框 20440" o:spid="_x0000_s22512" type="#_x0000_t202" style="position:absolute;left:0;text-align:left;margin-left:94.5pt;margin-top:17.05pt;width:38.5pt;height:16.3pt;z-index:251660288" stroked="f">
            <v:textbox inset="0,0,0,0">
              <w:txbxContent>
                <w:p w:rsidR="00BD74CB" w:rsidRDefault="00BD74CB" w:rsidP="00475650">
                  <w:pPr>
                    <w:rPr>
                      <w:b/>
                      <w:sz w:val="24"/>
                    </w:rPr>
                  </w:pPr>
                  <w:r>
                    <w:rPr>
                      <w:rFonts w:hint="eastAsia"/>
                      <w:b/>
                      <w:sz w:val="24"/>
                    </w:rPr>
                    <w:t>分装机</w:t>
                  </w:r>
                </w:p>
              </w:txbxContent>
            </v:textbox>
          </v:shape>
        </w:pict>
      </w:r>
      <w:r>
        <w:rPr>
          <w:rFonts w:hAnsi="宋体"/>
          <w:bCs/>
          <w:spacing w:val="-4"/>
        </w:rPr>
        <w:pict>
          <v:shape id="文本框 20441" o:spid="_x0000_s22513" type="#_x0000_t202" style="position:absolute;left:0;text-align:left;margin-left:299.25pt;margin-top:16.35pt;width:43.75pt;height:16.3pt;z-index:251661312" stroked="f">
            <v:textbox inset="0,0,0,0">
              <w:txbxContent>
                <w:p w:rsidR="00BD74CB" w:rsidRDefault="00BD74CB" w:rsidP="00475650">
                  <w:pPr>
                    <w:ind w:firstLineChars="49" w:firstLine="118"/>
                    <w:rPr>
                      <w:b/>
                      <w:sz w:val="24"/>
                    </w:rPr>
                  </w:pPr>
                  <w:r>
                    <w:rPr>
                      <w:rFonts w:hint="eastAsia"/>
                      <w:b/>
                      <w:sz w:val="24"/>
                    </w:rPr>
                    <w:t>烘</w:t>
                  </w:r>
                  <w:r>
                    <w:rPr>
                      <w:rFonts w:hint="eastAsia"/>
                      <w:b/>
                      <w:sz w:val="24"/>
                    </w:rPr>
                    <w:t xml:space="preserve"> </w:t>
                  </w:r>
                  <w:r>
                    <w:rPr>
                      <w:rFonts w:hint="eastAsia"/>
                      <w:b/>
                      <w:sz w:val="24"/>
                    </w:rPr>
                    <w:t>箱</w:t>
                  </w:r>
                </w:p>
              </w:txbxContent>
            </v:textbox>
          </v:shape>
        </w:pict>
      </w:r>
    </w:p>
    <w:p w:rsidR="00475650" w:rsidRDefault="00475650" w:rsidP="00475650">
      <w:pPr>
        <w:spacing w:line="360" w:lineRule="auto"/>
        <w:ind w:firstLineChars="200" w:firstLine="404"/>
        <w:rPr>
          <w:rFonts w:hAnsi="宋体"/>
          <w:bCs/>
          <w:spacing w:val="-4"/>
        </w:rPr>
      </w:pPr>
    </w:p>
    <w:p w:rsidR="00475650" w:rsidRDefault="00475650" w:rsidP="00475650">
      <w:pPr>
        <w:spacing w:line="360" w:lineRule="auto"/>
        <w:ind w:firstLineChars="200" w:firstLine="466"/>
        <w:jc w:val="center"/>
        <w:rPr>
          <w:rFonts w:hAnsi="宋体"/>
          <w:b/>
          <w:bCs/>
          <w:spacing w:val="-4"/>
          <w:sz w:val="24"/>
        </w:rPr>
      </w:pPr>
      <w:r>
        <w:rPr>
          <w:rFonts w:hAnsi="宋体" w:hint="eastAsia"/>
          <w:b/>
          <w:bCs/>
          <w:spacing w:val="-4"/>
          <w:sz w:val="24"/>
        </w:rPr>
        <w:t>图</w:t>
      </w:r>
      <w:r>
        <w:rPr>
          <w:rFonts w:hAnsi="宋体" w:hint="eastAsia"/>
          <w:b/>
          <w:bCs/>
          <w:spacing w:val="-4"/>
          <w:sz w:val="24"/>
        </w:rPr>
        <w:t xml:space="preserve">3-1 </w:t>
      </w:r>
      <w:r>
        <w:rPr>
          <w:rFonts w:hAnsi="宋体" w:hint="eastAsia"/>
          <w:b/>
          <w:bCs/>
          <w:spacing w:val="-4"/>
          <w:sz w:val="24"/>
        </w:rPr>
        <w:t>部分已建成设施照片</w:t>
      </w:r>
    </w:p>
    <w:p w:rsidR="00475650" w:rsidRDefault="00475650" w:rsidP="00475650">
      <w:pPr>
        <w:pStyle w:val="afffffffff2"/>
        <w:adjustRightInd w:val="0"/>
        <w:snapToGrid w:val="0"/>
        <w:spacing w:line="360" w:lineRule="auto"/>
        <w:rPr>
          <w:rFonts w:ascii="Times New Roman" w:hAnsi="Times New Roman" w:cs="Times New Roman"/>
          <w:spacing w:val="4"/>
          <w:sz w:val="24"/>
          <w:szCs w:val="24"/>
        </w:rPr>
      </w:pPr>
      <w:r>
        <w:rPr>
          <w:rFonts w:ascii="Times New Roman" w:hAnsi="宋体" w:cs="Times New Roman"/>
          <w:spacing w:val="4"/>
          <w:sz w:val="24"/>
          <w:szCs w:val="24"/>
        </w:rPr>
        <w:t>酸性、弱酸性、酸性媒介、酸性络合染料等。分子中含氮、硫等杂环结构的染料，具有相当高的摩尔消光系数、高的染色强度、更鲜艳的颜色及优良的染色性能。近年来研究和开发了许多含有杂环基团或发色体系的强酸性染料和弱酸性染料，这些基团主要包括噻唑、异噻唑、噻吩、苯并噻吩、四氢喹啉、苯并吲哚及吡啶酮等衍生物。它们即可作为重氮组分，也可作为偶合组分，合成各种结构不同的偶氮类强酸性染料和弱酸性染料。酸性染料按染色性能分：强酸性染料、弱酸性染料和中性酸性染料三类。强酸性染料是典型的酸性染料，染羊毛、皮革。分子结构较简单，分子中磺酸基所占比例高、水中溶解度较高，在常温染液中基本上以离子状态分散</w:t>
      </w:r>
      <w:r>
        <w:rPr>
          <w:rFonts w:ascii="Times New Roman" w:hAnsi="宋体" w:cs="Times New Roman" w:hint="eastAsia"/>
          <w:spacing w:val="4"/>
          <w:sz w:val="24"/>
          <w:szCs w:val="24"/>
        </w:rPr>
        <w:t>，</w:t>
      </w:r>
      <w:r>
        <w:rPr>
          <w:rFonts w:ascii="Times New Roman" w:hAnsi="宋体" w:cs="Times New Roman"/>
          <w:spacing w:val="4"/>
          <w:sz w:val="24"/>
          <w:szCs w:val="24"/>
        </w:rPr>
        <w:t>这类染料湿处理牢度较差、日晒牢度较好、色泽鲜艳、匀染性良好。弱酸性染料分子结构稍复杂，分子中磺酸基所占比例相对地较低，溶解度稍差，在常温染液中基本上以胶体分散状态存在</w:t>
      </w:r>
      <w:r>
        <w:rPr>
          <w:rFonts w:ascii="Times New Roman" w:hAnsi="宋体" w:cs="Times New Roman" w:hint="eastAsia"/>
          <w:spacing w:val="4"/>
          <w:sz w:val="24"/>
          <w:szCs w:val="24"/>
        </w:rPr>
        <w:t>，</w:t>
      </w:r>
      <w:r>
        <w:rPr>
          <w:rFonts w:ascii="Times New Roman" w:hAnsi="宋体" w:cs="Times New Roman"/>
          <w:spacing w:val="4"/>
          <w:sz w:val="24"/>
          <w:szCs w:val="24"/>
        </w:rPr>
        <w:t>这类染料湿处理牢度较好、匀染性稍差。中性酸性染料分子结构更复杂，磺酸基所占比例更低，疏水性部分增加，溶解度更差些，在常温染浴中主要以胶体状态存在。这类染料匀染性较差、色泽不够鲜艳，但湿处理牢度好。</w:t>
      </w:r>
    </w:p>
    <w:p w:rsidR="00475650" w:rsidRDefault="00475650">
      <w:pPr>
        <w:pStyle w:val="afffffffff2"/>
        <w:adjustRightInd w:val="0"/>
        <w:snapToGrid w:val="0"/>
        <w:spacing w:line="360" w:lineRule="auto"/>
        <w:ind w:firstLine="496"/>
        <w:rPr>
          <w:rFonts w:ascii="Times New Roman" w:hAnsi="Times New Roman" w:cs="Times New Roman"/>
          <w:spacing w:val="4"/>
          <w:sz w:val="24"/>
          <w:szCs w:val="24"/>
        </w:rPr>
      </w:pPr>
      <w:r>
        <w:rPr>
          <w:rFonts w:ascii="Times New Roman" w:hAnsi="宋体" w:cs="Times New Roman"/>
          <w:spacing w:val="4"/>
          <w:sz w:val="24"/>
          <w:szCs w:val="24"/>
        </w:rPr>
        <w:t>目前，随着我国纺织印染工业的发展，合成染料得到广泛应用，其中酸性染料的产量与用量均不断增长，我国酸性染料产业市场正处在成长期快速上升阶段，对外贸易出口总量额呈高速增长态势，随着下游应用领域关联产业快速发展，对酸性染料消费需求规模还将迅速扩大，未来酸性染料产业市场还有巨大开发潜力。</w:t>
      </w:r>
    </w:p>
    <w:p w:rsidR="00475650" w:rsidRDefault="00475650">
      <w:pPr>
        <w:pStyle w:val="afffffffff2"/>
        <w:adjustRightInd w:val="0"/>
        <w:snapToGrid w:val="0"/>
        <w:spacing w:line="360" w:lineRule="auto"/>
        <w:ind w:firstLine="496"/>
        <w:rPr>
          <w:rFonts w:ascii="Times New Roman" w:hAnsi="Times New Roman" w:cs="Times New Roman"/>
          <w:spacing w:val="4"/>
          <w:sz w:val="24"/>
          <w:szCs w:val="24"/>
        </w:rPr>
      </w:pPr>
      <w:r>
        <w:rPr>
          <w:rFonts w:ascii="Times New Roman" w:hAnsi="宋体" w:cs="Times New Roman"/>
          <w:spacing w:val="4"/>
          <w:sz w:val="24"/>
          <w:szCs w:val="24"/>
        </w:rPr>
        <w:t>根据国内染料行业的生产能力以及供需情况，同时考虑项目所在地的原料供给和本公司氯化石蜡装置副产盐酸这一生产实际，本装置选择弱酸性染料中的酸性红</w:t>
      </w:r>
      <w:r>
        <w:rPr>
          <w:rFonts w:ascii="Times New Roman" w:hAnsi="Times New Roman" w:cs="Times New Roman"/>
          <w:spacing w:val="4"/>
          <w:sz w:val="24"/>
          <w:szCs w:val="24"/>
        </w:rPr>
        <w:t>37</w:t>
      </w:r>
      <w:r>
        <w:rPr>
          <w:rFonts w:ascii="Times New Roman" w:hAnsi="宋体" w:cs="Times New Roman"/>
          <w:spacing w:val="4"/>
          <w:sz w:val="24"/>
          <w:szCs w:val="24"/>
        </w:rPr>
        <w:t>和酸性黄</w:t>
      </w:r>
      <w:r>
        <w:rPr>
          <w:rFonts w:ascii="Times New Roman" w:hAnsi="Times New Roman" w:cs="Times New Roman"/>
          <w:spacing w:val="4"/>
          <w:sz w:val="24"/>
          <w:szCs w:val="24"/>
        </w:rPr>
        <w:t>49</w:t>
      </w:r>
      <w:r>
        <w:rPr>
          <w:rFonts w:ascii="Times New Roman" w:hAnsi="宋体" w:cs="Times New Roman"/>
          <w:spacing w:val="4"/>
          <w:sz w:val="24"/>
          <w:szCs w:val="24"/>
        </w:rPr>
        <w:t>作为产品的生产路线，可利用公司现有工程产生的副产品盐酸，产品主要用于酰胺纤维、羊毛和皮革染色，也用于羊毛、蚕丝织物的直接印花。色泽鲜艳，匀染性好。在用于羊毛与其他纤维同浴染色时，锦纶得色与羊毛相近，蚕丝沾色，纤维素纤维不沾色。与酸性蓝</w:t>
      </w:r>
      <w:r>
        <w:rPr>
          <w:rFonts w:ascii="Times New Roman" w:hAnsi="Times New Roman" w:cs="Times New Roman"/>
          <w:spacing w:val="4"/>
          <w:sz w:val="24"/>
          <w:szCs w:val="24"/>
        </w:rPr>
        <w:t>B</w:t>
      </w:r>
      <w:r>
        <w:rPr>
          <w:rFonts w:ascii="Times New Roman" w:hAnsi="宋体" w:cs="Times New Roman"/>
          <w:spacing w:val="4"/>
          <w:sz w:val="24"/>
          <w:szCs w:val="24"/>
        </w:rPr>
        <w:t>、酸性嫩黄</w:t>
      </w:r>
      <w:r>
        <w:rPr>
          <w:rFonts w:ascii="Times New Roman" w:hAnsi="Times New Roman" w:cs="Times New Roman"/>
          <w:spacing w:val="4"/>
          <w:sz w:val="24"/>
          <w:szCs w:val="24"/>
        </w:rPr>
        <w:t>2G</w:t>
      </w:r>
      <w:r>
        <w:rPr>
          <w:rFonts w:ascii="Times New Roman" w:hAnsi="宋体" w:cs="Times New Roman"/>
          <w:spacing w:val="4"/>
          <w:sz w:val="24"/>
          <w:szCs w:val="24"/>
        </w:rPr>
        <w:t>组成计算机拼色三原色，可拼成各种鲜艳颜色，还可与其他染料拼染，以调节色光。还可用于皮革着色。</w:t>
      </w:r>
      <w:r>
        <w:rPr>
          <w:rFonts w:hAnsi="宋体" w:hint="eastAsia"/>
          <w:sz w:val="24"/>
        </w:rPr>
        <w:t>根据湖南省石油化学工业协会的专业审查意见，酸性红37、酸性黄49属</w:t>
      </w:r>
      <w:r>
        <w:rPr>
          <w:rFonts w:hAnsi="宋体" w:hint="eastAsia"/>
          <w:sz w:val="24"/>
        </w:rPr>
        <w:lastRenderedPageBreak/>
        <w:t>于国家《产业结构调整指导目录（2011本）（2013年修正）》鼓励类产品）（审查意见见附件）。</w:t>
      </w:r>
    </w:p>
    <w:p w:rsidR="00475650" w:rsidRDefault="00475650">
      <w:pPr>
        <w:pStyle w:val="h"/>
        <w:spacing w:before="0" w:after="0" w:line="336" w:lineRule="auto"/>
        <w:ind w:firstLine="0"/>
        <w:outlineLvl w:val="0"/>
        <w:rPr>
          <w:rStyle w:val="2Char1Char"/>
          <w:rFonts w:ascii="Times New Roman" w:eastAsia="宋体" w:hAnsi="Times New Roman" w:cs="Times New Roman"/>
          <w:b w:val="0"/>
          <w:sz w:val="24"/>
          <w:szCs w:val="24"/>
        </w:rPr>
      </w:pPr>
      <w:bookmarkStart w:id="545" w:name="_Toc334080784"/>
      <w:bookmarkStart w:id="546" w:name="_Toc334014142"/>
      <w:bookmarkStart w:id="547" w:name="_Toc333229950"/>
      <w:bookmarkStart w:id="548" w:name="_Toc448999094"/>
      <w:bookmarkStart w:id="549" w:name="_Toc465676989"/>
      <w:bookmarkStart w:id="550" w:name="_Toc12424"/>
      <w:bookmarkStart w:id="551" w:name="_Toc322522779"/>
      <w:r>
        <w:rPr>
          <w:rStyle w:val="2Char1Char"/>
          <w:rFonts w:ascii="Times New Roman" w:eastAsia="宋体" w:hAnsi="Times New Roman" w:cs="Times New Roman"/>
          <w:b w:val="0"/>
          <w:sz w:val="24"/>
          <w:szCs w:val="24"/>
        </w:rPr>
        <w:t>3.3.3.2</w:t>
      </w:r>
      <w:r>
        <w:rPr>
          <w:rStyle w:val="2Char1Char"/>
          <w:rFonts w:ascii="Times New Roman" w:eastAsia="宋体" w:hAnsi="宋体" w:cs="Times New Roman"/>
          <w:b w:val="0"/>
          <w:sz w:val="24"/>
          <w:szCs w:val="24"/>
        </w:rPr>
        <w:t>技术方案</w:t>
      </w:r>
      <w:bookmarkEnd w:id="545"/>
      <w:bookmarkEnd w:id="546"/>
      <w:bookmarkEnd w:id="547"/>
      <w:bookmarkEnd w:id="548"/>
      <w:bookmarkEnd w:id="549"/>
      <w:bookmarkEnd w:id="550"/>
    </w:p>
    <w:bookmarkEnd w:id="551"/>
    <w:p w:rsidR="00475650" w:rsidRDefault="00475650">
      <w:pPr>
        <w:pStyle w:val="afffffffff2"/>
        <w:adjustRightInd w:val="0"/>
        <w:snapToGrid w:val="0"/>
        <w:spacing w:line="360" w:lineRule="auto"/>
        <w:ind w:firstLine="496"/>
        <w:rPr>
          <w:rFonts w:ascii="Times New Roman" w:hAnsi="Times New Roman" w:cs="Times New Roman"/>
          <w:spacing w:val="4"/>
          <w:sz w:val="24"/>
          <w:szCs w:val="24"/>
        </w:rPr>
      </w:pPr>
      <w:r>
        <w:rPr>
          <w:rFonts w:ascii="Times New Roman" w:hAnsi="宋体" w:cs="Times New Roman"/>
          <w:spacing w:val="4"/>
          <w:sz w:val="24"/>
          <w:szCs w:val="24"/>
        </w:rPr>
        <w:t>重氮化和偶合反应是重要的有机合成反应，在精细化工中有很重要的地位，该类反应在染料合成中应用很广，是两个主要的工序。本工程采用国内染料行业成熟的重氮化和偶合工艺生产酸性红</w:t>
      </w:r>
      <w:r>
        <w:rPr>
          <w:rFonts w:ascii="Times New Roman" w:hAnsi="Times New Roman" w:cs="Times New Roman"/>
          <w:spacing w:val="4"/>
          <w:sz w:val="24"/>
          <w:szCs w:val="24"/>
        </w:rPr>
        <w:t>37</w:t>
      </w:r>
      <w:r>
        <w:rPr>
          <w:rFonts w:ascii="Times New Roman" w:hAnsi="宋体" w:cs="Times New Roman"/>
          <w:spacing w:val="4"/>
          <w:sz w:val="24"/>
          <w:szCs w:val="24"/>
        </w:rPr>
        <w:t>和酸性黄</w:t>
      </w:r>
      <w:r>
        <w:rPr>
          <w:rFonts w:ascii="Times New Roman" w:hAnsi="Times New Roman" w:cs="Times New Roman"/>
          <w:spacing w:val="4"/>
          <w:sz w:val="24"/>
          <w:szCs w:val="24"/>
        </w:rPr>
        <w:t>49</w:t>
      </w:r>
      <w:r>
        <w:rPr>
          <w:rFonts w:ascii="Times New Roman" w:hAnsi="宋体" w:cs="Times New Roman"/>
          <w:spacing w:val="4"/>
          <w:sz w:val="24"/>
          <w:szCs w:val="24"/>
        </w:rPr>
        <w:t>，选用的原料</w:t>
      </w:r>
      <w:r>
        <w:rPr>
          <w:rFonts w:ascii="Times New Roman" w:hAnsi="宋体" w:cs="Times New Roman" w:hint="eastAsia"/>
          <w:spacing w:val="4"/>
          <w:sz w:val="24"/>
          <w:szCs w:val="24"/>
        </w:rPr>
        <w:t>为染料行业常用化学原料</w:t>
      </w:r>
      <w:r>
        <w:rPr>
          <w:rFonts w:ascii="Times New Roman" w:hAnsi="宋体" w:cs="Times New Roman"/>
          <w:spacing w:val="4"/>
          <w:sz w:val="24"/>
          <w:szCs w:val="24"/>
        </w:rPr>
        <w:t>，生产技术</w:t>
      </w:r>
      <w:r>
        <w:rPr>
          <w:rFonts w:ascii="Times New Roman" w:hAnsi="宋体" w:cs="Times New Roman" w:hint="eastAsia"/>
          <w:spacing w:val="4"/>
          <w:sz w:val="24"/>
          <w:szCs w:val="24"/>
        </w:rPr>
        <w:t>为国内同类工程成熟生产工艺</w:t>
      </w:r>
      <w:r>
        <w:rPr>
          <w:rFonts w:ascii="Times New Roman" w:hAnsi="宋体" w:cs="Times New Roman"/>
          <w:spacing w:val="4"/>
          <w:sz w:val="24"/>
          <w:szCs w:val="24"/>
        </w:rPr>
        <w:t>。</w:t>
      </w:r>
    </w:p>
    <w:p w:rsidR="00475650" w:rsidRDefault="00475650">
      <w:pPr>
        <w:pStyle w:val="h"/>
        <w:spacing w:before="0" w:after="0" w:line="348" w:lineRule="auto"/>
        <w:ind w:firstLine="0"/>
        <w:outlineLvl w:val="1"/>
        <w:rPr>
          <w:rStyle w:val="2Char1Char"/>
          <w:rFonts w:ascii="Times New Roman" w:eastAsia="宋体" w:hAnsi="Times New Roman" w:cs="Times New Roman"/>
          <w:b w:val="0"/>
          <w:sz w:val="24"/>
          <w:szCs w:val="24"/>
        </w:rPr>
      </w:pPr>
      <w:bookmarkStart w:id="552" w:name="_Toc334080788"/>
      <w:bookmarkStart w:id="553" w:name="_Toc334014146"/>
      <w:bookmarkStart w:id="554" w:name="_Toc333229954"/>
      <w:bookmarkStart w:id="555" w:name="_Toc332292994"/>
      <w:bookmarkStart w:id="556" w:name="_Toc465676990"/>
      <w:bookmarkStart w:id="557" w:name="_Toc4255"/>
      <w:r>
        <w:rPr>
          <w:rStyle w:val="2Char1Char"/>
          <w:rFonts w:ascii="Times New Roman" w:eastAsia="宋体" w:hAnsi="Times New Roman" w:cs="Times New Roman"/>
          <w:b w:val="0"/>
          <w:sz w:val="24"/>
          <w:szCs w:val="24"/>
        </w:rPr>
        <w:t>3.3.4</w:t>
      </w:r>
      <w:r>
        <w:rPr>
          <w:rStyle w:val="2Char1Char"/>
          <w:rFonts w:ascii="Times New Roman" w:eastAsia="宋体" w:hAnsi="宋体" w:cs="Times New Roman"/>
          <w:b w:val="0"/>
          <w:sz w:val="24"/>
          <w:szCs w:val="24"/>
        </w:rPr>
        <w:t>工程分析</w:t>
      </w:r>
      <w:bookmarkEnd w:id="552"/>
      <w:bookmarkEnd w:id="553"/>
      <w:bookmarkEnd w:id="554"/>
      <w:bookmarkEnd w:id="555"/>
      <w:bookmarkEnd w:id="556"/>
      <w:bookmarkEnd w:id="557"/>
    </w:p>
    <w:p w:rsidR="00475650" w:rsidRDefault="00475650">
      <w:pPr>
        <w:pStyle w:val="h"/>
        <w:spacing w:before="0" w:after="0" w:line="360" w:lineRule="auto"/>
        <w:ind w:firstLine="0"/>
        <w:outlineLvl w:val="2"/>
        <w:rPr>
          <w:rStyle w:val="2Char1Char"/>
          <w:rFonts w:ascii="Times New Roman" w:eastAsia="宋体" w:hAnsi="Times New Roman" w:cs="Times New Roman"/>
          <w:b w:val="0"/>
          <w:sz w:val="24"/>
          <w:szCs w:val="24"/>
        </w:rPr>
      </w:pPr>
      <w:r>
        <w:rPr>
          <w:rStyle w:val="2Char1Char"/>
          <w:rFonts w:ascii="Times New Roman" w:eastAsia="宋体" w:hAnsi="Times New Roman" w:cs="Times New Roman"/>
          <w:b w:val="0"/>
          <w:sz w:val="24"/>
          <w:szCs w:val="24"/>
        </w:rPr>
        <w:t>3.3.4.1</w:t>
      </w:r>
      <w:r>
        <w:rPr>
          <w:rStyle w:val="2Char1Char"/>
          <w:rFonts w:ascii="Times New Roman" w:eastAsia="宋体" w:hAnsi="宋体" w:cs="Times New Roman"/>
          <w:b w:val="0"/>
          <w:sz w:val="24"/>
          <w:szCs w:val="24"/>
        </w:rPr>
        <w:t>反应原理及工艺流程描述</w:t>
      </w:r>
    </w:p>
    <w:p w:rsidR="00475650" w:rsidRDefault="00475650">
      <w:pPr>
        <w:spacing w:line="360" w:lineRule="auto"/>
        <w:ind w:firstLineChars="200" w:firstLine="480"/>
        <w:rPr>
          <w:sz w:val="24"/>
        </w:rPr>
      </w:pPr>
      <w:r>
        <w:rPr>
          <w:rFonts w:hAnsi="宋体"/>
          <w:sz w:val="24"/>
        </w:rPr>
        <w:t>一、酸性红</w:t>
      </w:r>
      <w:r>
        <w:rPr>
          <w:sz w:val="24"/>
        </w:rPr>
        <w:t>37</w:t>
      </w:r>
    </w:p>
    <w:p w:rsidR="00475650" w:rsidRDefault="00475650">
      <w:pPr>
        <w:pStyle w:val="afffffffff2"/>
        <w:adjustRightInd w:val="0"/>
        <w:snapToGrid w:val="0"/>
        <w:spacing w:line="360" w:lineRule="auto"/>
        <w:ind w:firstLine="496"/>
        <w:rPr>
          <w:rFonts w:ascii="Times New Roman" w:hAnsi="Times New Roman" w:cs="Times New Roman"/>
          <w:spacing w:val="4"/>
          <w:sz w:val="24"/>
          <w:szCs w:val="24"/>
        </w:rPr>
      </w:pPr>
      <w:r>
        <w:rPr>
          <w:rFonts w:ascii="Times New Roman" w:hAnsi="Times New Roman" w:cs="Times New Roman"/>
          <w:spacing w:val="4"/>
          <w:sz w:val="24"/>
          <w:szCs w:val="24"/>
        </w:rPr>
        <w:t>1</w:t>
      </w:r>
      <w:r>
        <w:rPr>
          <w:rFonts w:ascii="Times New Roman" w:hAnsi="宋体" w:cs="Times New Roman"/>
          <w:spacing w:val="4"/>
          <w:sz w:val="24"/>
          <w:szCs w:val="24"/>
        </w:rPr>
        <w:t>、反应原理</w:t>
      </w:r>
    </w:p>
    <w:p w:rsidR="00475650" w:rsidRDefault="00475650">
      <w:pPr>
        <w:pStyle w:val="afffffffff2"/>
        <w:adjustRightInd w:val="0"/>
        <w:snapToGrid w:val="0"/>
        <w:spacing w:line="360" w:lineRule="auto"/>
        <w:ind w:firstLine="420"/>
        <w:rPr>
          <w:rFonts w:ascii="Times New Roman" w:hAnsi="Times New Roman" w:cs="Times New Roman"/>
          <w:spacing w:val="4"/>
          <w:sz w:val="24"/>
          <w:szCs w:val="24"/>
        </w:rPr>
      </w:pPr>
      <w:r>
        <w:rPr>
          <w:rFonts w:ascii="Times New Roman" w:hAnsi="宋体" w:cs="Times New Roman"/>
          <w:spacing w:val="4"/>
          <w:sz w:val="24"/>
          <w:szCs w:val="24"/>
        </w:rPr>
        <w:t>采用</w:t>
      </w:r>
      <w:r>
        <w:rPr>
          <w:rFonts w:ascii="Times New Roman" w:hAnsi="Times New Roman" w:cs="Times New Roman"/>
          <w:spacing w:val="4"/>
          <w:sz w:val="24"/>
          <w:szCs w:val="24"/>
        </w:rPr>
        <w:t>2</w:t>
      </w:r>
      <w:r>
        <w:rPr>
          <w:rFonts w:ascii="Times New Roman" w:hAnsi="宋体" w:cs="Times New Roman"/>
          <w:spacing w:val="4"/>
          <w:sz w:val="24"/>
          <w:szCs w:val="24"/>
        </w:rPr>
        <w:t>，</w:t>
      </w:r>
      <w:r>
        <w:rPr>
          <w:rFonts w:ascii="Times New Roman" w:hAnsi="Times New Roman" w:cs="Times New Roman"/>
          <w:spacing w:val="4"/>
          <w:sz w:val="24"/>
          <w:szCs w:val="24"/>
        </w:rPr>
        <w:t>5-</w:t>
      </w:r>
      <w:r>
        <w:rPr>
          <w:rFonts w:ascii="Times New Roman" w:hAnsi="宋体" w:cs="Times New Roman"/>
          <w:spacing w:val="4"/>
          <w:sz w:val="24"/>
          <w:szCs w:val="24"/>
        </w:rPr>
        <w:t>二氨基苯磺酸和</w:t>
      </w:r>
      <w:r>
        <w:rPr>
          <w:rFonts w:ascii="Times New Roman" w:hAnsi="Times New Roman" w:cs="Times New Roman"/>
          <w:spacing w:val="4"/>
          <w:sz w:val="24"/>
          <w:szCs w:val="24"/>
        </w:rPr>
        <w:t>γ</w:t>
      </w:r>
      <w:r>
        <w:rPr>
          <w:rFonts w:ascii="Times New Roman" w:hAnsi="宋体" w:cs="Times New Roman"/>
          <w:spacing w:val="4"/>
          <w:sz w:val="24"/>
          <w:szCs w:val="24"/>
        </w:rPr>
        <w:t>酸为原料，首先将前者重氮化，再与后者偶合得产物。经盐析、过滤、干燥、破碎得成品。反应方程式如下：</w:t>
      </w:r>
      <w:r>
        <w:rPr>
          <w:rFonts w:ascii="Times New Roman" w:hAnsi="Times New Roman" w:cs="Times New Roman"/>
          <w:spacing w:val="4"/>
          <w:sz w:val="24"/>
          <w:szCs w:val="24"/>
        </w:rPr>
        <w:t xml:space="preserve">  </w:t>
      </w:r>
    </w:p>
    <w:p w:rsidR="00475650" w:rsidRDefault="00475650">
      <w:pPr>
        <w:pStyle w:val="afffffffff2"/>
        <w:adjustRightInd w:val="0"/>
        <w:snapToGrid w:val="0"/>
        <w:spacing w:line="360" w:lineRule="auto"/>
        <w:ind w:left="420"/>
        <w:rPr>
          <w:rFonts w:ascii="Times New Roman" w:hAnsi="Times New Roman" w:cs="Times New Roman"/>
          <w:spacing w:val="4"/>
          <w:sz w:val="24"/>
          <w:szCs w:val="24"/>
        </w:rPr>
      </w:pPr>
      <w:r>
        <w:rPr>
          <w:rFonts w:ascii="Times New Roman" w:hAnsi="Times New Roman" w:cs="Times New Roman"/>
          <w:spacing w:val="4"/>
          <w:sz w:val="24"/>
          <w:szCs w:val="24"/>
        </w:rPr>
        <w:t>(1)</w:t>
      </w:r>
      <w:r>
        <w:rPr>
          <w:rFonts w:ascii="Times New Roman" w:hAnsi="宋体" w:cs="Times New Roman"/>
          <w:spacing w:val="4"/>
          <w:sz w:val="24"/>
          <w:szCs w:val="24"/>
        </w:rPr>
        <w:t>酰化主反应</w:t>
      </w:r>
    </w:p>
    <w:p w:rsidR="00475650" w:rsidRDefault="007C19B0" w:rsidP="00475650">
      <w:pPr>
        <w:pStyle w:val="afffffffff2"/>
        <w:adjustRightInd w:val="0"/>
        <w:snapToGrid w:val="0"/>
        <w:spacing w:line="360" w:lineRule="auto"/>
        <w:ind w:firstLineChars="50" w:firstLine="120"/>
        <w:rPr>
          <w:rFonts w:ascii="Times New Roman" w:hAnsi="Times New Roman" w:cs="Times New Roman"/>
          <w:spacing w:val="4"/>
          <w:sz w:val="24"/>
          <w:szCs w:val="24"/>
        </w:rPr>
      </w:pPr>
      <w:r>
        <w:rPr>
          <w:rFonts w:ascii="Times New Roman" w:hAnsi="Times New Roman" w:cs="Times New Roman"/>
          <w:noProof/>
          <w:spacing w:val="4"/>
          <w:sz w:val="24"/>
          <w:szCs w:val="24"/>
        </w:rPr>
        <w:drawing>
          <wp:inline distT="0" distB="0" distL="0" distR="0">
            <wp:extent cx="5318760" cy="830580"/>
            <wp:effectExtent l="19050" t="0" r="0" b="0"/>
            <wp:docPr id="11"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
                    <pic:cNvPicPr>
                      <a:picLocks noChangeAspect="1" noChangeArrowheads="1"/>
                    </pic:cNvPicPr>
                  </pic:nvPicPr>
                  <pic:blipFill>
                    <a:blip r:embed="rId29" cstate="print"/>
                    <a:srcRect/>
                    <a:stretch>
                      <a:fillRect/>
                    </a:stretch>
                  </pic:blipFill>
                  <pic:spPr bwMode="auto">
                    <a:xfrm>
                      <a:off x="0" y="0"/>
                      <a:ext cx="5318760" cy="830580"/>
                    </a:xfrm>
                    <a:prstGeom prst="rect">
                      <a:avLst/>
                    </a:prstGeom>
                    <a:noFill/>
                    <a:ln w="9525">
                      <a:noFill/>
                      <a:miter lim="800000"/>
                      <a:headEnd/>
                      <a:tailEnd/>
                    </a:ln>
                  </pic:spPr>
                </pic:pic>
              </a:graphicData>
            </a:graphic>
          </wp:inline>
        </w:drawing>
      </w:r>
    </w:p>
    <w:p w:rsidR="00475650" w:rsidRDefault="00475650">
      <w:pPr>
        <w:pStyle w:val="afffffffff2"/>
        <w:adjustRightInd w:val="0"/>
        <w:snapToGrid w:val="0"/>
        <w:spacing w:line="360" w:lineRule="auto"/>
        <w:rPr>
          <w:rFonts w:ascii="Times New Roman" w:hAnsi="Times New Roman" w:cs="Times New Roman"/>
          <w:spacing w:val="4"/>
          <w:sz w:val="24"/>
          <w:szCs w:val="24"/>
        </w:rPr>
      </w:pPr>
    </w:p>
    <w:p w:rsidR="00475650" w:rsidRDefault="00475650">
      <w:pPr>
        <w:pStyle w:val="afffffffff2"/>
        <w:adjustRightInd w:val="0"/>
        <w:snapToGrid w:val="0"/>
        <w:spacing w:line="360" w:lineRule="auto"/>
        <w:ind w:firstLineChars="200" w:firstLine="496"/>
        <w:rPr>
          <w:rFonts w:ascii="Times New Roman" w:hAnsi="Times New Roman" w:cs="Times New Roman"/>
          <w:spacing w:val="4"/>
          <w:sz w:val="24"/>
          <w:szCs w:val="24"/>
        </w:rPr>
      </w:pPr>
      <w:r>
        <w:rPr>
          <w:rFonts w:ascii="Times New Roman" w:hAnsi="Times New Roman" w:cs="Times New Roman"/>
          <w:spacing w:val="4"/>
          <w:sz w:val="24"/>
          <w:szCs w:val="24"/>
        </w:rPr>
        <w:t>(2)</w:t>
      </w:r>
      <w:r>
        <w:rPr>
          <w:rFonts w:ascii="Times New Roman" w:hAnsi="宋体" w:cs="Times New Roman"/>
          <w:spacing w:val="4"/>
          <w:sz w:val="24"/>
          <w:szCs w:val="24"/>
        </w:rPr>
        <w:t>重氮化主反应</w:t>
      </w:r>
    </w:p>
    <w:p w:rsidR="00475650" w:rsidRDefault="007C19B0" w:rsidP="00475650">
      <w:pPr>
        <w:pStyle w:val="afffffffff2"/>
        <w:adjustRightInd w:val="0"/>
        <w:snapToGrid w:val="0"/>
        <w:spacing w:line="360" w:lineRule="auto"/>
        <w:ind w:firstLineChars="100" w:firstLine="240"/>
        <w:rPr>
          <w:rFonts w:ascii="Times New Roman" w:hAnsi="Times New Roman" w:cs="Times New Roman"/>
          <w:spacing w:val="4"/>
          <w:sz w:val="24"/>
          <w:szCs w:val="24"/>
        </w:rPr>
      </w:pPr>
      <w:r>
        <w:rPr>
          <w:rFonts w:ascii="Times New Roman" w:hAnsi="Times New Roman" w:cs="Times New Roman"/>
          <w:noProof/>
          <w:spacing w:val="4"/>
          <w:sz w:val="24"/>
          <w:szCs w:val="24"/>
        </w:rPr>
        <w:drawing>
          <wp:inline distT="0" distB="0" distL="0" distR="0">
            <wp:extent cx="5021580" cy="1341120"/>
            <wp:effectExtent l="19050" t="0" r="7620" b="0"/>
            <wp:docPr id="12"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2"/>
                    <pic:cNvPicPr>
                      <a:picLocks noChangeAspect="1" noChangeArrowheads="1"/>
                    </pic:cNvPicPr>
                  </pic:nvPicPr>
                  <pic:blipFill>
                    <a:blip r:embed="rId30" cstate="print"/>
                    <a:srcRect/>
                    <a:stretch>
                      <a:fillRect/>
                    </a:stretch>
                  </pic:blipFill>
                  <pic:spPr bwMode="auto">
                    <a:xfrm>
                      <a:off x="0" y="0"/>
                      <a:ext cx="5021580" cy="1341120"/>
                    </a:xfrm>
                    <a:prstGeom prst="rect">
                      <a:avLst/>
                    </a:prstGeom>
                    <a:noFill/>
                    <a:ln w="9525">
                      <a:noFill/>
                      <a:miter lim="800000"/>
                      <a:headEnd/>
                      <a:tailEnd/>
                    </a:ln>
                  </pic:spPr>
                </pic:pic>
              </a:graphicData>
            </a:graphic>
          </wp:inline>
        </w:drawing>
      </w:r>
    </w:p>
    <w:p w:rsidR="00475650" w:rsidRDefault="00475650">
      <w:pPr>
        <w:pStyle w:val="afffffffff2"/>
        <w:adjustRightInd w:val="0"/>
        <w:snapToGrid w:val="0"/>
        <w:spacing w:line="360" w:lineRule="auto"/>
        <w:ind w:firstLineChars="200" w:firstLine="496"/>
        <w:rPr>
          <w:rFonts w:ascii="Times New Roman" w:hAnsi="Times New Roman" w:cs="Times New Roman"/>
          <w:spacing w:val="4"/>
          <w:sz w:val="24"/>
          <w:szCs w:val="24"/>
        </w:rPr>
      </w:pPr>
      <w:r>
        <w:rPr>
          <w:rFonts w:ascii="Times New Roman" w:hAnsi="Times New Roman" w:cs="Times New Roman"/>
          <w:spacing w:val="4"/>
          <w:sz w:val="24"/>
          <w:szCs w:val="24"/>
        </w:rPr>
        <w:t>(3)</w:t>
      </w:r>
      <w:r>
        <w:rPr>
          <w:rFonts w:ascii="Times New Roman" w:hAnsi="宋体" w:cs="Times New Roman"/>
          <w:spacing w:val="4"/>
          <w:sz w:val="24"/>
          <w:szCs w:val="24"/>
        </w:rPr>
        <w:t>偶合主反应</w:t>
      </w:r>
    </w:p>
    <w:p w:rsidR="00475650" w:rsidRDefault="007C19B0" w:rsidP="00475650">
      <w:pPr>
        <w:pStyle w:val="afffffffff2"/>
        <w:adjustRightInd w:val="0"/>
        <w:snapToGrid w:val="0"/>
        <w:spacing w:line="360" w:lineRule="auto"/>
        <w:ind w:firstLineChars="150" w:firstLine="360"/>
        <w:rPr>
          <w:rFonts w:ascii="Times New Roman" w:hAnsi="Times New Roman" w:cs="Times New Roman"/>
          <w:spacing w:val="4"/>
          <w:sz w:val="24"/>
          <w:szCs w:val="24"/>
        </w:rPr>
      </w:pPr>
      <w:r>
        <w:rPr>
          <w:rFonts w:ascii="Times New Roman" w:hAnsi="Times New Roman" w:cs="Times New Roman"/>
          <w:noProof/>
          <w:spacing w:val="4"/>
          <w:sz w:val="24"/>
          <w:szCs w:val="24"/>
        </w:rPr>
        <w:lastRenderedPageBreak/>
        <w:drawing>
          <wp:inline distT="0" distB="0" distL="0" distR="0">
            <wp:extent cx="4632960" cy="2979420"/>
            <wp:effectExtent l="19050" t="0" r="0" b="0"/>
            <wp:docPr id="13"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
                    <pic:cNvPicPr>
                      <a:picLocks noChangeAspect="1" noChangeArrowheads="1"/>
                    </pic:cNvPicPr>
                  </pic:nvPicPr>
                  <pic:blipFill>
                    <a:blip r:embed="rId31" cstate="print"/>
                    <a:srcRect/>
                    <a:stretch>
                      <a:fillRect/>
                    </a:stretch>
                  </pic:blipFill>
                  <pic:spPr bwMode="auto">
                    <a:xfrm>
                      <a:off x="0" y="0"/>
                      <a:ext cx="4632960" cy="2979420"/>
                    </a:xfrm>
                    <a:prstGeom prst="rect">
                      <a:avLst/>
                    </a:prstGeom>
                    <a:noFill/>
                    <a:ln w="9525">
                      <a:noFill/>
                      <a:miter lim="800000"/>
                      <a:headEnd/>
                      <a:tailEnd/>
                    </a:ln>
                  </pic:spPr>
                </pic:pic>
              </a:graphicData>
            </a:graphic>
          </wp:inline>
        </w:drawing>
      </w:r>
    </w:p>
    <w:p w:rsidR="00475650" w:rsidRDefault="00475650">
      <w:pPr>
        <w:pStyle w:val="afffffffff2"/>
        <w:adjustRightInd w:val="0"/>
        <w:snapToGrid w:val="0"/>
        <w:spacing w:line="360" w:lineRule="auto"/>
        <w:ind w:firstLineChars="200" w:firstLine="496"/>
        <w:rPr>
          <w:rFonts w:ascii="Times New Roman" w:hAnsi="宋体" w:cs="Times New Roman"/>
          <w:spacing w:val="4"/>
          <w:sz w:val="24"/>
          <w:szCs w:val="24"/>
        </w:rPr>
      </w:pPr>
      <w:r>
        <w:rPr>
          <w:rFonts w:ascii="Times New Roman" w:hAnsi="Times New Roman" w:cs="Times New Roman"/>
          <w:spacing w:val="4"/>
          <w:sz w:val="24"/>
          <w:szCs w:val="24"/>
        </w:rPr>
        <w:t>(</w:t>
      </w:r>
      <w:r>
        <w:rPr>
          <w:rFonts w:ascii="Times New Roman" w:hAnsi="Times New Roman" w:cs="Times New Roman" w:hint="eastAsia"/>
          <w:spacing w:val="4"/>
          <w:sz w:val="24"/>
          <w:szCs w:val="24"/>
        </w:rPr>
        <w:t>4</w:t>
      </w:r>
      <w:r>
        <w:rPr>
          <w:rFonts w:ascii="Times New Roman" w:hAnsi="Times New Roman" w:cs="Times New Roman"/>
          <w:spacing w:val="4"/>
          <w:sz w:val="24"/>
          <w:szCs w:val="24"/>
        </w:rPr>
        <w:t>)</w:t>
      </w:r>
      <w:r>
        <w:rPr>
          <w:rFonts w:ascii="Times New Roman" w:hAnsi="宋体" w:cs="Times New Roman" w:hint="eastAsia"/>
          <w:spacing w:val="4"/>
          <w:sz w:val="24"/>
          <w:szCs w:val="24"/>
        </w:rPr>
        <w:t>副反应</w:t>
      </w:r>
    </w:p>
    <w:p w:rsidR="00475650" w:rsidRDefault="007C19B0">
      <w:pPr>
        <w:rPr>
          <w:rFonts w:ascii="宋体" w:hAnsi="宋体" w:cs="宋体"/>
          <w:kern w:val="0"/>
          <w:sz w:val="24"/>
        </w:rPr>
      </w:pPr>
      <w:r>
        <w:rPr>
          <w:rFonts w:ascii="宋体" w:hAnsi="宋体" w:cs="宋体"/>
          <w:noProof/>
          <w:kern w:val="0"/>
          <w:sz w:val="24"/>
        </w:rPr>
        <w:drawing>
          <wp:inline distT="0" distB="0" distL="0" distR="0">
            <wp:extent cx="5379720" cy="1417320"/>
            <wp:effectExtent l="19050" t="0" r="0" b="0"/>
            <wp:docPr id="14" name="图片 5" descr="L0I]KZ]TYB)%M66{@(0{W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0I]KZ]TYB)%M66{@(0{WHU"/>
                    <pic:cNvPicPr>
                      <a:picLocks noChangeAspect="1" noChangeArrowheads="1"/>
                    </pic:cNvPicPr>
                  </pic:nvPicPr>
                  <pic:blipFill>
                    <a:blip r:embed="rId32" cstate="print"/>
                    <a:srcRect/>
                    <a:stretch>
                      <a:fillRect/>
                    </a:stretch>
                  </pic:blipFill>
                  <pic:spPr bwMode="auto">
                    <a:xfrm>
                      <a:off x="0" y="0"/>
                      <a:ext cx="5379720" cy="1417320"/>
                    </a:xfrm>
                    <a:prstGeom prst="rect">
                      <a:avLst/>
                    </a:prstGeom>
                    <a:noFill/>
                    <a:ln w="9525">
                      <a:noFill/>
                      <a:miter lim="800000"/>
                      <a:headEnd/>
                      <a:tailEnd/>
                    </a:ln>
                  </pic:spPr>
                </pic:pic>
              </a:graphicData>
            </a:graphic>
          </wp:inline>
        </w:drawing>
      </w:r>
    </w:p>
    <w:p w:rsidR="00475650" w:rsidRDefault="00475650">
      <w:pPr>
        <w:pStyle w:val="afffffffff2"/>
        <w:adjustRightInd w:val="0"/>
        <w:snapToGrid w:val="0"/>
        <w:spacing w:line="360" w:lineRule="auto"/>
        <w:ind w:firstLine="496"/>
        <w:rPr>
          <w:rFonts w:ascii="Times New Roman" w:hAnsi="Times New Roman" w:cs="Times New Roman"/>
          <w:spacing w:val="4"/>
          <w:sz w:val="24"/>
          <w:szCs w:val="24"/>
        </w:rPr>
      </w:pPr>
      <w:r>
        <w:rPr>
          <w:rFonts w:ascii="Times New Roman" w:hAnsi="Times New Roman" w:cs="Times New Roman"/>
          <w:spacing w:val="4"/>
          <w:sz w:val="24"/>
          <w:szCs w:val="24"/>
        </w:rPr>
        <w:t>2</w:t>
      </w:r>
      <w:r>
        <w:rPr>
          <w:rFonts w:ascii="Times New Roman" w:hAnsi="宋体" w:cs="Times New Roman"/>
          <w:spacing w:val="4"/>
          <w:sz w:val="24"/>
          <w:szCs w:val="24"/>
        </w:rPr>
        <w:t>、工艺流程描述</w:t>
      </w:r>
      <w:r>
        <w:rPr>
          <w:rFonts w:ascii="Times New Roman" w:hAnsi="Times New Roman" w:cs="Times New Roman"/>
          <w:spacing w:val="4"/>
          <w:sz w:val="24"/>
          <w:szCs w:val="24"/>
        </w:rPr>
        <w:t xml:space="preserve">                                                                                                                                                                                                                                                                                                                                                                                                                                                                                                                                                                                                                                                                                                                                                                                                                                                                                                                                                                                                                                                                                                    </w:t>
      </w:r>
    </w:p>
    <w:p w:rsidR="00475650" w:rsidRDefault="00475650">
      <w:pPr>
        <w:pStyle w:val="afffffffff2"/>
        <w:adjustRightInd w:val="0"/>
        <w:snapToGrid w:val="0"/>
        <w:spacing w:line="360" w:lineRule="auto"/>
        <w:ind w:firstLine="496"/>
        <w:rPr>
          <w:rFonts w:ascii="Times New Roman" w:hAnsi="宋体" w:cs="Times New Roman"/>
          <w:spacing w:val="4"/>
          <w:sz w:val="24"/>
          <w:szCs w:val="24"/>
        </w:rPr>
      </w:pPr>
      <w:r>
        <w:rPr>
          <w:rFonts w:ascii="Times New Roman" w:hAnsi="宋体" w:cs="Times New Roman"/>
          <w:spacing w:val="4"/>
          <w:sz w:val="24"/>
          <w:szCs w:val="24"/>
        </w:rPr>
        <w:t>将</w:t>
      </w:r>
      <w:r>
        <w:rPr>
          <w:rFonts w:ascii="Times New Roman" w:hAnsi="Times New Roman" w:cs="Times New Roman"/>
          <w:spacing w:val="4"/>
          <w:sz w:val="24"/>
          <w:szCs w:val="24"/>
        </w:rPr>
        <w:t>2</w:t>
      </w:r>
      <w:r>
        <w:rPr>
          <w:rFonts w:ascii="Times New Roman" w:hAnsi="宋体" w:cs="Times New Roman"/>
          <w:spacing w:val="4"/>
          <w:sz w:val="24"/>
          <w:szCs w:val="24"/>
        </w:rPr>
        <w:t>，</w:t>
      </w:r>
      <w:r>
        <w:rPr>
          <w:rFonts w:ascii="Times New Roman" w:hAnsi="Times New Roman" w:cs="Times New Roman"/>
          <w:spacing w:val="4"/>
          <w:sz w:val="24"/>
          <w:szCs w:val="24"/>
        </w:rPr>
        <w:t>5-</w:t>
      </w:r>
      <w:r>
        <w:rPr>
          <w:rFonts w:ascii="Times New Roman" w:hAnsi="宋体" w:cs="Times New Roman"/>
          <w:spacing w:val="4"/>
          <w:sz w:val="24"/>
          <w:szCs w:val="24"/>
        </w:rPr>
        <w:t>二氨基苯磺酸与水在反应釜搅拌，加入</w:t>
      </w:r>
      <w:r>
        <w:rPr>
          <w:rFonts w:ascii="Times New Roman" w:hAnsi="Times New Roman" w:cs="Times New Roman"/>
          <w:spacing w:val="4"/>
          <w:sz w:val="24"/>
          <w:szCs w:val="24"/>
        </w:rPr>
        <w:t>Na</w:t>
      </w:r>
      <w:r>
        <w:rPr>
          <w:rFonts w:ascii="Times New Roman" w:hAnsi="Times New Roman" w:cs="Times New Roman"/>
          <w:spacing w:val="4"/>
          <w:sz w:val="24"/>
          <w:szCs w:val="24"/>
          <w:vertAlign w:val="subscript"/>
        </w:rPr>
        <w:t>2</w:t>
      </w:r>
      <w:r>
        <w:rPr>
          <w:rFonts w:ascii="Times New Roman" w:hAnsi="Times New Roman" w:cs="Times New Roman"/>
          <w:spacing w:val="4"/>
          <w:sz w:val="24"/>
          <w:szCs w:val="24"/>
        </w:rPr>
        <w:t>CO</w:t>
      </w:r>
      <w:r>
        <w:rPr>
          <w:rFonts w:ascii="Times New Roman" w:hAnsi="Times New Roman" w:cs="Times New Roman"/>
          <w:spacing w:val="4"/>
          <w:sz w:val="24"/>
          <w:szCs w:val="24"/>
          <w:vertAlign w:val="subscript"/>
        </w:rPr>
        <w:t>3</w:t>
      </w:r>
      <w:r>
        <w:rPr>
          <w:rFonts w:ascii="Times New Roman" w:hAnsi="宋体" w:cs="Times New Roman"/>
          <w:spacing w:val="4"/>
          <w:sz w:val="24"/>
          <w:szCs w:val="24"/>
        </w:rPr>
        <w:t>调整溶液</w:t>
      </w:r>
      <w:r>
        <w:rPr>
          <w:rFonts w:ascii="Times New Roman" w:hAnsi="Times New Roman" w:cs="Times New Roman"/>
          <w:spacing w:val="4"/>
          <w:sz w:val="24"/>
          <w:szCs w:val="24"/>
        </w:rPr>
        <w:t>pH</w:t>
      </w:r>
      <w:r>
        <w:rPr>
          <w:rFonts w:ascii="Times New Roman" w:hAnsi="宋体" w:cs="Times New Roman"/>
          <w:spacing w:val="4"/>
          <w:sz w:val="24"/>
          <w:szCs w:val="24"/>
        </w:rPr>
        <w:t>值，降温至</w:t>
      </w:r>
      <w:r>
        <w:rPr>
          <w:rFonts w:ascii="Times New Roman" w:hAnsi="Times New Roman" w:cs="Times New Roman"/>
          <w:spacing w:val="4"/>
          <w:sz w:val="24"/>
          <w:szCs w:val="24"/>
        </w:rPr>
        <w:t>10</w:t>
      </w:r>
      <w:r>
        <w:rPr>
          <w:rFonts w:ascii="Times New Roman" w:hAnsi="宋体" w:cs="Times New Roman"/>
          <w:spacing w:val="4"/>
          <w:sz w:val="24"/>
          <w:szCs w:val="24"/>
        </w:rPr>
        <w:t>℃，而后加入乙酸酐，继续搅拌</w:t>
      </w:r>
      <w:r>
        <w:rPr>
          <w:rFonts w:ascii="Times New Roman" w:hAnsi="Times New Roman" w:cs="Times New Roman"/>
          <w:spacing w:val="4"/>
          <w:sz w:val="24"/>
          <w:szCs w:val="24"/>
        </w:rPr>
        <w:t>1h</w:t>
      </w:r>
      <w:r>
        <w:rPr>
          <w:rFonts w:ascii="Times New Roman" w:hAnsi="宋体" w:cs="Times New Roman"/>
          <w:spacing w:val="4"/>
          <w:sz w:val="24"/>
          <w:szCs w:val="24"/>
        </w:rPr>
        <w:t>；得到乙酰化液。向酰化液内加入</w:t>
      </w:r>
      <w:r>
        <w:rPr>
          <w:rFonts w:ascii="Times New Roman" w:hAnsi="Times New Roman" w:cs="Times New Roman"/>
          <w:spacing w:val="4"/>
          <w:sz w:val="24"/>
          <w:szCs w:val="24"/>
        </w:rPr>
        <w:t>3</w:t>
      </w:r>
      <w:r>
        <w:rPr>
          <w:rFonts w:ascii="Times New Roman" w:hAnsi="Times New Roman" w:cs="Times New Roman" w:hint="eastAsia"/>
          <w:spacing w:val="4"/>
          <w:sz w:val="24"/>
          <w:szCs w:val="24"/>
        </w:rPr>
        <w:t>1</w:t>
      </w:r>
      <w:r>
        <w:rPr>
          <w:rFonts w:ascii="Times New Roman" w:hAnsi="Times New Roman" w:cs="Times New Roman"/>
          <w:spacing w:val="4"/>
          <w:sz w:val="24"/>
          <w:szCs w:val="24"/>
        </w:rPr>
        <w:t>%</w:t>
      </w:r>
      <w:r>
        <w:rPr>
          <w:rFonts w:ascii="Times New Roman" w:hAnsi="宋体" w:cs="Times New Roman"/>
          <w:spacing w:val="4"/>
          <w:sz w:val="24"/>
          <w:szCs w:val="24"/>
        </w:rPr>
        <w:t>的浓盐酸，降温到</w:t>
      </w:r>
      <w:r>
        <w:rPr>
          <w:rFonts w:ascii="Times New Roman" w:hAnsi="Times New Roman" w:cs="Times New Roman"/>
          <w:spacing w:val="4"/>
          <w:sz w:val="24"/>
          <w:szCs w:val="24"/>
        </w:rPr>
        <w:t>10</w:t>
      </w:r>
      <w:r>
        <w:rPr>
          <w:rFonts w:ascii="Times New Roman" w:hAnsi="宋体" w:cs="Times New Roman"/>
          <w:spacing w:val="4"/>
          <w:sz w:val="24"/>
          <w:szCs w:val="24"/>
        </w:rPr>
        <w:t>℃以下</w:t>
      </w:r>
      <w:r>
        <w:rPr>
          <w:rFonts w:ascii="Times New Roman" w:hAnsi="宋体" w:cs="Times New Roman" w:hint="eastAsia"/>
          <w:spacing w:val="4"/>
          <w:sz w:val="24"/>
          <w:szCs w:val="24"/>
        </w:rPr>
        <w:t>后</w:t>
      </w:r>
      <w:r>
        <w:rPr>
          <w:rFonts w:ascii="Times New Roman" w:hAnsi="宋体" w:cs="Times New Roman"/>
          <w:spacing w:val="4"/>
          <w:sz w:val="24"/>
          <w:szCs w:val="24"/>
        </w:rPr>
        <w:t>持续加入</w:t>
      </w:r>
      <w:r>
        <w:rPr>
          <w:rFonts w:ascii="Times New Roman" w:hAnsi="Times New Roman" w:cs="Times New Roman"/>
          <w:spacing w:val="4"/>
          <w:sz w:val="24"/>
          <w:szCs w:val="24"/>
        </w:rPr>
        <w:t>NaNO</w:t>
      </w:r>
      <w:r>
        <w:rPr>
          <w:rFonts w:ascii="Times New Roman" w:hAnsi="Times New Roman" w:cs="Times New Roman"/>
          <w:spacing w:val="4"/>
          <w:sz w:val="24"/>
          <w:szCs w:val="24"/>
          <w:vertAlign w:val="subscript"/>
        </w:rPr>
        <w:t>2</w:t>
      </w:r>
      <w:r>
        <w:rPr>
          <w:rFonts w:ascii="Times New Roman" w:hAnsi="宋体" w:cs="Times New Roman"/>
          <w:spacing w:val="4"/>
          <w:sz w:val="24"/>
          <w:szCs w:val="24"/>
        </w:rPr>
        <w:t>溶液</w:t>
      </w:r>
      <w:r>
        <w:rPr>
          <w:rFonts w:ascii="Times New Roman" w:hAnsi="宋体" w:cs="Times New Roman" w:hint="eastAsia"/>
          <w:spacing w:val="4"/>
          <w:sz w:val="24"/>
          <w:szCs w:val="24"/>
        </w:rPr>
        <w:t>进行重氮反应，反应完成后</w:t>
      </w:r>
      <w:r>
        <w:rPr>
          <w:rFonts w:ascii="Times New Roman" w:hAnsi="宋体" w:cs="Times New Roman"/>
          <w:spacing w:val="4"/>
          <w:sz w:val="24"/>
          <w:szCs w:val="24"/>
        </w:rPr>
        <w:t>加入少量尿素</w:t>
      </w:r>
      <w:r>
        <w:rPr>
          <w:rFonts w:ascii="Times New Roman" w:hAnsi="Times New Roman" w:cs="Times New Roman"/>
          <w:spacing w:val="4"/>
          <w:sz w:val="24"/>
          <w:szCs w:val="24"/>
        </w:rPr>
        <w:t>(</w:t>
      </w:r>
      <w:r>
        <w:rPr>
          <w:rFonts w:ascii="Times New Roman" w:hAnsi="宋体" w:cs="Times New Roman"/>
          <w:spacing w:val="4"/>
          <w:sz w:val="24"/>
          <w:szCs w:val="24"/>
        </w:rPr>
        <w:t>除去过量的</w:t>
      </w:r>
      <w:r>
        <w:rPr>
          <w:rFonts w:ascii="Times New Roman" w:hAnsi="Times New Roman" w:cs="Times New Roman"/>
          <w:spacing w:val="4"/>
          <w:sz w:val="24"/>
          <w:szCs w:val="24"/>
        </w:rPr>
        <w:t>NaNO</w:t>
      </w:r>
      <w:r>
        <w:rPr>
          <w:rFonts w:ascii="Times New Roman" w:hAnsi="Times New Roman" w:cs="Times New Roman"/>
          <w:spacing w:val="4"/>
          <w:sz w:val="24"/>
          <w:szCs w:val="24"/>
          <w:vertAlign w:val="subscript"/>
        </w:rPr>
        <w:t>2</w:t>
      </w:r>
      <w:r>
        <w:rPr>
          <w:rFonts w:ascii="Times New Roman" w:hAnsi="Times New Roman" w:cs="Times New Roman"/>
          <w:spacing w:val="4"/>
          <w:sz w:val="24"/>
          <w:szCs w:val="24"/>
        </w:rPr>
        <w:t>)</w:t>
      </w:r>
      <w:r>
        <w:rPr>
          <w:rFonts w:ascii="Times New Roman" w:hAnsi="宋体" w:cs="Times New Roman" w:hint="eastAsia"/>
          <w:spacing w:val="4"/>
          <w:sz w:val="24"/>
          <w:szCs w:val="24"/>
        </w:rPr>
        <w:t>，</w:t>
      </w:r>
      <w:r>
        <w:rPr>
          <w:rFonts w:ascii="Times New Roman" w:hAnsi="宋体" w:cs="Times New Roman"/>
          <w:spacing w:val="4"/>
          <w:sz w:val="24"/>
          <w:szCs w:val="24"/>
        </w:rPr>
        <w:t>继续搅拌，得到重氮液。</w:t>
      </w:r>
      <w:r>
        <w:rPr>
          <w:rFonts w:ascii="Times New Roman" w:hAnsi="Times New Roman" w:cs="Times New Roman"/>
          <w:spacing w:val="4"/>
          <w:sz w:val="24"/>
          <w:szCs w:val="24"/>
        </w:rPr>
        <w:t xml:space="preserve">                                                                                                                                                                                                                                                                                                                                                                                         </w:t>
      </w:r>
    </w:p>
    <w:p w:rsidR="00475650" w:rsidRDefault="00475650">
      <w:pPr>
        <w:pStyle w:val="afffffffff2"/>
        <w:adjustRightInd w:val="0"/>
        <w:snapToGrid w:val="0"/>
        <w:spacing w:line="360" w:lineRule="auto"/>
        <w:ind w:firstLine="496"/>
        <w:rPr>
          <w:rFonts w:ascii="Times New Roman" w:hAnsi="Times New Roman" w:cs="Times New Roman"/>
          <w:spacing w:val="4"/>
          <w:sz w:val="24"/>
          <w:szCs w:val="24"/>
        </w:rPr>
      </w:pPr>
      <w:r>
        <w:rPr>
          <w:rFonts w:ascii="Times New Roman" w:hAnsi="宋体" w:cs="Times New Roman"/>
          <w:spacing w:val="4"/>
          <w:sz w:val="24"/>
          <w:szCs w:val="24"/>
        </w:rPr>
        <w:t>将</w:t>
      </w:r>
      <w:r>
        <w:rPr>
          <w:rFonts w:ascii="Times New Roman" w:hAnsi="Times New Roman" w:cs="Times New Roman"/>
          <w:spacing w:val="4"/>
          <w:sz w:val="24"/>
          <w:szCs w:val="24"/>
        </w:rPr>
        <w:t>γ</w:t>
      </w:r>
      <w:r>
        <w:rPr>
          <w:rFonts w:ascii="Times New Roman" w:hAnsi="宋体" w:cs="Times New Roman"/>
          <w:spacing w:val="4"/>
          <w:sz w:val="24"/>
          <w:szCs w:val="24"/>
        </w:rPr>
        <w:t>酸与水混合加入到</w:t>
      </w:r>
      <w:r>
        <w:rPr>
          <w:rFonts w:ascii="Times New Roman" w:hAnsi="宋体" w:cs="Times New Roman" w:hint="eastAsia"/>
          <w:spacing w:val="4"/>
          <w:sz w:val="24"/>
          <w:szCs w:val="24"/>
        </w:rPr>
        <w:t>偶合</w:t>
      </w:r>
      <w:r>
        <w:rPr>
          <w:rFonts w:ascii="Times New Roman" w:hAnsi="宋体" w:cs="Times New Roman"/>
          <w:spacing w:val="4"/>
          <w:sz w:val="24"/>
          <w:szCs w:val="24"/>
        </w:rPr>
        <w:t>反应釜中，</w:t>
      </w:r>
      <w:r>
        <w:rPr>
          <w:rFonts w:ascii="Times New Roman" w:hAnsi="宋体" w:cs="Times New Roman" w:hint="eastAsia"/>
          <w:spacing w:val="4"/>
          <w:sz w:val="24"/>
          <w:szCs w:val="24"/>
        </w:rPr>
        <w:t>将反应釜内温度降低</w:t>
      </w:r>
      <w:r>
        <w:rPr>
          <w:rFonts w:ascii="Times New Roman" w:hAnsi="宋体" w:cs="Times New Roman"/>
          <w:spacing w:val="4"/>
          <w:sz w:val="24"/>
          <w:szCs w:val="24"/>
        </w:rPr>
        <w:t>至</w:t>
      </w:r>
      <w:r>
        <w:rPr>
          <w:rFonts w:ascii="Times New Roman" w:hAnsi="Times New Roman" w:cs="Times New Roman"/>
          <w:spacing w:val="4"/>
          <w:sz w:val="24"/>
          <w:szCs w:val="24"/>
        </w:rPr>
        <w:t>10</w:t>
      </w:r>
      <w:r>
        <w:rPr>
          <w:rFonts w:ascii="Times New Roman" w:hAnsi="宋体" w:cs="Times New Roman"/>
          <w:spacing w:val="4"/>
          <w:sz w:val="24"/>
          <w:szCs w:val="24"/>
        </w:rPr>
        <w:t>℃以下</w:t>
      </w:r>
      <w:r>
        <w:rPr>
          <w:rFonts w:ascii="Times New Roman" w:hAnsi="宋体" w:cs="Times New Roman" w:hint="eastAsia"/>
          <w:spacing w:val="4"/>
          <w:sz w:val="24"/>
          <w:szCs w:val="24"/>
        </w:rPr>
        <w:t>，</w:t>
      </w:r>
      <w:r>
        <w:rPr>
          <w:rFonts w:ascii="Times New Roman" w:hAnsi="宋体" w:cs="Times New Roman"/>
          <w:spacing w:val="4"/>
          <w:sz w:val="24"/>
          <w:szCs w:val="24"/>
        </w:rPr>
        <w:t>将重氮液持续加入到体系内，同时向体系加入由</w:t>
      </w:r>
      <w:r>
        <w:rPr>
          <w:rFonts w:ascii="Times New Roman" w:hAnsi="Times New Roman" w:cs="Times New Roman"/>
          <w:spacing w:val="4"/>
          <w:sz w:val="24"/>
          <w:szCs w:val="24"/>
        </w:rPr>
        <w:t>Na</w:t>
      </w:r>
      <w:r>
        <w:rPr>
          <w:rFonts w:ascii="Times New Roman" w:hAnsi="Times New Roman" w:cs="Times New Roman"/>
          <w:spacing w:val="4"/>
          <w:sz w:val="24"/>
          <w:szCs w:val="24"/>
          <w:vertAlign w:val="subscript"/>
        </w:rPr>
        <w:t>2</w:t>
      </w:r>
      <w:r>
        <w:rPr>
          <w:rFonts w:ascii="Times New Roman" w:hAnsi="Times New Roman" w:cs="Times New Roman"/>
          <w:spacing w:val="4"/>
          <w:sz w:val="24"/>
          <w:szCs w:val="24"/>
        </w:rPr>
        <w:t>CO</w:t>
      </w:r>
      <w:r>
        <w:rPr>
          <w:rFonts w:ascii="Times New Roman" w:hAnsi="Times New Roman" w:cs="Times New Roman"/>
          <w:spacing w:val="4"/>
          <w:sz w:val="24"/>
          <w:szCs w:val="24"/>
          <w:vertAlign w:val="subscript"/>
        </w:rPr>
        <w:t>3</w:t>
      </w:r>
      <w:r>
        <w:rPr>
          <w:rFonts w:ascii="Times New Roman" w:hAnsi="宋体" w:cs="Times New Roman"/>
          <w:spacing w:val="4"/>
          <w:sz w:val="24"/>
          <w:szCs w:val="24"/>
        </w:rPr>
        <w:t>和乙酸钠配制的水溶液，控制体系</w:t>
      </w:r>
      <w:r>
        <w:rPr>
          <w:rFonts w:ascii="Times New Roman" w:hAnsi="Times New Roman" w:cs="Times New Roman"/>
          <w:spacing w:val="4"/>
          <w:sz w:val="24"/>
          <w:szCs w:val="24"/>
        </w:rPr>
        <w:t>pH</w:t>
      </w:r>
      <w:r>
        <w:rPr>
          <w:rFonts w:ascii="Times New Roman" w:hAnsi="宋体" w:cs="Times New Roman"/>
          <w:spacing w:val="4"/>
          <w:sz w:val="24"/>
          <w:szCs w:val="24"/>
        </w:rPr>
        <w:t>值进行反应。反应结束后缓慢加入</w:t>
      </w:r>
      <w:r>
        <w:rPr>
          <w:rFonts w:ascii="Times New Roman" w:hAnsi="Times New Roman" w:cs="Times New Roman"/>
          <w:spacing w:val="4"/>
          <w:sz w:val="24"/>
          <w:szCs w:val="24"/>
        </w:rPr>
        <w:t>NaOH</w:t>
      </w:r>
      <w:r>
        <w:rPr>
          <w:rFonts w:ascii="Times New Roman" w:hAnsi="宋体" w:cs="Times New Roman"/>
          <w:spacing w:val="4"/>
          <w:sz w:val="24"/>
          <w:szCs w:val="24"/>
        </w:rPr>
        <w:t>溶液，调整体系</w:t>
      </w:r>
      <w:r>
        <w:rPr>
          <w:rFonts w:ascii="Times New Roman" w:hAnsi="Times New Roman" w:cs="Times New Roman"/>
          <w:spacing w:val="4"/>
          <w:sz w:val="24"/>
          <w:szCs w:val="24"/>
        </w:rPr>
        <w:t>pH</w:t>
      </w:r>
      <w:r>
        <w:rPr>
          <w:rFonts w:ascii="Times New Roman" w:hAnsi="宋体" w:cs="Times New Roman"/>
          <w:spacing w:val="4"/>
          <w:sz w:val="24"/>
          <w:szCs w:val="24"/>
        </w:rPr>
        <w:t>值，过滤，滤饼干燥，然后破碎，包装得到酸性红</w:t>
      </w:r>
      <w:r>
        <w:rPr>
          <w:rFonts w:ascii="Times New Roman" w:hAnsi="Times New Roman" w:cs="Times New Roman"/>
          <w:spacing w:val="4"/>
          <w:sz w:val="24"/>
          <w:szCs w:val="24"/>
        </w:rPr>
        <w:t>37</w:t>
      </w:r>
      <w:r>
        <w:rPr>
          <w:rFonts w:ascii="Times New Roman" w:hAnsi="宋体" w:cs="Times New Roman"/>
          <w:spacing w:val="4"/>
          <w:sz w:val="24"/>
          <w:szCs w:val="24"/>
        </w:rPr>
        <w:t>。</w:t>
      </w:r>
    </w:p>
    <w:p w:rsidR="00475650" w:rsidRDefault="00475650">
      <w:pPr>
        <w:pStyle w:val="afffffffff2"/>
        <w:adjustRightInd w:val="0"/>
        <w:snapToGrid w:val="0"/>
        <w:spacing w:line="360" w:lineRule="auto"/>
        <w:ind w:firstLine="496"/>
        <w:rPr>
          <w:rFonts w:ascii="Times New Roman" w:hAnsi="Times New Roman" w:cs="Times New Roman"/>
          <w:spacing w:val="4"/>
          <w:sz w:val="24"/>
          <w:szCs w:val="24"/>
        </w:rPr>
      </w:pPr>
      <w:r>
        <w:rPr>
          <w:rFonts w:ascii="Times New Roman" w:hAnsi="宋体" w:cs="Times New Roman"/>
          <w:spacing w:val="4"/>
          <w:sz w:val="24"/>
          <w:szCs w:val="24"/>
        </w:rPr>
        <w:t>工艺流程图如下：</w:t>
      </w:r>
    </w:p>
    <w:p w:rsidR="00475650" w:rsidRDefault="006F27A1">
      <w:pPr>
        <w:pStyle w:val="afffffffff2"/>
        <w:adjustRightInd w:val="0"/>
        <w:snapToGrid w:val="0"/>
        <w:spacing w:line="360" w:lineRule="auto"/>
        <w:ind w:firstLine="18"/>
        <w:jc w:val="center"/>
        <w:rPr>
          <w:rFonts w:ascii="Times New Roman" w:hAnsi="Times New Roman" w:cs="Times New Roman"/>
          <w:spacing w:val="4"/>
          <w:sz w:val="24"/>
          <w:szCs w:val="24"/>
        </w:rPr>
      </w:pPr>
      <w:r>
        <w:rPr>
          <w:rFonts w:ascii="Times New Roman" w:hAnsi="Times New Roman" w:cs="Times New Roman"/>
          <w:spacing w:val="4"/>
          <w:sz w:val="24"/>
          <w:szCs w:val="24"/>
        </w:rPr>
      </w:r>
      <w:r>
        <w:rPr>
          <w:rFonts w:ascii="Times New Roman" w:hAnsi="Times New Roman" w:cs="Times New Roman"/>
          <w:spacing w:val="4"/>
          <w:sz w:val="24"/>
          <w:szCs w:val="24"/>
        </w:rPr>
        <w:pict>
          <v:group id="画布 18539" o:spid="_x0000_s22283" editas="canvas" style="width:473.2pt;height:299.55pt;mso-position-horizontal-relative:char;mso-position-vertical-relative:line" coordorigin="1350,6250" coordsize="9464,5991">
            <o:lock v:ext="edit" aspectratio="t" text="t"/>
            <o:diagram v:ext="edit" dgmstyle="0" dgmscalex="0" dgmscaley="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84" type="#_x0000_t75" style="position:absolute;left:1350;top:6250;width:9464;height:5991" o:preferrelative="f">
              <v:path o:extrusionok="t"/>
              <o:lock v:ext="edit" rotation="t" text="t"/>
              <o:diagram v:ext="edit" dgmstyle="0" dgmscalex="0" dgmscaley="0"/>
            </v:shape>
            <v:rect id="矩形 18540" o:spid="_x0000_s22285" style="position:absolute;left:1350;top:7322;width:1904;height:766" filled="f" fillcolor="#030" stroked="f">
              <v:textbox>
                <w:txbxContent>
                  <w:p w:rsidR="00BD74CB" w:rsidRDefault="00BD74CB">
                    <w:r>
                      <w:rPr>
                        <w:rFonts w:hint="eastAsia"/>
                      </w:rPr>
                      <w:t>2,5</w:t>
                    </w:r>
                    <w:r>
                      <w:rPr>
                        <w:rFonts w:hint="eastAsia"/>
                      </w:rPr>
                      <w:t>二氨基苯磺酸、水、冰块</w:t>
                    </w:r>
                  </w:p>
                </w:txbxContent>
              </v:textbox>
            </v:rect>
            <v:rect id="矩形 18543" o:spid="_x0000_s22286" style="position:absolute;left:3704;top:7274;width:1726;height:510">
              <v:textbox>
                <w:txbxContent>
                  <w:p w:rsidR="00BD74CB" w:rsidRDefault="00BD74CB">
                    <w:pPr>
                      <w:ind w:firstLineChars="100" w:firstLine="210"/>
                    </w:pPr>
                    <w:r>
                      <w:rPr>
                        <w:rFonts w:hint="eastAsia"/>
                      </w:rPr>
                      <w:t>酰化反应釜</w:t>
                    </w:r>
                  </w:p>
                </w:txbxContent>
              </v:textbox>
            </v:rect>
            <v:rect id="矩形 18547" o:spid="_x0000_s22287" style="position:absolute;left:3704;top:6462;width:737;height:465" filled="f" fillcolor="#030" stroked="f">
              <v:textbox>
                <w:txbxContent>
                  <w:p w:rsidR="00BD74CB" w:rsidRDefault="00BD74CB">
                    <w:r>
                      <w:rPr>
                        <w:rFonts w:hint="eastAsia"/>
                      </w:rPr>
                      <w:t>G</w:t>
                    </w:r>
                  </w:p>
                </w:txbxContent>
              </v:textbox>
            </v:rect>
            <v:line id="直线 18553" o:spid="_x0000_s22288" style="position:absolute" from="3164,7596" to="3704,7596">
              <v:stroke endarrow="block"/>
            </v:line>
            <v:shape id="直线 18557" o:spid="_x0000_s22289" style="position:absolute;left:3925;top:6776;width:13;height:542;mso-wrap-style:square" coordsize="13,542" path="m13,542l,e">
              <v:stroke endarrow="block"/>
              <v:path arrowok="t"/>
            </v:shape>
            <v:line id="直线 18561" o:spid="_x0000_s22290" style="position:absolute" from="5068,6876" to="5068,7252">
              <v:stroke endarrow="block"/>
            </v:line>
            <v:rect id="矩形 18562" o:spid="_x0000_s22291" style="position:absolute;left:4411;top:6462;width:1687;height:465" filled="f" fillcolor="#030" stroked="f">
              <v:textbox>
                <w:txbxContent>
                  <w:p w:rsidR="00BD74CB" w:rsidRDefault="00BD74CB">
                    <w:r>
                      <w:rPr>
                        <w:rFonts w:hint="eastAsia"/>
                      </w:rPr>
                      <w:t>乙酸酐、碳酸钠</w:t>
                    </w:r>
                  </w:p>
                </w:txbxContent>
              </v:textbox>
            </v:rect>
            <v:line id="直线 18564" o:spid="_x0000_s22292" style="position:absolute" from="5414,7596" to="6778,7596">
              <v:stroke endarrow="block"/>
            </v:line>
            <v:rect id="矩形 18565" o:spid="_x0000_s22293" style="position:absolute;left:5558;top:7198;width:1018;height:465" filled="f" fillcolor="#030" stroked="f">
              <v:textbox>
                <w:txbxContent>
                  <w:p w:rsidR="00BD74CB" w:rsidRDefault="00BD74CB">
                    <w:r>
                      <w:rPr>
                        <w:rFonts w:hint="eastAsia"/>
                      </w:rPr>
                      <w:t>酰化液</w:t>
                    </w:r>
                  </w:p>
                </w:txbxContent>
              </v:textbox>
            </v:rect>
            <v:rect id="矩形 18566" o:spid="_x0000_s22294" style="position:absolute;left:6778;top:7236;width:1726;height:510">
              <v:textbox>
                <w:txbxContent>
                  <w:p w:rsidR="00BD74CB" w:rsidRDefault="00BD74CB">
                    <w:pPr>
                      <w:ind w:firstLineChars="100" w:firstLine="210"/>
                    </w:pPr>
                    <w:r>
                      <w:rPr>
                        <w:rFonts w:hint="eastAsia"/>
                      </w:rPr>
                      <w:t>重氮反应釜</w:t>
                    </w:r>
                  </w:p>
                </w:txbxContent>
              </v:textbox>
            </v:rect>
            <v:line id="直线 18567" o:spid="_x0000_s22295" style="position:absolute" from="7138,6786" to="7138,7206">
              <v:stroke endarrow="block"/>
            </v:line>
            <v:rect id="矩形 18568" o:spid="_x0000_s22296" style="position:absolute;left:6441;top:6250;width:1245;height:647" filled="f" fillcolor="#030" stroked="f">
              <v:textbox>
                <w:txbxContent>
                  <w:p w:rsidR="00BD74CB" w:rsidRDefault="00BD74CB">
                    <w:r>
                      <w:rPr>
                        <w:rFonts w:hint="eastAsia"/>
                      </w:rPr>
                      <w:t>浓盐酸、亚硝酸钠</w:t>
                    </w:r>
                  </w:p>
                </w:txbxContent>
              </v:textbox>
            </v:rect>
            <v:rect id="矩形 18573" o:spid="_x0000_s22297" style="position:absolute;left:7890;top:6370;width:628;height:465" filled="f" fillcolor="#030" stroked="f">
              <v:textbox>
                <w:txbxContent>
                  <w:p w:rsidR="00BD74CB" w:rsidRDefault="00BD74CB">
                    <w:r>
                      <w:rPr>
                        <w:rFonts w:hint="eastAsia"/>
                      </w:rPr>
                      <w:t>G</w:t>
                    </w:r>
                  </w:p>
                </w:txbxContent>
              </v:textbox>
            </v:rect>
            <v:line id="直线 18574" o:spid="_x0000_s22298" style="position:absolute;flip:x" from="8518,7566" to="9074,7566">
              <v:stroke endarrow="block"/>
            </v:line>
            <v:rect id="矩形 18575" o:spid="_x0000_s22299" style="position:absolute;left:9060;top:7316;width:1561;height:390" filled="f" fillcolor="#030" stroked="f">
              <v:textbox>
                <w:txbxContent>
                  <w:p w:rsidR="00BD74CB" w:rsidRDefault="00BD74CB">
                    <w:r>
                      <w:rPr>
                        <w:rFonts w:hint="eastAsia"/>
                      </w:rPr>
                      <w:t>尿素、冰块</w:t>
                    </w:r>
                  </w:p>
                </w:txbxContent>
              </v:textbox>
            </v:rect>
            <v:line id="直线 18576" o:spid="_x0000_s22300" style="position:absolute" from="7692,7762" to="7693,8482">
              <v:stroke endarrow="block"/>
            </v:line>
            <v:rect id="矩形 18577" o:spid="_x0000_s22301" style="position:absolute;left:6896;top:7996;width:1018;height:465" filled="f" fillcolor="#030" stroked="f">
              <v:textbox>
                <w:txbxContent>
                  <w:p w:rsidR="00BD74CB" w:rsidRDefault="00BD74CB">
                    <w:r>
                      <w:rPr>
                        <w:rFonts w:hint="eastAsia"/>
                      </w:rPr>
                      <w:t>重氮液</w:t>
                    </w:r>
                  </w:p>
                </w:txbxContent>
              </v:textbox>
            </v:rect>
            <v:rect id="矩形 18578" o:spid="_x0000_s22302" style="position:absolute;left:6870;top:8496;width:1726;height:510">
              <v:textbox>
                <w:txbxContent>
                  <w:p w:rsidR="00BD74CB" w:rsidRDefault="00BD74CB">
                    <w:pPr>
                      <w:ind w:firstLineChars="100" w:firstLine="210"/>
                    </w:pPr>
                    <w:r>
                      <w:rPr>
                        <w:rFonts w:hint="eastAsia"/>
                      </w:rPr>
                      <w:t>偶合反应釜</w:t>
                    </w:r>
                  </w:p>
                </w:txbxContent>
              </v:textbox>
            </v:rect>
            <v:line id="直线 18579" o:spid="_x0000_s22303" style="position:absolute" from="5846,8733" to="6806,8734">
              <v:stroke endarrow="block"/>
            </v:line>
            <v:rect id="矩形 18580" o:spid="_x0000_s22304" style="position:absolute;left:4999;top:8254;width:1884;height:480" filled="f" fillcolor="#030" stroked="f">
              <v:textbox>
                <w:txbxContent>
                  <w:p w:rsidR="00BD74CB" w:rsidRDefault="00BD74CB">
                    <w:r>
                      <w:rPr>
                        <w:rFonts w:hint="eastAsia"/>
                      </w:rPr>
                      <w:t>γ酸，水，冰块</w:t>
                    </w:r>
                  </w:p>
                </w:txbxContent>
              </v:textbox>
            </v:rect>
            <v:line id="直线 18581" o:spid="_x0000_s22305" style="position:absolute;flip:x" from="8578,8842" to="8998,8842">
              <v:stroke endarrow="block"/>
            </v:line>
            <v:rect id="矩形 18582" o:spid="_x0000_s22306" style="position:absolute;left:8910;top:8620;width:1904;height:480" filled="f" fillcolor="#030" stroked="f">
              <v:textbox>
                <w:txbxContent>
                  <w:p w:rsidR="00BD74CB" w:rsidRDefault="00BD74CB">
                    <w:r>
                      <w:rPr>
                        <w:rFonts w:hint="eastAsia"/>
                      </w:rPr>
                      <w:t>碳酸钠，乙酸钠</w:t>
                    </w:r>
                  </w:p>
                </w:txbxContent>
              </v:textbox>
            </v:rect>
            <v:line id="直线 18583" o:spid="_x0000_s22307" style="position:absolute" from="8264,8210" to="8265,8480">
              <v:stroke endarrow="block"/>
            </v:line>
            <v:rect id="矩形 18586" o:spid="_x0000_s22308" style="position:absolute;left:7778;top:7883;width:1136;height:405" filled="f" fillcolor="#030" stroked="f">
              <v:textbox>
                <w:txbxContent>
                  <w:p w:rsidR="00BD74CB" w:rsidRDefault="00BD74CB">
                    <w:r>
                      <w:rPr>
                        <w:rFonts w:hint="eastAsia"/>
                      </w:rPr>
                      <w:t>氢氧化钠</w:t>
                    </w:r>
                  </w:p>
                </w:txbxContent>
              </v:textbox>
            </v:rect>
            <v:rect id="矩形 18588" o:spid="_x0000_s22309" style="position:absolute;left:6960;top:9574;width:1726;height:510">
              <v:textbox>
                <w:txbxContent>
                  <w:p w:rsidR="00BD74CB" w:rsidRDefault="00BD74CB">
                    <w:pPr>
                      <w:ind w:firstLineChars="100" w:firstLine="210"/>
                    </w:pPr>
                    <w:r>
                      <w:rPr>
                        <w:rFonts w:hint="eastAsia"/>
                      </w:rPr>
                      <w:t>隔膜压滤机</w:t>
                    </w:r>
                  </w:p>
                </w:txbxContent>
              </v:textbox>
            </v:rect>
            <v:rect id="矩形 18589" o:spid="_x0000_s22310" style="position:absolute;left:6818;top:9042;width:1018;height:465" filled="f" fillcolor="#030" stroked="f">
              <v:textbox>
                <w:txbxContent>
                  <w:p w:rsidR="00BD74CB" w:rsidRDefault="00BD74CB">
                    <w:r>
                      <w:rPr>
                        <w:rFonts w:hint="eastAsia"/>
                      </w:rPr>
                      <w:t>偶合液</w:t>
                    </w:r>
                  </w:p>
                </w:txbxContent>
              </v:textbox>
            </v:rect>
            <v:line id="直线 18590" o:spid="_x0000_s22311" style="position:absolute" from="7738,9006" to="7738,9576">
              <v:stroke endarrow="block"/>
            </v:line>
            <v:line id="直线 18591" o:spid="_x0000_s22312" style="position:absolute;flip:x" from="5968,9802" to="6958,9802">
              <v:stroke endarrow="block"/>
            </v:line>
            <v:rect id="矩形 18593" o:spid="_x0000_s22313" style="position:absolute;left:6098;top:9400;width:854;height:465" filled="f" fillcolor="#030" stroked="f">
              <v:textbox>
                <w:txbxContent>
                  <w:p w:rsidR="00BD74CB" w:rsidRDefault="00BD74CB">
                    <w:r>
                      <w:rPr>
                        <w:rFonts w:hint="eastAsia"/>
                      </w:rPr>
                      <w:t>滤饼</w:t>
                    </w:r>
                  </w:p>
                </w:txbxContent>
              </v:textbox>
            </v:rect>
            <v:rect id="矩形 18594" o:spid="_x0000_s22314" style="position:absolute;left:6098;top:11180;width:1153;height:480" filled="f" fillcolor="#030" stroked="f">
              <v:textbox>
                <w:txbxContent>
                  <w:p w:rsidR="00BD74CB" w:rsidRDefault="00BD74CB">
                    <w:r>
                      <w:rPr>
                        <w:rFonts w:hint="eastAsia"/>
                      </w:rPr>
                      <w:t>渣</w:t>
                    </w:r>
                  </w:p>
                </w:txbxContent>
              </v:textbox>
            </v:rect>
            <v:rect id="矩形 18595" o:spid="_x0000_s22315" style="position:absolute;left:4938;top:9562;width:1020;height:510">
              <v:textbox>
                <w:txbxContent>
                  <w:p w:rsidR="00BD74CB" w:rsidRDefault="00BD74CB">
                    <w:r>
                      <w:rPr>
                        <w:rFonts w:hint="eastAsia"/>
                      </w:rPr>
                      <w:t>烘</w:t>
                    </w:r>
                    <w:r>
                      <w:rPr>
                        <w:rFonts w:hint="eastAsia"/>
                      </w:rPr>
                      <w:t xml:space="preserve"> </w:t>
                    </w:r>
                    <w:r>
                      <w:rPr>
                        <w:rFonts w:hint="eastAsia"/>
                      </w:rPr>
                      <w:t>箱</w:t>
                    </w:r>
                  </w:p>
                </w:txbxContent>
              </v:textbox>
            </v:rect>
            <v:line id="直线 18596" o:spid="_x0000_s22316" style="position:absolute" from="7768,10086" to="7768,10522">
              <v:stroke endarrow="block"/>
            </v:line>
            <v:rect id="矩形 18597" o:spid="_x0000_s22317" style="position:absolute;left:7012;top:10056;width:854;height:465" filled="f" fillcolor="#030" stroked="f">
              <v:textbox>
                <w:txbxContent>
                  <w:p w:rsidR="00BD74CB" w:rsidRDefault="00BD74CB">
                    <w:r>
                      <w:rPr>
                        <w:rFonts w:hint="eastAsia"/>
                      </w:rPr>
                      <w:t>滤液</w:t>
                    </w:r>
                  </w:p>
                </w:txbxContent>
              </v:textbox>
            </v:rect>
            <v:line id="直线 18598" o:spid="_x0000_s22318" style="position:absolute;flip:x" from="4258,9786" to="4934,9786">
              <v:stroke endarrow="block"/>
            </v:line>
            <v:rect id="矩形 18599" o:spid="_x0000_s22319" style="position:absolute;left:2834;top:9590;width:1384;height:510">
              <v:textbox>
                <w:txbxContent>
                  <w:p w:rsidR="00BD74CB" w:rsidRDefault="00BD74CB">
                    <w:r>
                      <w:rPr>
                        <w:rFonts w:hint="eastAsia"/>
                      </w:rPr>
                      <w:t>破碎</w:t>
                    </w:r>
                    <w:r>
                      <w:rPr>
                        <w:rFonts w:hint="eastAsia"/>
                      </w:rPr>
                      <w:t>+</w:t>
                    </w:r>
                    <w:r>
                      <w:rPr>
                        <w:rFonts w:hint="eastAsia"/>
                      </w:rPr>
                      <w:t>包装</w:t>
                    </w:r>
                  </w:p>
                </w:txbxContent>
              </v:textbox>
            </v:rect>
            <v:line id="直线 18602" o:spid="_x0000_s22322" style="position:absolute" from="3523,10086" to="3524,10580">
              <v:stroke endarrow="block"/>
            </v:line>
            <v:rect id="矩形 18603" o:spid="_x0000_s22323" style="position:absolute;left:2551;top:10526;width:1860;height:480" filled="f" fillcolor="#030" stroked="f">
              <v:textbox>
                <w:txbxContent>
                  <w:p w:rsidR="00BD74CB" w:rsidRDefault="00BD74CB">
                    <w:r>
                      <w:rPr>
                        <w:rFonts w:hint="eastAsia"/>
                      </w:rPr>
                      <w:t>产品：酸性红</w:t>
                    </w:r>
                    <w:r>
                      <w:rPr>
                        <w:rFonts w:hint="eastAsia"/>
                      </w:rPr>
                      <w:t>37</w:t>
                    </w:r>
                  </w:p>
                </w:txbxContent>
              </v:textbox>
            </v:rect>
            <v:shape id="直线 18557" o:spid="_x0000_s22324" style="position:absolute;left:8161;top:6694;width:13;height:542;mso-wrap-style:square" coordsize="13,542" path="m13,542l,e">
              <v:stroke endarrow="block"/>
              <v:path arrowok="t"/>
            </v:shape>
            <v:shape id="直线 18557" o:spid="_x0000_s22325" style="position:absolute;left:6984;top:7966;width:13;height:542;mso-wrap-style:square" coordsize="13,542" path="m13,542l,e">
              <v:stroke endarrow="block"/>
              <v:path arrowok="t"/>
            </v:shape>
            <v:rect id="矩形 18547" o:spid="_x0000_s22326" style="position:absolute;left:6764;top:7679;width:520;height:465" filled="f" fillcolor="#030" stroked="f">
              <v:textbox>
                <w:txbxContent>
                  <w:p w:rsidR="00BD74CB" w:rsidRDefault="00BD74CB">
                    <w:r>
                      <w:rPr>
                        <w:rFonts w:hint="eastAsia"/>
                      </w:rPr>
                      <w:t>G</w:t>
                    </w:r>
                  </w:p>
                </w:txbxContent>
              </v:textbox>
            </v:rect>
            <v:shape id="直线 18557" o:spid="_x0000_s22327" style="position:absolute;left:5414;top:9220;width:6;height:364;mso-wrap-style:square" coordsize="6,364" path="m,364l6,e">
              <v:stroke endarrow="block"/>
              <v:path arrowok="t"/>
            </v:shape>
            <v:rect id="矩形 18547" o:spid="_x0000_s22328" style="position:absolute;left:5180;top:8928;width:490;height:465" filled="f" fillcolor="#030" stroked="f">
              <v:textbox>
                <w:txbxContent>
                  <w:p w:rsidR="00BD74CB" w:rsidRDefault="00BD74CB">
                    <w:r>
                      <w:rPr>
                        <w:rFonts w:hint="eastAsia"/>
                      </w:rPr>
                      <w:t>G</w:t>
                    </w:r>
                  </w:p>
                </w:txbxContent>
              </v:textbox>
            </v:rect>
            <v:rect id="矩形 18547" o:spid="_x0000_s22329" style="position:absolute;left:3523;top:8944;width:560;height:465" filled="f" fillcolor="#030" stroked="f">
              <v:textbox>
                <w:txbxContent>
                  <w:p w:rsidR="00BD74CB" w:rsidRDefault="00BD74CB">
                    <w:r>
                      <w:rPr>
                        <w:rFonts w:hint="eastAsia"/>
                      </w:rPr>
                      <w:t>G</w:t>
                    </w:r>
                  </w:p>
                </w:txbxContent>
              </v:textbox>
            </v:rect>
            <v:shape id="直线 18557" o:spid="_x0000_s22330" style="position:absolute;left:3778;top:9264;width:6;height:364;mso-wrap-style:square" coordsize="6,364" path="m,364l6,e">
              <v:stroke endarrow="block"/>
              <v:path arrowok="t"/>
            </v:shape>
            <v:shape id="直线 18557" o:spid="_x0000_s22369" style="position:absolute;left:8138;top:9272;width:13;height:283;mso-wrap-style:square" coordsize="13,542" path="m13,542l,e">
              <v:stroke endarrow="block"/>
              <v:path arrowok="t"/>
            </v:shape>
            <v:rect id="矩形 18547" o:spid="_x0000_s22370" style="position:absolute;left:7904;top:8986;width:600;height:465" filled="f" fillcolor="#030" stroked="f">
              <v:textbox>
                <w:txbxContent>
                  <w:p w:rsidR="00BD74CB" w:rsidRDefault="00BD74CB">
                    <w:r>
                      <w:rPr>
                        <w:rFonts w:hint="eastAsia"/>
                      </w:rPr>
                      <w:t>G</w:t>
                    </w:r>
                  </w:p>
                </w:txbxContent>
              </v:textbox>
            </v:rect>
            <v:rect id="矩形 18588" o:spid="_x0000_s22371" style="position:absolute;left:6998;top:10538;width:1726;height:510">
              <v:textbox>
                <w:txbxContent>
                  <w:p w:rsidR="00BD74CB" w:rsidRDefault="00BD74CB">
                    <w:pPr>
                      <w:ind w:firstLineChars="100" w:firstLine="210"/>
                    </w:pPr>
                    <w:r>
                      <w:rPr>
                        <w:rFonts w:hint="eastAsia"/>
                      </w:rPr>
                      <w:t>隔油沉淀池</w:t>
                    </w:r>
                  </w:p>
                </w:txbxContent>
              </v:textbox>
            </v:rect>
            <v:shapetype id="_x0000_t32" coordsize="21600,21600" o:spt="32" o:oned="t" path="m,l21600,21600e" filled="f">
              <v:path arrowok="t" fillok="f" o:connecttype="none"/>
              <o:lock v:ext="edit" shapetype="t"/>
            </v:shapetype>
            <v:shape id="自选图形 20329" o:spid="_x0000_s22377" type="#_x0000_t32" style="position:absolute;left:7805;top:11056;width:1;height:454" o:connectortype="straight">
              <v:stroke endarrow="block"/>
            </v:shape>
            <v:shape id="自选图形 20330" o:spid="_x0000_s22378" type="#_x0000_t32" style="position:absolute;left:5606;top:11506;width:2211;height:1;flip:x" o:connectortype="straight">
              <v:stroke endarrow="block"/>
            </v:shape>
            <v:shape id="直线 18557" o:spid="_x0000_s22379" style="position:absolute;left:5592;top:10040;width:13;height:1474;mso-wrap-style:square" coordsize="13,542" path="m13,542l,e">
              <v:stroke endarrow="block"/>
              <v:path arrowok="t"/>
            </v:shape>
            <v:line id="直线 18590" o:spid="_x0000_s22380" style="position:absolute" from="8426,11042" to="8427,11439">
              <v:stroke endarrow="block"/>
            </v:line>
            <v:rect id="矩形 18594" o:spid="_x0000_s22381" style="position:absolute;left:8194;top:11390;width:660;height:480" filled="f" fillcolor="#030" stroked="f">
              <v:textbox>
                <w:txbxContent>
                  <w:p w:rsidR="00BD74CB" w:rsidRDefault="00BD74CB">
                    <w:r>
                      <w:rPr>
                        <w:rFonts w:hint="eastAsia"/>
                      </w:rPr>
                      <w:t>W</w:t>
                    </w:r>
                  </w:p>
                </w:txbxContent>
              </v:textbox>
            </v:rect>
            <v:rect id="矩形 20334" o:spid="_x0000_s22382" style="position:absolute;left:9014;top:11180;width:1800;height:1061" filled="f" stroked="f">
              <v:textbox>
                <w:txbxContent>
                  <w:p w:rsidR="00BD74CB" w:rsidRDefault="00BD74CB">
                    <w:r>
                      <w:rPr>
                        <w:rFonts w:hint="eastAsia"/>
                      </w:rPr>
                      <w:t>注：</w:t>
                    </w:r>
                    <w:r>
                      <w:rPr>
                        <w:rFonts w:hint="eastAsia"/>
                      </w:rPr>
                      <w:t>G</w:t>
                    </w:r>
                    <w:r>
                      <w:rPr>
                        <w:rFonts w:hint="eastAsia"/>
                      </w:rPr>
                      <w:t>为废气；</w:t>
                    </w:r>
                  </w:p>
                  <w:p w:rsidR="00BD74CB" w:rsidRDefault="00BD74CB">
                    <w:pPr>
                      <w:ind w:firstLine="435"/>
                    </w:pPr>
                    <w:r>
                      <w:rPr>
                        <w:rFonts w:hint="eastAsia"/>
                      </w:rPr>
                      <w:t>W</w:t>
                    </w:r>
                    <w:r>
                      <w:rPr>
                        <w:rFonts w:hint="eastAsia"/>
                      </w:rPr>
                      <w:t>为废水；</w:t>
                    </w:r>
                  </w:p>
                  <w:p w:rsidR="00BD74CB" w:rsidRDefault="00BD74CB">
                    <w:pPr>
                      <w:ind w:firstLine="435"/>
                    </w:pPr>
                    <w:r>
                      <w:rPr>
                        <w:rFonts w:hint="eastAsia"/>
                      </w:rPr>
                      <w:t>S</w:t>
                    </w:r>
                    <w:r>
                      <w:rPr>
                        <w:rFonts w:hint="eastAsia"/>
                      </w:rPr>
                      <w:t>为固废</w:t>
                    </w:r>
                  </w:p>
                </w:txbxContent>
              </v:textbox>
            </v:rect>
            <w10:wrap type="none"/>
            <w10:anchorlock/>
          </v:group>
        </w:pict>
      </w:r>
    </w:p>
    <w:p w:rsidR="00475650" w:rsidRDefault="00475650">
      <w:pPr>
        <w:pStyle w:val="afffffffff2"/>
        <w:adjustRightInd w:val="0"/>
        <w:snapToGrid w:val="0"/>
        <w:spacing w:line="360" w:lineRule="auto"/>
        <w:ind w:firstLineChars="950" w:firstLine="2356"/>
        <w:rPr>
          <w:rFonts w:ascii="Times New Roman" w:hAnsi="Times New Roman" w:cs="Times New Roman"/>
          <w:spacing w:val="4"/>
          <w:sz w:val="24"/>
          <w:szCs w:val="24"/>
        </w:rPr>
      </w:pPr>
      <w:r>
        <w:rPr>
          <w:rFonts w:ascii="Times New Roman" w:hAnsi="宋体" w:cs="Times New Roman"/>
          <w:spacing w:val="4"/>
          <w:sz w:val="24"/>
          <w:szCs w:val="24"/>
        </w:rPr>
        <w:t>图</w:t>
      </w:r>
      <w:r>
        <w:rPr>
          <w:rFonts w:ascii="Times New Roman" w:hAnsi="Times New Roman" w:cs="Times New Roman"/>
          <w:spacing w:val="4"/>
          <w:sz w:val="24"/>
          <w:szCs w:val="24"/>
        </w:rPr>
        <w:t>3-</w:t>
      </w:r>
      <w:r>
        <w:rPr>
          <w:rFonts w:ascii="Times New Roman" w:hAnsi="Times New Roman" w:cs="Times New Roman" w:hint="eastAsia"/>
          <w:spacing w:val="4"/>
          <w:sz w:val="24"/>
          <w:szCs w:val="24"/>
        </w:rPr>
        <w:t>2</w:t>
      </w:r>
      <w:r>
        <w:rPr>
          <w:rFonts w:ascii="Times New Roman" w:hAnsi="Times New Roman" w:cs="Times New Roman"/>
          <w:spacing w:val="4"/>
          <w:sz w:val="24"/>
          <w:szCs w:val="24"/>
        </w:rPr>
        <w:t xml:space="preserve">  </w:t>
      </w:r>
      <w:r>
        <w:rPr>
          <w:rFonts w:ascii="Times New Roman" w:hAnsi="宋体" w:cs="Times New Roman"/>
          <w:spacing w:val="4"/>
          <w:sz w:val="24"/>
          <w:szCs w:val="24"/>
        </w:rPr>
        <w:t>酸性红</w:t>
      </w:r>
      <w:r>
        <w:rPr>
          <w:rFonts w:ascii="Times New Roman" w:hAnsi="Times New Roman" w:cs="Times New Roman"/>
          <w:spacing w:val="4"/>
          <w:sz w:val="24"/>
          <w:szCs w:val="24"/>
        </w:rPr>
        <w:t>37</w:t>
      </w:r>
      <w:r>
        <w:rPr>
          <w:rFonts w:ascii="Times New Roman" w:hAnsi="宋体" w:cs="Times New Roman"/>
          <w:spacing w:val="4"/>
          <w:sz w:val="24"/>
          <w:szCs w:val="24"/>
        </w:rPr>
        <w:t>生产工艺流程图</w:t>
      </w:r>
    </w:p>
    <w:p w:rsidR="00475650" w:rsidRDefault="00475650">
      <w:pPr>
        <w:spacing w:line="360" w:lineRule="auto"/>
        <w:ind w:firstLineChars="200" w:firstLine="480"/>
        <w:rPr>
          <w:sz w:val="24"/>
        </w:rPr>
      </w:pPr>
      <w:r>
        <w:rPr>
          <w:rFonts w:hAnsi="宋体"/>
          <w:sz w:val="24"/>
        </w:rPr>
        <w:t>二、酸性黄</w:t>
      </w:r>
      <w:r>
        <w:rPr>
          <w:sz w:val="24"/>
        </w:rPr>
        <w:t>49</w:t>
      </w:r>
    </w:p>
    <w:p w:rsidR="00475650" w:rsidRDefault="00475650">
      <w:pPr>
        <w:pStyle w:val="afffffffff2"/>
        <w:adjustRightInd w:val="0"/>
        <w:snapToGrid w:val="0"/>
        <w:spacing w:line="360" w:lineRule="auto"/>
        <w:ind w:firstLine="496"/>
        <w:rPr>
          <w:rFonts w:ascii="Times New Roman" w:hAnsi="Times New Roman" w:cs="Times New Roman"/>
          <w:spacing w:val="4"/>
          <w:sz w:val="24"/>
          <w:szCs w:val="24"/>
        </w:rPr>
      </w:pPr>
      <w:r>
        <w:rPr>
          <w:rFonts w:ascii="Times New Roman" w:hAnsi="Times New Roman" w:cs="Times New Roman"/>
          <w:spacing w:val="4"/>
          <w:sz w:val="24"/>
          <w:szCs w:val="24"/>
        </w:rPr>
        <w:t>1</w:t>
      </w:r>
      <w:r>
        <w:rPr>
          <w:rFonts w:ascii="Times New Roman" w:hAnsi="宋体" w:cs="Times New Roman"/>
          <w:spacing w:val="4"/>
          <w:sz w:val="24"/>
          <w:szCs w:val="24"/>
        </w:rPr>
        <w:t>、反应原理</w:t>
      </w:r>
    </w:p>
    <w:p w:rsidR="00475650" w:rsidRDefault="00475650">
      <w:pPr>
        <w:spacing w:line="360" w:lineRule="auto"/>
        <w:ind w:firstLineChars="200" w:firstLine="480"/>
        <w:rPr>
          <w:sz w:val="24"/>
        </w:rPr>
      </w:pPr>
      <w:r>
        <w:rPr>
          <w:rFonts w:hAnsi="宋体"/>
          <w:sz w:val="24"/>
        </w:rPr>
        <w:t>采用</w:t>
      </w:r>
      <w:r>
        <w:rPr>
          <w:sz w:val="24"/>
        </w:rPr>
        <w:t>2,5-</w:t>
      </w:r>
      <w:r>
        <w:rPr>
          <w:rFonts w:hAnsi="宋体"/>
          <w:sz w:val="24"/>
        </w:rPr>
        <w:t>二氯</w:t>
      </w:r>
      <w:r>
        <w:rPr>
          <w:sz w:val="24"/>
        </w:rPr>
        <w:t>-4-</w:t>
      </w:r>
      <w:r>
        <w:rPr>
          <w:rFonts w:hAnsi="宋体"/>
          <w:sz w:val="24"/>
        </w:rPr>
        <w:t>氨基苯磺酸和</w:t>
      </w:r>
      <w:r>
        <w:rPr>
          <w:sz w:val="24"/>
        </w:rPr>
        <w:t>1-</w:t>
      </w:r>
      <w:r>
        <w:rPr>
          <w:rFonts w:hAnsi="宋体"/>
          <w:sz w:val="24"/>
        </w:rPr>
        <w:t>苯基</w:t>
      </w:r>
      <w:r>
        <w:rPr>
          <w:sz w:val="24"/>
        </w:rPr>
        <w:t>-3-</w:t>
      </w:r>
      <w:r>
        <w:rPr>
          <w:rFonts w:hAnsi="宋体"/>
          <w:sz w:val="24"/>
        </w:rPr>
        <w:t>甲基</w:t>
      </w:r>
      <w:r>
        <w:rPr>
          <w:sz w:val="24"/>
        </w:rPr>
        <w:t>-5-</w:t>
      </w:r>
      <w:r>
        <w:rPr>
          <w:rFonts w:hAnsi="宋体"/>
          <w:sz w:val="24"/>
        </w:rPr>
        <w:t>氨基吡唑为原料，首先将前者重氮化，再与后者偶合得产物。经盐析、过滤、干燥、破碎得成品。反应方程式如下：</w:t>
      </w:r>
    </w:p>
    <w:p w:rsidR="00475650" w:rsidRDefault="00475650">
      <w:pPr>
        <w:spacing w:line="360" w:lineRule="auto"/>
        <w:ind w:left="840"/>
        <w:rPr>
          <w:sz w:val="24"/>
        </w:rPr>
      </w:pPr>
      <w:r>
        <w:rPr>
          <w:sz w:val="24"/>
        </w:rPr>
        <w:t>(1)</w:t>
      </w:r>
      <w:r>
        <w:rPr>
          <w:rFonts w:hAnsi="宋体"/>
          <w:sz w:val="24"/>
        </w:rPr>
        <w:t>重氮化主反应</w:t>
      </w:r>
    </w:p>
    <w:p w:rsidR="00475650" w:rsidRDefault="007C19B0">
      <w:pPr>
        <w:spacing w:line="360" w:lineRule="auto"/>
        <w:rPr>
          <w:sz w:val="24"/>
        </w:rPr>
      </w:pPr>
      <w:r>
        <w:rPr>
          <w:noProof/>
          <w:sz w:val="24"/>
        </w:rPr>
        <w:drawing>
          <wp:inline distT="0" distB="0" distL="0" distR="0">
            <wp:extent cx="5539740" cy="1150620"/>
            <wp:effectExtent l="19050" t="0" r="3810" b="0"/>
            <wp:docPr id="15"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1"/>
                    <pic:cNvPicPr>
                      <a:picLocks noChangeAspect="1" noChangeArrowheads="1"/>
                    </pic:cNvPicPr>
                  </pic:nvPicPr>
                  <pic:blipFill>
                    <a:blip r:embed="rId33" cstate="print"/>
                    <a:srcRect/>
                    <a:stretch>
                      <a:fillRect/>
                    </a:stretch>
                  </pic:blipFill>
                  <pic:spPr bwMode="auto">
                    <a:xfrm>
                      <a:off x="0" y="0"/>
                      <a:ext cx="5539740" cy="1150620"/>
                    </a:xfrm>
                    <a:prstGeom prst="rect">
                      <a:avLst/>
                    </a:prstGeom>
                    <a:noFill/>
                    <a:ln w="9525">
                      <a:noFill/>
                      <a:miter lim="800000"/>
                      <a:headEnd/>
                      <a:tailEnd/>
                    </a:ln>
                  </pic:spPr>
                </pic:pic>
              </a:graphicData>
            </a:graphic>
          </wp:inline>
        </w:drawing>
      </w:r>
    </w:p>
    <w:p w:rsidR="00475650" w:rsidRDefault="00475650">
      <w:pPr>
        <w:spacing w:line="360" w:lineRule="auto"/>
        <w:ind w:left="840" w:firstLineChars="50" w:firstLine="120"/>
        <w:rPr>
          <w:sz w:val="24"/>
        </w:rPr>
      </w:pPr>
      <w:r>
        <w:rPr>
          <w:sz w:val="24"/>
        </w:rPr>
        <w:t>(2)</w:t>
      </w:r>
      <w:r>
        <w:rPr>
          <w:rFonts w:hAnsi="宋体"/>
          <w:sz w:val="24"/>
        </w:rPr>
        <w:t>偶合主反应</w:t>
      </w:r>
    </w:p>
    <w:p w:rsidR="00475650" w:rsidRDefault="00475650">
      <w:pPr>
        <w:spacing w:line="360" w:lineRule="auto"/>
        <w:ind w:left="840"/>
        <w:rPr>
          <w:sz w:val="24"/>
        </w:rPr>
      </w:pPr>
    </w:p>
    <w:p w:rsidR="00475650" w:rsidRDefault="007C19B0">
      <w:pPr>
        <w:pStyle w:val="afffffffff2"/>
        <w:adjustRightInd w:val="0"/>
        <w:snapToGrid w:val="0"/>
        <w:spacing w:line="360" w:lineRule="auto"/>
        <w:jc w:val="left"/>
        <w:rPr>
          <w:rFonts w:ascii="Times New Roman" w:hAnsi="Times New Roman" w:cs="Times New Roman"/>
          <w:spacing w:val="4"/>
          <w:sz w:val="24"/>
          <w:szCs w:val="24"/>
        </w:rPr>
      </w:pPr>
      <w:r>
        <w:rPr>
          <w:rFonts w:ascii="Times New Roman" w:hAnsi="Times New Roman" w:cs="Times New Roman" w:hint="eastAsia"/>
          <w:noProof/>
          <w:spacing w:val="4"/>
          <w:sz w:val="24"/>
          <w:szCs w:val="24"/>
        </w:rPr>
        <w:lastRenderedPageBreak/>
        <w:drawing>
          <wp:inline distT="0" distB="0" distL="0" distR="0">
            <wp:extent cx="5539740" cy="2476500"/>
            <wp:effectExtent l="19050" t="0" r="3810" b="0"/>
            <wp:docPr id="16" name="图片 8"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123"/>
                    <pic:cNvPicPr>
                      <a:picLocks noChangeAspect="1" noChangeArrowheads="1"/>
                    </pic:cNvPicPr>
                  </pic:nvPicPr>
                  <pic:blipFill>
                    <a:blip r:embed="rId34" cstate="print"/>
                    <a:srcRect/>
                    <a:stretch>
                      <a:fillRect/>
                    </a:stretch>
                  </pic:blipFill>
                  <pic:spPr bwMode="auto">
                    <a:xfrm>
                      <a:off x="0" y="0"/>
                      <a:ext cx="5539740" cy="2476500"/>
                    </a:xfrm>
                    <a:prstGeom prst="rect">
                      <a:avLst/>
                    </a:prstGeom>
                    <a:noFill/>
                    <a:ln w="9525">
                      <a:noFill/>
                      <a:miter lim="800000"/>
                      <a:headEnd/>
                      <a:tailEnd/>
                    </a:ln>
                  </pic:spPr>
                </pic:pic>
              </a:graphicData>
            </a:graphic>
          </wp:inline>
        </w:drawing>
      </w:r>
    </w:p>
    <w:p w:rsidR="00475650" w:rsidRDefault="00475650">
      <w:pPr>
        <w:pStyle w:val="afffffffff2"/>
        <w:adjustRightInd w:val="0"/>
        <w:snapToGrid w:val="0"/>
        <w:spacing w:line="360" w:lineRule="auto"/>
        <w:ind w:firstLineChars="200" w:firstLine="496"/>
        <w:rPr>
          <w:rFonts w:ascii="Times New Roman" w:hAnsi="宋体" w:cs="Times New Roman"/>
          <w:spacing w:val="4"/>
          <w:sz w:val="24"/>
          <w:szCs w:val="24"/>
        </w:rPr>
      </w:pPr>
      <w:r>
        <w:rPr>
          <w:rFonts w:ascii="Times New Roman" w:hAnsi="Times New Roman" w:cs="Times New Roman"/>
          <w:spacing w:val="4"/>
          <w:sz w:val="24"/>
          <w:szCs w:val="24"/>
        </w:rPr>
        <w:t>(</w:t>
      </w:r>
      <w:r>
        <w:rPr>
          <w:rFonts w:ascii="Times New Roman" w:hAnsi="Times New Roman" w:cs="Times New Roman" w:hint="eastAsia"/>
          <w:spacing w:val="4"/>
          <w:sz w:val="24"/>
          <w:szCs w:val="24"/>
        </w:rPr>
        <w:t>3</w:t>
      </w:r>
      <w:r>
        <w:rPr>
          <w:rFonts w:ascii="Times New Roman" w:hAnsi="Times New Roman" w:cs="Times New Roman"/>
          <w:spacing w:val="4"/>
          <w:sz w:val="24"/>
          <w:szCs w:val="24"/>
        </w:rPr>
        <w:t>)</w:t>
      </w:r>
      <w:r>
        <w:rPr>
          <w:rFonts w:ascii="Times New Roman" w:hAnsi="宋体" w:cs="Times New Roman" w:hint="eastAsia"/>
          <w:spacing w:val="4"/>
          <w:sz w:val="24"/>
          <w:szCs w:val="24"/>
        </w:rPr>
        <w:t>副反应</w:t>
      </w:r>
    </w:p>
    <w:p w:rsidR="00475650" w:rsidRDefault="007C19B0">
      <w:pPr>
        <w:pStyle w:val="afffffffff2"/>
        <w:adjustRightInd w:val="0"/>
        <w:snapToGrid w:val="0"/>
        <w:spacing w:line="360" w:lineRule="auto"/>
        <w:ind w:firstLine="496"/>
        <w:rPr>
          <w:rFonts w:ascii="Times New Roman" w:hAnsi="Times New Roman" w:cs="Times New Roman"/>
          <w:spacing w:val="4"/>
          <w:sz w:val="24"/>
          <w:szCs w:val="24"/>
        </w:rPr>
      </w:pPr>
      <w:r>
        <w:rPr>
          <w:rFonts w:hAnsi="宋体" w:cs="宋体"/>
          <w:noProof/>
          <w:kern w:val="0"/>
          <w:sz w:val="24"/>
        </w:rPr>
        <w:drawing>
          <wp:inline distT="0" distB="0" distL="0" distR="0">
            <wp:extent cx="5379720" cy="1417320"/>
            <wp:effectExtent l="19050" t="0" r="0" b="0"/>
            <wp:docPr id="17" name="图片 9" descr="L0I]KZ]TYB)%M66{@(0{W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L0I]KZ]TYB)%M66{@(0{WHU"/>
                    <pic:cNvPicPr>
                      <a:picLocks noChangeAspect="1" noChangeArrowheads="1"/>
                    </pic:cNvPicPr>
                  </pic:nvPicPr>
                  <pic:blipFill>
                    <a:blip r:embed="rId32" cstate="print"/>
                    <a:srcRect/>
                    <a:stretch>
                      <a:fillRect/>
                    </a:stretch>
                  </pic:blipFill>
                  <pic:spPr bwMode="auto">
                    <a:xfrm>
                      <a:off x="0" y="0"/>
                      <a:ext cx="5379720" cy="1417320"/>
                    </a:xfrm>
                    <a:prstGeom prst="rect">
                      <a:avLst/>
                    </a:prstGeom>
                    <a:noFill/>
                    <a:ln w="9525">
                      <a:noFill/>
                      <a:miter lim="800000"/>
                      <a:headEnd/>
                      <a:tailEnd/>
                    </a:ln>
                  </pic:spPr>
                </pic:pic>
              </a:graphicData>
            </a:graphic>
          </wp:inline>
        </w:drawing>
      </w:r>
    </w:p>
    <w:p w:rsidR="00475650" w:rsidRDefault="00475650">
      <w:pPr>
        <w:pStyle w:val="afffffffff2"/>
        <w:adjustRightInd w:val="0"/>
        <w:snapToGrid w:val="0"/>
        <w:spacing w:line="360" w:lineRule="auto"/>
        <w:ind w:firstLine="496"/>
        <w:rPr>
          <w:rFonts w:ascii="Times New Roman" w:hAnsi="Times New Roman" w:cs="Times New Roman"/>
          <w:spacing w:val="4"/>
          <w:sz w:val="24"/>
          <w:szCs w:val="24"/>
        </w:rPr>
      </w:pPr>
      <w:r>
        <w:rPr>
          <w:rFonts w:ascii="Times New Roman" w:hAnsi="Times New Roman" w:cs="Times New Roman" w:hint="eastAsia"/>
          <w:spacing w:val="4"/>
          <w:sz w:val="24"/>
          <w:szCs w:val="24"/>
        </w:rPr>
        <w:t xml:space="preserve">  </w:t>
      </w:r>
      <w:r w:rsidR="007C19B0">
        <w:rPr>
          <w:rFonts w:ascii="Times New Roman" w:hAnsi="Times New Roman" w:cs="Times New Roman" w:hint="eastAsia"/>
          <w:noProof/>
          <w:spacing w:val="4"/>
          <w:sz w:val="24"/>
          <w:szCs w:val="24"/>
        </w:rPr>
        <w:drawing>
          <wp:inline distT="0" distB="0" distL="0" distR="0">
            <wp:extent cx="3840480" cy="579120"/>
            <wp:effectExtent l="19050" t="0" r="7620" b="0"/>
            <wp:docPr id="18"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3"/>
                    <pic:cNvPicPr>
                      <a:picLocks noChangeAspect="1" noChangeArrowheads="1"/>
                    </pic:cNvPicPr>
                  </pic:nvPicPr>
                  <pic:blipFill>
                    <a:blip r:embed="rId35" cstate="print"/>
                    <a:srcRect/>
                    <a:stretch>
                      <a:fillRect/>
                    </a:stretch>
                  </pic:blipFill>
                  <pic:spPr bwMode="auto">
                    <a:xfrm>
                      <a:off x="0" y="0"/>
                      <a:ext cx="3840480" cy="579120"/>
                    </a:xfrm>
                    <a:prstGeom prst="rect">
                      <a:avLst/>
                    </a:prstGeom>
                    <a:noFill/>
                    <a:ln w="9525">
                      <a:noFill/>
                      <a:miter lim="800000"/>
                      <a:headEnd/>
                      <a:tailEnd/>
                    </a:ln>
                  </pic:spPr>
                </pic:pic>
              </a:graphicData>
            </a:graphic>
          </wp:inline>
        </w:drawing>
      </w:r>
    </w:p>
    <w:p w:rsidR="00475650" w:rsidRDefault="00475650">
      <w:pPr>
        <w:pStyle w:val="afffffffff2"/>
        <w:adjustRightInd w:val="0"/>
        <w:snapToGrid w:val="0"/>
        <w:spacing w:line="360" w:lineRule="auto"/>
        <w:ind w:firstLine="496"/>
        <w:rPr>
          <w:rFonts w:ascii="Times New Roman" w:hAnsi="Times New Roman" w:cs="Times New Roman"/>
          <w:spacing w:val="4"/>
          <w:sz w:val="24"/>
          <w:szCs w:val="24"/>
        </w:rPr>
      </w:pPr>
      <w:r>
        <w:rPr>
          <w:rFonts w:ascii="Times New Roman" w:hAnsi="Times New Roman" w:cs="Times New Roman"/>
          <w:spacing w:val="4"/>
          <w:sz w:val="24"/>
          <w:szCs w:val="24"/>
        </w:rPr>
        <w:t>2</w:t>
      </w:r>
      <w:r>
        <w:rPr>
          <w:rFonts w:ascii="Times New Roman" w:hAnsi="宋体" w:cs="Times New Roman"/>
          <w:spacing w:val="4"/>
          <w:sz w:val="24"/>
          <w:szCs w:val="24"/>
        </w:rPr>
        <w:t>、工艺流程描述</w:t>
      </w:r>
      <w:r>
        <w:rPr>
          <w:rFonts w:ascii="Times New Roman" w:hAnsi="Times New Roman" w:cs="Times New Roman"/>
          <w:spacing w:val="4"/>
          <w:sz w:val="24"/>
          <w:szCs w:val="24"/>
        </w:rPr>
        <w:t xml:space="preserve">                                                                                                                                                                                                                                                                                                                                                                                                                                                                                                                                                                                                                                                                                                                                                                                                                                                                                                                                                                                                                                                                                                    </w:t>
      </w:r>
    </w:p>
    <w:p w:rsidR="00475650" w:rsidRDefault="00475650">
      <w:pPr>
        <w:spacing w:line="360" w:lineRule="auto"/>
        <w:ind w:firstLineChars="200" w:firstLine="480"/>
        <w:rPr>
          <w:rFonts w:hAnsi="宋体"/>
          <w:sz w:val="24"/>
        </w:rPr>
      </w:pPr>
      <w:r>
        <w:rPr>
          <w:rFonts w:hAnsi="宋体"/>
          <w:sz w:val="24"/>
        </w:rPr>
        <w:t>将水</w:t>
      </w:r>
      <w:r>
        <w:rPr>
          <w:rFonts w:hAnsi="宋体" w:hint="eastAsia"/>
          <w:sz w:val="24"/>
        </w:rPr>
        <w:t>、</w:t>
      </w:r>
      <w:r>
        <w:rPr>
          <w:rFonts w:hAnsi="宋体"/>
          <w:sz w:val="24"/>
        </w:rPr>
        <w:t>30%</w:t>
      </w:r>
      <w:r>
        <w:rPr>
          <w:rFonts w:hAnsi="宋体"/>
          <w:sz w:val="24"/>
        </w:rPr>
        <w:t>的盐酸和</w:t>
      </w:r>
      <w:r>
        <w:rPr>
          <w:rFonts w:hAnsi="宋体"/>
          <w:sz w:val="24"/>
        </w:rPr>
        <w:t>2,5-</w:t>
      </w:r>
      <w:r>
        <w:rPr>
          <w:rFonts w:hAnsi="宋体"/>
          <w:sz w:val="24"/>
        </w:rPr>
        <w:t>二氯</w:t>
      </w:r>
      <w:r>
        <w:rPr>
          <w:rFonts w:hAnsi="宋体"/>
          <w:sz w:val="24"/>
        </w:rPr>
        <w:t>-4-</w:t>
      </w:r>
      <w:r>
        <w:rPr>
          <w:rFonts w:hAnsi="宋体"/>
          <w:sz w:val="24"/>
        </w:rPr>
        <w:t>氨基苯磺酸加入</w:t>
      </w:r>
      <w:r>
        <w:rPr>
          <w:rFonts w:hAnsi="宋体" w:hint="eastAsia"/>
          <w:sz w:val="24"/>
        </w:rPr>
        <w:t>反应</w:t>
      </w:r>
      <w:r>
        <w:rPr>
          <w:rFonts w:hAnsi="宋体"/>
          <w:sz w:val="24"/>
        </w:rPr>
        <w:t>釜中，开动搅拌混合，</w:t>
      </w:r>
      <w:r>
        <w:rPr>
          <w:rFonts w:hAnsi="宋体"/>
          <w:sz w:val="24"/>
        </w:rPr>
        <w:t xml:space="preserve">                                                                                                           </w:t>
      </w:r>
      <w:r>
        <w:rPr>
          <w:rFonts w:hAnsi="宋体" w:hint="eastAsia"/>
          <w:sz w:val="24"/>
        </w:rPr>
        <w:t>同时采用冰块</w:t>
      </w:r>
      <w:r>
        <w:rPr>
          <w:rFonts w:hAnsi="宋体"/>
          <w:sz w:val="24"/>
        </w:rPr>
        <w:t>降温至</w:t>
      </w:r>
      <w:r>
        <w:rPr>
          <w:rFonts w:hAnsi="宋体" w:hint="eastAsia"/>
          <w:sz w:val="24"/>
        </w:rPr>
        <w:t>10</w:t>
      </w:r>
      <w:r>
        <w:rPr>
          <w:rFonts w:hAnsi="宋体"/>
          <w:sz w:val="24"/>
        </w:rPr>
        <w:t>℃</w:t>
      </w:r>
      <w:r>
        <w:rPr>
          <w:rFonts w:hAnsi="宋体" w:hint="eastAsia"/>
          <w:sz w:val="24"/>
        </w:rPr>
        <w:t>以下</w:t>
      </w:r>
      <w:r>
        <w:rPr>
          <w:rFonts w:hAnsi="宋体"/>
          <w:sz w:val="24"/>
        </w:rPr>
        <w:t>；另将亚硝酸钠溶于水中冷却至</w:t>
      </w:r>
      <w:r>
        <w:rPr>
          <w:rFonts w:hAnsi="宋体"/>
          <w:sz w:val="24"/>
        </w:rPr>
        <w:t>0</w:t>
      </w:r>
      <w:r>
        <w:rPr>
          <w:rFonts w:hAnsi="宋体"/>
          <w:sz w:val="24"/>
        </w:rPr>
        <w:t>℃以下，将此溶液慢慢加入到反应液中。</w:t>
      </w:r>
    </w:p>
    <w:p w:rsidR="00475650" w:rsidRDefault="00475650">
      <w:pPr>
        <w:pStyle w:val="afffffffff2"/>
        <w:adjustRightInd w:val="0"/>
        <w:snapToGrid w:val="0"/>
        <w:spacing w:line="360" w:lineRule="auto"/>
        <w:ind w:firstLine="496"/>
        <w:rPr>
          <w:rFonts w:ascii="Times New Roman" w:hAnsi="Times New Roman" w:cs="Times New Roman"/>
          <w:spacing w:val="4"/>
          <w:sz w:val="24"/>
          <w:szCs w:val="24"/>
        </w:rPr>
      </w:pPr>
      <w:r>
        <w:rPr>
          <w:rFonts w:ascii="Times New Roman" w:hAnsi="宋体" w:cs="Times New Roman"/>
          <w:spacing w:val="4"/>
          <w:sz w:val="24"/>
          <w:szCs w:val="24"/>
        </w:rPr>
        <w:t>将</w:t>
      </w:r>
      <w:r>
        <w:rPr>
          <w:rFonts w:ascii="Times New Roman" w:hAnsi="Times New Roman" w:cs="Times New Roman"/>
          <w:spacing w:val="4"/>
          <w:sz w:val="24"/>
          <w:szCs w:val="24"/>
        </w:rPr>
        <w:t>1-</w:t>
      </w:r>
      <w:r>
        <w:rPr>
          <w:rFonts w:ascii="Times New Roman" w:hAnsi="宋体" w:cs="Times New Roman"/>
          <w:spacing w:val="4"/>
          <w:sz w:val="24"/>
          <w:szCs w:val="24"/>
        </w:rPr>
        <w:t>苯基</w:t>
      </w:r>
      <w:r>
        <w:rPr>
          <w:rFonts w:ascii="Times New Roman" w:hAnsi="Times New Roman" w:cs="Times New Roman"/>
          <w:spacing w:val="4"/>
          <w:sz w:val="24"/>
          <w:szCs w:val="24"/>
        </w:rPr>
        <w:t>-3-</w:t>
      </w:r>
      <w:r>
        <w:rPr>
          <w:rFonts w:ascii="Times New Roman" w:hAnsi="宋体" w:cs="Times New Roman"/>
          <w:spacing w:val="4"/>
          <w:sz w:val="24"/>
          <w:szCs w:val="24"/>
        </w:rPr>
        <w:t>甲基</w:t>
      </w:r>
      <w:r>
        <w:rPr>
          <w:rFonts w:ascii="Times New Roman" w:hAnsi="Times New Roman" w:cs="Times New Roman"/>
          <w:spacing w:val="4"/>
          <w:sz w:val="24"/>
          <w:szCs w:val="24"/>
        </w:rPr>
        <w:t>-5-</w:t>
      </w:r>
      <w:r>
        <w:rPr>
          <w:rFonts w:ascii="Times New Roman" w:hAnsi="宋体" w:cs="Times New Roman"/>
          <w:spacing w:val="4"/>
          <w:sz w:val="24"/>
          <w:szCs w:val="24"/>
        </w:rPr>
        <w:t>氨基吡唑、碳酸钠和水加入反应釜中，开动搅拌，降温至</w:t>
      </w:r>
      <w:r>
        <w:rPr>
          <w:rFonts w:ascii="Times New Roman" w:hAnsi="Times New Roman" w:cs="Times New Roman"/>
          <w:spacing w:val="4"/>
          <w:sz w:val="24"/>
          <w:szCs w:val="24"/>
        </w:rPr>
        <w:t>0</w:t>
      </w:r>
      <w:r>
        <w:rPr>
          <w:rFonts w:ascii="Times New Roman" w:hAnsi="宋体" w:cs="Times New Roman"/>
          <w:spacing w:val="4"/>
          <w:sz w:val="24"/>
          <w:szCs w:val="24"/>
        </w:rPr>
        <w:t>℃，持续加入重氮液，温度维持在</w:t>
      </w:r>
      <w:r>
        <w:rPr>
          <w:rFonts w:ascii="Times New Roman" w:hAnsi="Times New Roman" w:cs="Times New Roman"/>
          <w:spacing w:val="4"/>
          <w:sz w:val="24"/>
          <w:szCs w:val="24"/>
        </w:rPr>
        <w:t>0</w:t>
      </w:r>
      <w:r>
        <w:rPr>
          <w:rFonts w:ascii="Times New Roman" w:hAnsi="宋体" w:cs="Times New Roman"/>
          <w:spacing w:val="4"/>
          <w:sz w:val="24"/>
          <w:szCs w:val="24"/>
        </w:rPr>
        <w:t>～</w:t>
      </w:r>
      <w:r>
        <w:rPr>
          <w:rFonts w:ascii="Times New Roman" w:hAnsi="Times New Roman" w:cs="Times New Roman"/>
          <w:spacing w:val="4"/>
          <w:sz w:val="24"/>
          <w:szCs w:val="24"/>
        </w:rPr>
        <w:t>3</w:t>
      </w:r>
      <w:r>
        <w:rPr>
          <w:rFonts w:ascii="Times New Roman" w:hAnsi="宋体" w:cs="Times New Roman"/>
          <w:spacing w:val="4"/>
          <w:sz w:val="24"/>
          <w:szCs w:val="24"/>
        </w:rPr>
        <w:t>℃。向混合液重加入盐酸调节</w:t>
      </w:r>
      <w:r>
        <w:rPr>
          <w:rFonts w:ascii="Times New Roman" w:hAnsi="Times New Roman" w:cs="Times New Roman"/>
          <w:spacing w:val="4"/>
          <w:sz w:val="24"/>
          <w:szCs w:val="24"/>
        </w:rPr>
        <w:t>pH</w:t>
      </w:r>
      <w:r>
        <w:rPr>
          <w:rFonts w:ascii="Times New Roman" w:hAnsi="宋体" w:cs="Times New Roman"/>
          <w:spacing w:val="4"/>
          <w:sz w:val="24"/>
          <w:szCs w:val="24"/>
        </w:rPr>
        <w:t>，继续搅拌，过滤得到粗品染料，在干燥箱中干燥得到成品酸性黄</w:t>
      </w:r>
      <w:r>
        <w:rPr>
          <w:rFonts w:ascii="Times New Roman" w:hAnsi="Times New Roman" w:cs="Times New Roman"/>
          <w:spacing w:val="4"/>
          <w:sz w:val="24"/>
          <w:szCs w:val="24"/>
        </w:rPr>
        <w:t>49</w:t>
      </w:r>
      <w:r>
        <w:rPr>
          <w:rFonts w:ascii="Times New Roman" w:hAnsi="宋体" w:cs="Times New Roman"/>
          <w:spacing w:val="4"/>
          <w:sz w:val="24"/>
          <w:szCs w:val="24"/>
        </w:rPr>
        <w:t>，破碎，包装得到成品。</w:t>
      </w:r>
      <w:r>
        <w:rPr>
          <w:rFonts w:ascii="Times New Roman" w:hAnsi="Times New Roman" w:cs="Times New Roman"/>
          <w:spacing w:val="4"/>
          <w:sz w:val="24"/>
          <w:szCs w:val="24"/>
        </w:rPr>
        <w:t xml:space="preserve">                                                                                                                                                                                                                                                                                                                                                                                                                                                                                                                                                                                                                                                                                                                                                                                                                                                                                                                                                                                                                                                                                                                                                                                                                                                                                                                                                                                                                                                                                                                                                                                                                                                                                                                                                                                                                                                                                                                                                                                                                                                                                                                                                                                                                                                                                                                                                                                                                                                                                                                                                                </w:t>
      </w:r>
    </w:p>
    <w:p w:rsidR="00475650" w:rsidRDefault="00475650">
      <w:pPr>
        <w:pStyle w:val="afffffffff2"/>
        <w:adjustRightInd w:val="0"/>
        <w:snapToGrid w:val="0"/>
        <w:spacing w:line="360" w:lineRule="auto"/>
        <w:ind w:firstLine="496"/>
        <w:rPr>
          <w:rFonts w:ascii="Times New Roman" w:hAnsi="Times New Roman" w:cs="Times New Roman"/>
          <w:spacing w:val="4"/>
          <w:sz w:val="24"/>
          <w:szCs w:val="24"/>
        </w:rPr>
      </w:pPr>
      <w:r>
        <w:rPr>
          <w:rFonts w:ascii="Times New Roman" w:hAnsi="宋体" w:cs="Times New Roman"/>
          <w:spacing w:val="4"/>
          <w:sz w:val="24"/>
          <w:szCs w:val="24"/>
        </w:rPr>
        <w:t>工艺流程图如下：</w:t>
      </w:r>
    </w:p>
    <w:p w:rsidR="00475650" w:rsidRDefault="006F27A1">
      <w:pPr>
        <w:pStyle w:val="afffffffff2"/>
        <w:adjustRightInd w:val="0"/>
        <w:snapToGrid w:val="0"/>
        <w:spacing w:line="360" w:lineRule="auto"/>
        <w:ind w:firstLine="18"/>
        <w:rPr>
          <w:rFonts w:ascii="Times New Roman" w:hAnsi="Times New Roman" w:cs="Times New Roman"/>
          <w:spacing w:val="4"/>
          <w:sz w:val="24"/>
          <w:szCs w:val="24"/>
        </w:rPr>
      </w:pPr>
      <w:r>
        <w:rPr>
          <w:rFonts w:ascii="Times New Roman" w:hAnsi="Times New Roman" w:cs="Times New Roman"/>
          <w:spacing w:val="4"/>
          <w:sz w:val="24"/>
          <w:szCs w:val="24"/>
        </w:rPr>
      </w:r>
      <w:r>
        <w:rPr>
          <w:rFonts w:ascii="Times New Roman" w:hAnsi="Times New Roman" w:cs="Times New Roman"/>
          <w:spacing w:val="4"/>
          <w:sz w:val="24"/>
          <w:szCs w:val="24"/>
        </w:rPr>
        <w:pict>
          <v:group id="画布 18688" o:spid="_x0000_s20736" editas="canvas" style="width:471.5pt;height:228.5pt;mso-position-horizontal-relative:char;mso-position-vertical-relative:line" coordorigin="1384,6250" coordsize="9430,4570">
            <o:lock v:ext="edit" aspectratio="t" text="t"/>
            <o:diagram v:ext="edit" dgmstyle="0" dgmscalex="0" dgmscaley="0"/>
            <v:shape id="_x0000_s20737" type="#_x0000_t75" style="position:absolute;left:1384;top:6250;width:9430;height:4570" o:preferrelative="f">
              <v:path o:extrusionok="t"/>
              <o:lock v:ext="edit" rotation="t" text="t"/>
              <o:diagram v:ext="edit" dgmstyle="0" dgmscalex="0" dgmscaley="0"/>
            </v:shape>
            <v:rect id="矩形 18690" o:spid="_x0000_s20738" style="position:absolute;left:1650;top:7004;width:1710;height:946" filled="f" fillcolor="#030" stroked="f">
              <v:textbox>
                <w:txbxContent>
                  <w:p w:rsidR="00BD74CB" w:rsidRDefault="00BD74CB">
                    <w:r>
                      <w:rPr>
                        <w:rFonts w:hint="eastAsia"/>
                      </w:rPr>
                      <w:t>2,5-</w:t>
                    </w:r>
                    <w:r>
                      <w:rPr>
                        <w:rFonts w:hint="eastAsia"/>
                      </w:rPr>
                      <w:t>二氯</w:t>
                    </w:r>
                    <w:r>
                      <w:rPr>
                        <w:rFonts w:hint="eastAsia"/>
                      </w:rPr>
                      <w:t>-4-</w:t>
                    </w:r>
                    <w:r>
                      <w:rPr>
                        <w:rFonts w:hint="eastAsia"/>
                      </w:rPr>
                      <w:t>氨基苯磺酸；</w:t>
                    </w:r>
                  </w:p>
                  <w:p w:rsidR="00BD74CB" w:rsidRDefault="00BD74CB">
                    <w:r>
                      <w:rPr>
                        <w:rFonts w:hint="eastAsia"/>
                      </w:rPr>
                      <w:t>水；盐酸</w:t>
                    </w:r>
                  </w:p>
                </w:txbxContent>
              </v:textbox>
            </v:rect>
            <v:rect id="矩形 18691" o:spid="_x0000_s20739" style="position:absolute;left:3704;top:7274;width:1726;height:510">
              <v:textbox>
                <w:txbxContent>
                  <w:p w:rsidR="00BD74CB" w:rsidRDefault="00BD74CB">
                    <w:pPr>
                      <w:ind w:firstLineChars="100" w:firstLine="210"/>
                    </w:pPr>
                    <w:r>
                      <w:rPr>
                        <w:rFonts w:hint="eastAsia"/>
                      </w:rPr>
                      <w:t>重氮反应釜</w:t>
                    </w:r>
                  </w:p>
                </w:txbxContent>
              </v:textbox>
            </v:rect>
            <v:rect id="矩形 18692" o:spid="_x0000_s20740" style="position:absolute;left:2843;top:6394;width:1866;height:465" filled="f" fillcolor="#030" stroked="f">
              <v:textbox>
                <w:txbxContent>
                  <w:p w:rsidR="00BD74CB" w:rsidRDefault="00BD74CB">
                    <w:r>
                      <w:rPr>
                        <w:rFonts w:hint="eastAsia"/>
                      </w:rPr>
                      <w:t>亚硝酸钠、冰块</w:t>
                    </w:r>
                  </w:p>
                  <w:p w:rsidR="00BD74CB" w:rsidRDefault="00BD74CB"/>
                </w:txbxContent>
              </v:textbox>
            </v:rect>
            <v:line id="直线 18693" o:spid="_x0000_s20741" style="position:absolute" from="3164,7596" to="3704,7596">
              <v:stroke endarrow="block"/>
            </v:line>
            <v:line id="直线 18697" o:spid="_x0000_s20745" style="position:absolute" from="5414,7596" to="6778,7596">
              <v:stroke endarrow="block"/>
            </v:line>
            <v:rect id="矩形 18699" o:spid="_x0000_s20747" style="position:absolute;left:6778;top:7236;width:1726;height:510">
              <v:textbox>
                <w:txbxContent>
                  <w:p w:rsidR="00BD74CB" w:rsidRDefault="00BD74CB">
                    <w:pPr>
                      <w:ind w:firstLineChars="100" w:firstLine="210"/>
                    </w:pPr>
                    <w:r>
                      <w:rPr>
                        <w:rFonts w:hint="eastAsia"/>
                      </w:rPr>
                      <w:t>偶合反应釜</w:t>
                    </w:r>
                  </w:p>
                </w:txbxContent>
              </v:textbox>
            </v:rect>
            <v:rect id="矩形 18703" o:spid="_x0000_s20751" style="position:absolute;left:6908;top:6407;width:2830;height:465" filled="f" fillcolor="#030" stroked="f">
              <v:textbox>
                <w:txbxContent>
                  <w:p w:rsidR="00BD74CB" w:rsidRDefault="00BD74CB">
                    <w:r>
                      <w:rPr>
                        <w:rFonts w:hint="eastAsia"/>
                      </w:rPr>
                      <w:t>1-</w:t>
                    </w:r>
                    <w:r>
                      <w:rPr>
                        <w:rFonts w:hint="eastAsia"/>
                      </w:rPr>
                      <w:t>苯基</w:t>
                    </w:r>
                    <w:r>
                      <w:rPr>
                        <w:rFonts w:hint="eastAsia"/>
                      </w:rPr>
                      <w:t>-3-</w:t>
                    </w:r>
                    <w:r>
                      <w:rPr>
                        <w:rFonts w:hint="eastAsia"/>
                      </w:rPr>
                      <w:t>甲基</w:t>
                    </w:r>
                    <w:r>
                      <w:rPr>
                        <w:rFonts w:hint="eastAsia"/>
                      </w:rPr>
                      <w:t>-5-</w:t>
                    </w:r>
                    <w:r>
                      <w:rPr>
                        <w:rFonts w:hint="eastAsia"/>
                      </w:rPr>
                      <w:t>氨基吡唑</w:t>
                    </w:r>
                  </w:p>
                </w:txbxContent>
              </v:textbox>
            </v:rect>
            <v:line id="直线 18704" o:spid="_x0000_s20752" style="position:absolute;flip:x" from="8518,7566" to="9074,7566">
              <v:stroke endarrow="block"/>
            </v:line>
            <v:rect id="矩形 18705" o:spid="_x0000_s20753" style="position:absolute;left:8851;top:7316;width:1963;height:390" filled="f" fillcolor="#030" stroked="f">
              <v:textbox>
                <w:txbxContent>
                  <w:p w:rsidR="00BD74CB" w:rsidRDefault="00BD74CB">
                    <w:r>
                      <w:rPr>
                        <w:rFonts w:hint="eastAsia"/>
                      </w:rPr>
                      <w:t>碳酸钠，水，冰块</w:t>
                    </w:r>
                  </w:p>
                </w:txbxContent>
              </v:textbox>
            </v:rect>
            <v:line id="直线 18706" o:spid="_x0000_s20754" style="position:absolute" from="7678,7762" to="7678,8482">
              <v:stroke endarrow="block"/>
            </v:line>
            <v:rect id="矩形 18707" o:spid="_x0000_s20755" style="position:absolute;left:5618;top:7152;width:1018;height:465" filled="f" fillcolor="#030" stroked="f">
              <v:textbox>
                <w:txbxContent>
                  <w:p w:rsidR="00BD74CB" w:rsidRDefault="00BD74CB">
                    <w:r>
                      <w:rPr>
                        <w:rFonts w:hint="eastAsia"/>
                      </w:rPr>
                      <w:t>重氮液</w:t>
                    </w:r>
                  </w:p>
                </w:txbxContent>
              </v:textbox>
            </v:rect>
            <v:rect id="矩形 18708" o:spid="_x0000_s20756" style="position:absolute;left:6870;top:8496;width:1726;height:510">
              <v:textbox>
                <w:txbxContent>
                  <w:p w:rsidR="00BD74CB" w:rsidRDefault="00BD74CB">
                    <w:pPr>
                      <w:ind w:firstLineChars="100" w:firstLine="210"/>
                    </w:pPr>
                    <w:r>
                      <w:rPr>
                        <w:rFonts w:hint="eastAsia"/>
                      </w:rPr>
                      <w:t>隔膜压滤机</w:t>
                    </w:r>
                  </w:p>
                </w:txbxContent>
              </v:textbox>
            </v:rect>
            <v:rect id="矩形 18716" o:spid="_x0000_s20764" style="position:absolute;left:6786;top:7916;width:1018;height:465" filled="f" fillcolor="#030" stroked="f">
              <v:textbox>
                <w:txbxContent>
                  <w:p w:rsidR="00BD74CB" w:rsidRDefault="00BD74CB">
                    <w:r>
                      <w:rPr>
                        <w:rFonts w:hint="eastAsia"/>
                      </w:rPr>
                      <w:t>偶合液</w:t>
                    </w:r>
                  </w:p>
                </w:txbxContent>
              </v:textbox>
            </v:rect>
            <v:line id="直线 18717" o:spid="_x0000_s20765" style="position:absolute" from="7738,9006" to="7738,9576">
              <v:stroke endarrow="block"/>
            </v:line>
            <v:rect id="矩形 18719" o:spid="_x0000_s20767" style="position:absolute;left:6908;top:9070;width:854;height:465" filled="f" fillcolor="#030" stroked="f">
              <v:textbox>
                <w:txbxContent>
                  <w:p w:rsidR="00BD74CB" w:rsidRDefault="00BD74CB">
                    <w:r>
                      <w:rPr>
                        <w:rFonts w:hint="eastAsia"/>
                      </w:rPr>
                      <w:t>滤饼</w:t>
                    </w:r>
                  </w:p>
                </w:txbxContent>
              </v:textbox>
            </v:rect>
            <v:rect id="矩形 18720" o:spid="_x0000_s20768" style="position:absolute;left:9414;top:10340;width:568;height:480" filled="f" fillcolor="#030" stroked="f">
              <v:textbox>
                <w:txbxContent>
                  <w:p w:rsidR="00BD74CB" w:rsidRDefault="00BD74CB">
                    <w:r>
                      <w:rPr>
                        <w:rFonts w:hint="eastAsia"/>
                      </w:rPr>
                      <w:t>W</w:t>
                    </w:r>
                  </w:p>
                </w:txbxContent>
              </v:textbox>
            </v:rect>
            <v:rect id="矩形 18721" o:spid="_x0000_s20769" style="position:absolute;left:7164;top:9562;width:1241;height:510">
              <v:textbox>
                <w:txbxContent>
                  <w:p w:rsidR="00BD74CB" w:rsidRDefault="00BD74CB">
                    <w:pPr>
                      <w:ind w:firstLineChars="100" w:firstLine="210"/>
                    </w:pPr>
                    <w:r>
                      <w:rPr>
                        <w:rFonts w:hint="eastAsia"/>
                      </w:rPr>
                      <w:t>烘</w:t>
                    </w:r>
                    <w:r>
                      <w:rPr>
                        <w:rFonts w:hint="eastAsia"/>
                      </w:rPr>
                      <w:t xml:space="preserve"> </w:t>
                    </w:r>
                    <w:r>
                      <w:rPr>
                        <w:rFonts w:hint="eastAsia"/>
                      </w:rPr>
                      <w:t>箱</w:t>
                    </w:r>
                  </w:p>
                </w:txbxContent>
              </v:textbox>
            </v:rect>
            <v:rect id="矩形 18723" o:spid="_x0000_s20771" style="position:absolute;left:8733;top:8381;width:854;height:465" filled="f" fillcolor="#030" stroked="f">
              <v:textbox>
                <w:txbxContent>
                  <w:p w:rsidR="00BD74CB" w:rsidRDefault="00BD74CB">
                    <w:r>
                      <w:rPr>
                        <w:rFonts w:hint="eastAsia"/>
                      </w:rPr>
                      <w:t>滤液</w:t>
                    </w:r>
                  </w:p>
                </w:txbxContent>
              </v:textbox>
            </v:rect>
            <v:line id="直线 18724" o:spid="_x0000_s20772" style="position:absolute;flip:x" from="6463,9786" to="7139,9787">
              <v:stroke endarrow="block"/>
            </v:line>
            <v:rect id="矩形 18725" o:spid="_x0000_s20773" style="position:absolute;left:4881;top:9590;width:1569;height:510">
              <v:textbox>
                <w:txbxContent>
                  <w:p w:rsidR="00BD74CB" w:rsidRDefault="00BD74CB">
                    <w:r>
                      <w:rPr>
                        <w:rFonts w:hint="eastAsia"/>
                      </w:rPr>
                      <w:t>破碎</w:t>
                    </w:r>
                    <w:r>
                      <w:rPr>
                        <w:rFonts w:hint="eastAsia"/>
                      </w:rPr>
                      <w:t>+</w:t>
                    </w:r>
                    <w:r>
                      <w:rPr>
                        <w:rFonts w:hint="eastAsia"/>
                      </w:rPr>
                      <w:t>包装</w:t>
                    </w:r>
                  </w:p>
                </w:txbxContent>
              </v:textbox>
            </v:rect>
            <v:rect id="矩形 18729" o:spid="_x0000_s20777" style="position:absolute;left:2726;top:9535;width:1431;height:815" filled="f" fillcolor="#030" stroked="f">
              <v:textbox>
                <w:txbxContent>
                  <w:p w:rsidR="00BD74CB" w:rsidRDefault="00BD74CB">
                    <w:r>
                      <w:rPr>
                        <w:rFonts w:hint="eastAsia"/>
                      </w:rPr>
                      <w:t>产品：</w:t>
                    </w:r>
                  </w:p>
                  <w:p w:rsidR="00BD74CB" w:rsidRDefault="00BD74CB">
                    <w:r>
                      <w:rPr>
                        <w:rFonts w:hint="eastAsia"/>
                      </w:rPr>
                      <w:t>酸性黄</w:t>
                    </w:r>
                    <w:r>
                      <w:rPr>
                        <w:rFonts w:hint="eastAsia"/>
                      </w:rPr>
                      <w:t>49</w:t>
                    </w:r>
                  </w:p>
                </w:txbxContent>
              </v:textbox>
            </v:rect>
            <v:line id="直线 18730" o:spid="_x0000_s20778" style="position:absolute" from="3860,6780" to="3861,7274">
              <v:stroke endarrow="block"/>
            </v:line>
            <v:line id="直线 18734" o:spid="_x0000_s20782" style="position:absolute" from="8020,6960" to="8020,7214">
              <v:stroke endarrow="block"/>
            </v:line>
            <v:line id="直线 18735" o:spid="_x0000_s20783" style="position:absolute" from="8020,6960" to="8514,6960"/>
            <v:line id="直线 18737" o:spid="_x0000_s20785" style="position:absolute" from="7604,6748" to="7605,7274">
              <v:stroke endarrow="block"/>
            </v:line>
            <v:rect id="矩形 18738" o:spid="_x0000_s20786" style="position:absolute;left:8514;top:6770;width:900;height:390" filled="f" fillcolor="#030" stroked="f">
              <v:textbox>
                <w:txbxContent>
                  <w:p w:rsidR="00BD74CB" w:rsidRDefault="00BD74CB">
                    <w:r>
                      <w:rPr>
                        <w:rFonts w:hint="eastAsia"/>
                      </w:rPr>
                      <w:t>盐酸</w:t>
                    </w:r>
                  </w:p>
                </w:txbxContent>
              </v:textbox>
            </v:rect>
            <v:line id="直线 18739" o:spid="_x0000_s22205" style="position:absolute;flip:x" from="3935,9785" to="4881,9786">
              <v:stroke endarrow="block"/>
            </v:line>
            <v:shape id="直线 18557" o:spid="_x0000_s22279" style="position:absolute;left:5021;top:6872;width:6;height:364;mso-wrap-style:square" coordsize="6,364" path="m,364l6,e">
              <v:stroke endarrow="block"/>
              <v:path arrowok="t"/>
            </v:shape>
            <v:rect id="矩形 18547" o:spid="_x0000_s22280" style="position:absolute;left:4881;top:6568;width:533;height:392" filled="f" fillcolor="#030" stroked="f">
              <v:textbox>
                <w:txbxContent>
                  <w:p w:rsidR="00BD74CB" w:rsidRDefault="00BD74CB">
                    <w:r>
                      <w:rPr>
                        <w:rFonts w:hint="eastAsia"/>
                      </w:rPr>
                      <w:t>G</w:t>
                    </w:r>
                  </w:p>
                </w:txbxContent>
              </v:textbox>
            </v:rect>
            <v:shape id="直线 18557" o:spid="_x0000_s22333" style="position:absolute;left:6844;top:6872;width:6;height:364;mso-wrap-style:square" coordsize="6,364" path="m,364l6,e">
              <v:stroke endarrow="block"/>
              <v:path arrowok="t"/>
            </v:shape>
            <v:rect id="矩形 18547" o:spid="_x0000_s22334" style="position:absolute;left:6606;top:6568;width:533;height:392" filled="f" fillcolor="#030" stroked="f">
              <v:textbox>
                <w:txbxContent>
                  <w:p w:rsidR="00BD74CB" w:rsidRDefault="00BD74CB">
                    <w:r>
                      <w:rPr>
                        <w:rFonts w:hint="eastAsia"/>
                      </w:rPr>
                      <w:t>G</w:t>
                    </w:r>
                  </w:p>
                </w:txbxContent>
              </v:textbox>
            </v:rect>
            <v:shape id="直线 18557" o:spid="_x0000_s22335" style="position:absolute;left:5402;top:9226;width:6;height:364;mso-wrap-style:square" coordsize="6,364" path="m,364l6,e">
              <v:stroke endarrow="block"/>
              <v:path arrowok="t"/>
            </v:shape>
            <v:rect id="矩形 18547" o:spid="_x0000_s22336" style="position:absolute;left:5191;top:8952;width:533;height:392" filled="f" fillcolor="#030" stroked="f">
              <v:textbox>
                <w:txbxContent>
                  <w:p w:rsidR="00BD74CB" w:rsidRDefault="00BD74CB">
                    <w:r>
                      <w:rPr>
                        <w:rFonts w:hint="eastAsia"/>
                      </w:rPr>
                      <w:t>G</w:t>
                    </w:r>
                  </w:p>
                </w:txbxContent>
              </v:textbox>
            </v:rect>
            <v:shape id="直线 18557" o:spid="_x0000_s22337" style="position:absolute;left:8188;top:9226;width:6;height:364;mso-wrap-style:square" coordsize="6,364" path="m,364l6,e">
              <v:stroke endarrow="block"/>
              <v:path arrowok="t"/>
            </v:shape>
            <v:rect id="矩形 18547" o:spid="_x0000_s22338" style="position:absolute;left:7971;top:9006;width:533;height:392" filled="f" fillcolor="#030" stroked="f">
              <v:textbox>
                <w:txbxContent>
                  <w:p w:rsidR="00BD74CB" w:rsidRDefault="00BD74CB">
                    <w:r>
                      <w:rPr>
                        <w:rFonts w:hint="eastAsia"/>
                      </w:rPr>
                      <w:t>G</w:t>
                    </w:r>
                  </w:p>
                </w:txbxContent>
              </v:textbox>
            </v:rect>
            <v:shape id="直线 18557" o:spid="_x0000_s22383" style="position:absolute;left:4511;top:7784;width:6;height:364;mso-wrap-style:square" coordsize="6,364" path="m,364l6,e">
              <v:stroke endarrow="block"/>
              <v:path arrowok="t"/>
            </v:shape>
            <v:rect id="矩形 18547" o:spid="_x0000_s22384" style="position:absolute;left:4264;top:8104;width:927;height:392" filled="f" fillcolor="#030" stroked="f">
              <v:textbox>
                <w:txbxContent>
                  <w:p w:rsidR="00BD74CB" w:rsidRDefault="00BD74CB">
                    <w:r>
                      <w:rPr>
                        <w:rFonts w:hint="eastAsia"/>
                      </w:rPr>
                      <w:t>尿素</w:t>
                    </w:r>
                  </w:p>
                </w:txbxContent>
              </v:textbox>
            </v:rect>
            <v:shape id="直线 18557" o:spid="_x0000_s22385" style="position:absolute;left:8188;top:8104;width:6;height:364;mso-wrap-style:square" coordsize="6,364" path="m,364l6,e">
              <v:stroke endarrow="block"/>
              <v:path arrowok="t"/>
            </v:shape>
            <v:rect id="矩形 18547" o:spid="_x0000_s22386" style="position:absolute;left:7971;top:7784;width:533;height:392" filled="f" fillcolor="#030" stroked="f">
              <v:textbox>
                <w:txbxContent>
                  <w:p w:rsidR="00BD74CB" w:rsidRDefault="00BD74CB">
                    <w:r>
                      <w:rPr>
                        <w:rFonts w:hint="eastAsia"/>
                      </w:rPr>
                      <w:t>G</w:t>
                    </w:r>
                  </w:p>
                </w:txbxContent>
              </v:textbox>
            </v:rect>
            <v:line id="直线 18693" o:spid="_x0000_s22387" style="position:absolute" from="8596,8714" to="9616,8715">
              <v:stroke endarrow="block"/>
            </v:line>
            <v:line id="直线 18730" o:spid="_x0000_s22388" style="position:absolute" from="9587,8714" to="9588,9564">
              <v:stroke endarrow="block"/>
            </v:line>
            <v:rect id="矩形 18708" o:spid="_x0000_s22389" style="position:absolute;left:8927;top:9576;width:1448;height:510">
              <v:textbox>
                <w:txbxContent>
                  <w:p w:rsidR="00BD74CB" w:rsidRDefault="00BD74CB">
                    <w:r>
                      <w:rPr>
                        <w:rFonts w:hint="eastAsia"/>
                      </w:rPr>
                      <w:t>隔油沉淀池</w:t>
                    </w:r>
                  </w:p>
                </w:txbxContent>
              </v:textbox>
            </v:rect>
            <v:line id="直线 18724" o:spid="_x0000_s22390" style="position:absolute;flip:x" from="8405,9756" to="8859,9757">
              <v:stroke endarrow="block"/>
            </v:line>
            <v:line id="直线 18706" o:spid="_x0000_s22391" style="position:absolute" from="9616,10100" to="9617,10440">
              <v:stroke endarrow="block"/>
            </v:line>
            <v:rect id="矩形 18594" o:spid="_x0000_s22392" style="position:absolute;left:8405;top:9226;width:669;height:480" filled="f" fillcolor="#030" stroked="f">
              <v:textbox>
                <w:txbxContent>
                  <w:p w:rsidR="00BD74CB" w:rsidRDefault="00BD74CB">
                    <w:r>
                      <w:rPr>
                        <w:rFonts w:hint="eastAsia"/>
                      </w:rPr>
                      <w:t>渣</w:t>
                    </w:r>
                  </w:p>
                </w:txbxContent>
              </v:textbox>
            </v:rect>
            <w10:wrap type="none"/>
            <w10:anchorlock/>
          </v:group>
        </w:pict>
      </w:r>
    </w:p>
    <w:p w:rsidR="00475650" w:rsidRDefault="00475650">
      <w:pPr>
        <w:pStyle w:val="afffffffff2"/>
        <w:adjustRightInd w:val="0"/>
        <w:snapToGrid w:val="0"/>
        <w:spacing w:line="360" w:lineRule="auto"/>
        <w:ind w:firstLine="18"/>
        <w:jc w:val="center"/>
        <w:rPr>
          <w:rFonts w:ascii="Times New Roman" w:hAnsi="Times New Roman" w:cs="Times New Roman"/>
          <w:spacing w:val="4"/>
          <w:sz w:val="24"/>
          <w:szCs w:val="24"/>
        </w:rPr>
      </w:pPr>
      <w:r>
        <w:rPr>
          <w:rFonts w:ascii="Times New Roman" w:hAnsi="宋体" w:cs="Times New Roman"/>
          <w:spacing w:val="4"/>
          <w:sz w:val="24"/>
          <w:szCs w:val="24"/>
        </w:rPr>
        <w:t>图</w:t>
      </w:r>
      <w:r>
        <w:rPr>
          <w:rFonts w:ascii="Times New Roman" w:hAnsi="Times New Roman" w:cs="Times New Roman"/>
          <w:spacing w:val="4"/>
          <w:sz w:val="24"/>
          <w:szCs w:val="24"/>
        </w:rPr>
        <w:t>3-</w:t>
      </w:r>
      <w:r>
        <w:rPr>
          <w:rFonts w:ascii="Times New Roman" w:hAnsi="Times New Roman" w:cs="Times New Roman" w:hint="eastAsia"/>
          <w:spacing w:val="4"/>
          <w:sz w:val="24"/>
          <w:szCs w:val="24"/>
        </w:rPr>
        <w:t>3</w:t>
      </w:r>
      <w:r>
        <w:rPr>
          <w:rFonts w:ascii="Times New Roman" w:hAnsi="Times New Roman" w:cs="Times New Roman"/>
          <w:spacing w:val="4"/>
          <w:sz w:val="24"/>
          <w:szCs w:val="24"/>
        </w:rPr>
        <w:t xml:space="preserve"> </w:t>
      </w:r>
      <w:r>
        <w:rPr>
          <w:rFonts w:ascii="Times New Roman" w:hAnsi="宋体" w:cs="Times New Roman"/>
          <w:spacing w:val="4"/>
          <w:sz w:val="24"/>
          <w:szCs w:val="24"/>
        </w:rPr>
        <w:t>酸性黄</w:t>
      </w:r>
      <w:r>
        <w:rPr>
          <w:rFonts w:ascii="Times New Roman" w:hAnsi="Times New Roman" w:cs="Times New Roman"/>
          <w:spacing w:val="4"/>
          <w:sz w:val="24"/>
          <w:szCs w:val="24"/>
        </w:rPr>
        <w:t>49</w:t>
      </w:r>
      <w:r>
        <w:rPr>
          <w:rFonts w:ascii="Times New Roman" w:hAnsi="宋体" w:cs="Times New Roman"/>
          <w:spacing w:val="4"/>
          <w:sz w:val="24"/>
          <w:szCs w:val="24"/>
        </w:rPr>
        <w:t>生产工艺流程图</w:t>
      </w:r>
    </w:p>
    <w:p w:rsidR="00475650" w:rsidRDefault="00475650">
      <w:pPr>
        <w:pStyle w:val="af4"/>
      </w:pPr>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558" w:name="_Toc334014150"/>
      <w:bookmarkStart w:id="559" w:name="_Toc333229958"/>
      <w:bookmarkStart w:id="560" w:name="_Toc334080792"/>
      <w:bookmarkStart w:id="561" w:name="_Toc448999095"/>
      <w:bookmarkStart w:id="562" w:name="_Toc465676991"/>
      <w:bookmarkStart w:id="563" w:name="_Toc9385"/>
      <w:r>
        <w:rPr>
          <w:rStyle w:val="2Char1Char"/>
          <w:rFonts w:ascii="Times New Roman" w:eastAsia="宋体" w:hAnsi="Times New Roman" w:cs="Times New Roman"/>
          <w:b w:val="0"/>
          <w:sz w:val="24"/>
          <w:szCs w:val="24"/>
        </w:rPr>
        <w:t>3.3.4.2</w:t>
      </w:r>
      <w:r>
        <w:rPr>
          <w:rStyle w:val="2Char1Char"/>
          <w:rFonts w:ascii="Times New Roman" w:eastAsia="宋体" w:hAnsi="宋体" w:cs="Times New Roman"/>
          <w:b w:val="0"/>
          <w:sz w:val="24"/>
          <w:szCs w:val="24"/>
        </w:rPr>
        <w:t>主要工艺技术指标及操作条件</w:t>
      </w:r>
      <w:bookmarkEnd w:id="558"/>
      <w:bookmarkEnd w:id="559"/>
      <w:bookmarkEnd w:id="560"/>
      <w:bookmarkEnd w:id="561"/>
      <w:bookmarkEnd w:id="562"/>
      <w:bookmarkEnd w:id="563"/>
    </w:p>
    <w:p w:rsidR="00475650" w:rsidRDefault="00475650">
      <w:pPr>
        <w:spacing w:line="360" w:lineRule="auto"/>
        <w:ind w:firstLineChars="200" w:firstLine="480"/>
        <w:rPr>
          <w:sz w:val="24"/>
        </w:rPr>
      </w:pPr>
      <w:r>
        <w:rPr>
          <w:rFonts w:hAnsi="宋体"/>
          <w:sz w:val="24"/>
        </w:rPr>
        <w:t>本工艺主要反应为重氮化和</w:t>
      </w:r>
      <w:r>
        <w:rPr>
          <w:rFonts w:hAnsi="宋体" w:hint="eastAsia"/>
          <w:sz w:val="24"/>
        </w:rPr>
        <w:t>偶合</w:t>
      </w:r>
      <w:r>
        <w:rPr>
          <w:rFonts w:hAnsi="宋体"/>
          <w:sz w:val="24"/>
        </w:rPr>
        <w:t>，各反应釜反应条件均为常温常压，产品干燥采用蒸汽间接加热。根据可研及业主提供的资料，本项目各步反应参数见表</w:t>
      </w:r>
      <w:r>
        <w:rPr>
          <w:sz w:val="24"/>
        </w:rPr>
        <w:t>3.3-4</w:t>
      </w:r>
      <w:r>
        <w:rPr>
          <w:rFonts w:hAnsi="宋体"/>
          <w:sz w:val="24"/>
        </w:rPr>
        <w:t>。</w:t>
      </w:r>
      <w:r>
        <w:rPr>
          <w:sz w:val="24"/>
        </w:rPr>
        <w:t xml:space="preserve">                        </w:t>
      </w:r>
    </w:p>
    <w:p w:rsidR="00475650" w:rsidRDefault="00475650">
      <w:pPr>
        <w:adjustRightInd w:val="0"/>
        <w:snapToGrid w:val="0"/>
        <w:spacing w:line="360" w:lineRule="auto"/>
        <w:jc w:val="center"/>
        <w:rPr>
          <w:sz w:val="24"/>
        </w:rPr>
      </w:pPr>
      <w:r>
        <w:rPr>
          <w:rFonts w:hAnsi="宋体"/>
          <w:bCs/>
          <w:spacing w:val="4"/>
          <w:sz w:val="24"/>
        </w:rPr>
        <w:t>表</w:t>
      </w:r>
      <w:r>
        <w:rPr>
          <w:bCs/>
          <w:spacing w:val="4"/>
          <w:sz w:val="24"/>
        </w:rPr>
        <w:t xml:space="preserve">3.3-4    </w:t>
      </w:r>
      <w:r>
        <w:rPr>
          <w:rFonts w:hAnsi="宋体"/>
          <w:bCs/>
          <w:spacing w:val="4"/>
          <w:sz w:val="24"/>
        </w:rPr>
        <w:t>生产工艺各步反应参数表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004"/>
        <w:gridCol w:w="950"/>
        <w:gridCol w:w="1319"/>
        <w:gridCol w:w="811"/>
        <w:gridCol w:w="1097"/>
        <w:gridCol w:w="811"/>
        <w:gridCol w:w="3011"/>
      </w:tblGrid>
      <w:tr w:rsidR="00475650">
        <w:trPr>
          <w:jc w:val="center"/>
        </w:trPr>
        <w:tc>
          <w:tcPr>
            <w:tcW w:w="1004" w:type="dxa"/>
            <w:vAlign w:val="center"/>
          </w:tcPr>
          <w:p w:rsidR="00475650" w:rsidRDefault="00475650">
            <w:pPr>
              <w:jc w:val="center"/>
              <w:rPr>
                <w:szCs w:val="21"/>
              </w:rPr>
            </w:pPr>
            <w:r>
              <w:rPr>
                <w:rFonts w:hAnsi="宋体"/>
                <w:szCs w:val="21"/>
              </w:rPr>
              <w:t>项目</w:t>
            </w:r>
          </w:p>
        </w:tc>
        <w:tc>
          <w:tcPr>
            <w:tcW w:w="950" w:type="dxa"/>
            <w:vAlign w:val="center"/>
          </w:tcPr>
          <w:p w:rsidR="00475650" w:rsidRDefault="00475650">
            <w:pPr>
              <w:jc w:val="center"/>
              <w:rPr>
                <w:szCs w:val="21"/>
              </w:rPr>
            </w:pPr>
            <w:r>
              <w:rPr>
                <w:rFonts w:hAnsi="宋体"/>
                <w:szCs w:val="21"/>
              </w:rPr>
              <w:t>反应描述</w:t>
            </w:r>
          </w:p>
        </w:tc>
        <w:tc>
          <w:tcPr>
            <w:tcW w:w="1319" w:type="dxa"/>
            <w:vAlign w:val="center"/>
          </w:tcPr>
          <w:p w:rsidR="00475650" w:rsidRDefault="00475650">
            <w:pPr>
              <w:jc w:val="center"/>
              <w:rPr>
                <w:szCs w:val="21"/>
              </w:rPr>
            </w:pPr>
            <w:r>
              <w:rPr>
                <w:rFonts w:hAnsi="宋体"/>
                <w:szCs w:val="21"/>
              </w:rPr>
              <w:t>原料</w:t>
            </w:r>
          </w:p>
        </w:tc>
        <w:tc>
          <w:tcPr>
            <w:tcW w:w="811" w:type="dxa"/>
            <w:vAlign w:val="center"/>
          </w:tcPr>
          <w:p w:rsidR="00475650" w:rsidRDefault="00475650">
            <w:pPr>
              <w:jc w:val="center"/>
              <w:rPr>
                <w:szCs w:val="21"/>
              </w:rPr>
            </w:pPr>
            <w:r>
              <w:rPr>
                <w:rFonts w:hAnsi="宋体"/>
                <w:szCs w:val="21"/>
              </w:rPr>
              <w:t>转化率（</w:t>
            </w:r>
            <w:r>
              <w:rPr>
                <w:szCs w:val="21"/>
              </w:rPr>
              <w:t>%</w:t>
            </w:r>
            <w:r>
              <w:rPr>
                <w:rFonts w:hAnsi="宋体"/>
                <w:szCs w:val="21"/>
              </w:rPr>
              <w:t>）</w:t>
            </w:r>
          </w:p>
        </w:tc>
        <w:tc>
          <w:tcPr>
            <w:tcW w:w="1097" w:type="dxa"/>
            <w:vAlign w:val="center"/>
          </w:tcPr>
          <w:p w:rsidR="00475650" w:rsidRDefault="00475650">
            <w:pPr>
              <w:jc w:val="center"/>
              <w:rPr>
                <w:szCs w:val="21"/>
              </w:rPr>
            </w:pPr>
            <w:r>
              <w:rPr>
                <w:rFonts w:hAnsi="宋体"/>
                <w:szCs w:val="21"/>
              </w:rPr>
              <w:t>产物</w:t>
            </w:r>
          </w:p>
        </w:tc>
        <w:tc>
          <w:tcPr>
            <w:tcW w:w="811" w:type="dxa"/>
            <w:vAlign w:val="center"/>
          </w:tcPr>
          <w:p w:rsidR="00475650" w:rsidRDefault="00475650">
            <w:pPr>
              <w:ind w:left="2" w:hangingChars="1" w:hanging="2"/>
              <w:jc w:val="center"/>
              <w:rPr>
                <w:szCs w:val="21"/>
              </w:rPr>
            </w:pPr>
            <w:r>
              <w:rPr>
                <w:rFonts w:hAnsi="宋体"/>
                <w:szCs w:val="21"/>
              </w:rPr>
              <w:t>收率</w:t>
            </w:r>
          </w:p>
          <w:p w:rsidR="00475650" w:rsidRDefault="00475650">
            <w:pPr>
              <w:ind w:left="2" w:hangingChars="1" w:hanging="2"/>
              <w:jc w:val="center"/>
              <w:rPr>
                <w:szCs w:val="21"/>
              </w:rPr>
            </w:pPr>
            <w:r>
              <w:rPr>
                <w:rFonts w:hAnsi="宋体"/>
                <w:szCs w:val="21"/>
              </w:rPr>
              <w:t>（</w:t>
            </w:r>
            <w:r>
              <w:rPr>
                <w:szCs w:val="21"/>
              </w:rPr>
              <w:t>%</w:t>
            </w:r>
            <w:r>
              <w:rPr>
                <w:rFonts w:hAnsi="宋体"/>
                <w:szCs w:val="21"/>
              </w:rPr>
              <w:t>）</w:t>
            </w:r>
          </w:p>
        </w:tc>
        <w:tc>
          <w:tcPr>
            <w:tcW w:w="3011" w:type="dxa"/>
            <w:vAlign w:val="center"/>
          </w:tcPr>
          <w:p w:rsidR="00475650" w:rsidRDefault="00475650">
            <w:pPr>
              <w:jc w:val="center"/>
              <w:rPr>
                <w:szCs w:val="21"/>
              </w:rPr>
            </w:pPr>
            <w:r>
              <w:rPr>
                <w:rFonts w:hAnsi="宋体"/>
                <w:szCs w:val="21"/>
              </w:rPr>
              <w:t>备注</w:t>
            </w:r>
          </w:p>
        </w:tc>
      </w:tr>
      <w:tr w:rsidR="00475650">
        <w:trPr>
          <w:jc w:val="center"/>
        </w:trPr>
        <w:tc>
          <w:tcPr>
            <w:tcW w:w="1004" w:type="dxa"/>
            <w:vMerge w:val="restart"/>
            <w:vAlign w:val="center"/>
          </w:tcPr>
          <w:p w:rsidR="00475650" w:rsidRDefault="00475650">
            <w:pPr>
              <w:jc w:val="center"/>
              <w:rPr>
                <w:szCs w:val="21"/>
              </w:rPr>
            </w:pPr>
            <w:r>
              <w:rPr>
                <w:rFonts w:hAnsi="宋体"/>
                <w:szCs w:val="21"/>
              </w:rPr>
              <w:t>酸性红</w:t>
            </w:r>
            <w:r>
              <w:rPr>
                <w:szCs w:val="21"/>
              </w:rPr>
              <w:t>37</w:t>
            </w:r>
            <w:r>
              <w:rPr>
                <w:rFonts w:hAnsi="宋体"/>
                <w:szCs w:val="21"/>
              </w:rPr>
              <w:t>装置</w:t>
            </w:r>
          </w:p>
        </w:tc>
        <w:tc>
          <w:tcPr>
            <w:tcW w:w="950" w:type="dxa"/>
            <w:vAlign w:val="center"/>
          </w:tcPr>
          <w:p w:rsidR="00475650" w:rsidRDefault="00475650">
            <w:pPr>
              <w:jc w:val="center"/>
              <w:rPr>
                <w:szCs w:val="21"/>
              </w:rPr>
            </w:pPr>
            <w:r>
              <w:rPr>
                <w:rFonts w:hAnsi="宋体"/>
                <w:szCs w:val="21"/>
              </w:rPr>
              <w:t>酰化</w:t>
            </w:r>
          </w:p>
        </w:tc>
        <w:tc>
          <w:tcPr>
            <w:tcW w:w="1319" w:type="dxa"/>
            <w:vAlign w:val="center"/>
          </w:tcPr>
          <w:p w:rsidR="00475650" w:rsidRDefault="00475650">
            <w:pPr>
              <w:jc w:val="center"/>
              <w:rPr>
                <w:szCs w:val="21"/>
              </w:rPr>
            </w:pPr>
            <w:r>
              <w:rPr>
                <w:szCs w:val="21"/>
              </w:rPr>
              <w:t>2</w:t>
            </w:r>
            <w:r>
              <w:rPr>
                <w:rFonts w:hAnsi="宋体"/>
                <w:szCs w:val="21"/>
              </w:rPr>
              <w:t>，</w:t>
            </w:r>
            <w:r>
              <w:rPr>
                <w:szCs w:val="21"/>
              </w:rPr>
              <w:t>5-</w:t>
            </w:r>
            <w:r>
              <w:rPr>
                <w:rFonts w:hAnsi="宋体"/>
                <w:szCs w:val="21"/>
              </w:rPr>
              <w:t>二氨基苯磺酸</w:t>
            </w:r>
          </w:p>
        </w:tc>
        <w:tc>
          <w:tcPr>
            <w:tcW w:w="811" w:type="dxa"/>
            <w:vAlign w:val="center"/>
          </w:tcPr>
          <w:p w:rsidR="00475650" w:rsidRDefault="00475650">
            <w:pPr>
              <w:jc w:val="center"/>
              <w:rPr>
                <w:szCs w:val="21"/>
              </w:rPr>
            </w:pPr>
            <w:r>
              <w:rPr>
                <w:rFonts w:hint="eastAsia"/>
                <w:szCs w:val="21"/>
              </w:rPr>
              <w:t>98</w:t>
            </w:r>
          </w:p>
        </w:tc>
        <w:tc>
          <w:tcPr>
            <w:tcW w:w="1097" w:type="dxa"/>
            <w:vAlign w:val="center"/>
          </w:tcPr>
          <w:p w:rsidR="00475650" w:rsidRDefault="00475650">
            <w:pPr>
              <w:jc w:val="center"/>
              <w:rPr>
                <w:szCs w:val="21"/>
              </w:rPr>
            </w:pPr>
            <w:r>
              <w:rPr>
                <w:rFonts w:hAnsi="宋体"/>
                <w:szCs w:val="21"/>
              </w:rPr>
              <w:t>乙酰化物</w:t>
            </w:r>
          </w:p>
        </w:tc>
        <w:tc>
          <w:tcPr>
            <w:tcW w:w="811" w:type="dxa"/>
            <w:vAlign w:val="center"/>
          </w:tcPr>
          <w:p w:rsidR="00475650" w:rsidRDefault="00475650">
            <w:pPr>
              <w:jc w:val="center"/>
              <w:rPr>
                <w:szCs w:val="21"/>
              </w:rPr>
            </w:pPr>
            <w:r>
              <w:rPr>
                <w:rFonts w:hint="eastAsia"/>
                <w:szCs w:val="21"/>
              </w:rPr>
              <w:t>95</w:t>
            </w:r>
          </w:p>
        </w:tc>
        <w:tc>
          <w:tcPr>
            <w:tcW w:w="3011" w:type="dxa"/>
            <w:vAlign w:val="center"/>
          </w:tcPr>
          <w:p w:rsidR="00475650" w:rsidRDefault="00475650">
            <w:pPr>
              <w:jc w:val="center"/>
              <w:rPr>
                <w:szCs w:val="21"/>
              </w:rPr>
            </w:pPr>
            <w:r>
              <w:rPr>
                <w:rFonts w:hAnsi="宋体"/>
                <w:szCs w:val="21"/>
              </w:rPr>
              <w:t>乙酸酐过量，</w:t>
            </w:r>
            <w:r>
              <w:rPr>
                <w:szCs w:val="21"/>
              </w:rPr>
              <w:t>2</w:t>
            </w:r>
            <w:r>
              <w:rPr>
                <w:rFonts w:hAnsi="宋体"/>
                <w:szCs w:val="21"/>
              </w:rPr>
              <w:t>，</w:t>
            </w:r>
            <w:r>
              <w:rPr>
                <w:szCs w:val="21"/>
              </w:rPr>
              <w:t>5-</w:t>
            </w:r>
            <w:r>
              <w:rPr>
                <w:rFonts w:hAnsi="宋体"/>
                <w:szCs w:val="21"/>
              </w:rPr>
              <w:t>二氨基苯磺酸：乙酸酐（摩尔比）</w:t>
            </w:r>
            <w:r>
              <w:rPr>
                <w:szCs w:val="21"/>
              </w:rPr>
              <w:t>=1:1.05</w:t>
            </w:r>
          </w:p>
        </w:tc>
      </w:tr>
      <w:tr w:rsidR="00475650">
        <w:trPr>
          <w:jc w:val="center"/>
        </w:trPr>
        <w:tc>
          <w:tcPr>
            <w:tcW w:w="1004" w:type="dxa"/>
            <w:vMerge/>
            <w:vAlign w:val="center"/>
          </w:tcPr>
          <w:p w:rsidR="00475650" w:rsidRDefault="00475650">
            <w:pPr>
              <w:jc w:val="center"/>
              <w:rPr>
                <w:szCs w:val="21"/>
              </w:rPr>
            </w:pPr>
          </w:p>
        </w:tc>
        <w:tc>
          <w:tcPr>
            <w:tcW w:w="950" w:type="dxa"/>
            <w:vAlign w:val="center"/>
          </w:tcPr>
          <w:p w:rsidR="00475650" w:rsidRDefault="00475650">
            <w:pPr>
              <w:jc w:val="center"/>
              <w:rPr>
                <w:szCs w:val="21"/>
              </w:rPr>
            </w:pPr>
            <w:r>
              <w:rPr>
                <w:rFonts w:hAnsi="宋体"/>
                <w:szCs w:val="21"/>
              </w:rPr>
              <w:t>重氮化</w:t>
            </w:r>
          </w:p>
        </w:tc>
        <w:tc>
          <w:tcPr>
            <w:tcW w:w="1319" w:type="dxa"/>
            <w:vAlign w:val="center"/>
          </w:tcPr>
          <w:p w:rsidR="00475650" w:rsidRDefault="00475650">
            <w:pPr>
              <w:jc w:val="center"/>
              <w:rPr>
                <w:szCs w:val="21"/>
              </w:rPr>
            </w:pPr>
            <w:r>
              <w:rPr>
                <w:rFonts w:hAnsi="宋体"/>
                <w:szCs w:val="21"/>
              </w:rPr>
              <w:t>乙酰化物</w:t>
            </w:r>
          </w:p>
        </w:tc>
        <w:tc>
          <w:tcPr>
            <w:tcW w:w="811" w:type="dxa"/>
            <w:vAlign w:val="center"/>
          </w:tcPr>
          <w:p w:rsidR="00475650" w:rsidRDefault="00475650">
            <w:pPr>
              <w:widowControl/>
              <w:jc w:val="center"/>
              <w:rPr>
                <w:szCs w:val="21"/>
              </w:rPr>
            </w:pPr>
            <w:r>
              <w:rPr>
                <w:rFonts w:hint="eastAsia"/>
                <w:szCs w:val="21"/>
              </w:rPr>
              <w:t>98</w:t>
            </w:r>
          </w:p>
        </w:tc>
        <w:tc>
          <w:tcPr>
            <w:tcW w:w="1097" w:type="dxa"/>
            <w:vAlign w:val="center"/>
          </w:tcPr>
          <w:p w:rsidR="00475650" w:rsidRDefault="00475650">
            <w:pPr>
              <w:jc w:val="center"/>
              <w:rPr>
                <w:szCs w:val="21"/>
              </w:rPr>
            </w:pPr>
            <w:r>
              <w:rPr>
                <w:rFonts w:hAnsi="宋体"/>
                <w:szCs w:val="21"/>
              </w:rPr>
              <w:t>重氮物</w:t>
            </w:r>
          </w:p>
        </w:tc>
        <w:tc>
          <w:tcPr>
            <w:tcW w:w="811" w:type="dxa"/>
            <w:vAlign w:val="center"/>
          </w:tcPr>
          <w:p w:rsidR="00475650" w:rsidRDefault="00475650">
            <w:pPr>
              <w:jc w:val="center"/>
              <w:rPr>
                <w:szCs w:val="21"/>
              </w:rPr>
            </w:pPr>
            <w:r>
              <w:rPr>
                <w:rFonts w:hint="eastAsia"/>
                <w:szCs w:val="21"/>
              </w:rPr>
              <w:t>96</w:t>
            </w:r>
          </w:p>
        </w:tc>
        <w:tc>
          <w:tcPr>
            <w:tcW w:w="3011" w:type="dxa"/>
            <w:vAlign w:val="center"/>
          </w:tcPr>
          <w:p w:rsidR="00475650" w:rsidRDefault="00475650">
            <w:pPr>
              <w:jc w:val="center"/>
              <w:rPr>
                <w:szCs w:val="21"/>
              </w:rPr>
            </w:pPr>
            <w:r>
              <w:rPr>
                <w:rFonts w:hAnsi="宋体"/>
                <w:szCs w:val="21"/>
              </w:rPr>
              <w:t>乙酰化物：亚硝酸钠：氯化氢（摩尔比）</w:t>
            </w:r>
            <w:r>
              <w:rPr>
                <w:szCs w:val="21"/>
              </w:rPr>
              <w:t>=1:1.05:2.1</w:t>
            </w:r>
          </w:p>
        </w:tc>
      </w:tr>
      <w:tr w:rsidR="00475650">
        <w:trPr>
          <w:jc w:val="center"/>
        </w:trPr>
        <w:tc>
          <w:tcPr>
            <w:tcW w:w="1004" w:type="dxa"/>
            <w:vMerge/>
            <w:vAlign w:val="center"/>
          </w:tcPr>
          <w:p w:rsidR="00475650" w:rsidRDefault="00475650">
            <w:pPr>
              <w:jc w:val="center"/>
              <w:rPr>
                <w:szCs w:val="21"/>
              </w:rPr>
            </w:pPr>
          </w:p>
        </w:tc>
        <w:tc>
          <w:tcPr>
            <w:tcW w:w="950" w:type="dxa"/>
            <w:vAlign w:val="center"/>
          </w:tcPr>
          <w:p w:rsidR="00475650" w:rsidRDefault="00475650">
            <w:pPr>
              <w:jc w:val="center"/>
              <w:rPr>
                <w:szCs w:val="21"/>
              </w:rPr>
            </w:pPr>
            <w:r>
              <w:rPr>
                <w:rFonts w:hAnsi="宋体"/>
                <w:szCs w:val="21"/>
              </w:rPr>
              <w:t>偶合</w:t>
            </w:r>
          </w:p>
        </w:tc>
        <w:tc>
          <w:tcPr>
            <w:tcW w:w="1319" w:type="dxa"/>
            <w:vAlign w:val="center"/>
          </w:tcPr>
          <w:p w:rsidR="00475650" w:rsidRDefault="00475650">
            <w:pPr>
              <w:jc w:val="center"/>
              <w:rPr>
                <w:szCs w:val="21"/>
              </w:rPr>
            </w:pPr>
            <w:r>
              <w:rPr>
                <w:rFonts w:hAnsi="宋体"/>
                <w:szCs w:val="21"/>
              </w:rPr>
              <w:t>重氮物</w:t>
            </w:r>
          </w:p>
        </w:tc>
        <w:tc>
          <w:tcPr>
            <w:tcW w:w="811" w:type="dxa"/>
            <w:vAlign w:val="center"/>
          </w:tcPr>
          <w:p w:rsidR="00475650" w:rsidRDefault="00475650">
            <w:pPr>
              <w:jc w:val="center"/>
              <w:rPr>
                <w:szCs w:val="21"/>
              </w:rPr>
            </w:pPr>
            <w:r>
              <w:rPr>
                <w:rFonts w:hint="eastAsia"/>
                <w:szCs w:val="21"/>
              </w:rPr>
              <w:t>99</w:t>
            </w:r>
          </w:p>
        </w:tc>
        <w:tc>
          <w:tcPr>
            <w:tcW w:w="1097" w:type="dxa"/>
            <w:vAlign w:val="center"/>
          </w:tcPr>
          <w:p w:rsidR="00475650" w:rsidRDefault="00475650">
            <w:pPr>
              <w:jc w:val="center"/>
              <w:rPr>
                <w:szCs w:val="21"/>
              </w:rPr>
            </w:pPr>
            <w:r>
              <w:rPr>
                <w:rFonts w:hAnsi="宋体"/>
                <w:szCs w:val="21"/>
              </w:rPr>
              <w:t>酸性红</w:t>
            </w:r>
            <w:r>
              <w:rPr>
                <w:szCs w:val="21"/>
              </w:rPr>
              <w:t>37</w:t>
            </w:r>
          </w:p>
        </w:tc>
        <w:tc>
          <w:tcPr>
            <w:tcW w:w="811" w:type="dxa"/>
            <w:vAlign w:val="center"/>
          </w:tcPr>
          <w:p w:rsidR="00475650" w:rsidRDefault="00475650">
            <w:pPr>
              <w:jc w:val="center"/>
              <w:rPr>
                <w:szCs w:val="21"/>
              </w:rPr>
            </w:pPr>
            <w:r>
              <w:rPr>
                <w:rFonts w:hint="eastAsia"/>
                <w:szCs w:val="21"/>
              </w:rPr>
              <w:t>96</w:t>
            </w:r>
          </w:p>
        </w:tc>
        <w:tc>
          <w:tcPr>
            <w:tcW w:w="3011" w:type="dxa"/>
            <w:vAlign w:val="center"/>
          </w:tcPr>
          <w:p w:rsidR="00475650" w:rsidRDefault="00475650">
            <w:pPr>
              <w:jc w:val="center"/>
              <w:rPr>
                <w:szCs w:val="21"/>
              </w:rPr>
            </w:pPr>
            <w:r>
              <w:rPr>
                <w:rFonts w:hAnsi="宋体"/>
                <w:szCs w:val="21"/>
              </w:rPr>
              <w:t>重氮物：乙酸钠：</w:t>
            </w:r>
            <w:r>
              <w:rPr>
                <w:szCs w:val="21"/>
              </w:rPr>
              <w:t>γ</w:t>
            </w:r>
            <w:r>
              <w:rPr>
                <w:rFonts w:hAnsi="宋体"/>
                <w:szCs w:val="21"/>
              </w:rPr>
              <w:t>酸（摩尔比）</w:t>
            </w:r>
            <w:r>
              <w:rPr>
                <w:szCs w:val="21"/>
              </w:rPr>
              <w:t>=1:2.1:1.05</w:t>
            </w:r>
          </w:p>
        </w:tc>
      </w:tr>
      <w:tr w:rsidR="00475650">
        <w:trPr>
          <w:jc w:val="center"/>
        </w:trPr>
        <w:tc>
          <w:tcPr>
            <w:tcW w:w="1004" w:type="dxa"/>
            <w:vMerge w:val="restart"/>
            <w:vAlign w:val="center"/>
          </w:tcPr>
          <w:p w:rsidR="00475650" w:rsidRDefault="00475650">
            <w:pPr>
              <w:jc w:val="center"/>
              <w:rPr>
                <w:szCs w:val="21"/>
              </w:rPr>
            </w:pPr>
            <w:r>
              <w:rPr>
                <w:rFonts w:hAnsi="宋体"/>
                <w:szCs w:val="21"/>
              </w:rPr>
              <w:t>酸性黄</w:t>
            </w:r>
            <w:r>
              <w:rPr>
                <w:szCs w:val="21"/>
              </w:rPr>
              <w:t>49</w:t>
            </w:r>
            <w:r>
              <w:rPr>
                <w:rFonts w:hAnsi="宋体"/>
                <w:szCs w:val="21"/>
              </w:rPr>
              <w:t>装置</w:t>
            </w:r>
          </w:p>
        </w:tc>
        <w:tc>
          <w:tcPr>
            <w:tcW w:w="950" w:type="dxa"/>
            <w:vAlign w:val="center"/>
          </w:tcPr>
          <w:p w:rsidR="00475650" w:rsidRDefault="00475650">
            <w:pPr>
              <w:jc w:val="center"/>
              <w:rPr>
                <w:szCs w:val="21"/>
              </w:rPr>
            </w:pPr>
            <w:r>
              <w:rPr>
                <w:rFonts w:hAnsi="宋体"/>
                <w:szCs w:val="21"/>
              </w:rPr>
              <w:t>重氮化</w:t>
            </w:r>
          </w:p>
        </w:tc>
        <w:tc>
          <w:tcPr>
            <w:tcW w:w="1319" w:type="dxa"/>
            <w:vAlign w:val="center"/>
          </w:tcPr>
          <w:p w:rsidR="00475650" w:rsidRDefault="00475650">
            <w:pPr>
              <w:jc w:val="center"/>
              <w:rPr>
                <w:szCs w:val="21"/>
              </w:rPr>
            </w:pPr>
            <w:r>
              <w:rPr>
                <w:szCs w:val="21"/>
              </w:rPr>
              <w:t>2,5-</w:t>
            </w:r>
            <w:r>
              <w:rPr>
                <w:rFonts w:hAnsi="宋体"/>
                <w:szCs w:val="21"/>
              </w:rPr>
              <w:t>二氯</w:t>
            </w:r>
            <w:r>
              <w:rPr>
                <w:szCs w:val="21"/>
              </w:rPr>
              <w:t>-4-</w:t>
            </w:r>
            <w:r>
              <w:rPr>
                <w:rFonts w:hAnsi="宋体"/>
                <w:szCs w:val="21"/>
              </w:rPr>
              <w:t>氨基苯磺酸</w:t>
            </w:r>
          </w:p>
        </w:tc>
        <w:tc>
          <w:tcPr>
            <w:tcW w:w="811" w:type="dxa"/>
            <w:vAlign w:val="center"/>
          </w:tcPr>
          <w:p w:rsidR="00475650" w:rsidRDefault="00475650">
            <w:pPr>
              <w:jc w:val="center"/>
              <w:rPr>
                <w:szCs w:val="21"/>
              </w:rPr>
            </w:pPr>
            <w:r>
              <w:rPr>
                <w:rFonts w:hint="eastAsia"/>
                <w:szCs w:val="21"/>
              </w:rPr>
              <w:t>98</w:t>
            </w:r>
          </w:p>
        </w:tc>
        <w:tc>
          <w:tcPr>
            <w:tcW w:w="1097" w:type="dxa"/>
            <w:vAlign w:val="center"/>
          </w:tcPr>
          <w:p w:rsidR="00475650" w:rsidRDefault="00475650">
            <w:pPr>
              <w:jc w:val="center"/>
              <w:rPr>
                <w:szCs w:val="21"/>
              </w:rPr>
            </w:pPr>
            <w:r>
              <w:rPr>
                <w:rFonts w:hAnsi="宋体"/>
                <w:szCs w:val="21"/>
              </w:rPr>
              <w:t>重氮物</w:t>
            </w:r>
          </w:p>
        </w:tc>
        <w:tc>
          <w:tcPr>
            <w:tcW w:w="811" w:type="dxa"/>
            <w:vAlign w:val="center"/>
          </w:tcPr>
          <w:p w:rsidR="00475650" w:rsidRDefault="00475650">
            <w:pPr>
              <w:jc w:val="center"/>
              <w:rPr>
                <w:szCs w:val="21"/>
              </w:rPr>
            </w:pPr>
            <w:r>
              <w:rPr>
                <w:rFonts w:hint="eastAsia"/>
                <w:szCs w:val="21"/>
              </w:rPr>
              <w:t>95</w:t>
            </w:r>
          </w:p>
        </w:tc>
        <w:tc>
          <w:tcPr>
            <w:tcW w:w="3011" w:type="dxa"/>
            <w:vAlign w:val="center"/>
          </w:tcPr>
          <w:p w:rsidR="00475650" w:rsidRDefault="00475650">
            <w:pPr>
              <w:jc w:val="center"/>
              <w:rPr>
                <w:szCs w:val="21"/>
              </w:rPr>
            </w:pPr>
            <w:r>
              <w:rPr>
                <w:szCs w:val="21"/>
              </w:rPr>
              <w:t>2,5-</w:t>
            </w:r>
            <w:r>
              <w:rPr>
                <w:rFonts w:hAnsi="宋体"/>
                <w:szCs w:val="21"/>
              </w:rPr>
              <w:t>二氯</w:t>
            </w:r>
            <w:r>
              <w:rPr>
                <w:szCs w:val="21"/>
              </w:rPr>
              <w:t>-4-</w:t>
            </w:r>
            <w:r>
              <w:rPr>
                <w:rFonts w:hAnsi="宋体"/>
                <w:szCs w:val="21"/>
              </w:rPr>
              <w:t>氨基苯磺酸：亚硝酸钠：氯化氢（摩尔比）</w:t>
            </w:r>
            <w:r>
              <w:rPr>
                <w:szCs w:val="21"/>
              </w:rPr>
              <w:t>=1:1.02:2.04</w:t>
            </w:r>
          </w:p>
        </w:tc>
      </w:tr>
      <w:tr w:rsidR="00475650">
        <w:trPr>
          <w:jc w:val="center"/>
        </w:trPr>
        <w:tc>
          <w:tcPr>
            <w:tcW w:w="1004" w:type="dxa"/>
            <w:vMerge/>
            <w:vAlign w:val="center"/>
          </w:tcPr>
          <w:p w:rsidR="00475650" w:rsidRDefault="00475650">
            <w:pPr>
              <w:jc w:val="center"/>
              <w:rPr>
                <w:szCs w:val="21"/>
              </w:rPr>
            </w:pPr>
          </w:p>
        </w:tc>
        <w:tc>
          <w:tcPr>
            <w:tcW w:w="950" w:type="dxa"/>
            <w:vAlign w:val="center"/>
          </w:tcPr>
          <w:p w:rsidR="00475650" w:rsidRDefault="00475650">
            <w:pPr>
              <w:jc w:val="center"/>
              <w:rPr>
                <w:szCs w:val="21"/>
              </w:rPr>
            </w:pPr>
            <w:r>
              <w:rPr>
                <w:rFonts w:hAnsi="宋体"/>
                <w:szCs w:val="21"/>
              </w:rPr>
              <w:t>偶合</w:t>
            </w:r>
          </w:p>
        </w:tc>
        <w:tc>
          <w:tcPr>
            <w:tcW w:w="1319" w:type="dxa"/>
            <w:vAlign w:val="center"/>
          </w:tcPr>
          <w:p w:rsidR="00475650" w:rsidRDefault="00475650">
            <w:pPr>
              <w:jc w:val="center"/>
              <w:rPr>
                <w:szCs w:val="21"/>
              </w:rPr>
            </w:pPr>
            <w:r>
              <w:rPr>
                <w:rFonts w:hAnsi="宋体"/>
                <w:szCs w:val="21"/>
              </w:rPr>
              <w:t>重氮物</w:t>
            </w:r>
          </w:p>
        </w:tc>
        <w:tc>
          <w:tcPr>
            <w:tcW w:w="811" w:type="dxa"/>
            <w:vAlign w:val="center"/>
          </w:tcPr>
          <w:p w:rsidR="00475650" w:rsidRDefault="00475650">
            <w:pPr>
              <w:jc w:val="center"/>
              <w:rPr>
                <w:szCs w:val="21"/>
              </w:rPr>
            </w:pPr>
            <w:r>
              <w:rPr>
                <w:szCs w:val="21"/>
              </w:rPr>
              <w:t>99</w:t>
            </w:r>
          </w:p>
        </w:tc>
        <w:tc>
          <w:tcPr>
            <w:tcW w:w="1097" w:type="dxa"/>
            <w:vAlign w:val="center"/>
          </w:tcPr>
          <w:p w:rsidR="00475650" w:rsidRDefault="00475650">
            <w:pPr>
              <w:jc w:val="center"/>
              <w:rPr>
                <w:szCs w:val="21"/>
              </w:rPr>
            </w:pPr>
            <w:r>
              <w:rPr>
                <w:rFonts w:hAnsi="宋体"/>
                <w:szCs w:val="21"/>
              </w:rPr>
              <w:t>酸性黄</w:t>
            </w:r>
            <w:r>
              <w:rPr>
                <w:szCs w:val="21"/>
              </w:rPr>
              <w:t>49</w:t>
            </w:r>
          </w:p>
        </w:tc>
        <w:tc>
          <w:tcPr>
            <w:tcW w:w="811" w:type="dxa"/>
            <w:vAlign w:val="center"/>
          </w:tcPr>
          <w:p w:rsidR="00475650" w:rsidRDefault="00475650">
            <w:pPr>
              <w:jc w:val="center"/>
              <w:rPr>
                <w:szCs w:val="21"/>
              </w:rPr>
            </w:pPr>
            <w:r>
              <w:rPr>
                <w:rFonts w:hint="eastAsia"/>
                <w:szCs w:val="21"/>
              </w:rPr>
              <w:t>96</w:t>
            </w:r>
          </w:p>
        </w:tc>
        <w:tc>
          <w:tcPr>
            <w:tcW w:w="3011" w:type="dxa"/>
            <w:vAlign w:val="center"/>
          </w:tcPr>
          <w:p w:rsidR="00475650" w:rsidRDefault="00475650">
            <w:pPr>
              <w:jc w:val="center"/>
              <w:rPr>
                <w:szCs w:val="21"/>
              </w:rPr>
            </w:pPr>
            <w:r>
              <w:rPr>
                <w:rFonts w:hAnsi="宋体"/>
                <w:szCs w:val="21"/>
              </w:rPr>
              <w:t>重氮物：</w:t>
            </w:r>
            <w:r>
              <w:rPr>
                <w:szCs w:val="21"/>
              </w:rPr>
              <w:t>1-</w:t>
            </w:r>
            <w:r>
              <w:rPr>
                <w:rFonts w:hAnsi="宋体"/>
                <w:szCs w:val="21"/>
              </w:rPr>
              <w:t>苯基</w:t>
            </w:r>
            <w:r>
              <w:rPr>
                <w:szCs w:val="21"/>
              </w:rPr>
              <w:t>-3-</w:t>
            </w:r>
            <w:r>
              <w:rPr>
                <w:rFonts w:hAnsi="宋体"/>
                <w:szCs w:val="21"/>
              </w:rPr>
              <w:t>甲基</w:t>
            </w:r>
            <w:r>
              <w:rPr>
                <w:szCs w:val="21"/>
              </w:rPr>
              <w:t>-5-</w:t>
            </w:r>
            <w:r>
              <w:rPr>
                <w:rFonts w:hAnsi="宋体"/>
                <w:szCs w:val="21"/>
              </w:rPr>
              <w:t>氨基吡唑（摩尔比）：碳酸钠</w:t>
            </w:r>
            <w:r>
              <w:rPr>
                <w:szCs w:val="21"/>
              </w:rPr>
              <w:t>=1:1.02</w:t>
            </w:r>
            <w:r>
              <w:rPr>
                <w:rFonts w:hAnsi="宋体"/>
                <w:szCs w:val="21"/>
              </w:rPr>
              <w:t>：</w:t>
            </w:r>
            <w:r>
              <w:rPr>
                <w:szCs w:val="21"/>
              </w:rPr>
              <w:t>0.525</w:t>
            </w:r>
          </w:p>
        </w:tc>
      </w:tr>
    </w:tbl>
    <w:p w:rsidR="00475650" w:rsidRDefault="00475650">
      <w:pPr>
        <w:spacing w:line="360" w:lineRule="auto"/>
        <w:ind w:firstLineChars="200" w:firstLine="480"/>
        <w:rPr>
          <w:rFonts w:hAnsi="宋体"/>
          <w:sz w:val="24"/>
        </w:rPr>
      </w:pPr>
      <w:bookmarkStart w:id="564" w:name="_Toc334014151"/>
      <w:bookmarkStart w:id="565" w:name="_Toc333229959"/>
      <w:bookmarkStart w:id="566" w:name="_Toc334080793"/>
      <w:bookmarkStart w:id="567" w:name="_Toc448999096"/>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568" w:name="_Toc465676992"/>
      <w:bookmarkStart w:id="569" w:name="_Toc15690"/>
      <w:r>
        <w:rPr>
          <w:rStyle w:val="2Char1Char"/>
          <w:rFonts w:ascii="Times New Roman" w:eastAsia="宋体" w:hAnsi="Times New Roman" w:cs="Times New Roman"/>
          <w:b w:val="0"/>
          <w:sz w:val="24"/>
          <w:szCs w:val="24"/>
        </w:rPr>
        <w:t xml:space="preserve">3.3.4.3 </w:t>
      </w:r>
      <w:r>
        <w:rPr>
          <w:rStyle w:val="2Char1Char"/>
          <w:rFonts w:ascii="Times New Roman" w:eastAsia="宋体" w:hAnsi="宋体" w:cs="Times New Roman"/>
          <w:b w:val="0"/>
          <w:sz w:val="24"/>
          <w:szCs w:val="24"/>
        </w:rPr>
        <w:t>原辅材料消耗</w:t>
      </w:r>
      <w:bookmarkEnd w:id="564"/>
      <w:bookmarkEnd w:id="565"/>
      <w:bookmarkEnd w:id="566"/>
      <w:bookmarkEnd w:id="567"/>
      <w:bookmarkEnd w:id="568"/>
      <w:bookmarkEnd w:id="569"/>
    </w:p>
    <w:p w:rsidR="00475650" w:rsidRDefault="00475650">
      <w:pPr>
        <w:spacing w:line="360" w:lineRule="auto"/>
        <w:ind w:firstLineChars="200" w:firstLine="480"/>
        <w:rPr>
          <w:rFonts w:hAnsi="宋体"/>
          <w:sz w:val="24"/>
        </w:rPr>
      </w:pPr>
      <w:r>
        <w:rPr>
          <w:rFonts w:hAnsi="宋体"/>
          <w:sz w:val="24"/>
        </w:rPr>
        <w:t>本工程主要原辅材料消耗及各有关物料的规格见表</w:t>
      </w:r>
      <w:r>
        <w:rPr>
          <w:sz w:val="24"/>
        </w:rPr>
        <w:t>3.3-5</w:t>
      </w:r>
      <w:r>
        <w:rPr>
          <w:rFonts w:hAnsi="宋体"/>
          <w:sz w:val="24"/>
        </w:rPr>
        <w:t>。</w:t>
      </w:r>
    </w:p>
    <w:p w:rsidR="00475650" w:rsidRDefault="00475650">
      <w:pPr>
        <w:spacing w:line="360" w:lineRule="auto"/>
        <w:ind w:firstLineChars="200" w:firstLine="480"/>
        <w:rPr>
          <w:sz w:val="24"/>
        </w:rPr>
      </w:pPr>
    </w:p>
    <w:p w:rsidR="00475650" w:rsidRDefault="00475650">
      <w:pPr>
        <w:spacing w:line="360" w:lineRule="auto"/>
        <w:ind w:firstLineChars="200" w:firstLine="480"/>
        <w:rPr>
          <w:sz w:val="24"/>
        </w:rPr>
      </w:pPr>
    </w:p>
    <w:p w:rsidR="00475650" w:rsidRDefault="00475650">
      <w:pPr>
        <w:spacing w:line="360" w:lineRule="auto"/>
        <w:ind w:firstLineChars="200" w:firstLine="480"/>
        <w:rPr>
          <w:sz w:val="24"/>
        </w:rPr>
      </w:pPr>
    </w:p>
    <w:p w:rsidR="00475650" w:rsidRDefault="00475650">
      <w:pPr>
        <w:spacing w:line="360" w:lineRule="auto"/>
        <w:ind w:firstLineChars="200" w:firstLine="480"/>
        <w:jc w:val="center"/>
        <w:rPr>
          <w:sz w:val="24"/>
        </w:rPr>
      </w:pPr>
      <w:r>
        <w:rPr>
          <w:rFonts w:hAnsi="宋体"/>
          <w:sz w:val="24"/>
        </w:rPr>
        <w:lastRenderedPageBreak/>
        <w:t>表</w:t>
      </w:r>
      <w:r>
        <w:rPr>
          <w:sz w:val="24"/>
        </w:rPr>
        <w:t xml:space="preserve">3.3-5   </w:t>
      </w:r>
      <w:r>
        <w:rPr>
          <w:rFonts w:hAnsi="宋体"/>
          <w:sz w:val="24"/>
        </w:rPr>
        <w:t>主要原辅材料消耗一览表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783"/>
        <w:gridCol w:w="2348"/>
        <w:gridCol w:w="1505"/>
        <w:gridCol w:w="2418"/>
        <w:gridCol w:w="2010"/>
      </w:tblGrid>
      <w:tr w:rsidR="00475650">
        <w:trPr>
          <w:trHeight w:val="271"/>
          <w:jc w:val="center"/>
        </w:trPr>
        <w:tc>
          <w:tcPr>
            <w:tcW w:w="783" w:type="dxa"/>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产品名称</w:t>
            </w:r>
          </w:p>
        </w:tc>
        <w:tc>
          <w:tcPr>
            <w:tcW w:w="2348" w:type="dxa"/>
            <w:tcBorders>
              <w:right w:val="single" w:sz="4" w:space="0" w:color="auto"/>
            </w:tcBorders>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原料名称</w:t>
            </w:r>
          </w:p>
        </w:tc>
        <w:tc>
          <w:tcPr>
            <w:tcW w:w="1505" w:type="dxa"/>
            <w:tcBorders>
              <w:left w:val="single" w:sz="4" w:space="0" w:color="auto"/>
            </w:tcBorders>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规格</w:t>
            </w:r>
          </w:p>
        </w:tc>
        <w:tc>
          <w:tcPr>
            <w:tcW w:w="2418" w:type="dxa"/>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年消耗量</w:t>
            </w:r>
            <w:r>
              <w:rPr>
                <w:rFonts w:eastAsia="宋体"/>
                <w:sz w:val="21"/>
                <w:szCs w:val="21"/>
              </w:rPr>
              <w:t>t/a</w:t>
            </w:r>
          </w:p>
        </w:tc>
        <w:tc>
          <w:tcPr>
            <w:tcW w:w="2010" w:type="dxa"/>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备注</w:t>
            </w:r>
          </w:p>
        </w:tc>
      </w:tr>
      <w:tr w:rsidR="00475650">
        <w:trPr>
          <w:jc w:val="center"/>
        </w:trPr>
        <w:tc>
          <w:tcPr>
            <w:tcW w:w="783" w:type="dxa"/>
            <w:vMerge w:val="restart"/>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酸性红</w:t>
            </w:r>
            <w:r>
              <w:rPr>
                <w:rFonts w:eastAsia="宋体"/>
                <w:sz w:val="21"/>
                <w:szCs w:val="21"/>
              </w:rPr>
              <w:t>37</w:t>
            </w:r>
          </w:p>
          <w:p w:rsidR="00475650" w:rsidRDefault="00475650" w:rsidP="00BD74CB">
            <w:pPr>
              <w:pStyle w:val="afffff2"/>
              <w:spacing w:beforeLines="10" w:afterLines="10" w:line="240" w:lineRule="auto"/>
              <w:ind w:firstLine="0"/>
              <w:rPr>
                <w:rFonts w:eastAsia="宋体"/>
                <w:sz w:val="21"/>
                <w:szCs w:val="21"/>
              </w:rPr>
            </w:pPr>
          </w:p>
        </w:tc>
        <w:tc>
          <w:tcPr>
            <w:tcW w:w="2348" w:type="dxa"/>
            <w:tcBorders>
              <w:right w:val="single" w:sz="4" w:space="0" w:color="auto"/>
            </w:tcBorders>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sz w:val="21"/>
                <w:szCs w:val="21"/>
              </w:rPr>
              <w:t>2,5-</w:t>
            </w:r>
            <w:r>
              <w:rPr>
                <w:rFonts w:eastAsia="宋体" w:hAnsi="宋体"/>
                <w:sz w:val="21"/>
                <w:szCs w:val="21"/>
              </w:rPr>
              <w:t>二氨基苯磺酸</w:t>
            </w:r>
          </w:p>
        </w:tc>
        <w:tc>
          <w:tcPr>
            <w:tcW w:w="1505" w:type="dxa"/>
            <w:tcBorders>
              <w:left w:val="single" w:sz="4" w:space="0" w:color="auto"/>
            </w:tcBorders>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sz w:val="21"/>
                <w:szCs w:val="21"/>
              </w:rPr>
              <w:t>99%</w:t>
            </w:r>
          </w:p>
        </w:tc>
        <w:tc>
          <w:tcPr>
            <w:tcW w:w="2418" w:type="dxa"/>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int="eastAsia"/>
                <w:sz w:val="21"/>
                <w:szCs w:val="21"/>
              </w:rPr>
              <w:t>1523.26</w:t>
            </w:r>
          </w:p>
        </w:tc>
        <w:tc>
          <w:tcPr>
            <w:tcW w:w="2010" w:type="dxa"/>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市场外购，晶体粉末</w:t>
            </w:r>
          </w:p>
        </w:tc>
      </w:tr>
      <w:tr w:rsidR="00475650">
        <w:trPr>
          <w:jc w:val="center"/>
        </w:trPr>
        <w:tc>
          <w:tcPr>
            <w:tcW w:w="783" w:type="dxa"/>
            <w:vMerge/>
            <w:vAlign w:val="center"/>
          </w:tcPr>
          <w:p w:rsidR="00475650" w:rsidRDefault="00475650" w:rsidP="00BD74CB">
            <w:pPr>
              <w:pStyle w:val="afffff2"/>
              <w:spacing w:beforeLines="10" w:afterLines="10" w:line="240" w:lineRule="auto"/>
              <w:ind w:firstLine="0"/>
              <w:rPr>
                <w:rFonts w:eastAsia="宋体"/>
                <w:sz w:val="21"/>
                <w:szCs w:val="21"/>
              </w:rPr>
            </w:pPr>
          </w:p>
        </w:tc>
        <w:tc>
          <w:tcPr>
            <w:tcW w:w="2348" w:type="dxa"/>
            <w:tcBorders>
              <w:right w:val="single" w:sz="4" w:space="0" w:color="auto"/>
            </w:tcBorders>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乙酸酐</w:t>
            </w:r>
          </w:p>
        </w:tc>
        <w:tc>
          <w:tcPr>
            <w:tcW w:w="1505" w:type="dxa"/>
            <w:tcBorders>
              <w:left w:val="single" w:sz="4" w:space="0" w:color="auto"/>
            </w:tcBorders>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sz w:val="21"/>
                <w:szCs w:val="21"/>
              </w:rPr>
              <w:t>99.5%</w:t>
            </w:r>
          </w:p>
        </w:tc>
        <w:tc>
          <w:tcPr>
            <w:tcW w:w="2418" w:type="dxa"/>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int="eastAsia"/>
                <w:sz w:val="21"/>
                <w:szCs w:val="21"/>
              </w:rPr>
              <w:t>863.41</w:t>
            </w:r>
          </w:p>
        </w:tc>
        <w:tc>
          <w:tcPr>
            <w:tcW w:w="2010" w:type="dxa"/>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市场外购，透明液体</w:t>
            </w:r>
          </w:p>
        </w:tc>
      </w:tr>
      <w:tr w:rsidR="00475650">
        <w:trPr>
          <w:jc w:val="center"/>
        </w:trPr>
        <w:tc>
          <w:tcPr>
            <w:tcW w:w="783" w:type="dxa"/>
            <w:vMerge/>
            <w:vAlign w:val="center"/>
          </w:tcPr>
          <w:p w:rsidR="00475650" w:rsidRDefault="00475650" w:rsidP="00BD74CB">
            <w:pPr>
              <w:pStyle w:val="afffff2"/>
              <w:spacing w:beforeLines="10" w:afterLines="10" w:line="240" w:lineRule="auto"/>
              <w:ind w:firstLine="0"/>
              <w:rPr>
                <w:rFonts w:eastAsia="宋体"/>
                <w:sz w:val="21"/>
                <w:szCs w:val="21"/>
              </w:rPr>
            </w:pPr>
          </w:p>
        </w:tc>
        <w:tc>
          <w:tcPr>
            <w:tcW w:w="2348" w:type="dxa"/>
            <w:tcBorders>
              <w:right w:val="single" w:sz="4" w:space="0" w:color="auto"/>
            </w:tcBorders>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亚硝酸钠</w:t>
            </w:r>
          </w:p>
        </w:tc>
        <w:tc>
          <w:tcPr>
            <w:tcW w:w="1505" w:type="dxa"/>
            <w:tcBorders>
              <w:left w:val="single" w:sz="4" w:space="0" w:color="auto"/>
            </w:tcBorders>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sz w:val="21"/>
                <w:szCs w:val="21"/>
              </w:rPr>
              <w:t>98%</w:t>
            </w:r>
          </w:p>
        </w:tc>
        <w:tc>
          <w:tcPr>
            <w:tcW w:w="2418" w:type="dxa"/>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int="eastAsia"/>
                <w:sz w:val="21"/>
                <w:szCs w:val="21"/>
              </w:rPr>
              <w:t>563.36</w:t>
            </w:r>
          </w:p>
        </w:tc>
        <w:tc>
          <w:tcPr>
            <w:tcW w:w="2010" w:type="dxa"/>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市场外购，固体粉末</w:t>
            </w:r>
          </w:p>
        </w:tc>
      </w:tr>
      <w:tr w:rsidR="00475650">
        <w:trPr>
          <w:jc w:val="center"/>
        </w:trPr>
        <w:tc>
          <w:tcPr>
            <w:tcW w:w="783" w:type="dxa"/>
            <w:vMerge/>
            <w:vAlign w:val="center"/>
          </w:tcPr>
          <w:p w:rsidR="00475650" w:rsidRDefault="00475650" w:rsidP="00BD74CB">
            <w:pPr>
              <w:pStyle w:val="afffff2"/>
              <w:spacing w:beforeLines="10" w:afterLines="10" w:line="240" w:lineRule="auto"/>
              <w:ind w:firstLine="0"/>
              <w:rPr>
                <w:rFonts w:eastAsia="宋体"/>
                <w:sz w:val="21"/>
                <w:szCs w:val="21"/>
              </w:rPr>
            </w:pPr>
          </w:p>
        </w:tc>
        <w:tc>
          <w:tcPr>
            <w:tcW w:w="2348" w:type="dxa"/>
            <w:tcBorders>
              <w:right w:val="single" w:sz="4" w:space="0" w:color="auto"/>
            </w:tcBorders>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盐酸</w:t>
            </w:r>
          </w:p>
        </w:tc>
        <w:tc>
          <w:tcPr>
            <w:tcW w:w="1505" w:type="dxa"/>
            <w:tcBorders>
              <w:left w:val="single" w:sz="4" w:space="0" w:color="auto"/>
            </w:tcBorders>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sz w:val="21"/>
                <w:szCs w:val="21"/>
              </w:rPr>
              <w:t>31%</w:t>
            </w:r>
          </w:p>
        </w:tc>
        <w:tc>
          <w:tcPr>
            <w:tcW w:w="2418" w:type="dxa"/>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int="eastAsia"/>
                <w:sz w:val="21"/>
                <w:szCs w:val="21"/>
              </w:rPr>
              <w:t>1914.19</w:t>
            </w:r>
          </w:p>
        </w:tc>
        <w:tc>
          <w:tcPr>
            <w:tcW w:w="2010" w:type="dxa"/>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现有工程产物，液体</w:t>
            </w:r>
          </w:p>
        </w:tc>
      </w:tr>
      <w:tr w:rsidR="00475650">
        <w:trPr>
          <w:jc w:val="center"/>
        </w:trPr>
        <w:tc>
          <w:tcPr>
            <w:tcW w:w="783" w:type="dxa"/>
            <w:vMerge/>
            <w:vAlign w:val="center"/>
          </w:tcPr>
          <w:p w:rsidR="00475650" w:rsidRDefault="00475650" w:rsidP="00BD74CB">
            <w:pPr>
              <w:pStyle w:val="afffff2"/>
              <w:spacing w:beforeLines="10" w:afterLines="10" w:line="240" w:lineRule="auto"/>
              <w:ind w:firstLine="0"/>
              <w:rPr>
                <w:rFonts w:eastAsia="宋体"/>
                <w:sz w:val="21"/>
                <w:szCs w:val="21"/>
              </w:rPr>
            </w:pPr>
          </w:p>
        </w:tc>
        <w:tc>
          <w:tcPr>
            <w:tcW w:w="2348" w:type="dxa"/>
            <w:tcBorders>
              <w:right w:val="single" w:sz="4" w:space="0" w:color="auto"/>
            </w:tcBorders>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片碱</w:t>
            </w:r>
          </w:p>
        </w:tc>
        <w:tc>
          <w:tcPr>
            <w:tcW w:w="1505" w:type="dxa"/>
            <w:tcBorders>
              <w:left w:val="single" w:sz="4" w:space="0" w:color="auto"/>
            </w:tcBorders>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sz w:val="21"/>
                <w:szCs w:val="21"/>
              </w:rPr>
              <w:t>99%</w:t>
            </w:r>
          </w:p>
        </w:tc>
        <w:tc>
          <w:tcPr>
            <w:tcW w:w="2418" w:type="dxa"/>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int="eastAsia"/>
                <w:sz w:val="21"/>
                <w:szCs w:val="21"/>
              </w:rPr>
              <w:t>856.55</w:t>
            </w:r>
          </w:p>
        </w:tc>
        <w:tc>
          <w:tcPr>
            <w:tcW w:w="2010" w:type="dxa"/>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市场外购，固体</w:t>
            </w:r>
          </w:p>
        </w:tc>
      </w:tr>
      <w:tr w:rsidR="00475650">
        <w:trPr>
          <w:jc w:val="center"/>
        </w:trPr>
        <w:tc>
          <w:tcPr>
            <w:tcW w:w="783" w:type="dxa"/>
            <w:vMerge/>
            <w:vAlign w:val="center"/>
          </w:tcPr>
          <w:p w:rsidR="00475650" w:rsidRDefault="00475650" w:rsidP="00BD74CB">
            <w:pPr>
              <w:pStyle w:val="afffff2"/>
              <w:spacing w:beforeLines="10" w:afterLines="10" w:line="240" w:lineRule="auto"/>
              <w:ind w:firstLine="0"/>
              <w:rPr>
                <w:rFonts w:eastAsia="宋体"/>
                <w:sz w:val="21"/>
                <w:szCs w:val="21"/>
              </w:rPr>
            </w:pPr>
          </w:p>
        </w:tc>
        <w:tc>
          <w:tcPr>
            <w:tcW w:w="2348" w:type="dxa"/>
            <w:tcBorders>
              <w:right w:val="single" w:sz="4" w:space="0" w:color="auto"/>
            </w:tcBorders>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碳酸钠</w:t>
            </w:r>
          </w:p>
        </w:tc>
        <w:tc>
          <w:tcPr>
            <w:tcW w:w="1505" w:type="dxa"/>
            <w:tcBorders>
              <w:left w:val="single" w:sz="4" w:space="0" w:color="auto"/>
            </w:tcBorders>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sz w:val="21"/>
                <w:szCs w:val="21"/>
              </w:rPr>
              <w:t>98%</w:t>
            </w:r>
          </w:p>
        </w:tc>
        <w:tc>
          <w:tcPr>
            <w:tcW w:w="2418" w:type="dxa"/>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int="eastAsia"/>
                <w:sz w:val="21"/>
                <w:szCs w:val="21"/>
              </w:rPr>
              <w:t>606.87</w:t>
            </w:r>
          </w:p>
        </w:tc>
        <w:tc>
          <w:tcPr>
            <w:tcW w:w="2010" w:type="dxa"/>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市场外购，固体粉末</w:t>
            </w:r>
          </w:p>
        </w:tc>
      </w:tr>
      <w:tr w:rsidR="00475650">
        <w:trPr>
          <w:jc w:val="center"/>
        </w:trPr>
        <w:tc>
          <w:tcPr>
            <w:tcW w:w="783" w:type="dxa"/>
            <w:vMerge/>
            <w:vAlign w:val="center"/>
          </w:tcPr>
          <w:p w:rsidR="00475650" w:rsidRDefault="00475650" w:rsidP="00BD74CB">
            <w:pPr>
              <w:pStyle w:val="afffff2"/>
              <w:spacing w:beforeLines="10" w:afterLines="10" w:line="240" w:lineRule="auto"/>
              <w:ind w:firstLine="0"/>
              <w:rPr>
                <w:rFonts w:eastAsia="宋体"/>
                <w:sz w:val="21"/>
                <w:szCs w:val="21"/>
              </w:rPr>
            </w:pPr>
          </w:p>
        </w:tc>
        <w:tc>
          <w:tcPr>
            <w:tcW w:w="2348" w:type="dxa"/>
            <w:tcBorders>
              <w:right w:val="single" w:sz="4" w:space="0" w:color="auto"/>
            </w:tcBorders>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尿素</w:t>
            </w:r>
          </w:p>
        </w:tc>
        <w:tc>
          <w:tcPr>
            <w:tcW w:w="1505" w:type="dxa"/>
            <w:tcBorders>
              <w:left w:val="single" w:sz="4" w:space="0" w:color="auto"/>
            </w:tcBorders>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sz w:val="21"/>
                <w:szCs w:val="21"/>
              </w:rPr>
              <w:t>98%</w:t>
            </w:r>
          </w:p>
        </w:tc>
        <w:tc>
          <w:tcPr>
            <w:tcW w:w="2418" w:type="dxa"/>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int="eastAsia"/>
                <w:sz w:val="21"/>
                <w:szCs w:val="21"/>
              </w:rPr>
              <w:t>17.15</w:t>
            </w:r>
          </w:p>
        </w:tc>
        <w:tc>
          <w:tcPr>
            <w:tcW w:w="2010" w:type="dxa"/>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市场外购，固体粉末</w:t>
            </w:r>
          </w:p>
        </w:tc>
      </w:tr>
      <w:tr w:rsidR="00475650">
        <w:trPr>
          <w:jc w:val="center"/>
        </w:trPr>
        <w:tc>
          <w:tcPr>
            <w:tcW w:w="783" w:type="dxa"/>
            <w:vMerge/>
            <w:vAlign w:val="center"/>
          </w:tcPr>
          <w:p w:rsidR="00475650" w:rsidRDefault="00475650" w:rsidP="00BD74CB">
            <w:pPr>
              <w:pStyle w:val="afffff2"/>
              <w:spacing w:beforeLines="10" w:afterLines="10" w:line="240" w:lineRule="auto"/>
              <w:ind w:firstLine="0"/>
              <w:rPr>
                <w:rFonts w:eastAsia="宋体"/>
                <w:sz w:val="21"/>
                <w:szCs w:val="21"/>
              </w:rPr>
            </w:pPr>
          </w:p>
        </w:tc>
        <w:tc>
          <w:tcPr>
            <w:tcW w:w="2348" w:type="dxa"/>
            <w:tcBorders>
              <w:right w:val="single" w:sz="4" w:space="0" w:color="auto"/>
            </w:tcBorders>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乙酸钠</w:t>
            </w:r>
          </w:p>
        </w:tc>
        <w:tc>
          <w:tcPr>
            <w:tcW w:w="1505" w:type="dxa"/>
            <w:tcBorders>
              <w:left w:val="single" w:sz="4" w:space="0" w:color="auto"/>
            </w:tcBorders>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化学纯</w:t>
            </w:r>
          </w:p>
        </w:tc>
        <w:tc>
          <w:tcPr>
            <w:tcW w:w="2418" w:type="dxa"/>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int="eastAsia"/>
                <w:sz w:val="21"/>
                <w:szCs w:val="21"/>
              </w:rPr>
              <w:t>1259.73</w:t>
            </w:r>
          </w:p>
        </w:tc>
        <w:tc>
          <w:tcPr>
            <w:tcW w:w="2010" w:type="dxa"/>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市场外购，固体粉末</w:t>
            </w:r>
          </w:p>
        </w:tc>
      </w:tr>
      <w:tr w:rsidR="00475650">
        <w:trPr>
          <w:jc w:val="center"/>
        </w:trPr>
        <w:tc>
          <w:tcPr>
            <w:tcW w:w="783" w:type="dxa"/>
            <w:vMerge/>
            <w:vAlign w:val="center"/>
          </w:tcPr>
          <w:p w:rsidR="00475650" w:rsidRDefault="00475650" w:rsidP="00BD74CB">
            <w:pPr>
              <w:pStyle w:val="afffff2"/>
              <w:spacing w:beforeLines="10" w:afterLines="10" w:line="240" w:lineRule="auto"/>
              <w:ind w:firstLine="0"/>
              <w:rPr>
                <w:rFonts w:eastAsia="宋体"/>
                <w:sz w:val="21"/>
                <w:szCs w:val="21"/>
              </w:rPr>
            </w:pPr>
          </w:p>
        </w:tc>
        <w:tc>
          <w:tcPr>
            <w:tcW w:w="2348" w:type="dxa"/>
            <w:tcBorders>
              <w:right w:val="single" w:sz="4" w:space="0" w:color="auto"/>
            </w:tcBorders>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sz w:val="21"/>
                <w:szCs w:val="21"/>
              </w:rPr>
              <w:t>γ</w:t>
            </w:r>
            <w:r>
              <w:rPr>
                <w:rFonts w:eastAsia="宋体" w:hAnsi="宋体"/>
                <w:sz w:val="21"/>
                <w:szCs w:val="21"/>
              </w:rPr>
              <w:t>酸</w:t>
            </w:r>
          </w:p>
        </w:tc>
        <w:tc>
          <w:tcPr>
            <w:tcW w:w="1505" w:type="dxa"/>
            <w:tcBorders>
              <w:left w:val="single" w:sz="4" w:space="0" w:color="auto"/>
            </w:tcBorders>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化学纯</w:t>
            </w:r>
          </w:p>
        </w:tc>
        <w:tc>
          <w:tcPr>
            <w:tcW w:w="2418" w:type="dxa"/>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int="eastAsia"/>
                <w:sz w:val="21"/>
                <w:szCs w:val="21"/>
              </w:rPr>
              <w:t>1835.83</w:t>
            </w:r>
          </w:p>
        </w:tc>
        <w:tc>
          <w:tcPr>
            <w:tcW w:w="2010" w:type="dxa"/>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市场外购，固体粉末</w:t>
            </w:r>
          </w:p>
        </w:tc>
      </w:tr>
      <w:tr w:rsidR="00475650">
        <w:trPr>
          <w:jc w:val="center"/>
        </w:trPr>
        <w:tc>
          <w:tcPr>
            <w:tcW w:w="783" w:type="dxa"/>
            <w:vMerge w:val="restart"/>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酸性黄</w:t>
            </w:r>
            <w:r>
              <w:rPr>
                <w:rFonts w:eastAsia="宋体"/>
                <w:sz w:val="21"/>
                <w:szCs w:val="21"/>
              </w:rPr>
              <w:t>49</w:t>
            </w:r>
          </w:p>
        </w:tc>
        <w:tc>
          <w:tcPr>
            <w:tcW w:w="2348" w:type="dxa"/>
            <w:tcBorders>
              <w:right w:val="single" w:sz="4" w:space="0" w:color="auto"/>
            </w:tcBorders>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sz w:val="21"/>
                <w:szCs w:val="21"/>
              </w:rPr>
              <w:t>2,5-</w:t>
            </w:r>
            <w:r>
              <w:rPr>
                <w:rFonts w:eastAsia="宋体" w:hAnsi="宋体"/>
                <w:sz w:val="21"/>
                <w:szCs w:val="21"/>
              </w:rPr>
              <w:t>二氯</w:t>
            </w:r>
            <w:r>
              <w:rPr>
                <w:rFonts w:eastAsia="宋体"/>
                <w:sz w:val="21"/>
                <w:szCs w:val="21"/>
              </w:rPr>
              <w:t>-4-</w:t>
            </w:r>
            <w:r>
              <w:rPr>
                <w:rFonts w:eastAsia="宋体" w:hAnsi="宋体"/>
                <w:sz w:val="21"/>
                <w:szCs w:val="21"/>
              </w:rPr>
              <w:t>氨基苯磺酸</w:t>
            </w:r>
          </w:p>
        </w:tc>
        <w:tc>
          <w:tcPr>
            <w:tcW w:w="1505" w:type="dxa"/>
            <w:tcBorders>
              <w:left w:val="single" w:sz="4" w:space="0" w:color="auto"/>
            </w:tcBorders>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化学纯</w:t>
            </w:r>
          </w:p>
        </w:tc>
        <w:tc>
          <w:tcPr>
            <w:tcW w:w="2418" w:type="dxa"/>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int="eastAsia"/>
                <w:sz w:val="21"/>
                <w:szCs w:val="21"/>
              </w:rPr>
              <w:t>1258.49</w:t>
            </w:r>
          </w:p>
        </w:tc>
        <w:tc>
          <w:tcPr>
            <w:tcW w:w="2010" w:type="dxa"/>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市场外购，晶体粉末</w:t>
            </w:r>
          </w:p>
        </w:tc>
      </w:tr>
      <w:tr w:rsidR="00475650">
        <w:trPr>
          <w:jc w:val="center"/>
        </w:trPr>
        <w:tc>
          <w:tcPr>
            <w:tcW w:w="783" w:type="dxa"/>
            <w:vMerge/>
            <w:vAlign w:val="center"/>
          </w:tcPr>
          <w:p w:rsidR="00475650" w:rsidRDefault="00475650" w:rsidP="00BD74CB">
            <w:pPr>
              <w:pStyle w:val="afffff2"/>
              <w:spacing w:beforeLines="10" w:afterLines="10" w:line="240" w:lineRule="auto"/>
              <w:ind w:firstLine="0"/>
              <w:rPr>
                <w:rFonts w:eastAsia="宋体"/>
                <w:sz w:val="21"/>
                <w:szCs w:val="21"/>
              </w:rPr>
            </w:pPr>
          </w:p>
        </w:tc>
        <w:tc>
          <w:tcPr>
            <w:tcW w:w="2348" w:type="dxa"/>
            <w:tcBorders>
              <w:right w:val="single" w:sz="4" w:space="0" w:color="auto"/>
            </w:tcBorders>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亚硝酸钠</w:t>
            </w:r>
          </w:p>
        </w:tc>
        <w:tc>
          <w:tcPr>
            <w:tcW w:w="1505" w:type="dxa"/>
            <w:tcBorders>
              <w:left w:val="single" w:sz="4" w:space="0" w:color="auto"/>
            </w:tcBorders>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sz w:val="21"/>
                <w:szCs w:val="21"/>
              </w:rPr>
              <w:t>98%</w:t>
            </w:r>
          </w:p>
        </w:tc>
        <w:tc>
          <w:tcPr>
            <w:tcW w:w="2418" w:type="dxa"/>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int="eastAsia"/>
                <w:sz w:val="21"/>
                <w:szCs w:val="21"/>
              </w:rPr>
              <w:t>366</w:t>
            </w:r>
          </w:p>
        </w:tc>
        <w:tc>
          <w:tcPr>
            <w:tcW w:w="2010" w:type="dxa"/>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市场外购，固体粉末</w:t>
            </w:r>
          </w:p>
        </w:tc>
      </w:tr>
      <w:tr w:rsidR="00475650">
        <w:trPr>
          <w:jc w:val="center"/>
        </w:trPr>
        <w:tc>
          <w:tcPr>
            <w:tcW w:w="783" w:type="dxa"/>
            <w:vMerge/>
            <w:vAlign w:val="center"/>
          </w:tcPr>
          <w:p w:rsidR="00475650" w:rsidRDefault="00475650" w:rsidP="00BD74CB">
            <w:pPr>
              <w:pStyle w:val="afffff2"/>
              <w:spacing w:beforeLines="10" w:afterLines="10" w:line="240" w:lineRule="auto"/>
              <w:ind w:firstLine="0"/>
              <w:rPr>
                <w:rFonts w:eastAsia="宋体"/>
                <w:sz w:val="21"/>
                <w:szCs w:val="21"/>
              </w:rPr>
            </w:pPr>
          </w:p>
        </w:tc>
        <w:tc>
          <w:tcPr>
            <w:tcW w:w="2348" w:type="dxa"/>
            <w:tcBorders>
              <w:right w:val="single" w:sz="4" w:space="0" w:color="auto"/>
            </w:tcBorders>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盐酸</w:t>
            </w:r>
          </w:p>
        </w:tc>
        <w:tc>
          <w:tcPr>
            <w:tcW w:w="1505" w:type="dxa"/>
            <w:tcBorders>
              <w:left w:val="single" w:sz="4" w:space="0" w:color="auto"/>
            </w:tcBorders>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sz w:val="21"/>
                <w:szCs w:val="21"/>
              </w:rPr>
              <w:t>31%</w:t>
            </w:r>
          </w:p>
        </w:tc>
        <w:tc>
          <w:tcPr>
            <w:tcW w:w="2418" w:type="dxa"/>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int="eastAsia"/>
                <w:sz w:val="21"/>
                <w:szCs w:val="21"/>
              </w:rPr>
              <w:t>1244.82</w:t>
            </w:r>
          </w:p>
        </w:tc>
        <w:tc>
          <w:tcPr>
            <w:tcW w:w="2010" w:type="dxa"/>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现有工程产物，液体</w:t>
            </w:r>
          </w:p>
        </w:tc>
      </w:tr>
      <w:tr w:rsidR="00475650">
        <w:trPr>
          <w:jc w:val="center"/>
        </w:trPr>
        <w:tc>
          <w:tcPr>
            <w:tcW w:w="783" w:type="dxa"/>
            <w:vMerge/>
            <w:vAlign w:val="center"/>
          </w:tcPr>
          <w:p w:rsidR="00475650" w:rsidRDefault="00475650" w:rsidP="00BD74CB">
            <w:pPr>
              <w:pStyle w:val="affffffff5"/>
              <w:spacing w:beforeLines="10" w:afterLines="10" w:line="240" w:lineRule="auto"/>
              <w:rPr>
                <w:rFonts w:ascii="Times New Roman" w:hAnsi="Times New Roman" w:cs="Times New Roman"/>
                <w:szCs w:val="21"/>
              </w:rPr>
            </w:pPr>
          </w:p>
        </w:tc>
        <w:tc>
          <w:tcPr>
            <w:tcW w:w="2348" w:type="dxa"/>
            <w:tcBorders>
              <w:right w:val="single" w:sz="4" w:space="0" w:color="auto"/>
            </w:tcBorders>
            <w:vAlign w:val="center"/>
          </w:tcPr>
          <w:p w:rsidR="00475650" w:rsidRDefault="00475650" w:rsidP="00BD74CB">
            <w:pPr>
              <w:pStyle w:val="affffffff5"/>
              <w:spacing w:beforeLines="10" w:afterLines="10" w:line="240" w:lineRule="auto"/>
              <w:rPr>
                <w:rFonts w:ascii="Times New Roman" w:hAnsi="Times New Roman" w:cs="Times New Roman"/>
                <w:szCs w:val="21"/>
              </w:rPr>
            </w:pPr>
            <w:r>
              <w:rPr>
                <w:rFonts w:ascii="Times New Roman" w:hAnsi="Times New Roman" w:cs="Times New Roman"/>
                <w:kern w:val="0"/>
                <w:szCs w:val="21"/>
              </w:rPr>
              <w:t>1-</w:t>
            </w:r>
            <w:r>
              <w:rPr>
                <w:rFonts w:ascii="Times New Roman" w:cs="Times New Roman"/>
                <w:kern w:val="0"/>
                <w:szCs w:val="21"/>
              </w:rPr>
              <w:t>苯基</w:t>
            </w:r>
            <w:r>
              <w:rPr>
                <w:rFonts w:ascii="Times New Roman" w:hAnsi="Times New Roman" w:cs="Times New Roman"/>
                <w:kern w:val="0"/>
                <w:szCs w:val="21"/>
              </w:rPr>
              <w:t>-3-</w:t>
            </w:r>
            <w:r>
              <w:rPr>
                <w:rFonts w:ascii="Times New Roman" w:cs="Times New Roman"/>
                <w:kern w:val="0"/>
                <w:szCs w:val="21"/>
              </w:rPr>
              <w:t>甲基</w:t>
            </w:r>
            <w:r>
              <w:rPr>
                <w:rFonts w:ascii="Times New Roman" w:hAnsi="Times New Roman" w:cs="Times New Roman"/>
                <w:kern w:val="0"/>
                <w:szCs w:val="21"/>
              </w:rPr>
              <w:t>-5-</w:t>
            </w:r>
            <w:r>
              <w:rPr>
                <w:rFonts w:ascii="Times New Roman" w:cs="Times New Roman"/>
                <w:kern w:val="0"/>
                <w:szCs w:val="21"/>
              </w:rPr>
              <w:t>氨基吡唑</w:t>
            </w:r>
          </w:p>
        </w:tc>
        <w:tc>
          <w:tcPr>
            <w:tcW w:w="1505" w:type="dxa"/>
            <w:tcBorders>
              <w:left w:val="single" w:sz="4" w:space="0" w:color="auto"/>
            </w:tcBorders>
          </w:tcPr>
          <w:p w:rsidR="00475650" w:rsidRDefault="00475650" w:rsidP="00BD74CB">
            <w:pPr>
              <w:pStyle w:val="affffffff5"/>
              <w:spacing w:beforeLines="10" w:afterLines="10" w:line="240" w:lineRule="auto"/>
              <w:rPr>
                <w:rFonts w:ascii="Times New Roman" w:hAnsi="Times New Roman" w:cs="Times New Roman"/>
                <w:szCs w:val="21"/>
              </w:rPr>
            </w:pPr>
            <w:r>
              <w:rPr>
                <w:rFonts w:ascii="Times New Roman" w:hAnsi="Times New Roman" w:cs="Times New Roman"/>
                <w:szCs w:val="21"/>
              </w:rPr>
              <w:t>99.9%</w:t>
            </w:r>
          </w:p>
        </w:tc>
        <w:tc>
          <w:tcPr>
            <w:tcW w:w="2418" w:type="dxa"/>
            <w:vAlign w:val="center"/>
          </w:tcPr>
          <w:p w:rsidR="00475650" w:rsidRDefault="00475650" w:rsidP="00BD74CB">
            <w:pPr>
              <w:pStyle w:val="affffffff5"/>
              <w:spacing w:beforeLines="10" w:afterLines="10" w:line="240" w:lineRule="auto"/>
              <w:rPr>
                <w:rFonts w:ascii="Times New Roman" w:hAnsi="Times New Roman" w:cs="Times New Roman"/>
                <w:szCs w:val="21"/>
              </w:rPr>
            </w:pPr>
            <w:r>
              <w:rPr>
                <w:rFonts w:ascii="Times New Roman" w:hAnsi="Times New Roman" w:cs="Times New Roman" w:hint="eastAsia"/>
                <w:kern w:val="0"/>
                <w:szCs w:val="21"/>
              </w:rPr>
              <w:t>855.2</w:t>
            </w:r>
          </w:p>
        </w:tc>
        <w:tc>
          <w:tcPr>
            <w:tcW w:w="2010" w:type="dxa"/>
            <w:vAlign w:val="center"/>
          </w:tcPr>
          <w:p w:rsidR="00475650" w:rsidRDefault="00475650" w:rsidP="00BD74CB">
            <w:pPr>
              <w:pStyle w:val="affffffff5"/>
              <w:spacing w:beforeLines="10" w:afterLines="10" w:line="240" w:lineRule="auto"/>
              <w:rPr>
                <w:rFonts w:ascii="Times New Roman" w:hAnsi="Times New Roman" w:cs="Times New Roman"/>
                <w:szCs w:val="21"/>
              </w:rPr>
            </w:pPr>
            <w:r>
              <w:rPr>
                <w:rFonts w:ascii="Times New Roman" w:cs="Times New Roman"/>
                <w:szCs w:val="21"/>
              </w:rPr>
              <w:t>市场外购，固体粉末</w:t>
            </w:r>
          </w:p>
        </w:tc>
      </w:tr>
      <w:tr w:rsidR="00475650">
        <w:trPr>
          <w:jc w:val="center"/>
        </w:trPr>
        <w:tc>
          <w:tcPr>
            <w:tcW w:w="783" w:type="dxa"/>
            <w:vMerge/>
            <w:vAlign w:val="center"/>
          </w:tcPr>
          <w:p w:rsidR="00475650" w:rsidRDefault="00475650" w:rsidP="00BD74CB">
            <w:pPr>
              <w:pStyle w:val="affffffff5"/>
              <w:spacing w:beforeLines="10" w:afterLines="10" w:line="240" w:lineRule="auto"/>
              <w:rPr>
                <w:rFonts w:ascii="Times New Roman" w:hAnsi="Times New Roman" w:cs="Times New Roman"/>
                <w:szCs w:val="21"/>
              </w:rPr>
            </w:pPr>
          </w:p>
        </w:tc>
        <w:tc>
          <w:tcPr>
            <w:tcW w:w="2348" w:type="dxa"/>
            <w:tcBorders>
              <w:right w:val="single" w:sz="4" w:space="0" w:color="auto"/>
            </w:tcBorders>
            <w:vAlign w:val="center"/>
          </w:tcPr>
          <w:p w:rsidR="00475650" w:rsidRDefault="00475650" w:rsidP="00BD74CB">
            <w:pPr>
              <w:pStyle w:val="affffffff5"/>
              <w:spacing w:beforeLines="10" w:afterLines="10" w:line="240" w:lineRule="auto"/>
              <w:rPr>
                <w:rFonts w:ascii="Times New Roman" w:hAnsi="Times New Roman" w:cs="Times New Roman"/>
                <w:kern w:val="0"/>
                <w:szCs w:val="21"/>
              </w:rPr>
            </w:pPr>
            <w:r>
              <w:rPr>
                <w:rFonts w:ascii="Times New Roman" w:cs="Times New Roman"/>
                <w:kern w:val="0"/>
                <w:szCs w:val="21"/>
              </w:rPr>
              <w:t>尿素</w:t>
            </w:r>
          </w:p>
        </w:tc>
        <w:tc>
          <w:tcPr>
            <w:tcW w:w="1505" w:type="dxa"/>
            <w:tcBorders>
              <w:left w:val="single" w:sz="4" w:space="0" w:color="auto"/>
            </w:tcBorders>
          </w:tcPr>
          <w:p w:rsidR="00475650" w:rsidRDefault="00475650" w:rsidP="00BD74CB">
            <w:pPr>
              <w:pStyle w:val="affffffff5"/>
              <w:spacing w:beforeLines="10" w:afterLines="10" w:line="240" w:lineRule="auto"/>
              <w:rPr>
                <w:rFonts w:ascii="Times New Roman" w:hAnsi="Times New Roman" w:cs="Times New Roman"/>
                <w:szCs w:val="21"/>
              </w:rPr>
            </w:pPr>
            <w:r>
              <w:rPr>
                <w:rFonts w:ascii="Times New Roman" w:hAnsi="Times New Roman" w:cs="Times New Roman"/>
                <w:szCs w:val="21"/>
              </w:rPr>
              <w:t>98%</w:t>
            </w:r>
          </w:p>
        </w:tc>
        <w:tc>
          <w:tcPr>
            <w:tcW w:w="2418" w:type="dxa"/>
            <w:vAlign w:val="center"/>
          </w:tcPr>
          <w:p w:rsidR="00475650" w:rsidRDefault="00475650" w:rsidP="00BD74CB">
            <w:pPr>
              <w:pStyle w:val="affffffff5"/>
              <w:spacing w:beforeLines="10" w:afterLines="10" w:line="240" w:lineRule="auto"/>
              <w:rPr>
                <w:rFonts w:ascii="Times New Roman" w:hAnsi="Times New Roman" w:cs="Times New Roman"/>
                <w:kern w:val="0"/>
                <w:szCs w:val="21"/>
              </w:rPr>
            </w:pPr>
            <w:r>
              <w:rPr>
                <w:rFonts w:ascii="Times New Roman" w:hAnsi="Times New Roman" w:cs="Times New Roman" w:hint="eastAsia"/>
                <w:kern w:val="0"/>
                <w:szCs w:val="21"/>
              </w:rPr>
              <w:t>6.55</w:t>
            </w:r>
          </w:p>
        </w:tc>
        <w:tc>
          <w:tcPr>
            <w:tcW w:w="2010" w:type="dxa"/>
            <w:vAlign w:val="center"/>
          </w:tcPr>
          <w:p w:rsidR="00475650" w:rsidRDefault="00475650" w:rsidP="00BD74CB">
            <w:pPr>
              <w:pStyle w:val="affffffff5"/>
              <w:spacing w:beforeLines="10" w:afterLines="10" w:line="240" w:lineRule="auto"/>
              <w:rPr>
                <w:rFonts w:ascii="Times New Roman" w:hAnsi="Times New Roman" w:cs="Times New Roman"/>
                <w:szCs w:val="21"/>
              </w:rPr>
            </w:pPr>
            <w:r>
              <w:rPr>
                <w:rFonts w:ascii="Times New Roman" w:cs="Times New Roman"/>
                <w:szCs w:val="21"/>
              </w:rPr>
              <w:t>市场外购，固体粉末</w:t>
            </w:r>
          </w:p>
        </w:tc>
      </w:tr>
      <w:tr w:rsidR="00475650">
        <w:trPr>
          <w:jc w:val="center"/>
        </w:trPr>
        <w:tc>
          <w:tcPr>
            <w:tcW w:w="783" w:type="dxa"/>
            <w:vMerge/>
            <w:vAlign w:val="center"/>
          </w:tcPr>
          <w:p w:rsidR="00475650" w:rsidRDefault="00475650" w:rsidP="00BD74CB">
            <w:pPr>
              <w:pStyle w:val="afffff2"/>
              <w:spacing w:beforeLines="10" w:afterLines="10" w:line="240" w:lineRule="auto"/>
              <w:ind w:firstLine="0"/>
              <w:rPr>
                <w:rFonts w:eastAsia="宋体"/>
                <w:sz w:val="21"/>
                <w:szCs w:val="21"/>
              </w:rPr>
            </w:pPr>
          </w:p>
        </w:tc>
        <w:tc>
          <w:tcPr>
            <w:tcW w:w="2348" w:type="dxa"/>
            <w:tcBorders>
              <w:right w:val="single" w:sz="4" w:space="0" w:color="auto"/>
            </w:tcBorders>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碳酸钠</w:t>
            </w:r>
          </w:p>
        </w:tc>
        <w:tc>
          <w:tcPr>
            <w:tcW w:w="1505" w:type="dxa"/>
            <w:tcBorders>
              <w:left w:val="single" w:sz="4" w:space="0" w:color="auto"/>
            </w:tcBorders>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sz w:val="21"/>
                <w:szCs w:val="21"/>
              </w:rPr>
              <w:t>98%</w:t>
            </w:r>
          </w:p>
        </w:tc>
        <w:tc>
          <w:tcPr>
            <w:tcW w:w="2418" w:type="dxa"/>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int="eastAsia"/>
                <w:sz w:val="21"/>
                <w:szCs w:val="21"/>
              </w:rPr>
              <w:t>274.93</w:t>
            </w:r>
          </w:p>
        </w:tc>
        <w:tc>
          <w:tcPr>
            <w:tcW w:w="2010" w:type="dxa"/>
            <w:vAlign w:val="center"/>
          </w:tcPr>
          <w:p w:rsidR="00475650" w:rsidRDefault="00475650" w:rsidP="00BD74CB">
            <w:pPr>
              <w:pStyle w:val="afffff2"/>
              <w:spacing w:beforeLines="10" w:afterLines="10" w:line="240" w:lineRule="auto"/>
              <w:ind w:firstLine="0"/>
              <w:rPr>
                <w:rFonts w:eastAsia="宋体"/>
                <w:sz w:val="21"/>
                <w:szCs w:val="21"/>
              </w:rPr>
            </w:pPr>
            <w:r>
              <w:rPr>
                <w:rFonts w:eastAsia="宋体" w:hAnsi="宋体"/>
                <w:sz w:val="21"/>
                <w:szCs w:val="21"/>
              </w:rPr>
              <w:t>市场外购，固体粉末</w:t>
            </w:r>
          </w:p>
        </w:tc>
      </w:tr>
    </w:tbl>
    <w:p w:rsidR="00475650" w:rsidRDefault="00475650">
      <w:pPr>
        <w:pStyle w:val="h"/>
        <w:spacing w:before="0" w:after="0" w:line="360" w:lineRule="auto"/>
        <w:ind w:firstLine="0"/>
        <w:outlineLvl w:val="2"/>
        <w:rPr>
          <w:rStyle w:val="2Char1Char"/>
          <w:rFonts w:ascii="Times New Roman" w:eastAsia="宋体" w:hAnsi="Times New Roman" w:cs="Times New Roman"/>
          <w:b w:val="0"/>
          <w:sz w:val="24"/>
          <w:szCs w:val="24"/>
        </w:rPr>
      </w:pPr>
      <w:r>
        <w:rPr>
          <w:rStyle w:val="2Char1Char"/>
          <w:rFonts w:ascii="Times New Roman" w:eastAsia="宋体" w:hAnsi="Times New Roman" w:cs="Times New Roman"/>
          <w:b w:val="0"/>
          <w:sz w:val="24"/>
          <w:szCs w:val="24"/>
        </w:rPr>
        <w:t xml:space="preserve">3.3.4.4 </w:t>
      </w:r>
      <w:r>
        <w:rPr>
          <w:rStyle w:val="2Char1Char"/>
          <w:rFonts w:ascii="Times New Roman" w:eastAsia="宋体" w:hAnsi="宋体" w:cs="Times New Roman"/>
          <w:b w:val="0"/>
          <w:sz w:val="24"/>
          <w:szCs w:val="24"/>
        </w:rPr>
        <w:t>物料平衡</w:t>
      </w:r>
    </w:p>
    <w:p w:rsidR="00475650" w:rsidRDefault="00475650">
      <w:pPr>
        <w:spacing w:line="360" w:lineRule="auto"/>
        <w:ind w:firstLineChars="200" w:firstLine="480"/>
        <w:rPr>
          <w:sz w:val="24"/>
        </w:rPr>
      </w:pPr>
      <w:r>
        <w:rPr>
          <w:rFonts w:hAnsi="宋体"/>
          <w:sz w:val="24"/>
        </w:rPr>
        <w:t>生产工艺总物料平衡以及主要物料平衡见表</w:t>
      </w:r>
      <w:r>
        <w:rPr>
          <w:sz w:val="24"/>
        </w:rPr>
        <w:t>3.3-6—</w:t>
      </w:r>
      <w:r>
        <w:rPr>
          <w:rFonts w:hAnsi="宋体"/>
          <w:sz w:val="24"/>
        </w:rPr>
        <w:t>表</w:t>
      </w:r>
      <w:r>
        <w:rPr>
          <w:sz w:val="24"/>
        </w:rPr>
        <w:t>3.3-8</w:t>
      </w:r>
      <w:r>
        <w:rPr>
          <w:rFonts w:hAnsi="宋体"/>
          <w:sz w:val="24"/>
        </w:rPr>
        <w:t>及图</w:t>
      </w:r>
      <w:r>
        <w:rPr>
          <w:sz w:val="24"/>
        </w:rPr>
        <w:t>3-</w:t>
      </w:r>
      <w:r>
        <w:rPr>
          <w:rFonts w:hint="eastAsia"/>
          <w:sz w:val="24"/>
        </w:rPr>
        <w:t>4</w:t>
      </w:r>
      <w:r>
        <w:rPr>
          <w:sz w:val="24"/>
        </w:rPr>
        <w:t>—</w:t>
      </w:r>
      <w:r>
        <w:rPr>
          <w:rFonts w:hAnsi="宋体"/>
          <w:sz w:val="24"/>
        </w:rPr>
        <w:t>图</w:t>
      </w:r>
      <w:r>
        <w:rPr>
          <w:sz w:val="24"/>
        </w:rPr>
        <w:t>3-</w:t>
      </w:r>
      <w:r>
        <w:rPr>
          <w:rFonts w:hint="eastAsia"/>
          <w:sz w:val="24"/>
        </w:rPr>
        <w:t>7</w:t>
      </w:r>
      <w:r>
        <w:rPr>
          <w:rFonts w:hAnsi="宋体"/>
          <w:sz w:val="24"/>
        </w:rPr>
        <w:t>。</w:t>
      </w:r>
    </w:p>
    <w:p w:rsidR="00475650" w:rsidRDefault="00475650">
      <w:pPr>
        <w:spacing w:line="360" w:lineRule="auto"/>
        <w:jc w:val="center"/>
        <w:rPr>
          <w:bCs/>
          <w:sz w:val="24"/>
        </w:rPr>
      </w:pPr>
      <w:r>
        <w:rPr>
          <w:rFonts w:hAnsi="宋体"/>
          <w:bCs/>
          <w:sz w:val="24"/>
        </w:rPr>
        <w:t>表</w:t>
      </w:r>
      <w:r>
        <w:rPr>
          <w:bCs/>
          <w:sz w:val="24"/>
        </w:rPr>
        <w:t xml:space="preserve">3.3-6    </w:t>
      </w:r>
      <w:r>
        <w:rPr>
          <w:rFonts w:hAnsi="宋体"/>
          <w:bCs/>
          <w:sz w:val="24"/>
        </w:rPr>
        <w:t>生产工艺总物料平衡表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179"/>
        <w:gridCol w:w="2027"/>
        <w:gridCol w:w="1155"/>
        <w:gridCol w:w="1647"/>
        <w:gridCol w:w="1437"/>
        <w:gridCol w:w="1501"/>
      </w:tblGrid>
      <w:tr w:rsidR="00475650">
        <w:trPr>
          <w:trHeight w:val="429"/>
        </w:trPr>
        <w:tc>
          <w:tcPr>
            <w:tcW w:w="1179" w:type="dxa"/>
            <w:vMerge w:val="restart"/>
            <w:vAlign w:val="center"/>
          </w:tcPr>
          <w:p w:rsidR="00475650" w:rsidRDefault="00475650">
            <w:pPr>
              <w:snapToGrid w:val="0"/>
              <w:spacing w:line="240" w:lineRule="exact"/>
              <w:jc w:val="center"/>
              <w:rPr>
                <w:szCs w:val="21"/>
              </w:rPr>
            </w:pPr>
            <w:r>
              <w:rPr>
                <w:rFonts w:hAnsi="宋体"/>
                <w:szCs w:val="21"/>
              </w:rPr>
              <w:t>生产线</w:t>
            </w:r>
          </w:p>
        </w:tc>
        <w:tc>
          <w:tcPr>
            <w:tcW w:w="3182" w:type="dxa"/>
            <w:gridSpan w:val="2"/>
            <w:vAlign w:val="center"/>
          </w:tcPr>
          <w:p w:rsidR="00475650" w:rsidRDefault="00475650">
            <w:pPr>
              <w:snapToGrid w:val="0"/>
              <w:spacing w:line="240" w:lineRule="exact"/>
              <w:jc w:val="center"/>
              <w:rPr>
                <w:szCs w:val="21"/>
              </w:rPr>
            </w:pPr>
            <w:r>
              <w:rPr>
                <w:rFonts w:hAnsi="宋体"/>
                <w:szCs w:val="21"/>
              </w:rPr>
              <w:t>输入（</w:t>
            </w:r>
            <w:r>
              <w:rPr>
                <w:szCs w:val="21"/>
              </w:rPr>
              <w:t>t/a</w:t>
            </w:r>
            <w:r>
              <w:rPr>
                <w:rFonts w:hAnsi="宋体"/>
                <w:szCs w:val="21"/>
              </w:rPr>
              <w:t>）</w:t>
            </w:r>
          </w:p>
        </w:tc>
        <w:tc>
          <w:tcPr>
            <w:tcW w:w="4585" w:type="dxa"/>
            <w:gridSpan w:val="3"/>
            <w:vAlign w:val="center"/>
          </w:tcPr>
          <w:p w:rsidR="00475650" w:rsidRDefault="00475650">
            <w:pPr>
              <w:snapToGrid w:val="0"/>
              <w:spacing w:line="240" w:lineRule="exact"/>
              <w:jc w:val="center"/>
              <w:rPr>
                <w:szCs w:val="21"/>
              </w:rPr>
            </w:pPr>
            <w:r>
              <w:rPr>
                <w:rFonts w:hAnsi="宋体"/>
                <w:szCs w:val="21"/>
              </w:rPr>
              <w:t>输出（</w:t>
            </w:r>
            <w:r>
              <w:rPr>
                <w:szCs w:val="21"/>
              </w:rPr>
              <w:t>t/a</w:t>
            </w:r>
            <w:r>
              <w:rPr>
                <w:rFonts w:hAnsi="宋体"/>
                <w:szCs w:val="21"/>
              </w:rPr>
              <w:t>）</w:t>
            </w:r>
          </w:p>
        </w:tc>
      </w:tr>
      <w:tr w:rsidR="00475650">
        <w:tc>
          <w:tcPr>
            <w:tcW w:w="1179" w:type="dxa"/>
            <w:vMerge/>
            <w:vAlign w:val="center"/>
          </w:tcPr>
          <w:p w:rsidR="00475650" w:rsidRDefault="00475650">
            <w:pPr>
              <w:snapToGrid w:val="0"/>
              <w:spacing w:line="240" w:lineRule="exact"/>
              <w:jc w:val="center"/>
              <w:rPr>
                <w:szCs w:val="21"/>
              </w:rPr>
            </w:pPr>
          </w:p>
        </w:tc>
        <w:tc>
          <w:tcPr>
            <w:tcW w:w="2027" w:type="dxa"/>
            <w:vAlign w:val="center"/>
          </w:tcPr>
          <w:p w:rsidR="00475650" w:rsidRDefault="00475650">
            <w:pPr>
              <w:snapToGrid w:val="0"/>
              <w:spacing w:line="240" w:lineRule="exact"/>
              <w:jc w:val="center"/>
              <w:rPr>
                <w:szCs w:val="21"/>
              </w:rPr>
            </w:pPr>
            <w:r>
              <w:rPr>
                <w:rFonts w:hAnsi="宋体"/>
                <w:szCs w:val="21"/>
              </w:rPr>
              <w:t>项目</w:t>
            </w:r>
          </w:p>
        </w:tc>
        <w:tc>
          <w:tcPr>
            <w:tcW w:w="1155" w:type="dxa"/>
            <w:vAlign w:val="center"/>
          </w:tcPr>
          <w:p w:rsidR="00475650" w:rsidRDefault="00475650">
            <w:pPr>
              <w:snapToGrid w:val="0"/>
              <w:spacing w:line="240" w:lineRule="exact"/>
              <w:jc w:val="center"/>
              <w:rPr>
                <w:szCs w:val="21"/>
              </w:rPr>
            </w:pPr>
            <w:r>
              <w:rPr>
                <w:rFonts w:hAnsi="宋体"/>
                <w:szCs w:val="21"/>
              </w:rPr>
              <w:t>数量</w:t>
            </w:r>
          </w:p>
        </w:tc>
        <w:tc>
          <w:tcPr>
            <w:tcW w:w="1647" w:type="dxa"/>
            <w:vAlign w:val="center"/>
          </w:tcPr>
          <w:p w:rsidR="00475650" w:rsidRDefault="00475650">
            <w:pPr>
              <w:snapToGrid w:val="0"/>
              <w:spacing w:line="240" w:lineRule="exact"/>
              <w:jc w:val="center"/>
              <w:rPr>
                <w:szCs w:val="21"/>
              </w:rPr>
            </w:pPr>
            <w:r>
              <w:rPr>
                <w:rFonts w:hAnsi="宋体"/>
                <w:szCs w:val="21"/>
              </w:rPr>
              <w:t>项目</w:t>
            </w:r>
          </w:p>
        </w:tc>
        <w:tc>
          <w:tcPr>
            <w:tcW w:w="1437" w:type="dxa"/>
            <w:vAlign w:val="center"/>
          </w:tcPr>
          <w:p w:rsidR="00475650" w:rsidRDefault="00475650">
            <w:pPr>
              <w:snapToGrid w:val="0"/>
              <w:spacing w:line="240" w:lineRule="exact"/>
              <w:jc w:val="center"/>
              <w:rPr>
                <w:szCs w:val="21"/>
              </w:rPr>
            </w:pPr>
            <w:r>
              <w:rPr>
                <w:rFonts w:hAnsi="宋体"/>
                <w:szCs w:val="21"/>
              </w:rPr>
              <w:t>数量</w:t>
            </w:r>
          </w:p>
        </w:tc>
        <w:tc>
          <w:tcPr>
            <w:tcW w:w="1501" w:type="dxa"/>
            <w:vAlign w:val="center"/>
          </w:tcPr>
          <w:p w:rsidR="00475650" w:rsidRDefault="00475650">
            <w:pPr>
              <w:snapToGrid w:val="0"/>
              <w:spacing w:line="240" w:lineRule="exact"/>
              <w:jc w:val="center"/>
              <w:rPr>
                <w:szCs w:val="21"/>
              </w:rPr>
            </w:pPr>
            <w:r>
              <w:rPr>
                <w:rFonts w:hAnsi="宋体"/>
                <w:szCs w:val="21"/>
              </w:rPr>
              <w:t>备注</w:t>
            </w:r>
          </w:p>
        </w:tc>
      </w:tr>
      <w:tr w:rsidR="00475650">
        <w:tc>
          <w:tcPr>
            <w:tcW w:w="1179" w:type="dxa"/>
            <w:vMerge w:val="restart"/>
            <w:vAlign w:val="center"/>
          </w:tcPr>
          <w:p w:rsidR="00475650" w:rsidRDefault="00475650">
            <w:pPr>
              <w:snapToGrid w:val="0"/>
              <w:spacing w:line="240" w:lineRule="exact"/>
              <w:jc w:val="center"/>
              <w:rPr>
                <w:szCs w:val="21"/>
              </w:rPr>
            </w:pPr>
            <w:r>
              <w:rPr>
                <w:rFonts w:hAnsi="宋体"/>
                <w:szCs w:val="21"/>
              </w:rPr>
              <w:t>酸性红</w:t>
            </w:r>
            <w:r>
              <w:rPr>
                <w:szCs w:val="21"/>
              </w:rPr>
              <w:t>37</w:t>
            </w:r>
            <w:r>
              <w:rPr>
                <w:rFonts w:hAnsi="宋体"/>
                <w:szCs w:val="21"/>
              </w:rPr>
              <w:t>生产线</w:t>
            </w:r>
          </w:p>
        </w:tc>
        <w:tc>
          <w:tcPr>
            <w:tcW w:w="2027" w:type="dxa"/>
            <w:vAlign w:val="center"/>
          </w:tcPr>
          <w:p w:rsidR="00475650" w:rsidRDefault="00475650">
            <w:pPr>
              <w:snapToGrid w:val="0"/>
              <w:spacing w:line="240" w:lineRule="exact"/>
              <w:jc w:val="center"/>
              <w:rPr>
                <w:szCs w:val="21"/>
              </w:rPr>
            </w:pPr>
            <w:r>
              <w:rPr>
                <w:szCs w:val="21"/>
              </w:rPr>
              <w:t>2,5-</w:t>
            </w:r>
            <w:r>
              <w:rPr>
                <w:rFonts w:hAnsi="宋体"/>
                <w:szCs w:val="21"/>
              </w:rPr>
              <w:t>二氨基苯磺酸</w:t>
            </w:r>
          </w:p>
        </w:tc>
        <w:tc>
          <w:tcPr>
            <w:tcW w:w="1155" w:type="dxa"/>
            <w:vAlign w:val="center"/>
          </w:tcPr>
          <w:p w:rsidR="00475650" w:rsidRDefault="00475650">
            <w:pPr>
              <w:snapToGrid w:val="0"/>
              <w:spacing w:line="240" w:lineRule="exact"/>
              <w:jc w:val="center"/>
              <w:rPr>
                <w:szCs w:val="21"/>
              </w:rPr>
            </w:pPr>
            <w:r>
              <w:rPr>
                <w:rFonts w:hint="eastAsia"/>
                <w:szCs w:val="21"/>
              </w:rPr>
              <w:t>1523.26</w:t>
            </w:r>
          </w:p>
        </w:tc>
        <w:tc>
          <w:tcPr>
            <w:tcW w:w="1647" w:type="dxa"/>
            <w:vAlign w:val="center"/>
          </w:tcPr>
          <w:p w:rsidR="00475650" w:rsidRDefault="00475650">
            <w:pPr>
              <w:snapToGrid w:val="0"/>
              <w:spacing w:line="240" w:lineRule="exact"/>
              <w:jc w:val="center"/>
              <w:rPr>
                <w:szCs w:val="21"/>
              </w:rPr>
            </w:pPr>
            <w:r>
              <w:rPr>
                <w:rFonts w:hAnsi="宋体"/>
                <w:szCs w:val="21"/>
              </w:rPr>
              <w:t>酸性红</w:t>
            </w:r>
            <w:r>
              <w:rPr>
                <w:szCs w:val="21"/>
              </w:rPr>
              <w:t>37</w:t>
            </w:r>
            <w:r>
              <w:rPr>
                <w:rFonts w:hAnsi="宋体"/>
                <w:szCs w:val="21"/>
              </w:rPr>
              <w:t>产品</w:t>
            </w:r>
          </w:p>
        </w:tc>
        <w:tc>
          <w:tcPr>
            <w:tcW w:w="1437" w:type="dxa"/>
            <w:vAlign w:val="center"/>
          </w:tcPr>
          <w:p w:rsidR="00475650" w:rsidRDefault="00475650">
            <w:pPr>
              <w:snapToGrid w:val="0"/>
              <w:spacing w:line="240" w:lineRule="exact"/>
              <w:jc w:val="center"/>
              <w:rPr>
                <w:szCs w:val="21"/>
              </w:rPr>
            </w:pPr>
            <w:r>
              <w:rPr>
                <w:szCs w:val="21"/>
              </w:rPr>
              <w:t>4000</w:t>
            </w:r>
          </w:p>
        </w:tc>
        <w:tc>
          <w:tcPr>
            <w:tcW w:w="1501" w:type="dxa"/>
            <w:vAlign w:val="center"/>
          </w:tcPr>
          <w:p w:rsidR="00475650" w:rsidRDefault="00475650">
            <w:pPr>
              <w:snapToGrid w:val="0"/>
              <w:spacing w:line="240" w:lineRule="exact"/>
              <w:jc w:val="center"/>
              <w:rPr>
                <w:szCs w:val="21"/>
              </w:rPr>
            </w:pPr>
          </w:p>
        </w:tc>
      </w:tr>
      <w:tr w:rsidR="00475650">
        <w:tc>
          <w:tcPr>
            <w:tcW w:w="1179" w:type="dxa"/>
            <w:vMerge/>
            <w:vAlign w:val="center"/>
          </w:tcPr>
          <w:p w:rsidR="00475650" w:rsidRDefault="00475650">
            <w:pPr>
              <w:snapToGrid w:val="0"/>
              <w:spacing w:line="240" w:lineRule="exact"/>
              <w:jc w:val="center"/>
              <w:rPr>
                <w:szCs w:val="21"/>
              </w:rPr>
            </w:pPr>
          </w:p>
        </w:tc>
        <w:tc>
          <w:tcPr>
            <w:tcW w:w="2027" w:type="dxa"/>
            <w:vAlign w:val="center"/>
          </w:tcPr>
          <w:p w:rsidR="00475650" w:rsidRDefault="00475650">
            <w:pPr>
              <w:snapToGrid w:val="0"/>
              <w:spacing w:line="240" w:lineRule="exact"/>
              <w:jc w:val="center"/>
              <w:rPr>
                <w:szCs w:val="21"/>
              </w:rPr>
            </w:pPr>
            <w:r>
              <w:rPr>
                <w:rFonts w:hAnsi="宋体"/>
                <w:szCs w:val="21"/>
              </w:rPr>
              <w:t>乙酸酐</w:t>
            </w:r>
          </w:p>
        </w:tc>
        <w:tc>
          <w:tcPr>
            <w:tcW w:w="1155" w:type="dxa"/>
            <w:vAlign w:val="center"/>
          </w:tcPr>
          <w:p w:rsidR="00475650" w:rsidRDefault="00475650">
            <w:pPr>
              <w:snapToGrid w:val="0"/>
              <w:spacing w:line="240" w:lineRule="exact"/>
              <w:jc w:val="center"/>
              <w:rPr>
                <w:szCs w:val="21"/>
              </w:rPr>
            </w:pPr>
            <w:r>
              <w:rPr>
                <w:rFonts w:hint="eastAsia"/>
                <w:szCs w:val="21"/>
              </w:rPr>
              <w:t>863.41</w:t>
            </w:r>
          </w:p>
        </w:tc>
        <w:tc>
          <w:tcPr>
            <w:tcW w:w="1647" w:type="dxa"/>
            <w:vAlign w:val="center"/>
          </w:tcPr>
          <w:p w:rsidR="00475650" w:rsidRDefault="00475650">
            <w:pPr>
              <w:snapToGrid w:val="0"/>
              <w:spacing w:line="240" w:lineRule="exact"/>
              <w:jc w:val="center"/>
              <w:rPr>
                <w:szCs w:val="21"/>
              </w:rPr>
            </w:pPr>
            <w:r>
              <w:rPr>
                <w:rFonts w:hAnsi="宋体"/>
                <w:szCs w:val="21"/>
              </w:rPr>
              <w:t>废水</w:t>
            </w:r>
          </w:p>
        </w:tc>
        <w:tc>
          <w:tcPr>
            <w:tcW w:w="1437" w:type="dxa"/>
            <w:vAlign w:val="center"/>
          </w:tcPr>
          <w:p w:rsidR="00475650" w:rsidRDefault="00475650">
            <w:pPr>
              <w:snapToGrid w:val="0"/>
              <w:spacing w:line="240" w:lineRule="exact"/>
              <w:jc w:val="center"/>
              <w:rPr>
                <w:szCs w:val="21"/>
              </w:rPr>
            </w:pPr>
            <w:r>
              <w:rPr>
                <w:rFonts w:hint="eastAsia"/>
                <w:szCs w:val="21"/>
              </w:rPr>
              <w:t>119826.34</w:t>
            </w:r>
          </w:p>
        </w:tc>
        <w:tc>
          <w:tcPr>
            <w:tcW w:w="1501" w:type="dxa"/>
            <w:vAlign w:val="center"/>
          </w:tcPr>
          <w:p w:rsidR="00475650" w:rsidRDefault="00475650">
            <w:pPr>
              <w:snapToGrid w:val="0"/>
              <w:spacing w:line="240" w:lineRule="exact"/>
              <w:jc w:val="center"/>
              <w:rPr>
                <w:szCs w:val="21"/>
              </w:rPr>
            </w:pPr>
            <w:r>
              <w:rPr>
                <w:rFonts w:hAnsi="宋体"/>
                <w:szCs w:val="21"/>
              </w:rPr>
              <w:t>进入废水预处理装置</w:t>
            </w:r>
          </w:p>
        </w:tc>
      </w:tr>
      <w:tr w:rsidR="00475650">
        <w:tc>
          <w:tcPr>
            <w:tcW w:w="1179" w:type="dxa"/>
            <w:vMerge/>
            <w:vAlign w:val="center"/>
          </w:tcPr>
          <w:p w:rsidR="00475650" w:rsidRDefault="00475650">
            <w:pPr>
              <w:snapToGrid w:val="0"/>
              <w:spacing w:line="240" w:lineRule="exact"/>
              <w:jc w:val="center"/>
              <w:rPr>
                <w:szCs w:val="21"/>
              </w:rPr>
            </w:pPr>
          </w:p>
        </w:tc>
        <w:tc>
          <w:tcPr>
            <w:tcW w:w="2027" w:type="dxa"/>
            <w:vAlign w:val="center"/>
          </w:tcPr>
          <w:p w:rsidR="00475650" w:rsidRDefault="00475650">
            <w:pPr>
              <w:snapToGrid w:val="0"/>
              <w:spacing w:line="240" w:lineRule="exact"/>
              <w:jc w:val="center"/>
              <w:rPr>
                <w:szCs w:val="21"/>
              </w:rPr>
            </w:pPr>
            <w:r>
              <w:rPr>
                <w:rFonts w:hAnsi="宋体"/>
                <w:szCs w:val="21"/>
              </w:rPr>
              <w:t>碳酸钠</w:t>
            </w:r>
          </w:p>
        </w:tc>
        <w:tc>
          <w:tcPr>
            <w:tcW w:w="1155" w:type="dxa"/>
            <w:vAlign w:val="center"/>
          </w:tcPr>
          <w:p w:rsidR="00475650" w:rsidRDefault="00475650">
            <w:pPr>
              <w:snapToGrid w:val="0"/>
              <w:spacing w:line="240" w:lineRule="exact"/>
              <w:jc w:val="center"/>
              <w:rPr>
                <w:szCs w:val="21"/>
              </w:rPr>
            </w:pPr>
            <w:r>
              <w:rPr>
                <w:rFonts w:hint="eastAsia"/>
                <w:szCs w:val="21"/>
              </w:rPr>
              <w:t>606.87</w:t>
            </w:r>
          </w:p>
        </w:tc>
        <w:tc>
          <w:tcPr>
            <w:tcW w:w="1647" w:type="dxa"/>
            <w:vAlign w:val="center"/>
          </w:tcPr>
          <w:p w:rsidR="00475650" w:rsidRDefault="00475650">
            <w:pPr>
              <w:snapToGrid w:val="0"/>
              <w:spacing w:line="240" w:lineRule="exact"/>
              <w:jc w:val="center"/>
              <w:rPr>
                <w:szCs w:val="21"/>
              </w:rPr>
            </w:pPr>
            <w:r>
              <w:rPr>
                <w:rFonts w:hAnsi="宋体"/>
                <w:szCs w:val="21"/>
              </w:rPr>
              <w:t>废气</w:t>
            </w:r>
          </w:p>
        </w:tc>
        <w:tc>
          <w:tcPr>
            <w:tcW w:w="1437" w:type="dxa"/>
            <w:vAlign w:val="center"/>
          </w:tcPr>
          <w:p w:rsidR="00475650" w:rsidRDefault="00475650">
            <w:pPr>
              <w:snapToGrid w:val="0"/>
              <w:spacing w:line="240" w:lineRule="exact"/>
              <w:jc w:val="center"/>
              <w:rPr>
                <w:szCs w:val="21"/>
              </w:rPr>
            </w:pPr>
            <w:r>
              <w:rPr>
                <w:rFonts w:hint="eastAsia"/>
                <w:szCs w:val="21"/>
              </w:rPr>
              <w:t>287.71</w:t>
            </w:r>
          </w:p>
        </w:tc>
        <w:tc>
          <w:tcPr>
            <w:tcW w:w="1501" w:type="dxa"/>
            <w:vAlign w:val="center"/>
          </w:tcPr>
          <w:p w:rsidR="00475650" w:rsidRDefault="00475650">
            <w:pPr>
              <w:snapToGrid w:val="0"/>
              <w:spacing w:line="240" w:lineRule="exact"/>
              <w:jc w:val="center"/>
              <w:rPr>
                <w:szCs w:val="21"/>
              </w:rPr>
            </w:pPr>
          </w:p>
        </w:tc>
      </w:tr>
      <w:tr w:rsidR="00475650">
        <w:tc>
          <w:tcPr>
            <w:tcW w:w="1179" w:type="dxa"/>
            <w:vMerge/>
            <w:vAlign w:val="center"/>
          </w:tcPr>
          <w:p w:rsidR="00475650" w:rsidRDefault="00475650">
            <w:pPr>
              <w:snapToGrid w:val="0"/>
              <w:spacing w:line="240" w:lineRule="exact"/>
              <w:jc w:val="center"/>
              <w:rPr>
                <w:szCs w:val="21"/>
              </w:rPr>
            </w:pPr>
          </w:p>
        </w:tc>
        <w:tc>
          <w:tcPr>
            <w:tcW w:w="2027" w:type="dxa"/>
            <w:vAlign w:val="center"/>
          </w:tcPr>
          <w:p w:rsidR="00475650" w:rsidRDefault="00475650">
            <w:pPr>
              <w:snapToGrid w:val="0"/>
              <w:spacing w:line="240" w:lineRule="exact"/>
              <w:jc w:val="center"/>
              <w:rPr>
                <w:szCs w:val="21"/>
              </w:rPr>
            </w:pPr>
            <w:r>
              <w:rPr>
                <w:rFonts w:hAnsi="宋体"/>
                <w:szCs w:val="21"/>
              </w:rPr>
              <w:t>亚硝酸钠</w:t>
            </w:r>
          </w:p>
        </w:tc>
        <w:tc>
          <w:tcPr>
            <w:tcW w:w="1155" w:type="dxa"/>
            <w:vAlign w:val="center"/>
          </w:tcPr>
          <w:p w:rsidR="00475650" w:rsidRDefault="00475650">
            <w:pPr>
              <w:snapToGrid w:val="0"/>
              <w:spacing w:line="240" w:lineRule="exact"/>
              <w:jc w:val="center"/>
              <w:rPr>
                <w:szCs w:val="21"/>
              </w:rPr>
            </w:pPr>
            <w:r>
              <w:rPr>
                <w:rFonts w:hint="eastAsia"/>
                <w:szCs w:val="21"/>
              </w:rPr>
              <w:t>563.36</w:t>
            </w:r>
          </w:p>
        </w:tc>
        <w:tc>
          <w:tcPr>
            <w:tcW w:w="1647" w:type="dxa"/>
            <w:vAlign w:val="center"/>
          </w:tcPr>
          <w:p w:rsidR="00475650" w:rsidRDefault="00475650">
            <w:pPr>
              <w:snapToGrid w:val="0"/>
              <w:spacing w:line="240" w:lineRule="exact"/>
              <w:jc w:val="center"/>
              <w:rPr>
                <w:szCs w:val="21"/>
              </w:rPr>
            </w:pPr>
            <w:r>
              <w:rPr>
                <w:rFonts w:hAnsi="宋体"/>
                <w:szCs w:val="21"/>
              </w:rPr>
              <w:t>蒸发损失</w:t>
            </w:r>
          </w:p>
        </w:tc>
        <w:tc>
          <w:tcPr>
            <w:tcW w:w="1437" w:type="dxa"/>
            <w:vAlign w:val="center"/>
          </w:tcPr>
          <w:p w:rsidR="00475650" w:rsidRDefault="00475650">
            <w:pPr>
              <w:snapToGrid w:val="0"/>
              <w:spacing w:line="240" w:lineRule="exact"/>
              <w:jc w:val="center"/>
              <w:rPr>
                <w:szCs w:val="21"/>
              </w:rPr>
            </w:pPr>
            <w:r>
              <w:rPr>
                <w:rFonts w:hint="eastAsia"/>
                <w:szCs w:val="21"/>
              </w:rPr>
              <w:t>2326.3</w:t>
            </w:r>
          </w:p>
        </w:tc>
        <w:tc>
          <w:tcPr>
            <w:tcW w:w="1501" w:type="dxa"/>
            <w:vAlign w:val="center"/>
          </w:tcPr>
          <w:p w:rsidR="00475650" w:rsidRDefault="00475650">
            <w:pPr>
              <w:snapToGrid w:val="0"/>
              <w:spacing w:line="240" w:lineRule="exact"/>
              <w:jc w:val="center"/>
              <w:rPr>
                <w:szCs w:val="21"/>
              </w:rPr>
            </w:pPr>
          </w:p>
        </w:tc>
      </w:tr>
      <w:tr w:rsidR="00475650">
        <w:tc>
          <w:tcPr>
            <w:tcW w:w="1179" w:type="dxa"/>
            <w:vMerge/>
            <w:vAlign w:val="center"/>
          </w:tcPr>
          <w:p w:rsidR="00475650" w:rsidRDefault="00475650">
            <w:pPr>
              <w:snapToGrid w:val="0"/>
              <w:spacing w:line="240" w:lineRule="exact"/>
              <w:jc w:val="center"/>
              <w:rPr>
                <w:szCs w:val="21"/>
              </w:rPr>
            </w:pPr>
          </w:p>
        </w:tc>
        <w:tc>
          <w:tcPr>
            <w:tcW w:w="2027" w:type="dxa"/>
            <w:vAlign w:val="center"/>
          </w:tcPr>
          <w:p w:rsidR="00475650" w:rsidRDefault="00475650">
            <w:pPr>
              <w:snapToGrid w:val="0"/>
              <w:spacing w:line="240" w:lineRule="exact"/>
              <w:jc w:val="center"/>
              <w:rPr>
                <w:szCs w:val="21"/>
              </w:rPr>
            </w:pPr>
            <w:r>
              <w:rPr>
                <w:rFonts w:hAnsi="宋体"/>
                <w:szCs w:val="21"/>
              </w:rPr>
              <w:t>盐酸（</w:t>
            </w:r>
            <w:r>
              <w:rPr>
                <w:szCs w:val="21"/>
              </w:rPr>
              <w:t>31%</w:t>
            </w:r>
            <w:r>
              <w:rPr>
                <w:rFonts w:hAnsi="宋体"/>
                <w:szCs w:val="21"/>
              </w:rPr>
              <w:t>）</w:t>
            </w:r>
          </w:p>
        </w:tc>
        <w:tc>
          <w:tcPr>
            <w:tcW w:w="1155" w:type="dxa"/>
            <w:vAlign w:val="center"/>
          </w:tcPr>
          <w:p w:rsidR="00475650" w:rsidRDefault="00475650">
            <w:pPr>
              <w:snapToGrid w:val="0"/>
              <w:spacing w:line="240" w:lineRule="exact"/>
              <w:jc w:val="center"/>
              <w:rPr>
                <w:szCs w:val="21"/>
              </w:rPr>
            </w:pPr>
            <w:r>
              <w:rPr>
                <w:rFonts w:hint="eastAsia"/>
                <w:szCs w:val="21"/>
              </w:rPr>
              <w:t>1914.19</w:t>
            </w:r>
          </w:p>
        </w:tc>
        <w:tc>
          <w:tcPr>
            <w:tcW w:w="1647" w:type="dxa"/>
            <w:vAlign w:val="center"/>
          </w:tcPr>
          <w:p w:rsidR="00475650" w:rsidRDefault="00475650">
            <w:pPr>
              <w:snapToGrid w:val="0"/>
              <w:spacing w:line="240" w:lineRule="exact"/>
              <w:jc w:val="center"/>
              <w:rPr>
                <w:szCs w:val="21"/>
              </w:rPr>
            </w:pPr>
          </w:p>
        </w:tc>
        <w:tc>
          <w:tcPr>
            <w:tcW w:w="1437" w:type="dxa"/>
            <w:vAlign w:val="center"/>
          </w:tcPr>
          <w:p w:rsidR="00475650" w:rsidRDefault="00475650">
            <w:pPr>
              <w:snapToGrid w:val="0"/>
              <w:spacing w:line="240" w:lineRule="exact"/>
              <w:jc w:val="center"/>
              <w:rPr>
                <w:szCs w:val="21"/>
              </w:rPr>
            </w:pPr>
          </w:p>
        </w:tc>
        <w:tc>
          <w:tcPr>
            <w:tcW w:w="1501" w:type="dxa"/>
            <w:vAlign w:val="center"/>
          </w:tcPr>
          <w:p w:rsidR="00475650" w:rsidRDefault="00475650">
            <w:pPr>
              <w:snapToGrid w:val="0"/>
              <w:spacing w:line="240" w:lineRule="exact"/>
              <w:jc w:val="center"/>
              <w:rPr>
                <w:szCs w:val="21"/>
              </w:rPr>
            </w:pPr>
          </w:p>
        </w:tc>
      </w:tr>
      <w:tr w:rsidR="00475650">
        <w:tc>
          <w:tcPr>
            <w:tcW w:w="1179" w:type="dxa"/>
            <w:vMerge/>
            <w:vAlign w:val="center"/>
          </w:tcPr>
          <w:p w:rsidR="00475650" w:rsidRDefault="00475650">
            <w:pPr>
              <w:snapToGrid w:val="0"/>
              <w:spacing w:line="240" w:lineRule="exact"/>
              <w:jc w:val="center"/>
              <w:rPr>
                <w:szCs w:val="21"/>
              </w:rPr>
            </w:pPr>
          </w:p>
        </w:tc>
        <w:tc>
          <w:tcPr>
            <w:tcW w:w="2027" w:type="dxa"/>
            <w:vAlign w:val="center"/>
          </w:tcPr>
          <w:p w:rsidR="00475650" w:rsidRDefault="00475650">
            <w:pPr>
              <w:snapToGrid w:val="0"/>
              <w:spacing w:line="240" w:lineRule="exact"/>
              <w:jc w:val="center"/>
              <w:rPr>
                <w:szCs w:val="21"/>
              </w:rPr>
            </w:pPr>
            <w:r>
              <w:rPr>
                <w:rFonts w:hAnsi="宋体"/>
                <w:szCs w:val="21"/>
              </w:rPr>
              <w:t>乙酸钠</w:t>
            </w:r>
          </w:p>
        </w:tc>
        <w:tc>
          <w:tcPr>
            <w:tcW w:w="1155" w:type="dxa"/>
            <w:vAlign w:val="center"/>
          </w:tcPr>
          <w:p w:rsidR="00475650" w:rsidRDefault="00475650">
            <w:pPr>
              <w:snapToGrid w:val="0"/>
              <w:spacing w:line="240" w:lineRule="exact"/>
              <w:jc w:val="center"/>
              <w:rPr>
                <w:szCs w:val="21"/>
              </w:rPr>
            </w:pPr>
            <w:r>
              <w:rPr>
                <w:rFonts w:hint="eastAsia"/>
                <w:szCs w:val="21"/>
              </w:rPr>
              <w:t>1259.73</w:t>
            </w:r>
          </w:p>
        </w:tc>
        <w:tc>
          <w:tcPr>
            <w:tcW w:w="1647" w:type="dxa"/>
            <w:vAlign w:val="center"/>
          </w:tcPr>
          <w:p w:rsidR="00475650" w:rsidRDefault="00475650">
            <w:pPr>
              <w:snapToGrid w:val="0"/>
              <w:spacing w:line="240" w:lineRule="exact"/>
              <w:jc w:val="center"/>
              <w:rPr>
                <w:szCs w:val="21"/>
              </w:rPr>
            </w:pPr>
          </w:p>
        </w:tc>
        <w:tc>
          <w:tcPr>
            <w:tcW w:w="1437" w:type="dxa"/>
            <w:vAlign w:val="center"/>
          </w:tcPr>
          <w:p w:rsidR="00475650" w:rsidRDefault="00475650">
            <w:pPr>
              <w:snapToGrid w:val="0"/>
              <w:spacing w:line="240" w:lineRule="exact"/>
              <w:jc w:val="center"/>
              <w:rPr>
                <w:szCs w:val="21"/>
              </w:rPr>
            </w:pPr>
          </w:p>
        </w:tc>
        <w:tc>
          <w:tcPr>
            <w:tcW w:w="1501" w:type="dxa"/>
            <w:vAlign w:val="center"/>
          </w:tcPr>
          <w:p w:rsidR="00475650" w:rsidRDefault="00475650">
            <w:pPr>
              <w:snapToGrid w:val="0"/>
              <w:spacing w:line="240" w:lineRule="exact"/>
              <w:jc w:val="center"/>
              <w:rPr>
                <w:szCs w:val="21"/>
              </w:rPr>
            </w:pPr>
          </w:p>
        </w:tc>
      </w:tr>
      <w:tr w:rsidR="00475650">
        <w:tc>
          <w:tcPr>
            <w:tcW w:w="1179" w:type="dxa"/>
            <w:vMerge/>
            <w:vAlign w:val="center"/>
          </w:tcPr>
          <w:p w:rsidR="00475650" w:rsidRDefault="00475650">
            <w:pPr>
              <w:snapToGrid w:val="0"/>
              <w:spacing w:line="240" w:lineRule="exact"/>
              <w:jc w:val="center"/>
              <w:rPr>
                <w:szCs w:val="21"/>
              </w:rPr>
            </w:pPr>
          </w:p>
        </w:tc>
        <w:tc>
          <w:tcPr>
            <w:tcW w:w="2027" w:type="dxa"/>
            <w:vAlign w:val="center"/>
          </w:tcPr>
          <w:p w:rsidR="00475650" w:rsidRDefault="00475650">
            <w:pPr>
              <w:snapToGrid w:val="0"/>
              <w:spacing w:line="240" w:lineRule="exact"/>
              <w:jc w:val="center"/>
              <w:rPr>
                <w:szCs w:val="21"/>
              </w:rPr>
            </w:pPr>
            <w:r>
              <w:rPr>
                <w:rFonts w:hAnsi="宋体"/>
                <w:szCs w:val="21"/>
              </w:rPr>
              <w:t>片碱</w:t>
            </w:r>
          </w:p>
        </w:tc>
        <w:tc>
          <w:tcPr>
            <w:tcW w:w="1155" w:type="dxa"/>
            <w:vAlign w:val="center"/>
          </w:tcPr>
          <w:p w:rsidR="00475650" w:rsidRDefault="00475650">
            <w:pPr>
              <w:snapToGrid w:val="0"/>
              <w:spacing w:line="240" w:lineRule="exact"/>
              <w:jc w:val="center"/>
              <w:rPr>
                <w:szCs w:val="21"/>
              </w:rPr>
            </w:pPr>
            <w:r>
              <w:rPr>
                <w:rFonts w:hint="eastAsia"/>
                <w:szCs w:val="21"/>
              </w:rPr>
              <w:t>856.55</w:t>
            </w:r>
          </w:p>
        </w:tc>
        <w:tc>
          <w:tcPr>
            <w:tcW w:w="1647" w:type="dxa"/>
            <w:vAlign w:val="center"/>
          </w:tcPr>
          <w:p w:rsidR="00475650" w:rsidRDefault="00475650">
            <w:pPr>
              <w:snapToGrid w:val="0"/>
              <w:spacing w:line="240" w:lineRule="exact"/>
              <w:jc w:val="center"/>
              <w:rPr>
                <w:szCs w:val="21"/>
              </w:rPr>
            </w:pPr>
          </w:p>
        </w:tc>
        <w:tc>
          <w:tcPr>
            <w:tcW w:w="1437" w:type="dxa"/>
            <w:vAlign w:val="center"/>
          </w:tcPr>
          <w:p w:rsidR="00475650" w:rsidRDefault="00475650">
            <w:pPr>
              <w:snapToGrid w:val="0"/>
              <w:spacing w:line="240" w:lineRule="exact"/>
              <w:jc w:val="center"/>
              <w:rPr>
                <w:szCs w:val="21"/>
              </w:rPr>
            </w:pPr>
          </w:p>
        </w:tc>
        <w:tc>
          <w:tcPr>
            <w:tcW w:w="1501" w:type="dxa"/>
            <w:vAlign w:val="center"/>
          </w:tcPr>
          <w:p w:rsidR="00475650" w:rsidRDefault="00475650">
            <w:pPr>
              <w:snapToGrid w:val="0"/>
              <w:spacing w:line="240" w:lineRule="exact"/>
              <w:jc w:val="center"/>
              <w:rPr>
                <w:szCs w:val="21"/>
              </w:rPr>
            </w:pPr>
          </w:p>
        </w:tc>
      </w:tr>
      <w:tr w:rsidR="00475650">
        <w:tc>
          <w:tcPr>
            <w:tcW w:w="1179" w:type="dxa"/>
            <w:vMerge/>
            <w:vAlign w:val="center"/>
          </w:tcPr>
          <w:p w:rsidR="00475650" w:rsidRDefault="00475650">
            <w:pPr>
              <w:snapToGrid w:val="0"/>
              <w:spacing w:line="240" w:lineRule="exact"/>
              <w:jc w:val="center"/>
              <w:rPr>
                <w:szCs w:val="21"/>
              </w:rPr>
            </w:pPr>
          </w:p>
        </w:tc>
        <w:tc>
          <w:tcPr>
            <w:tcW w:w="2027" w:type="dxa"/>
            <w:vAlign w:val="center"/>
          </w:tcPr>
          <w:p w:rsidR="00475650" w:rsidRDefault="00475650">
            <w:pPr>
              <w:snapToGrid w:val="0"/>
              <w:spacing w:line="240" w:lineRule="exact"/>
              <w:jc w:val="center"/>
              <w:rPr>
                <w:szCs w:val="21"/>
              </w:rPr>
            </w:pPr>
            <w:r>
              <w:rPr>
                <w:rFonts w:hAnsi="宋体"/>
                <w:szCs w:val="21"/>
              </w:rPr>
              <w:t>尿素</w:t>
            </w:r>
          </w:p>
        </w:tc>
        <w:tc>
          <w:tcPr>
            <w:tcW w:w="1155" w:type="dxa"/>
            <w:vAlign w:val="center"/>
          </w:tcPr>
          <w:p w:rsidR="00475650" w:rsidRDefault="00475650">
            <w:pPr>
              <w:snapToGrid w:val="0"/>
              <w:spacing w:line="240" w:lineRule="exact"/>
              <w:jc w:val="center"/>
              <w:rPr>
                <w:szCs w:val="21"/>
              </w:rPr>
            </w:pPr>
            <w:r>
              <w:rPr>
                <w:rFonts w:hint="eastAsia"/>
                <w:szCs w:val="21"/>
              </w:rPr>
              <w:t>17.15</w:t>
            </w:r>
          </w:p>
        </w:tc>
        <w:tc>
          <w:tcPr>
            <w:tcW w:w="1647" w:type="dxa"/>
            <w:vAlign w:val="center"/>
          </w:tcPr>
          <w:p w:rsidR="00475650" w:rsidRDefault="00475650">
            <w:pPr>
              <w:snapToGrid w:val="0"/>
              <w:spacing w:line="240" w:lineRule="exact"/>
              <w:jc w:val="center"/>
              <w:rPr>
                <w:szCs w:val="21"/>
              </w:rPr>
            </w:pPr>
          </w:p>
        </w:tc>
        <w:tc>
          <w:tcPr>
            <w:tcW w:w="1437" w:type="dxa"/>
            <w:vAlign w:val="center"/>
          </w:tcPr>
          <w:p w:rsidR="00475650" w:rsidRDefault="00475650">
            <w:pPr>
              <w:snapToGrid w:val="0"/>
              <w:spacing w:line="240" w:lineRule="exact"/>
              <w:jc w:val="center"/>
              <w:rPr>
                <w:szCs w:val="21"/>
              </w:rPr>
            </w:pPr>
          </w:p>
        </w:tc>
        <w:tc>
          <w:tcPr>
            <w:tcW w:w="1501" w:type="dxa"/>
            <w:vAlign w:val="center"/>
          </w:tcPr>
          <w:p w:rsidR="00475650" w:rsidRDefault="00475650">
            <w:pPr>
              <w:snapToGrid w:val="0"/>
              <w:spacing w:line="240" w:lineRule="exact"/>
              <w:jc w:val="center"/>
              <w:rPr>
                <w:szCs w:val="21"/>
              </w:rPr>
            </w:pPr>
          </w:p>
        </w:tc>
      </w:tr>
      <w:tr w:rsidR="00475650">
        <w:tc>
          <w:tcPr>
            <w:tcW w:w="1179" w:type="dxa"/>
            <w:vMerge/>
            <w:vAlign w:val="center"/>
          </w:tcPr>
          <w:p w:rsidR="00475650" w:rsidRDefault="00475650">
            <w:pPr>
              <w:snapToGrid w:val="0"/>
              <w:spacing w:line="240" w:lineRule="exact"/>
              <w:jc w:val="center"/>
              <w:rPr>
                <w:szCs w:val="21"/>
              </w:rPr>
            </w:pPr>
          </w:p>
        </w:tc>
        <w:tc>
          <w:tcPr>
            <w:tcW w:w="2027" w:type="dxa"/>
            <w:vAlign w:val="center"/>
          </w:tcPr>
          <w:p w:rsidR="00475650" w:rsidRDefault="00475650">
            <w:pPr>
              <w:snapToGrid w:val="0"/>
              <w:spacing w:line="240" w:lineRule="exact"/>
              <w:jc w:val="center"/>
              <w:rPr>
                <w:szCs w:val="21"/>
              </w:rPr>
            </w:pPr>
            <w:r>
              <w:rPr>
                <w:szCs w:val="21"/>
              </w:rPr>
              <w:t>γ</w:t>
            </w:r>
            <w:r>
              <w:rPr>
                <w:rFonts w:hAnsi="宋体"/>
                <w:szCs w:val="21"/>
              </w:rPr>
              <w:t>酸</w:t>
            </w:r>
          </w:p>
        </w:tc>
        <w:tc>
          <w:tcPr>
            <w:tcW w:w="1155" w:type="dxa"/>
            <w:vAlign w:val="center"/>
          </w:tcPr>
          <w:p w:rsidR="00475650" w:rsidRDefault="00475650">
            <w:pPr>
              <w:snapToGrid w:val="0"/>
              <w:spacing w:line="240" w:lineRule="exact"/>
              <w:jc w:val="center"/>
              <w:rPr>
                <w:szCs w:val="21"/>
              </w:rPr>
            </w:pPr>
            <w:r>
              <w:rPr>
                <w:rFonts w:hint="eastAsia"/>
                <w:szCs w:val="21"/>
              </w:rPr>
              <w:t>1835.83</w:t>
            </w:r>
          </w:p>
        </w:tc>
        <w:tc>
          <w:tcPr>
            <w:tcW w:w="1647" w:type="dxa"/>
            <w:vAlign w:val="center"/>
          </w:tcPr>
          <w:p w:rsidR="00475650" w:rsidRDefault="00475650">
            <w:pPr>
              <w:snapToGrid w:val="0"/>
              <w:spacing w:line="240" w:lineRule="exact"/>
              <w:jc w:val="center"/>
              <w:rPr>
                <w:szCs w:val="21"/>
              </w:rPr>
            </w:pPr>
          </w:p>
        </w:tc>
        <w:tc>
          <w:tcPr>
            <w:tcW w:w="1437" w:type="dxa"/>
            <w:vAlign w:val="center"/>
          </w:tcPr>
          <w:p w:rsidR="00475650" w:rsidRDefault="00475650">
            <w:pPr>
              <w:snapToGrid w:val="0"/>
              <w:spacing w:line="240" w:lineRule="exact"/>
              <w:jc w:val="center"/>
              <w:rPr>
                <w:szCs w:val="21"/>
              </w:rPr>
            </w:pPr>
          </w:p>
        </w:tc>
        <w:tc>
          <w:tcPr>
            <w:tcW w:w="1501" w:type="dxa"/>
            <w:vAlign w:val="center"/>
          </w:tcPr>
          <w:p w:rsidR="00475650" w:rsidRDefault="00475650">
            <w:pPr>
              <w:snapToGrid w:val="0"/>
              <w:spacing w:line="240" w:lineRule="exact"/>
              <w:jc w:val="center"/>
              <w:rPr>
                <w:szCs w:val="21"/>
              </w:rPr>
            </w:pPr>
          </w:p>
        </w:tc>
      </w:tr>
      <w:tr w:rsidR="00475650">
        <w:tc>
          <w:tcPr>
            <w:tcW w:w="1179" w:type="dxa"/>
            <w:vMerge/>
            <w:vAlign w:val="center"/>
          </w:tcPr>
          <w:p w:rsidR="00475650" w:rsidRDefault="00475650">
            <w:pPr>
              <w:snapToGrid w:val="0"/>
              <w:spacing w:line="240" w:lineRule="exact"/>
              <w:jc w:val="center"/>
              <w:rPr>
                <w:szCs w:val="21"/>
              </w:rPr>
            </w:pPr>
          </w:p>
        </w:tc>
        <w:tc>
          <w:tcPr>
            <w:tcW w:w="2027" w:type="dxa"/>
            <w:vAlign w:val="center"/>
          </w:tcPr>
          <w:p w:rsidR="00475650" w:rsidRDefault="00475650">
            <w:pPr>
              <w:snapToGrid w:val="0"/>
              <w:spacing w:line="240" w:lineRule="exact"/>
              <w:jc w:val="center"/>
              <w:rPr>
                <w:szCs w:val="21"/>
              </w:rPr>
            </w:pPr>
            <w:r>
              <w:rPr>
                <w:rFonts w:hAnsi="宋体"/>
                <w:szCs w:val="21"/>
              </w:rPr>
              <w:t>冰</w:t>
            </w:r>
          </w:p>
        </w:tc>
        <w:tc>
          <w:tcPr>
            <w:tcW w:w="1155" w:type="dxa"/>
            <w:vAlign w:val="center"/>
          </w:tcPr>
          <w:p w:rsidR="00475650" w:rsidRDefault="00475650">
            <w:pPr>
              <w:snapToGrid w:val="0"/>
              <w:spacing w:line="240" w:lineRule="exact"/>
              <w:jc w:val="center"/>
              <w:rPr>
                <w:szCs w:val="21"/>
              </w:rPr>
            </w:pPr>
            <w:r>
              <w:rPr>
                <w:rFonts w:hint="eastAsia"/>
                <w:szCs w:val="21"/>
              </w:rPr>
              <w:t>102000</w:t>
            </w:r>
          </w:p>
        </w:tc>
        <w:tc>
          <w:tcPr>
            <w:tcW w:w="1647" w:type="dxa"/>
            <w:vAlign w:val="center"/>
          </w:tcPr>
          <w:p w:rsidR="00475650" w:rsidRDefault="00475650">
            <w:pPr>
              <w:snapToGrid w:val="0"/>
              <w:spacing w:line="240" w:lineRule="exact"/>
              <w:jc w:val="center"/>
              <w:rPr>
                <w:szCs w:val="21"/>
              </w:rPr>
            </w:pPr>
          </w:p>
        </w:tc>
        <w:tc>
          <w:tcPr>
            <w:tcW w:w="1437" w:type="dxa"/>
            <w:vAlign w:val="center"/>
          </w:tcPr>
          <w:p w:rsidR="00475650" w:rsidRDefault="00475650">
            <w:pPr>
              <w:snapToGrid w:val="0"/>
              <w:spacing w:line="240" w:lineRule="exact"/>
              <w:jc w:val="center"/>
              <w:rPr>
                <w:szCs w:val="21"/>
              </w:rPr>
            </w:pPr>
          </w:p>
        </w:tc>
        <w:tc>
          <w:tcPr>
            <w:tcW w:w="1501" w:type="dxa"/>
            <w:vAlign w:val="center"/>
          </w:tcPr>
          <w:p w:rsidR="00475650" w:rsidRDefault="00475650">
            <w:pPr>
              <w:snapToGrid w:val="0"/>
              <w:spacing w:line="240" w:lineRule="exact"/>
              <w:jc w:val="center"/>
              <w:rPr>
                <w:szCs w:val="21"/>
              </w:rPr>
            </w:pPr>
          </w:p>
        </w:tc>
      </w:tr>
      <w:tr w:rsidR="00475650">
        <w:tc>
          <w:tcPr>
            <w:tcW w:w="1179" w:type="dxa"/>
            <w:vMerge/>
            <w:vAlign w:val="center"/>
          </w:tcPr>
          <w:p w:rsidR="00475650" w:rsidRDefault="00475650">
            <w:pPr>
              <w:snapToGrid w:val="0"/>
              <w:spacing w:line="240" w:lineRule="exact"/>
              <w:jc w:val="center"/>
              <w:rPr>
                <w:szCs w:val="21"/>
              </w:rPr>
            </w:pPr>
          </w:p>
        </w:tc>
        <w:tc>
          <w:tcPr>
            <w:tcW w:w="2027" w:type="dxa"/>
            <w:vAlign w:val="center"/>
          </w:tcPr>
          <w:p w:rsidR="00475650" w:rsidRDefault="00475650">
            <w:pPr>
              <w:snapToGrid w:val="0"/>
              <w:spacing w:line="240" w:lineRule="exact"/>
              <w:jc w:val="center"/>
              <w:rPr>
                <w:rFonts w:hAnsi="宋体"/>
                <w:szCs w:val="21"/>
              </w:rPr>
            </w:pPr>
            <w:r>
              <w:rPr>
                <w:rFonts w:hAnsi="宋体" w:hint="eastAsia"/>
                <w:szCs w:val="21"/>
              </w:rPr>
              <w:t>水</w:t>
            </w:r>
          </w:p>
        </w:tc>
        <w:tc>
          <w:tcPr>
            <w:tcW w:w="1155" w:type="dxa"/>
            <w:vAlign w:val="center"/>
          </w:tcPr>
          <w:p w:rsidR="00475650" w:rsidRDefault="00475650">
            <w:pPr>
              <w:snapToGrid w:val="0"/>
              <w:spacing w:line="240" w:lineRule="exact"/>
              <w:jc w:val="center"/>
              <w:rPr>
                <w:szCs w:val="21"/>
              </w:rPr>
            </w:pPr>
            <w:r>
              <w:rPr>
                <w:rFonts w:hint="eastAsia"/>
                <w:szCs w:val="21"/>
              </w:rPr>
              <w:t>15000</w:t>
            </w:r>
          </w:p>
        </w:tc>
        <w:tc>
          <w:tcPr>
            <w:tcW w:w="1647" w:type="dxa"/>
            <w:vAlign w:val="center"/>
          </w:tcPr>
          <w:p w:rsidR="00475650" w:rsidRDefault="00475650">
            <w:pPr>
              <w:snapToGrid w:val="0"/>
              <w:spacing w:line="240" w:lineRule="exact"/>
              <w:jc w:val="center"/>
              <w:rPr>
                <w:szCs w:val="21"/>
              </w:rPr>
            </w:pPr>
          </w:p>
        </w:tc>
        <w:tc>
          <w:tcPr>
            <w:tcW w:w="1437" w:type="dxa"/>
            <w:vAlign w:val="center"/>
          </w:tcPr>
          <w:p w:rsidR="00475650" w:rsidRDefault="00475650">
            <w:pPr>
              <w:snapToGrid w:val="0"/>
              <w:spacing w:line="240" w:lineRule="exact"/>
              <w:jc w:val="center"/>
              <w:rPr>
                <w:szCs w:val="21"/>
              </w:rPr>
            </w:pPr>
          </w:p>
        </w:tc>
        <w:tc>
          <w:tcPr>
            <w:tcW w:w="1501" w:type="dxa"/>
            <w:vAlign w:val="center"/>
          </w:tcPr>
          <w:p w:rsidR="00475650" w:rsidRDefault="00475650">
            <w:pPr>
              <w:snapToGrid w:val="0"/>
              <w:spacing w:line="240" w:lineRule="exact"/>
              <w:jc w:val="center"/>
              <w:rPr>
                <w:szCs w:val="21"/>
              </w:rPr>
            </w:pPr>
          </w:p>
        </w:tc>
      </w:tr>
      <w:tr w:rsidR="00475650">
        <w:tc>
          <w:tcPr>
            <w:tcW w:w="1179" w:type="dxa"/>
            <w:vMerge/>
            <w:vAlign w:val="center"/>
          </w:tcPr>
          <w:p w:rsidR="00475650" w:rsidRDefault="00475650">
            <w:pPr>
              <w:snapToGrid w:val="0"/>
              <w:spacing w:line="240" w:lineRule="exact"/>
              <w:jc w:val="center"/>
              <w:rPr>
                <w:szCs w:val="21"/>
              </w:rPr>
            </w:pPr>
          </w:p>
        </w:tc>
        <w:tc>
          <w:tcPr>
            <w:tcW w:w="2027" w:type="dxa"/>
            <w:vAlign w:val="center"/>
          </w:tcPr>
          <w:p w:rsidR="00475650" w:rsidRDefault="00475650">
            <w:pPr>
              <w:snapToGrid w:val="0"/>
              <w:spacing w:line="240" w:lineRule="exact"/>
              <w:jc w:val="center"/>
              <w:rPr>
                <w:szCs w:val="21"/>
              </w:rPr>
            </w:pPr>
            <w:r>
              <w:rPr>
                <w:rFonts w:hAnsi="宋体"/>
                <w:szCs w:val="21"/>
              </w:rPr>
              <w:t>合计</w:t>
            </w:r>
          </w:p>
        </w:tc>
        <w:tc>
          <w:tcPr>
            <w:tcW w:w="1155" w:type="dxa"/>
            <w:vAlign w:val="center"/>
          </w:tcPr>
          <w:p w:rsidR="00475650" w:rsidRDefault="006F27A1">
            <w:pPr>
              <w:snapToGrid w:val="0"/>
              <w:spacing w:line="240" w:lineRule="exact"/>
              <w:jc w:val="center"/>
              <w:rPr>
                <w:szCs w:val="21"/>
              </w:rPr>
            </w:pPr>
            <w:r>
              <w:rPr>
                <w:szCs w:val="21"/>
              </w:rPr>
              <w:fldChar w:fldCharType="begin"/>
            </w:r>
            <w:r w:rsidR="00475650">
              <w:rPr>
                <w:szCs w:val="21"/>
              </w:rPr>
              <w:instrText xml:space="preserve"> =SUM(ABOVE) </w:instrText>
            </w:r>
            <w:r>
              <w:rPr>
                <w:szCs w:val="21"/>
              </w:rPr>
              <w:fldChar w:fldCharType="separate"/>
            </w:r>
            <w:r w:rsidR="00475650">
              <w:rPr>
                <w:szCs w:val="21"/>
              </w:rPr>
              <w:t>126440.35</w:t>
            </w:r>
            <w:r>
              <w:rPr>
                <w:szCs w:val="21"/>
              </w:rPr>
              <w:fldChar w:fldCharType="end"/>
            </w:r>
          </w:p>
        </w:tc>
        <w:tc>
          <w:tcPr>
            <w:tcW w:w="1647" w:type="dxa"/>
            <w:vAlign w:val="center"/>
          </w:tcPr>
          <w:p w:rsidR="00475650" w:rsidRDefault="00475650">
            <w:pPr>
              <w:snapToGrid w:val="0"/>
              <w:spacing w:line="240" w:lineRule="exact"/>
              <w:jc w:val="center"/>
              <w:rPr>
                <w:szCs w:val="21"/>
              </w:rPr>
            </w:pPr>
          </w:p>
        </w:tc>
        <w:tc>
          <w:tcPr>
            <w:tcW w:w="1437" w:type="dxa"/>
            <w:vAlign w:val="center"/>
          </w:tcPr>
          <w:p w:rsidR="00475650" w:rsidRDefault="006F27A1">
            <w:pPr>
              <w:snapToGrid w:val="0"/>
              <w:spacing w:line="240" w:lineRule="exact"/>
              <w:jc w:val="center"/>
              <w:rPr>
                <w:szCs w:val="21"/>
              </w:rPr>
            </w:pPr>
            <w:r>
              <w:rPr>
                <w:szCs w:val="21"/>
              </w:rPr>
              <w:fldChar w:fldCharType="begin"/>
            </w:r>
            <w:r w:rsidR="00475650">
              <w:rPr>
                <w:szCs w:val="21"/>
              </w:rPr>
              <w:instrText xml:space="preserve"> =SUM(ABOVE) </w:instrText>
            </w:r>
            <w:r>
              <w:rPr>
                <w:szCs w:val="21"/>
              </w:rPr>
              <w:fldChar w:fldCharType="separate"/>
            </w:r>
            <w:r w:rsidR="00475650">
              <w:rPr>
                <w:szCs w:val="21"/>
              </w:rPr>
              <w:t>126440.35</w:t>
            </w:r>
            <w:r>
              <w:rPr>
                <w:szCs w:val="21"/>
              </w:rPr>
              <w:fldChar w:fldCharType="end"/>
            </w:r>
          </w:p>
        </w:tc>
        <w:tc>
          <w:tcPr>
            <w:tcW w:w="1501" w:type="dxa"/>
            <w:vAlign w:val="center"/>
          </w:tcPr>
          <w:p w:rsidR="00475650" w:rsidRDefault="00475650">
            <w:pPr>
              <w:snapToGrid w:val="0"/>
              <w:spacing w:line="240" w:lineRule="exact"/>
              <w:jc w:val="center"/>
              <w:rPr>
                <w:szCs w:val="21"/>
              </w:rPr>
            </w:pPr>
          </w:p>
        </w:tc>
      </w:tr>
      <w:tr w:rsidR="00475650">
        <w:tc>
          <w:tcPr>
            <w:tcW w:w="1179" w:type="dxa"/>
            <w:vMerge w:val="restart"/>
            <w:vAlign w:val="center"/>
          </w:tcPr>
          <w:p w:rsidR="00475650" w:rsidRDefault="00475650">
            <w:pPr>
              <w:snapToGrid w:val="0"/>
              <w:spacing w:line="240" w:lineRule="exact"/>
              <w:jc w:val="center"/>
              <w:rPr>
                <w:szCs w:val="21"/>
              </w:rPr>
            </w:pPr>
            <w:r>
              <w:rPr>
                <w:rFonts w:hAnsi="宋体"/>
                <w:szCs w:val="21"/>
              </w:rPr>
              <w:t>酸性黄</w:t>
            </w:r>
            <w:r>
              <w:rPr>
                <w:szCs w:val="21"/>
              </w:rPr>
              <w:t>49</w:t>
            </w:r>
            <w:r>
              <w:rPr>
                <w:rFonts w:hAnsi="宋体"/>
                <w:szCs w:val="21"/>
              </w:rPr>
              <w:t>生产线</w:t>
            </w:r>
          </w:p>
        </w:tc>
        <w:tc>
          <w:tcPr>
            <w:tcW w:w="2027" w:type="dxa"/>
            <w:vAlign w:val="center"/>
          </w:tcPr>
          <w:p w:rsidR="00475650" w:rsidRDefault="00475650">
            <w:pPr>
              <w:snapToGrid w:val="0"/>
              <w:spacing w:line="240" w:lineRule="exact"/>
              <w:jc w:val="center"/>
              <w:rPr>
                <w:szCs w:val="21"/>
              </w:rPr>
            </w:pPr>
            <w:r>
              <w:rPr>
                <w:szCs w:val="21"/>
              </w:rPr>
              <w:t>2,5-</w:t>
            </w:r>
            <w:r>
              <w:rPr>
                <w:rFonts w:hAnsi="宋体"/>
                <w:szCs w:val="21"/>
              </w:rPr>
              <w:t>二氯</w:t>
            </w:r>
            <w:r>
              <w:rPr>
                <w:szCs w:val="21"/>
              </w:rPr>
              <w:t>-4-</w:t>
            </w:r>
            <w:r>
              <w:rPr>
                <w:rFonts w:hAnsi="宋体"/>
                <w:szCs w:val="21"/>
              </w:rPr>
              <w:t>氨基苯磺酸</w:t>
            </w:r>
          </w:p>
        </w:tc>
        <w:tc>
          <w:tcPr>
            <w:tcW w:w="1155" w:type="dxa"/>
            <w:vAlign w:val="center"/>
          </w:tcPr>
          <w:p w:rsidR="00475650" w:rsidRDefault="00475650">
            <w:pPr>
              <w:snapToGrid w:val="0"/>
              <w:spacing w:line="240" w:lineRule="exact"/>
              <w:jc w:val="center"/>
              <w:rPr>
                <w:szCs w:val="21"/>
              </w:rPr>
            </w:pPr>
            <w:r>
              <w:rPr>
                <w:rFonts w:hint="eastAsia"/>
                <w:szCs w:val="21"/>
              </w:rPr>
              <w:t>1258.49</w:t>
            </w:r>
          </w:p>
        </w:tc>
        <w:tc>
          <w:tcPr>
            <w:tcW w:w="1647" w:type="dxa"/>
            <w:vAlign w:val="center"/>
          </w:tcPr>
          <w:p w:rsidR="00475650" w:rsidRDefault="00475650">
            <w:pPr>
              <w:snapToGrid w:val="0"/>
              <w:spacing w:line="240" w:lineRule="exact"/>
              <w:jc w:val="center"/>
              <w:rPr>
                <w:szCs w:val="21"/>
              </w:rPr>
            </w:pPr>
            <w:r>
              <w:rPr>
                <w:rFonts w:hAnsi="宋体"/>
                <w:szCs w:val="21"/>
              </w:rPr>
              <w:t>酸性黄</w:t>
            </w:r>
            <w:r>
              <w:rPr>
                <w:szCs w:val="21"/>
              </w:rPr>
              <w:t>49</w:t>
            </w:r>
            <w:r>
              <w:rPr>
                <w:rFonts w:hAnsi="宋体"/>
                <w:szCs w:val="21"/>
              </w:rPr>
              <w:t>产品</w:t>
            </w:r>
          </w:p>
        </w:tc>
        <w:tc>
          <w:tcPr>
            <w:tcW w:w="1437" w:type="dxa"/>
            <w:vAlign w:val="center"/>
          </w:tcPr>
          <w:p w:rsidR="00475650" w:rsidRDefault="00475650">
            <w:pPr>
              <w:snapToGrid w:val="0"/>
              <w:spacing w:line="240" w:lineRule="exact"/>
              <w:jc w:val="center"/>
              <w:rPr>
                <w:szCs w:val="21"/>
              </w:rPr>
            </w:pPr>
            <w:r>
              <w:rPr>
                <w:szCs w:val="21"/>
              </w:rPr>
              <w:t>2000</w:t>
            </w:r>
          </w:p>
        </w:tc>
        <w:tc>
          <w:tcPr>
            <w:tcW w:w="1501" w:type="dxa"/>
            <w:vAlign w:val="center"/>
          </w:tcPr>
          <w:p w:rsidR="00475650" w:rsidRDefault="00475650">
            <w:pPr>
              <w:snapToGrid w:val="0"/>
              <w:spacing w:line="240" w:lineRule="exact"/>
              <w:jc w:val="center"/>
              <w:rPr>
                <w:szCs w:val="21"/>
              </w:rPr>
            </w:pPr>
          </w:p>
        </w:tc>
      </w:tr>
      <w:tr w:rsidR="00475650">
        <w:tc>
          <w:tcPr>
            <w:tcW w:w="1179" w:type="dxa"/>
            <w:vMerge/>
            <w:vAlign w:val="center"/>
          </w:tcPr>
          <w:p w:rsidR="00475650" w:rsidRDefault="00475650">
            <w:pPr>
              <w:snapToGrid w:val="0"/>
              <w:spacing w:line="240" w:lineRule="exact"/>
              <w:jc w:val="center"/>
              <w:rPr>
                <w:szCs w:val="21"/>
              </w:rPr>
            </w:pPr>
          </w:p>
        </w:tc>
        <w:tc>
          <w:tcPr>
            <w:tcW w:w="2027" w:type="dxa"/>
            <w:vAlign w:val="center"/>
          </w:tcPr>
          <w:p w:rsidR="00475650" w:rsidRDefault="00475650">
            <w:pPr>
              <w:snapToGrid w:val="0"/>
              <w:spacing w:line="240" w:lineRule="exact"/>
              <w:jc w:val="center"/>
              <w:rPr>
                <w:szCs w:val="21"/>
              </w:rPr>
            </w:pPr>
            <w:r>
              <w:rPr>
                <w:rFonts w:hAnsi="宋体"/>
                <w:szCs w:val="21"/>
              </w:rPr>
              <w:t>亚硝酸钠</w:t>
            </w:r>
          </w:p>
        </w:tc>
        <w:tc>
          <w:tcPr>
            <w:tcW w:w="1155" w:type="dxa"/>
            <w:vAlign w:val="center"/>
          </w:tcPr>
          <w:p w:rsidR="00475650" w:rsidRDefault="00475650">
            <w:pPr>
              <w:snapToGrid w:val="0"/>
              <w:spacing w:line="240" w:lineRule="exact"/>
              <w:ind w:firstLineChars="150" w:firstLine="315"/>
              <w:rPr>
                <w:szCs w:val="21"/>
              </w:rPr>
            </w:pPr>
            <w:r>
              <w:rPr>
                <w:rFonts w:hint="eastAsia"/>
                <w:szCs w:val="21"/>
              </w:rPr>
              <w:t>366</w:t>
            </w:r>
          </w:p>
        </w:tc>
        <w:tc>
          <w:tcPr>
            <w:tcW w:w="1647" w:type="dxa"/>
            <w:vAlign w:val="center"/>
          </w:tcPr>
          <w:p w:rsidR="00475650" w:rsidRDefault="00475650">
            <w:pPr>
              <w:snapToGrid w:val="0"/>
              <w:spacing w:line="240" w:lineRule="exact"/>
              <w:jc w:val="center"/>
              <w:rPr>
                <w:szCs w:val="21"/>
              </w:rPr>
            </w:pPr>
            <w:r>
              <w:rPr>
                <w:rFonts w:hAnsi="宋体"/>
                <w:szCs w:val="21"/>
              </w:rPr>
              <w:t>废水</w:t>
            </w:r>
          </w:p>
        </w:tc>
        <w:tc>
          <w:tcPr>
            <w:tcW w:w="1437" w:type="dxa"/>
            <w:vAlign w:val="center"/>
          </w:tcPr>
          <w:p w:rsidR="00475650" w:rsidRDefault="00475650">
            <w:pPr>
              <w:snapToGrid w:val="0"/>
              <w:spacing w:line="240" w:lineRule="exact"/>
              <w:jc w:val="center"/>
              <w:rPr>
                <w:szCs w:val="21"/>
              </w:rPr>
            </w:pPr>
            <w:r>
              <w:rPr>
                <w:rFonts w:hint="eastAsia"/>
                <w:szCs w:val="21"/>
              </w:rPr>
              <w:t>60619.96</w:t>
            </w:r>
          </w:p>
        </w:tc>
        <w:tc>
          <w:tcPr>
            <w:tcW w:w="1501" w:type="dxa"/>
            <w:vAlign w:val="center"/>
          </w:tcPr>
          <w:p w:rsidR="00475650" w:rsidRDefault="00475650">
            <w:pPr>
              <w:snapToGrid w:val="0"/>
              <w:spacing w:line="240" w:lineRule="exact"/>
              <w:jc w:val="center"/>
              <w:rPr>
                <w:szCs w:val="21"/>
              </w:rPr>
            </w:pPr>
          </w:p>
        </w:tc>
      </w:tr>
      <w:tr w:rsidR="00475650">
        <w:tc>
          <w:tcPr>
            <w:tcW w:w="1179" w:type="dxa"/>
            <w:vMerge/>
            <w:vAlign w:val="center"/>
          </w:tcPr>
          <w:p w:rsidR="00475650" w:rsidRDefault="00475650">
            <w:pPr>
              <w:snapToGrid w:val="0"/>
              <w:spacing w:line="240" w:lineRule="exact"/>
              <w:jc w:val="center"/>
              <w:rPr>
                <w:szCs w:val="21"/>
              </w:rPr>
            </w:pPr>
          </w:p>
        </w:tc>
        <w:tc>
          <w:tcPr>
            <w:tcW w:w="2027" w:type="dxa"/>
            <w:vAlign w:val="center"/>
          </w:tcPr>
          <w:p w:rsidR="00475650" w:rsidRDefault="00475650">
            <w:pPr>
              <w:snapToGrid w:val="0"/>
              <w:spacing w:line="240" w:lineRule="exact"/>
              <w:jc w:val="center"/>
              <w:rPr>
                <w:szCs w:val="21"/>
              </w:rPr>
            </w:pPr>
            <w:r>
              <w:rPr>
                <w:rFonts w:hAnsi="宋体"/>
                <w:szCs w:val="21"/>
              </w:rPr>
              <w:t>盐酸（</w:t>
            </w:r>
            <w:r>
              <w:rPr>
                <w:szCs w:val="21"/>
              </w:rPr>
              <w:t>31%</w:t>
            </w:r>
            <w:r>
              <w:rPr>
                <w:rFonts w:hAnsi="宋体"/>
                <w:szCs w:val="21"/>
              </w:rPr>
              <w:t>）</w:t>
            </w:r>
          </w:p>
        </w:tc>
        <w:tc>
          <w:tcPr>
            <w:tcW w:w="1155" w:type="dxa"/>
            <w:vAlign w:val="center"/>
          </w:tcPr>
          <w:p w:rsidR="00475650" w:rsidRDefault="00475650">
            <w:pPr>
              <w:snapToGrid w:val="0"/>
              <w:spacing w:line="240" w:lineRule="exact"/>
              <w:jc w:val="center"/>
              <w:rPr>
                <w:szCs w:val="21"/>
              </w:rPr>
            </w:pPr>
            <w:r>
              <w:rPr>
                <w:rFonts w:hint="eastAsia"/>
                <w:szCs w:val="21"/>
              </w:rPr>
              <w:t>1244.82</w:t>
            </w:r>
          </w:p>
        </w:tc>
        <w:tc>
          <w:tcPr>
            <w:tcW w:w="1647" w:type="dxa"/>
            <w:vAlign w:val="center"/>
          </w:tcPr>
          <w:p w:rsidR="00475650" w:rsidRDefault="00475650">
            <w:pPr>
              <w:snapToGrid w:val="0"/>
              <w:spacing w:line="240" w:lineRule="exact"/>
              <w:jc w:val="center"/>
              <w:rPr>
                <w:szCs w:val="21"/>
              </w:rPr>
            </w:pPr>
            <w:r>
              <w:rPr>
                <w:rFonts w:hAnsi="宋体"/>
                <w:szCs w:val="21"/>
              </w:rPr>
              <w:t>废气</w:t>
            </w:r>
          </w:p>
        </w:tc>
        <w:tc>
          <w:tcPr>
            <w:tcW w:w="1437" w:type="dxa"/>
            <w:vAlign w:val="center"/>
          </w:tcPr>
          <w:p w:rsidR="00475650" w:rsidRDefault="00475650">
            <w:pPr>
              <w:snapToGrid w:val="0"/>
              <w:spacing w:line="240" w:lineRule="exact"/>
              <w:jc w:val="center"/>
              <w:rPr>
                <w:szCs w:val="21"/>
              </w:rPr>
            </w:pPr>
            <w:r>
              <w:rPr>
                <w:rFonts w:hint="eastAsia"/>
                <w:szCs w:val="21"/>
              </w:rPr>
              <w:t>129.23</w:t>
            </w:r>
          </w:p>
        </w:tc>
        <w:tc>
          <w:tcPr>
            <w:tcW w:w="1501" w:type="dxa"/>
            <w:vAlign w:val="center"/>
          </w:tcPr>
          <w:p w:rsidR="00475650" w:rsidRDefault="00475650">
            <w:pPr>
              <w:snapToGrid w:val="0"/>
              <w:spacing w:line="240" w:lineRule="exact"/>
              <w:jc w:val="center"/>
              <w:rPr>
                <w:szCs w:val="21"/>
              </w:rPr>
            </w:pPr>
          </w:p>
        </w:tc>
      </w:tr>
      <w:tr w:rsidR="00475650">
        <w:tc>
          <w:tcPr>
            <w:tcW w:w="1179" w:type="dxa"/>
            <w:vMerge/>
            <w:vAlign w:val="center"/>
          </w:tcPr>
          <w:p w:rsidR="00475650" w:rsidRDefault="00475650">
            <w:pPr>
              <w:snapToGrid w:val="0"/>
              <w:spacing w:line="240" w:lineRule="exact"/>
              <w:jc w:val="center"/>
              <w:rPr>
                <w:szCs w:val="21"/>
              </w:rPr>
            </w:pPr>
          </w:p>
        </w:tc>
        <w:tc>
          <w:tcPr>
            <w:tcW w:w="2027" w:type="dxa"/>
            <w:vAlign w:val="center"/>
          </w:tcPr>
          <w:p w:rsidR="00475650" w:rsidRDefault="00475650">
            <w:pPr>
              <w:snapToGrid w:val="0"/>
              <w:spacing w:line="240" w:lineRule="exact"/>
              <w:jc w:val="center"/>
              <w:rPr>
                <w:szCs w:val="21"/>
              </w:rPr>
            </w:pPr>
            <w:r>
              <w:rPr>
                <w:kern w:val="0"/>
                <w:szCs w:val="21"/>
              </w:rPr>
              <w:t>1-</w:t>
            </w:r>
            <w:r>
              <w:rPr>
                <w:rFonts w:hAnsi="宋体"/>
                <w:kern w:val="0"/>
                <w:szCs w:val="21"/>
              </w:rPr>
              <w:t>苯基</w:t>
            </w:r>
            <w:r>
              <w:rPr>
                <w:kern w:val="0"/>
                <w:szCs w:val="21"/>
              </w:rPr>
              <w:t>-3-</w:t>
            </w:r>
            <w:r>
              <w:rPr>
                <w:rFonts w:hAnsi="宋体"/>
                <w:kern w:val="0"/>
                <w:szCs w:val="21"/>
              </w:rPr>
              <w:t>甲基</w:t>
            </w:r>
            <w:r>
              <w:rPr>
                <w:kern w:val="0"/>
                <w:szCs w:val="21"/>
              </w:rPr>
              <w:t>-5-</w:t>
            </w:r>
            <w:r>
              <w:rPr>
                <w:rFonts w:hAnsi="宋体"/>
                <w:kern w:val="0"/>
                <w:szCs w:val="21"/>
              </w:rPr>
              <w:t>氨基吡唑</w:t>
            </w:r>
          </w:p>
        </w:tc>
        <w:tc>
          <w:tcPr>
            <w:tcW w:w="1155" w:type="dxa"/>
            <w:vAlign w:val="center"/>
          </w:tcPr>
          <w:p w:rsidR="00475650" w:rsidRDefault="00475650">
            <w:pPr>
              <w:snapToGrid w:val="0"/>
              <w:spacing w:line="240" w:lineRule="exact"/>
              <w:jc w:val="center"/>
              <w:rPr>
                <w:szCs w:val="21"/>
              </w:rPr>
            </w:pPr>
            <w:r>
              <w:rPr>
                <w:rFonts w:hint="eastAsia"/>
                <w:kern w:val="0"/>
                <w:szCs w:val="21"/>
              </w:rPr>
              <w:t>855.2</w:t>
            </w:r>
          </w:p>
        </w:tc>
        <w:tc>
          <w:tcPr>
            <w:tcW w:w="1647" w:type="dxa"/>
            <w:vAlign w:val="center"/>
          </w:tcPr>
          <w:p w:rsidR="00475650" w:rsidRDefault="00475650">
            <w:pPr>
              <w:snapToGrid w:val="0"/>
              <w:spacing w:line="240" w:lineRule="exact"/>
              <w:jc w:val="center"/>
              <w:rPr>
                <w:szCs w:val="21"/>
              </w:rPr>
            </w:pPr>
            <w:r>
              <w:rPr>
                <w:rFonts w:hAnsi="宋体"/>
                <w:szCs w:val="21"/>
              </w:rPr>
              <w:t>蒸发损失</w:t>
            </w:r>
          </w:p>
        </w:tc>
        <w:tc>
          <w:tcPr>
            <w:tcW w:w="1437" w:type="dxa"/>
            <w:vAlign w:val="center"/>
          </w:tcPr>
          <w:p w:rsidR="00475650" w:rsidRDefault="00475650">
            <w:pPr>
              <w:snapToGrid w:val="0"/>
              <w:spacing w:line="240" w:lineRule="exact"/>
              <w:jc w:val="center"/>
              <w:rPr>
                <w:szCs w:val="21"/>
              </w:rPr>
            </w:pPr>
            <w:r>
              <w:rPr>
                <w:rFonts w:hint="eastAsia"/>
                <w:szCs w:val="21"/>
              </w:rPr>
              <w:t>1256.8</w:t>
            </w:r>
          </w:p>
        </w:tc>
        <w:tc>
          <w:tcPr>
            <w:tcW w:w="1501" w:type="dxa"/>
            <w:vAlign w:val="center"/>
          </w:tcPr>
          <w:p w:rsidR="00475650" w:rsidRDefault="00475650">
            <w:pPr>
              <w:snapToGrid w:val="0"/>
              <w:spacing w:line="240" w:lineRule="exact"/>
              <w:jc w:val="center"/>
              <w:rPr>
                <w:szCs w:val="21"/>
              </w:rPr>
            </w:pPr>
          </w:p>
          <w:p w:rsidR="00475650" w:rsidRDefault="00475650">
            <w:pPr>
              <w:snapToGrid w:val="0"/>
              <w:spacing w:line="240" w:lineRule="exact"/>
              <w:jc w:val="center"/>
              <w:rPr>
                <w:szCs w:val="21"/>
              </w:rPr>
            </w:pPr>
          </w:p>
        </w:tc>
      </w:tr>
      <w:tr w:rsidR="00475650">
        <w:tc>
          <w:tcPr>
            <w:tcW w:w="1179" w:type="dxa"/>
            <w:vMerge/>
            <w:vAlign w:val="center"/>
          </w:tcPr>
          <w:p w:rsidR="00475650" w:rsidRDefault="00475650">
            <w:pPr>
              <w:snapToGrid w:val="0"/>
              <w:spacing w:line="240" w:lineRule="exact"/>
              <w:jc w:val="center"/>
              <w:rPr>
                <w:szCs w:val="21"/>
              </w:rPr>
            </w:pPr>
          </w:p>
        </w:tc>
        <w:tc>
          <w:tcPr>
            <w:tcW w:w="2027" w:type="dxa"/>
            <w:vAlign w:val="center"/>
          </w:tcPr>
          <w:p w:rsidR="00475650" w:rsidRDefault="00475650">
            <w:pPr>
              <w:snapToGrid w:val="0"/>
              <w:spacing w:line="240" w:lineRule="exact"/>
              <w:jc w:val="center"/>
              <w:rPr>
                <w:szCs w:val="21"/>
              </w:rPr>
            </w:pPr>
            <w:r>
              <w:rPr>
                <w:rFonts w:hAnsi="宋体"/>
                <w:kern w:val="0"/>
                <w:szCs w:val="21"/>
              </w:rPr>
              <w:t>尿素</w:t>
            </w:r>
          </w:p>
        </w:tc>
        <w:tc>
          <w:tcPr>
            <w:tcW w:w="1155" w:type="dxa"/>
            <w:vAlign w:val="center"/>
          </w:tcPr>
          <w:p w:rsidR="00475650" w:rsidRDefault="00475650">
            <w:pPr>
              <w:snapToGrid w:val="0"/>
              <w:spacing w:line="240" w:lineRule="exact"/>
              <w:jc w:val="center"/>
              <w:rPr>
                <w:szCs w:val="21"/>
              </w:rPr>
            </w:pPr>
            <w:r>
              <w:rPr>
                <w:rFonts w:hint="eastAsia"/>
                <w:kern w:val="0"/>
                <w:szCs w:val="21"/>
              </w:rPr>
              <w:t>6.55</w:t>
            </w:r>
          </w:p>
        </w:tc>
        <w:tc>
          <w:tcPr>
            <w:tcW w:w="1647" w:type="dxa"/>
            <w:vAlign w:val="center"/>
          </w:tcPr>
          <w:p w:rsidR="00475650" w:rsidRDefault="00475650">
            <w:pPr>
              <w:snapToGrid w:val="0"/>
              <w:spacing w:line="240" w:lineRule="exact"/>
              <w:jc w:val="center"/>
              <w:rPr>
                <w:szCs w:val="21"/>
              </w:rPr>
            </w:pPr>
          </w:p>
        </w:tc>
        <w:tc>
          <w:tcPr>
            <w:tcW w:w="1437" w:type="dxa"/>
            <w:vAlign w:val="center"/>
          </w:tcPr>
          <w:p w:rsidR="00475650" w:rsidRDefault="00475650">
            <w:pPr>
              <w:snapToGrid w:val="0"/>
              <w:spacing w:line="240" w:lineRule="exact"/>
              <w:jc w:val="center"/>
              <w:rPr>
                <w:szCs w:val="21"/>
              </w:rPr>
            </w:pPr>
          </w:p>
        </w:tc>
        <w:tc>
          <w:tcPr>
            <w:tcW w:w="1501" w:type="dxa"/>
            <w:vAlign w:val="center"/>
          </w:tcPr>
          <w:p w:rsidR="00475650" w:rsidRDefault="00475650">
            <w:pPr>
              <w:snapToGrid w:val="0"/>
              <w:spacing w:line="240" w:lineRule="exact"/>
              <w:jc w:val="center"/>
              <w:rPr>
                <w:szCs w:val="21"/>
              </w:rPr>
            </w:pPr>
          </w:p>
        </w:tc>
      </w:tr>
      <w:tr w:rsidR="00475650">
        <w:tc>
          <w:tcPr>
            <w:tcW w:w="1179" w:type="dxa"/>
            <w:vMerge/>
            <w:vAlign w:val="center"/>
          </w:tcPr>
          <w:p w:rsidR="00475650" w:rsidRDefault="00475650">
            <w:pPr>
              <w:snapToGrid w:val="0"/>
              <w:spacing w:line="240" w:lineRule="exact"/>
              <w:jc w:val="center"/>
              <w:rPr>
                <w:szCs w:val="21"/>
              </w:rPr>
            </w:pPr>
          </w:p>
        </w:tc>
        <w:tc>
          <w:tcPr>
            <w:tcW w:w="2027" w:type="dxa"/>
            <w:vAlign w:val="center"/>
          </w:tcPr>
          <w:p w:rsidR="00475650" w:rsidRDefault="00475650">
            <w:pPr>
              <w:snapToGrid w:val="0"/>
              <w:spacing w:line="240" w:lineRule="exact"/>
              <w:jc w:val="center"/>
              <w:rPr>
                <w:szCs w:val="21"/>
              </w:rPr>
            </w:pPr>
            <w:r>
              <w:rPr>
                <w:rFonts w:hAnsi="宋体"/>
                <w:szCs w:val="21"/>
              </w:rPr>
              <w:t>碳酸钠</w:t>
            </w:r>
          </w:p>
        </w:tc>
        <w:tc>
          <w:tcPr>
            <w:tcW w:w="1155" w:type="dxa"/>
            <w:vAlign w:val="center"/>
          </w:tcPr>
          <w:p w:rsidR="00475650" w:rsidRDefault="00475650">
            <w:pPr>
              <w:snapToGrid w:val="0"/>
              <w:spacing w:line="240" w:lineRule="exact"/>
              <w:jc w:val="center"/>
              <w:rPr>
                <w:szCs w:val="21"/>
              </w:rPr>
            </w:pPr>
            <w:r>
              <w:rPr>
                <w:rFonts w:hint="eastAsia"/>
                <w:szCs w:val="21"/>
              </w:rPr>
              <w:t>274.93</w:t>
            </w:r>
          </w:p>
        </w:tc>
        <w:tc>
          <w:tcPr>
            <w:tcW w:w="1647" w:type="dxa"/>
            <w:vAlign w:val="center"/>
          </w:tcPr>
          <w:p w:rsidR="00475650" w:rsidRDefault="00475650">
            <w:pPr>
              <w:snapToGrid w:val="0"/>
              <w:spacing w:line="240" w:lineRule="exact"/>
              <w:jc w:val="center"/>
              <w:rPr>
                <w:szCs w:val="21"/>
              </w:rPr>
            </w:pPr>
          </w:p>
        </w:tc>
        <w:tc>
          <w:tcPr>
            <w:tcW w:w="1437" w:type="dxa"/>
            <w:vAlign w:val="center"/>
          </w:tcPr>
          <w:p w:rsidR="00475650" w:rsidRDefault="00475650">
            <w:pPr>
              <w:snapToGrid w:val="0"/>
              <w:spacing w:line="240" w:lineRule="exact"/>
              <w:jc w:val="center"/>
              <w:rPr>
                <w:szCs w:val="21"/>
              </w:rPr>
            </w:pPr>
          </w:p>
        </w:tc>
        <w:tc>
          <w:tcPr>
            <w:tcW w:w="1501" w:type="dxa"/>
            <w:vAlign w:val="center"/>
          </w:tcPr>
          <w:p w:rsidR="00475650" w:rsidRDefault="00475650">
            <w:pPr>
              <w:snapToGrid w:val="0"/>
              <w:spacing w:line="240" w:lineRule="exact"/>
              <w:jc w:val="center"/>
              <w:rPr>
                <w:szCs w:val="21"/>
              </w:rPr>
            </w:pPr>
          </w:p>
        </w:tc>
      </w:tr>
      <w:tr w:rsidR="00475650">
        <w:tc>
          <w:tcPr>
            <w:tcW w:w="1179" w:type="dxa"/>
            <w:vMerge/>
            <w:vAlign w:val="center"/>
          </w:tcPr>
          <w:p w:rsidR="00475650" w:rsidRDefault="00475650">
            <w:pPr>
              <w:snapToGrid w:val="0"/>
              <w:spacing w:line="240" w:lineRule="exact"/>
              <w:jc w:val="center"/>
              <w:rPr>
                <w:szCs w:val="21"/>
              </w:rPr>
            </w:pPr>
          </w:p>
        </w:tc>
        <w:tc>
          <w:tcPr>
            <w:tcW w:w="2027" w:type="dxa"/>
            <w:vAlign w:val="center"/>
          </w:tcPr>
          <w:p w:rsidR="00475650" w:rsidRDefault="00475650">
            <w:pPr>
              <w:snapToGrid w:val="0"/>
              <w:spacing w:line="240" w:lineRule="exact"/>
              <w:jc w:val="center"/>
              <w:rPr>
                <w:szCs w:val="21"/>
              </w:rPr>
            </w:pPr>
            <w:r>
              <w:rPr>
                <w:rFonts w:hAnsi="宋体"/>
                <w:szCs w:val="21"/>
              </w:rPr>
              <w:t>新鲜水</w:t>
            </w:r>
          </w:p>
        </w:tc>
        <w:tc>
          <w:tcPr>
            <w:tcW w:w="1155" w:type="dxa"/>
            <w:vAlign w:val="center"/>
          </w:tcPr>
          <w:p w:rsidR="00475650" w:rsidRDefault="00475650">
            <w:pPr>
              <w:snapToGrid w:val="0"/>
              <w:spacing w:line="240" w:lineRule="exact"/>
              <w:jc w:val="center"/>
              <w:rPr>
                <w:szCs w:val="21"/>
              </w:rPr>
            </w:pPr>
            <w:r>
              <w:rPr>
                <w:rFonts w:hint="eastAsia"/>
                <w:szCs w:val="21"/>
              </w:rPr>
              <w:t>15000</w:t>
            </w:r>
          </w:p>
        </w:tc>
        <w:tc>
          <w:tcPr>
            <w:tcW w:w="1647" w:type="dxa"/>
            <w:vAlign w:val="center"/>
          </w:tcPr>
          <w:p w:rsidR="00475650" w:rsidRDefault="00475650">
            <w:pPr>
              <w:snapToGrid w:val="0"/>
              <w:spacing w:line="240" w:lineRule="exact"/>
              <w:jc w:val="center"/>
              <w:rPr>
                <w:szCs w:val="21"/>
              </w:rPr>
            </w:pPr>
          </w:p>
        </w:tc>
        <w:tc>
          <w:tcPr>
            <w:tcW w:w="1437" w:type="dxa"/>
            <w:vAlign w:val="center"/>
          </w:tcPr>
          <w:p w:rsidR="00475650" w:rsidRDefault="00475650">
            <w:pPr>
              <w:snapToGrid w:val="0"/>
              <w:spacing w:line="240" w:lineRule="exact"/>
              <w:jc w:val="center"/>
              <w:rPr>
                <w:szCs w:val="21"/>
              </w:rPr>
            </w:pPr>
          </w:p>
        </w:tc>
        <w:tc>
          <w:tcPr>
            <w:tcW w:w="1501" w:type="dxa"/>
            <w:vAlign w:val="center"/>
          </w:tcPr>
          <w:p w:rsidR="00475650" w:rsidRDefault="00475650">
            <w:pPr>
              <w:snapToGrid w:val="0"/>
              <w:spacing w:line="240" w:lineRule="exact"/>
              <w:jc w:val="center"/>
              <w:rPr>
                <w:szCs w:val="21"/>
              </w:rPr>
            </w:pPr>
          </w:p>
        </w:tc>
      </w:tr>
      <w:tr w:rsidR="00475650">
        <w:trPr>
          <w:trHeight w:val="309"/>
        </w:trPr>
        <w:tc>
          <w:tcPr>
            <w:tcW w:w="1179" w:type="dxa"/>
            <w:vMerge/>
            <w:vAlign w:val="center"/>
          </w:tcPr>
          <w:p w:rsidR="00475650" w:rsidRDefault="00475650">
            <w:pPr>
              <w:snapToGrid w:val="0"/>
              <w:spacing w:line="240" w:lineRule="exact"/>
              <w:jc w:val="center"/>
              <w:rPr>
                <w:szCs w:val="21"/>
              </w:rPr>
            </w:pPr>
          </w:p>
        </w:tc>
        <w:tc>
          <w:tcPr>
            <w:tcW w:w="2027" w:type="dxa"/>
            <w:vAlign w:val="center"/>
          </w:tcPr>
          <w:p w:rsidR="00475650" w:rsidRDefault="00475650">
            <w:pPr>
              <w:snapToGrid w:val="0"/>
              <w:spacing w:line="240" w:lineRule="exact"/>
              <w:jc w:val="center"/>
              <w:rPr>
                <w:szCs w:val="21"/>
              </w:rPr>
            </w:pPr>
            <w:r>
              <w:rPr>
                <w:rFonts w:hAnsi="宋体"/>
                <w:szCs w:val="21"/>
              </w:rPr>
              <w:t>冰</w:t>
            </w:r>
          </w:p>
        </w:tc>
        <w:tc>
          <w:tcPr>
            <w:tcW w:w="1155" w:type="dxa"/>
            <w:vAlign w:val="center"/>
          </w:tcPr>
          <w:p w:rsidR="00475650" w:rsidRDefault="00475650">
            <w:pPr>
              <w:snapToGrid w:val="0"/>
              <w:spacing w:line="240" w:lineRule="exact"/>
              <w:jc w:val="center"/>
              <w:rPr>
                <w:szCs w:val="21"/>
              </w:rPr>
            </w:pPr>
            <w:r>
              <w:rPr>
                <w:rFonts w:hint="eastAsia"/>
                <w:szCs w:val="21"/>
              </w:rPr>
              <w:t>45000</w:t>
            </w:r>
          </w:p>
        </w:tc>
        <w:tc>
          <w:tcPr>
            <w:tcW w:w="1647" w:type="dxa"/>
            <w:vAlign w:val="center"/>
          </w:tcPr>
          <w:p w:rsidR="00475650" w:rsidRDefault="00475650">
            <w:pPr>
              <w:snapToGrid w:val="0"/>
              <w:spacing w:line="240" w:lineRule="exact"/>
              <w:jc w:val="center"/>
              <w:rPr>
                <w:szCs w:val="21"/>
              </w:rPr>
            </w:pPr>
          </w:p>
        </w:tc>
        <w:tc>
          <w:tcPr>
            <w:tcW w:w="1437" w:type="dxa"/>
            <w:vAlign w:val="center"/>
          </w:tcPr>
          <w:p w:rsidR="00475650" w:rsidRDefault="00475650">
            <w:pPr>
              <w:snapToGrid w:val="0"/>
              <w:spacing w:line="240" w:lineRule="exact"/>
              <w:jc w:val="center"/>
              <w:rPr>
                <w:szCs w:val="21"/>
              </w:rPr>
            </w:pPr>
          </w:p>
        </w:tc>
        <w:tc>
          <w:tcPr>
            <w:tcW w:w="1501" w:type="dxa"/>
            <w:vAlign w:val="center"/>
          </w:tcPr>
          <w:p w:rsidR="00475650" w:rsidRDefault="00475650">
            <w:pPr>
              <w:snapToGrid w:val="0"/>
              <w:spacing w:line="240" w:lineRule="exact"/>
              <w:jc w:val="center"/>
              <w:rPr>
                <w:szCs w:val="21"/>
              </w:rPr>
            </w:pPr>
          </w:p>
        </w:tc>
      </w:tr>
      <w:tr w:rsidR="00475650">
        <w:tc>
          <w:tcPr>
            <w:tcW w:w="1179" w:type="dxa"/>
            <w:vMerge/>
            <w:vAlign w:val="center"/>
          </w:tcPr>
          <w:p w:rsidR="00475650" w:rsidRDefault="00475650">
            <w:pPr>
              <w:snapToGrid w:val="0"/>
              <w:spacing w:line="240" w:lineRule="exact"/>
              <w:jc w:val="center"/>
              <w:rPr>
                <w:szCs w:val="21"/>
              </w:rPr>
            </w:pPr>
          </w:p>
        </w:tc>
        <w:tc>
          <w:tcPr>
            <w:tcW w:w="2027" w:type="dxa"/>
            <w:vAlign w:val="center"/>
          </w:tcPr>
          <w:p w:rsidR="00475650" w:rsidRDefault="00475650">
            <w:pPr>
              <w:snapToGrid w:val="0"/>
              <w:spacing w:line="240" w:lineRule="exact"/>
              <w:jc w:val="center"/>
              <w:rPr>
                <w:szCs w:val="21"/>
              </w:rPr>
            </w:pPr>
            <w:r>
              <w:rPr>
                <w:rFonts w:hAnsi="宋体"/>
                <w:szCs w:val="21"/>
              </w:rPr>
              <w:t>合计</w:t>
            </w:r>
          </w:p>
        </w:tc>
        <w:tc>
          <w:tcPr>
            <w:tcW w:w="1155" w:type="dxa"/>
            <w:vAlign w:val="center"/>
          </w:tcPr>
          <w:p w:rsidR="00475650" w:rsidRDefault="006F27A1">
            <w:pPr>
              <w:snapToGrid w:val="0"/>
              <w:spacing w:line="240" w:lineRule="exact"/>
              <w:jc w:val="center"/>
              <w:rPr>
                <w:szCs w:val="21"/>
              </w:rPr>
            </w:pPr>
            <w:r>
              <w:rPr>
                <w:szCs w:val="21"/>
              </w:rPr>
              <w:fldChar w:fldCharType="begin"/>
            </w:r>
            <w:r w:rsidR="00475650">
              <w:rPr>
                <w:szCs w:val="21"/>
              </w:rPr>
              <w:instrText xml:space="preserve"> =SUM(ABOVE) </w:instrText>
            </w:r>
            <w:r>
              <w:rPr>
                <w:szCs w:val="21"/>
              </w:rPr>
              <w:fldChar w:fldCharType="separate"/>
            </w:r>
            <w:r w:rsidR="00475650">
              <w:rPr>
                <w:szCs w:val="21"/>
              </w:rPr>
              <w:t>64005.99</w:t>
            </w:r>
            <w:r>
              <w:rPr>
                <w:szCs w:val="21"/>
              </w:rPr>
              <w:fldChar w:fldCharType="end"/>
            </w:r>
          </w:p>
        </w:tc>
        <w:tc>
          <w:tcPr>
            <w:tcW w:w="1647" w:type="dxa"/>
            <w:vAlign w:val="center"/>
          </w:tcPr>
          <w:p w:rsidR="00475650" w:rsidRDefault="00475650">
            <w:pPr>
              <w:snapToGrid w:val="0"/>
              <w:spacing w:line="240" w:lineRule="exact"/>
              <w:jc w:val="center"/>
              <w:rPr>
                <w:szCs w:val="21"/>
              </w:rPr>
            </w:pPr>
          </w:p>
        </w:tc>
        <w:tc>
          <w:tcPr>
            <w:tcW w:w="1437" w:type="dxa"/>
            <w:vAlign w:val="center"/>
          </w:tcPr>
          <w:p w:rsidR="00475650" w:rsidRDefault="006F27A1">
            <w:pPr>
              <w:snapToGrid w:val="0"/>
              <w:spacing w:line="240" w:lineRule="exact"/>
              <w:jc w:val="center"/>
              <w:rPr>
                <w:szCs w:val="21"/>
              </w:rPr>
            </w:pPr>
            <w:r>
              <w:rPr>
                <w:szCs w:val="21"/>
              </w:rPr>
              <w:fldChar w:fldCharType="begin"/>
            </w:r>
            <w:r w:rsidR="00475650">
              <w:rPr>
                <w:szCs w:val="21"/>
              </w:rPr>
              <w:instrText xml:space="preserve"> =SUM(ABOVE) </w:instrText>
            </w:r>
            <w:r>
              <w:rPr>
                <w:szCs w:val="21"/>
              </w:rPr>
              <w:fldChar w:fldCharType="separate"/>
            </w:r>
            <w:r w:rsidR="00475650">
              <w:rPr>
                <w:szCs w:val="21"/>
              </w:rPr>
              <w:t>64005.99</w:t>
            </w:r>
            <w:r>
              <w:rPr>
                <w:szCs w:val="21"/>
              </w:rPr>
              <w:fldChar w:fldCharType="end"/>
            </w:r>
          </w:p>
        </w:tc>
        <w:tc>
          <w:tcPr>
            <w:tcW w:w="1501" w:type="dxa"/>
            <w:vAlign w:val="center"/>
          </w:tcPr>
          <w:p w:rsidR="00475650" w:rsidRDefault="00475650">
            <w:pPr>
              <w:snapToGrid w:val="0"/>
              <w:spacing w:line="240" w:lineRule="exact"/>
              <w:jc w:val="center"/>
              <w:rPr>
                <w:szCs w:val="21"/>
              </w:rPr>
            </w:pPr>
          </w:p>
        </w:tc>
      </w:tr>
    </w:tbl>
    <w:p w:rsidR="00475650" w:rsidRDefault="00475650">
      <w:pPr>
        <w:tabs>
          <w:tab w:val="left" w:pos="8478"/>
        </w:tabs>
        <w:spacing w:line="360" w:lineRule="auto"/>
        <w:jc w:val="center"/>
        <w:rPr>
          <w:bCs/>
          <w:sz w:val="24"/>
        </w:rPr>
      </w:pPr>
      <w:r>
        <w:rPr>
          <w:rFonts w:hAnsi="宋体"/>
          <w:bCs/>
          <w:sz w:val="24"/>
        </w:rPr>
        <w:t>表</w:t>
      </w:r>
      <w:r>
        <w:rPr>
          <w:bCs/>
          <w:sz w:val="24"/>
        </w:rPr>
        <w:t xml:space="preserve">3.3-7    </w:t>
      </w:r>
      <w:r>
        <w:rPr>
          <w:rFonts w:hAnsi="宋体"/>
          <w:bCs/>
          <w:sz w:val="24"/>
        </w:rPr>
        <w:t>生产工艺亚硝酸钠总平衡表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542"/>
        <w:gridCol w:w="875"/>
        <w:gridCol w:w="952"/>
        <w:gridCol w:w="1569"/>
        <w:gridCol w:w="920"/>
        <w:gridCol w:w="1100"/>
        <w:gridCol w:w="1988"/>
      </w:tblGrid>
      <w:tr w:rsidR="00475650">
        <w:tc>
          <w:tcPr>
            <w:tcW w:w="3369" w:type="dxa"/>
            <w:gridSpan w:val="3"/>
            <w:vAlign w:val="center"/>
          </w:tcPr>
          <w:p w:rsidR="00475650" w:rsidRDefault="00475650">
            <w:pPr>
              <w:snapToGrid w:val="0"/>
              <w:spacing w:line="240" w:lineRule="exact"/>
              <w:jc w:val="center"/>
              <w:rPr>
                <w:szCs w:val="21"/>
              </w:rPr>
            </w:pPr>
            <w:r>
              <w:rPr>
                <w:rFonts w:hAnsi="宋体"/>
                <w:szCs w:val="21"/>
              </w:rPr>
              <w:t>输入</w:t>
            </w:r>
          </w:p>
        </w:tc>
        <w:tc>
          <w:tcPr>
            <w:tcW w:w="5577" w:type="dxa"/>
            <w:gridSpan w:val="4"/>
            <w:vAlign w:val="center"/>
          </w:tcPr>
          <w:p w:rsidR="00475650" w:rsidRDefault="00475650">
            <w:pPr>
              <w:snapToGrid w:val="0"/>
              <w:spacing w:line="240" w:lineRule="exact"/>
              <w:jc w:val="center"/>
              <w:rPr>
                <w:szCs w:val="21"/>
              </w:rPr>
            </w:pPr>
            <w:r>
              <w:rPr>
                <w:rFonts w:hAnsi="宋体"/>
                <w:szCs w:val="21"/>
              </w:rPr>
              <w:t>输出</w:t>
            </w:r>
          </w:p>
        </w:tc>
      </w:tr>
      <w:tr w:rsidR="00475650">
        <w:tc>
          <w:tcPr>
            <w:tcW w:w="1542" w:type="dxa"/>
            <w:vAlign w:val="center"/>
          </w:tcPr>
          <w:p w:rsidR="00475650" w:rsidRDefault="00475650">
            <w:pPr>
              <w:snapToGrid w:val="0"/>
              <w:spacing w:line="240" w:lineRule="exact"/>
              <w:jc w:val="center"/>
              <w:rPr>
                <w:szCs w:val="21"/>
              </w:rPr>
            </w:pPr>
            <w:r>
              <w:rPr>
                <w:rFonts w:hAnsi="宋体"/>
                <w:szCs w:val="21"/>
              </w:rPr>
              <w:t>项目</w:t>
            </w:r>
          </w:p>
        </w:tc>
        <w:tc>
          <w:tcPr>
            <w:tcW w:w="875" w:type="dxa"/>
            <w:vAlign w:val="center"/>
          </w:tcPr>
          <w:p w:rsidR="00475650" w:rsidRDefault="00475650">
            <w:pPr>
              <w:snapToGrid w:val="0"/>
              <w:spacing w:line="240" w:lineRule="exact"/>
              <w:jc w:val="center"/>
              <w:rPr>
                <w:szCs w:val="21"/>
              </w:rPr>
            </w:pPr>
            <w:r>
              <w:rPr>
                <w:rFonts w:hAnsi="宋体"/>
                <w:szCs w:val="21"/>
              </w:rPr>
              <w:t>单位</w:t>
            </w:r>
          </w:p>
        </w:tc>
        <w:tc>
          <w:tcPr>
            <w:tcW w:w="952" w:type="dxa"/>
            <w:vAlign w:val="center"/>
          </w:tcPr>
          <w:p w:rsidR="00475650" w:rsidRDefault="00475650">
            <w:pPr>
              <w:snapToGrid w:val="0"/>
              <w:spacing w:line="240" w:lineRule="exact"/>
              <w:rPr>
                <w:szCs w:val="21"/>
              </w:rPr>
            </w:pPr>
            <w:r>
              <w:rPr>
                <w:rFonts w:hAnsi="宋体"/>
                <w:szCs w:val="21"/>
              </w:rPr>
              <w:t>数量</w:t>
            </w:r>
          </w:p>
        </w:tc>
        <w:tc>
          <w:tcPr>
            <w:tcW w:w="1569" w:type="dxa"/>
            <w:vAlign w:val="center"/>
          </w:tcPr>
          <w:p w:rsidR="00475650" w:rsidRDefault="00475650">
            <w:pPr>
              <w:snapToGrid w:val="0"/>
              <w:spacing w:line="240" w:lineRule="exact"/>
              <w:jc w:val="center"/>
              <w:rPr>
                <w:szCs w:val="21"/>
              </w:rPr>
            </w:pPr>
            <w:r>
              <w:rPr>
                <w:rFonts w:hAnsi="宋体"/>
                <w:szCs w:val="21"/>
              </w:rPr>
              <w:t>项目</w:t>
            </w:r>
          </w:p>
        </w:tc>
        <w:tc>
          <w:tcPr>
            <w:tcW w:w="920" w:type="dxa"/>
            <w:vAlign w:val="center"/>
          </w:tcPr>
          <w:p w:rsidR="00475650" w:rsidRDefault="00475650">
            <w:pPr>
              <w:snapToGrid w:val="0"/>
              <w:spacing w:line="240" w:lineRule="exact"/>
              <w:jc w:val="center"/>
              <w:rPr>
                <w:szCs w:val="21"/>
              </w:rPr>
            </w:pPr>
            <w:r>
              <w:rPr>
                <w:rFonts w:hAnsi="宋体"/>
                <w:szCs w:val="21"/>
              </w:rPr>
              <w:t>单位</w:t>
            </w:r>
          </w:p>
        </w:tc>
        <w:tc>
          <w:tcPr>
            <w:tcW w:w="1100" w:type="dxa"/>
            <w:vAlign w:val="center"/>
          </w:tcPr>
          <w:p w:rsidR="00475650" w:rsidRDefault="00475650">
            <w:pPr>
              <w:snapToGrid w:val="0"/>
              <w:spacing w:line="240" w:lineRule="exact"/>
              <w:jc w:val="center"/>
              <w:rPr>
                <w:szCs w:val="21"/>
              </w:rPr>
            </w:pPr>
            <w:r>
              <w:rPr>
                <w:rFonts w:hAnsi="宋体"/>
                <w:szCs w:val="21"/>
              </w:rPr>
              <w:t>数量</w:t>
            </w:r>
          </w:p>
        </w:tc>
        <w:tc>
          <w:tcPr>
            <w:tcW w:w="1988" w:type="dxa"/>
            <w:vAlign w:val="center"/>
          </w:tcPr>
          <w:p w:rsidR="00475650" w:rsidRDefault="00475650">
            <w:pPr>
              <w:snapToGrid w:val="0"/>
              <w:spacing w:line="240" w:lineRule="exact"/>
              <w:jc w:val="center"/>
              <w:rPr>
                <w:szCs w:val="21"/>
              </w:rPr>
            </w:pPr>
            <w:r>
              <w:rPr>
                <w:rFonts w:hAnsi="宋体"/>
                <w:szCs w:val="21"/>
              </w:rPr>
              <w:t>备注</w:t>
            </w:r>
          </w:p>
        </w:tc>
      </w:tr>
      <w:tr w:rsidR="00475650">
        <w:tc>
          <w:tcPr>
            <w:tcW w:w="1542" w:type="dxa"/>
            <w:vAlign w:val="center"/>
          </w:tcPr>
          <w:p w:rsidR="00475650" w:rsidRDefault="00475650">
            <w:pPr>
              <w:snapToGrid w:val="0"/>
              <w:spacing w:line="240" w:lineRule="exact"/>
              <w:rPr>
                <w:szCs w:val="21"/>
              </w:rPr>
            </w:pPr>
            <w:r>
              <w:rPr>
                <w:rFonts w:hAnsi="宋体"/>
                <w:szCs w:val="21"/>
              </w:rPr>
              <w:t>亚硝酸钠原料</w:t>
            </w:r>
          </w:p>
        </w:tc>
        <w:tc>
          <w:tcPr>
            <w:tcW w:w="875" w:type="dxa"/>
          </w:tcPr>
          <w:p w:rsidR="00475650" w:rsidRDefault="00475650">
            <w:pPr>
              <w:snapToGrid w:val="0"/>
              <w:spacing w:line="240" w:lineRule="exact"/>
              <w:jc w:val="center"/>
              <w:rPr>
                <w:szCs w:val="21"/>
              </w:rPr>
            </w:pPr>
            <w:r>
              <w:rPr>
                <w:szCs w:val="21"/>
              </w:rPr>
              <w:t>t/a</w:t>
            </w:r>
          </w:p>
        </w:tc>
        <w:tc>
          <w:tcPr>
            <w:tcW w:w="952" w:type="dxa"/>
            <w:vAlign w:val="center"/>
          </w:tcPr>
          <w:p w:rsidR="00475650" w:rsidRDefault="00475650">
            <w:pPr>
              <w:snapToGrid w:val="0"/>
              <w:spacing w:line="240" w:lineRule="exact"/>
              <w:jc w:val="center"/>
              <w:rPr>
                <w:szCs w:val="21"/>
              </w:rPr>
            </w:pPr>
            <w:r>
              <w:rPr>
                <w:rFonts w:hint="eastAsia"/>
                <w:szCs w:val="21"/>
              </w:rPr>
              <w:t>929.36</w:t>
            </w:r>
          </w:p>
        </w:tc>
        <w:tc>
          <w:tcPr>
            <w:tcW w:w="1569" w:type="dxa"/>
            <w:vAlign w:val="center"/>
          </w:tcPr>
          <w:p w:rsidR="00475650" w:rsidRDefault="00475650">
            <w:pPr>
              <w:snapToGrid w:val="0"/>
              <w:spacing w:line="240" w:lineRule="exact"/>
              <w:jc w:val="center"/>
              <w:rPr>
                <w:szCs w:val="21"/>
              </w:rPr>
            </w:pPr>
            <w:r>
              <w:rPr>
                <w:rFonts w:hAnsi="宋体"/>
                <w:szCs w:val="21"/>
              </w:rPr>
              <w:t>进入酸性红产品</w:t>
            </w:r>
          </w:p>
        </w:tc>
        <w:tc>
          <w:tcPr>
            <w:tcW w:w="920" w:type="dxa"/>
          </w:tcPr>
          <w:p w:rsidR="00475650" w:rsidRDefault="00475650">
            <w:pPr>
              <w:snapToGrid w:val="0"/>
              <w:spacing w:line="240" w:lineRule="exact"/>
              <w:jc w:val="center"/>
              <w:rPr>
                <w:szCs w:val="21"/>
              </w:rPr>
            </w:pPr>
            <w:r>
              <w:rPr>
                <w:szCs w:val="21"/>
              </w:rPr>
              <w:t>t/a</w:t>
            </w:r>
          </w:p>
        </w:tc>
        <w:tc>
          <w:tcPr>
            <w:tcW w:w="1100" w:type="dxa"/>
            <w:vAlign w:val="center"/>
          </w:tcPr>
          <w:p w:rsidR="00475650" w:rsidRDefault="00475650">
            <w:pPr>
              <w:snapToGrid w:val="0"/>
              <w:spacing w:line="240" w:lineRule="exact"/>
              <w:jc w:val="center"/>
              <w:rPr>
                <w:szCs w:val="21"/>
              </w:rPr>
            </w:pPr>
            <w:r>
              <w:rPr>
                <w:szCs w:val="21"/>
              </w:rPr>
              <w:t>98.3</w:t>
            </w:r>
          </w:p>
        </w:tc>
        <w:tc>
          <w:tcPr>
            <w:tcW w:w="1988" w:type="dxa"/>
            <w:vAlign w:val="center"/>
          </w:tcPr>
          <w:p w:rsidR="00475650" w:rsidRDefault="00475650">
            <w:pPr>
              <w:snapToGrid w:val="0"/>
              <w:spacing w:line="240" w:lineRule="exact"/>
              <w:jc w:val="center"/>
              <w:rPr>
                <w:szCs w:val="21"/>
              </w:rPr>
            </w:pPr>
          </w:p>
        </w:tc>
      </w:tr>
      <w:tr w:rsidR="00475650">
        <w:tc>
          <w:tcPr>
            <w:tcW w:w="1542" w:type="dxa"/>
            <w:vAlign w:val="center"/>
          </w:tcPr>
          <w:p w:rsidR="00475650" w:rsidRDefault="00475650">
            <w:pPr>
              <w:snapToGrid w:val="0"/>
              <w:spacing w:line="240" w:lineRule="exact"/>
              <w:jc w:val="center"/>
              <w:rPr>
                <w:szCs w:val="21"/>
              </w:rPr>
            </w:pPr>
          </w:p>
        </w:tc>
        <w:tc>
          <w:tcPr>
            <w:tcW w:w="875" w:type="dxa"/>
          </w:tcPr>
          <w:p w:rsidR="00475650" w:rsidRDefault="00475650">
            <w:pPr>
              <w:snapToGrid w:val="0"/>
              <w:spacing w:line="240" w:lineRule="exact"/>
              <w:jc w:val="center"/>
              <w:rPr>
                <w:szCs w:val="21"/>
              </w:rPr>
            </w:pPr>
          </w:p>
        </w:tc>
        <w:tc>
          <w:tcPr>
            <w:tcW w:w="952" w:type="dxa"/>
            <w:vAlign w:val="center"/>
          </w:tcPr>
          <w:p w:rsidR="00475650" w:rsidRDefault="00475650">
            <w:pPr>
              <w:snapToGrid w:val="0"/>
              <w:spacing w:line="240" w:lineRule="exact"/>
              <w:jc w:val="center"/>
              <w:rPr>
                <w:szCs w:val="21"/>
              </w:rPr>
            </w:pPr>
          </w:p>
        </w:tc>
        <w:tc>
          <w:tcPr>
            <w:tcW w:w="1569" w:type="dxa"/>
            <w:vAlign w:val="center"/>
          </w:tcPr>
          <w:p w:rsidR="00475650" w:rsidRDefault="00475650">
            <w:pPr>
              <w:snapToGrid w:val="0"/>
              <w:spacing w:line="240" w:lineRule="exact"/>
              <w:rPr>
                <w:szCs w:val="21"/>
              </w:rPr>
            </w:pPr>
            <w:r>
              <w:rPr>
                <w:rFonts w:hAnsi="宋体"/>
                <w:szCs w:val="21"/>
              </w:rPr>
              <w:t>进入酸性黄产品</w:t>
            </w:r>
          </w:p>
        </w:tc>
        <w:tc>
          <w:tcPr>
            <w:tcW w:w="920" w:type="dxa"/>
          </w:tcPr>
          <w:p w:rsidR="00475650" w:rsidRDefault="00475650">
            <w:pPr>
              <w:snapToGrid w:val="0"/>
              <w:spacing w:line="240" w:lineRule="exact"/>
              <w:jc w:val="center"/>
              <w:rPr>
                <w:szCs w:val="21"/>
              </w:rPr>
            </w:pPr>
            <w:r>
              <w:rPr>
                <w:szCs w:val="21"/>
              </w:rPr>
              <w:t>t/a</w:t>
            </w:r>
          </w:p>
        </w:tc>
        <w:tc>
          <w:tcPr>
            <w:tcW w:w="1100" w:type="dxa"/>
            <w:vAlign w:val="center"/>
          </w:tcPr>
          <w:p w:rsidR="00475650" w:rsidRDefault="00475650">
            <w:pPr>
              <w:snapToGrid w:val="0"/>
              <w:spacing w:line="240" w:lineRule="exact"/>
              <w:jc w:val="center"/>
              <w:rPr>
                <w:szCs w:val="21"/>
              </w:rPr>
            </w:pPr>
            <w:r>
              <w:rPr>
                <w:szCs w:val="21"/>
              </w:rPr>
              <w:t>65</w:t>
            </w:r>
          </w:p>
        </w:tc>
        <w:tc>
          <w:tcPr>
            <w:tcW w:w="1988" w:type="dxa"/>
            <w:vAlign w:val="center"/>
          </w:tcPr>
          <w:p w:rsidR="00475650" w:rsidRDefault="00475650">
            <w:pPr>
              <w:snapToGrid w:val="0"/>
              <w:spacing w:line="240" w:lineRule="exact"/>
              <w:jc w:val="center"/>
              <w:rPr>
                <w:szCs w:val="21"/>
              </w:rPr>
            </w:pPr>
          </w:p>
        </w:tc>
      </w:tr>
      <w:tr w:rsidR="00475650">
        <w:tc>
          <w:tcPr>
            <w:tcW w:w="1542" w:type="dxa"/>
            <w:vAlign w:val="center"/>
          </w:tcPr>
          <w:p w:rsidR="00475650" w:rsidRDefault="00475650">
            <w:pPr>
              <w:snapToGrid w:val="0"/>
              <w:spacing w:line="240" w:lineRule="exact"/>
              <w:jc w:val="center"/>
              <w:rPr>
                <w:szCs w:val="21"/>
              </w:rPr>
            </w:pPr>
          </w:p>
        </w:tc>
        <w:tc>
          <w:tcPr>
            <w:tcW w:w="875" w:type="dxa"/>
          </w:tcPr>
          <w:p w:rsidR="00475650" w:rsidRDefault="00475650">
            <w:pPr>
              <w:snapToGrid w:val="0"/>
              <w:spacing w:line="240" w:lineRule="exact"/>
              <w:jc w:val="center"/>
              <w:rPr>
                <w:szCs w:val="21"/>
              </w:rPr>
            </w:pPr>
          </w:p>
        </w:tc>
        <w:tc>
          <w:tcPr>
            <w:tcW w:w="952" w:type="dxa"/>
            <w:vAlign w:val="center"/>
          </w:tcPr>
          <w:p w:rsidR="00475650" w:rsidRDefault="00475650">
            <w:pPr>
              <w:snapToGrid w:val="0"/>
              <w:spacing w:line="240" w:lineRule="exact"/>
              <w:jc w:val="center"/>
              <w:rPr>
                <w:szCs w:val="21"/>
              </w:rPr>
            </w:pPr>
          </w:p>
        </w:tc>
        <w:tc>
          <w:tcPr>
            <w:tcW w:w="1569" w:type="dxa"/>
            <w:vAlign w:val="center"/>
          </w:tcPr>
          <w:p w:rsidR="00475650" w:rsidRDefault="00475650">
            <w:pPr>
              <w:snapToGrid w:val="0"/>
              <w:spacing w:line="240" w:lineRule="exact"/>
              <w:rPr>
                <w:szCs w:val="21"/>
              </w:rPr>
            </w:pPr>
            <w:r>
              <w:rPr>
                <w:rFonts w:hAnsi="宋体"/>
                <w:szCs w:val="21"/>
              </w:rPr>
              <w:t>进入废水</w:t>
            </w:r>
          </w:p>
        </w:tc>
        <w:tc>
          <w:tcPr>
            <w:tcW w:w="920" w:type="dxa"/>
          </w:tcPr>
          <w:p w:rsidR="00475650" w:rsidRDefault="00475650">
            <w:pPr>
              <w:snapToGrid w:val="0"/>
              <w:spacing w:line="240" w:lineRule="exact"/>
              <w:jc w:val="center"/>
              <w:rPr>
                <w:szCs w:val="21"/>
              </w:rPr>
            </w:pPr>
            <w:r>
              <w:rPr>
                <w:szCs w:val="21"/>
              </w:rPr>
              <w:t>t/a</w:t>
            </w:r>
          </w:p>
        </w:tc>
        <w:tc>
          <w:tcPr>
            <w:tcW w:w="1100" w:type="dxa"/>
            <w:vAlign w:val="center"/>
          </w:tcPr>
          <w:p w:rsidR="00475650" w:rsidRDefault="00475650">
            <w:pPr>
              <w:snapToGrid w:val="0"/>
              <w:spacing w:line="240" w:lineRule="exact"/>
              <w:jc w:val="center"/>
              <w:rPr>
                <w:szCs w:val="21"/>
              </w:rPr>
            </w:pPr>
            <w:r>
              <w:rPr>
                <w:rFonts w:hint="eastAsia"/>
                <w:szCs w:val="21"/>
              </w:rPr>
              <w:t>758.59</w:t>
            </w:r>
          </w:p>
        </w:tc>
        <w:tc>
          <w:tcPr>
            <w:tcW w:w="1988" w:type="dxa"/>
            <w:vAlign w:val="center"/>
          </w:tcPr>
          <w:p w:rsidR="00475650" w:rsidRDefault="00475650">
            <w:pPr>
              <w:snapToGrid w:val="0"/>
              <w:spacing w:line="240" w:lineRule="exact"/>
              <w:jc w:val="center"/>
              <w:rPr>
                <w:szCs w:val="21"/>
              </w:rPr>
            </w:pPr>
            <w:r>
              <w:rPr>
                <w:rFonts w:hAnsi="宋体"/>
                <w:szCs w:val="21"/>
              </w:rPr>
              <w:t>以钠离子及结合氧形式存在</w:t>
            </w:r>
          </w:p>
        </w:tc>
      </w:tr>
      <w:tr w:rsidR="00475650">
        <w:trPr>
          <w:trHeight w:val="262"/>
        </w:trPr>
        <w:tc>
          <w:tcPr>
            <w:tcW w:w="1542" w:type="dxa"/>
            <w:vAlign w:val="center"/>
          </w:tcPr>
          <w:p w:rsidR="00475650" w:rsidRDefault="00475650">
            <w:pPr>
              <w:snapToGrid w:val="0"/>
              <w:spacing w:line="240" w:lineRule="exact"/>
              <w:jc w:val="center"/>
              <w:rPr>
                <w:szCs w:val="21"/>
              </w:rPr>
            </w:pPr>
          </w:p>
        </w:tc>
        <w:tc>
          <w:tcPr>
            <w:tcW w:w="875" w:type="dxa"/>
          </w:tcPr>
          <w:p w:rsidR="00475650" w:rsidRDefault="00475650">
            <w:pPr>
              <w:snapToGrid w:val="0"/>
              <w:spacing w:line="240" w:lineRule="exact"/>
              <w:jc w:val="center"/>
              <w:rPr>
                <w:szCs w:val="21"/>
              </w:rPr>
            </w:pPr>
          </w:p>
        </w:tc>
        <w:tc>
          <w:tcPr>
            <w:tcW w:w="952" w:type="dxa"/>
            <w:vAlign w:val="center"/>
          </w:tcPr>
          <w:p w:rsidR="00475650" w:rsidRDefault="00475650">
            <w:pPr>
              <w:snapToGrid w:val="0"/>
              <w:spacing w:line="240" w:lineRule="exact"/>
              <w:jc w:val="center"/>
              <w:rPr>
                <w:szCs w:val="21"/>
              </w:rPr>
            </w:pPr>
          </w:p>
        </w:tc>
        <w:tc>
          <w:tcPr>
            <w:tcW w:w="1569" w:type="dxa"/>
            <w:vAlign w:val="center"/>
          </w:tcPr>
          <w:p w:rsidR="00475650" w:rsidRDefault="00475650">
            <w:pPr>
              <w:snapToGrid w:val="0"/>
              <w:spacing w:line="240" w:lineRule="exact"/>
              <w:rPr>
                <w:szCs w:val="21"/>
              </w:rPr>
            </w:pPr>
            <w:r>
              <w:rPr>
                <w:rFonts w:hAnsi="宋体"/>
                <w:szCs w:val="21"/>
              </w:rPr>
              <w:t>进入大气</w:t>
            </w:r>
          </w:p>
        </w:tc>
        <w:tc>
          <w:tcPr>
            <w:tcW w:w="920" w:type="dxa"/>
          </w:tcPr>
          <w:p w:rsidR="00475650" w:rsidRDefault="00475650">
            <w:pPr>
              <w:snapToGrid w:val="0"/>
              <w:spacing w:line="240" w:lineRule="exact"/>
              <w:jc w:val="center"/>
              <w:rPr>
                <w:szCs w:val="21"/>
              </w:rPr>
            </w:pPr>
            <w:r>
              <w:rPr>
                <w:szCs w:val="21"/>
              </w:rPr>
              <w:t>t/a</w:t>
            </w:r>
          </w:p>
        </w:tc>
        <w:tc>
          <w:tcPr>
            <w:tcW w:w="1100" w:type="dxa"/>
            <w:vAlign w:val="center"/>
          </w:tcPr>
          <w:p w:rsidR="00475650" w:rsidRDefault="00475650">
            <w:pPr>
              <w:snapToGrid w:val="0"/>
              <w:spacing w:line="240" w:lineRule="exact"/>
              <w:jc w:val="center"/>
              <w:rPr>
                <w:szCs w:val="21"/>
              </w:rPr>
            </w:pPr>
            <w:r>
              <w:rPr>
                <w:rFonts w:hint="eastAsia"/>
                <w:szCs w:val="21"/>
              </w:rPr>
              <w:t>7.47</w:t>
            </w:r>
          </w:p>
        </w:tc>
        <w:tc>
          <w:tcPr>
            <w:tcW w:w="1988" w:type="dxa"/>
            <w:vAlign w:val="center"/>
          </w:tcPr>
          <w:p w:rsidR="00475650" w:rsidRDefault="00475650">
            <w:pPr>
              <w:snapToGrid w:val="0"/>
              <w:spacing w:line="240" w:lineRule="exact"/>
              <w:jc w:val="center"/>
              <w:rPr>
                <w:szCs w:val="21"/>
              </w:rPr>
            </w:pPr>
            <w:r>
              <w:rPr>
                <w:rFonts w:hAnsi="宋体"/>
                <w:szCs w:val="21"/>
              </w:rPr>
              <w:t>以氮气的形式</w:t>
            </w:r>
          </w:p>
        </w:tc>
      </w:tr>
      <w:tr w:rsidR="00475650">
        <w:tc>
          <w:tcPr>
            <w:tcW w:w="1542" w:type="dxa"/>
            <w:vAlign w:val="center"/>
          </w:tcPr>
          <w:p w:rsidR="00475650" w:rsidRDefault="00475650">
            <w:pPr>
              <w:snapToGrid w:val="0"/>
              <w:spacing w:line="240" w:lineRule="exact"/>
              <w:jc w:val="center"/>
              <w:rPr>
                <w:szCs w:val="21"/>
              </w:rPr>
            </w:pPr>
            <w:r>
              <w:rPr>
                <w:rFonts w:hAnsi="宋体"/>
                <w:szCs w:val="21"/>
              </w:rPr>
              <w:t>合计</w:t>
            </w:r>
          </w:p>
        </w:tc>
        <w:tc>
          <w:tcPr>
            <w:tcW w:w="875" w:type="dxa"/>
          </w:tcPr>
          <w:p w:rsidR="00475650" w:rsidRDefault="00475650">
            <w:pPr>
              <w:snapToGrid w:val="0"/>
              <w:spacing w:line="240" w:lineRule="exact"/>
              <w:jc w:val="center"/>
              <w:rPr>
                <w:szCs w:val="21"/>
              </w:rPr>
            </w:pPr>
            <w:r>
              <w:rPr>
                <w:szCs w:val="21"/>
              </w:rPr>
              <w:t>t/a</w:t>
            </w:r>
          </w:p>
        </w:tc>
        <w:tc>
          <w:tcPr>
            <w:tcW w:w="952" w:type="dxa"/>
            <w:vAlign w:val="center"/>
          </w:tcPr>
          <w:p w:rsidR="00475650" w:rsidRDefault="006F27A1">
            <w:pPr>
              <w:snapToGrid w:val="0"/>
              <w:spacing w:line="240" w:lineRule="exact"/>
              <w:jc w:val="center"/>
              <w:rPr>
                <w:szCs w:val="21"/>
              </w:rPr>
            </w:pPr>
            <w:r>
              <w:rPr>
                <w:szCs w:val="21"/>
              </w:rPr>
              <w:fldChar w:fldCharType="begin"/>
            </w:r>
            <w:r w:rsidR="00475650">
              <w:rPr>
                <w:szCs w:val="21"/>
              </w:rPr>
              <w:instrText xml:space="preserve"> =SUM(ABOVE) </w:instrText>
            </w:r>
            <w:r>
              <w:rPr>
                <w:szCs w:val="21"/>
              </w:rPr>
              <w:fldChar w:fldCharType="separate"/>
            </w:r>
            <w:r w:rsidR="00475650">
              <w:rPr>
                <w:szCs w:val="21"/>
              </w:rPr>
              <w:t>929.36</w:t>
            </w:r>
            <w:r>
              <w:rPr>
                <w:szCs w:val="21"/>
              </w:rPr>
              <w:fldChar w:fldCharType="end"/>
            </w:r>
          </w:p>
        </w:tc>
        <w:tc>
          <w:tcPr>
            <w:tcW w:w="1569" w:type="dxa"/>
            <w:vAlign w:val="center"/>
          </w:tcPr>
          <w:p w:rsidR="00475650" w:rsidRDefault="00475650">
            <w:pPr>
              <w:snapToGrid w:val="0"/>
              <w:spacing w:line="240" w:lineRule="exact"/>
              <w:jc w:val="center"/>
              <w:rPr>
                <w:szCs w:val="21"/>
              </w:rPr>
            </w:pPr>
            <w:r>
              <w:rPr>
                <w:rFonts w:hAnsi="宋体"/>
                <w:szCs w:val="21"/>
              </w:rPr>
              <w:t>合计</w:t>
            </w:r>
          </w:p>
        </w:tc>
        <w:tc>
          <w:tcPr>
            <w:tcW w:w="920" w:type="dxa"/>
          </w:tcPr>
          <w:p w:rsidR="00475650" w:rsidRDefault="00475650">
            <w:pPr>
              <w:snapToGrid w:val="0"/>
              <w:spacing w:line="240" w:lineRule="exact"/>
              <w:jc w:val="center"/>
              <w:rPr>
                <w:szCs w:val="21"/>
              </w:rPr>
            </w:pPr>
            <w:r>
              <w:rPr>
                <w:szCs w:val="21"/>
              </w:rPr>
              <w:t>t/a</w:t>
            </w:r>
          </w:p>
        </w:tc>
        <w:tc>
          <w:tcPr>
            <w:tcW w:w="1100" w:type="dxa"/>
            <w:vAlign w:val="center"/>
          </w:tcPr>
          <w:p w:rsidR="00475650" w:rsidRDefault="006F27A1">
            <w:pPr>
              <w:snapToGrid w:val="0"/>
              <w:spacing w:line="240" w:lineRule="exact"/>
              <w:jc w:val="center"/>
              <w:rPr>
                <w:szCs w:val="21"/>
              </w:rPr>
            </w:pPr>
            <w:r>
              <w:rPr>
                <w:szCs w:val="21"/>
              </w:rPr>
              <w:fldChar w:fldCharType="begin"/>
            </w:r>
            <w:r w:rsidR="00475650">
              <w:rPr>
                <w:szCs w:val="21"/>
              </w:rPr>
              <w:instrText xml:space="preserve">  </w:instrText>
            </w:r>
            <w:r>
              <w:rPr>
                <w:szCs w:val="21"/>
              </w:rPr>
              <w:fldChar w:fldCharType="end"/>
            </w:r>
            <w:r>
              <w:rPr>
                <w:szCs w:val="21"/>
              </w:rPr>
              <w:fldChar w:fldCharType="begin"/>
            </w:r>
            <w:r w:rsidR="00475650">
              <w:rPr>
                <w:szCs w:val="21"/>
              </w:rPr>
              <w:instrText xml:space="preserve"> =SUM(ABOVE) </w:instrText>
            </w:r>
            <w:r>
              <w:rPr>
                <w:szCs w:val="21"/>
              </w:rPr>
              <w:fldChar w:fldCharType="separate"/>
            </w:r>
            <w:r w:rsidR="00475650">
              <w:rPr>
                <w:szCs w:val="21"/>
              </w:rPr>
              <w:t>929.36</w:t>
            </w:r>
            <w:r>
              <w:rPr>
                <w:szCs w:val="21"/>
              </w:rPr>
              <w:fldChar w:fldCharType="end"/>
            </w:r>
            <w:r>
              <w:rPr>
                <w:szCs w:val="21"/>
              </w:rPr>
              <w:fldChar w:fldCharType="begin"/>
            </w:r>
            <w:r w:rsidR="00475650">
              <w:rPr>
                <w:szCs w:val="21"/>
              </w:rPr>
              <w:instrText xml:space="preserve">  </w:instrText>
            </w:r>
            <w:r>
              <w:rPr>
                <w:szCs w:val="21"/>
              </w:rPr>
              <w:fldChar w:fldCharType="end"/>
            </w:r>
          </w:p>
        </w:tc>
        <w:tc>
          <w:tcPr>
            <w:tcW w:w="1988" w:type="dxa"/>
            <w:vAlign w:val="center"/>
          </w:tcPr>
          <w:p w:rsidR="00475650" w:rsidRDefault="00475650">
            <w:pPr>
              <w:snapToGrid w:val="0"/>
              <w:spacing w:line="240" w:lineRule="exact"/>
              <w:jc w:val="center"/>
              <w:rPr>
                <w:szCs w:val="21"/>
              </w:rPr>
            </w:pPr>
          </w:p>
        </w:tc>
      </w:tr>
    </w:tbl>
    <w:p w:rsidR="00475650" w:rsidRDefault="00475650">
      <w:pPr>
        <w:tabs>
          <w:tab w:val="left" w:pos="8478"/>
        </w:tabs>
        <w:spacing w:line="360" w:lineRule="auto"/>
        <w:jc w:val="center"/>
        <w:rPr>
          <w:bCs/>
          <w:sz w:val="24"/>
        </w:rPr>
      </w:pPr>
      <w:r>
        <w:rPr>
          <w:rFonts w:hAnsi="宋体"/>
          <w:bCs/>
          <w:sz w:val="24"/>
        </w:rPr>
        <w:t>表</w:t>
      </w:r>
      <w:r>
        <w:rPr>
          <w:bCs/>
          <w:sz w:val="24"/>
        </w:rPr>
        <w:t xml:space="preserve">3.3-8  </w:t>
      </w:r>
      <w:r>
        <w:rPr>
          <w:rFonts w:hAnsi="宋体"/>
          <w:bCs/>
          <w:sz w:val="24"/>
        </w:rPr>
        <w:t>生产工艺氯元素平衡</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476"/>
        <w:gridCol w:w="734"/>
        <w:gridCol w:w="931"/>
        <w:gridCol w:w="1997"/>
        <w:gridCol w:w="974"/>
        <w:gridCol w:w="899"/>
        <w:gridCol w:w="1935"/>
      </w:tblGrid>
      <w:tr w:rsidR="00475650">
        <w:trPr>
          <w:trHeight w:val="217"/>
        </w:trPr>
        <w:tc>
          <w:tcPr>
            <w:tcW w:w="3141" w:type="dxa"/>
            <w:gridSpan w:val="3"/>
            <w:vAlign w:val="center"/>
          </w:tcPr>
          <w:p w:rsidR="00475650" w:rsidRDefault="00475650">
            <w:pPr>
              <w:snapToGrid w:val="0"/>
              <w:spacing w:line="240" w:lineRule="exact"/>
              <w:jc w:val="center"/>
              <w:rPr>
                <w:szCs w:val="21"/>
              </w:rPr>
            </w:pPr>
            <w:r>
              <w:rPr>
                <w:rFonts w:hAnsi="宋体"/>
                <w:szCs w:val="21"/>
              </w:rPr>
              <w:t>输入</w:t>
            </w:r>
          </w:p>
        </w:tc>
        <w:tc>
          <w:tcPr>
            <w:tcW w:w="5805" w:type="dxa"/>
            <w:gridSpan w:val="4"/>
            <w:vAlign w:val="center"/>
          </w:tcPr>
          <w:p w:rsidR="00475650" w:rsidRDefault="00475650">
            <w:pPr>
              <w:snapToGrid w:val="0"/>
              <w:spacing w:line="240" w:lineRule="exact"/>
              <w:jc w:val="center"/>
              <w:rPr>
                <w:szCs w:val="21"/>
              </w:rPr>
            </w:pPr>
            <w:r>
              <w:rPr>
                <w:rFonts w:hAnsi="宋体"/>
                <w:szCs w:val="21"/>
              </w:rPr>
              <w:t>输出</w:t>
            </w:r>
          </w:p>
        </w:tc>
      </w:tr>
      <w:tr w:rsidR="00475650">
        <w:tc>
          <w:tcPr>
            <w:tcW w:w="1476" w:type="dxa"/>
            <w:vAlign w:val="center"/>
          </w:tcPr>
          <w:p w:rsidR="00475650" w:rsidRDefault="00475650">
            <w:pPr>
              <w:snapToGrid w:val="0"/>
              <w:spacing w:line="240" w:lineRule="exact"/>
              <w:jc w:val="center"/>
              <w:rPr>
                <w:szCs w:val="21"/>
              </w:rPr>
            </w:pPr>
            <w:r>
              <w:rPr>
                <w:rFonts w:hAnsi="宋体"/>
                <w:szCs w:val="21"/>
              </w:rPr>
              <w:t>项目</w:t>
            </w:r>
          </w:p>
        </w:tc>
        <w:tc>
          <w:tcPr>
            <w:tcW w:w="734" w:type="dxa"/>
            <w:vAlign w:val="center"/>
          </w:tcPr>
          <w:p w:rsidR="00475650" w:rsidRDefault="00475650">
            <w:pPr>
              <w:snapToGrid w:val="0"/>
              <w:spacing w:line="240" w:lineRule="exact"/>
              <w:jc w:val="center"/>
              <w:rPr>
                <w:szCs w:val="21"/>
              </w:rPr>
            </w:pPr>
            <w:r>
              <w:rPr>
                <w:rFonts w:hAnsi="宋体"/>
                <w:szCs w:val="21"/>
              </w:rPr>
              <w:t>单位</w:t>
            </w:r>
          </w:p>
        </w:tc>
        <w:tc>
          <w:tcPr>
            <w:tcW w:w="931" w:type="dxa"/>
            <w:vAlign w:val="center"/>
          </w:tcPr>
          <w:p w:rsidR="00475650" w:rsidRDefault="00475650">
            <w:pPr>
              <w:snapToGrid w:val="0"/>
              <w:spacing w:line="240" w:lineRule="exact"/>
              <w:rPr>
                <w:szCs w:val="21"/>
              </w:rPr>
            </w:pPr>
            <w:r>
              <w:rPr>
                <w:rFonts w:hAnsi="宋体"/>
                <w:szCs w:val="21"/>
              </w:rPr>
              <w:t>数量</w:t>
            </w:r>
          </w:p>
        </w:tc>
        <w:tc>
          <w:tcPr>
            <w:tcW w:w="1997" w:type="dxa"/>
            <w:vAlign w:val="center"/>
          </w:tcPr>
          <w:p w:rsidR="00475650" w:rsidRDefault="00475650">
            <w:pPr>
              <w:snapToGrid w:val="0"/>
              <w:spacing w:line="240" w:lineRule="exact"/>
              <w:jc w:val="center"/>
              <w:rPr>
                <w:szCs w:val="21"/>
              </w:rPr>
            </w:pPr>
            <w:r>
              <w:rPr>
                <w:rFonts w:hAnsi="宋体"/>
                <w:szCs w:val="21"/>
              </w:rPr>
              <w:t>项目</w:t>
            </w:r>
          </w:p>
        </w:tc>
        <w:tc>
          <w:tcPr>
            <w:tcW w:w="974" w:type="dxa"/>
            <w:vAlign w:val="center"/>
          </w:tcPr>
          <w:p w:rsidR="00475650" w:rsidRDefault="00475650">
            <w:pPr>
              <w:snapToGrid w:val="0"/>
              <w:spacing w:line="240" w:lineRule="exact"/>
              <w:jc w:val="center"/>
              <w:rPr>
                <w:szCs w:val="21"/>
              </w:rPr>
            </w:pPr>
            <w:r>
              <w:rPr>
                <w:rFonts w:hAnsi="宋体"/>
                <w:szCs w:val="21"/>
              </w:rPr>
              <w:t>单位</w:t>
            </w:r>
          </w:p>
        </w:tc>
        <w:tc>
          <w:tcPr>
            <w:tcW w:w="899" w:type="dxa"/>
            <w:vAlign w:val="center"/>
          </w:tcPr>
          <w:p w:rsidR="00475650" w:rsidRDefault="00475650">
            <w:pPr>
              <w:snapToGrid w:val="0"/>
              <w:spacing w:line="240" w:lineRule="exact"/>
              <w:jc w:val="center"/>
              <w:rPr>
                <w:szCs w:val="21"/>
              </w:rPr>
            </w:pPr>
            <w:r>
              <w:rPr>
                <w:rFonts w:hAnsi="宋体"/>
                <w:szCs w:val="21"/>
              </w:rPr>
              <w:t>数量</w:t>
            </w:r>
          </w:p>
        </w:tc>
        <w:tc>
          <w:tcPr>
            <w:tcW w:w="1935" w:type="dxa"/>
            <w:vAlign w:val="center"/>
          </w:tcPr>
          <w:p w:rsidR="00475650" w:rsidRDefault="00475650">
            <w:pPr>
              <w:snapToGrid w:val="0"/>
              <w:spacing w:line="240" w:lineRule="exact"/>
              <w:jc w:val="center"/>
              <w:rPr>
                <w:szCs w:val="21"/>
              </w:rPr>
            </w:pPr>
            <w:r>
              <w:rPr>
                <w:rFonts w:hAnsi="宋体"/>
                <w:szCs w:val="21"/>
              </w:rPr>
              <w:t>备注</w:t>
            </w:r>
          </w:p>
        </w:tc>
      </w:tr>
      <w:tr w:rsidR="00475650">
        <w:tc>
          <w:tcPr>
            <w:tcW w:w="1476" w:type="dxa"/>
            <w:vAlign w:val="center"/>
          </w:tcPr>
          <w:p w:rsidR="00475650" w:rsidRDefault="00475650">
            <w:pPr>
              <w:snapToGrid w:val="0"/>
              <w:spacing w:line="240" w:lineRule="exact"/>
              <w:rPr>
                <w:szCs w:val="21"/>
              </w:rPr>
            </w:pPr>
            <w:r>
              <w:rPr>
                <w:rFonts w:hAnsi="宋体"/>
                <w:szCs w:val="21"/>
              </w:rPr>
              <w:t>浓盐酸含氯</w:t>
            </w:r>
          </w:p>
        </w:tc>
        <w:tc>
          <w:tcPr>
            <w:tcW w:w="734" w:type="dxa"/>
          </w:tcPr>
          <w:p w:rsidR="00475650" w:rsidRDefault="00475650">
            <w:pPr>
              <w:snapToGrid w:val="0"/>
              <w:spacing w:line="240" w:lineRule="exact"/>
              <w:jc w:val="center"/>
              <w:rPr>
                <w:szCs w:val="21"/>
              </w:rPr>
            </w:pPr>
            <w:r>
              <w:rPr>
                <w:szCs w:val="21"/>
              </w:rPr>
              <w:t>t/a</w:t>
            </w:r>
          </w:p>
        </w:tc>
        <w:tc>
          <w:tcPr>
            <w:tcW w:w="931" w:type="dxa"/>
            <w:vAlign w:val="center"/>
          </w:tcPr>
          <w:p w:rsidR="00475650" w:rsidRDefault="00475650">
            <w:pPr>
              <w:snapToGrid w:val="0"/>
              <w:spacing w:line="240" w:lineRule="exact"/>
              <w:jc w:val="center"/>
              <w:rPr>
                <w:szCs w:val="21"/>
              </w:rPr>
            </w:pPr>
            <w:r>
              <w:rPr>
                <w:rFonts w:hint="eastAsia"/>
                <w:szCs w:val="21"/>
              </w:rPr>
              <w:t>952.46</w:t>
            </w:r>
          </w:p>
        </w:tc>
        <w:tc>
          <w:tcPr>
            <w:tcW w:w="1997" w:type="dxa"/>
            <w:vAlign w:val="center"/>
          </w:tcPr>
          <w:p w:rsidR="00475650" w:rsidRDefault="00475650">
            <w:pPr>
              <w:snapToGrid w:val="0"/>
              <w:spacing w:line="240" w:lineRule="exact"/>
              <w:jc w:val="center"/>
              <w:rPr>
                <w:szCs w:val="21"/>
              </w:rPr>
            </w:pPr>
            <w:r>
              <w:rPr>
                <w:rFonts w:hAnsi="宋体"/>
                <w:szCs w:val="21"/>
              </w:rPr>
              <w:t>进入酸性红产品</w:t>
            </w:r>
          </w:p>
        </w:tc>
        <w:tc>
          <w:tcPr>
            <w:tcW w:w="974" w:type="dxa"/>
          </w:tcPr>
          <w:p w:rsidR="00475650" w:rsidRDefault="00475650">
            <w:pPr>
              <w:snapToGrid w:val="0"/>
              <w:spacing w:line="240" w:lineRule="exact"/>
              <w:jc w:val="center"/>
              <w:rPr>
                <w:szCs w:val="21"/>
              </w:rPr>
            </w:pPr>
            <w:r>
              <w:rPr>
                <w:szCs w:val="21"/>
              </w:rPr>
              <w:t>t/a</w:t>
            </w:r>
          </w:p>
        </w:tc>
        <w:tc>
          <w:tcPr>
            <w:tcW w:w="899" w:type="dxa"/>
            <w:vAlign w:val="center"/>
          </w:tcPr>
          <w:p w:rsidR="00475650" w:rsidRDefault="00475650">
            <w:pPr>
              <w:snapToGrid w:val="0"/>
              <w:spacing w:line="240" w:lineRule="exact"/>
              <w:jc w:val="center"/>
              <w:rPr>
                <w:szCs w:val="21"/>
              </w:rPr>
            </w:pPr>
            <w:r>
              <w:rPr>
                <w:szCs w:val="21"/>
              </w:rPr>
              <w:t>18</w:t>
            </w:r>
          </w:p>
        </w:tc>
        <w:tc>
          <w:tcPr>
            <w:tcW w:w="1935" w:type="dxa"/>
            <w:vAlign w:val="center"/>
          </w:tcPr>
          <w:p w:rsidR="00475650" w:rsidRDefault="00475650">
            <w:pPr>
              <w:snapToGrid w:val="0"/>
              <w:spacing w:line="240" w:lineRule="exact"/>
              <w:jc w:val="center"/>
              <w:rPr>
                <w:szCs w:val="21"/>
              </w:rPr>
            </w:pPr>
            <w:r>
              <w:rPr>
                <w:rFonts w:hAnsi="宋体"/>
                <w:szCs w:val="21"/>
              </w:rPr>
              <w:t>以溶解盐形式</w:t>
            </w:r>
          </w:p>
        </w:tc>
      </w:tr>
      <w:tr w:rsidR="00475650">
        <w:tc>
          <w:tcPr>
            <w:tcW w:w="1476" w:type="dxa"/>
            <w:vAlign w:val="center"/>
          </w:tcPr>
          <w:p w:rsidR="00475650" w:rsidRDefault="00475650">
            <w:pPr>
              <w:snapToGrid w:val="0"/>
              <w:spacing w:line="240" w:lineRule="exact"/>
              <w:jc w:val="center"/>
              <w:rPr>
                <w:szCs w:val="21"/>
              </w:rPr>
            </w:pPr>
          </w:p>
        </w:tc>
        <w:tc>
          <w:tcPr>
            <w:tcW w:w="734" w:type="dxa"/>
          </w:tcPr>
          <w:p w:rsidR="00475650" w:rsidRDefault="00475650">
            <w:pPr>
              <w:snapToGrid w:val="0"/>
              <w:spacing w:line="240" w:lineRule="exact"/>
              <w:jc w:val="center"/>
              <w:rPr>
                <w:szCs w:val="21"/>
              </w:rPr>
            </w:pPr>
          </w:p>
        </w:tc>
        <w:tc>
          <w:tcPr>
            <w:tcW w:w="931" w:type="dxa"/>
            <w:vAlign w:val="center"/>
          </w:tcPr>
          <w:p w:rsidR="00475650" w:rsidRDefault="00475650">
            <w:pPr>
              <w:snapToGrid w:val="0"/>
              <w:spacing w:line="240" w:lineRule="exact"/>
              <w:jc w:val="center"/>
              <w:rPr>
                <w:szCs w:val="21"/>
              </w:rPr>
            </w:pPr>
          </w:p>
        </w:tc>
        <w:tc>
          <w:tcPr>
            <w:tcW w:w="1997" w:type="dxa"/>
            <w:vAlign w:val="center"/>
          </w:tcPr>
          <w:p w:rsidR="00475650" w:rsidRDefault="00475650">
            <w:pPr>
              <w:snapToGrid w:val="0"/>
              <w:spacing w:line="240" w:lineRule="exact"/>
              <w:jc w:val="center"/>
              <w:rPr>
                <w:szCs w:val="21"/>
              </w:rPr>
            </w:pPr>
            <w:r>
              <w:rPr>
                <w:rFonts w:hAnsi="宋体"/>
                <w:szCs w:val="21"/>
              </w:rPr>
              <w:t>进入酸性黄产品</w:t>
            </w:r>
          </w:p>
        </w:tc>
        <w:tc>
          <w:tcPr>
            <w:tcW w:w="974" w:type="dxa"/>
          </w:tcPr>
          <w:p w:rsidR="00475650" w:rsidRDefault="00475650">
            <w:pPr>
              <w:snapToGrid w:val="0"/>
              <w:spacing w:line="240" w:lineRule="exact"/>
              <w:jc w:val="center"/>
              <w:rPr>
                <w:szCs w:val="21"/>
              </w:rPr>
            </w:pPr>
            <w:r>
              <w:rPr>
                <w:szCs w:val="21"/>
              </w:rPr>
              <w:t>t/a</w:t>
            </w:r>
          </w:p>
        </w:tc>
        <w:tc>
          <w:tcPr>
            <w:tcW w:w="899" w:type="dxa"/>
            <w:vAlign w:val="center"/>
          </w:tcPr>
          <w:p w:rsidR="00475650" w:rsidRDefault="00475650">
            <w:pPr>
              <w:snapToGrid w:val="0"/>
              <w:spacing w:line="240" w:lineRule="exact"/>
              <w:jc w:val="center"/>
              <w:rPr>
                <w:szCs w:val="21"/>
              </w:rPr>
            </w:pPr>
            <w:r>
              <w:rPr>
                <w:szCs w:val="21"/>
              </w:rPr>
              <w:t>1.2</w:t>
            </w:r>
          </w:p>
        </w:tc>
        <w:tc>
          <w:tcPr>
            <w:tcW w:w="1935" w:type="dxa"/>
            <w:vAlign w:val="center"/>
          </w:tcPr>
          <w:p w:rsidR="00475650" w:rsidRDefault="00475650">
            <w:pPr>
              <w:snapToGrid w:val="0"/>
              <w:spacing w:line="240" w:lineRule="exact"/>
              <w:jc w:val="center"/>
              <w:rPr>
                <w:szCs w:val="21"/>
              </w:rPr>
            </w:pPr>
            <w:r>
              <w:rPr>
                <w:rFonts w:hAnsi="宋体"/>
                <w:szCs w:val="21"/>
              </w:rPr>
              <w:t>以溶解盐形式</w:t>
            </w:r>
          </w:p>
        </w:tc>
      </w:tr>
      <w:tr w:rsidR="00475650">
        <w:tc>
          <w:tcPr>
            <w:tcW w:w="1476" w:type="dxa"/>
            <w:vAlign w:val="center"/>
          </w:tcPr>
          <w:p w:rsidR="00475650" w:rsidRDefault="00475650">
            <w:pPr>
              <w:snapToGrid w:val="0"/>
              <w:spacing w:line="240" w:lineRule="exact"/>
              <w:jc w:val="center"/>
              <w:rPr>
                <w:szCs w:val="21"/>
              </w:rPr>
            </w:pPr>
          </w:p>
        </w:tc>
        <w:tc>
          <w:tcPr>
            <w:tcW w:w="734" w:type="dxa"/>
          </w:tcPr>
          <w:p w:rsidR="00475650" w:rsidRDefault="00475650">
            <w:pPr>
              <w:snapToGrid w:val="0"/>
              <w:spacing w:line="240" w:lineRule="exact"/>
              <w:jc w:val="center"/>
              <w:rPr>
                <w:szCs w:val="21"/>
              </w:rPr>
            </w:pPr>
          </w:p>
        </w:tc>
        <w:tc>
          <w:tcPr>
            <w:tcW w:w="931" w:type="dxa"/>
            <w:vAlign w:val="center"/>
          </w:tcPr>
          <w:p w:rsidR="00475650" w:rsidRDefault="00475650">
            <w:pPr>
              <w:snapToGrid w:val="0"/>
              <w:spacing w:line="240" w:lineRule="exact"/>
              <w:jc w:val="center"/>
              <w:rPr>
                <w:szCs w:val="21"/>
              </w:rPr>
            </w:pPr>
          </w:p>
        </w:tc>
        <w:tc>
          <w:tcPr>
            <w:tcW w:w="1997" w:type="dxa"/>
            <w:vAlign w:val="center"/>
          </w:tcPr>
          <w:p w:rsidR="00475650" w:rsidRDefault="00475650">
            <w:pPr>
              <w:snapToGrid w:val="0"/>
              <w:spacing w:line="240" w:lineRule="exact"/>
              <w:jc w:val="center"/>
              <w:rPr>
                <w:szCs w:val="21"/>
              </w:rPr>
            </w:pPr>
            <w:r>
              <w:rPr>
                <w:rFonts w:hAnsi="宋体"/>
                <w:szCs w:val="21"/>
              </w:rPr>
              <w:t>进入废水</w:t>
            </w:r>
          </w:p>
        </w:tc>
        <w:tc>
          <w:tcPr>
            <w:tcW w:w="974" w:type="dxa"/>
          </w:tcPr>
          <w:p w:rsidR="00475650" w:rsidRDefault="00475650">
            <w:pPr>
              <w:snapToGrid w:val="0"/>
              <w:spacing w:line="240" w:lineRule="exact"/>
              <w:jc w:val="center"/>
              <w:rPr>
                <w:szCs w:val="21"/>
              </w:rPr>
            </w:pPr>
            <w:r>
              <w:rPr>
                <w:szCs w:val="21"/>
              </w:rPr>
              <w:t>t/a</w:t>
            </w:r>
          </w:p>
        </w:tc>
        <w:tc>
          <w:tcPr>
            <w:tcW w:w="899" w:type="dxa"/>
            <w:vAlign w:val="center"/>
          </w:tcPr>
          <w:p w:rsidR="00475650" w:rsidRDefault="00475650">
            <w:pPr>
              <w:snapToGrid w:val="0"/>
              <w:spacing w:line="240" w:lineRule="exact"/>
              <w:jc w:val="center"/>
              <w:rPr>
                <w:szCs w:val="21"/>
              </w:rPr>
            </w:pPr>
            <w:r>
              <w:rPr>
                <w:rFonts w:hint="eastAsia"/>
                <w:szCs w:val="21"/>
              </w:rPr>
              <w:t>928.13</w:t>
            </w:r>
          </w:p>
        </w:tc>
        <w:tc>
          <w:tcPr>
            <w:tcW w:w="1935" w:type="dxa"/>
            <w:vAlign w:val="center"/>
          </w:tcPr>
          <w:p w:rsidR="00475650" w:rsidRDefault="00475650">
            <w:pPr>
              <w:snapToGrid w:val="0"/>
              <w:spacing w:line="240" w:lineRule="exact"/>
              <w:jc w:val="center"/>
              <w:rPr>
                <w:szCs w:val="21"/>
              </w:rPr>
            </w:pPr>
            <w:r>
              <w:rPr>
                <w:rFonts w:hAnsi="宋体"/>
                <w:szCs w:val="21"/>
              </w:rPr>
              <w:t>以溶解盐形式</w:t>
            </w:r>
          </w:p>
        </w:tc>
      </w:tr>
      <w:tr w:rsidR="00475650">
        <w:tc>
          <w:tcPr>
            <w:tcW w:w="1476" w:type="dxa"/>
            <w:vAlign w:val="center"/>
          </w:tcPr>
          <w:p w:rsidR="00475650" w:rsidRDefault="00475650">
            <w:pPr>
              <w:snapToGrid w:val="0"/>
              <w:spacing w:line="240" w:lineRule="exact"/>
              <w:jc w:val="center"/>
              <w:rPr>
                <w:szCs w:val="21"/>
              </w:rPr>
            </w:pPr>
          </w:p>
        </w:tc>
        <w:tc>
          <w:tcPr>
            <w:tcW w:w="734" w:type="dxa"/>
          </w:tcPr>
          <w:p w:rsidR="00475650" w:rsidRDefault="00475650">
            <w:pPr>
              <w:snapToGrid w:val="0"/>
              <w:spacing w:line="240" w:lineRule="exact"/>
              <w:jc w:val="center"/>
              <w:rPr>
                <w:szCs w:val="21"/>
              </w:rPr>
            </w:pPr>
          </w:p>
        </w:tc>
        <w:tc>
          <w:tcPr>
            <w:tcW w:w="931" w:type="dxa"/>
            <w:vAlign w:val="center"/>
          </w:tcPr>
          <w:p w:rsidR="00475650" w:rsidRDefault="00475650">
            <w:pPr>
              <w:snapToGrid w:val="0"/>
              <w:spacing w:line="240" w:lineRule="exact"/>
              <w:jc w:val="center"/>
              <w:rPr>
                <w:szCs w:val="21"/>
              </w:rPr>
            </w:pPr>
          </w:p>
        </w:tc>
        <w:tc>
          <w:tcPr>
            <w:tcW w:w="1997" w:type="dxa"/>
            <w:vAlign w:val="center"/>
          </w:tcPr>
          <w:p w:rsidR="00475650" w:rsidRDefault="00475650">
            <w:pPr>
              <w:snapToGrid w:val="0"/>
              <w:spacing w:line="240" w:lineRule="exact"/>
              <w:jc w:val="center"/>
              <w:rPr>
                <w:szCs w:val="21"/>
              </w:rPr>
            </w:pPr>
            <w:r>
              <w:rPr>
                <w:rFonts w:hAnsi="宋体"/>
                <w:szCs w:val="21"/>
              </w:rPr>
              <w:t>废气损失</w:t>
            </w:r>
          </w:p>
        </w:tc>
        <w:tc>
          <w:tcPr>
            <w:tcW w:w="974" w:type="dxa"/>
          </w:tcPr>
          <w:p w:rsidR="00475650" w:rsidRDefault="00475650">
            <w:pPr>
              <w:snapToGrid w:val="0"/>
              <w:spacing w:line="240" w:lineRule="exact"/>
              <w:jc w:val="center"/>
              <w:rPr>
                <w:szCs w:val="21"/>
              </w:rPr>
            </w:pPr>
            <w:r>
              <w:rPr>
                <w:szCs w:val="21"/>
              </w:rPr>
              <w:t>t/a</w:t>
            </w:r>
          </w:p>
        </w:tc>
        <w:tc>
          <w:tcPr>
            <w:tcW w:w="899" w:type="dxa"/>
            <w:vAlign w:val="center"/>
          </w:tcPr>
          <w:p w:rsidR="00475650" w:rsidRDefault="00475650">
            <w:pPr>
              <w:snapToGrid w:val="0"/>
              <w:spacing w:line="240" w:lineRule="exact"/>
              <w:jc w:val="center"/>
              <w:rPr>
                <w:szCs w:val="21"/>
              </w:rPr>
            </w:pPr>
            <w:r>
              <w:rPr>
                <w:rFonts w:hint="eastAsia"/>
                <w:szCs w:val="21"/>
              </w:rPr>
              <w:t>5.13</w:t>
            </w:r>
          </w:p>
        </w:tc>
        <w:tc>
          <w:tcPr>
            <w:tcW w:w="1935" w:type="dxa"/>
            <w:vAlign w:val="center"/>
          </w:tcPr>
          <w:p w:rsidR="00475650" w:rsidRDefault="00475650">
            <w:pPr>
              <w:snapToGrid w:val="0"/>
              <w:spacing w:line="240" w:lineRule="exact"/>
              <w:jc w:val="center"/>
              <w:rPr>
                <w:szCs w:val="21"/>
              </w:rPr>
            </w:pPr>
            <w:r>
              <w:rPr>
                <w:rFonts w:hAnsi="宋体"/>
                <w:szCs w:val="21"/>
              </w:rPr>
              <w:t>进入废气</w:t>
            </w:r>
          </w:p>
        </w:tc>
      </w:tr>
      <w:tr w:rsidR="00475650">
        <w:trPr>
          <w:trHeight w:val="249"/>
        </w:trPr>
        <w:tc>
          <w:tcPr>
            <w:tcW w:w="1476" w:type="dxa"/>
            <w:vAlign w:val="center"/>
          </w:tcPr>
          <w:p w:rsidR="00475650" w:rsidRDefault="00475650">
            <w:pPr>
              <w:snapToGrid w:val="0"/>
              <w:spacing w:line="240" w:lineRule="exact"/>
              <w:jc w:val="center"/>
              <w:rPr>
                <w:szCs w:val="21"/>
              </w:rPr>
            </w:pPr>
            <w:r>
              <w:rPr>
                <w:rFonts w:hAnsi="宋体"/>
                <w:szCs w:val="21"/>
              </w:rPr>
              <w:t>合计</w:t>
            </w:r>
          </w:p>
        </w:tc>
        <w:tc>
          <w:tcPr>
            <w:tcW w:w="734" w:type="dxa"/>
          </w:tcPr>
          <w:p w:rsidR="00475650" w:rsidRDefault="00475650">
            <w:pPr>
              <w:snapToGrid w:val="0"/>
              <w:spacing w:line="240" w:lineRule="exact"/>
              <w:jc w:val="center"/>
              <w:rPr>
                <w:szCs w:val="21"/>
              </w:rPr>
            </w:pPr>
            <w:r>
              <w:rPr>
                <w:szCs w:val="21"/>
              </w:rPr>
              <w:t>t/a</w:t>
            </w:r>
          </w:p>
        </w:tc>
        <w:tc>
          <w:tcPr>
            <w:tcW w:w="931" w:type="dxa"/>
            <w:vAlign w:val="center"/>
          </w:tcPr>
          <w:p w:rsidR="00475650" w:rsidRDefault="006F27A1">
            <w:pPr>
              <w:snapToGrid w:val="0"/>
              <w:spacing w:line="240" w:lineRule="exact"/>
              <w:jc w:val="center"/>
              <w:rPr>
                <w:szCs w:val="21"/>
              </w:rPr>
            </w:pPr>
            <w:r>
              <w:rPr>
                <w:szCs w:val="21"/>
              </w:rPr>
              <w:fldChar w:fldCharType="begin"/>
            </w:r>
            <w:r w:rsidR="00475650">
              <w:rPr>
                <w:szCs w:val="21"/>
              </w:rPr>
              <w:instrText xml:space="preserve"> =SUM(ABOVE) </w:instrText>
            </w:r>
            <w:r>
              <w:rPr>
                <w:szCs w:val="21"/>
              </w:rPr>
              <w:fldChar w:fldCharType="separate"/>
            </w:r>
            <w:r w:rsidR="00475650">
              <w:rPr>
                <w:szCs w:val="21"/>
              </w:rPr>
              <w:t>952.46</w:t>
            </w:r>
            <w:r>
              <w:rPr>
                <w:szCs w:val="21"/>
              </w:rPr>
              <w:fldChar w:fldCharType="end"/>
            </w:r>
          </w:p>
        </w:tc>
        <w:tc>
          <w:tcPr>
            <w:tcW w:w="1997" w:type="dxa"/>
            <w:vAlign w:val="center"/>
          </w:tcPr>
          <w:p w:rsidR="00475650" w:rsidRDefault="00475650">
            <w:pPr>
              <w:snapToGrid w:val="0"/>
              <w:spacing w:line="240" w:lineRule="exact"/>
              <w:jc w:val="center"/>
              <w:rPr>
                <w:szCs w:val="21"/>
              </w:rPr>
            </w:pPr>
            <w:r>
              <w:rPr>
                <w:rFonts w:hAnsi="宋体"/>
                <w:szCs w:val="21"/>
              </w:rPr>
              <w:t>合计</w:t>
            </w:r>
          </w:p>
        </w:tc>
        <w:tc>
          <w:tcPr>
            <w:tcW w:w="974" w:type="dxa"/>
          </w:tcPr>
          <w:p w:rsidR="00475650" w:rsidRDefault="00475650">
            <w:pPr>
              <w:snapToGrid w:val="0"/>
              <w:spacing w:line="240" w:lineRule="exact"/>
              <w:jc w:val="center"/>
              <w:rPr>
                <w:szCs w:val="21"/>
              </w:rPr>
            </w:pPr>
            <w:r>
              <w:rPr>
                <w:szCs w:val="21"/>
              </w:rPr>
              <w:t>t/a</w:t>
            </w:r>
          </w:p>
        </w:tc>
        <w:tc>
          <w:tcPr>
            <w:tcW w:w="899" w:type="dxa"/>
            <w:vAlign w:val="center"/>
          </w:tcPr>
          <w:p w:rsidR="00475650" w:rsidRDefault="006F27A1">
            <w:pPr>
              <w:snapToGrid w:val="0"/>
              <w:spacing w:line="240" w:lineRule="exact"/>
              <w:jc w:val="center"/>
              <w:rPr>
                <w:szCs w:val="21"/>
              </w:rPr>
            </w:pPr>
            <w:r>
              <w:rPr>
                <w:szCs w:val="21"/>
              </w:rPr>
              <w:fldChar w:fldCharType="begin"/>
            </w:r>
            <w:r w:rsidR="00475650">
              <w:rPr>
                <w:szCs w:val="21"/>
              </w:rPr>
              <w:instrText xml:space="preserve"> =SUM(ABOVE) </w:instrText>
            </w:r>
            <w:r>
              <w:rPr>
                <w:szCs w:val="21"/>
              </w:rPr>
              <w:fldChar w:fldCharType="separate"/>
            </w:r>
            <w:r w:rsidR="00475650">
              <w:rPr>
                <w:szCs w:val="21"/>
              </w:rPr>
              <w:t>952.46</w:t>
            </w:r>
            <w:r>
              <w:rPr>
                <w:szCs w:val="21"/>
              </w:rPr>
              <w:fldChar w:fldCharType="end"/>
            </w:r>
          </w:p>
        </w:tc>
        <w:tc>
          <w:tcPr>
            <w:tcW w:w="1935" w:type="dxa"/>
            <w:vAlign w:val="center"/>
          </w:tcPr>
          <w:p w:rsidR="00475650" w:rsidRDefault="00475650">
            <w:pPr>
              <w:snapToGrid w:val="0"/>
              <w:spacing w:line="240" w:lineRule="exact"/>
              <w:jc w:val="center"/>
              <w:rPr>
                <w:szCs w:val="21"/>
              </w:rPr>
            </w:pPr>
          </w:p>
        </w:tc>
      </w:tr>
    </w:tbl>
    <w:p w:rsidR="00475650" w:rsidRDefault="00475650">
      <w:pPr>
        <w:rPr>
          <w:sz w:val="24"/>
        </w:rPr>
      </w:pPr>
    </w:p>
    <w:p w:rsidR="00475650" w:rsidRDefault="00475650">
      <w:pPr>
        <w:rPr>
          <w:sz w:val="24"/>
        </w:rPr>
        <w:sectPr w:rsidR="00475650">
          <w:headerReference w:type="even" r:id="rId36"/>
          <w:headerReference w:type="default" r:id="rId37"/>
          <w:footerReference w:type="even" r:id="rId38"/>
          <w:footerReference w:type="default" r:id="rId39"/>
          <w:headerReference w:type="first" r:id="rId40"/>
          <w:footerReference w:type="first" r:id="rId41"/>
          <w:pgSz w:w="11906" w:h="16838"/>
          <w:pgMar w:top="1588" w:right="1588" w:bottom="1588" w:left="1588" w:header="851" w:footer="992" w:gutter="0"/>
          <w:paperSrc w:first="7" w:other="7"/>
          <w:cols w:space="720"/>
          <w:docGrid w:linePitch="312"/>
        </w:sectPr>
      </w:pPr>
    </w:p>
    <w:p w:rsidR="00475650" w:rsidRDefault="00475650">
      <w:pPr>
        <w:spacing w:line="360" w:lineRule="auto"/>
        <w:ind w:firstLineChars="25" w:firstLine="60"/>
        <w:jc w:val="center"/>
        <w:rPr>
          <w:sz w:val="24"/>
        </w:rPr>
      </w:pPr>
    </w:p>
    <w:p w:rsidR="00475650" w:rsidRDefault="00475650">
      <w:pPr>
        <w:spacing w:line="360" w:lineRule="auto"/>
        <w:ind w:firstLineChars="25" w:firstLine="60"/>
        <w:jc w:val="center"/>
        <w:rPr>
          <w:sz w:val="24"/>
        </w:rPr>
      </w:pPr>
    </w:p>
    <w:p w:rsidR="00475650" w:rsidRDefault="006F27A1">
      <w:pPr>
        <w:spacing w:line="360" w:lineRule="auto"/>
        <w:ind w:firstLineChars="25" w:firstLine="60"/>
        <w:jc w:val="center"/>
        <w:rPr>
          <w:sz w:val="24"/>
        </w:rPr>
      </w:pPr>
      <w:r>
        <w:rPr>
          <w:sz w:val="24"/>
        </w:rPr>
      </w:r>
      <w:r>
        <w:rPr>
          <w:sz w:val="24"/>
        </w:rPr>
        <w:pict>
          <v:group id="画布 19862" o:spid="_x0000_s21910" editas="canvas" style="width:675.35pt;height:295.25pt;mso-position-horizontal-relative:char;mso-position-vertical-relative:line" coordorigin="-2112,6132" coordsize="13507,5905">
            <o:lock v:ext="edit" aspectratio="t" text="t"/>
            <o:diagram v:ext="edit" dgmstyle="0" dgmscalex="0" dgmscaley="0"/>
            <v:shape id="_x0000_s21911" type="#_x0000_t75" style="position:absolute;left:-2112;top:6132;width:13507;height:5905" o:preferrelative="f">
              <v:path o:extrusionok="t"/>
              <o:lock v:ext="edit" rotation="t" text="t"/>
              <o:diagram v:ext="edit" dgmstyle="0" dgmscalex="0" dgmscaley="0"/>
            </v:shape>
            <v:rect id="矩形 19864" o:spid="_x0000_s21912" style="position:absolute;left:-1943;top:7111;width:2754;height:811" filled="f" fillcolor="#030" stroked="f">
              <v:textbox>
                <w:txbxContent>
                  <w:p w:rsidR="00BD74CB" w:rsidRDefault="00BD74CB">
                    <w:pPr>
                      <w:rPr>
                        <w:sz w:val="18"/>
                        <w:szCs w:val="18"/>
                      </w:rPr>
                    </w:pPr>
                    <w:r>
                      <w:rPr>
                        <w:rFonts w:hint="eastAsia"/>
                        <w:sz w:val="18"/>
                        <w:szCs w:val="18"/>
                      </w:rPr>
                      <w:t>2,5</w:t>
                    </w:r>
                    <w:r>
                      <w:rPr>
                        <w:rFonts w:hint="eastAsia"/>
                        <w:sz w:val="18"/>
                        <w:szCs w:val="18"/>
                      </w:rPr>
                      <w:t>二氨基苯磺酸：</w:t>
                    </w:r>
                    <w:r>
                      <w:rPr>
                        <w:rFonts w:hint="eastAsia"/>
                        <w:sz w:val="18"/>
                        <w:szCs w:val="18"/>
                      </w:rPr>
                      <w:t>1523.26</w:t>
                    </w:r>
                    <w:r>
                      <w:rPr>
                        <w:rFonts w:hint="eastAsia"/>
                        <w:sz w:val="18"/>
                        <w:szCs w:val="18"/>
                      </w:rPr>
                      <w:t>；</w:t>
                    </w:r>
                  </w:p>
                  <w:p w:rsidR="00BD74CB" w:rsidRDefault="00BD74CB">
                    <w:pPr>
                      <w:rPr>
                        <w:sz w:val="18"/>
                        <w:szCs w:val="18"/>
                      </w:rPr>
                    </w:pPr>
                    <w:r>
                      <w:rPr>
                        <w:rFonts w:hint="eastAsia"/>
                        <w:sz w:val="18"/>
                        <w:szCs w:val="18"/>
                      </w:rPr>
                      <w:t>水：</w:t>
                    </w:r>
                    <w:r>
                      <w:rPr>
                        <w:rFonts w:hint="eastAsia"/>
                        <w:sz w:val="18"/>
                        <w:szCs w:val="18"/>
                      </w:rPr>
                      <w:t>5000</w:t>
                    </w:r>
                    <w:r>
                      <w:rPr>
                        <w:rFonts w:hint="eastAsia"/>
                        <w:sz w:val="18"/>
                        <w:szCs w:val="18"/>
                      </w:rPr>
                      <w:t>；碳酸钠：</w:t>
                    </w:r>
                    <w:r>
                      <w:rPr>
                        <w:rFonts w:hint="eastAsia"/>
                        <w:sz w:val="18"/>
                        <w:szCs w:val="18"/>
                      </w:rPr>
                      <w:t>485.87</w:t>
                    </w:r>
                    <w:r>
                      <w:rPr>
                        <w:rFonts w:hint="eastAsia"/>
                        <w:sz w:val="18"/>
                        <w:szCs w:val="18"/>
                      </w:rPr>
                      <w:t>；</w:t>
                    </w:r>
                  </w:p>
                  <w:p w:rsidR="00BD74CB" w:rsidRDefault="00BD74CB">
                    <w:pPr>
                      <w:rPr>
                        <w:sz w:val="18"/>
                        <w:szCs w:val="18"/>
                      </w:rPr>
                    </w:pPr>
                    <w:r>
                      <w:rPr>
                        <w:rFonts w:hint="eastAsia"/>
                        <w:sz w:val="18"/>
                        <w:szCs w:val="18"/>
                      </w:rPr>
                      <w:t>乙酸酐：</w:t>
                    </w:r>
                    <w:r>
                      <w:rPr>
                        <w:rFonts w:hint="eastAsia"/>
                        <w:sz w:val="18"/>
                        <w:szCs w:val="18"/>
                      </w:rPr>
                      <w:t>863.41</w:t>
                    </w:r>
                    <w:r>
                      <w:rPr>
                        <w:rFonts w:hint="eastAsia"/>
                        <w:sz w:val="18"/>
                        <w:szCs w:val="18"/>
                      </w:rPr>
                      <w:t>，冰块</w:t>
                    </w:r>
                    <w:r>
                      <w:rPr>
                        <w:rFonts w:hint="eastAsia"/>
                        <w:sz w:val="18"/>
                        <w:szCs w:val="18"/>
                      </w:rPr>
                      <w:t>10000</w:t>
                    </w:r>
                  </w:p>
                </w:txbxContent>
              </v:textbox>
            </v:rect>
            <v:rect id="矩形 19865" o:spid="_x0000_s21913" style="position:absolute;left:1246;top:7200;width:1726;height:510">
              <v:textbox>
                <w:txbxContent>
                  <w:p w:rsidR="00BD74CB" w:rsidRDefault="00BD74CB">
                    <w:pPr>
                      <w:ind w:firstLineChars="100" w:firstLine="210"/>
                    </w:pPr>
                    <w:r>
                      <w:rPr>
                        <w:rFonts w:hint="eastAsia"/>
                      </w:rPr>
                      <w:t>酰化反应釜</w:t>
                    </w:r>
                  </w:p>
                </w:txbxContent>
              </v:textbox>
            </v:rect>
            <v:line id="直线 19866" o:spid="_x0000_s21914" style="position:absolute" from="704,7446" to="1244,7447">
              <v:stroke endarrow="block"/>
            </v:line>
            <v:rect id="矩形 19867" o:spid="_x0000_s21915" style="position:absolute;left:2880;top:7096;width:1574;height:374" filled="f" fillcolor="#030" stroked="f">
              <v:textbox>
                <w:txbxContent>
                  <w:p w:rsidR="00BD74CB" w:rsidRDefault="00BD74CB">
                    <w:pPr>
                      <w:rPr>
                        <w:sz w:val="18"/>
                        <w:szCs w:val="18"/>
                      </w:rPr>
                    </w:pPr>
                    <w:r>
                      <w:rPr>
                        <w:rFonts w:hint="eastAsia"/>
                        <w:sz w:val="18"/>
                        <w:szCs w:val="18"/>
                      </w:rPr>
                      <w:t>酰化液</w:t>
                    </w:r>
                    <w:r>
                      <w:rPr>
                        <w:rFonts w:hint="eastAsia"/>
                        <w:sz w:val="18"/>
                        <w:szCs w:val="18"/>
                      </w:rPr>
                      <w:t>17674.89</w:t>
                    </w:r>
                  </w:p>
                </w:txbxContent>
              </v:textbox>
            </v:rect>
            <v:rect id="矩形 19868" o:spid="_x0000_s21916" style="position:absolute;left:4438;top:7220;width:1726;height:510">
              <v:textbox>
                <w:txbxContent>
                  <w:p w:rsidR="00BD74CB" w:rsidRDefault="00BD74CB">
                    <w:pPr>
                      <w:ind w:firstLineChars="100" w:firstLine="210"/>
                    </w:pPr>
                    <w:r>
                      <w:rPr>
                        <w:rFonts w:hint="eastAsia"/>
                      </w:rPr>
                      <w:t>重氮反应釜</w:t>
                    </w:r>
                  </w:p>
                </w:txbxContent>
              </v:textbox>
            </v:rect>
            <v:rect id="矩形 19869" o:spid="_x0000_s21917" style="position:absolute;left:3773;top:6213;width:1769;height:745" filled="f" fillcolor="#030" stroked="f">
              <v:textbox>
                <w:txbxContent>
                  <w:p w:rsidR="00BD74CB" w:rsidRDefault="00BD74CB">
                    <w:pPr>
                      <w:rPr>
                        <w:sz w:val="18"/>
                        <w:szCs w:val="18"/>
                      </w:rPr>
                    </w:pPr>
                    <w:r>
                      <w:rPr>
                        <w:rFonts w:hint="eastAsia"/>
                        <w:sz w:val="18"/>
                        <w:szCs w:val="18"/>
                      </w:rPr>
                      <w:t>浓盐酸：</w:t>
                    </w:r>
                    <w:r>
                      <w:rPr>
                        <w:rFonts w:hint="eastAsia"/>
                        <w:sz w:val="18"/>
                        <w:szCs w:val="18"/>
                      </w:rPr>
                      <w:t>1884.19</w:t>
                    </w:r>
                    <w:r>
                      <w:rPr>
                        <w:rFonts w:hint="eastAsia"/>
                        <w:sz w:val="18"/>
                        <w:szCs w:val="18"/>
                      </w:rPr>
                      <w:t>；</w:t>
                    </w:r>
                    <w:r>
                      <w:rPr>
                        <w:rFonts w:hint="eastAsia"/>
                        <w:sz w:val="18"/>
                        <w:szCs w:val="18"/>
                      </w:rPr>
                      <w:t xml:space="preserve"> </w:t>
                    </w:r>
                  </w:p>
                  <w:p w:rsidR="00BD74CB" w:rsidRDefault="00BD74CB">
                    <w:pPr>
                      <w:rPr>
                        <w:sz w:val="18"/>
                        <w:szCs w:val="18"/>
                      </w:rPr>
                    </w:pPr>
                    <w:r>
                      <w:rPr>
                        <w:rFonts w:hint="eastAsia"/>
                        <w:sz w:val="18"/>
                        <w:szCs w:val="18"/>
                      </w:rPr>
                      <w:t>亚硝酸钠：</w:t>
                    </w:r>
                    <w:r>
                      <w:rPr>
                        <w:rFonts w:hint="eastAsia"/>
                        <w:sz w:val="18"/>
                        <w:szCs w:val="18"/>
                      </w:rPr>
                      <w:t>563.36</w:t>
                    </w:r>
                    <w:r>
                      <w:rPr>
                        <w:rFonts w:hint="eastAsia"/>
                        <w:sz w:val="18"/>
                        <w:szCs w:val="18"/>
                      </w:rPr>
                      <w:t>；</w:t>
                    </w:r>
                  </w:p>
                </w:txbxContent>
              </v:textbox>
            </v:rect>
            <v:rect id="矩形 19870" o:spid="_x0000_s21918" style="position:absolute;left:4794;top:7716;width:1708;height:465" filled="f" fillcolor="#030" stroked="f">
              <v:textbox>
                <w:txbxContent>
                  <w:p w:rsidR="00BD74CB" w:rsidRDefault="00BD74CB">
                    <w:pPr>
                      <w:rPr>
                        <w:sz w:val="18"/>
                        <w:szCs w:val="18"/>
                      </w:rPr>
                    </w:pPr>
                    <w:r>
                      <w:rPr>
                        <w:rFonts w:hint="eastAsia"/>
                        <w:sz w:val="18"/>
                        <w:szCs w:val="18"/>
                      </w:rPr>
                      <w:t>重氮液</w:t>
                    </w:r>
                    <w:r>
                      <w:rPr>
                        <w:rFonts w:hint="eastAsia"/>
                        <w:sz w:val="18"/>
                        <w:szCs w:val="18"/>
                      </w:rPr>
                      <w:t>60109.32</w:t>
                    </w:r>
                  </w:p>
                </w:txbxContent>
              </v:textbox>
            </v:rect>
            <v:rect id="矩形 19871" o:spid="_x0000_s21919" style="position:absolute;left:4410;top:8556;width:1726;height:510">
              <v:textbox>
                <w:txbxContent>
                  <w:p w:rsidR="00BD74CB" w:rsidRDefault="00BD74CB">
                    <w:pPr>
                      <w:ind w:firstLineChars="100" w:firstLine="210"/>
                    </w:pPr>
                    <w:r>
                      <w:rPr>
                        <w:rFonts w:hint="eastAsia"/>
                      </w:rPr>
                      <w:t>偶合反应釜</w:t>
                    </w:r>
                  </w:p>
                </w:txbxContent>
              </v:textbox>
            </v:rect>
            <v:line id="直线 19872" o:spid="_x0000_s21920" style="position:absolute" from="2996,7436" to="4390,7436">
              <v:stroke endarrow="block"/>
            </v:line>
            <v:line id="直线 19873" o:spid="_x0000_s21921" style="position:absolute;flip:y" from="2052,6718" to="2052,7198">
              <v:stroke endarrow="block"/>
            </v:line>
            <v:rect id="矩形 19874" o:spid="_x0000_s21922" style="position:absolute;left:824;top:6346;width:2296;height:452" filled="f" fillcolor="#030" stroked="f">
              <v:textbox>
                <w:txbxContent>
                  <w:p w:rsidR="00BD74CB" w:rsidRDefault="00BD74CB">
                    <w:pPr>
                      <w:rPr>
                        <w:sz w:val="18"/>
                        <w:szCs w:val="18"/>
                      </w:rPr>
                    </w:pPr>
                    <w:r>
                      <w:rPr>
                        <w:rFonts w:hint="eastAsia"/>
                        <w:sz w:val="18"/>
                        <w:szCs w:val="18"/>
                      </w:rPr>
                      <w:t>G1</w:t>
                    </w:r>
                    <w:r>
                      <w:rPr>
                        <w:rFonts w:hint="eastAsia"/>
                        <w:sz w:val="18"/>
                        <w:szCs w:val="18"/>
                      </w:rPr>
                      <w:t>：二氧化碳</w:t>
                    </w:r>
                    <w:r>
                      <w:rPr>
                        <w:rFonts w:hint="eastAsia"/>
                        <w:sz w:val="18"/>
                        <w:szCs w:val="18"/>
                      </w:rPr>
                      <w:t>197.65</w:t>
                    </w:r>
                  </w:p>
                  <w:p w:rsidR="00BD74CB" w:rsidRDefault="00BD74CB">
                    <w:pPr>
                      <w:rPr>
                        <w:sz w:val="18"/>
                        <w:szCs w:val="18"/>
                      </w:rPr>
                    </w:pPr>
                  </w:p>
                </w:txbxContent>
              </v:textbox>
            </v:rect>
            <v:line id="直线 19875" o:spid="_x0000_s21923" style="position:absolute" from="4780,6822" to="4780,7198">
              <v:stroke endarrow="block"/>
            </v:line>
            <v:line id="直线 19876" o:spid="_x0000_s21924" style="position:absolute;flip:y" from="5710,6508" to="5710,7212"/>
            <v:line id="直线 19877" o:spid="_x0000_s21925" style="position:absolute" from="5710,6508" to="5996,6508">
              <v:stroke endarrow="block"/>
            </v:line>
            <v:rect id="矩形 19878" o:spid="_x0000_s21926" style="position:absolute;left:6722;top:7144;width:1718;height:602" filled="f" fillcolor="#030" stroked="f">
              <v:textbox>
                <w:txbxContent>
                  <w:p w:rsidR="00BD74CB" w:rsidRDefault="00BD74CB">
                    <w:pPr>
                      <w:rPr>
                        <w:sz w:val="18"/>
                        <w:szCs w:val="18"/>
                      </w:rPr>
                    </w:pPr>
                    <w:r>
                      <w:rPr>
                        <w:rFonts w:hint="eastAsia"/>
                        <w:sz w:val="18"/>
                        <w:szCs w:val="18"/>
                      </w:rPr>
                      <w:t>尿素：</w:t>
                    </w:r>
                    <w:r>
                      <w:rPr>
                        <w:rFonts w:hint="eastAsia"/>
                        <w:sz w:val="18"/>
                        <w:szCs w:val="18"/>
                      </w:rPr>
                      <w:t>17.15</w:t>
                    </w:r>
                    <w:r>
                      <w:rPr>
                        <w:rFonts w:hint="eastAsia"/>
                        <w:sz w:val="18"/>
                        <w:szCs w:val="18"/>
                      </w:rPr>
                      <w:t>；</w:t>
                    </w:r>
                  </w:p>
                  <w:p w:rsidR="00BD74CB" w:rsidRDefault="00BD74CB">
                    <w:pPr>
                      <w:rPr>
                        <w:sz w:val="18"/>
                        <w:szCs w:val="18"/>
                      </w:rPr>
                    </w:pPr>
                    <w:r>
                      <w:rPr>
                        <w:rFonts w:hint="eastAsia"/>
                        <w:sz w:val="18"/>
                        <w:szCs w:val="18"/>
                      </w:rPr>
                      <w:t>冰块：</w:t>
                    </w:r>
                    <w:r>
                      <w:rPr>
                        <w:rFonts w:hint="eastAsia"/>
                        <w:sz w:val="18"/>
                        <w:szCs w:val="18"/>
                      </w:rPr>
                      <w:t>40000</w:t>
                    </w:r>
                    <w:r>
                      <w:rPr>
                        <w:rFonts w:hint="eastAsia"/>
                        <w:sz w:val="18"/>
                        <w:szCs w:val="18"/>
                      </w:rPr>
                      <w:t>；</w:t>
                    </w:r>
                  </w:p>
                  <w:p w:rsidR="00BD74CB" w:rsidRDefault="00BD74CB">
                    <w:pPr>
                      <w:rPr>
                        <w:sz w:val="18"/>
                        <w:szCs w:val="18"/>
                      </w:rPr>
                    </w:pPr>
                  </w:p>
                  <w:p w:rsidR="00BD74CB" w:rsidRDefault="00BD74CB">
                    <w:pPr>
                      <w:rPr>
                        <w:sz w:val="18"/>
                        <w:szCs w:val="18"/>
                      </w:rPr>
                    </w:pPr>
                  </w:p>
                </w:txbxContent>
              </v:textbox>
            </v:rect>
            <v:rect id="矩形 19879" o:spid="_x0000_s21927" style="position:absolute;left:5952;top:6132;width:4799;height:396" filled="f" fillcolor="#030" stroked="f">
              <v:textbox>
                <w:txbxContent>
                  <w:p w:rsidR="00BD74CB" w:rsidRDefault="00BD74CB">
                    <w:pPr>
                      <w:rPr>
                        <w:sz w:val="18"/>
                        <w:szCs w:val="18"/>
                      </w:rPr>
                    </w:pPr>
                    <w:r>
                      <w:rPr>
                        <w:rFonts w:hint="eastAsia"/>
                        <w:sz w:val="18"/>
                        <w:szCs w:val="18"/>
                      </w:rPr>
                      <w:t>G2</w:t>
                    </w:r>
                    <w:r>
                      <w:rPr>
                        <w:rFonts w:hint="eastAsia"/>
                        <w:sz w:val="18"/>
                        <w:szCs w:val="18"/>
                      </w:rPr>
                      <w:t>：氮气</w:t>
                    </w:r>
                    <w:r>
                      <w:rPr>
                        <w:rFonts w:hint="eastAsia"/>
                        <w:sz w:val="18"/>
                        <w:szCs w:val="18"/>
                      </w:rPr>
                      <w:t>14.94</w:t>
                    </w:r>
                    <w:r>
                      <w:rPr>
                        <w:rFonts w:hint="eastAsia"/>
                        <w:sz w:val="18"/>
                        <w:szCs w:val="18"/>
                      </w:rPr>
                      <w:t>；二氧化碳</w:t>
                    </w:r>
                    <w:r>
                      <w:rPr>
                        <w:rFonts w:hint="eastAsia"/>
                        <w:sz w:val="18"/>
                        <w:szCs w:val="18"/>
                      </w:rPr>
                      <w:t>12.32</w:t>
                    </w:r>
                    <w:r>
                      <w:rPr>
                        <w:rFonts w:hint="eastAsia"/>
                        <w:sz w:val="18"/>
                        <w:szCs w:val="18"/>
                      </w:rPr>
                      <w:t>；盐酸</w:t>
                    </w:r>
                    <w:r>
                      <w:rPr>
                        <w:rFonts w:hint="eastAsia"/>
                        <w:sz w:val="18"/>
                        <w:szCs w:val="18"/>
                      </w:rPr>
                      <w:t>2.92</w:t>
                    </w:r>
                    <w:r>
                      <w:rPr>
                        <w:rFonts w:hint="eastAsia"/>
                        <w:sz w:val="18"/>
                        <w:szCs w:val="18"/>
                      </w:rPr>
                      <w:t>，氨气</w:t>
                    </w:r>
                    <w:r>
                      <w:rPr>
                        <w:rFonts w:hint="eastAsia"/>
                        <w:sz w:val="18"/>
                        <w:szCs w:val="18"/>
                      </w:rPr>
                      <w:t>0.09</w:t>
                    </w:r>
                  </w:p>
                  <w:p w:rsidR="00BD74CB" w:rsidRDefault="00BD74CB">
                    <w:pPr>
                      <w:rPr>
                        <w:sz w:val="18"/>
                        <w:szCs w:val="18"/>
                      </w:rPr>
                    </w:pPr>
                  </w:p>
                  <w:p w:rsidR="00BD74CB" w:rsidRDefault="00BD74CB">
                    <w:pPr>
                      <w:rPr>
                        <w:sz w:val="18"/>
                        <w:szCs w:val="18"/>
                      </w:rPr>
                    </w:pPr>
                  </w:p>
                </w:txbxContent>
              </v:textbox>
            </v:rect>
            <v:rect id="矩形 19881" o:spid="_x0000_s21929" style="position:absolute;left:964;top:8602;width:1575;height:510">
              <v:textbox>
                <w:txbxContent>
                  <w:p w:rsidR="00BD74CB" w:rsidRDefault="00BD74CB">
                    <w:pPr>
                      <w:ind w:firstLineChars="50" w:firstLine="105"/>
                    </w:pPr>
                    <w:r>
                      <w:rPr>
                        <w:rFonts w:hint="eastAsia"/>
                      </w:rPr>
                      <w:t>隔膜压滤机</w:t>
                    </w:r>
                  </w:p>
                </w:txbxContent>
              </v:textbox>
            </v:rect>
            <v:line id="直线 19882" o:spid="_x0000_s21930" style="position:absolute;flip:x" from="6164,7436" to="6794,7437">
              <v:stroke endarrow="block"/>
            </v:line>
            <v:rect id="矩形 19883" o:spid="_x0000_s21931" style="position:absolute;left:6748;top:8460;width:3292;height:676" filled="f" fillcolor="#030" stroked="f">
              <v:textbox>
                <w:txbxContent>
                  <w:p w:rsidR="00BD74CB" w:rsidRDefault="00BD74CB">
                    <w:r>
                      <w:rPr>
                        <w:rFonts w:hint="eastAsia"/>
                        <w:sz w:val="18"/>
                        <w:szCs w:val="18"/>
                      </w:rPr>
                      <w:t>碳酸钠</w:t>
                    </w:r>
                    <w:r>
                      <w:rPr>
                        <w:rFonts w:hint="eastAsia"/>
                        <w:sz w:val="18"/>
                        <w:szCs w:val="18"/>
                      </w:rPr>
                      <w:t>121</w:t>
                    </w:r>
                    <w:r>
                      <w:rPr>
                        <w:rFonts w:hint="eastAsia"/>
                        <w:sz w:val="18"/>
                        <w:szCs w:val="18"/>
                      </w:rPr>
                      <w:t>；乙酸钠</w:t>
                    </w:r>
                    <w:r>
                      <w:rPr>
                        <w:rFonts w:hint="eastAsia"/>
                        <w:sz w:val="18"/>
                        <w:szCs w:val="18"/>
                      </w:rPr>
                      <w:t>1259.73</w:t>
                    </w:r>
                    <w:r>
                      <w:rPr>
                        <w:rFonts w:hint="eastAsia"/>
                        <w:sz w:val="18"/>
                        <w:szCs w:val="18"/>
                      </w:rPr>
                      <w:t>；γ酸</w:t>
                    </w:r>
                    <w:r>
                      <w:rPr>
                        <w:rFonts w:hint="eastAsia"/>
                        <w:sz w:val="18"/>
                        <w:szCs w:val="18"/>
                      </w:rPr>
                      <w:t>1835.83</w:t>
                    </w:r>
                    <w:r>
                      <w:rPr>
                        <w:rFonts w:hint="eastAsia"/>
                        <w:sz w:val="18"/>
                        <w:szCs w:val="18"/>
                      </w:rPr>
                      <w:t>；水</w:t>
                    </w:r>
                    <w:r>
                      <w:rPr>
                        <w:rFonts w:hint="eastAsia"/>
                        <w:sz w:val="18"/>
                        <w:szCs w:val="18"/>
                      </w:rPr>
                      <w:t>10000</w:t>
                    </w:r>
                    <w:r>
                      <w:rPr>
                        <w:rFonts w:hint="eastAsia"/>
                        <w:sz w:val="18"/>
                        <w:szCs w:val="18"/>
                      </w:rPr>
                      <w:t>；</w:t>
                    </w:r>
                    <w:r>
                      <w:rPr>
                        <w:rFonts w:hint="eastAsia"/>
                        <w:sz w:val="18"/>
                        <w:szCs w:val="18"/>
                      </w:rPr>
                      <w:t xml:space="preserve"> </w:t>
                    </w:r>
                    <w:r>
                      <w:rPr>
                        <w:rFonts w:hint="eastAsia"/>
                        <w:sz w:val="18"/>
                        <w:szCs w:val="18"/>
                      </w:rPr>
                      <w:t>盐酸</w:t>
                    </w:r>
                    <w:r>
                      <w:rPr>
                        <w:rFonts w:hint="eastAsia"/>
                        <w:sz w:val="18"/>
                        <w:szCs w:val="18"/>
                      </w:rPr>
                      <w:t>30</w:t>
                    </w:r>
                  </w:p>
                </w:txbxContent>
              </v:textbox>
            </v:rect>
            <v:line id="直线 19884" o:spid="_x0000_s21932" style="position:absolute" from="4534,8188" to="4534,8548">
              <v:stroke endarrow="block"/>
            </v:line>
            <v:rect id="矩形 19885" o:spid="_x0000_s21933" style="position:absolute;left:3683;top:7842;width:1365;height:376" filled="f" fillcolor="#030" stroked="f">
              <v:textbox>
                <w:txbxContent>
                  <w:p w:rsidR="00BD74CB" w:rsidRDefault="00BD74CB">
                    <w:pPr>
                      <w:rPr>
                        <w:sz w:val="18"/>
                        <w:szCs w:val="18"/>
                      </w:rPr>
                    </w:pPr>
                    <w:r>
                      <w:rPr>
                        <w:rFonts w:hint="eastAsia"/>
                        <w:sz w:val="18"/>
                        <w:szCs w:val="18"/>
                      </w:rPr>
                      <w:t>片碱</w:t>
                    </w:r>
                    <w:r>
                      <w:rPr>
                        <w:rFonts w:hint="eastAsia"/>
                        <w:sz w:val="18"/>
                        <w:szCs w:val="18"/>
                      </w:rPr>
                      <w:t>856.55</w:t>
                    </w:r>
                  </w:p>
                </w:txbxContent>
              </v:textbox>
            </v:rect>
            <v:rect id="矩形 19886" o:spid="_x0000_s21934" style="position:absolute;left:2752;top:8337;width:1844;height:374" filled="f" fillcolor="#030" stroked="f">
              <v:textbox>
                <w:txbxContent>
                  <w:p w:rsidR="00BD74CB" w:rsidRDefault="00BD74CB">
                    <w:pPr>
                      <w:rPr>
                        <w:sz w:val="18"/>
                        <w:szCs w:val="18"/>
                      </w:rPr>
                    </w:pPr>
                    <w:r>
                      <w:rPr>
                        <w:rFonts w:hint="eastAsia"/>
                        <w:sz w:val="18"/>
                        <w:szCs w:val="18"/>
                      </w:rPr>
                      <w:t>偶合液</w:t>
                    </w:r>
                    <w:r>
                      <w:rPr>
                        <w:rFonts w:hint="eastAsia"/>
                        <w:sz w:val="18"/>
                        <w:szCs w:val="18"/>
                      </w:rPr>
                      <w:t>126162.1</w:t>
                    </w:r>
                  </w:p>
                  <w:p w:rsidR="00BD74CB" w:rsidRDefault="00BD74CB">
                    <w:pPr>
                      <w:rPr>
                        <w:sz w:val="18"/>
                        <w:szCs w:val="18"/>
                      </w:rPr>
                    </w:pPr>
                  </w:p>
                </w:txbxContent>
              </v:textbox>
            </v:rect>
            <v:line id="直线 19887" o:spid="_x0000_s21935" style="position:absolute;flip:x" from="2539,8711" to="4383,8712">
              <v:stroke endarrow="block"/>
            </v:line>
            <v:rect id="矩形 19889" o:spid="_x0000_s21937" style="position:absolute;left:-186;top:10812;width:2938;height:1225" filled="f" fillcolor="#030" stroked="f">
              <v:textbox>
                <w:txbxContent>
                  <w:p w:rsidR="00BD74CB" w:rsidRDefault="00BD74CB">
                    <w:pPr>
                      <w:rPr>
                        <w:sz w:val="18"/>
                        <w:szCs w:val="18"/>
                      </w:rPr>
                    </w:pPr>
                    <w:r>
                      <w:rPr>
                        <w:rFonts w:hint="eastAsia"/>
                        <w:sz w:val="18"/>
                        <w:szCs w:val="18"/>
                      </w:rPr>
                      <w:t>W1</w:t>
                    </w:r>
                    <w:r>
                      <w:rPr>
                        <w:rFonts w:hint="eastAsia"/>
                        <w:sz w:val="18"/>
                        <w:szCs w:val="18"/>
                      </w:rPr>
                      <w:t>滤液</w:t>
                    </w:r>
                    <w:r>
                      <w:rPr>
                        <w:rFonts w:hint="eastAsia"/>
                        <w:sz w:val="18"/>
                        <w:szCs w:val="18"/>
                      </w:rPr>
                      <w:t>119826.34</w:t>
                    </w:r>
                    <w:r>
                      <w:rPr>
                        <w:rFonts w:hint="eastAsia"/>
                        <w:sz w:val="18"/>
                        <w:szCs w:val="18"/>
                      </w:rPr>
                      <w:t>：水</w:t>
                    </w:r>
                    <w:r>
                      <w:rPr>
                        <w:rFonts w:hint="eastAsia"/>
                        <w:sz w:val="18"/>
                        <w:szCs w:val="18"/>
                      </w:rPr>
                      <w:t>116538.99</w:t>
                    </w:r>
                    <w:r>
                      <w:rPr>
                        <w:rFonts w:hint="eastAsia"/>
                        <w:sz w:val="18"/>
                        <w:szCs w:val="18"/>
                      </w:rPr>
                      <w:t>，有机物质</w:t>
                    </w:r>
                    <w:r>
                      <w:rPr>
                        <w:rFonts w:hint="eastAsia"/>
                        <w:sz w:val="18"/>
                        <w:szCs w:val="18"/>
                      </w:rPr>
                      <w:t>288.96</w:t>
                    </w:r>
                    <w:r>
                      <w:rPr>
                        <w:rFonts w:hint="eastAsia"/>
                        <w:sz w:val="18"/>
                        <w:szCs w:val="18"/>
                      </w:rPr>
                      <w:t>，钠盐等无机物</w:t>
                    </w:r>
                    <w:r>
                      <w:rPr>
                        <w:rFonts w:hint="eastAsia"/>
                        <w:sz w:val="18"/>
                        <w:szCs w:val="18"/>
                      </w:rPr>
                      <w:t>2945.75</w:t>
                    </w:r>
                    <w:r>
                      <w:rPr>
                        <w:rFonts w:hint="eastAsia"/>
                        <w:sz w:val="18"/>
                        <w:szCs w:val="18"/>
                      </w:rPr>
                      <w:t>，原料带入杂质</w:t>
                    </w:r>
                    <w:r>
                      <w:rPr>
                        <w:rFonts w:hint="eastAsia"/>
                        <w:sz w:val="18"/>
                        <w:szCs w:val="18"/>
                      </w:rPr>
                      <w:t>47.43</w:t>
                    </w:r>
                    <w:r>
                      <w:rPr>
                        <w:rFonts w:hint="eastAsia"/>
                        <w:sz w:val="18"/>
                        <w:szCs w:val="18"/>
                      </w:rPr>
                      <w:t>，盐酸</w:t>
                    </w:r>
                    <w:r>
                      <w:rPr>
                        <w:rFonts w:hint="eastAsia"/>
                        <w:sz w:val="18"/>
                        <w:szCs w:val="18"/>
                      </w:rPr>
                      <w:t>4.07</w:t>
                    </w:r>
                    <w:r>
                      <w:rPr>
                        <w:rFonts w:hint="eastAsia"/>
                        <w:sz w:val="18"/>
                        <w:szCs w:val="18"/>
                      </w:rPr>
                      <w:t>，氯化铵</w:t>
                    </w:r>
                    <w:r>
                      <w:rPr>
                        <w:rFonts w:hint="eastAsia"/>
                        <w:sz w:val="18"/>
                        <w:szCs w:val="18"/>
                      </w:rPr>
                      <w:t>1.14</w:t>
                    </w:r>
                  </w:p>
                </w:txbxContent>
              </v:textbox>
            </v:rect>
            <v:rect id="矩形 19890" o:spid="_x0000_s21938" style="position:absolute;left:3120;top:10004;width:1222;height:510">
              <v:textbox>
                <w:txbxContent>
                  <w:p w:rsidR="00BD74CB" w:rsidRDefault="00BD74CB">
                    <w:pPr>
                      <w:ind w:firstLineChars="100" w:firstLine="210"/>
                    </w:pPr>
                    <w:r>
                      <w:rPr>
                        <w:rFonts w:hint="eastAsia"/>
                      </w:rPr>
                      <w:t>烘</w:t>
                    </w:r>
                    <w:r>
                      <w:rPr>
                        <w:rFonts w:hint="eastAsia"/>
                      </w:rPr>
                      <w:t xml:space="preserve"> </w:t>
                    </w:r>
                    <w:r>
                      <w:rPr>
                        <w:rFonts w:hint="eastAsia"/>
                      </w:rPr>
                      <w:t>箱</w:t>
                    </w:r>
                  </w:p>
                </w:txbxContent>
              </v:textbox>
            </v:rect>
            <v:line id="直线 19891" o:spid="_x0000_s21939" style="position:absolute" from="1758,9104" to="1758,10004">
              <v:stroke endarrow="block"/>
            </v:line>
            <v:rect id="矩形 19892" o:spid="_x0000_s21940" style="position:absolute;left:5552;top:10106;width:828;height:510">
              <v:textbox>
                <w:txbxContent>
                  <w:p w:rsidR="00BD74CB" w:rsidRDefault="00BD74CB">
                    <w:r>
                      <w:rPr>
                        <w:rFonts w:hint="eastAsia"/>
                      </w:rPr>
                      <w:t>破碎</w:t>
                    </w:r>
                  </w:p>
                </w:txbxContent>
              </v:textbox>
            </v:rect>
            <v:rect id="矩形 19893" o:spid="_x0000_s21941" style="position:absolute;left:8692;top:10062;width:2474;height:842" filled="f" fillcolor="#030" stroked="f">
              <v:textbox>
                <w:txbxContent>
                  <w:p w:rsidR="00BD74CB" w:rsidRDefault="00BD74CB">
                    <w:pPr>
                      <w:rPr>
                        <w:sz w:val="18"/>
                        <w:szCs w:val="18"/>
                      </w:rPr>
                    </w:pPr>
                    <w:r>
                      <w:rPr>
                        <w:rFonts w:hint="eastAsia"/>
                        <w:sz w:val="18"/>
                        <w:szCs w:val="18"/>
                      </w:rPr>
                      <w:t>产品</w:t>
                    </w:r>
                    <w:r>
                      <w:rPr>
                        <w:rFonts w:hint="eastAsia"/>
                        <w:sz w:val="18"/>
                        <w:szCs w:val="18"/>
                      </w:rPr>
                      <w:t>4000</w:t>
                    </w:r>
                    <w:r>
                      <w:rPr>
                        <w:rFonts w:hint="eastAsia"/>
                        <w:sz w:val="18"/>
                        <w:szCs w:val="18"/>
                      </w:rPr>
                      <w:t>：酸性红</w:t>
                    </w:r>
                    <w:r>
                      <w:rPr>
                        <w:rFonts w:hint="eastAsia"/>
                        <w:sz w:val="18"/>
                        <w:szCs w:val="18"/>
                      </w:rPr>
                      <w:t>3680</w:t>
                    </w:r>
                    <w:r>
                      <w:rPr>
                        <w:rFonts w:hint="eastAsia"/>
                        <w:sz w:val="18"/>
                        <w:szCs w:val="18"/>
                      </w:rPr>
                      <w:t>；水</w:t>
                    </w:r>
                    <w:r>
                      <w:rPr>
                        <w:rFonts w:hint="eastAsia"/>
                        <w:sz w:val="18"/>
                        <w:szCs w:val="18"/>
                      </w:rPr>
                      <w:t>200</w:t>
                    </w:r>
                    <w:r>
                      <w:rPr>
                        <w:rFonts w:hint="eastAsia"/>
                        <w:sz w:val="18"/>
                        <w:szCs w:val="18"/>
                      </w:rPr>
                      <w:t>；氯化钠、乙酸钠等盐类</w:t>
                    </w:r>
                    <w:r>
                      <w:rPr>
                        <w:rFonts w:hint="eastAsia"/>
                        <w:sz w:val="18"/>
                        <w:szCs w:val="18"/>
                      </w:rPr>
                      <w:t>118</w:t>
                    </w:r>
                    <w:r>
                      <w:rPr>
                        <w:rFonts w:hint="eastAsia"/>
                        <w:sz w:val="18"/>
                        <w:szCs w:val="18"/>
                      </w:rPr>
                      <w:t>；不溶于水杂质</w:t>
                    </w:r>
                    <w:r>
                      <w:rPr>
                        <w:rFonts w:hint="eastAsia"/>
                        <w:sz w:val="18"/>
                        <w:szCs w:val="18"/>
                      </w:rPr>
                      <w:t>2</w:t>
                    </w:r>
                  </w:p>
                  <w:p w:rsidR="00BD74CB" w:rsidRDefault="00BD74CB"/>
                </w:txbxContent>
              </v:textbox>
            </v:rect>
            <v:line id="直线 19894" o:spid="_x0000_s21942" style="position:absolute;flip:y" from="6021,9810" to="6022,10093">
              <v:stroke endarrow="block"/>
            </v:line>
            <v:rect id="矩形 19895" o:spid="_x0000_s21943" style="position:absolute;left:5504;top:9486;width:1519;height:351" filled="f" fillcolor="#030" stroked="f">
              <v:textbox>
                <w:txbxContent>
                  <w:p w:rsidR="00BD74CB" w:rsidRDefault="00BD74CB">
                    <w:pPr>
                      <w:rPr>
                        <w:sz w:val="18"/>
                        <w:szCs w:val="18"/>
                      </w:rPr>
                    </w:pPr>
                    <w:r>
                      <w:rPr>
                        <w:rFonts w:hint="eastAsia"/>
                        <w:sz w:val="18"/>
                        <w:szCs w:val="18"/>
                      </w:rPr>
                      <w:t>G6</w:t>
                    </w:r>
                    <w:r>
                      <w:rPr>
                        <w:rFonts w:hint="eastAsia"/>
                        <w:sz w:val="18"/>
                        <w:szCs w:val="18"/>
                      </w:rPr>
                      <w:t>：粉尘</w:t>
                    </w:r>
                    <w:r>
                      <w:rPr>
                        <w:rFonts w:hint="eastAsia"/>
                        <w:sz w:val="18"/>
                        <w:szCs w:val="18"/>
                      </w:rPr>
                      <w:t>4.78</w:t>
                    </w:r>
                  </w:p>
                  <w:p w:rsidR="00BD74CB" w:rsidRDefault="00BD74CB">
                    <w:pPr>
                      <w:rPr>
                        <w:sz w:val="18"/>
                        <w:szCs w:val="18"/>
                      </w:rPr>
                    </w:pPr>
                  </w:p>
                </w:txbxContent>
              </v:textbox>
            </v:rect>
            <v:line id="直线 19896" o:spid="_x0000_s21944" style="position:absolute" from="4342,10358" to="5542,10359">
              <v:stroke endarrow="block"/>
            </v:line>
            <v:line id="直线 19897" o:spid="_x0000_s21945" style="position:absolute" from="6370,10358" to="7050,10359">
              <v:stroke endarrow="block"/>
            </v:line>
            <v:rect id="矩形 19898" o:spid="_x0000_s21946" style="position:absolute;left:4454;top:10062;width:980;height:374" filled="f" fillcolor="#030" stroked="f">
              <v:textbox>
                <w:txbxContent>
                  <w:p w:rsidR="00BD74CB" w:rsidRDefault="00BD74CB">
                    <w:pPr>
                      <w:rPr>
                        <w:sz w:val="18"/>
                        <w:szCs w:val="18"/>
                      </w:rPr>
                    </w:pPr>
                    <w:r>
                      <w:rPr>
                        <w:rFonts w:hint="eastAsia"/>
                        <w:sz w:val="18"/>
                        <w:szCs w:val="18"/>
                      </w:rPr>
                      <w:t>4008.46</w:t>
                    </w:r>
                  </w:p>
                </w:txbxContent>
              </v:textbox>
            </v:rect>
            <v:line id="直线 19900" o:spid="_x0000_s21948" style="position:absolute" from="2609,10822" to="3689,10823"/>
            <v:line id="直线 19901" o:spid="_x0000_s21949" style="position:absolute;flip:y" from="3682,10514" to="3683,10844">
              <v:stroke endarrow="block"/>
            </v:line>
            <v:rect id="矩形 19902" o:spid="_x0000_s21950" style="position:absolute;left:2540;top:10514;width:1018;height:349" filled="f" fillcolor="#030" stroked="f">
              <v:textbox>
                <w:txbxContent>
                  <w:p w:rsidR="00BD74CB" w:rsidRDefault="00BD74CB">
                    <w:pPr>
                      <w:rPr>
                        <w:sz w:val="18"/>
                        <w:szCs w:val="18"/>
                      </w:rPr>
                    </w:pPr>
                    <w:r>
                      <w:rPr>
                        <w:rFonts w:hint="eastAsia"/>
                        <w:sz w:val="18"/>
                        <w:szCs w:val="18"/>
                      </w:rPr>
                      <w:t>间接蒸汽</w:t>
                    </w:r>
                  </w:p>
                </w:txbxContent>
              </v:textbox>
            </v:rect>
            <v:line id="直线 19903" o:spid="_x0000_s21951" style="position:absolute" from="2609,10358" to="2610,10812"/>
            <v:rect id="矩形 19906" o:spid="_x0000_s21954" style="position:absolute;left:270;top:9314;width:1846;height:374" filled="f" fillcolor="#030" stroked="f">
              <v:textbox>
                <w:txbxContent>
                  <w:p w:rsidR="00BD74CB" w:rsidRDefault="00BD74CB">
                    <w:pPr>
                      <w:rPr>
                        <w:sz w:val="18"/>
                        <w:szCs w:val="18"/>
                      </w:rPr>
                    </w:pPr>
                    <w:r>
                      <w:rPr>
                        <w:rFonts w:hint="eastAsia"/>
                        <w:sz w:val="18"/>
                        <w:szCs w:val="18"/>
                      </w:rPr>
                      <w:t>滤液</w:t>
                    </w:r>
                    <w:r>
                      <w:rPr>
                        <w:rFonts w:hint="eastAsia"/>
                        <w:sz w:val="18"/>
                        <w:szCs w:val="18"/>
                      </w:rPr>
                      <w:t>121061.88</w:t>
                    </w:r>
                  </w:p>
                </w:txbxContent>
              </v:textbox>
            </v:rect>
            <v:rect id="矩形 19907" o:spid="_x0000_s21955" style="position:absolute;left:6644;top:9170;width:2048;height:376" filled="f" fillcolor="#030" stroked="f">
              <v:textbox>
                <w:txbxContent>
                  <w:p w:rsidR="00BD74CB" w:rsidRDefault="00BD74CB">
                    <w:pPr>
                      <w:rPr>
                        <w:sz w:val="18"/>
                        <w:szCs w:val="18"/>
                      </w:rPr>
                    </w:pPr>
                    <w:r>
                      <w:rPr>
                        <w:rFonts w:hint="eastAsia"/>
                        <w:sz w:val="18"/>
                        <w:szCs w:val="18"/>
                      </w:rPr>
                      <w:t>冰块：</w:t>
                    </w:r>
                    <w:r>
                      <w:rPr>
                        <w:rFonts w:hint="eastAsia"/>
                        <w:sz w:val="18"/>
                        <w:szCs w:val="18"/>
                      </w:rPr>
                      <w:t>52000</w:t>
                    </w:r>
                  </w:p>
                  <w:p w:rsidR="00BD74CB" w:rsidRDefault="00BD74CB">
                    <w:pPr>
                      <w:rPr>
                        <w:sz w:val="18"/>
                        <w:szCs w:val="18"/>
                      </w:rPr>
                    </w:pPr>
                  </w:p>
                  <w:p w:rsidR="00BD74CB" w:rsidRDefault="00BD74CB">
                    <w:pPr>
                      <w:rPr>
                        <w:sz w:val="18"/>
                        <w:szCs w:val="18"/>
                      </w:rPr>
                    </w:pPr>
                  </w:p>
                </w:txbxContent>
              </v:textbox>
            </v:rect>
            <v:line id="直线 19908" o:spid="_x0000_s21956" style="position:absolute" from="5690,9374" to="6650,9374"/>
            <v:line id="直线 19909" o:spid="_x0000_s21957" style="position:absolute;flip:y" from="5720,9088" to="5720,9374">
              <v:stroke endarrow="block"/>
            </v:line>
            <v:line id="直线 19910" o:spid="_x0000_s21958" style="position:absolute;flip:y" from="5660,8204" to="5660,8534">
              <v:stroke dashstyle="dash"/>
            </v:line>
            <v:line id="直线 19911" o:spid="_x0000_s21959" style="position:absolute" from="5660,8204" to="6380,8204">
              <v:stroke dashstyle="dash" endarrow="block"/>
            </v:line>
            <v:line id="直线 19912" o:spid="_x0000_s21960" style="position:absolute" from="4910,7740" to="4910,8564">
              <v:stroke endarrow="block"/>
            </v:line>
            <v:rect id="矩形 19913" o:spid="_x0000_s21961" style="position:absolute;left:6450;top:7984;width:2955;height:376" filled="f" fillcolor="#030" stroked="f">
              <v:textbox>
                <w:txbxContent>
                  <w:p w:rsidR="00BD74CB" w:rsidRDefault="00BD74CB">
                    <w:pPr>
                      <w:rPr>
                        <w:sz w:val="18"/>
                        <w:szCs w:val="18"/>
                      </w:rPr>
                    </w:pPr>
                    <w:r>
                      <w:rPr>
                        <w:rFonts w:hint="eastAsia"/>
                        <w:sz w:val="18"/>
                        <w:szCs w:val="18"/>
                      </w:rPr>
                      <w:t>G3</w:t>
                    </w:r>
                    <w:r>
                      <w:rPr>
                        <w:rFonts w:hint="eastAsia"/>
                        <w:sz w:val="18"/>
                        <w:szCs w:val="18"/>
                      </w:rPr>
                      <w:t>：二氧化碳</w:t>
                    </w:r>
                    <w:r>
                      <w:rPr>
                        <w:rFonts w:hint="eastAsia"/>
                        <w:sz w:val="18"/>
                        <w:szCs w:val="18"/>
                      </w:rPr>
                      <w:t>50.23</w:t>
                    </w:r>
                    <w:r>
                      <w:rPr>
                        <w:rFonts w:hint="eastAsia"/>
                        <w:sz w:val="18"/>
                        <w:szCs w:val="18"/>
                      </w:rPr>
                      <w:t>，盐酸</w:t>
                    </w:r>
                    <w:r>
                      <w:rPr>
                        <w:rFonts w:hint="eastAsia"/>
                        <w:sz w:val="18"/>
                        <w:szCs w:val="18"/>
                      </w:rPr>
                      <w:t>0.1</w:t>
                    </w:r>
                  </w:p>
                  <w:p w:rsidR="00BD74CB" w:rsidRDefault="00BD74CB">
                    <w:pPr>
                      <w:rPr>
                        <w:sz w:val="18"/>
                        <w:szCs w:val="18"/>
                      </w:rPr>
                    </w:pPr>
                  </w:p>
                  <w:p w:rsidR="00BD74CB" w:rsidRDefault="00BD74CB">
                    <w:pPr>
                      <w:rPr>
                        <w:sz w:val="18"/>
                        <w:szCs w:val="18"/>
                      </w:rPr>
                    </w:pPr>
                  </w:p>
                </w:txbxContent>
              </v:textbox>
            </v:rect>
            <v:line id="直线 19882" o:spid="_x0000_s22339" style="position:absolute;flip:x" from="6164,8710" to="6794,8711">
              <v:stroke endarrow="block"/>
            </v:line>
            <v:rect id="矩形 19890" o:spid="_x0000_s22340" style="position:absolute;left:704;top:9994;width:1412;height:510">
              <v:textbox>
                <w:txbxContent>
                  <w:p w:rsidR="00BD74CB" w:rsidRDefault="00BD74CB">
                    <w:r>
                      <w:rPr>
                        <w:rFonts w:hint="eastAsia"/>
                      </w:rPr>
                      <w:t>隔油沉淀池</w:t>
                    </w:r>
                  </w:p>
                </w:txbxContent>
              </v:textbox>
            </v:rect>
            <v:line id="直线 19897" o:spid="_x0000_s22341" style="position:absolute" from="2116,10163" to="3080,10164">
              <v:stroke endarrow="block"/>
            </v:line>
            <v:line id="直线 19897" o:spid="_x0000_s22344" style="position:absolute" from="2608,10347" to="3118,10348">
              <v:stroke endarrow="block"/>
            </v:line>
            <v:line id="直线 19891" o:spid="_x0000_s22345" style="position:absolute" from="1410,10514" to="1411,10854">
              <v:stroke endarrow="block"/>
            </v:line>
            <v:shapetype id="_x0000_t33" coordsize="21600,21600" o:spt="33" o:oned="t" path="m,l21600,r,21600e" filled="f">
              <v:stroke joinstyle="miter"/>
              <v:path arrowok="t" fillok="f" o:connecttype="none"/>
              <o:lock v:ext="edit" shapetype="t"/>
            </v:shapetype>
            <v:shape id="自选图形 20298" o:spid="_x0000_s22346" type="#_x0000_t33" style="position:absolute;left:2539;top:8857;width:1192;height:1147" o:connectortype="elbow" adj="-114995,-81221,-114995">
              <v:stroke endarrow="block"/>
            </v:shape>
            <v:rect id="矩形 19906" o:spid="_x0000_s22347" style="position:absolute;left:2539;top:8857;width:1369;height:636" filled="f" fillcolor="#030" stroked="f">
              <v:textbox>
                <w:txbxContent>
                  <w:p w:rsidR="00BD74CB" w:rsidRDefault="00BD74CB">
                    <w:pPr>
                      <w:rPr>
                        <w:sz w:val="18"/>
                        <w:szCs w:val="18"/>
                      </w:rPr>
                    </w:pPr>
                    <w:r>
                      <w:rPr>
                        <w:rFonts w:hint="eastAsia"/>
                        <w:sz w:val="18"/>
                        <w:szCs w:val="18"/>
                      </w:rPr>
                      <w:t>滤饼</w:t>
                    </w:r>
                    <w:r>
                      <w:rPr>
                        <w:rFonts w:hint="eastAsia"/>
                        <w:sz w:val="18"/>
                        <w:szCs w:val="18"/>
                      </w:rPr>
                      <w:t>5100</w:t>
                    </w:r>
                  </w:p>
                  <w:p w:rsidR="00BD74CB" w:rsidRDefault="00BD74CB">
                    <w:pPr>
                      <w:rPr>
                        <w:sz w:val="18"/>
                        <w:szCs w:val="18"/>
                      </w:rPr>
                    </w:pPr>
                    <w:r>
                      <w:rPr>
                        <w:rFonts w:hint="eastAsia"/>
                        <w:sz w:val="18"/>
                        <w:szCs w:val="18"/>
                      </w:rPr>
                      <w:t>（含水</w:t>
                    </w:r>
                    <w:r>
                      <w:rPr>
                        <w:rFonts w:hint="eastAsia"/>
                        <w:sz w:val="18"/>
                        <w:szCs w:val="18"/>
                      </w:rPr>
                      <w:t>35%</w:t>
                    </w:r>
                    <w:r>
                      <w:rPr>
                        <w:rFonts w:hint="eastAsia"/>
                        <w:sz w:val="18"/>
                        <w:szCs w:val="18"/>
                      </w:rPr>
                      <w:t>）</w:t>
                    </w:r>
                  </w:p>
                </w:txbxContent>
              </v:textbox>
            </v:rect>
            <v:rect id="矩形 19906" o:spid="_x0000_s22348" style="position:absolute;left:1898;top:9549;width:1453;height:649" filled="f" fillcolor="#030" stroked="f">
              <v:textbox>
                <w:txbxContent>
                  <w:p w:rsidR="00BD74CB" w:rsidRDefault="00BD74CB">
                    <w:pPr>
                      <w:ind w:firstLineChars="100" w:firstLine="180"/>
                      <w:rPr>
                        <w:sz w:val="18"/>
                        <w:szCs w:val="18"/>
                      </w:rPr>
                    </w:pPr>
                    <w:r>
                      <w:rPr>
                        <w:rFonts w:hint="eastAsia"/>
                        <w:sz w:val="18"/>
                        <w:szCs w:val="18"/>
                      </w:rPr>
                      <w:t>渣</w:t>
                    </w:r>
                    <w:r>
                      <w:rPr>
                        <w:rFonts w:hint="eastAsia"/>
                        <w:sz w:val="18"/>
                        <w:szCs w:val="18"/>
                      </w:rPr>
                      <w:t>1235.54</w:t>
                    </w:r>
                  </w:p>
                  <w:p w:rsidR="00BD74CB" w:rsidRDefault="00BD74CB">
                    <w:pPr>
                      <w:rPr>
                        <w:sz w:val="18"/>
                        <w:szCs w:val="18"/>
                      </w:rPr>
                    </w:pPr>
                    <w:r>
                      <w:rPr>
                        <w:rFonts w:hint="eastAsia"/>
                        <w:sz w:val="18"/>
                        <w:szCs w:val="18"/>
                      </w:rPr>
                      <w:t>（含水</w:t>
                    </w:r>
                    <w:r>
                      <w:rPr>
                        <w:rFonts w:hint="eastAsia"/>
                        <w:sz w:val="18"/>
                        <w:szCs w:val="18"/>
                      </w:rPr>
                      <w:t>60%</w:t>
                    </w:r>
                    <w:r>
                      <w:rPr>
                        <w:rFonts w:hint="eastAsia"/>
                        <w:sz w:val="18"/>
                        <w:szCs w:val="18"/>
                      </w:rPr>
                      <w:t>）</w:t>
                    </w:r>
                  </w:p>
                </w:txbxContent>
              </v:textbox>
            </v:rect>
            <v:line id="直线 19873" o:spid="_x0000_s22349" style="position:absolute;flip:y" from="4141,9654" to="4142,9994">
              <v:stroke endarrow="block"/>
            </v:line>
            <v:rect id="矩形 19895" o:spid="_x0000_s22350" style="position:absolute;left:987;top:7922;width:1553;height:454" filled="f" fillcolor="#030" stroked="f">
              <v:textbox>
                <w:txbxContent>
                  <w:p w:rsidR="00BD74CB" w:rsidRDefault="00BD74CB">
                    <w:pPr>
                      <w:rPr>
                        <w:sz w:val="18"/>
                        <w:szCs w:val="18"/>
                      </w:rPr>
                    </w:pPr>
                    <w:r>
                      <w:rPr>
                        <w:rFonts w:hint="eastAsia"/>
                        <w:sz w:val="18"/>
                        <w:szCs w:val="18"/>
                      </w:rPr>
                      <w:t>G4</w:t>
                    </w:r>
                    <w:r>
                      <w:rPr>
                        <w:rFonts w:hint="eastAsia"/>
                        <w:sz w:val="18"/>
                        <w:szCs w:val="18"/>
                      </w:rPr>
                      <w:t>：氯化氢</w:t>
                    </w:r>
                    <w:r>
                      <w:rPr>
                        <w:rFonts w:hint="eastAsia"/>
                        <w:sz w:val="18"/>
                        <w:szCs w:val="18"/>
                      </w:rPr>
                      <w:t>0.22</w:t>
                    </w:r>
                  </w:p>
                  <w:p w:rsidR="00BD74CB" w:rsidRDefault="00BD74CB">
                    <w:pPr>
                      <w:rPr>
                        <w:sz w:val="18"/>
                        <w:szCs w:val="18"/>
                      </w:rPr>
                    </w:pPr>
                  </w:p>
                </w:txbxContent>
              </v:textbox>
            </v:rect>
            <v:line id="直线 19873" o:spid="_x0000_s22351" style="position:absolute;flip:y" from="1685,8262" to="1686,8602">
              <v:stroke endarrow="block"/>
            </v:line>
            <v:rect id="矩形 19895" o:spid="_x0000_s22352" style="position:absolute;left:3671;top:9170;width:1989;height:596" filled="f" fillcolor="#030" stroked="f">
              <v:textbox>
                <w:txbxContent>
                  <w:p w:rsidR="00BD74CB" w:rsidRDefault="00BD74CB">
                    <w:pPr>
                      <w:rPr>
                        <w:sz w:val="18"/>
                        <w:szCs w:val="18"/>
                      </w:rPr>
                    </w:pPr>
                    <w:r>
                      <w:rPr>
                        <w:rFonts w:hint="eastAsia"/>
                        <w:sz w:val="18"/>
                        <w:szCs w:val="18"/>
                      </w:rPr>
                      <w:t>G5</w:t>
                    </w:r>
                    <w:r>
                      <w:rPr>
                        <w:rFonts w:hint="eastAsia"/>
                        <w:sz w:val="18"/>
                        <w:szCs w:val="18"/>
                      </w:rPr>
                      <w:t>：粉尘</w:t>
                    </w:r>
                    <w:r>
                      <w:rPr>
                        <w:rFonts w:hint="eastAsia"/>
                        <w:sz w:val="18"/>
                        <w:szCs w:val="18"/>
                      </w:rPr>
                      <w:t>0.74</w:t>
                    </w:r>
                    <w:r>
                      <w:rPr>
                        <w:rFonts w:hint="eastAsia"/>
                        <w:sz w:val="18"/>
                        <w:szCs w:val="18"/>
                      </w:rPr>
                      <w:t>；氯化氢</w:t>
                    </w:r>
                    <w:r>
                      <w:rPr>
                        <w:rFonts w:hint="eastAsia"/>
                        <w:sz w:val="18"/>
                        <w:szCs w:val="18"/>
                      </w:rPr>
                      <w:t>0.04</w:t>
                    </w:r>
                    <w:r>
                      <w:rPr>
                        <w:rFonts w:hint="eastAsia"/>
                        <w:sz w:val="18"/>
                        <w:szCs w:val="18"/>
                      </w:rPr>
                      <w:t>；蒸汽</w:t>
                    </w:r>
                    <w:r>
                      <w:rPr>
                        <w:rFonts w:hint="eastAsia"/>
                        <w:sz w:val="18"/>
                        <w:szCs w:val="18"/>
                      </w:rPr>
                      <w:t>2326.3</w:t>
                    </w:r>
                  </w:p>
                  <w:p w:rsidR="00BD74CB" w:rsidRDefault="00BD74CB">
                    <w:pPr>
                      <w:rPr>
                        <w:sz w:val="18"/>
                        <w:szCs w:val="18"/>
                      </w:rPr>
                    </w:pPr>
                  </w:p>
                </w:txbxContent>
              </v:textbox>
            </v:rect>
            <v:rect id="矩形 19892" o:spid="_x0000_s22393" style="position:absolute;left:7050;top:10079;width:828;height:510">
              <v:textbox>
                <w:txbxContent>
                  <w:p w:rsidR="00BD74CB" w:rsidRDefault="00BD74CB">
                    <w:r>
                      <w:rPr>
                        <w:rFonts w:hint="eastAsia"/>
                      </w:rPr>
                      <w:t>包装</w:t>
                    </w:r>
                  </w:p>
                </w:txbxContent>
              </v:textbox>
            </v:rect>
            <v:line id="直线 19897" o:spid="_x0000_s22394" style="position:absolute" from="7878,10360" to="8558,10361">
              <v:stroke endarrow="block"/>
            </v:line>
            <v:line id="直线 19894" o:spid="_x0000_s22395" style="position:absolute;flip:y" from="7447,9781" to="7448,10064">
              <v:stroke endarrow="block"/>
            </v:line>
            <v:rect id="矩形 19895" o:spid="_x0000_s22458" style="position:absolute;left:6920;top:9474;width:1519;height:351" filled="f" fillcolor="#030" stroked="f">
              <v:textbox>
                <w:txbxContent>
                  <w:p w:rsidR="00BD74CB" w:rsidRDefault="00BD74CB">
                    <w:pPr>
                      <w:rPr>
                        <w:sz w:val="18"/>
                        <w:szCs w:val="18"/>
                      </w:rPr>
                    </w:pPr>
                    <w:r>
                      <w:rPr>
                        <w:rFonts w:hint="eastAsia"/>
                        <w:sz w:val="18"/>
                        <w:szCs w:val="18"/>
                      </w:rPr>
                      <w:t>G7</w:t>
                    </w:r>
                    <w:r>
                      <w:rPr>
                        <w:rFonts w:hint="eastAsia"/>
                        <w:sz w:val="18"/>
                        <w:szCs w:val="18"/>
                      </w:rPr>
                      <w:t>：粉尘</w:t>
                    </w:r>
                    <w:r>
                      <w:rPr>
                        <w:rFonts w:hint="eastAsia"/>
                        <w:sz w:val="18"/>
                        <w:szCs w:val="18"/>
                      </w:rPr>
                      <w:t>3.68</w:t>
                    </w:r>
                  </w:p>
                  <w:p w:rsidR="00BD74CB" w:rsidRDefault="00BD74CB">
                    <w:pPr>
                      <w:rPr>
                        <w:sz w:val="18"/>
                        <w:szCs w:val="18"/>
                      </w:rPr>
                    </w:pPr>
                  </w:p>
                </w:txbxContent>
              </v:textbox>
            </v:rect>
            <w10:wrap type="none"/>
            <w10:anchorlock/>
          </v:group>
        </w:pict>
      </w:r>
    </w:p>
    <w:p w:rsidR="00475650" w:rsidRDefault="00475650">
      <w:pPr>
        <w:spacing w:line="360" w:lineRule="auto"/>
        <w:ind w:firstLineChars="25" w:firstLine="60"/>
        <w:jc w:val="center"/>
        <w:rPr>
          <w:sz w:val="24"/>
        </w:rPr>
      </w:pPr>
    </w:p>
    <w:p w:rsidR="00475650" w:rsidRDefault="00475650">
      <w:pPr>
        <w:spacing w:line="360" w:lineRule="auto"/>
        <w:ind w:firstLineChars="25" w:firstLine="60"/>
        <w:jc w:val="center"/>
        <w:rPr>
          <w:sz w:val="24"/>
        </w:rPr>
      </w:pPr>
      <w:r>
        <w:rPr>
          <w:rFonts w:hAnsi="宋体"/>
          <w:sz w:val="24"/>
        </w:rPr>
        <w:t>图</w:t>
      </w:r>
      <w:r>
        <w:rPr>
          <w:sz w:val="24"/>
        </w:rPr>
        <w:t>3-</w:t>
      </w:r>
      <w:r>
        <w:rPr>
          <w:rFonts w:hint="eastAsia"/>
          <w:sz w:val="24"/>
        </w:rPr>
        <w:t>4</w:t>
      </w:r>
      <w:r>
        <w:rPr>
          <w:sz w:val="24"/>
        </w:rPr>
        <w:t xml:space="preserve">  </w:t>
      </w:r>
      <w:r>
        <w:rPr>
          <w:rFonts w:hAnsi="宋体"/>
          <w:sz w:val="24"/>
        </w:rPr>
        <w:t>酸性红</w:t>
      </w:r>
      <w:r>
        <w:rPr>
          <w:sz w:val="24"/>
        </w:rPr>
        <w:t>37</w:t>
      </w:r>
      <w:r>
        <w:rPr>
          <w:rFonts w:hAnsi="宋体"/>
          <w:sz w:val="24"/>
        </w:rPr>
        <w:t>总物料平衡图</w:t>
      </w:r>
      <w:r>
        <w:rPr>
          <w:sz w:val="24"/>
        </w:rPr>
        <w:t xml:space="preserve">   </w:t>
      </w:r>
      <w:r>
        <w:rPr>
          <w:rFonts w:hAnsi="宋体"/>
          <w:sz w:val="24"/>
        </w:rPr>
        <w:t>单位：</w:t>
      </w:r>
      <w:r>
        <w:rPr>
          <w:sz w:val="24"/>
        </w:rPr>
        <w:t>t/a</w:t>
      </w:r>
    </w:p>
    <w:p w:rsidR="00475650" w:rsidRDefault="00475650">
      <w:pPr>
        <w:spacing w:line="360" w:lineRule="auto"/>
        <w:ind w:firstLineChars="25" w:firstLine="60"/>
        <w:jc w:val="center"/>
        <w:rPr>
          <w:sz w:val="24"/>
        </w:rPr>
      </w:pPr>
    </w:p>
    <w:p w:rsidR="00475650" w:rsidRDefault="00475650">
      <w:pPr>
        <w:rPr>
          <w:sz w:val="24"/>
        </w:rPr>
      </w:pPr>
      <w:r>
        <w:rPr>
          <w:sz w:val="24"/>
        </w:rPr>
        <w:t xml:space="preserve">                                                                                                        </w:t>
      </w:r>
    </w:p>
    <w:p w:rsidR="00475650" w:rsidRDefault="00475650">
      <w:pPr>
        <w:rPr>
          <w:sz w:val="24"/>
        </w:rPr>
      </w:pPr>
    </w:p>
    <w:p w:rsidR="00475650" w:rsidRDefault="00475650">
      <w:pPr>
        <w:rPr>
          <w:sz w:val="24"/>
        </w:rPr>
      </w:pPr>
    </w:p>
    <w:p w:rsidR="00475650" w:rsidRDefault="00475650">
      <w:pPr>
        <w:rPr>
          <w:sz w:val="24"/>
        </w:rPr>
      </w:pPr>
    </w:p>
    <w:p w:rsidR="00475650" w:rsidRDefault="006F27A1">
      <w:pPr>
        <w:rPr>
          <w:sz w:val="24"/>
        </w:rPr>
      </w:pPr>
      <w:r>
        <w:rPr>
          <w:sz w:val="24"/>
        </w:rPr>
        <w:pict>
          <v:rect id="矩形 19942" o:spid="_x0000_s21990" style="position:absolute;left:0;text-align:left;margin-left:387.95pt;margin-top:-2.9pt;width:142.2pt;height:23.25pt;z-index:251649024" filled="f" fillcolor="#030" stroked="f">
            <v:textbox>
              <w:txbxContent>
                <w:p w:rsidR="00BD74CB" w:rsidRDefault="00BD74CB">
                  <w:pPr>
                    <w:rPr>
                      <w:sz w:val="18"/>
                      <w:szCs w:val="18"/>
                    </w:rPr>
                  </w:pPr>
                  <w:r>
                    <w:rPr>
                      <w:rFonts w:hint="eastAsia"/>
                      <w:sz w:val="18"/>
                      <w:szCs w:val="18"/>
                    </w:rPr>
                    <w:t>G8</w:t>
                  </w:r>
                  <w:r>
                    <w:rPr>
                      <w:rFonts w:hint="eastAsia"/>
                      <w:sz w:val="18"/>
                      <w:szCs w:val="18"/>
                    </w:rPr>
                    <w:t>二氧化碳：</w:t>
                  </w:r>
                  <w:r>
                    <w:rPr>
                      <w:rFonts w:hint="eastAsia"/>
                      <w:sz w:val="18"/>
                      <w:szCs w:val="18"/>
                    </w:rPr>
                    <w:t>111.84</w:t>
                  </w:r>
                  <w:r>
                    <w:rPr>
                      <w:rFonts w:hint="eastAsia"/>
                      <w:sz w:val="18"/>
                      <w:szCs w:val="18"/>
                    </w:rPr>
                    <w:t>，盐酸</w:t>
                  </w:r>
                  <w:r>
                    <w:rPr>
                      <w:rFonts w:hint="eastAsia"/>
                      <w:sz w:val="18"/>
                      <w:szCs w:val="18"/>
                    </w:rPr>
                    <w:t>0.03</w:t>
                  </w:r>
                </w:p>
              </w:txbxContent>
            </v:textbox>
          </v:rect>
        </w:pict>
      </w:r>
      <w:r>
        <w:rPr>
          <w:sz w:val="24"/>
        </w:rPr>
      </w:r>
      <w:r>
        <w:rPr>
          <w:sz w:val="24"/>
        </w:rPr>
        <w:pict>
          <v:group id="画布 19916" o:spid="_x0000_s21964" editas="canvas" style="width:689.55pt;height:250.7pt;mso-position-horizontal-relative:char;mso-position-vertical-relative:line" coordorigin="1878,6282" coordsize="13791,5014">
            <o:lock v:ext="edit" aspectratio="t" text="t"/>
            <o:diagram v:ext="edit" dgmstyle="0" dgmscalex="0" dgmscaley="0"/>
            <v:shape id="_x0000_s21965" type="#_x0000_t75" style="position:absolute;left:1878;top:6282;width:13791;height:5014" o:preferrelative="f">
              <v:path o:extrusionok="t"/>
              <o:lock v:ext="edit" rotation="t" text="t"/>
              <o:diagram v:ext="edit" dgmstyle="0" dgmscalex="0" dgmscaley="0"/>
            </v:shape>
            <v:rect id="矩形 19918" o:spid="_x0000_s21966" style="position:absolute;left:1878;top:7244;width:2814;height:778" filled="f" fillcolor="#030" stroked="f">
              <v:textbox>
                <w:txbxContent>
                  <w:p w:rsidR="00BD74CB" w:rsidRDefault="00BD74CB">
                    <w:pPr>
                      <w:rPr>
                        <w:sz w:val="18"/>
                        <w:szCs w:val="18"/>
                      </w:rPr>
                    </w:pPr>
                    <w:r>
                      <w:rPr>
                        <w:rFonts w:hint="eastAsia"/>
                        <w:sz w:val="18"/>
                        <w:szCs w:val="18"/>
                      </w:rPr>
                      <w:t>2,5-</w:t>
                    </w:r>
                    <w:r>
                      <w:rPr>
                        <w:rFonts w:hint="eastAsia"/>
                        <w:sz w:val="18"/>
                        <w:szCs w:val="18"/>
                      </w:rPr>
                      <w:t>二氯</w:t>
                    </w:r>
                    <w:r>
                      <w:rPr>
                        <w:rFonts w:hint="eastAsia"/>
                        <w:sz w:val="18"/>
                        <w:szCs w:val="18"/>
                      </w:rPr>
                      <w:t>-4-</w:t>
                    </w:r>
                    <w:r>
                      <w:rPr>
                        <w:rFonts w:hint="eastAsia"/>
                        <w:sz w:val="18"/>
                        <w:szCs w:val="18"/>
                      </w:rPr>
                      <w:t>氨基苯磺酸</w:t>
                    </w:r>
                    <w:r>
                      <w:rPr>
                        <w:rFonts w:hint="eastAsia"/>
                        <w:sz w:val="18"/>
                        <w:szCs w:val="18"/>
                      </w:rPr>
                      <w:t>1258.49</w:t>
                    </w:r>
                  </w:p>
                  <w:p w:rsidR="00BD74CB" w:rsidRDefault="00BD74CB">
                    <w:pPr>
                      <w:rPr>
                        <w:sz w:val="18"/>
                        <w:szCs w:val="18"/>
                      </w:rPr>
                    </w:pPr>
                    <w:r>
                      <w:rPr>
                        <w:rFonts w:hint="eastAsia"/>
                        <w:sz w:val="18"/>
                        <w:szCs w:val="18"/>
                      </w:rPr>
                      <w:t>；水</w:t>
                    </w:r>
                    <w:r>
                      <w:rPr>
                        <w:rFonts w:hint="eastAsia"/>
                        <w:sz w:val="18"/>
                        <w:szCs w:val="18"/>
                      </w:rPr>
                      <w:t>10000</w:t>
                    </w:r>
                    <w:r>
                      <w:rPr>
                        <w:rFonts w:hint="eastAsia"/>
                        <w:sz w:val="18"/>
                        <w:szCs w:val="18"/>
                      </w:rPr>
                      <w:t>；盐酸</w:t>
                    </w:r>
                    <w:r>
                      <w:rPr>
                        <w:rFonts w:hint="eastAsia"/>
                        <w:sz w:val="18"/>
                        <w:szCs w:val="18"/>
                      </w:rPr>
                      <w:t>1224.12</w:t>
                    </w:r>
                  </w:p>
                  <w:p w:rsidR="00BD74CB" w:rsidRDefault="00BD74CB">
                    <w:pPr>
                      <w:rPr>
                        <w:sz w:val="18"/>
                        <w:szCs w:val="18"/>
                      </w:rPr>
                    </w:pPr>
                  </w:p>
                </w:txbxContent>
              </v:textbox>
            </v:rect>
            <v:rect id="矩形 19919" o:spid="_x0000_s21967" style="position:absolute;left:5458;top:7304;width:2026;height:510">
              <v:textbox>
                <w:txbxContent>
                  <w:p w:rsidR="00BD74CB" w:rsidRDefault="00BD74CB">
                    <w:pPr>
                      <w:ind w:firstLineChars="100" w:firstLine="210"/>
                    </w:pPr>
                    <w:r>
                      <w:rPr>
                        <w:rFonts w:hint="eastAsia"/>
                      </w:rPr>
                      <w:t>重氮反应釜</w:t>
                    </w:r>
                  </w:p>
                </w:txbxContent>
              </v:textbox>
            </v:rect>
            <v:rect id="矩形 19920" o:spid="_x0000_s21968" style="position:absolute;left:9402;top:7296;width:1726;height:510">
              <v:textbox>
                <w:txbxContent>
                  <w:p w:rsidR="00BD74CB" w:rsidRDefault="00BD74CB">
                    <w:pPr>
                      <w:ind w:firstLineChars="100" w:firstLine="210"/>
                    </w:pPr>
                    <w:r>
                      <w:rPr>
                        <w:rFonts w:hint="eastAsia"/>
                      </w:rPr>
                      <w:t>偶合反应釜</w:t>
                    </w:r>
                  </w:p>
                </w:txbxContent>
              </v:textbox>
            </v:rect>
            <v:rect id="矩形 19921" o:spid="_x0000_s21969" style="position:absolute;left:10184;top:8194;width:2960;height:465" filled="f" fillcolor="#030" stroked="f">
              <v:textbox>
                <w:txbxContent>
                  <w:p w:rsidR="00BD74CB" w:rsidRDefault="00BD74CB">
                    <w:pPr>
                      <w:rPr>
                        <w:sz w:val="18"/>
                        <w:szCs w:val="18"/>
                      </w:rPr>
                    </w:pPr>
                    <w:r>
                      <w:rPr>
                        <w:rFonts w:hint="eastAsia"/>
                        <w:sz w:val="18"/>
                        <w:szCs w:val="18"/>
                      </w:rPr>
                      <w:t>1-</w:t>
                    </w:r>
                    <w:r>
                      <w:rPr>
                        <w:rFonts w:hint="eastAsia"/>
                        <w:sz w:val="18"/>
                        <w:szCs w:val="18"/>
                      </w:rPr>
                      <w:t>苯基</w:t>
                    </w:r>
                    <w:r>
                      <w:rPr>
                        <w:rFonts w:hint="eastAsia"/>
                        <w:sz w:val="18"/>
                        <w:szCs w:val="18"/>
                      </w:rPr>
                      <w:t>-3-</w:t>
                    </w:r>
                    <w:r>
                      <w:rPr>
                        <w:rFonts w:hint="eastAsia"/>
                        <w:sz w:val="18"/>
                        <w:szCs w:val="18"/>
                      </w:rPr>
                      <w:t>甲基</w:t>
                    </w:r>
                    <w:r>
                      <w:rPr>
                        <w:rFonts w:hint="eastAsia"/>
                        <w:sz w:val="18"/>
                        <w:szCs w:val="18"/>
                      </w:rPr>
                      <w:t>-5-</w:t>
                    </w:r>
                    <w:r>
                      <w:rPr>
                        <w:rFonts w:hint="eastAsia"/>
                        <w:sz w:val="18"/>
                        <w:szCs w:val="18"/>
                      </w:rPr>
                      <w:t>氨基吡唑</w:t>
                    </w:r>
                    <w:r>
                      <w:rPr>
                        <w:rFonts w:hint="eastAsia"/>
                        <w:sz w:val="18"/>
                        <w:szCs w:val="18"/>
                      </w:rPr>
                      <w:t>855.2</w:t>
                    </w:r>
                  </w:p>
                </w:txbxContent>
              </v:textbox>
            </v:rect>
            <v:line id="直线 19922" o:spid="_x0000_s21970" style="position:absolute;flip:x" from="11126,7476" to="11682,7477">
              <v:stroke endarrow="block"/>
            </v:line>
            <v:rect id="矩形 19923" o:spid="_x0000_s21971" style="position:absolute;left:11624;top:7182;width:2068;height:646" filled="f" fillcolor="#030" stroked="f">
              <v:textbox>
                <w:txbxContent>
                  <w:p w:rsidR="00BD74CB" w:rsidRDefault="00BD74CB">
                    <w:pPr>
                      <w:rPr>
                        <w:sz w:val="18"/>
                        <w:szCs w:val="18"/>
                      </w:rPr>
                    </w:pPr>
                    <w:r>
                      <w:rPr>
                        <w:rFonts w:hint="eastAsia"/>
                        <w:sz w:val="18"/>
                        <w:szCs w:val="18"/>
                      </w:rPr>
                      <w:t>碳酸钠</w:t>
                    </w:r>
                    <w:r>
                      <w:rPr>
                        <w:rFonts w:hint="eastAsia"/>
                        <w:sz w:val="18"/>
                        <w:szCs w:val="18"/>
                      </w:rPr>
                      <w:t>274.93</w:t>
                    </w:r>
                    <w:r>
                      <w:rPr>
                        <w:rFonts w:hint="eastAsia"/>
                        <w:sz w:val="18"/>
                        <w:szCs w:val="18"/>
                      </w:rPr>
                      <w:t>，水</w:t>
                    </w:r>
                    <w:r>
                      <w:rPr>
                        <w:rFonts w:hint="eastAsia"/>
                        <w:sz w:val="18"/>
                        <w:szCs w:val="18"/>
                      </w:rPr>
                      <w:t>5000</w:t>
                    </w:r>
                    <w:r>
                      <w:rPr>
                        <w:rFonts w:hint="eastAsia"/>
                        <w:sz w:val="18"/>
                        <w:szCs w:val="18"/>
                      </w:rPr>
                      <w:t>，冰块</w:t>
                    </w:r>
                    <w:r>
                      <w:rPr>
                        <w:rFonts w:hint="eastAsia"/>
                        <w:sz w:val="18"/>
                        <w:szCs w:val="18"/>
                      </w:rPr>
                      <w:t>25000</w:t>
                    </w:r>
                  </w:p>
                  <w:p w:rsidR="00BD74CB" w:rsidRDefault="00BD74CB">
                    <w:pPr>
                      <w:rPr>
                        <w:sz w:val="18"/>
                        <w:szCs w:val="18"/>
                      </w:rPr>
                    </w:pPr>
                  </w:p>
                </w:txbxContent>
              </v:textbox>
            </v:rect>
            <v:rect id="矩形 19924" o:spid="_x0000_s21972" style="position:absolute;left:7484;top:7226;width:1776;height:465" filled="f" fillcolor="#030" stroked="f">
              <v:textbox>
                <w:txbxContent>
                  <w:p w:rsidR="00BD74CB" w:rsidRDefault="00BD74CB">
                    <w:pPr>
                      <w:rPr>
                        <w:sz w:val="18"/>
                        <w:szCs w:val="18"/>
                      </w:rPr>
                    </w:pPr>
                    <w:r>
                      <w:rPr>
                        <w:rFonts w:hint="eastAsia"/>
                        <w:sz w:val="18"/>
                        <w:szCs w:val="18"/>
                      </w:rPr>
                      <w:t>重氮液</w:t>
                    </w:r>
                    <w:r>
                      <w:rPr>
                        <w:rFonts w:hint="eastAsia"/>
                        <w:sz w:val="18"/>
                        <w:szCs w:val="18"/>
                      </w:rPr>
                      <w:t>32842.81</w:t>
                    </w:r>
                  </w:p>
                </w:txbxContent>
              </v:textbox>
            </v:rect>
            <v:rect id="矩形 19925" o:spid="_x0000_s21973" style="position:absolute;left:9420;top:8886;width:1726;height:510">
              <v:textbox>
                <w:txbxContent>
                  <w:p w:rsidR="00BD74CB" w:rsidRDefault="00BD74CB">
                    <w:pPr>
                      <w:ind w:firstLineChars="100" w:firstLine="210"/>
                    </w:pPr>
                    <w:r>
                      <w:rPr>
                        <w:rFonts w:hint="eastAsia"/>
                      </w:rPr>
                      <w:t>隔膜压滤机</w:t>
                    </w:r>
                  </w:p>
                </w:txbxContent>
              </v:textbox>
            </v:rect>
            <v:rect id="矩形 19927" o:spid="_x0000_s21975" style="position:absolute;left:8698;top:7814;width:1812;height:360" filled="f" fillcolor="#030" stroked="f">
              <v:textbox>
                <w:txbxContent>
                  <w:p w:rsidR="00BD74CB" w:rsidRDefault="00BD74CB">
                    <w:pPr>
                      <w:rPr>
                        <w:sz w:val="18"/>
                        <w:szCs w:val="18"/>
                      </w:rPr>
                    </w:pPr>
                    <w:r>
                      <w:rPr>
                        <w:rFonts w:hint="eastAsia"/>
                        <w:sz w:val="18"/>
                        <w:szCs w:val="18"/>
                      </w:rPr>
                      <w:t>偶合液</w:t>
                    </w:r>
                    <w:r>
                      <w:rPr>
                        <w:rFonts w:hint="eastAsia"/>
                        <w:sz w:val="18"/>
                        <w:szCs w:val="18"/>
                      </w:rPr>
                      <w:t>63881.77</w:t>
                    </w:r>
                  </w:p>
                </w:txbxContent>
              </v:textbox>
            </v:rect>
            <v:rect id="矩形 19929" o:spid="_x0000_s21977" style="position:absolute;left:9100;top:9594;width:1592;height:620" filled="f" fillcolor="#030" stroked="f">
              <v:textbox>
                <w:txbxContent>
                  <w:p w:rsidR="00BD74CB" w:rsidRDefault="00BD74CB">
                    <w:pPr>
                      <w:rPr>
                        <w:sz w:val="18"/>
                        <w:szCs w:val="18"/>
                      </w:rPr>
                    </w:pPr>
                    <w:r>
                      <w:rPr>
                        <w:rFonts w:hint="eastAsia"/>
                        <w:sz w:val="18"/>
                        <w:szCs w:val="18"/>
                      </w:rPr>
                      <w:t>滤饼</w:t>
                    </w:r>
                    <w:r>
                      <w:rPr>
                        <w:rFonts w:hint="eastAsia"/>
                        <w:sz w:val="18"/>
                        <w:szCs w:val="18"/>
                      </w:rPr>
                      <w:t>2741</w:t>
                    </w:r>
                  </w:p>
                  <w:p w:rsidR="00BD74CB" w:rsidRDefault="00BD74CB">
                    <w:pPr>
                      <w:rPr>
                        <w:sz w:val="18"/>
                        <w:szCs w:val="18"/>
                      </w:rPr>
                    </w:pPr>
                    <w:r>
                      <w:rPr>
                        <w:rFonts w:hint="eastAsia"/>
                        <w:sz w:val="18"/>
                        <w:szCs w:val="18"/>
                      </w:rPr>
                      <w:t>（含水</w:t>
                    </w:r>
                    <w:r>
                      <w:rPr>
                        <w:rFonts w:hint="eastAsia"/>
                        <w:sz w:val="18"/>
                        <w:szCs w:val="18"/>
                      </w:rPr>
                      <w:t>35%</w:t>
                    </w:r>
                    <w:r>
                      <w:rPr>
                        <w:rFonts w:hint="eastAsia"/>
                        <w:sz w:val="18"/>
                        <w:szCs w:val="18"/>
                      </w:rPr>
                      <w:t>）</w:t>
                    </w:r>
                  </w:p>
                </w:txbxContent>
              </v:textbox>
            </v:rect>
            <v:rect id="矩形 19930" o:spid="_x0000_s21978" style="position:absolute;left:9420;top:10454;width:1850;height:510">
              <v:textbox>
                <w:txbxContent>
                  <w:p w:rsidR="00BD74CB" w:rsidRDefault="00BD74CB">
                    <w:pPr>
                      <w:ind w:firstLineChars="200" w:firstLine="420"/>
                    </w:pPr>
                    <w:r>
                      <w:rPr>
                        <w:rFonts w:hint="eastAsia"/>
                      </w:rPr>
                      <w:t>烘</w:t>
                    </w:r>
                    <w:r>
                      <w:rPr>
                        <w:rFonts w:hint="eastAsia"/>
                      </w:rPr>
                      <w:t xml:space="preserve">   </w:t>
                    </w:r>
                    <w:r>
                      <w:rPr>
                        <w:rFonts w:hint="eastAsia"/>
                      </w:rPr>
                      <w:t>箱</w:t>
                    </w:r>
                  </w:p>
                </w:txbxContent>
              </v:textbox>
            </v:rect>
            <v:rect id="矩形 19931" o:spid="_x0000_s21979" style="position:absolute;left:13893;top:8659;width:854;height:465" filled="f" fillcolor="#030" stroked="f">
              <v:textbox>
                <w:txbxContent>
                  <w:p w:rsidR="00BD74CB" w:rsidRDefault="00BD74CB">
                    <w:r>
                      <w:rPr>
                        <w:rFonts w:hint="eastAsia"/>
                      </w:rPr>
                      <w:t>滤液</w:t>
                    </w:r>
                  </w:p>
                </w:txbxContent>
              </v:textbox>
            </v:rect>
            <v:line id="直线 19932" o:spid="_x0000_s21980" style="position:absolute;flip:x" from="8666,10729" to="9403,10730">
              <v:stroke endarrow="block"/>
            </v:line>
            <v:rect id="矩形 19933" o:spid="_x0000_s21981" style="position:absolute;left:7655;top:10546;width:1011;height:510">
              <v:textbox>
                <w:txbxContent>
                  <w:p w:rsidR="00BD74CB" w:rsidRDefault="00BD74CB">
                    <w:r>
                      <w:rPr>
                        <w:rFonts w:hint="eastAsia"/>
                      </w:rPr>
                      <w:t>破碎机</w:t>
                    </w:r>
                  </w:p>
                </w:txbxContent>
              </v:textbox>
            </v:rect>
            <v:line id="直线 19934" o:spid="_x0000_s21982" style="position:absolute" from="10644,7020" to="10645,7274">
              <v:stroke endarrow="block"/>
            </v:line>
            <v:line id="直线 19935" o:spid="_x0000_s21983" style="position:absolute" from="10644,7020" to="11138,7021"/>
            <v:rect id="矩形 19936" o:spid="_x0000_s21984" style="position:absolute;left:11138;top:6830;width:1486;height:390" filled="f" fillcolor="#030" stroked="f">
              <v:textbox>
                <w:txbxContent>
                  <w:p w:rsidR="00BD74CB" w:rsidRDefault="00BD74CB">
                    <w:pPr>
                      <w:rPr>
                        <w:sz w:val="18"/>
                        <w:szCs w:val="18"/>
                      </w:rPr>
                    </w:pPr>
                    <w:r>
                      <w:rPr>
                        <w:rFonts w:hint="eastAsia"/>
                        <w:sz w:val="18"/>
                        <w:szCs w:val="18"/>
                      </w:rPr>
                      <w:t>盐酸</w:t>
                    </w:r>
                    <w:r>
                      <w:rPr>
                        <w:rFonts w:hint="eastAsia"/>
                        <w:sz w:val="18"/>
                        <w:szCs w:val="18"/>
                      </w:rPr>
                      <w:t>20.7</w:t>
                    </w:r>
                  </w:p>
                </w:txbxContent>
              </v:textbox>
            </v:rect>
            <v:line id="直线 19937" o:spid="_x0000_s21985" style="position:absolute" from="4490,7632" to="5450,7632">
              <v:stroke endarrow="block"/>
            </v:line>
            <v:line id="直线 19938" o:spid="_x0000_s21986" style="position:absolute" from="7482,7618" to="9342,7618">
              <v:stroke endarrow="block"/>
            </v:line>
            <v:rect id="矩形 19939" o:spid="_x0000_s21987" style="position:absolute;left:4378;top:6490;width:2524;height:408" filled="f" fillcolor="#030" stroked="f">
              <v:textbox>
                <w:txbxContent>
                  <w:p w:rsidR="00BD74CB" w:rsidRDefault="00BD74CB">
                    <w:pPr>
                      <w:rPr>
                        <w:sz w:val="18"/>
                        <w:szCs w:val="18"/>
                      </w:rPr>
                    </w:pPr>
                    <w:r>
                      <w:rPr>
                        <w:rFonts w:hint="eastAsia"/>
                        <w:sz w:val="18"/>
                        <w:szCs w:val="18"/>
                      </w:rPr>
                      <w:t>冰块</w:t>
                    </w:r>
                    <w:r>
                      <w:rPr>
                        <w:rFonts w:hint="eastAsia"/>
                        <w:sz w:val="18"/>
                        <w:szCs w:val="18"/>
                      </w:rPr>
                      <w:t>20000</w:t>
                    </w:r>
                    <w:r>
                      <w:rPr>
                        <w:rFonts w:hint="eastAsia"/>
                        <w:sz w:val="18"/>
                        <w:szCs w:val="18"/>
                      </w:rPr>
                      <w:t>；亚硝酸钠</w:t>
                    </w:r>
                    <w:r>
                      <w:rPr>
                        <w:rFonts w:hint="eastAsia"/>
                        <w:sz w:val="18"/>
                        <w:szCs w:val="18"/>
                      </w:rPr>
                      <w:t>366</w:t>
                    </w:r>
                  </w:p>
                </w:txbxContent>
              </v:textbox>
            </v:rect>
            <v:line id="直线 19940" o:spid="_x0000_s21988" style="position:absolute" from="5682,6884" to="5683,7274">
              <v:stroke endarrow="block"/>
            </v:line>
            <v:line id="直线 19941" o:spid="_x0000_s21989" style="position:absolute;flip:y" from="10692,7828" to="10692,8248">
              <v:stroke endarrow="block"/>
            </v:line>
            <v:line id="直线 19943" o:spid="_x0000_s21991" style="position:absolute;flip:y" from="10318,6572" to="10319,7252">
              <v:stroke endarrow="block"/>
            </v:line>
            <v:line id="直线 19944" o:spid="_x0000_s21992" style="position:absolute" from="10242,7814" to="10242,8864">
              <v:stroke endarrow="block"/>
            </v:line>
            <v:rect id="矩形 19946" o:spid="_x0000_s21994" style="position:absolute;left:3311;top:10426;width:2354;height:672" filled="f" fillcolor="#030" stroked="f">
              <v:textbox>
                <w:txbxContent>
                  <w:p w:rsidR="00BD74CB" w:rsidRDefault="00BD74CB">
                    <w:pPr>
                      <w:rPr>
                        <w:sz w:val="18"/>
                        <w:szCs w:val="18"/>
                      </w:rPr>
                    </w:pPr>
                    <w:r>
                      <w:rPr>
                        <w:rFonts w:hint="eastAsia"/>
                        <w:sz w:val="18"/>
                        <w:szCs w:val="18"/>
                      </w:rPr>
                      <w:t>产品</w:t>
                    </w:r>
                    <w:r>
                      <w:rPr>
                        <w:rFonts w:hint="eastAsia"/>
                        <w:sz w:val="18"/>
                        <w:szCs w:val="18"/>
                      </w:rPr>
                      <w:t>2000</w:t>
                    </w:r>
                    <w:r>
                      <w:rPr>
                        <w:rFonts w:hint="eastAsia"/>
                        <w:sz w:val="18"/>
                        <w:szCs w:val="18"/>
                      </w:rPr>
                      <w:t>：酸性黄</w:t>
                    </w:r>
                    <w:r>
                      <w:rPr>
                        <w:rFonts w:hint="eastAsia"/>
                        <w:sz w:val="18"/>
                        <w:szCs w:val="18"/>
                      </w:rPr>
                      <w:t>1980</w:t>
                    </w:r>
                    <w:r>
                      <w:rPr>
                        <w:rFonts w:hint="eastAsia"/>
                        <w:sz w:val="18"/>
                        <w:szCs w:val="18"/>
                      </w:rPr>
                      <w:t>；水</w:t>
                    </w:r>
                    <w:r>
                      <w:rPr>
                        <w:rFonts w:hint="eastAsia"/>
                        <w:sz w:val="18"/>
                        <w:szCs w:val="18"/>
                      </w:rPr>
                      <w:t>15</w:t>
                    </w:r>
                    <w:r>
                      <w:rPr>
                        <w:rFonts w:hint="eastAsia"/>
                        <w:sz w:val="18"/>
                        <w:szCs w:val="18"/>
                      </w:rPr>
                      <w:t>；钠盐等</w:t>
                    </w:r>
                    <w:r>
                      <w:rPr>
                        <w:rFonts w:hint="eastAsia"/>
                        <w:sz w:val="18"/>
                        <w:szCs w:val="18"/>
                      </w:rPr>
                      <w:t>5</w:t>
                    </w:r>
                  </w:p>
                  <w:p w:rsidR="00BD74CB" w:rsidRDefault="00BD74CB"/>
                </w:txbxContent>
              </v:textbox>
            </v:rect>
            <v:rect id="矩形 19947" o:spid="_x0000_s21995" style="position:absolute;left:13879;top:9460;width:1776;height:1836" filled="f" fillcolor="#030" stroked="f">
              <v:textbox>
                <w:txbxContent>
                  <w:p w:rsidR="00BD74CB" w:rsidRDefault="00BD74CB">
                    <w:pPr>
                      <w:rPr>
                        <w:sz w:val="18"/>
                        <w:szCs w:val="18"/>
                      </w:rPr>
                    </w:pPr>
                    <w:r>
                      <w:rPr>
                        <w:rFonts w:hint="eastAsia"/>
                        <w:sz w:val="18"/>
                        <w:szCs w:val="18"/>
                      </w:rPr>
                      <w:t>W2</w:t>
                    </w:r>
                    <w:r>
                      <w:rPr>
                        <w:rFonts w:hint="eastAsia"/>
                        <w:sz w:val="18"/>
                        <w:szCs w:val="18"/>
                      </w:rPr>
                      <w:t>滤液</w:t>
                    </w:r>
                    <w:r>
                      <w:rPr>
                        <w:rFonts w:hint="eastAsia"/>
                        <w:sz w:val="18"/>
                        <w:szCs w:val="18"/>
                      </w:rPr>
                      <w:t>60619.96</w:t>
                    </w:r>
                    <w:r>
                      <w:rPr>
                        <w:rFonts w:hint="eastAsia"/>
                        <w:sz w:val="18"/>
                        <w:szCs w:val="18"/>
                      </w:rPr>
                      <w:t>：水</w:t>
                    </w:r>
                    <w:r>
                      <w:rPr>
                        <w:rFonts w:hint="eastAsia"/>
                        <w:sz w:val="18"/>
                        <w:szCs w:val="18"/>
                      </w:rPr>
                      <w:t>59818.09</w:t>
                    </w:r>
                    <w:r>
                      <w:rPr>
                        <w:rFonts w:hint="eastAsia"/>
                        <w:sz w:val="18"/>
                        <w:szCs w:val="18"/>
                      </w:rPr>
                      <w:t>，有机物质</w:t>
                    </w:r>
                    <w:r>
                      <w:rPr>
                        <w:rFonts w:hint="eastAsia"/>
                        <w:sz w:val="18"/>
                        <w:szCs w:val="18"/>
                      </w:rPr>
                      <w:t>139.87</w:t>
                    </w:r>
                    <w:r>
                      <w:rPr>
                        <w:rFonts w:hint="eastAsia"/>
                        <w:sz w:val="18"/>
                        <w:szCs w:val="18"/>
                      </w:rPr>
                      <w:t>，钠盐</w:t>
                    </w:r>
                    <w:r>
                      <w:rPr>
                        <w:rFonts w:hint="eastAsia"/>
                        <w:sz w:val="18"/>
                        <w:szCs w:val="18"/>
                      </w:rPr>
                      <w:t>596.49</w:t>
                    </w:r>
                    <w:r>
                      <w:rPr>
                        <w:rFonts w:hint="eastAsia"/>
                        <w:sz w:val="18"/>
                        <w:szCs w:val="18"/>
                      </w:rPr>
                      <w:t>，原料带入杂质</w:t>
                    </w:r>
                    <w:r>
                      <w:rPr>
                        <w:rFonts w:hint="eastAsia"/>
                        <w:sz w:val="18"/>
                        <w:szCs w:val="18"/>
                      </w:rPr>
                      <w:t>38.97</w:t>
                    </w:r>
                    <w:r>
                      <w:rPr>
                        <w:rFonts w:hint="eastAsia"/>
                        <w:sz w:val="18"/>
                        <w:szCs w:val="18"/>
                      </w:rPr>
                      <w:t>，吡唑</w:t>
                    </w:r>
                    <w:r>
                      <w:rPr>
                        <w:rFonts w:hint="eastAsia"/>
                        <w:sz w:val="18"/>
                        <w:szCs w:val="18"/>
                      </w:rPr>
                      <w:t>25.13</w:t>
                    </w:r>
                    <w:r>
                      <w:rPr>
                        <w:rFonts w:hint="eastAsia"/>
                        <w:sz w:val="18"/>
                        <w:szCs w:val="18"/>
                      </w:rPr>
                      <w:t>，氯化铵</w:t>
                    </w:r>
                    <w:r>
                      <w:rPr>
                        <w:rFonts w:hint="eastAsia"/>
                        <w:sz w:val="18"/>
                        <w:szCs w:val="18"/>
                      </w:rPr>
                      <w:t>0.44</w:t>
                    </w:r>
                    <w:r>
                      <w:rPr>
                        <w:rFonts w:hint="eastAsia"/>
                        <w:sz w:val="18"/>
                        <w:szCs w:val="18"/>
                      </w:rPr>
                      <w:t>，盐酸</w:t>
                    </w:r>
                    <w:r>
                      <w:rPr>
                        <w:rFonts w:hint="eastAsia"/>
                        <w:sz w:val="18"/>
                        <w:szCs w:val="18"/>
                      </w:rPr>
                      <w:t>0.97</w:t>
                    </w:r>
                  </w:p>
                </w:txbxContent>
              </v:textbox>
            </v:rect>
            <v:line id="直线 19948" o:spid="_x0000_s21996" style="position:absolute;flip:x" from="5450,10756" to="6130,10757">
              <v:stroke endarrow="block"/>
            </v:line>
            <v:line id="直线 19949" o:spid="_x0000_s21997" style="position:absolute;flip:x y" from="8159,10232" to="8175,10562">
              <v:stroke endarrow="block"/>
            </v:line>
            <v:rect id="矩形 19950" o:spid="_x0000_s21998" style="position:absolute;left:5784;top:9780;width:1764;height:452" filled="f" fillcolor="#030" stroked="f">
              <v:textbox>
                <w:txbxContent>
                  <w:p w:rsidR="00BD74CB" w:rsidRDefault="00BD74CB">
                    <w:pPr>
                      <w:rPr>
                        <w:sz w:val="18"/>
                        <w:szCs w:val="18"/>
                      </w:rPr>
                    </w:pPr>
                    <w:r>
                      <w:rPr>
                        <w:rFonts w:hint="eastAsia"/>
                        <w:sz w:val="18"/>
                        <w:szCs w:val="18"/>
                      </w:rPr>
                      <w:t>G9</w:t>
                    </w:r>
                    <w:r>
                      <w:rPr>
                        <w:rFonts w:hint="eastAsia"/>
                        <w:sz w:val="18"/>
                        <w:szCs w:val="18"/>
                      </w:rPr>
                      <w:t>：粉尘</w:t>
                    </w:r>
                    <w:r>
                      <w:rPr>
                        <w:rFonts w:hint="eastAsia"/>
                        <w:sz w:val="18"/>
                        <w:szCs w:val="18"/>
                      </w:rPr>
                      <w:t>1.98</w:t>
                    </w:r>
                  </w:p>
                  <w:p w:rsidR="00BD74CB" w:rsidRDefault="00BD74CB">
                    <w:pPr>
                      <w:rPr>
                        <w:sz w:val="18"/>
                        <w:szCs w:val="18"/>
                      </w:rPr>
                    </w:pPr>
                  </w:p>
                </w:txbxContent>
              </v:textbox>
            </v:rect>
            <v:line id="直线 19951" o:spid="_x0000_s21999" style="position:absolute" from="10264,9420" to="10264,10454">
              <v:stroke endarrow="block"/>
            </v:line>
            <v:line id="直线 19958" o:spid="_x0000_s22006" style="position:absolute;flip:y" from="11125,10154" to="11126,10454">
              <v:stroke endarrow="block"/>
            </v:line>
            <v:rect id="矩形 19969" o:spid="_x0000_s22017" style="position:absolute;left:10318;top:9594;width:2163;height:620" filled="f" fillcolor="#030" stroked="f">
              <v:textbox>
                <w:txbxContent>
                  <w:p w:rsidR="00BD74CB" w:rsidRDefault="00BD74CB">
                    <w:pPr>
                      <w:rPr>
                        <w:sz w:val="18"/>
                        <w:szCs w:val="18"/>
                      </w:rPr>
                    </w:pPr>
                    <w:r>
                      <w:rPr>
                        <w:rFonts w:hint="eastAsia"/>
                        <w:sz w:val="18"/>
                        <w:szCs w:val="18"/>
                      </w:rPr>
                      <w:t>G9</w:t>
                    </w:r>
                    <w:r>
                      <w:rPr>
                        <w:rFonts w:hint="eastAsia"/>
                        <w:sz w:val="18"/>
                        <w:szCs w:val="18"/>
                      </w:rPr>
                      <w:t>蒸汽：</w:t>
                    </w:r>
                    <w:r>
                      <w:rPr>
                        <w:rFonts w:hint="eastAsia"/>
                        <w:sz w:val="18"/>
                        <w:szCs w:val="18"/>
                      </w:rPr>
                      <w:t>1256.8</w:t>
                    </w:r>
                    <w:r>
                      <w:rPr>
                        <w:rFonts w:hint="eastAsia"/>
                        <w:sz w:val="18"/>
                        <w:szCs w:val="18"/>
                      </w:rPr>
                      <w:t>，</w:t>
                    </w:r>
                  </w:p>
                  <w:p w:rsidR="00BD74CB" w:rsidRDefault="00BD74CB">
                    <w:pPr>
                      <w:rPr>
                        <w:sz w:val="18"/>
                        <w:szCs w:val="18"/>
                      </w:rPr>
                    </w:pPr>
                    <w:r>
                      <w:rPr>
                        <w:rFonts w:hint="eastAsia"/>
                        <w:sz w:val="18"/>
                        <w:szCs w:val="18"/>
                      </w:rPr>
                      <w:t>粉尘</w:t>
                    </w:r>
                    <w:r>
                      <w:rPr>
                        <w:rFonts w:hint="eastAsia"/>
                        <w:sz w:val="18"/>
                        <w:szCs w:val="18"/>
                      </w:rPr>
                      <w:t>0.4</w:t>
                    </w:r>
                    <w:r>
                      <w:rPr>
                        <w:rFonts w:hint="eastAsia"/>
                        <w:sz w:val="18"/>
                        <w:szCs w:val="18"/>
                      </w:rPr>
                      <w:t>，氯化氢</w:t>
                    </w:r>
                    <w:r>
                      <w:rPr>
                        <w:rFonts w:hint="eastAsia"/>
                        <w:sz w:val="18"/>
                        <w:szCs w:val="18"/>
                      </w:rPr>
                      <w:t>0.01</w:t>
                    </w:r>
                  </w:p>
                  <w:p w:rsidR="00BD74CB" w:rsidRDefault="00BD74CB">
                    <w:pPr>
                      <w:rPr>
                        <w:sz w:val="18"/>
                        <w:szCs w:val="18"/>
                      </w:rPr>
                    </w:pPr>
                  </w:p>
                </w:txbxContent>
              </v:textbox>
            </v:rect>
            <v:line id="直线 19976" o:spid="_x0000_s22024" style="position:absolute;flip:y" from="6214,6990" to="6214,7290"/>
            <v:rect id="矩形 19977" o:spid="_x0000_s22025" style="position:absolute;left:6614;top:6689;width:2728;height:601" filled="f" fillcolor="#030" stroked="f">
              <v:textbox>
                <w:txbxContent>
                  <w:p w:rsidR="00BD74CB" w:rsidRDefault="00BD74CB">
                    <w:pPr>
                      <w:rPr>
                        <w:sz w:val="18"/>
                        <w:szCs w:val="18"/>
                      </w:rPr>
                    </w:pPr>
                    <w:r>
                      <w:rPr>
                        <w:rFonts w:hint="eastAsia"/>
                        <w:sz w:val="18"/>
                        <w:szCs w:val="18"/>
                      </w:rPr>
                      <w:t>G7</w:t>
                    </w:r>
                    <w:r>
                      <w:rPr>
                        <w:rFonts w:hint="eastAsia"/>
                        <w:sz w:val="18"/>
                        <w:szCs w:val="18"/>
                      </w:rPr>
                      <w:t>氮气</w:t>
                    </w:r>
                    <w:r>
                      <w:rPr>
                        <w:rFonts w:hint="eastAsia"/>
                        <w:sz w:val="18"/>
                        <w:szCs w:val="18"/>
                      </w:rPr>
                      <w:t>5.71</w:t>
                    </w:r>
                    <w:r>
                      <w:rPr>
                        <w:rFonts w:hint="eastAsia"/>
                        <w:sz w:val="18"/>
                        <w:szCs w:val="18"/>
                      </w:rPr>
                      <w:t>，二氧化碳</w:t>
                    </w:r>
                    <w:r>
                      <w:rPr>
                        <w:rFonts w:hint="eastAsia"/>
                        <w:sz w:val="18"/>
                        <w:szCs w:val="18"/>
                      </w:rPr>
                      <w:t>4.71</w:t>
                    </w:r>
                    <w:r>
                      <w:rPr>
                        <w:rFonts w:hint="eastAsia"/>
                        <w:sz w:val="18"/>
                        <w:szCs w:val="18"/>
                      </w:rPr>
                      <w:t>，</w:t>
                    </w:r>
                  </w:p>
                  <w:p w:rsidR="00BD74CB" w:rsidRDefault="00BD74CB">
                    <w:pPr>
                      <w:rPr>
                        <w:sz w:val="18"/>
                        <w:szCs w:val="18"/>
                      </w:rPr>
                    </w:pPr>
                    <w:r>
                      <w:rPr>
                        <w:rFonts w:hint="eastAsia"/>
                        <w:sz w:val="18"/>
                        <w:szCs w:val="18"/>
                      </w:rPr>
                      <w:t>氯化氢</w:t>
                    </w:r>
                    <w:r>
                      <w:rPr>
                        <w:rFonts w:hint="eastAsia"/>
                        <w:sz w:val="18"/>
                        <w:szCs w:val="18"/>
                      </w:rPr>
                      <w:t>1.90</w:t>
                    </w:r>
                    <w:r>
                      <w:rPr>
                        <w:rFonts w:hint="eastAsia"/>
                        <w:sz w:val="18"/>
                        <w:szCs w:val="18"/>
                      </w:rPr>
                      <w:t>，氨气</w:t>
                    </w:r>
                    <w:r>
                      <w:rPr>
                        <w:rFonts w:hint="eastAsia"/>
                        <w:sz w:val="18"/>
                        <w:szCs w:val="18"/>
                      </w:rPr>
                      <w:t>0.03</w:t>
                    </w:r>
                  </w:p>
                </w:txbxContent>
              </v:textbox>
            </v:rect>
            <v:line id="直线 19978" o:spid="_x0000_s22026" style="position:absolute;flip:y" from="6304,7784" to="6304,8070">
              <v:stroke endarrow="block"/>
            </v:line>
            <v:rect id="矩形 19979" o:spid="_x0000_s22027" style="position:absolute;left:5784;top:8022;width:1294;height:432" filled="f" fillcolor="#030" stroked="f">
              <v:textbox>
                <w:txbxContent>
                  <w:p w:rsidR="00BD74CB" w:rsidRDefault="00BD74CB">
                    <w:pPr>
                      <w:rPr>
                        <w:sz w:val="18"/>
                        <w:szCs w:val="18"/>
                      </w:rPr>
                    </w:pPr>
                    <w:r>
                      <w:rPr>
                        <w:rFonts w:hint="eastAsia"/>
                        <w:sz w:val="18"/>
                        <w:szCs w:val="18"/>
                      </w:rPr>
                      <w:t>尿素</w:t>
                    </w:r>
                    <w:r>
                      <w:rPr>
                        <w:rFonts w:hint="eastAsia"/>
                        <w:sz w:val="18"/>
                        <w:szCs w:val="18"/>
                      </w:rPr>
                      <w:t>6.55</w:t>
                    </w:r>
                  </w:p>
                  <w:p w:rsidR="00BD74CB" w:rsidRDefault="00BD74CB">
                    <w:pPr>
                      <w:rPr>
                        <w:sz w:val="18"/>
                        <w:szCs w:val="18"/>
                      </w:rPr>
                    </w:pPr>
                  </w:p>
                </w:txbxContent>
              </v:textbox>
            </v:rect>
            <v:line id="直线 19980" o:spid="_x0000_s22028" style="position:absolute" from="6200,7004" to="6484,7004">
              <v:stroke endarrow="block"/>
            </v:line>
            <v:line id="直线 19937" o:spid="_x0000_s22353" style="position:absolute" from="11154,9150" to="12458,9151">
              <v:stroke endarrow="block"/>
            </v:line>
            <v:rect id="矩形 19977" o:spid="_x0000_s22354" style="position:absolute;left:11097;top:8773;width:1499;height:457" filled="f" fillcolor="#030" stroked="f">
              <v:textbox>
                <w:txbxContent>
                  <w:p w:rsidR="00BD74CB" w:rsidRDefault="00BD74CB">
                    <w:pPr>
                      <w:rPr>
                        <w:sz w:val="18"/>
                        <w:szCs w:val="18"/>
                      </w:rPr>
                    </w:pPr>
                    <w:r>
                      <w:rPr>
                        <w:rFonts w:hint="eastAsia"/>
                        <w:sz w:val="18"/>
                        <w:szCs w:val="18"/>
                      </w:rPr>
                      <w:t>滤液</w:t>
                    </w:r>
                    <w:r>
                      <w:rPr>
                        <w:rFonts w:hint="eastAsia"/>
                        <w:sz w:val="18"/>
                        <w:szCs w:val="18"/>
                      </w:rPr>
                      <w:t>61140.72</w:t>
                    </w:r>
                  </w:p>
                </w:txbxContent>
              </v:textbox>
            </v:rect>
            <v:rect id="矩形 19890" o:spid="_x0000_s22357" style="position:absolute;left:12481;top:8910;width:1412;height:510">
              <v:textbox>
                <w:txbxContent>
                  <w:p w:rsidR="00BD74CB" w:rsidRDefault="00BD74CB">
                    <w:r>
                      <w:rPr>
                        <w:rFonts w:hint="eastAsia"/>
                      </w:rPr>
                      <w:t>隔油沉淀池</w:t>
                    </w:r>
                  </w:p>
                </w:txbxContent>
              </v:textbox>
            </v:rect>
            <v:line id="直线 19944" o:spid="_x0000_s22358" style="position:absolute" from="13348,9426" to="13349,10730">
              <v:stroke endarrow="block"/>
            </v:line>
            <v:line id="直线 19932" o:spid="_x0000_s22359" style="position:absolute;flip:x" from="11270,10714" to="13368,10715">
              <v:stroke endarrow="block"/>
            </v:line>
            <v:rect id="矩形 19921" o:spid="_x0000_s22360" style="position:absolute;left:11470;top:10154;width:1763;height:599" filled="f" fillcolor="#030" stroked="f">
              <v:textbox>
                <w:txbxContent>
                  <w:p w:rsidR="00BD74CB" w:rsidRDefault="00BD74CB">
                    <w:pPr>
                      <w:rPr>
                        <w:sz w:val="18"/>
                        <w:szCs w:val="18"/>
                      </w:rPr>
                    </w:pPr>
                    <w:r>
                      <w:rPr>
                        <w:rFonts w:hint="eastAsia"/>
                        <w:sz w:val="18"/>
                        <w:szCs w:val="18"/>
                      </w:rPr>
                      <w:t>沉淀渣</w:t>
                    </w:r>
                    <w:r>
                      <w:rPr>
                        <w:rFonts w:hint="eastAsia"/>
                        <w:sz w:val="18"/>
                        <w:szCs w:val="18"/>
                      </w:rPr>
                      <w:t>520.76</w:t>
                    </w:r>
                  </w:p>
                  <w:p w:rsidR="00BD74CB" w:rsidRDefault="00BD74CB">
                    <w:pPr>
                      <w:rPr>
                        <w:sz w:val="18"/>
                        <w:szCs w:val="18"/>
                      </w:rPr>
                    </w:pPr>
                    <w:r>
                      <w:rPr>
                        <w:rFonts w:hint="eastAsia"/>
                        <w:sz w:val="18"/>
                        <w:szCs w:val="18"/>
                      </w:rPr>
                      <w:t>（含水</w:t>
                    </w:r>
                    <w:r>
                      <w:rPr>
                        <w:rFonts w:hint="eastAsia"/>
                        <w:sz w:val="18"/>
                        <w:szCs w:val="18"/>
                      </w:rPr>
                      <w:t>60%</w:t>
                    </w:r>
                    <w:r>
                      <w:rPr>
                        <w:rFonts w:hint="eastAsia"/>
                        <w:sz w:val="18"/>
                        <w:szCs w:val="18"/>
                      </w:rPr>
                      <w:t>）</w:t>
                    </w:r>
                  </w:p>
                </w:txbxContent>
              </v:textbox>
            </v:rect>
            <v:line id="直线 19938" o:spid="_x0000_s22365" style="position:absolute" from="13879,9151" to="14446,9152">
              <v:stroke endarrow="block"/>
            </v:line>
            <v:line id="直线 19951" o:spid="_x0000_s22366" style="position:absolute" from="14432,9148" to="14433,9488">
              <v:stroke endarrow="block"/>
            </v:line>
            <v:line id="直线 19943" o:spid="_x0000_s22367" style="position:absolute;flip:y" from="9707,8632" to="9708,8859">
              <v:stroke endarrow="block"/>
            </v:line>
            <v:rect id="矩形 19921" o:spid="_x0000_s22368" style="position:absolute;left:8846;top:8370;width:1473;height:403" filled="f" fillcolor="#030" stroked="f">
              <v:textbox>
                <w:txbxContent>
                  <w:p w:rsidR="00BD74CB" w:rsidRDefault="00BD74CB">
                    <w:pPr>
                      <w:rPr>
                        <w:sz w:val="18"/>
                        <w:szCs w:val="18"/>
                      </w:rPr>
                    </w:pPr>
                    <w:r>
                      <w:rPr>
                        <w:rFonts w:hint="eastAsia"/>
                        <w:sz w:val="18"/>
                        <w:szCs w:val="18"/>
                      </w:rPr>
                      <w:t>氯化氢：</w:t>
                    </w:r>
                    <w:r>
                      <w:rPr>
                        <w:rFonts w:hint="eastAsia"/>
                        <w:sz w:val="18"/>
                        <w:szCs w:val="18"/>
                      </w:rPr>
                      <w:t>0.05</w:t>
                    </w:r>
                  </w:p>
                </w:txbxContent>
              </v:textbox>
            </v:rect>
            <v:rect id="矩形 19933" o:spid="_x0000_s22461" style="position:absolute;left:6130;top:10520;width:836;height:510">
              <v:textbox>
                <w:txbxContent>
                  <w:p w:rsidR="00BD74CB" w:rsidRDefault="00BD74CB">
                    <w:r>
                      <w:rPr>
                        <w:rFonts w:hint="eastAsia"/>
                      </w:rPr>
                      <w:t>包装</w:t>
                    </w:r>
                  </w:p>
                </w:txbxContent>
              </v:textbox>
            </v:rect>
            <v:line id="直线 19948" o:spid="_x0000_s22462" style="position:absolute;flip:x" from="6980,10755" to="7660,10756">
              <v:stroke endarrow="block"/>
            </v:line>
            <v:line id="直线 19949" o:spid="_x0000_s22463" style="position:absolute;flip:x y" from="6484,10154" to="6500,10484">
              <v:stroke endarrow="block"/>
            </v:line>
            <v:rect id="矩形 19950" o:spid="_x0000_s22464" style="position:absolute;left:7736;top:10076;width:1764;height:452" filled="f" fillcolor="#030" stroked="f">
              <v:textbox>
                <w:txbxContent>
                  <w:p w:rsidR="00BD74CB" w:rsidRDefault="00BD74CB">
                    <w:pPr>
                      <w:rPr>
                        <w:sz w:val="18"/>
                        <w:szCs w:val="18"/>
                      </w:rPr>
                    </w:pPr>
                    <w:r>
                      <w:rPr>
                        <w:rFonts w:hint="eastAsia"/>
                        <w:sz w:val="18"/>
                        <w:szCs w:val="18"/>
                      </w:rPr>
                      <w:t>G9</w:t>
                    </w:r>
                    <w:r>
                      <w:rPr>
                        <w:rFonts w:hint="eastAsia"/>
                        <w:sz w:val="18"/>
                        <w:szCs w:val="18"/>
                      </w:rPr>
                      <w:t>：粉尘</w:t>
                    </w:r>
                    <w:r>
                      <w:rPr>
                        <w:rFonts w:hint="eastAsia"/>
                        <w:sz w:val="18"/>
                        <w:szCs w:val="18"/>
                      </w:rPr>
                      <w:t>2.57</w:t>
                    </w:r>
                  </w:p>
                  <w:p w:rsidR="00BD74CB" w:rsidRDefault="00BD74CB">
                    <w:pPr>
                      <w:rPr>
                        <w:sz w:val="18"/>
                        <w:szCs w:val="18"/>
                      </w:rPr>
                    </w:pPr>
                  </w:p>
                </w:txbxContent>
              </v:textbox>
            </v:rect>
            <w10:wrap type="none"/>
            <w10:anchorlock/>
          </v:group>
        </w:pict>
      </w:r>
    </w:p>
    <w:p w:rsidR="00475650" w:rsidRDefault="00475650">
      <w:pPr>
        <w:rPr>
          <w:sz w:val="24"/>
        </w:rPr>
      </w:pPr>
    </w:p>
    <w:p w:rsidR="00475650" w:rsidRDefault="00475650">
      <w:pPr>
        <w:rPr>
          <w:sz w:val="24"/>
        </w:rPr>
      </w:pPr>
    </w:p>
    <w:p w:rsidR="00475650" w:rsidRDefault="00475650">
      <w:pPr>
        <w:rPr>
          <w:sz w:val="24"/>
        </w:rPr>
      </w:pPr>
    </w:p>
    <w:p w:rsidR="00475650" w:rsidRDefault="00475650">
      <w:pPr>
        <w:spacing w:line="360" w:lineRule="auto"/>
        <w:ind w:firstLineChars="25" w:firstLine="60"/>
        <w:jc w:val="center"/>
        <w:rPr>
          <w:sz w:val="24"/>
        </w:rPr>
      </w:pPr>
      <w:r>
        <w:rPr>
          <w:rFonts w:hAnsi="宋体"/>
          <w:sz w:val="24"/>
        </w:rPr>
        <w:t>图</w:t>
      </w:r>
      <w:r>
        <w:rPr>
          <w:sz w:val="24"/>
        </w:rPr>
        <w:t>3-</w:t>
      </w:r>
      <w:r>
        <w:rPr>
          <w:rFonts w:hint="eastAsia"/>
          <w:sz w:val="24"/>
        </w:rPr>
        <w:t>5</w:t>
      </w:r>
      <w:r>
        <w:rPr>
          <w:sz w:val="24"/>
        </w:rPr>
        <w:t xml:space="preserve">  </w:t>
      </w:r>
      <w:r>
        <w:rPr>
          <w:rFonts w:hAnsi="宋体"/>
          <w:sz w:val="24"/>
        </w:rPr>
        <w:t>酸性黄</w:t>
      </w:r>
      <w:r>
        <w:rPr>
          <w:sz w:val="24"/>
        </w:rPr>
        <w:t>49</w:t>
      </w:r>
      <w:r>
        <w:rPr>
          <w:rFonts w:hAnsi="宋体"/>
          <w:sz w:val="24"/>
        </w:rPr>
        <w:t>总物料平衡图</w:t>
      </w:r>
      <w:r>
        <w:rPr>
          <w:sz w:val="24"/>
        </w:rPr>
        <w:t xml:space="preserve">   </w:t>
      </w:r>
      <w:r>
        <w:rPr>
          <w:rFonts w:hAnsi="宋体"/>
          <w:sz w:val="24"/>
        </w:rPr>
        <w:t>单位：</w:t>
      </w:r>
      <w:r>
        <w:rPr>
          <w:sz w:val="24"/>
        </w:rPr>
        <w:t>t/a</w:t>
      </w:r>
    </w:p>
    <w:p w:rsidR="00475650" w:rsidRDefault="00475650">
      <w:pPr>
        <w:spacing w:line="360" w:lineRule="auto"/>
        <w:ind w:firstLineChars="25" w:firstLine="60"/>
        <w:jc w:val="center"/>
        <w:rPr>
          <w:sz w:val="24"/>
        </w:rPr>
      </w:pPr>
    </w:p>
    <w:p w:rsidR="00475650" w:rsidRDefault="006F27A1">
      <w:pPr>
        <w:spacing w:line="360" w:lineRule="auto"/>
        <w:ind w:firstLineChars="25" w:firstLine="60"/>
        <w:jc w:val="center"/>
        <w:rPr>
          <w:sz w:val="24"/>
        </w:rPr>
      </w:pPr>
      <w:r>
        <w:rPr>
          <w:sz w:val="24"/>
        </w:rPr>
      </w:r>
      <w:r>
        <w:rPr>
          <w:sz w:val="24"/>
        </w:rPr>
        <w:pict>
          <v:group id="画布 19239" o:spid="_x0000_s21287" editas="canvas" style="width:639.2pt;height:151.9pt;mso-position-horizontal-relative:char;mso-position-vertical-relative:line" coordorigin="-2044,7068" coordsize="12784,3038">
            <o:lock v:ext="edit" aspectratio="t" text="t"/>
            <o:diagram v:ext="edit" dgmstyle="0" dgmscalex="0" dgmscaley="0"/>
            <v:shape id="_x0000_s21288" type="#_x0000_t75" style="position:absolute;left:-2044;top:7068;width:12784;height:3038" o:preferrelative="f">
              <v:path o:extrusionok="t"/>
              <o:lock v:ext="edit" rotation="t" text="t"/>
              <o:diagram v:ext="edit" dgmstyle="0" dgmscalex="0" dgmscaley="0"/>
            </v:shape>
            <v:rect id="矩形 19241" o:spid="_x0000_s21289" style="position:absolute;left:-2000;top:8266;width:2028;height:766" filled="f" fillcolor="#030" stroked="f">
              <v:textbox>
                <w:txbxContent>
                  <w:p w:rsidR="00BD74CB" w:rsidRDefault="00BD74CB">
                    <w:pPr>
                      <w:rPr>
                        <w:szCs w:val="21"/>
                      </w:rPr>
                    </w:pPr>
                    <w:r>
                      <w:rPr>
                        <w:rFonts w:hint="eastAsia"/>
                        <w:szCs w:val="21"/>
                      </w:rPr>
                      <w:t>浓盐酸含氯元素：</w:t>
                    </w:r>
                    <w:r>
                      <w:rPr>
                        <w:rFonts w:hint="eastAsia"/>
                        <w:szCs w:val="21"/>
                      </w:rPr>
                      <w:t>952.46</w:t>
                    </w:r>
                  </w:p>
                  <w:p w:rsidR="00BD74CB" w:rsidRDefault="00BD74CB">
                    <w:pPr>
                      <w:rPr>
                        <w:szCs w:val="18"/>
                      </w:rPr>
                    </w:pPr>
                  </w:p>
                </w:txbxContent>
              </v:textbox>
            </v:rect>
            <v:rect id="矩形 19242" o:spid="_x0000_s21290" style="position:absolute;left:2012;top:7800;width:2416;height:510">
              <v:textbox>
                <w:txbxContent>
                  <w:p w:rsidR="00BD74CB" w:rsidRDefault="00BD74CB">
                    <w:r>
                      <w:rPr>
                        <w:rFonts w:hint="eastAsia"/>
                      </w:rPr>
                      <w:t>酸性红生产线重氮反应</w:t>
                    </w:r>
                  </w:p>
                </w:txbxContent>
              </v:textbox>
            </v:rect>
            <v:rect id="矩形 19243" o:spid="_x0000_s21291" style="position:absolute;left:1984;top:9270;width:2416;height:510">
              <v:textbox>
                <w:txbxContent>
                  <w:p w:rsidR="00BD74CB" w:rsidRDefault="00BD74CB">
                    <w:r>
                      <w:rPr>
                        <w:rFonts w:hint="eastAsia"/>
                      </w:rPr>
                      <w:t>酸性黄生产线重氮反应</w:t>
                    </w:r>
                  </w:p>
                </w:txbxContent>
              </v:textbox>
            </v:rect>
            <v:line id="直线 19244" o:spid="_x0000_s21292" style="position:absolute" from="478,7994" to="1992,7994">
              <v:stroke endarrow="block"/>
            </v:line>
            <v:line id="直线 19245" o:spid="_x0000_s21293" style="position:absolute" from="4408,8024" to="5082,8024">
              <v:stroke endarrow="block"/>
            </v:line>
            <v:rect id="矩形 19246" o:spid="_x0000_s21294" style="position:absolute;left:418;top:7652;width:1562;height:392" filled="f" fillcolor="#030" stroked="f">
              <v:textbox>
                <w:txbxContent>
                  <w:p w:rsidR="00BD74CB" w:rsidRDefault="00BD74CB">
                    <w:pPr>
                      <w:rPr>
                        <w:sz w:val="18"/>
                        <w:szCs w:val="18"/>
                      </w:rPr>
                    </w:pPr>
                    <w:r>
                      <w:rPr>
                        <w:rFonts w:hint="eastAsia"/>
                        <w:sz w:val="18"/>
                        <w:szCs w:val="18"/>
                      </w:rPr>
                      <w:t>氯元素：</w:t>
                    </w:r>
                    <w:r>
                      <w:rPr>
                        <w:rFonts w:hint="eastAsia"/>
                        <w:sz w:val="18"/>
                        <w:szCs w:val="18"/>
                      </w:rPr>
                      <w:t xml:space="preserve">577.14                                    </w:t>
                    </w:r>
                  </w:p>
                  <w:p w:rsidR="00BD74CB" w:rsidRDefault="00BD74CB">
                    <w:pPr>
                      <w:rPr>
                        <w:szCs w:val="18"/>
                      </w:rPr>
                    </w:pPr>
                  </w:p>
                </w:txbxContent>
              </v:textbox>
            </v:rect>
            <v:rect id="矩形 19248" o:spid="_x0000_s21296" style="position:absolute;left:6122;top:7498;width:3496;height:510" filled="f" stroked="f">
              <v:textbox>
                <w:txbxContent>
                  <w:p w:rsidR="00BD74CB" w:rsidRDefault="00BD74CB">
                    <w:pPr>
                      <w:rPr>
                        <w:szCs w:val="21"/>
                      </w:rPr>
                    </w:pPr>
                    <w:r>
                      <w:rPr>
                        <w:rFonts w:hint="eastAsia"/>
                        <w:szCs w:val="21"/>
                      </w:rPr>
                      <w:t>以氯化钠等溶解盐的形式进入产品</w:t>
                    </w:r>
                  </w:p>
                </w:txbxContent>
              </v:textbox>
            </v:rect>
            <v:rect id="矩形 19250" o:spid="_x0000_s21298" style="position:absolute;left:6122;top:8118;width:3538;height:510" filled="f" stroked="f">
              <v:textbox>
                <w:txbxContent>
                  <w:p w:rsidR="00BD74CB" w:rsidRDefault="00BD74CB">
                    <w:pPr>
                      <w:rPr>
                        <w:szCs w:val="21"/>
                      </w:rPr>
                    </w:pPr>
                    <w:r>
                      <w:rPr>
                        <w:rFonts w:hint="eastAsia"/>
                        <w:szCs w:val="21"/>
                      </w:rPr>
                      <w:t>以氯化钠等溶解盐的形式进入废水</w:t>
                    </w:r>
                  </w:p>
                </w:txbxContent>
              </v:textbox>
            </v:rect>
            <v:rect id="矩形 19257" o:spid="_x0000_s21305" style="position:absolute;left:462;top:9166;width:1426;height:392" filled="f" fillcolor="#030" stroked="f">
              <v:textbox>
                <w:txbxContent>
                  <w:p w:rsidR="00BD74CB" w:rsidRDefault="00BD74CB">
                    <w:pPr>
                      <w:rPr>
                        <w:szCs w:val="18"/>
                      </w:rPr>
                    </w:pPr>
                    <w:r>
                      <w:rPr>
                        <w:rFonts w:hint="eastAsia"/>
                        <w:sz w:val="18"/>
                        <w:szCs w:val="18"/>
                      </w:rPr>
                      <w:t>氯元素：</w:t>
                    </w:r>
                    <w:r>
                      <w:rPr>
                        <w:rFonts w:hint="eastAsia"/>
                        <w:sz w:val="18"/>
                        <w:szCs w:val="18"/>
                      </w:rPr>
                      <w:t>375.32</w:t>
                    </w:r>
                    <w:r>
                      <w:rPr>
                        <w:szCs w:val="18"/>
                      </w:rPr>
                      <w:t xml:space="preserve"> </w:t>
                    </w:r>
                  </w:p>
                </w:txbxContent>
              </v:textbox>
            </v:rect>
            <v:line id="直线 19266" o:spid="_x0000_s21314" style="position:absolute" from="492,7984" to="492,9558"/>
            <v:line id="直线 19267" o:spid="_x0000_s21315" style="position:absolute" from="478,9514" to="1978,9514">
              <v:stroke endarrow="block"/>
            </v:line>
            <v:line id="直线 19268" o:spid="_x0000_s21316" style="position:absolute" from="-78,8674" to="492,8674">
              <v:stroke endarrow="block"/>
            </v:line>
            <v:line id="直线 19292" o:spid="_x0000_s21340" style="position:absolute" from="5078,7730" to="5078,8360"/>
            <v:line id="直线 19293" o:spid="_x0000_s21341" style="position:absolute" from="5064,7744" to="6114,7744">
              <v:stroke endarrow="block"/>
            </v:line>
            <v:line id="直线 19294" o:spid="_x0000_s21342" style="position:absolute" from="5078,8330" to="6174,8330">
              <v:stroke endarrow="block"/>
            </v:line>
            <v:rect id="矩形 19295" o:spid="_x0000_s21343" style="position:absolute;left:5282;top:7456;width:872;height:392" filled="f" fillcolor="#030" stroked="f">
              <v:textbox>
                <w:txbxContent>
                  <w:p w:rsidR="00BD74CB" w:rsidRDefault="00BD74CB">
                    <w:pPr>
                      <w:rPr>
                        <w:sz w:val="18"/>
                        <w:szCs w:val="18"/>
                      </w:rPr>
                    </w:pPr>
                    <w:r>
                      <w:rPr>
                        <w:rFonts w:hint="eastAsia"/>
                        <w:sz w:val="18"/>
                        <w:szCs w:val="18"/>
                      </w:rPr>
                      <w:t>18</w:t>
                    </w:r>
                  </w:p>
                </w:txbxContent>
              </v:textbox>
            </v:rect>
            <v:rect id="矩形 19296" o:spid="_x0000_s21344" style="position:absolute;left:5214;top:8042;width:960;height:392" filled="f" fillcolor="#030" stroked="f">
              <v:textbox>
                <w:txbxContent>
                  <w:p w:rsidR="00BD74CB" w:rsidRDefault="00BD74CB">
                    <w:pPr>
                      <w:rPr>
                        <w:szCs w:val="18"/>
                      </w:rPr>
                    </w:pPr>
                    <w:r>
                      <w:rPr>
                        <w:rFonts w:hint="eastAsia"/>
                        <w:szCs w:val="18"/>
                      </w:rPr>
                      <w:t>555.95</w:t>
                    </w:r>
                  </w:p>
                </w:txbxContent>
              </v:textbox>
            </v:rect>
            <v:line id="直线 19302" o:spid="_x0000_s21350" style="position:absolute" from="5078,9124" to="5078,9800"/>
            <v:line id="直线 19303" o:spid="_x0000_s21351" style="position:absolute" from="5094,9140" to="5934,9140">
              <v:stroke endarrow="block"/>
            </v:line>
            <v:line id="直线 19304" o:spid="_x0000_s21352" style="position:absolute" from="5064,9770" to="6008,9770">
              <v:stroke endarrow="block"/>
            </v:line>
            <v:line id="直线 19305" o:spid="_x0000_s21353" style="position:absolute" from="4418,9454" to="5064,9454">
              <v:stroke endarrow="block"/>
            </v:line>
            <v:rect id="矩形 19306" o:spid="_x0000_s21354" style="position:absolute;left:5875;top:8936;width:3496;height:510" filled="f" stroked="f">
              <v:textbox>
                <w:txbxContent>
                  <w:p w:rsidR="00BD74CB" w:rsidRDefault="00BD74CB">
                    <w:pPr>
                      <w:rPr>
                        <w:szCs w:val="21"/>
                      </w:rPr>
                    </w:pPr>
                    <w:r>
                      <w:rPr>
                        <w:rFonts w:hint="eastAsia"/>
                        <w:szCs w:val="21"/>
                      </w:rPr>
                      <w:t>以氯化钠等溶解盐的形式进入产品</w:t>
                    </w:r>
                  </w:p>
                </w:txbxContent>
              </v:textbox>
            </v:rect>
            <v:rect id="矩形 19307" o:spid="_x0000_s21355" style="position:absolute;left:5922;top:9568;width:3538;height:510" filled="f" stroked="f">
              <v:textbox>
                <w:txbxContent>
                  <w:p w:rsidR="00BD74CB" w:rsidRDefault="00BD74CB">
                    <w:pPr>
                      <w:rPr>
                        <w:szCs w:val="21"/>
                      </w:rPr>
                    </w:pPr>
                    <w:r>
                      <w:rPr>
                        <w:rFonts w:hint="eastAsia"/>
                        <w:szCs w:val="21"/>
                      </w:rPr>
                      <w:t>以氯化钠等溶解盐的形式进入废水</w:t>
                    </w:r>
                  </w:p>
                </w:txbxContent>
              </v:textbox>
            </v:rect>
            <v:rect id="矩形 19308" o:spid="_x0000_s21356" style="position:absolute;left:5110;top:8814;width:648;height:392" filled="f" fillcolor="#030" stroked="f">
              <v:textbox>
                <w:txbxContent>
                  <w:p w:rsidR="00BD74CB" w:rsidRDefault="00BD74CB">
                    <w:pPr>
                      <w:rPr>
                        <w:sz w:val="18"/>
                        <w:szCs w:val="18"/>
                      </w:rPr>
                    </w:pPr>
                    <w:r>
                      <w:rPr>
                        <w:rFonts w:hint="eastAsia"/>
                        <w:sz w:val="18"/>
                        <w:szCs w:val="18"/>
                      </w:rPr>
                      <w:t>1.2</w:t>
                    </w:r>
                  </w:p>
                  <w:p w:rsidR="00BD74CB" w:rsidRDefault="00BD74CB">
                    <w:pPr>
                      <w:rPr>
                        <w:szCs w:val="18"/>
                      </w:rPr>
                    </w:pPr>
                  </w:p>
                </w:txbxContent>
              </v:textbox>
            </v:rect>
            <v:rect id="矩形 19309" o:spid="_x0000_s21357" style="position:absolute;left:5060;top:9462;width:1031;height:392" filled="f" fillcolor="#030" stroked="f">
              <v:textbox>
                <w:txbxContent>
                  <w:p w:rsidR="00BD74CB" w:rsidRDefault="00BD74CB">
                    <w:pPr>
                      <w:rPr>
                        <w:szCs w:val="18"/>
                      </w:rPr>
                    </w:pPr>
                    <w:r>
                      <w:rPr>
                        <w:rFonts w:hint="eastAsia"/>
                        <w:szCs w:val="18"/>
                      </w:rPr>
                      <w:t>372.18</w:t>
                    </w:r>
                  </w:p>
                </w:txbxContent>
              </v:textbox>
            </v:rect>
            <v:line id="直线 19981" o:spid="_x0000_s22029" style="position:absolute;flip:y" from="2288,7548" to="2632,7774">
              <v:stroke endarrow="block"/>
            </v:line>
            <v:rect id="矩形 19982" o:spid="_x0000_s22030" style="position:absolute;left:2527;top:7279;width:1979;height:390" filled="f" stroked="f">
              <v:textbox>
                <w:txbxContent>
                  <w:p w:rsidR="00BD74CB" w:rsidRDefault="00BD74CB">
                    <w:r>
                      <w:rPr>
                        <w:rFonts w:hint="eastAsia"/>
                      </w:rPr>
                      <w:t>废气损失</w:t>
                    </w:r>
                    <w:r>
                      <w:rPr>
                        <w:rFonts w:hint="eastAsia"/>
                      </w:rPr>
                      <w:t>3.19</w:t>
                    </w:r>
                  </w:p>
                </w:txbxContent>
              </v:textbox>
            </v:rect>
            <v:line id="直线 19983" o:spid="_x0000_s22031" style="position:absolute;flip:y" from="2214,9018" to="2544,9258">
              <v:stroke endarrow="block"/>
            </v:line>
            <v:rect id="矩形 19984" o:spid="_x0000_s22032" style="position:absolute;left:2482;top:8720;width:1788;height:434" filled="f" stroked="f">
              <v:textbox>
                <w:txbxContent>
                  <w:p w:rsidR="00BD74CB" w:rsidRDefault="00BD74CB">
                    <w:r>
                      <w:rPr>
                        <w:rFonts w:hint="eastAsia"/>
                      </w:rPr>
                      <w:t>废气损失</w:t>
                    </w:r>
                    <w:r>
                      <w:rPr>
                        <w:rFonts w:hint="eastAsia"/>
                      </w:rPr>
                      <w:t>1.94</w:t>
                    </w:r>
                  </w:p>
                </w:txbxContent>
              </v:textbox>
            </v:rect>
            <w10:wrap type="none"/>
            <w10:anchorlock/>
          </v:group>
        </w:pict>
      </w:r>
    </w:p>
    <w:p w:rsidR="00475650" w:rsidRDefault="00475650">
      <w:pPr>
        <w:spacing w:line="360" w:lineRule="auto"/>
        <w:ind w:firstLineChars="25" w:firstLine="60"/>
        <w:jc w:val="center"/>
        <w:rPr>
          <w:sz w:val="24"/>
        </w:rPr>
      </w:pPr>
      <w:r>
        <w:rPr>
          <w:rFonts w:hAnsi="宋体"/>
          <w:sz w:val="24"/>
        </w:rPr>
        <w:t>图</w:t>
      </w:r>
      <w:r>
        <w:rPr>
          <w:sz w:val="24"/>
        </w:rPr>
        <w:t>3-</w:t>
      </w:r>
      <w:r>
        <w:rPr>
          <w:rFonts w:hint="eastAsia"/>
          <w:sz w:val="24"/>
        </w:rPr>
        <w:t>6</w:t>
      </w:r>
      <w:r>
        <w:rPr>
          <w:sz w:val="24"/>
        </w:rPr>
        <w:t xml:space="preserve"> </w:t>
      </w:r>
      <w:r>
        <w:rPr>
          <w:rFonts w:hAnsi="宋体"/>
          <w:sz w:val="24"/>
        </w:rPr>
        <w:t>氯元素平衡图</w:t>
      </w:r>
      <w:r>
        <w:rPr>
          <w:sz w:val="24"/>
        </w:rPr>
        <w:t xml:space="preserve">     </w:t>
      </w:r>
      <w:r>
        <w:rPr>
          <w:rFonts w:hAnsi="宋体"/>
          <w:sz w:val="24"/>
        </w:rPr>
        <w:t>单位：</w:t>
      </w:r>
      <w:r>
        <w:rPr>
          <w:sz w:val="24"/>
        </w:rPr>
        <w:t>t/a</w:t>
      </w:r>
    </w:p>
    <w:p w:rsidR="00475650" w:rsidRDefault="00475650">
      <w:pPr>
        <w:spacing w:line="360" w:lineRule="auto"/>
        <w:ind w:firstLineChars="25" w:firstLine="60"/>
        <w:jc w:val="center"/>
        <w:rPr>
          <w:sz w:val="24"/>
        </w:rPr>
      </w:pPr>
      <w:r>
        <w:rPr>
          <w:sz w:val="24"/>
        </w:rPr>
        <w:br w:type="page"/>
      </w:r>
    </w:p>
    <w:p w:rsidR="00475650" w:rsidRDefault="006F27A1">
      <w:pPr>
        <w:spacing w:line="360" w:lineRule="auto"/>
        <w:ind w:firstLineChars="200" w:firstLine="480"/>
        <w:jc w:val="center"/>
        <w:rPr>
          <w:sz w:val="24"/>
        </w:rPr>
      </w:pPr>
      <w:r>
        <w:rPr>
          <w:sz w:val="24"/>
        </w:rPr>
      </w:r>
      <w:r>
        <w:rPr>
          <w:sz w:val="24"/>
        </w:rPr>
        <w:pict>
          <v:group id="画布 19088" o:spid="_x0000_s21136" editas="canvas" style="width:544.5pt;height:241pt;mso-position-horizontal-relative:char;mso-position-vertical-relative:line" coordorigin="-2112,5462" coordsize="10889,4820">
            <o:lock v:ext="edit" aspectratio="t" text="t"/>
            <o:diagram v:ext="edit" dgmstyle="0" dgmscalex="0" dgmscaley="0"/>
            <v:shape id="_x0000_s21137" type="#_x0000_t75" style="position:absolute;left:-2112;top:5462;width:10889;height:4820">
              <v:fill o:detectmouseclick="t"/>
              <v:path o:extrusionok="t"/>
              <o:lock v:ext="edit" rotation="t" text="t"/>
              <o:diagram v:ext="edit" dgmstyle="0" dgmscalex="0" dgmscaley="0"/>
            </v:shape>
            <v:rect id="矩形 19091" o:spid="_x0000_s21139" style="position:absolute;left:1150;top:6570;width:2778;height:510">
              <v:textbox>
                <w:txbxContent>
                  <w:p w:rsidR="00BD74CB" w:rsidRDefault="00BD74CB">
                    <w:pPr>
                      <w:ind w:firstLineChars="200" w:firstLine="420"/>
                    </w:pPr>
                    <w:r>
                      <w:rPr>
                        <w:rFonts w:hint="eastAsia"/>
                      </w:rPr>
                      <w:t>酸性红生产线</w:t>
                    </w:r>
                  </w:p>
                </w:txbxContent>
              </v:textbox>
            </v:rect>
            <v:rect id="矩形 19310" o:spid="_x0000_s21358" style="position:absolute;left:-1930;top:7610;width:1934;height:496" filled="f" stroked="f">
              <v:fill o:detectmouseclick="t"/>
              <v:textbox>
                <w:txbxContent>
                  <w:p w:rsidR="00BD74CB" w:rsidRDefault="00BD74CB">
                    <w:pPr>
                      <w:rPr>
                        <w:szCs w:val="21"/>
                      </w:rPr>
                    </w:pPr>
                    <w:r>
                      <w:rPr>
                        <w:rFonts w:hint="eastAsia"/>
                        <w:szCs w:val="21"/>
                      </w:rPr>
                      <w:t>新鲜水</w:t>
                    </w:r>
                    <w:r>
                      <w:rPr>
                        <w:rFonts w:hint="eastAsia"/>
                        <w:szCs w:val="21"/>
                      </w:rPr>
                      <w:t xml:space="preserve">177000                                                                                                                                                                                                                                                                                                                                                                                                                                              </w:t>
                    </w:r>
                  </w:p>
                </w:txbxContent>
              </v:textbox>
            </v:rect>
            <v:rect id="矩形 19316" o:spid="_x0000_s21364" style="position:absolute;left:1228;top:7652;width:2642;height:510">
              <v:textbox>
                <w:txbxContent>
                  <w:p w:rsidR="00BD74CB" w:rsidRDefault="00BD74CB">
                    <w:pPr>
                      <w:ind w:firstLineChars="250" w:firstLine="525"/>
                    </w:pPr>
                    <w:r>
                      <w:rPr>
                        <w:rFonts w:hint="eastAsia"/>
                      </w:rPr>
                      <w:t>制冰机</w:t>
                    </w:r>
                  </w:p>
                </w:txbxContent>
              </v:textbox>
            </v:rect>
            <v:rect id="矩形 19317" o:spid="_x0000_s21365" style="position:absolute;left:1228;top:8808;width:2642;height:510">
              <v:textbox>
                <w:txbxContent>
                  <w:p w:rsidR="00BD74CB" w:rsidRDefault="00BD74CB">
                    <w:pPr>
                      <w:ind w:firstLineChars="200" w:firstLine="420"/>
                    </w:pPr>
                    <w:r>
                      <w:rPr>
                        <w:rFonts w:hint="eastAsia"/>
                      </w:rPr>
                      <w:t>酸性黄生产线</w:t>
                    </w:r>
                  </w:p>
                </w:txbxContent>
              </v:textbox>
            </v:rect>
            <v:rect id="矩形 19323" o:spid="_x0000_s21371" style="position:absolute;left:4;top:6462;width:926;height:392" filled="f" stroked="f">
              <v:fill o:detectmouseclick="t"/>
              <v:textbox>
                <w:txbxContent>
                  <w:p w:rsidR="00BD74CB" w:rsidRDefault="00BD74CB">
                    <w:pPr>
                      <w:rPr>
                        <w:sz w:val="18"/>
                        <w:szCs w:val="18"/>
                      </w:rPr>
                    </w:pPr>
                    <w:r>
                      <w:rPr>
                        <w:rFonts w:hint="eastAsia"/>
                        <w:sz w:val="18"/>
                        <w:szCs w:val="18"/>
                      </w:rPr>
                      <w:t>15000</w:t>
                    </w:r>
                  </w:p>
                  <w:p w:rsidR="00BD74CB" w:rsidRDefault="00BD74CB">
                    <w:pPr>
                      <w:rPr>
                        <w:szCs w:val="18"/>
                      </w:rPr>
                    </w:pPr>
                  </w:p>
                </w:txbxContent>
              </v:textbox>
            </v:rect>
            <v:rect id="矩形 19324" o:spid="_x0000_s21372" style="position:absolute;left:164;top:8560;width:886;height:392" filled="f" stroked="f">
              <v:fill o:detectmouseclick="t"/>
              <v:textbox>
                <w:txbxContent>
                  <w:p w:rsidR="00BD74CB" w:rsidRDefault="00BD74CB">
                    <w:pPr>
                      <w:rPr>
                        <w:sz w:val="18"/>
                        <w:szCs w:val="18"/>
                      </w:rPr>
                    </w:pPr>
                    <w:r>
                      <w:rPr>
                        <w:rFonts w:hint="eastAsia"/>
                        <w:sz w:val="18"/>
                        <w:szCs w:val="18"/>
                      </w:rPr>
                      <w:t>15000</w:t>
                    </w:r>
                  </w:p>
                  <w:p w:rsidR="00BD74CB" w:rsidRDefault="00BD74CB">
                    <w:pPr>
                      <w:rPr>
                        <w:szCs w:val="18"/>
                      </w:rPr>
                    </w:pPr>
                  </w:p>
                </w:txbxContent>
              </v:textbox>
            </v:rect>
            <v:rect id="矩形 19327" o:spid="_x0000_s21375" style="position:absolute;left:930;top:7178;width:1442;height:392" filled="f" stroked="f">
              <v:fill o:detectmouseclick="t"/>
              <v:textbox>
                <w:txbxContent>
                  <w:p w:rsidR="00BD74CB" w:rsidRDefault="00BD74CB">
                    <w:pPr>
                      <w:rPr>
                        <w:sz w:val="18"/>
                        <w:szCs w:val="18"/>
                      </w:rPr>
                    </w:pPr>
                    <w:r>
                      <w:rPr>
                        <w:rFonts w:hint="eastAsia"/>
                        <w:sz w:val="18"/>
                        <w:szCs w:val="18"/>
                      </w:rPr>
                      <w:t>冰块</w:t>
                    </w:r>
                    <w:r>
                      <w:rPr>
                        <w:rFonts w:hint="eastAsia"/>
                        <w:sz w:val="18"/>
                        <w:szCs w:val="18"/>
                      </w:rPr>
                      <w:t>102000</w:t>
                    </w:r>
                  </w:p>
                  <w:p w:rsidR="00BD74CB" w:rsidRDefault="00BD74CB">
                    <w:pPr>
                      <w:rPr>
                        <w:szCs w:val="18"/>
                      </w:rPr>
                    </w:pPr>
                  </w:p>
                </w:txbxContent>
              </v:textbox>
            </v:rect>
            <v:rect id="矩形 19328" o:spid="_x0000_s21376" style="position:absolute;left:1126;top:8276;width:1140;height:392" filled="f" stroked="f">
              <v:fill o:detectmouseclick="t"/>
              <v:textbox>
                <w:txbxContent>
                  <w:p w:rsidR="00BD74CB" w:rsidRDefault="00BD74CB">
                    <w:pPr>
                      <w:rPr>
                        <w:sz w:val="18"/>
                        <w:szCs w:val="18"/>
                      </w:rPr>
                    </w:pPr>
                    <w:r>
                      <w:rPr>
                        <w:rFonts w:hint="eastAsia"/>
                        <w:sz w:val="18"/>
                        <w:szCs w:val="18"/>
                      </w:rPr>
                      <w:t>冰块</w:t>
                    </w:r>
                    <w:r>
                      <w:rPr>
                        <w:rFonts w:hint="eastAsia"/>
                        <w:sz w:val="18"/>
                        <w:szCs w:val="18"/>
                      </w:rPr>
                      <w:t>45000</w:t>
                    </w:r>
                  </w:p>
                  <w:p w:rsidR="00BD74CB" w:rsidRDefault="00BD74CB">
                    <w:pPr>
                      <w:rPr>
                        <w:szCs w:val="18"/>
                      </w:rPr>
                    </w:pPr>
                  </w:p>
                </w:txbxContent>
              </v:textbox>
            </v:rect>
            <v:rect id="矩形 19329" o:spid="_x0000_s21377" style="position:absolute;left:136;top:7570;width:882;height:392" filled="f" stroked="f">
              <v:fill o:detectmouseclick="t"/>
              <v:textbox>
                <w:txbxContent>
                  <w:p w:rsidR="00BD74CB" w:rsidRDefault="00BD74CB">
                    <w:pPr>
                      <w:rPr>
                        <w:sz w:val="18"/>
                        <w:szCs w:val="18"/>
                      </w:rPr>
                    </w:pPr>
                    <w:r>
                      <w:rPr>
                        <w:rFonts w:hint="eastAsia"/>
                        <w:sz w:val="18"/>
                        <w:szCs w:val="18"/>
                      </w:rPr>
                      <w:t>147000</w:t>
                    </w:r>
                  </w:p>
                  <w:p w:rsidR="00BD74CB" w:rsidRDefault="00BD74CB">
                    <w:pPr>
                      <w:rPr>
                        <w:szCs w:val="18"/>
                      </w:rPr>
                    </w:pPr>
                  </w:p>
                </w:txbxContent>
              </v:textbox>
            </v:rect>
            <v:line id="直线 19332" o:spid="_x0000_s21380" style="position:absolute" from="20,6834" to="20,8978">
              <v:fill o:detectmouseclick="t"/>
            </v:line>
            <v:line id="直线 19333" o:spid="_x0000_s21381" style="position:absolute" from="34,6818" to="1114,6818">
              <v:fill o:detectmouseclick="t"/>
              <v:stroke endarrow="block"/>
            </v:line>
            <v:line id="直线 19334" o:spid="_x0000_s21382" style="position:absolute;flip:y" from="2224,7074" to="2224,7674">
              <v:fill o:detectmouseclick="t"/>
              <v:stroke endarrow="block"/>
            </v:line>
            <v:line id="直线 19336" o:spid="_x0000_s21384" style="position:absolute" from="2224,8168" to="2224,8784">
              <v:fill o:detectmouseclick="t"/>
              <v:stroke endarrow="block"/>
            </v:line>
            <v:line id="直线 19337" o:spid="_x0000_s21385" style="position:absolute" from="50,8948" to="1160,8948">
              <v:fill o:detectmouseclick="t"/>
              <v:stroke endarrow="block"/>
            </v:line>
            <v:line id="直线 19338" o:spid="_x0000_s21386" style="position:absolute" from="-444,7898" to="1250,7899">
              <v:fill o:detectmouseclick="t"/>
              <v:stroke endarrow="block"/>
            </v:line>
            <v:line id="直线 19341" o:spid="_x0000_s21389" style="position:absolute;flip:y" from="2180,9340" to="2180,9910">
              <v:fill o:detectmouseclick="t"/>
              <v:stroke endarrow="block"/>
            </v:line>
            <v:rect id="矩形 19342" o:spid="_x0000_s21390" style="position:absolute;left:489;top:5698;width:3651;height:376" filled="f" stroked="f">
              <v:fill o:detectmouseclick="t"/>
              <v:textbox>
                <w:txbxContent>
                  <w:p w:rsidR="00BD74CB" w:rsidRDefault="00BD74CB">
                    <w:pPr>
                      <w:rPr>
                        <w:sz w:val="18"/>
                        <w:szCs w:val="18"/>
                      </w:rPr>
                    </w:pPr>
                    <w:r>
                      <w:rPr>
                        <w:rFonts w:hint="eastAsia"/>
                        <w:sz w:val="18"/>
                        <w:szCs w:val="18"/>
                      </w:rPr>
                      <w:t>盐酸等原料</w:t>
                    </w:r>
                    <w:r>
                      <w:rPr>
                        <w:rFonts w:hint="eastAsia"/>
                        <w:sz w:val="18"/>
                        <w:szCs w:val="18"/>
                      </w:rPr>
                      <w:t>1320.79</w:t>
                    </w:r>
                    <w:r>
                      <w:rPr>
                        <w:rFonts w:hint="eastAsia"/>
                        <w:sz w:val="18"/>
                        <w:szCs w:val="18"/>
                      </w:rPr>
                      <w:t>；反应生成</w:t>
                    </w:r>
                    <w:r>
                      <w:rPr>
                        <w:rFonts w:hint="eastAsia"/>
                        <w:sz w:val="18"/>
                        <w:szCs w:val="18"/>
                      </w:rPr>
                      <w:t>744.5</w:t>
                    </w:r>
                  </w:p>
                  <w:p w:rsidR="00BD74CB" w:rsidRDefault="00BD74CB">
                    <w:pPr>
                      <w:rPr>
                        <w:szCs w:val="18"/>
                      </w:rPr>
                    </w:pPr>
                  </w:p>
                </w:txbxContent>
              </v:textbox>
            </v:rect>
            <v:line id="直线 19344" o:spid="_x0000_s21392" style="position:absolute" from="2180,6100" to="2180,6534">
              <v:fill o:detectmouseclick="t"/>
              <v:stroke endarrow="block"/>
            </v:line>
            <v:rect id="矩形 19346" o:spid="_x0000_s21394" style="position:absolute;left:3856;top:5910;width:4352;height:376" filled="f" stroked="f">
              <v:fill o:detectmouseclick="t"/>
              <v:textbox>
                <w:txbxContent>
                  <w:p w:rsidR="00BD74CB" w:rsidRDefault="00BD74CB">
                    <w:pPr>
                      <w:rPr>
                        <w:szCs w:val="18"/>
                      </w:rPr>
                    </w:pPr>
                    <w:r>
                      <w:rPr>
                        <w:rFonts w:hint="eastAsia"/>
                        <w:sz w:val="18"/>
                        <w:szCs w:val="18"/>
                      </w:rPr>
                      <w:t>蒸发损失</w:t>
                    </w:r>
                    <w:r>
                      <w:rPr>
                        <w:rFonts w:hint="eastAsia"/>
                        <w:sz w:val="18"/>
                        <w:szCs w:val="18"/>
                      </w:rPr>
                      <w:t>2326.3</w:t>
                    </w:r>
                    <w:r>
                      <w:rPr>
                        <w:rFonts w:hint="eastAsia"/>
                        <w:sz w:val="18"/>
                        <w:szCs w:val="18"/>
                      </w:rPr>
                      <w:t>，产品带走</w:t>
                    </w:r>
                    <w:r>
                      <w:rPr>
                        <w:rFonts w:hint="eastAsia"/>
                        <w:sz w:val="18"/>
                        <w:szCs w:val="18"/>
                      </w:rPr>
                      <w:t>200</w:t>
                    </w:r>
                  </w:p>
                </w:txbxContent>
              </v:textbox>
            </v:rect>
            <v:line id="直线 19348" o:spid="_x0000_s21396" style="position:absolute;flip:y" from="3920,6234" to="4430,6564">
              <v:fill o:detectmouseclick="t"/>
              <v:stroke endarrow="block"/>
            </v:line>
            <v:line id="直线 19350" o:spid="_x0000_s21398" style="position:absolute" from="3950,6804" to="4984,6804">
              <v:fill o:detectmouseclick="t"/>
              <v:stroke endarrow="block"/>
            </v:line>
            <v:rect id="矩形 19351" o:spid="_x0000_s21399" style="position:absolute;left:4996;top:6630;width:2637;height:376" filled="f" stroked="f">
              <v:fill o:detectmouseclick="t"/>
              <v:textbox>
                <w:txbxContent>
                  <w:p w:rsidR="00BD74CB" w:rsidRDefault="00BD74CB">
                    <w:pPr>
                      <w:rPr>
                        <w:sz w:val="18"/>
                        <w:szCs w:val="18"/>
                      </w:rPr>
                    </w:pPr>
                    <w:r>
                      <w:rPr>
                        <w:rFonts w:hint="eastAsia"/>
                        <w:sz w:val="18"/>
                        <w:szCs w:val="18"/>
                      </w:rPr>
                      <w:t>废水中含水</w:t>
                    </w:r>
                    <w:r>
                      <w:rPr>
                        <w:rFonts w:hint="eastAsia"/>
                        <w:sz w:val="18"/>
                        <w:szCs w:val="18"/>
                      </w:rPr>
                      <w:t>116538.99</w:t>
                    </w:r>
                  </w:p>
                  <w:p w:rsidR="00BD74CB" w:rsidRDefault="00BD74CB">
                    <w:pPr>
                      <w:rPr>
                        <w:szCs w:val="18"/>
                      </w:rPr>
                    </w:pPr>
                  </w:p>
                </w:txbxContent>
              </v:textbox>
            </v:rect>
            <v:rect id="矩形 19352" o:spid="_x0000_s21400" style="position:absolute;left:1290;top:9854;width:2478;height:376" filled="f" stroked="f">
              <v:fill o:detectmouseclick="t"/>
              <v:textbox>
                <w:txbxContent>
                  <w:p w:rsidR="00BD74CB" w:rsidRDefault="00BD74CB">
                    <w:pPr>
                      <w:rPr>
                        <w:szCs w:val="18"/>
                      </w:rPr>
                    </w:pPr>
                    <w:r>
                      <w:rPr>
                        <w:rFonts w:hint="eastAsia"/>
                        <w:sz w:val="18"/>
                        <w:szCs w:val="18"/>
                      </w:rPr>
                      <w:t xml:space="preserve">                                                                                                                                     </w:t>
                    </w:r>
                  </w:p>
                </w:txbxContent>
              </v:textbox>
            </v:rect>
            <v:rect id="矩形 19353" o:spid="_x0000_s21401" style="position:absolute;left:1018;top:9958;width:4200;height:376" filled="f" stroked="f">
              <v:fill o:detectmouseclick="t"/>
              <v:textbox>
                <w:txbxContent>
                  <w:p w:rsidR="00BD74CB" w:rsidRDefault="00BD74CB">
                    <w:pPr>
                      <w:rPr>
                        <w:sz w:val="18"/>
                        <w:szCs w:val="18"/>
                      </w:rPr>
                    </w:pPr>
                    <w:r>
                      <w:rPr>
                        <w:rFonts w:hint="eastAsia"/>
                        <w:sz w:val="18"/>
                        <w:szCs w:val="18"/>
                      </w:rPr>
                      <w:t>盐酸等原料带入的水</w:t>
                    </w:r>
                    <w:r>
                      <w:rPr>
                        <w:rFonts w:hint="eastAsia"/>
                        <w:sz w:val="18"/>
                        <w:szCs w:val="18"/>
                      </w:rPr>
                      <w:t>858.93</w:t>
                    </w:r>
                    <w:r>
                      <w:rPr>
                        <w:rFonts w:hint="eastAsia"/>
                        <w:sz w:val="18"/>
                        <w:szCs w:val="18"/>
                      </w:rPr>
                      <w:t>；反应生成</w:t>
                    </w:r>
                    <w:r>
                      <w:rPr>
                        <w:rFonts w:hint="eastAsia"/>
                        <w:sz w:val="18"/>
                        <w:szCs w:val="18"/>
                      </w:rPr>
                      <w:t>230.96</w:t>
                    </w:r>
                  </w:p>
                  <w:p w:rsidR="00BD74CB" w:rsidRDefault="00BD74CB">
                    <w:pPr>
                      <w:rPr>
                        <w:szCs w:val="18"/>
                      </w:rPr>
                    </w:pPr>
                  </w:p>
                </w:txbxContent>
              </v:textbox>
            </v:rect>
            <v:line id="直线 19354" o:spid="_x0000_s21402" style="position:absolute;flip:y" from="3890,8514" to="4354,8800">
              <v:fill o:detectmouseclick="t"/>
              <v:stroke endarrow="block"/>
            </v:line>
            <v:rect id="矩形 19355" o:spid="_x0000_s21403" style="position:absolute;left:4140;top:8190;width:4174;height:376" filled="f" stroked="f">
              <v:fill o:detectmouseclick="t"/>
              <v:textbox>
                <w:txbxContent>
                  <w:p w:rsidR="00BD74CB" w:rsidRDefault="00BD74CB">
                    <w:pPr>
                      <w:rPr>
                        <w:szCs w:val="18"/>
                      </w:rPr>
                    </w:pPr>
                    <w:r>
                      <w:rPr>
                        <w:rFonts w:hint="eastAsia"/>
                        <w:sz w:val="18"/>
                        <w:szCs w:val="18"/>
                      </w:rPr>
                      <w:t>蒸发损失</w:t>
                    </w:r>
                    <w:r>
                      <w:rPr>
                        <w:rFonts w:hint="eastAsia"/>
                        <w:sz w:val="18"/>
                        <w:szCs w:val="18"/>
                      </w:rPr>
                      <w:t>1256.8</w:t>
                    </w:r>
                    <w:r>
                      <w:rPr>
                        <w:rFonts w:hint="eastAsia"/>
                        <w:sz w:val="18"/>
                        <w:szCs w:val="18"/>
                      </w:rPr>
                      <w:t>，产品带走</w:t>
                    </w:r>
                    <w:r>
                      <w:rPr>
                        <w:rFonts w:hint="eastAsia"/>
                        <w:sz w:val="18"/>
                        <w:szCs w:val="18"/>
                      </w:rPr>
                      <w:t>15</w:t>
                    </w:r>
                  </w:p>
                </w:txbxContent>
              </v:textbox>
            </v:rect>
            <v:line id="直线 19356" o:spid="_x0000_s21404" style="position:absolute" from="3860,9070" to="5134,9070">
              <v:fill o:detectmouseclick="t"/>
              <v:stroke endarrow="block"/>
            </v:line>
            <v:rect id="矩形 19357" o:spid="_x0000_s21405" style="position:absolute;left:5130;top:8910;width:1892;height:376" filled="f" stroked="f">
              <v:fill o:detectmouseclick="t"/>
              <v:textbox>
                <w:txbxContent>
                  <w:p w:rsidR="00BD74CB" w:rsidRDefault="00BD74CB">
                    <w:pPr>
                      <w:rPr>
                        <w:sz w:val="18"/>
                        <w:szCs w:val="18"/>
                      </w:rPr>
                    </w:pPr>
                    <w:r>
                      <w:rPr>
                        <w:rFonts w:hint="eastAsia"/>
                        <w:sz w:val="18"/>
                        <w:szCs w:val="18"/>
                      </w:rPr>
                      <w:t>废水中含水</w:t>
                    </w:r>
                    <w:r>
                      <w:rPr>
                        <w:rFonts w:hint="eastAsia"/>
                        <w:sz w:val="18"/>
                        <w:szCs w:val="18"/>
                      </w:rPr>
                      <w:t>59818.09</w:t>
                    </w:r>
                  </w:p>
                  <w:p w:rsidR="00BD74CB" w:rsidRDefault="00BD74CB">
                    <w:pPr>
                      <w:rPr>
                        <w:szCs w:val="18"/>
                      </w:rPr>
                    </w:pPr>
                  </w:p>
                </w:txbxContent>
              </v:textbox>
            </v:rect>
            <w10:wrap type="none"/>
            <w10:anchorlock/>
          </v:group>
        </w:pict>
      </w:r>
    </w:p>
    <w:p w:rsidR="00475650" w:rsidRDefault="00475650">
      <w:pPr>
        <w:spacing w:line="360" w:lineRule="auto"/>
        <w:ind w:firstLineChars="25" w:firstLine="60"/>
        <w:jc w:val="center"/>
        <w:rPr>
          <w:sz w:val="24"/>
        </w:rPr>
        <w:sectPr w:rsidR="00475650">
          <w:pgSz w:w="16838" w:h="11906" w:orient="landscape"/>
          <w:pgMar w:top="1588" w:right="1588" w:bottom="1278" w:left="1588" w:header="851" w:footer="992" w:gutter="0"/>
          <w:paperSrc w:first="7" w:other="7"/>
          <w:cols w:space="720"/>
          <w:docGrid w:linePitch="312"/>
        </w:sectPr>
      </w:pPr>
      <w:r>
        <w:rPr>
          <w:rFonts w:hAnsi="宋体"/>
          <w:sz w:val="24"/>
        </w:rPr>
        <w:t>图</w:t>
      </w:r>
      <w:r>
        <w:rPr>
          <w:sz w:val="24"/>
        </w:rPr>
        <w:t>3-</w:t>
      </w:r>
      <w:r>
        <w:rPr>
          <w:rFonts w:hint="eastAsia"/>
          <w:sz w:val="24"/>
        </w:rPr>
        <w:t>7</w:t>
      </w:r>
      <w:r>
        <w:rPr>
          <w:sz w:val="24"/>
        </w:rPr>
        <w:t xml:space="preserve"> </w:t>
      </w:r>
      <w:r>
        <w:rPr>
          <w:rFonts w:hAnsi="宋体"/>
          <w:sz w:val="24"/>
        </w:rPr>
        <w:t>工艺过程水平衡图</w:t>
      </w:r>
      <w:r>
        <w:rPr>
          <w:sz w:val="24"/>
        </w:rPr>
        <w:t xml:space="preserve">  </w:t>
      </w:r>
      <w:r>
        <w:rPr>
          <w:rFonts w:hAnsi="宋体"/>
          <w:sz w:val="24"/>
        </w:rPr>
        <w:t>单位：</w:t>
      </w:r>
      <w:r>
        <w:rPr>
          <w:sz w:val="24"/>
        </w:rPr>
        <w:t xml:space="preserve">t/a  </w:t>
      </w:r>
    </w:p>
    <w:p w:rsidR="00475650" w:rsidRDefault="00475650">
      <w:pPr>
        <w:pStyle w:val="h"/>
        <w:spacing w:before="0" w:after="0" w:line="348" w:lineRule="auto"/>
        <w:ind w:firstLine="0"/>
        <w:outlineLvl w:val="1"/>
        <w:rPr>
          <w:rStyle w:val="2Char1Char"/>
          <w:rFonts w:ascii="Times New Roman" w:eastAsia="宋体" w:hAnsi="Times New Roman" w:cs="Times New Roman"/>
          <w:sz w:val="24"/>
          <w:szCs w:val="24"/>
        </w:rPr>
      </w:pPr>
      <w:bookmarkStart w:id="570" w:name="_Toc333229969"/>
      <w:bookmarkStart w:id="571" w:name="_Toc334014155"/>
      <w:bookmarkStart w:id="572" w:name="_Toc332292996"/>
      <w:bookmarkStart w:id="573" w:name="_Toc334080797"/>
      <w:bookmarkStart w:id="574" w:name="_Toc465676993"/>
      <w:bookmarkStart w:id="575" w:name="_Toc24605"/>
      <w:r>
        <w:rPr>
          <w:rStyle w:val="2Char1Char"/>
          <w:rFonts w:ascii="Times New Roman" w:eastAsia="宋体" w:hAnsi="Times New Roman" w:cs="Times New Roman"/>
          <w:sz w:val="24"/>
          <w:szCs w:val="24"/>
        </w:rPr>
        <w:lastRenderedPageBreak/>
        <w:t>3.3.5</w:t>
      </w:r>
      <w:r>
        <w:rPr>
          <w:rStyle w:val="2Char1Char"/>
          <w:rFonts w:ascii="Times New Roman" w:eastAsia="宋体" w:hAnsi="宋体" w:cs="Times New Roman"/>
          <w:sz w:val="24"/>
          <w:szCs w:val="24"/>
        </w:rPr>
        <w:t>污染源及初步可研采取的相关措施</w:t>
      </w:r>
      <w:bookmarkEnd w:id="570"/>
      <w:bookmarkEnd w:id="571"/>
      <w:bookmarkEnd w:id="572"/>
      <w:bookmarkEnd w:id="573"/>
      <w:bookmarkEnd w:id="574"/>
      <w:bookmarkEnd w:id="575"/>
    </w:p>
    <w:p w:rsidR="00475650" w:rsidRDefault="00475650">
      <w:pPr>
        <w:pStyle w:val="h"/>
        <w:spacing w:before="0" w:after="0" w:line="360" w:lineRule="auto"/>
        <w:ind w:firstLine="0"/>
        <w:outlineLvl w:val="2"/>
        <w:rPr>
          <w:rStyle w:val="2Char1Char"/>
          <w:rFonts w:ascii="Times New Roman" w:eastAsia="宋体" w:hAnsi="Times New Roman" w:cs="Times New Roman"/>
          <w:b w:val="0"/>
          <w:sz w:val="24"/>
          <w:szCs w:val="24"/>
        </w:rPr>
      </w:pPr>
      <w:bookmarkStart w:id="576" w:name="_Toc274984523"/>
      <w:bookmarkStart w:id="577" w:name="_Toc302936789"/>
      <w:bookmarkStart w:id="578" w:name="_Toc273462116"/>
      <w:r>
        <w:rPr>
          <w:rStyle w:val="2Char1Char"/>
          <w:rFonts w:ascii="Times New Roman" w:eastAsia="宋体" w:hAnsi="Times New Roman" w:cs="Times New Roman"/>
          <w:b w:val="0"/>
          <w:sz w:val="24"/>
          <w:szCs w:val="24"/>
        </w:rPr>
        <w:t>3.3.5.1</w:t>
      </w:r>
      <w:r>
        <w:rPr>
          <w:rStyle w:val="2Char1Char"/>
          <w:rFonts w:ascii="Times New Roman" w:eastAsia="宋体" w:hAnsi="宋体" w:cs="Times New Roman"/>
          <w:b w:val="0"/>
          <w:sz w:val="24"/>
          <w:szCs w:val="24"/>
        </w:rPr>
        <w:t>废水</w:t>
      </w:r>
      <w:bookmarkEnd w:id="576"/>
      <w:bookmarkEnd w:id="577"/>
      <w:bookmarkEnd w:id="578"/>
    </w:p>
    <w:p w:rsidR="00475650" w:rsidRDefault="00475650">
      <w:pPr>
        <w:spacing w:line="360" w:lineRule="auto"/>
        <w:ind w:firstLineChars="200" w:firstLine="480"/>
        <w:rPr>
          <w:rFonts w:hAnsi="宋体"/>
          <w:sz w:val="24"/>
        </w:rPr>
      </w:pPr>
      <w:r>
        <w:rPr>
          <w:rFonts w:hAnsi="宋体"/>
          <w:sz w:val="24"/>
        </w:rPr>
        <w:t>根据可研设计及生产原理分析，本项目产生的废水主要有：隔膜压滤废水</w:t>
      </w:r>
      <w:r>
        <w:rPr>
          <w:rFonts w:hAnsi="宋体" w:hint="eastAsia"/>
          <w:sz w:val="24"/>
        </w:rPr>
        <w:t>、喷淋废水、初期雨水、</w:t>
      </w:r>
      <w:r>
        <w:rPr>
          <w:rFonts w:hAnsi="宋体"/>
          <w:sz w:val="24"/>
        </w:rPr>
        <w:t>作业场所地面及平台冲洗水及生活污水等。</w:t>
      </w:r>
    </w:p>
    <w:p w:rsidR="00475650" w:rsidRDefault="00475650">
      <w:pPr>
        <w:spacing w:line="360" w:lineRule="auto"/>
        <w:ind w:firstLineChars="200" w:firstLine="480"/>
        <w:rPr>
          <w:sz w:val="24"/>
        </w:rPr>
      </w:pPr>
      <w:r>
        <w:rPr>
          <w:sz w:val="24"/>
        </w:rPr>
        <w:t>1</w:t>
      </w:r>
      <w:r>
        <w:rPr>
          <w:rFonts w:hAnsi="宋体"/>
          <w:sz w:val="24"/>
        </w:rPr>
        <w:t>、</w:t>
      </w:r>
      <w:r>
        <w:rPr>
          <w:rFonts w:hAnsi="宋体" w:hint="eastAsia"/>
          <w:sz w:val="24"/>
        </w:rPr>
        <w:t>隔油沉淀池废水</w:t>
      </w:r>
    </w:p>
    <w:p w:rsidR="00475650" w:rsidRDefault="00475650">
      <w:pPr>
        <w:spacing w:line="360" w:lineRule="auto"/>
        <w:ind w:firstLineChars="200" w:firstLine="480"/>
        <w:rPr>
          <w:rFonts w:hAnsi="宋体"/>
          <w:sz w:val="24"/>
        </w:rPr>
      </w:pPr>
      <w:r>
        <w:rPr>
          <w:rFonts w:hAnsi="宋体"/>
          <w:sz w:val="24"/>
        </w:rPr>
        <w:t>生产过程中产生的废水为</w:t>
      </w:r>
      <w:r>
        <w:rPr>
          <w:rFonts w:hAnsi="宋体" w:hint="eastAsia"/>
          <w:sz w:val="24"/>
        </w:rPr>
        <w:t>隔油沉淀池废水，来源于粗品隔膜压滤车间压滤工序，压滤后的废水经隔油沉淀池沉淀出废水中的产品成分后送污水处理站进行末端治理</w:t>
      </w:r>
      <w:r>
        <w:rPr>
          <w:rFonts w:hAnsi="宋体"/>
          <w:sz w:val="24"/>
        </w:rPr>
        <w:t>；根据初步可研</w:t>
      </w:r>
      <w:r>
        <w:rPr>
          <w:rFonts w:hAnsi="宋体" w:hint="eastAsia"/>
          <w:sz w:val="24"/>
        </w:rPr>
        <w:t>、</w:t>
      </w:r>
      <w:r>
        <w:rPr>
          <w:rFonts w:hAnsi="宋体"/>
          <w:sz w:val="24"/>
        </w:rPr>
        <w:t>物料平衡数据</w:t>
      </w:r>
      <w:r>
        <w:rPr>
          <w:rFonts w:hAnsi="宋体" w:hint="eastAsia"/>
          <w:sz w:val="24"/>
        </w:rPr>
        <w:t>以及同类工程产排污系数（全国污染源普查数据）</w:t>
      </w:r>
      <w:r>
        <w:rPr>
          <w:rFonts w:hAnsi="宋体"/>
          <w:sz w:val="24"/>
        </w:rPr>
        <w:t>，酸性红生产线产生的废水量</w:t>
      </w:r>
      <w:r>
        <w:rPr>
          <w:rFonts w:hAnsi="宋体" w:hint="eastAsia"/>
          <w:sz w:val="24"/>
        </w:rPr>
        <w:t>约</w:t>
      </w:r>
      <w:r>
        <w:rPr>
          <w:rFonts w:hAnsi="宋体"/>
          <w:sz w:val="24"/>
        </w:rPr>
        <w:t>为</w:t>
      </w:r>
      <w:r>
        <w:rPr>
          <w:rFonts w:hAnsi="宋体" w:hint="eastAsia"/>
          <w:sz w:val="24"/>
        </w:rPr>
        <w:t>119826.34</w:t>
      </w:r>
      <w:r>
        <w:rPr>
          <w:rFonts w:hAnsi="宋体"/>
          <w:sz w:val="24"/>
        </w:rPr>
        <w:t>t/a</w:t>
      </w:r>
      <w:r>
        <w:rPr>
          <w:rFonts w:hAnsi="宋体"/>
          <w:sz w:val="24"/>
        </w:rPr>
        <w:t>，酸性黄生产线产生的废水量</w:t>
      </w:r>
      <w:r>
        <w:rPr>
          <w:rFonts w:hAnsi="宋体" w:hint="eastAsia"/>
          <w:sz w:val="24"/>
        </w:rPr>
        <w:t>约</w:t>
      </w:r>
      <w:r>
        <w:rPr>
          <w:rFonts w:hAnsi="宋体"/>
          <w:sz w:val="24"/>
        </w:rPr>
        <w:t>为</w:t>
      </w:r>
      <w:r>
        <w:rPr>
          <w:rFonts w:hAnsi="宋体" w:hint="eastAsia"/>
          <w:sz w:val="24"/>
        </w:rPr>
        <w:t>60619.96</w:t>
      </w:r>
      <w:r>
        <w:rPr>
          <w:rFonts w:hAnsi="宋体"/>
          <w:sz w:val="24"/>
        </w:rPr>
        <w:t>t/a</w:t>
      </w:r>
      <w:r>
        <w:rPr>
          <w:rFonts w:hAnsi="宋体"/>
          <w:sz w:val="24"/>
        </w:rPr>
        <w:t>，属于间歇排水，以上两股废水经收集至配套的废水预处理装置，产生总量为</w:t>
      </w:r>
      <w:r>
        <w:rPr>
          <w:rFonts w:hAnsi="宋体" w:hint="eastAsia"/>
          <w:sz w:val="24"/>
        </w:rPr>
        <w:t>180446.3</w:t>
      </w:r>
      <w:r>
        <w:rPr>
          <w:rFonts w:hAnsi="宋体"/>
          <w:sz w:val="24"/>
        </w:rPr>
        <w:t>t/a</w:t>
      </w:r>
      <w:r>
        <w:rPr>
          <w:rFonts w:hAnsi="宋体"/>
          <w:sz w:val="24"/>
        </w:rPr>
        <w:t>，主要污染物为有机物以及盐类成分，污染因子</w:t>
      </w:r>
      <w:r>
        <w:rPr>
          <w:rFonts w:hAnsi="宋体"/>
          <w:sz w:val="24"/>
        </w:rPr>
        <w:t>CODcr</w:t>
      </w:r>
      <w:r>
        <w:rPr>
          <w:rFonts w:hAnsi="宋体"/>
          <w:sz w:val="24"/>
        </w:rPr>
        <w:t>浓度约为</w:t>
      </w:r>
      <w:r>
        <w:rPr>
          <w:rFonts w:hAnsi="宋体" w:hint="eastAsia"/>
          <w:sz w:val="24"/>
        </w:rPr>
        <w:t>10000</w:t>
      </w:r>
      <w:r>
        <w:rPr>
          <w:rFonts w:hAnsi="宋体"/>
          <w:sz w:val="24"/>
        </w:rPr>
        <w:t>mg/L</w:t>
      </w:r>
      <w:r>
        <w:rPr>
          <w:rFonts w:hAnsi="宋体"/>
          <w:sz w:val="24"/>
        </w:rPr>
        <w:t>，盐分浓度</w:t>
      </w:r>
      <w:r>
        <w:rPr>
          <w:rFonts w:hAnsi="宋体" w:hint="eastAsia"/>
          <w:sz w:val="24"/>
        </w:rPr>
        <w:t>约</w:t>
      </w:r>
      <w:r>
        <w:rPr>
          <w:rFonts w:hAnsi="宋体" w:hint="eastAsia"/>
          <w:sz w:val="24"/>
        </w:rPr>
        <w:t>2</w:t>
      </w:r>
      <w:r>
        <w:rPr>
          <w:rFonts w:hAnsi="宋体"/>
          <w:sz w:val="24"/>
        </w:rPr>
        <w:t>%</w:t>
      </w:r>
      <w:r>
        <w:rPr>
          <w:rFonts w:hAnsi="宋体"/>
          <w:sz w:val="24"/>
        </w:rPr>
        <w:t>，氨氮约为</w:t>
      </w:r>
      <w:r>
        <w:rPr>
          <w:rFonts w:hAnsi="宋体" w:hint="eastAsia"/>
          <w:sz w:val="24"/>
        </w:rPr>
        <w:t>107</w:t>
      </w:r>
      <w:r>
        <w:rPr>
          <w:rFonts w:hAnsi="宋体"/>
          <w:sz w:val="24"/>
        </w:rPr>
        <w:t>mg/L</w:t>
      </w:r>
      <w:r>
        <w:rPr>
          <w:rFonts w:hAnsi="宋体"/>
          <w:sz w:val="24"/>
        </w:rPr>
        <w:t>，</w:t>
      </w:r>
      <w:r>
        <w:rPr>
          <w:rFonts w:hAnsi="宋体" w:hint="eastAsia"/>
          <w:sz w:val="24"/>
        </w:rPr>
        <w:t>挥发酚约为</w:t>
      </w:r>
      <w:r>
        <w:rPr>
          <w:rFonts w:hAnsi="宋体" w:hint="eastAsia"/>
          <w:sz w:val="24"/>
        </w:rPr>
        <w:t>117</w:t>
      </w:r>
      <w:r>
        <w:rPr>
          <w:rFonts w:hAnsi="宋体"/>
          <w:sz w:val="24"/>
        </w:rPr>
        <w:t>mg/L</w:t>
      </w:r>
      <w:r>
        <w:rPr>
          <w:rFonts w:hAnsi="宋体"/>
          <w:sz w:val="24"/>
        </w:rPr>
        <w:t>，色度约为</w:t>
      </w:r>
      <w:r>
        <w:rPr>
          <w:rFonts w:hAnsi="宋体" w:hint="eastAsia"/>
          <w:sz w:val="24"/>
        </w:rPr>
        <w:t>25</w:t>
      </w:r>
      <w:r>
        <w:rPr>
          <w:rFonts w:hAnsi="宋体"/>
          <w:sz w:val="24"/>
        </w:rPr>
        <w:t>000</w:t>
      </w:r>
      <w:r>
        <w:rPr>
          <w:rFonts w:hAnsi="宋体"/>
          <w:sz w:val="24"/>
        </w:rPr>
        <w:t>倍，</w:t>
      </w:r>
      <w:r>
        <w:rPr>
          <w:rFonts w:hAnsi="宋体"/>
          <w:sz w:val="24"/>
        </w:rPr>
        <w:t>SS</w:t>
      </w:r>
      <w:r>
        <w:rPr>
          <w:rFonts w:hAnsi="宋体"/>
          <w:sz w:val="24"/>
        </w:rPr>
        <w:t>约为</w:t>
      </w:r>
      <w:r>
        <w:rPr>
          <w:rFonts w:hAnsi="宋体"/>
          <w:sz w:val="24"/>
        </w:rPr>
        <w:t>500 mg/L</w:t>
      </w:r>
      <w:r>
        <w:rPr>
          <w:rFonts w:hAnsi="宋体"/>
          <w:sz w:val="24"/>
        </w:rPr>
        <w:t>。</w:t>
      </w:r>
      <w:r>
        <w:rPr>
          <w:rFonts w:hAnsi="宋体" w:hint="eastAsia"/>
          <w:sz w:val="24"/>
        </w:rPr>
        <w:t>喷淋废水循环使用，定期外排污水处理设施，产生量约为</w:t>
      </w:r>
      <w:r>
        <w:rPr>
          <w:rFonts w:hAnsi="宋体" w:hint="eastAsia"/>
          <w:sz w:val="24"/>
        </w:rPr>
        <w:t>33.7t/a</w:t>
      </w:r>
      <w:r>
        <w:rPr>
          <w:rFonts w:hAnsi="宋体" w:hint="eastAsia"/>
          <w:sz w:val="24"/>
        </w:rPr>
        <w:t>。</w:t>
      </w:r>
    </w:p>
    <w:p w:rsidR="00475650" w:rsidRDefault="00475650">
      <w:pPr>
        <w:spacing w:line="360" w:lineRule="auto"/>
        <w:ind w:firstLineChars="200" w:firstLine="480"/>
        <w:rPr>
          <w:rFonts w:hAnsi="宋体"/>
          <w:sz w:val="24"/>
        </w:rPr>
      </w:pPr>
      <w:r>
        <w:rPr>
          <w:rFonts w:hAnsi="宋体"/>
          <w:sz w:val="24"/>
        </w:rPr>
        <w:t>目前污水处理暂未建成</w:t>
      </w:r>
      <w:r>
        <w:rPr>
          <w:rFonts w:hAnsi="宋体" w:hint="eastAsia"/>
          <w:sz w:val="24"/>
        </w:rPr>
        <w:t>，</w:t>
      </w:r>
      <w:r>
        <w:rPr>
          <w:rFonts w:hAnsi="宋体"/>
          <w:sz w:val="24"/>
        </w:rPr>
        <w:t>初步可研拟采取“隔油</w:t>
      </w:r>
      <w:r>
        <w:rPr>
          <w:rFonts w:hAnsi="宋体"/>
          <w:sz w:val="24"/>
        </w:rPr>
        <w:t>+pH</w:t>
      </w:r>
      <w:r>
        <w:rPr>
          <w:rFonts w:hAnsi="宋体"/>
          <w:sz w:val="24"/>
        </w:rPr>
        <w:t>调节</w:t>
      </w:r>
      <w:r>
        <w:rPr>
          <w:rFonts w:hAnsi="宋体"/>
          <w:sz w:val="24"/>
        </w:rPr>
        <w:t>+</w:t>
      </w:r>
      <w:r>
        <w:rPr>
          <w:rFonts w:hAnsi="宋体"/>
          <w:sz w:val="24"/>
        </w:rPr>
        <w:t>营养盐</w:t>
      </w:r>
      <w:r>
        <w:rPr>
          <w:rFonts w:hAnsi="宋体"/>
          <w:sz w:val="24"/>
        </w:rPr>
        <w:t>+</w:t>
      </w:r>
      <w:r>
        <w:rPr>
          <w:rFonts w:hAnsi="宋体"/>
          <w:sz w:val="24"/>
        </w:rPr>
        <w:t>厌氧生化</w:t>
      </w:r>
      <w:r>
        <w:rPr>
          <w:rFonts w:hAnsi="宋体"/>
          <w:sz w:val="24"/>
        </w:rPr>
        <w:t>+</w:t>
      </w:r>
      <w:r>
        <w:rPr>
          <w:rFonts w:hAnsi="宋体"/>
          <w:sz w:val="24"/>
        </w:rPr>
        <w:t>耗氧生化</w:t>
      </w:r>
      <w:r>
        <w:rPr>
          <w:rFonts w:hAnsi="宋体"/>
          <w:sz w:val="24"/>
        </w:rPr>
        <w:t>+</w:t>
      </w:r>
      <w:r>
        <w:rPr>
          <w:rFonts w:hAnsi="宋体"/>
          <w:sz w:val="24"/>
        </w:rPr>
        <w:t>臭氧氧化塔脱色</w:t>
      </w:r>
      <w:r>
        <w:rPr>
          <w:rFonts w:hAnsi="宋体"/>
          <w:sz w:val="24"/>
        </w:rPr>
        <w:t>+</w:t>
      </w:r>
      <w:r>
        <w:rPr>
          <w:rFonts w:hAnsi="宋体"/>
          <w:sz w:val="24"/>
        </w:rPr>
        <w:t>沉淀处理”后送园区污水处理厂；</w:t>
      </w:r>
      <w:r>
        <w:rPr>
          <w:rFonts w:hAnsi="宋体" w:hint="eastAsia"/>
          <w:sz w:val="24"/>
        </w:rPr>
        <w:t>2014</w:t>
      </w:r>
      <w:r>
        <w:rPr>
          <w:rFonts w:hAnsi="宋体" w:hint="eastAsia"/>
          <w:sz w:val="24"/>
        </w:rPr>
        <w:t>年底，</w:t>
      </w:r>
      <w:r>
        <w:rPr>
          <w:rFonts w:hAnsi="宋体"/>
          <w:sz w:val="24"/>
        </w:rPr>
        <w:t>公司委托武汉沐澜环保科技有限公司实施了废水处理措施的初步设计，初步设计拟采取“</w:t>
      </w:r>
      <w:r>
        <w:rPr>
          <w:rFonts w:hAnsi="宋体"/>
          <w:sz w:val="24"/>
        </w:rPr>
        <w:t>pH</w:t>
      </w:r>
      <w:r>
        <w:rPr>
          <w:rFonts w:hAnsi="宋体"/>
          <w:sz w:val="24"/>
        </w:rPr>
        <w:t>调节</w:t>
      </w:r>
      <w:r>
        <w:rPr>
          <w:rFonts w:hAnsi="宋体"/>
          <w:sz w:val="24"/>
        </w:rPr>
        <w:t>+</w:t>
      </w:r>
      <w:r>
        <w:rPr>
          <w:rFonts w:hAnsi="宋体"/>
          <w:sz w:val="24"/>
        </w:rPr>
        <w:t>蒸发脱盐</w:t>
      </w:r>
      <w:r>
        <w:rPr>
          <w:rFonts w:hAnsi="宋体"/>
          <w:sz w:val="24"/>
        </w:rPr>
        <w:t>+</w:t>
      </w:r>
      <w:r>
        <w:rPr>
          <w:rFonts w:hAnsi="宋体"/>
          <w:sz w:val="24"/>
        </w:rPr>
        <w:t>微电解</w:t>
      </w:r>
      <w:r>
        <w:rPr>
          <w:rFonts w:hAnsi="宋体"/>
          <w:sz w:val="24"/>
        </w:rPr>
        <w:t>+</w:t>
      </w:r>
      <w:r>
        <w:rPr>
          <w:rFonts w:hAnsi="宋体"/>
          <w:sz w:val="24"/>
        </w:rPr>
        <w:t>化学氧化</w:t>
      </w:r>
      <w:r>
        <w:rPr>
          <w:rFonts w:hAnsi="宋体"/>
          <w:sz w:val="24"/>
        </w:rPr>
        <w:t>+</w:t>
      </w:r>
      <w:r>
        <w:rPr>
          <w:rFonts w:hAnsi="宋体"/>
          <w:sz w:val="24"/>
        </w:rPr>
        <w:t>厌氧生化</w:t>
      </w:r>
      <w:r>
        <w:rPr>
          <w:rFonts w:hAnsi="宋体"/>
          <w:sz w:val="24"/>
        </w:rPr>
        <w:t>+</w:t>
      </w:r>
      <w:r>
        <w:rPr>
          <w:rFonts w:hAnsi="宋体"/>
          <w:sz w:val="24"/>
        </w:rPr>
        <w:t>生物滤池处理”后送园区污水处理厂。</w:t>
      </w:r>
    </w:p>
    <w:p w:rsidR="00475650" w:rsidRDefault="00475650">
      <w:pPr>
        <w:spacing w:line="360" w:lineRule="auto"/>
        <w:ind w:firstLineChars="200" w:firstLine="480"/>
        <w:rPr>
          <w:sz w:val="24"/>
        </w:rPr>
      </w:pPr>
      <w:r>
        <w:rPr>
          <w:sz w:val="24"/>
        </w:rPr>
        <w:t>2</w:t>
      </w:r>
      <w:r>
        <w:rPr>
          <w:rFonts w:hAnsi="宋体"/>
          <w:sz w:val="24"/>
        </w:rPr>
        <w:t>、装置平台及地面清洗水</w:t>
      </w:r>
    </w:p>
    <w:p w:rsidR="00475650" w:rsidRDefault="00475650">
      <w:pPr>
        <w:spacing w:line="360" w:lineRule="auto"/>
        <w:ind w:firstLineChars="200" w:firstLine="480"/>
        <w:rPr>
          <w:sz w:val="24"/>
        </w:rPr>
      </w:pPr>
      <w:r>
        <w:rPr>
          <w:rFonts w:hAnsi="宋体"/>
          <w:sz w:val="24"/>
        </w:rPr>
        <w:t>装置区平台及装置区地面定期实施清洗（采用抹布及拖布擦拭的方式清洗，清洗周期为</w:t>
      </w:r>
      <w:r>
        <w:rPr>
          <w:sz w:val="24"/>
        </w:rPr>
        <w:t>5</w:t>
      </w:r>
      <w:r>
        <w:rPr>
          <w:rFonts w:hAnsi="宋体"/>
          <w:sz w:val="24"/>
        </w:rPr>
        <w:t>天</w:t>
      </w:r>
      <w:r>
        <w:rPr>
          <w:sz w:val="24"/>
        </w:rPr>
        <w:t xml:space="preserve">/ </w:t>
      </w:r>
      <w:r>
        <w:rPr>
          <w:rFonts w:hAnsi="宋体"/>
          <w:sz w:val="24"/>
        </w:rPr>
        <w:t>次），根据平台面积、装置区面积及设计有关数据核算，此股废水产生量为</w:t>
      </w:r>
      <w:r>
        <w:rPr>
          <w:sz w:val="24"/>
        </w:rPr>
        <w:t>4m</w:t>
      </w:r>
      <w:r>
        <w:rPr>
          <w:sz w:val="24"/>
          <w:vertAlign w:val="superscript"/>
        </w:rPr>
        <w:t>3</w:t>
      </w:r>
      <w:r>
        <w:rPr>
          <w:sz w:val="24"/>
        </w:rPr>
        <w:t>/</w:t>
      </w:r>
      <w:r>
        <w:rPr>
          <w:rFonts w:hAnsi="宋体"/>
          <w:sz w:val="24"/>
        </w:rPr>
        <w:t>次，</w:t>
      </w:r>
      <w:r>
        <w:rPr>
          <w:sz w:val="24"/>
        </w:rPr>
        <w:t xml:space="preserve"> </w:t>
      </w:r>
      <w:r>
        <w:rPr>
          <w:rFonts w:hAnsi="宋体"/>
          <w:sz w:val="24"/>
        </w:rPr>
        <w:t>主要污染物</w:t>
      </w:r>
      <w:r>
        <w:rPr>
          <w:sz w:val="24"/>
        </w:rPr>
        <w:t>CODcr</w:t>
      </w:r>
      <w:r>
        <w:rPr>
          <w:rFonts w:hAnsi="宋体"/>
          <w:sz w:val="24"/>
        </w:rPr>
        <w:t>浓度约为</w:t>
      </w:r>
      <w:r>
        <w:rPr>
          <w:sz w:val="24"/>
        </w:rPr>
        <w:t>400mg/L</w:t>
      </w:r>
      <w:r>
        <w:rPr>
          <w:rFonts w:hAnsi="宋体"/>
          <w:sz w:val="24"/>
        </w:rPr>
        <w:t>，氨氮约为</w:t>
      </w:r>
      <w:r>
        <w:rPr>
          <w:sz w:val="24"/>
        </w:rPr>
        <w:t>20 mg/L</w:t>
      </w:r>
      <w:r>
        <w:rPr>
          <w:rFonts w:hAnsi="宋体"/>
          <w:sz w:val="24"/>
        </w:rPr>
        <w:t>，</w:t>
      </w:r>
      <w:r>
        <w:rPr>
          <w:sz w:val="24"/>
        </w:rPr>
        <w:t>SS</w:t>
      </w:r>
      <w:r>
        <w:rPr>
          <w:rFonts w:hAnsi="宋体"/>
          <w:sz w:val="24"/>
        </w:rPr>
        <w:t>约为</w:t>
      </w:r>
      <w:r>
        <w:rPr>
          <w:sz w:val="24"/>
        </w:rPr>
        <w:t>200 mg/L</w:t>
      </w:r>
      <w:r>
        <w:rPr>
          <w:rFonts w:hAnsi="宋体"/>
          <w:sz w:val="24"/>
        </w:rPr>
        <w:t>；初步可研未涉及此股废水的处理；</w:t>
      </w:r>
    </w:p>
    <w:p w:rsidR="00475650" w:rsidRDefault="00475650">
      <w:pPr>
        <w:spacing w:line="360" w:lineRule="auto"/>
        <w:ind w:firstLineChars="200" w:firstLine="480"/>
        <w:rPr>
          <w:sz w:val="24"/>
        </w:rPr>
      </w:pPr>
      <w:r>
        <w:rPr>
          <w:sz w:val="24"/>
        </w:rPr>
        <w:t>3</w:t>
      </w:r>
      <w:r>
        <w:rPr>
          <w:rFonts w:hAnsi="宋体"/>
          <w:sz w:val="24"/>
        </w:rPr>
        <w:t>、蒸汽冷凝水：本项目烘箱干燥工序以及废水处理三效蒸发工序采用间接蒸汽加热的方式（工业园集中供热），根据热效率核算，需间接蒸汽量约为</w:t>
      </w:r>
      <w:r>
        <w:rPr>
          <w:rFonts w:hint="eastAsia"/>
          <w:sz w:val="24"/>
        </w:rPr>
        <w:t>8.75</w:t>
      </w:r>
      <w:r>
        <w:rPr>
          <w:sz w:val="24"/>
        </w:rPr>
        <w:t>t/h</w:t>
      </w:r>
      <w:r>
        <w:rPr>
          <w:rFonts w:hAnsi="宋体"/>
          <w:sz w:val="24"/>
        </w:rPr>
        <w:t>，由此产生的凝结水量为</w:t>
      </w:r>
      <w:r>
        <w:rPr>
          <w:rFonts w:hint="eastAsia"/>
          <w:sz w:val="24"/>
        </w:rPr>
        <w:t>8.75</w:t>
      </w:r>
      <w:r>
        <w:rPr>
          <w:sz w:val="24"/>
        </w:rPr>
        <w:t>t/h</w:t>
      </w:r>
      <w:r>
        <w:rPr>
          <w:rFonts w:hAnsi="宋体"/>
          <w:sz w:val="24"/>
        </w:rPr>
        <w:t>，该部分水为洁净水，由于园区集中供热工程已经考虑了凝结水的处理处置，本评价不重复考虑；</w:t>
      </w:r>
    </w:p>
    <w:p w:rsidR="00475650" w:rsidRDefault="00475650">
      <w:pPr>
        <w:snapToGrid w:val="0"/>
        <w:spacing w:line="360" w:lineRule="auto"/>
        <w:ind w:firstLineChars="200" w:firstLine="480"/>
        <w:rPr>
          <w:rFonts w:hAnsi="宋体"/>
          <w:sz w:val="24"/>
        </w:rPr>
      </w:pPr>
      <w:r>
        <w:rPr>
          <w:sz w:val="24"/>
        </w:rPr>
        <w:t>4</w:t>
      </w:r>
      <w:r>
        <w:rPr>
          <w:rFonts w:hAnsi="宋体"/>
          <w:sz w:val="24"/>
        </w:rPr>
        <w:t>、</w:t>
      </w:r>
      <w:r>
        <w:rPr>
          <w:rFonts w:hAnsi="宋体" w:hint="eastAsia"/>
          <w:sz w:val="24"/>
        </w:rPr>
        <w:t>初期雨水：公司总占地</w:t>
      </w:r>
      <w:r>
        <w:rPr>
          <w:rFonts w:hAnsi="宋体" w:hint="eastAsia"/>
          <w:sz w:val="24"/>
        </w:rPr>
        <w:t>40</w:t>
      </w:r>
      <w:r>
        <w:rPr>
          <w:rFonts w:hAnsi="宋体" w:hint="eastAsia"/>
          <w:sz w:val="24"/>
        </w:rPr>
        <w:t>亩，作业场所占地约为总占地的</w:t>
      </w:r>
      <w:r>
        <w:rPr>
          <w:rFonts w:hAnsi="宋体" w:hint="eastAsia"/>
          <w:sz w:val="24"/>
        </w:rPr>
        <w:t>90%</w:t>
      </w:r>
      <w:r>
        <w:rPr>
          <w:rFonts w:hAnsi="宋体" w:hint="eastAsia"/>
          <w:sz w:val="24"/>
        </w:rPr>
        <w:t>，</w:t>
      </w:r>
      <w:r>
        <w:rPr>
          <w:rFonts w:hAnsi="宋体"/>
          <w:sz w:val="24"/>
        </w:rPr>
        <w:t>年平均降雨量</w:t>
      </w:r>
      <w:r>
        <w:rPr>
          <w:sz w:val="24"/>
        </w:rPr>
        <w:t>1556.2mm</w:t>
      </w:r>
      <w:r>
        <w:rPr>
          <w:rFonts w:hAnsi="宋体"/>
          <w:sz w:val="24"/>
        </w:rPr>
        <w:t>，</w:t>
      </w:r>
      <w:r>
        <w:rPr>
          <w:rFonts w:hAnsi="宋体" w:hint="eastAsia"/>
          <w:sz w:val="24"/>
        </w:rPr>
        <w:t>初期雨水量为降雨的前</w:t>
      </w:r>
      <w:r>
        <w:rPr>
          <w:rFonts w:hAnsi="宋体" w:hint="eastAsia"/>
          <w:sz w:val="24"/>
        </w:rPr>
        <w:t>15</w:t>
      </w:r>
      <w:r>
        <w:rPr>
          <w:rFonts w:hAnsi="宋体" w:hint="eastAsia"/>
          <w:sz w:val="24"/>
        </w:rPr>
        <w:t>分钟雨水收集量，环评按照年均降雨量</w:t>
      </w:r>
      <w:r>
        <w:rPr>
          <w:rFonts w:hAnsi="宋体" w:hint="eastAsia"/>
          <w:sz w:val="24"/>
        </w:rPr>
        <w:lastRenderedPageBreak/>
        <w:t>的</w:t>
      </w:r>
      <w:r>
        <w:rPr>
          <w:rFonts w:hAnsi="宋体" w:hint="eastAsia"/>
          <w:sz w:val="24"/>
        </w:rPr>
        <w:t>15%</w:t>
      </w:r>
      <w:r>
        <w:rPr>
          <w:rFonts w:hAnsi="宋体" w:hint="eastAsia"/>
          <w:sz w:val="24"/>
        </w:rPr>
        <w:t>核算全年初期雨水量为</w:t>
      </w:r>
      <w:r>
        <w:rPr>
          <w:rFonts w:hAnsi="宋体" w:hint="eastAsia"/>
          <w:sz w:val="24"/>
        </w:rPr>
        <w:t>5605m</w:t>
      </w:r>
      <w:r>
        <w:rPr>
          <w:rFonts w:hAnsi="宋体" w:hint="eastAsia"/>
          <w:sz w:val="24"/>
          <w:vertAlign w:val="superscript"/>
        </w:rPr>
        <w:t>3</w:t>
      </w:r>
      <w:r>
        <w:rPr>
          <w:rFonts w:hAnsi="宋体" w:hint="eastAsia"/>
          <w:sz w:val="24"/>
        </w:rPr>
        <w:t>/a</w:t>
      </w:r>
      <w:r>
        <w:rPr>
          <w:rFonts w:hAnsi="宋体" w:hint="eastAsia"/>
          <w:sz w:val="24"/>
        </w:rPr>
        <w:t>，现有工程将其直接纳入园区污水处理厂，本项目建成后，考虑到初期雨水中可能夹带有少量的染料成分，初期雨水主要污染物成分为</w:t>
      </w:r>
      <w:r>
        <w:rPr>
          <w:rFonts w:hAnsi="宋体" w:hint="eastAsia"/>
          <w:sz w:val="24"/>
        </w:rPr>
        <w:t>Ph</w:t>
      </w:r>
      <w:r>
        <w:rPr>
          <w:rFonts w:hAnsi="宋体" w:hint="eastAsia"/>
          <w:sz w:val="24"/>
        </w:rPr>
        <w:t>、</w:t>
      </w:r>
      <w:r>
        <w:rPr>
          <w:rFonts w:hAnsi="宋体" w:hint="eastAsia"/>
          <w:sz w:val="24"/>
        </w:rPr>
        <w:t>COD</w:t>
      </w:r>
      <w:r>
        <w:rPr>
          <w:rFonts w:hAnsi="宋体" w:hint="eastAsia"/>
          <w:sz w:val="24"/>
        </w:rPr>
        <w:t>和色度，环评要求将初期雨水纳入新建的污水处理站一并处理后送园区污水处理厂处理。</w:t>
      </w:r>
    </w:p>
    <w:p w:rsidR="00475650" w:rsidRDefault="00475650">
      <w:pPr>
        <w:spacing w:line="360" w:lineRule="auto"/>
        <w:ind w:firstLineChars="200" w:firstLine="480"/>
        <w:rPr>
          <w:rFonts w:hAnsi="宋体"/>
          <w:sz w:val="24"/>
        </w:rPr>
      </w:pPr>
      <w:r>
        <w:rPr>
          <w:rFonts w:hAnsi="宋体" w:hint="eastAsia"/>
          <w:sz w:val="24"/>
        </w:rPr>
        <w:t>5</w:t>
      </w:r>
      <w:r>
        <w:rPr>
          <w:rFonts w:hAnsi="宋体" w:hint="eastAsia"/>
          <w:sz w:val="24"/>
        </w:rPr>
        <w:t>、</w:t>
      </w:r>
      <w:r>
        <w:rPr>
          <w:rFonts w:hAnsi="宋体"/>
          <w:sz w:val="24"/>
        </w:rPr>
        <w:t>生活废水：本项目不设职工宿舍，生活污水主要产生于装置区及倒班房职工的生活用水，本次新增职工人数为</w:t>
      </w:r>
      <w:r>
        <w:rPr>
          <w:sz w:val="24"/>
        </w:rPr>
        <w:t>60</w:t>
      </w:r>
      <w:r>
        <w:rPr>
          <w:rFonts w:hAnsi="宋体"/>
          <w:sz w:val="24"/>
        </w:rPr>
        <w:t>人，采用三班工作制，由此产生的生活废水量约为生活废水产生量约为</w:t>
      </w:r>
      <w:r>
        <w:rPr>
          <w:sz w:val="24"/>
        </w:rPr>
        <w:t>2t/d</w:t>
      </w:r>
      <w:r>
        <w:rPr>
          <w:rFonts w:hAnsi="宋体"/>
          <w:sz w:val="24"/>
        </w:rPr>
        <w:t>，主要污染物</w:t>
      </w:r>
      <w:r>
        <w:rPr>
          <w:sz w:val="24"/>
        </w:rPr>
        <w:t>CODcr</w:t>
      </w:r>
      <w:r>
        <w:rPr>
          <w:rFonts w:hAnsi="宋体"/>
          <w:sz w:val="24"/>
        </w:rPr>
        <w:t>浓度约为</w:t>
      </w:r>
      <w:r>
        <w:rPr>
          <w:rFonts w:hint="eastAsia"/>
          <w:sz w:val="24"/>
        </w:rPr>
        <w:t>300</w:t>
      </w:r>
      <w:r>
        <w:rPr>
          <w:sz w:val="24"/>
        </w:rPr>
        <w:t>mg/L</w:t>
      </w:r>
      <w:r>
        <w:rPr>
          <w:rFonts w:hAnsi="宋体"/>
          <w:sz w:val="24"/>
        </w:rPr>
        <w:t>，氨氮约为</w:t>
      </w:r>
      <w:r>
        <w:rPr>
          <w:rFonts w:hint="eastAsia"/>
          <w:sz w:val="24"/>
        </w:rPr>
        <w:t>20</w:t>
      </w:r>
      <w:r>
        <w:rPr>
          <w:sz w:val="24"/>
        </w:rPr>
        <w:t>mg/L</w:t>
      </w:r>
      <w:r>
        <w:rPr>
          <w:rFonts w:hAnsi="宋体"/>
          <w:sz w:val="24"/>
        </w:rPr>
        <w:t>；</w:t>
      </w:r>
      <w:r>
        <w:rPr>
          <w:sz w:val="24"/>
        </w:rPr>
        <w:t>SS</w:t>
      </w:r>
      <w:r>
        <w:rPr>
          <w:rFonts w:hAnsi="宋体"/>
          <w:sz w:val="24"/>
        </w:rPr>
        <w:t>约为</w:t>
      </w:r>
      <w:r>
        <w:rPr>
          <w:sz w:val="24"/>
        </w:rPr>
        <w:t>100 mg/L</w:t>
      </w:r>
      <w:r>
        <w:rPr>
          <w:rFonts w:hAnsi="宋体"/>
          <w:sz w:val="24"/>
        </w:rPr>
        <w:t>；外排园区污水处理厂处理</w:t>
      </w:r>
      <w:r>
        <w:rPr>
          <w:rFonts w:hAnsi="宋体" w:hint="eastAsia"/>
          <w:sz w:val="24"/>
        </w:rPr>
        <w:t>。</w:t>
      </w:r>
    </w:p>
    <w:p w:rsidR="00475650" w:rsidRDefault="00475650">
      <w:pPr>
        <w:spacing w:line="360" w:lineRule="auto"/>
        <w:ind w:firstLineChars="200" w:firstLine="464"/>
        <w:rPr>
          <w:spacing w:val="-4"/>
          <w:sz w:val="24"/>
        </w:rPr>
      </w:pPr>
      <w:r>
        <w:rPr>
          <w:rFonts w:hAnsi="宋体"/>
          <w:spacing w:val="-4"/>
          <w:sz w:val="24"/>
        </w:rPr>
        <w:t>参考初步可研设计数据及业主提供的有效数据，根据项目用水量的基本情况，综合得本项目废水排放情况，具体内容见表</w:t>
      </w:r>
      <w:r>
        <w:rPr>
          <w:spacing w:val="-4"/>
          <w:sz w:val="24"/>
        </w:rPr>
        <w:t>3.3-9</w:t>
      </w:r>
      <w:r>
        <w:rPr>
          <w:rFonts w:hAnsi="宋体"/>
          <w:spacing w:val="-4"/>
          <w:sz w:val="24"/>
        </w:rPr>
        <w:t>。</w:t>
      </w:r>
    </w:p>
    <w:p w:rsidR="00475650" w:rsidRDefault="00475650">
      <w:pPr>
        <w:spacing w:line="360" w:lineRule="auto"/>
        <w:jc w:val="center"/>
        <w:rPr>
          <w:rFonts w:hAnsi="宋体"/>
          <w:bCs/>
          <w:sz w:val="24"/>
        </w:rPr>
      </w:pPr>
      <w:r>
        <w:rPr>
          <w:rFonts w:hAnsi="宋体"/>
          <w:bCs/>
          <w:sz w:val="24"/>
        </w:rPr>
        <w:t>表</w:t>
      </w:r>
      <w:r>
        <w:rPr>
          <w:bCs/>
          <w:sz w:val="24"/>
        </w:rPr>
        <w:t xml:space="preserve">3.3-9    </w:t>
      </w:r>
      <w:r>
        <w:rPr>
          <w:rFonts w:hAnsi="宋体"/>
          <w:bCs/>
          <w:sz w:val="24"/>
        </w:rPr>
        <w:t>本项目废水污染源一览表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673"/>
        <w:gridCol w:w="921"/>
        <w:gridCol w:w="496"/>
        <w:gridCol w:w="823"/>
        <w:gridCol w:w="648"/>
        <w:gridCol w:w="887"/>
        <w:gridCol w:w="648"/>
        <w:gridCol w:w="777"/>
        <w:gridCol w:w="747"/>
        <w:gridCol w:w="1736"/>
      </w:tblGrid>
      <w:tr w:rsidR="00475650">
        <w:trPr>
          <w:trHeight w:val="584"/>
          <w:jc w:val="center"/>
        </w:trPr>
        <w:tc>
          <w:tcPr>
            <w:tcW w:w="1673" w:type="dxa"/>
            <w:vAlign w:val="center"/>
          </w:tcPr>
          <w:p w:rsidR="00475650" w:rsidRDefault="00475650">
            <w:pPr>
              <w:snapToGrid w:val="0"/>
              <w:spacing w:line="240" w:lineRule="exact"/>
              <w:jc w:val="center"/>
              <w:rPr>
                <w:szCs w:val="21"/>
              </w:rPr>
            </w:pPr>
            <w:r>
              <w:rPr>
                <w:rFonts w:hAnsi="宋体"/>
                <w:szCs w:val="21"/>
              </w:rPr>
              <w:t>废水来源</w:t>
            </w:r>
          </w:p>
        </w:tc>
        <w:tc>
          <w:tcPr>
            <w:tcW w:w="921" w:type="dxa"/>
            <w:vAlign w:val="center"/>
          </w:tcPr>
          <w:p w:rsidR="00475650" w:rsidRDefault="00475650">
            <w:pPr>
              <w:snapToGrid w:val="0"/>
              <w:spacing w:line="240" w:lineRule="exact"/>
              <w:jc w:val="center"/>
              <w:rPr>
                <w:szCs w:val="21"/>
              </w:rPr>
            </w:pPr>
            <w:r>
              <w:rPr>
                <w:rFonts w:hAnsi="宋体"/>
                <w:szCs w:val="21"/>
              </w:rPr>
              <w:t>废水量</w:t>
            </w:r>
          </w:p>
          <w:p w:rsidR="00475650" w:rsidRDefault="00475650">
            <w:pPr>
              <w:snapToGrid w:val="0"/>
              <w:spacing w:line="240" w:lineRule="exact"/>
              <w:jc w:val="center"/>
              <w:rPr>
                <w:szCs w:val="21"/>
              </w:rPr>
            </w:pPr>
            <w:r>
              <w:rPr>
                <w:szCs w:val="21"/>
              </w:rPr>
              <w:t>m</w:t>
            </w:r>
            <w:r>
              <w:rPr>
                <w:szCs w:val="21"/>
                <w:vertAlign w:val="superscript"/>
              </w:rPr>
              <w:t>3</w:t>
            </w:r>
            <w:r>
              <w:rPr>
                <w:szCs w:val="21"/>
              </w:rPr>
              <w:t>/d</w:t>
            </w:r>
          </w:p>
        </w:tc>
        <w:tc>
          <w:tcPr>
            <w:tcW w:w="496" w:type="dxa"/>
            <w:vAlign w:val="center"/>
          </w:tcPr>
          <w:p w:rsidR="00475650" w:rsidRDefault="00475650">
            <w:pPr>
              <w:jc w:val="center"/>
              <w:rPr>
                <w:szCs w:val="21"/>
              </w:rPr>
            </w:pPr>
            <w:r>
              <w:rPr>
                <w:szCs w:val="21"/>
              </w:rPr>
              <w:t>pH</w:t>
            </w:r>
          </w:p>
        </w:tc>
        <w:tc>
          <w:tcPr>
            <w:tcW w:w="823" w:type="dxa"/>
            <w:vAlign w:val="center"/>
          </w:tcPr>
          <w:p w:rsidR="00475650" w:rsidRDefault="00475650">
            <w:pPr>
              <w:snapToGrid w:val="0"/>
              <w:spacing w:line="240" w:lineRule="exact"/>
              <w:jc w:val="center"/>
              <w:rPr>
                <w:szCs w:val="21"/>
              </w:rPr>
            </w:pPr>
            <w:r>
              <w:rPr>
                <w:szCs w:val="21"/>
              </w:rPr>
              <w:t>CODcr</w:t>
            </w:r>
          </w:p>
          <w:p w:rsidR="00475650" w:rsidRDefault="00475650">
            <w:pPr>
              <w:jc w:val="center"/>
              <w:rPr>
                <w:szCs w:val="21"/>
              </w:rPr>
            </w:pPr>
            <w:r>
              <w:rPr>
                <w:szCs w:val="21"/>
              </w:rPr>
              <w:t>mg/1</w:t>
            </w:r>
          </w:p>
        </w:tc>
        <w:tc>
          <w:tcPr>
            <w:tcW w:w="648" w:type="dxa"/>
            <w:vAlign w:val="center"/>
          </w:tcPr>
          <w:p w:rsidR="00475650" w:rsidRDefault="00475650">
            <w:pPr>
              <w:snapToGrid w:val="0"/>
              <w:spacing w:line="240" w:lineRule="exact"/>
              <w:jc w:val="center"/>
              <w:rPr>
                <w:szCs w:val="21"/>
              </w:rPr>
            </w:pPr>
            <w:r>
              <w:rPr>
                <w:rFonts w:hAnsi="宋体"/>
                <w:szCs w:val="21"/>
              </w:rPr>
              <w:t>氨氮</w:t>
            </w:r>
          </w:p>
          <w:p w:rsidR="00475650" w:rsidRDefault="00475650">
            <w:pPr>
              <w:snapToGrid w:val="0"/>
              <w:spacing w:line="240" w:lineRule="exact"/>
              <w:jc w:val="center"/>
              <w:rPr>
                <w:szCs w:val="21"/>
              </w:rPr>
            </w:pPr>
            <w:r>
              <w:rPr>
                <w:szCs w:val="21"/>
              </w:rPr>
              <w:t>mg/1</w:t>
            </w:r>
          </w:p>
        </w:tc>
        <w:tc>
          <w:tcPr>
            <w:tcW w:w="887" w:type="dxa"/>
            <w:tcBorders>
              <w:left w:val="single" w:sz="4" w:space="0" w:color="auto"/>
            </w:tcBorders>
            <w:vAlign w:val="center"/>
          </w:tcPr>
          <w:p w:rsidR="00475650" w:rsidRDefault="00475650">
            <w:pPr>
              <w:snapToGrid w:val="0"/>
              <w:spacing w:line="240" w:lineRule="exact"/>
              <w:jc w:val="center"/>
              <w:rPr>
                <w:szCs w:val="21"/>
              </w:rPr>
            </w:pPr>
            <w:r>
              <w:rPr>
                <w:rFonts w:hint="eastAsia"/>
                <w:szCs w:val="21"/>
              </w:rPr>
              <w:t>挥发酚</w:t>
            </w:r>
          </w:p>
          <w:p w:rsidR="00475650" w:rsidRDefault="00475650">
            <w:pPr>
              <w:snapToGrid w:val="0"/>
              <w:spacing w:line="240" w:lineRule="exact"/>
              <w:jc w:val="center"/>
              <w:rPr>
                <w:szCs w:val="21"/>
              </w:rPr>
            </w:pPr>
            <w:r>
              <w:rPr>
                <w:szCs w:val="21"/>
              </w:rPr>
              <w:t>mg/1</w:t>
            </w:r>
          </w:p>
        </w:tc>
        <w:tc>
          <w:tcPr>
            <w:tcW w:w="648" w:type="dxa"/>
            <w:vAlign w:val="center"/>
          </w:tcPr>
          <w:p w:rsidR="00475650" w:rsidRDefault="00475650">
            <w:pPr>
              <w:snapToGrid w:val="0"/>
              <w:spacing w:line="240" w:lineRule="exact"/>
              <w:jc w:val="center"/>
              <w:rPr>
                <w:szCs w:val="21"/>
              </w:rPr>
            </w:pPr>
            <w:r>
              <w:rPr>
                <w:szCs w:val="21"/>
              </w:rPr>
              <w:t>SS</w:t>
            </w:r>
          </w:p>
          <w:p w:rsidR="00475650" w:rsidRDefault="00475650">
            <w:pPr>
              <w:snapToGrid w:val="0"/>
              <w:spacing w:line="240" w:lineRule="exact"/>
              <w:jc w:val="center"/>
              <w:rPr>
                <w:szCs w:val="21"/>
              </w:rPr>
            </w:pPr>
            <w:r>
              <w:rPr>
                <w:szCs w:val="21"/>
              </w:rPr>
              <w:t>mg/1</w:t>
            </w:r>
          </w:p>
        </w:tc>
        <w:tc>
          <w:tcPr>
            <w:tcW w:w="777" w:type="dxa"/>
            <w:tcBorders>
              <w:right w:val="single" w:sz="4" w:space="0" w:color="auto"/>
            </w:tcBorders>
            <w:vAlign w:val="center"/>
          </w:tcPr>
          <w:p w:rsidR="00475650" w:rsidRDefault="00475650">
            <w:pPr>
              <w:snapToGrid w:val="0"/>
              <w:spacing w:line="240" w:lineRule="exact"/>
              <w:jc w:val="center"/>
              <w:rPr>
                <w:szCs w:val="21"/>
              </w:rPr>
            </w:pPr>
            <w:r>
              <w:rPr>
                <w:rFonts w:hAnsi="宋体"/>
                <w:szCs w:val="21"/>
              </w:rPr>
              <w:t>色度</w:t>
            </w:r>
          </w:p>
        </w:tc>
        <w:tc>
          <w:tcPr>
            <w:tcW w:w="747" w:type="dxa"/>
            <w:tcBorders>
              <w:left w:val="single" w:sz="4" w:space="0" w:color="auto"/>
            </w:tcBorders>
            <w:vAlign w:val="center"/>
          </w:tcPr>
          <w:p w:rsidR="00475650" w:rsidRDefault="00475650">
            <w:pPr>
              <w:snapToGrid w:val="0"/>
              <w:spacing w:line="240" w:lineRule="exact"/>
              <w:jc w:val="center"/>
              <w:rPr>
                <w:szCs w:val="21"/>
              </w:rPr>
            </w:pPr>
            <w:r>
              <w:rPr>
                <w:rFonts w:hAnsi="宋体" w:hint="eastAsia"/>
                <w:szCs w:val="21"/>
              </w:rPr>
              <w:t>盐分</w:t>
            </w:r>
          </w:p>
        </w:tc>
        <w:tc>
          <w:tcPr>
            <w:tcW w:w="1736" w:type="dxa"/>
            <w:vAlign w:val="center"/>
          </w:tcPr>
          <w:p w:rsidR="00475650" w:rsidRDefault="00475650">
            <w:pPr>
              <w:snapToGrid w:val="0"/>
              <w:spacing w:line="240" w:lineRule="exact"/>
              <w:jc w:val="center"/>
              <w:rPr>
                <w:rFonts w:hAnsi="宋体"/>
                <w:szCs w:val="21"/>
              </w:rPr>
            </w:pPr>
            <w:r>
              <w:rPr>
                <w:rFonts w:hAnsi="宋体" w:hint="eastAsia"/>
                <w:szCs w:val="21"/>
              </w:rPr>
              <w:t>污染防治</w:t>
            </w:r>
          </w:p>
          <w:p w:rsidR="00475650" w:rsidRDefault="00475650">
            <w:pPr>
              <w:snapToGrid w:val="0"/>
              <w:spacing w:line="240" w:lineRule="exact"/>
              <w:jc w:val="center"/>
              <w:rPr>
                <w:szCs w:val="21"/>
              </w:rPr>
            </w:pPr>
            <w:r>
              <w:rPr>
                <w:rFonts w:hAnsi="宋体"/>
                <w:szCs w:val="21"/>
              </w:rPr>
              <w:t>措施</w:t>
            </w:r>
          </w:p>
        </w:tc>
      </w:tr>
      <w:tr w:rsidR="00475650">
        <w:trPr>
          <w:trHeight w:val="351"/>
          <w:jc w:val="center"/>
        </w:trPr>
        <w:tc>
          <w:tcPr>
            <w:tcW w:w="1673" w:type="dxa"/>
            <w:vAlign w:val="center"/>
          </w:tcPr>
          <w:p w:rsidR="00475650" w:rsidRDefault="00475650">
            <w:pPr>
              <w:snapToGrid w:val="0"/>
              <w:spacing w:line="240" w:lineRule="exact"/>
              <w:jc w:val="center"/>
              <w:rPr>
                <w:szCs w:val="21"/>
              </w:rPr>
            </w:pPr>
            <w:r>
              <w:rPr>
                <w:rFonts w:hAnsi="宋体"/>
                <w:szCs w:val="21"/>
              </w:rPr>
              <w:t>隔膜压滤废水</w:t>
            </w:r>
            <w:r>
              <w:rPr>
                <w:rFonts w:hAnsi="宋体" w:hint="eastAsia"/>
                <w:szCs w:val="21"/>
              </w:rPr>
              <w:t>及喷淋塔废水</w:t>
            </w:r>
          </w:p>
        </w:tc>
        <w:tc>
          <w:tcPr>
            <w:tcW w:w="921" w:type="dxa"/>
            <w:vAlign w:val="center"/>
          </w:tcPr>
          <w:p w:rsidR="00475650" w:rsidRDefault="00475650">
            <w:pPr>
              <w:snapToGrid w:val="0"/>
              <w:spacing w:line="240" w:lineRule="exact"/>
              <w:jc w:val="center"/>
              <w:rPr>
                <w:szCs w:val="21"/>
              </w:rPr>
            </w:pPr>
            <w:r>
              <w:rPr>
                <w:rFonts w:hint="eastAsia"/>
                <w:szCs w:val="21"/>
              </w:rPr>
              <w:t>601.6</w:t>
            </w:r>
          </w:p>
        </w:tc>
        <w:tc>
          <w:tcPr>
            <w:tcW w:w="496" w:type="dxa"/>
            <w:vAlign w:val="center"/>
          </w:tcPr>
          <w:p w:rsidR="00475650" w:rsidRDefault="00475650">
            <w:pPr>
              <w:jc w:val="center"/>
              <w:rPr>
                <w:szCs w:val="21"/>
              </w:rPr>
            </w:pPr>
            <w:r>
              <w:rPr>
                <w:rFonts w:hint="eastAsia"/>
                <w:szCs w:val="21"/>
              </w:rPr>
              <w:t>5-6</w:t>
            </w:r>
          </w:p>
        </w:tc>
        <w:tc>
          <w:tcPr>
            <w:tcW w:w="823" w:type="dxa"/>
            <w:vAlign w:val="center"/>
          </w:tcPr>
          <w:p w:rsidR="00475650" w:rsidRDefault="00475650">
            <w:pPr>
              <w:jc w:val="center"/>
              <w:rPr>
                <w:szCs w:val="21"/>
              </w:rPr>
            </w:pPr>
            <w:r>
              <w:rPr>
                <w:rFonts w:hint="eastAsia"/>
                <w:szCs w:val="21"/>
              </w:rPr>
              <w:t>10000</w:t>
            </w:r>
          </w:p>
        </w:tc>
        <w:tc>
          <w:tcPr>
            <w:tcW w:w="648" w:type="dxa"/>
            <w:vAlign w:val="center"/>
          </w:tcPr>
          <w:p w:rsidR="00475650" w:rsidRDefault="00475650">
            <w:pPr>
              <w:snapToGrid w:val="0"/>
              <w:spacing w:line="240" w:lineRule="exact"/>
              <w:jc w:val="center"/>
              <w:rPr>
                <w:szCs w:val="21"/>
              </w:rPr>
            </w:pPr>
            <w:r>
              <w:rPr>
                <w:rFonts w:hint="eastAsia"/>
                <w:szCs w:val="21"/>
              </w:rPr>
              <w:t>107</w:t>
            </w:r>
          </w:p>
        </w:tc>
        <w:tc>
          <w:tcPr>
            <w:tcW w:w="887" w:type="dxa"/>
            <w:tcBorders>
              <w:left w:val="single" w:sz="4" w:space="0" w:color="auto"/>
            </w:tcBorders>
            <w:vAlign w:val="center"/>
          </w:tcPr>
          <w:p w:rsidR="00475650" w:rsidRDefault="00475650">
            <w:pPr>
              <w:snapToGrid w:val="0"/>
              <w:spacing w:line="240" w:lineRule="exact"/>
              <w:jc w:val="center"/>
              <w:rPr>
                <w:szCs w:val="21"/>
              </w:rPr>
            </w:pPr>
            <w:r>
              <w:rPr>
                <w:rFonts w:hint="eastAsia"/>
                <w:szCs w:val="21"/>
              </w:rPr>
              <w:t>117</w:t>
            </w:r>
          </w:p>
        </w:tc>
        <w:tc>
          <w:tcPr>
            <w:tcW w:w="648" w:type="dxa"/>
            <w:vAlign w:val="center"/>
          </w:tcPr>
          <w:p w:rsidR="00475650" w:rsidRDefault="00475650">
            <w:pPr>
              <w:snapToGrid w:val="0"/>
              <w:spacing w:line="240" w:lineRule="exact"/>
              <w:jc w:val="center"/>
              <w:rPr>
                <w:szCs w:val="21"/>
              </w:rPr>
            </w:pPr>
            <w:r>
              <w:rPr>
                <w:szCs w:val="21"/>
              </w:rPr>
              <w:t>500</w:t>
            </w:r>
          </w:p>
        </w:tc>
        <w:tc>
          <w:tcPr>
            <w:tcW w:w="777" w:type="dxa"/>
            <w:tcBorders>
              <w:right w:val="single" w:sz="4" w:space="0" w:color="auto"/>
            </w:tcBorders>
            <w:vAlign w:val="center"/>
          </w:tcPr>
          <w:p w:rsidR="00475650" w:rsidRDefault="00475650">
            <w:pPr>
              <w:snapToGrid w:val="0"/>
              <w:spacing w:line="240" w:lineRule="exact"/>
              <w:jc w:val="center"/>
              <w:rPr>
                <w:szCs w:val="21"/>
              </w:rPr>
            </w:pPr>
            <w:r>
              <w:rPr>
                <w:rFonts w:hint="eastAsia"/>
                <w:szCs w:val="21"/>
              </w:rPr>
              <w:t>25</w:t>
            </w:r>
            <w:r>
              <w:rPr>
                <w:szCs w:val="21"/>
              </w:rPr>
              <w:t>000</w:t>
            </w:r>
          </w:p>
        </w:tc>
        <w:tc>
          <w:tcPr>
            <w:tcW w:w="747" w:type="dxa"/>
            <w:tcBorders>
              <w:left w:val="single" w:sz="4" w:space="0" w:color="auto"/>
            </w:tcBorders>
            <w:vAlign w:val="center"/>
          </w:tcPr>
          <w:p w:rsidR="00475650" w:rsidRDefault="00475650">
            <w:pPr>
              <w:snapToGrid w:val="0"/>
              <w:spacing w:line="240" w:lineRule="exact"/>
              <w:jc w:val="center"/>
              <w:rPr>
                <w:szCs w:val="21"/>
              </w:rPr>
            </w:pPr>
            <w:r>
              <w:rPr>
                <w:rFonts w:hint="eastAsia"/>
                <w:szCs w:val="21"/>
              </w:rPr>
              <w:t>2%</w:t>
            </w:r>
          </w:p>
        </w:tc>
        <w:tc>
          <w:tcPr>
            <w:tcW w:w="1736" w:type="dxa"/>
            <w:vMerge w:val="restart"/>
            <w:vAlign w:val="center"/>
          </w:tcPr>
          <w:p w:rsidR="00475650" w:rsidRDefault="00475650">
            <w:pPr>
              <w:snapToGrid w:val="0"/>
              <w:spacing w:line="240" w:lineRule="exact"/>
              <w:jc w:val="center"/>
              <w:rPr>
                <w:szCs w:val="21"/>
              </w:rPr>
            </w:pPr>
            <w:r>
              <w:rPr>
                <w:rFonts w:hAnsi="宋体"/>
                <w:szCs w:val="21"/>
              </w:rPr>
              <w:t>项目新建污水处理设施</w:t>
            </w:r>
          </w:p>
          <w:p w:rsidR="00475650" w:rsidRDefault="00475650">
            <w:pPr>
              <w:snapToGrid w:val="0"/>
              <w:spacing w:line="240" w:lineRule="exact"/>
              <w:jc w:val="center"/>
              <w:rPr>
                <w:szCs w:val="21"/>
              </w:rPr>
            </w:pPr>
          </w:p>
        </w:tc>
      </w:tr>
      <w:tr w:rsidR="00475650">
        <w:trPr>
          <w:trHeight w:val="351"/>
          <w:jc w:val="center"/>
        </w:trPr>
        <w:tc>
          <w:tcPr>
            <w:tcW w:w="1673" w:type="dxa"/>
            <w:vAlign w:val="center"/>
          </w:tcPr>
          <w:p w:rsidR="00475650" w:rsidRDefault="00475650">
            <w:pPr>
              <w:snapToGrid w:val="0"/>
              <w:spacing w:line="240" w:lineRule="exact"/>
              <w:jc w:val="center"/>
              <w:rPr>
                <w:rFonts w:hAnsi="宋体"/>
                <w:szCs w:val="21"/>
              </w:rPr>
            </w:pPr>
            <w:r>
              <w:rPr>
                <w:rFonts w:hAnsi="宋体" w:hint="eastAsia"/>
                <w:szCs w:val="21"/>
              </w:rPr>
              <w:t>初期雨水</w:t>
            </w:r>
          </w:p>
        </w:tc>
        <w:tc>
          <w:tcPr>
            <w:tcW w:w="921" w:type="dxa"/>
            <w:vAlign w:val="center"/>
          </w:tcPr>
          <w:p w:rsidR="00475650" w:rsidRDefault="00475650">
            <w:pPr>
              <w:snapToGrid w:val="0"/>
              <w:spacing w:line="240" w:lineRule="exact"/>
              <w:jc w:val="center"/>
              <w:rPr>
                <w:szCs w:val="21"/>
              </w:rPr>
            </w:pPr>
            <w:r>
              <w:rPr>
                <w:rFonts w:hint="eastAsia"/>
                <w:szCs w:val="21"/>
              </w:rPr>
              <w:t>18.7</w:t>
            </w:r>
          </w:p>
        </w:tc>
        <w:tc>
          <w:tcPr>
            <w:tcW w:w="496" w:type="dxa"/>
            <w:vAlign w:val="center"/>
          </w:tcPr>
          <w:p w:rsidR="00475650" w:rsidRDefault="00475650">
            <w:pPr>
              <w:jc w:val="center"/>
              <w:rPr>
                <w:szCs w:val="21"/>
              </w:rPr>
            </w:pPr>
            <w:r>
              <w:rPr>
                <w:rFonts w:hint="eastAsia"/>
                <w:szCs w:val="21"/>
              </w:rPr>
              <w:t>6-7</w:t>
            </w:r>
          </w:p>
        </w:tc>
        <w:tc>
          <w:tcPr>
            <w:tcW w:w="823" w:type="dxa"/>
            <w:vAlign w:val="center"/>
          </w:tcPr>
          <w:p w:rsidR="00475650" w:rsidRDefault="00475650">
            <w:pPr>
              <w:jc w:val="center"/>
              <w:rPr>
                <w:szCs w:val="21"/>
              </w:rPr>
            </w:pPr>
            <w:r>
              <w:rPr>
                <w:rFonts w:hint="eastAsia"/>
                <w:szCs w:val="21"/>
              </w:rPr>
              <w:t>1000</w:t>
            </w:r>
          </w:p>
        </w:tc>
        <w:tc>
          <w:tcPr>
            <w:tcW w:w="648" w:type="dxa"/>
            <w:vAlign w:val="center"/>
          </w:tcPr>
          <w:p w:rsidR="00475650" w:rsidRDefault="00475650">
            <w:pPr>
              <w:snapToGrid w:val="0"/>
              <w:spacing w:line="240" w:lineRule="exact"/>
              <w:jc w:val="center"/>
              <w:rPr>
                <w:szCs w:val="21"/>
              </w:rPr>
            </w:pPr>
            <w:r>
              <w:rPr>
                <w:rFonts w:hint="eastAsia"/>
                <w:szCs w:val="21"/>
              </w:rPr>
              <w:t>20</w:t>
            </w:r>
          </w:p>
        </w:tc>
        <w:tc>
          <w:tcPr>
            <w:tcW w:w="887" w:type="dxa"/>
            <w:tcBorders>
              <w:left w:val="single" w:sz="4" w:space="0" w:color="auto"/>
            </w:tcBorders>
            <w:vAlign w:val="center"/>
          </w:tcPr>
          <w:p w:rsidR="00475650" w:rsidRDefault="00475650">
            <w:pPr>
              <w:snapToGrid w:val="0"/>
              <w:spacing w:line="240" w:lineRule="exact"/>
              <w:jc w:val="center"/>
              <w:rPr>
                <w:szCs w:val="21"/>
              </w:rPr>
            </w:pPr>
            <w:r>
              <w:rPr>
                <w:rFonts w:hint="eastAsia"/>
                <w:szCs w:val="21"/>
              </w:rPr>
              <w:t>10</w:t>
            </w:r>
          </w:p>
        </w:tc>
        <w:tc>
          <w:tcPr>
            <w:tcW w:w="648" w:type="dxa"/>
            <w:vAlign w:val="center"/>
          </w:tcPr>
          <w:p w:rsidR="00475650" w:rsidRDefault="00475650">
            <w:pPr>
              <w:snapToGrid w:val="0"/>
              <w:spacing w:line="240" w:lineRule="exact"/>
              <w:jc w:val="center"/>
              <w:rPr>
                <w:szCs w:val="21"/>
              </w:rPr>
            </w:pPr>
            <w:r>
              <w:rPr>
                <w:rFonts w:hint="eastAsia"/>
                <w:szCs w:val="21"/>
              </w:rPr>
              <w:t>200</w:t>
            </w:r>
          </w:p>
        </w:tc>
        <w:tc>
          <w:tcPr>
            <w:tcW w:w="777" w:type="dxa"/>
            <w:tcBorders>
              <w:right w:val="single" w:sz="4" w:space="0" w:color="auto"/>
            </w:tcBorders>
            <w:vAlign w:val="center"/>
          </w:tcPr>
          <w:p w:rsidR="00475650" w:rsidRDefault="00475650">
            <w:pPr>
              <w:snapToGrid w:val="0"/>
              <w:spacing w:line="240" w:lineRule="exact"/>
              <w:jc w:val="center"/>
              <w:rPr>
                <w:szCs w:val="21"/>
              </w:rPr>
            </w:pPr>
            <w:r>
              <w:rPr>
                <w:rFonts w:hint="eastAsia"/>
                <w:szCs w:val="21"/>
              </w:rPr>
              <w:t>1000</w:t>
            </w:r>
          </w:p>
        </w:tc>
        <w:tc>
          <w:tcPr>
            <w:tcW w:w="747" w:type="dxa"/>
            <w:tcBorders>
              <w:left w:val="single" w:sz="4" w:space="0" w:color="auto"/>
            </w:tcBorders>
            <w:vAlign w:val="center"/>
          </w:tcPr>
          <w:p w:rsidR="00475650" w:rsidRDefault="00475650">
            <w:pPr>
              <w:snapToGrid w:val="0"/>
              <w:spacing w:line="240" w:lineRule="exact"/>
              <w:jc w:val="center"/>
              <w:rPr>
                <w:szCs w:val="21"/>
              </w:rPr>
            </w:pPr>
            <w:r>
              <w:rPr>
                <w:szCs w:val="21"/>
              </w:rPr>
              <w:t>/</w:t>
            </w:r>
          </w:p>
        </w:tc>
        <w:tc>
          <w:tcPr>
            <w:tcW w:w="1736" w:type="dxa"/>
            <w:vMerge/>
            <w:vAlign w:val="center"/>
          </w:tcPr>
          <w:p w:rsidR="00475650" w:rsidRDefault="00475650">
            <w:pPr>
              <w:snapToGrid w:val="0"/>
              <w:spacing w:line="240" w:lineRule="exact"/>
              <w:jc w:val="center"/>
              <w:rPr>
                <w:rFonts w:hAnsi="宋体"/>
                <w:szCs w:val="21"/>
              </w:rPr>
            </w:pPr>
          </w:p>
        </w:tc>
      </w:tr>
      <w:tr w:rsidR="00475650">
        <w:trPr>
          <w:trHeight w:val="345"/>
          <w:jc w:val="center"/>
        </w:trPr>
        <w:tc>
          <w:tcPr>
            <w:tcW w:w="1673" w:type="dxa"/>
            <w:vAlign w:val="center"/>
          </w:tcPr>
          <w:p w:rsidR="00475650" w:rsidRDefault="00475650">
            <w:pPr>
              <w:snapToGrid w:val="0"/>
              <w:spacing w:line="240" w:lineRule="exact"/>
              <w:jc w:val="center"/>
              <w:rPr>
                <w:szCs w:val="21"/>
              </w:rPr>
            </w:pPr>
            <w:r>
              <w:rPr>
                <w:rFonts w:hAnsi="宋体"/>
                <w:szCs w:val="21"/>
              </w:rPr>
              <w:t>装置平台及地面冲洗水</w:t>
            </w:r>
            <w:r>
              <w:rPr>
                <w:szCs w:val="21"/>
              </w:rPr>
              <w:t>(</w:t>
            </w:r>
            <w:r>
              <w:rPr>
                <w:rFonts w:hAnsi="宋体"/>
                <w:szCs w:val="21"/>
              </w:rPr>
              <w:t>间断</w:t>
            </w:r>
            <w:r>
              <w:rPr>
                <w:szCs w:val="21"/>
              </w:rPr>
              <w:t>)</w:t>
            </w:r>
          </w:p>
        </w:tc>
        <w:tc>
          <w:tcPr>
            <w:tcW w:w="921" w:type="dxa"/>
            <w:vAlign w:val="center"/>
          </w:tcPr>
          <w:p w:rsidR="00475650" w:rsidRDefault="00475650">
            <w:pPr>
              <w:snapToGrid w:val="0"/>
              <w:spacing w:line="240" w:lineRule="exact"/>
              <w:jc w:val="center"/>
              <w:rPr>
                <w:szCs w:val="21"/>
              </w:rPr>
            </w:pPr>
            <w:r>
              <w:rPr>
                <w:szCs w:val="21"/>
              </w:rPr>
              <w:t>0.8</w:t>
            </w:r>
          </w:p>
        </w:tc>
        <w:tc>
          <w:tcPr>
            <w:tcW w:w="496" w:type="dxa"/>
            <w:vAlign w:val="center"/>
          </w:tcPr>
          <w:p w:rsidR="00475650" w:rsidRDefault="00475650">
            <w:pPr>
              <w:jc w:val="center"/>
              <w:rPr>
                <w:szCs w:val="21"/>
              </w:rPr>
            </w:pPr>
            <w:r>
              <w:rPr>
                <w:szCs w:val="21"/>
              </w:rPr>
              <w:t>5-</w:t>
            </w:r>
            <w:r>
              <w:rPr>
                <w:rFonts w:hint="eastAsia"/>
                <w:szCs w:val="21"/>
              </w:rPr>
              <w:t>7</w:t>
            </w:r>
          </w:p>
        </w:tc>
        <w:tc>
          <w:tcPr>
            <w:tcW w:w="823" w:type="dxa"/>
            <w:vAlign w:val="center"/>
          </w:tcPr>
          <w:p w:rsidR="00475650" w:rsidRDefault="00475650">
            <w:pPr>
              <w:jc w:val="center"/>
              <w:rPr>
                <w:szCs w:val="21"/>
              </w:rPr>
            </w:pPr>
            <w:r>
              <w:rPr>
                <w:szCs w:val="21"/>
              </w:rPr>
              <w:t>400</w:t>
            </w:r>
          </w:p>
        </w:tc>
        <w:tc>
          <w:tcPr>
            <w:tcW w:w="648" w:type="dxa"/>
            <w:vAlign w:val="center"/>
          </w:tcPr>
          <w:p w:rsidR="00475650" w:rsidRDefault="00475650">
            <w:pPr>
              <w:snapToGrid w:val="0"/>
              <w:spacing w:line="240" w:lineRule="exact"/>
              <w:jc w:val="center"/>
              <w:rPr>
                <w:szCs w:val="21"/>
              </w:rPr>
            </w:pPr>
            <w:r>
              <w:rPr>
                <w:szCs w:val="21"/>
              </w:rPr>
              <w:t>20</w:t>
            </w:r>
          </w:p>
        </w:tc>
        <w:tc>
          <w:tcPr>
            <w:tcW w:w="887" w:type="dxa"/>
            <w:tcBorders>
              <w:left w:val="single" w:sz="4" w:space="0" w:color="auto"/>
            </w:tcBorders>
            <w:vAlign w:val="center"/>
          </w:tcPr>
          <w:p w:rsidR="00475650" w:rsidRDefault="00475650">
            <w:pPr>
              <w:snapToGrid w:val="0"/>
              <w:spacing w:line="240" w:lineRule="exact"/>
              <w:jc w:val="center"/>
              <w:rPr>
                <w:szCs w:val="21"/>
              </w:rPr>
            </w:pPr>
            <w:r>
              <w:rPr>
                <w:rFonts w:hint="eastAsia"/>
                <w:szCs w:val="21"/>
              </w:rPr>
              <w:t>10</w:t>
            </w:r>
          </w:p>
        </w:tc>
        <w:tc>
          <w:tcPr>
            <w:tcW w:w="648" w:type="dxa"/>
            <w:vAlign w:val="center"/>
          </w:tcPr>
          <w:p w:rsidR="00475650" w:rsidRDefault="00475650">
            <w:pPr>
              <w:snapToGrid w:val="0"/>
              <w:spacing w:line="240" w:lineRule="exact"/>
              <w:jc w:val="center"/>
              <w:rPr>
                <w:szCs w:val="21"/>
              </w:rPr>
            </w:pPr>
            <w:r>
              <w:rPr>
                <w:szCs w:val="21"/>
              </w:rPr>
              <w:t>200</w:t>
            </w:r>
          </w:p>
        </w:tc>
        <w:tc>
          <w:tcPr>
            <w:tcW w:w="777" w:type="dxa"/>
            <w:tcBorders>
              <w:right w:val="single" w:sz="4" w:space="0" w:color="auto"/>
            </w:tcBorders>
            <w:vAlign w:val="center"/>
          </w:tcPr>
          <w:p w:rsidR="00475650" w:rsidRDefault="00475650">
            <w:pPr>
              <w:snapToGrid w:val="0"/>
              <w:spacing w:line="240" w:lineRule="exact"/>
              <w:jc w:val="center"/>
              <w:rPr>
                <w:szCs w:val="21"/>
              </w:rPr>
            </w:pPr>
            <w:r>
              <w:rPr>
                <w:szCs w:val="21"/>
              </w:rPr>
              <w:t>/</w:t>
            </w:r>
          </w:p>
        </w:tc>
        <w:tc>
          <w:tcPr>
            <w:tcW w:w="747" w:type="dxa"/>
            <w:tcBorders>
              <w:left w:val="single" w:sz="4" w:space="0" w:color="auto"/>
            </w:tcBorders>
            <w:vAlign w:val="center"/>
          </w:tcPr>
          <w:p w:rsidR="00475650" w:rsidRDefault="00475650">
            <w:pPr>
              <w:snapToGrid w:val="0"/>
              <w:spacing w:line="240" w:lineRule="exact"/>
              <w:jc w:val="center"/>
              <w:rPr>
                <w:szCs w:val="21"/>
              </w:rPr>
            </w:pPr>
            <w:r>
              <w:rPr>
                <w:szCs w:val="21"/>
              </w:rPr>
              <w:t>/</w:t>
            </w:r>
          </w:p>
        </w:tc>
        <w:tc>
          <w:tcPr>
            <w:tcW w:w="1736" w:type="dxa"/>
            <w:vMerge/>
            <w:vAlign w:val="center"/>
          </w:tcPr>
          <w:p w:rsidR="00475650" w:rsidRDefault="00475650">
            <w:pPr>
              <w:snapToGrid w:val="0"/>
              <w:spacing w:line="240" w:lineRule="exact"/>
              <w:jc w:val="center"/>
              <w:rPr>
                <w:szCs w:val="21"/>
              </w:rPr>
            </w:pPr>
          </w:p>
        </w:tc>
      </w:tr>
      <w:tr w:rsidR="00475650">
        <w:trPr>
          <w:trHeight w:val="345"/>
          <w:jc w:val="center"/>
        </w:trPr>
        <w:tc>
          <w:tcPr>
            <w:tcW w:w="1673" w:type="dxa"/>
            <w:vAlign w:val="center"/>
          </w:tcPr>
          <w:p w:rsidR="00475650" w:rsidRDefault="00475650">
            <w:pPr>
              <w:snapToGrid w:val="0"/>
              <w:spacing w:line="240" w:lineRule="exact"/>
              <w:jc w:val="center"/>
              <w:rPr>
                <w:szCs w:val="21"/>
              </w:rPr>
            </w:pPr>
            <w:r>
              <w:rPr>
                <w:rFonts w:hAnsi="宋体"/>
                <w:szCs w:val="21"/>
              </w:rPr>
              <w:t>生活废水（连续）</w:t>
            </w:r>
          </w:p>
        </w:tc>
        <w:tc>
          <w:tcPr>
            <w:tcW w:w="921" w:type="dxa"/>
            <w:vAlign w:val="center"/>
          </w:tcPr>
          <w:p w:rsidR="00475650" w:rsidRDefault="00475650">
            <w:pPr>
              <w:snapToGrid w:val="0"/>
              <w:spacing w:line="240" w:lineRule="exact"/>
              <w:jc w:val="center"/>
              <w:rPr>
                <w:szCs w:val="21"/>
              </w:rPr>
            </w:pPr>
            <w:r>
              <w:rPr>
                <w:szCs w:val="21"/>
              </w:rPr>
              <w:t>2</w:t>
            </w:r>
          </w:p>
        </w:tc>
        <w:tc>
          <w:tcPr>
            <w:tcW w:w="496" w:type="dxa"/>
            <w:vAlign w:val="center"/>
          </w:tcPr>
          <w:p w:rsidR="00475650" w:rsidRDefault="00475650">
            <w:pPr>
              <w:jc w:val="center"/>
              <w:rPr>
                <w:szCs w:val="21"/>
              </w:rPr>
            </w:pPr>
            <w:r>
              <w:rPr>
                <w:rFonts w:hint="eastAsia"/>
                <w:szCs w:val="21"/>
              </w:rPr>
              <w:t>5-7</w:t>
            </w:r>
          </w:p>
        </w:tc>
        <w:tc>
          <w:tcPr>
            <w:tcW w:w="823" w:type="dxa"/>
            <w:vAlign w:val="center"/>
          </w:tcPr>
          <w:p w:rsidR="00475650" w:rsidRDefault="00475650">
            <w:pPr>
              <w:jc w:val="center"/>
              <w:rPr>
                <w:szCs w:val="21"/>
              </w:rPr>
            </w:pPr>
            <w:r>
              <w:rPr>
                <w:rFonts w:hint="eastAsia"/>
                <w:szCs w:val="21"/>
              </w:rPr>
              <w:t>300</w:t>
            </w:r>
          </w:p>
        </w:tc>
        <w:tc>
          <w:tcPr>
            <w:tcW w:w="648" w:type="dxa"/>
            <w:vAlign w:val="center"/>
          </w:tcPr>
          <w:p w:rsidR="00475650" w:rsidRDefault="00475650">
            <w:pPr>
              <w:snapToGrid w:val="0"/>
              <w:spacing w:line="240" w:lineRule="exact"/>
              <w:jc w:val="center"/>
              <w:rPr>
                <w:szCs w:val="21"/>
              </w:rPr>
            </w:pPr>
            <w:r>
              <w:rPr>
                <w:rFonts w:hint="eastAsia"/>
                <w:szCs w:val="21"/>
              </w:rPr>
              <w:t>20</w:t>
            </w:r>
          </w:p>
        </w:tc>
        <w:tc>
          <w:tcPr>
            <w:tcW w:w="887" w:type="dxa"/>
            <w:tcBorders>
              <w:left w:val="single" w:sz="4" w:space="0" w:color="auto"/>
            </w:tcBorders>
            <w:vAlign w:val="center"/>
          </w:tcPr>
          <w:p w:rsidR="00475650" w:rsidRDefault="00475650">
            <w:pPr>
              <w:snapToGrid w:val="0"/>
              <w:spacing w:line="240" w:lineRule="exact"/>
              <w:jc w:val="center"/>
              <w:rPr>
                <w:szCs w:val="21"/>
              </w:rPr>
            </w:pPr>
            <w:r>
              <w:rPr>
                <w:rFonts w:hint="eastAsia"/>
                <w:szCs w:val="21"/>
              </w:rPr>
              <w:t>/</w:t>
            </w:r>
          </w:p>
        </w:tc>
        <w:tc>
          <w:tcPr>
            <w:tcW w:w="648" w:type="dxa"/>
            <w:vAlign w:val="center"/>
          </w:tcPr>
          <w:p w:rsidR="00475650" w:rsidRDefault="00475650">
            <w:pPr>
              <w:snapToGrid w:val="0"/>
              <w:spacing w:line="240" w:lineRule="exact"/>
              <w:jc w:val="center"/>
              <w:rPr>
                <w:szCs w:val="21"/>
              </w:rPr>
            </w:pPr>
            <w:r>
              <w:rPr>
                <w:szCs w:val="21"/>
              </w:rPr>
              <w:t>100</w:t>
            </w:r>
          </w:p>
        </w:tc>
        <w:tc>
          <w:tcPr>
            <w:tcW w:w="777" w:type="dxa"/>
            <w:tcBorders>
              <w:right w:val="single" w:sz="4" w:space="0" w:color="auto"/>
            </w:tcBorders>
            <w:vAlign w:val="center"/>
          </w:tcPr>
          <w:p w:rsidR="00475650" w:rsidRDefault="00475650">
            <w:pPr>
              <w:snapToGrid w:val="0"/>
              <w:spacing w:line="240" w:lineRule="exact"/>
              <w:jc w:val="center"/>
              <w:rPr>
                <w:szCs w:val="21"/>
              </w:rPr>
            </w:pPr>
            <w:r>
              <w:rPr>
                <w:szCs w:val="21"/>
              </w:rPr>
              <w:t>/</w:t>
            </w:r>
          </w:p>
        </w:tc>
        <w:tc>
          <w:tcPr>
            <w:tcW w:w="747" w:type="dxa"/>
            <w:tcBorders>
              <w:left w:val="single" w:sz="4" w:space="0" w:color="auto"/>
            </w:tcBorders>
            <w:vAlign w:val="center"/>
          </w:tcPr>
          <w:p w:rsidR="00475650" w:rsidRDefault="00475650">
            <w:pPr>
              <w:snapToGrid w:val="0"/>
              <w:spacing w:line="240" w:lineRule="exact"/>
              <w:jc w:val="center"/>
              <w:rPr>
                <w:szCs w:val="21"/>
              </w:rPr>
            </w:pPr>
            <w:r>
              <w:rPr>
                <w:szCs w:val="21"/>
              </w:rPr>
              <w:t>/</w:t>
            </w:r>
          </w:p>
        </w:tc>
        <w:tc>
          <w:tcPr>
            <w:tcW w:w="1736" w:type="dxa"/>
            <w:vAlign w:val="center"/>
          </w:tcPr>
          <w:p w:rsidR="00475650" w:rsidRDefault="00475650">
            <w:pPr>
              <w:snapToGrid w:val="0"/>
              <w:spacing w:line="240" w:lineRule="exact"/>
              <w:jc w:val="center"/>
              <w:rPr>
                <w:szCs w:val="21"/>
              </w:rPr>
            </w:pPr>
            <w:r>
              <w:rPr>
                <w:rFonts w:hAnsi="宋体"/>
                <w:szCs w:val="21"/>
              </w:rPr>
              <w:t>由总排口排至园区污水处理厂</w:t>
            </w:r>
          </w:p>
        </w:tc>
      </w:tr>
    </w:tbl>
    <w:p w:rsidR="00475650" w:rsidRDefault="00475650">
      <w:pPr>
        <w:spacing w:line="360" w:lineRule="auto"/>
        <w:ind w:firstLineChars="10" w:firstLine="17"/>
        <w:rPr>
          <w:bCs/>
          <w:spacing w:val="-4"/>
          <w:sz w:val="18"/>
          <w:szCs w:val="18"/>
        </w:rPr>
      </w:pPr>
      <w:bookmarkStart w:id="579" w:name="_Toc302936790"/>
      <w:bookmarkStart w:id="580" w:name="_Toc274984524"/>
      <w:bookmarkStart w:id="581" w:name="_Toc273462117"/>
      <w:r>
        <w:rPr>
          <w:rFonts w:hAnsi="宋体"/>
          <w:bCs/>
          <w:spacing w:val="-4"/>
          <w:sz w:val="18"/>
          <w:szCs w:val="18"/>
        </w:rPr>
        <w:t>注：间断废水已经折算成连续量。</w:t>
      </w:r>
    </w:p>
    <w:p w:rsidR="00475650" w:rsidRDefault="00475650">
      <w:pPr>
        <w:pStyle w:val="h"/>
        <w:spacing w:before="0" w:after="0" w:line="360" w:lineRule="auto"/>
        <w:ind w:firstLine="0"/>
        <w:outlineLvl w:val="2"/>
        <w:rPr>
          <w:rStyle w:val="2Char1Char"/>
          <w:rFonts w:ascii="Times New Roman" w:eastAsia="宋体" w:hAnsi="Times New Roman" w:cs="Times New Roman"/>
          <w:b w:val="0"/>
          <w:sz w:val="24"/>
          <w:szCs w:val="24"/>
        </w:rPr>
      </w:pPr>
      <w:r>
        <w:rPr>
          <w:rStyle w:val="2Char1Char"/>
          <w:rFonts w:ascii="Times New Roman" w:eastAsia="宋体" w:hAnsi="Times New Roman" w:cs="Times New Roman"/>
          <w:b w:val="0"/>
          <w:sz w:val="24"/>
          <w:szCs w:val="24"/>
        </w:rPr>
        <w:t>3.3.5.2</w:t>
      </w:r>
      <w:r>
        <w:rPr>
          <w:rStyle w:val="2Char1Char"/>
          <w:rFonts w:ascii="Times New Roman" w:eastAsia="宋体" w:hAnsi="宋体" w:cs="Times New Roman"/>
          <w:b w:val="0"/>
          <w:sz w:val="24"/>
          <w:szCs w:val="24"/>
        </w:rPr>
        <w:t>废气</w:t>
      </w:r>
      <w:bookmarkEnd w:id="579"/>
      <w:bookmarkEnd w:id="580"/>
      <w:bookmarkEnd w:id="581"/>
    </w:p>
    <w:p w:rsidR="00475650" w:rsidRDefault="00475650">
      <w:pPr>
        <w:spacing w:line="360" w:lineRule="auto"/>
        <w:ind w:firstLineChars="200" w:firstLine="464"/>
        <w:rPr>
          <w:spacing w:val="-4"/>
          <w:sz w:val="24"/>
        </w:rPr>
      </w:pPr>
      <w:bookmarkStart w:id="582" w:name="_Toc333229972"/>
      <w:bookmarkStart w:id="583" w:name="_Toc333229970"/>
      <w:r>
        <w:rPr>
          <w:rFonts w:hint="eastAsia"/>
          <w:spacing w:val="-4"/>
          <w:sz w:val="24"/>
        </w:rPr>
        <w:t>根据可行性研究分析，本项目产生的废气除了破碎和包装车间采用布袋收尘后由布袋收尘器自带的</w:t>
      </w:r>
      <w:r>
        <w:rPr>
          <w:rFonts w:hint="eastAsia"/>
          <w:spacing w:val="-4"/>
          <w:sz w:val="24"/>
        </w:rPr>
        <w:t xml:space="preserve">5m </w:t>
      </w:r>
      <w:r>
        <w:rPr>
          <w:rFonts w:hint="eastAsia"/>
          <w:spacing w:val="-4"/>
          <w:sz w:val="24"/>
        </w:rPr>
        <w:t>高排气口外排外，其余均为无组织外排，本项目产生的废气包括各反应釜敞口生产废气、隔膜压滤车间废气、烘干废气、破碎废气、包装废气、污水处理站臭气。</w:t>
      </w:r>
    </w:p>
    <w:bookmarkEnd w:id="582"/>
    <w:p w:rsidR="00475650" w:rsidRDefault="00475650">
      <w:pPr>
        <w:numPr>
          <w:ilvl w:val="0"/>
          <w:numId w:val="84"/>
        </w:numPr>
        <w:spacing w:line="360" w:lineRule="auto"/>
        <w:rPr>
          <w:rFonts w:hAnsi="宋体"/>
          <w:spacing w:val="-4"/>
          <w:sz w:val="24"/>
        </w:rPr>
      </w:pPr>
      <w:r>
        <w:rPr>
          <w:rFonts w:hAnsi="宋体" w:hint="eastAsia"/>
          <w:spacing w:val="-4"/>
          <w:sz w:val="24"/>
        </w:rPr>
        <w:t>反应釜敞口生产废气</w:t>
      </w:r>
    </w:p>
    <w:p w:rsidR="00475650" w:rsidRDefault="00475650">
      <w:pPr>
        <w:spacing w:line="360" w:lineRule="auto"/>
        <w:ind w:firstLineChars="200" w:firstLine="464"/>
        <w:rPr>
          <w:spacing w:val="-4"/>
          <w:sz w:val="24"/>
        </w:rPr>
      </w:pPr>
      <w:r>
        <w:rPr>
          <w:rFonts w:hint="eastAsia"/>
          <w:spacing w:val="-4"/>
          <w:sz w:val="24"/>
        </w:rPr>
        <w:t>根据现场实地考察，公司已建成的反应釜为敞开设备，加料过程中氯化氢等易挥发组成产生的无组织挥发量较大，不仅污染操作环境及外界大气环境，原辅材料的消耗量及生产成本也相应提高，根据清洁生产要求，业主拟拆除现有装置，购置先进的一体化密封反应釜，对生产中挥发产生的气体采取负压收集及碱液喷淋吸收的方式去除。</w:t>
      </w:r>
    </w:p>
    <w:p w:rsidR="00475650" w:rsidRDefault="00475650">
      <w:pPr>
        <w:spacing w:line="360" w:lineRule="auto"/>
        <w:ind w:firstLineChars="200" w:firstLine="464"/>
        <w:rPr>
          <w:spacing w:val="-4"/>
          <w:sz w:val="24"/>
        </w:rPr>
      </w:pPr>
      <w:r>
        <w:rPr>
          <w:rFonts w:hint="eastAsia"/>
          <w:spacing w:val="-4"/>
          <w:sz w:val="24"/>
        </w:rPr>
        <w:t>酰化反应产生的气体为二氧化碳，根据反应方程式核算产生量为</w:t>
      </w:r>
      <w:r>
        <w:rPr>
          <w:rFonts w:hint="eastAsia"/>
          <w:spacing w:val="-4"/>
          <w:sz w:val="24"/>
        </w:rPr>
        <w:t>197.65t/a</w:t>
      </w:r>
      <w:r>
        <w:rPr>
          <w:rFonts w:hint="eastAsia"/>
          <w:spacing w:val="-4"/>
          <w:sz w:val="24"/>
        </w:rPr>
        <w:t>，采用负压收集后高点外排；重氮及偶合反应环境为常压低温环境，反应温度在</w:t>
      </w:r>
      <w:r>
        <w:rPr>
          <w:rFonts w:hint="eastAsia"/>
          <w:spacing w:val="-4"/>
          <w:sz w:val="24"/>
        </w:rPr>
        <w:t>10</w:t>
      </w:r>
      <w:r>
        <w:rPr>
          <w:rFonts w:hint="eastAsia"/>
          <w:spacing w:val="-4"/>
          <w:sz w:val="24"/>
        </w:rPr>
        <w:t>℃以下，且</w:t>
      </w:r>
      <w:r>
        <w:rPr>
          <w:rFonts w:hint="eastAsia"/>
          <w:spacing w:val="-4"/>
          <w:sz w:val="24"/>
        </w:rPr>
        <w:lastRenderedPageBreak/>
        <w:t>盐酸进入大量水环境中，盐酸被较大程度的稀释，有效的减少了物料挥发量，按照</w:t>
      </w:r>
      <w:r>
        <w:rPr>
          <w:rFonts w:hint="eastAsia"/>
          <w:spacing w:val="-4"/>
          <w:sz w:val="24"/>
        </w:rPr>
        <w:t>0.5%</w:t>
      </w:r>
      <w:r>
        <w:rPr>
          <w:rFonts w:hint="eastAsia"/>
          <w:spacing w:val="-4"/>
          <w:sz w:val="24"/>
        </w:rPr>
        <w:t>的经验系数核算，重氮反应釜盐酸挥发产生量为</w:t>
      </w:r>
      <w:r>
        <w:rPr>
          <w:rFonts w:hint="eastAsia"/>
          <w:spacing w:val="-4"/>
          <w:sz w:val="24"/>
        </w:rPr>
        <w:t>4.82t/a</w:t>
      </w:r>
      <w:r>
        <w:rPr>
          <w:rFonts w:hint="eastAsia"/>
          <w:spacing w:val="-4"/>
          <w:sz w:val="24"/>
        </w:rPr>
        <w:t>，偶合反应釜盐酸挥发产生量为</w:t>
      </w:r>
      <w:r>
        <w:rPr>
          <w:rFonts w:hint="eastAsia"/>
          <w:spacing w:val="-4"/>
          <w:sz w:val="24"/>
        </w:rPr>
        <w:t>0.13t/a</w:t>
      </w:r>
      <w:r>
        <w:rPr>
          <w:rFonts w:hint="eastAsia"/>
          <w:spacing w:val="-4"/>
          <w:sz w:val="24"/>
        </w:rPr>
        <w:t>；此外，重氮反应结束后需使用尿素去除多余的亚硝酸盐，尿素在酸性环境下遇水会产生少量氨气，反应后液中盐酸浓度已经较低，按照</w:t>
      </w:r>
      <w:r>
        <w:rPr>
          <w:rFonts w:hint="eastAsia"/>
          <w:spacing w:val="-4"/>
          <w:sz w:val="24"/>
        </w:rPr>
        <w:t>20%</w:t>
      </w:r>
      <w:r>
        <w:rPr>
          <w:rFonts w:hint="eastAsia"/>
          <w:spacing w:val="-4"/>
          <w:sz w:val="24"/>
        </w:rPr>
        <w:t>的氨气逸出量核算，重氮反应釜氨气的逸出量为</w:t>
      </w:r>
      <w:r>
        <w:rPr>
          <w:rFonts w:hint="eastAsia"/>
          <w:spacing w:val="-4"/>
          <w:sz w:val="24"/>
        </w:rPr>
        <w:t>0.12t/a</w:t>
      </w:r>
      <w:r>
        <w:rPr>
          <w:rFonts w:hint="eastAsia"/>
          <w:spacing w:val="-4"/>
          <w:sz w:val="24"/>
        </w:rPr>
        <w:t>。此外，重氮反应产生的反应气体还有：氮气</w:t>
      </w:r>
      <w:r>
        <w:rPr>
          <w:rFonts w:hint="eastAsia"/>
          <w:spacing w:val="-4"/>
          <w:sz w:val="24"/>
        </w:rPr>
        <w:t>20.65t/a</w:t>
      </w:r>
      <w:r>
        <w:rPr>
          <w:rFonts w:hint="eastAsia"/>
          <w:spacing w:val="-4"/>
          <w:sz w:val="24"/>
        </w:rPr>
        <w:t>、二氧化碳</w:t>
      </w:r>
      <w:r>
        <w:rPr>
          <w:rFonts w:hint="eastAsia"/>
          <w:spacing w:val="-4"/>
          <w:sz w:val="24"/>
        </w:rPr>
        <w:t>17.03t/a</w:t>
      </w:r>
      <w:r>
        <w:rPr>
          <w:rFonts w:hint="eastAsia"/>
          <w:spacing w:val="-4"/>
          <w:sz w:val="24"/>
        </w:rPr>
        <w:t>；偶合反应产生的反应气体还有二氧化碳</w:t>
      </w:r>
      <w:r>
        <w:rPr>
          <w:rFonts w:hint="eastAsia"/>
          <w:spacing w:val="-4"/>
          <w:sz w:val="24"/>
        </w:rPr>
        <w:t>162.07t/a</w:t>
      </w:r>
      <w:r>
        <w:rPr>
          <w:rFonts w:hint="eastAsia"/>
          <w:spacing w:val="-4"/>
          <w:sz w:val="24"/>
        </w:rPr>
        <w:t>。</w:t>
      </w:r>
    </w:p>
    <w:p w:rsidR="00475650" w:rsidRDefault="00475650">
      <w:pPr>
        <w:spacing w:line="360" w:lineRule="auto"/>
        <w:ind w:firstLineChars="200" w:firstLine="464"/>
        <w:rPr>
          <w:spacing w:val="-4"/>
          <w:sz w:val="24"/>
        </w:rPr>
      </w:pPr>
      <w:r>
        <w:rPr>
          <w:rFonts w:hint="eastAsia"/>
          <w:spacing w:val="-4"/>
          <w:sz w:val="24"/>
        </w:rPr>
        <w:t>综合以上分析，经负压收集的生产废气组成为：二氧化碳</w:t>
      </w:r>
      <w:r>
        <w:rPr>
          <w:rFonts w:hint="eastAsia"/>
          <w:spacing w:val="-4"/>
          <w:sz w:val="24"/>
        </w:rPr>
        <w:t>376.75t/a</w:t>
      </w:r>
      <w:r>
        <w:rPr>
          <w:rFonts w:hint="eastAsia"/>
          <w:spacing w:val="-4"/>
          <w:sz w:val="24"/>
        </w:rPr>
        <w:t>，氮气</w:t>
      </w:r>
      <w:r>
        <w:rPr>
          <w:rFonts w:hint="eastAsia"/>
          <w:spacing w:val="-4"/>
          <w:sz w:val="24"/>
        </w:rPr>
        <w:t>20.65t/a</w:t>
      </w:r>
      <w:r>
        <w:rPr>
          <w:rFonts w:hint="eastAsia"/>
          <w:spacing w:val="-4"/>
          <w:sz w:val="24"/>
        </w:rPr>
        <w:t>，氯化氢</w:t>
      </w:r>
      <w:r>
        <w:rPr>
          <w:rFonts w:hint="eastAsia"/>
          <w:spacing w:val="-4"/>
          <w:sz w:val="24"/>
        </w:rPr>
        <w:t>4.95 t/a</w:t>
      </w:r>
      <w:r>
        <w:rPr>
          <w:rFonts w:hint="eastAsia"/>
          <w:spacing w:val="-4"/>
          <w:sz w:val="24"/>
        </w:rPr>
        <w:t>，氨气</w:t>
      </w:r>
      <w:r>
        <w:rPr>
          <w:rFonts w:hint="eastAsia"/>
          <w:spacing w:val="-4"/>
          <w:sz w:val="24"/>
        </w:rPr>
        <w:t>0.12 t/a</w:t>
      </w:r>
      <w:r>
        <w:rPr>
          <w:rFonts w:hint="eastAsia"/>
          <w:spacing w:val="-4"/>
          <w:sz w:val="24"/>
        </w:rPr>
        <w:t>；采用碱液喷淋的模式吸收处理后外排。</w:t>
      </w:r>
    </w:p>
    <w:p w:rsidR="00475650" w:rsidRDefault="00475650">
      <w:pPr>
        <w:numPr>
          <w:ilvl w:val="0"/>
          <w:numId w:val="84"/>
        </w:numPr>
        <w:spacing w:line="360" w:lineRule="auto"/>
        <w:rPr>
          <w:rFonts w:hAnsi="宋体"/>
          <w:spacing w:val="-4"/>
          <w:sz w:val="24"/>
        </w:rPr>
      </w:pPr>
      <w:r>
        <w:rPr>
          <w:rFonts w:hAnsi="宋体" w:hint="eastAsia"/>
          <w:spacing w:val="-4"/>
          <w:sz w:val="24"/>
        </w:rPr>
        <w:t>隔膜压滤车间废气</w:t>
      </w:r>
    </w:p>
    <w:p w:rsidR="00475650" w:rsidRDefault="00475650">
      <w:pPr>
        <w:snapToGrid w:val="0"/>
        <w:spacing w:line="360" w:lineRule="auto"/>
        <w:ind w:firstLineChars="200" w:firstLine="464"/>
        <w:rPr>
          <w:rFonts w:hAnsi="宋体"/>
          <w:spacing w:val="-4"/>
          <w:sz w:val="24"/>
        </w:rPr>
      </w:pPr>
      <w:r>
        <w:rPr>
          <w:rFonts w:hAnsi="宋体" w:hint="eastAsia"/>
          <w:spacing w:val="-4"/>
          <w:sz w:val="24"/>
        </w:rPr>
        <w:t>偶和液中残留有一定的氯化氢，浓度低于万分之一，压滤工序环境为常温，其过程中氯化氢逸出量可忽略不计，但压滤物有机成分较高，生产环境可能存在异味，建议于密封负压环境下进行压滤，压滤产生的气体收集及碱液喷淋吸收处理后高点外排。</w:t>
      </w:r>
    </w:p>
    <w:p w:rsidR="00475650" w:rsidRDefault="00475650">
      <w:pPr>
        <w:spacing w:line="360" w:lineRule="auto"/>
        <w:ind w:firstLineChars="250" w:firstLine="580"/>
        <w:rPr>
          <w:rFonts w:hAnsi="宋体"/>
          <w:spacing w:val="-4"/>
          <w:sz w:val="24"/>
        </w:rPr>
      </w:pPr>
      <w:r>
        <w:rPr>
          <w:rFonts w:hAnsi="宋体" w:hint="eastAsia"/>
          <w:spacing w:val="-4"/>
          <w:sz w:val="24"/>
        </w:rPr>
        <w:t>3</w:t>
      </w:r>
      <w:r>
        <w:rPr>
          <w:rFonts w:hAnsi="宋体" w:hint="eastAsia"/>
          <w:spacing w:val="-4"/>
          <w:sz w:val="24"/>
        </w:rPr>
        <w:t>、烘干废气</w:t>
      </w:r>
    </w:p>
    <w:p w:rsidR="00475650" w:rsidRDefault="00475650">
      <w:pPr>
        <w:snapToGrid w:val="0"/>
        <w:spacing w:line="360" w:lineRule="auto"/>
        <w:ind w:firstLineChars="200" w:firstLine="464"/>
        <w:rPr>
          <w:rFonts w:hAnsi="宋体"/>
          <w:spacing w:val="-4"/>
          <w:sz w:val="24"/>
        </w:rPr>
      </w:pPr>
      <w:r>
        <w:rPr>
          <w:rFonts w:hAnsi="宋体"/>
          <w:spacing w:val="-4"/>
          <w:sz w:val="24"/>
        </w:rPr>
        <w:t>烘干</w:t>
      </w:r>
      <w:r>
        <w:rPr>
          <w:rFonts w:hAnsi="宋体" w:hint="eastAsia"/>
          <w:spacing w:val="-4"/>
          <w:sz w:val="24"/>
        </w:rPr>
        <w:t>工序为对压滤滤饼采用烘箱内蒸汽间接加热的方式，高热环境下滤饼中可能存在的氯化氢组成易挥发出来，此外烘干末端干燥产品表面空气搅动会存在微量粉尘，按照</w:t>
      </w:r>
      <w:r>
        <w:rPr>
          <w:rFonts w:hAnsi="宋体" w:hint="eastAsia"/>
          <w:spacing w:val="-4"/>
          <w:sz w:val="24"/>
        </w:rPr>
        <w:t>0.02%</w:t>
      </w:r>
      <w:r>
        <w:rPr>
          <w:rFonts w:hAnsi="宋体" w:hint="eastAsia"/>
          <w:spacing w:val="-4"/>
          <w:sz w:val="24"/>
        </w:rPr>
        <w:t>的产尘系数，粉尘产生量为</w:t>
      </w:r>
      <w:r>
        <w:rPr>
          <w:rFonts w:hAnsi="宋体" w:hint="eastAsia"/>
          <w:spacing w:val="-4"/>
          <w:sz w:val="24"/>
        </w:rPr>
        <w:t>1.14t/a</w:t>
      </w:r>
      <w:r>
        <w:rPr>
          <w:rFonts w:hAnsi="宋体" w:hint="eastAsia"/>
          <w:spacing w:val="-4"/>
          <w:sz w:val="24"/>
        </w:rPr>
        <w:t>，氯化氢的产生量为</w:t>
      </w:r>
      <w:r>
        <w:rPr>
          <w:rFonts w:hAnsi="宋体" w:hint="eastAsia"/>
          <w:spacing w:val="-4"/>
          <w:sz w:val="24"/>
        </w:rPr>
        <w:t>0.05t/a</w:t>
      </w:r>
      <w:r>
        <w:rPr>
          <w:rFonts w:hAnsi="宋体" w:hint="eastAsia"/>
          <w:spacing w:val="-4"/>
          <w:sz w:val="24"/>
        </w:rPr>
        <w:t>。此部分废气建议采取负压吸收的方式收集后送喷淋塔处理。</w:t>
      </w:r>
    </w:p>
    <w:p w:rsidR="00475650" w:rsidRDefault="00475650">
      <w:pPr>
        <w:snapToGrid w:val="0"/>
        <w:spacing w:line="360" w:lineRule="auto"/>
        <w:ind w:firstLineChars="250" w:firstLine="580"/>
        <w:rPr>
          <w:rFonts w:hAnsi="宋体"/>
          <w:spacing w:val="-4"/>
          <w:sz w:val="24"/>
        </w:rPr>
      </w:pPr>
      <w:r>
        <w:rPr>
          <w:rFonts w:hAnsi="宋体" w:hint="eastAsia"/>
          <w:spacing w:val="-4"/>
          <w:sz w:val="24"/>
        </w:rPr>
        <w:t>4</w:t>
      </w:r>
      <w:r>
        <w:rPr>
          <w:rFonts w:hAnsi="宋体" w:hint="eastAsia"/>
          <w:spacing w:val="-4"/>
          <w:sz w:val="24"/>
        </w:rPr>
        <w:t>、破碎废气</w:t>
      </w:r>
    </w:p>
    <w:p w:rsidR="00475650" w:rsidRDefault="00475650">
      <w:pPr>
        <w:snapToGrid w:val="0"/>
        <w:spacing w:line="360" w:lineRule="auto"/>
        <w:ind w:firstLineChars="200" w:firstLine="464"/>
        <w:rPr>
          <w:rFonts w:hAnsi="宋体"/>
          <w:spacing w:val="-4"/>
          <w:sz w:val="24"/>
        </w:rPr>
      </w:pPr>
      <w:r>
        <w:rPr>
          <w:rFonts w:hAnsi="宋体" w:hint="eastAsia"/>
          <w:spacing w:val="-4"/>
          <w:sz w:val="24"/>
        </w:rPr>
        <w:t>产品采用球磨机干法密封破碎，进料过程应采用皮带密封输送的方式减少粉尘影响，破碎后产品采用密封皮带输送至出料仓；产尘点位于皮带与破碎机连接不紧密处，按照</w:t>
      </w:r>
      <w:r>
        <w:rPr>
          <w:rFonts w:hAnsi="宋体" w:hint="eastAsia"/>
          <w:spacing w:val="-4"/>
          <w:sz w:val="24"/>
        </w:rPr>
        <w:t>10%</w:t>
      </w:r>
      <w:r>
        <w:rPr>
          <w:rFonts w:hAnsi="宋体" w:hint="eastAsia"/>
          <w:spacing w:val="-4"/>
          <w:sz w:val="24"/>
        </w:rPr>
        <w:t>的产尘率及</w:t>
      </w:r>
      <w:r>
        <w:rPr>
          <w:rFonts w:hAnsi="宋体" w:hint="eastAsia"/>
          <w:spacing w:val="-4"/>
          <w:sz w:val="24"/>
        </w:rPr>
        <w:t>1-1.5%</w:t>
      </w:r>
      <w:r>
        <w:rPr>
          <w:rFonts w:hAnsi="宋体" w:hint="eastAsia"/>
          <w:spacing w:val="-4"/>
          <w:sz w:val="24"/>
        </w:rPr>
        <w:t>的逸出量核算，破碎车间的产尘量为</w:t>
      </w:r>
      <w:r>
        <w:rPr>
          <w:rFonts w:hAnsi="宋体" w:hint="eastAsia"/>
          <w:spacing w:val="-4"/>
          <w:sz w:val="24"/>
        </w:rPr>
        <w:t>7.35t/a</w:t>
      </w:r>
      <w:r>
        <w:rPr>
          <w:rFonts w:hAnsi="宋体" w:hint="eastAsia"/>
          <w:spacing w:val="-4"/>
          <w:sz w:val="24"/>
        </w:rPr>
        <w:t>。对产尘点采用集气罩负压吸收后送布袋收尘器收尘处理。</w:t>
      </w:r>
    </w:p>
    <w:p w:rsidR="00475650" w:rsidRDefault="00475650">
      <w:pPr>
        <w:snapToGrid w:val="0"/>
        <w:spacing w:line="360" w:lineRule="auto"/>
        <w:ind w:firstLineChars="200" w:firstLine="464"/>
        <w:rPr>
          <w:rFonts w:hAnsi="宋体"/>
          <w:spacing w:val="-4"/>
          <w:sz w:val="24"/>
        </w:rPr>
      </w:pPr>
      <w:r>
        <w:rPr>
          <w:rFonts w:hAnsi="宋体" w:hint="eastAsia"/>
          <w:spacing w:val="-4"/>
          <w:sz w:val="24"/>
        </w:rPr>
        <w:t>5</w:t>
      </w:r>
      <w:r>
        <w:rPr>
          <w:rFonts w:hAnsi="宋体" w:hint="eastAsia"/>
          <w:spacing w:val="-4"/>
          <w:sz w:val="24"/>
        </w:rPr>
        <w:t>、包装废气</w:t>
      </w:r>
    </w:p>
    <w:p w:rsidR="00475650" w:rsidRDefault="00475650">
      <w:pPr>
        <w:snapToGrid w:val="0"/>
        <w:spacing w:line="360" w:lineRule="auto"/>
        <w:ind w:firstLineChars="200" w:firstLine="464"/>
        <w:rPr>
          <w:rFonts w:hAnsi="宋体"/>
          <w:spacing w:val="-4"/>
          <w:sz w:val="24"/>
        </w:rPr>
      </w:pPr>
      <w:r>
        <w:rPr>
          <w:rFonts w:hAnsi="宋体" w:hint="eastAsia"/>
          <w:spacing w:val="-4"/>
          <w:sz w:val="24"/>
        </w:rPr>
        <w:t>根据业主提供的资料，拟采用自动包装生产线，由此可减少包装过程中产生的粉尘影响，包装废气主要产生于包装袋与包装机连接处，机械化自动包装的产尘率不大，按照</w:t>
      </w:r>
      <w:r>
        <w:rPr>
          <w:rFonts w:hAnsi="宋体" w:hint="eastAsia"/>
          <w:spacing w:val="-4"/>
          <w:sz w:val="24"/>
        </w:rPr>
        <w:t>0.1%</w:t>
      </w:r>
      <w:r>
        <w:rPr>
          <w:rFonts w:hAnsi="宋体" w:hint="eastAsia"/>
          <w:spacing w:val="-4"/>
          <w:sz w:val="24"/>
        </w:rPr>
        <w:t>的产尘系数核算，包装车间产生的尘量为</w:t>
      </w:r>
      <w:r>
        <w:rPr>
          <w:rFonts w:hAnsi="宋体" w:hint="eastAsia"/>
          <w:spacing w:val="-4"/>
          <w:sz w:val="24"/>
        </w:rPr>
        <w:t>5.66t/a</w:t>
      </w:r>
      <w:r>
        <w:rPr>
          <w:rFonts w:hAnsi="宋体" w:hint="eastAsia"/>
          <w:spacing w:val="-4"/>
          <w:sz w:val="24"/>
        </w:rPr>
        <w:t>。对产尘点采用集气罩负压吸收后送布袋收尘器收尘处理。</w:t>
      </w:r>
    </w:p>
    <w:p w:rsidR="00475650" w:rsidRDefault="00475650">
      <w:pPr>
        <w:snapToGrid w:val="0"/>
        <w:spacing w:line="360" w:lineRule="auto"/>
        <w:ind w:firstLineChars="200" w:firstLine="464"/>
        <w:rPr>
          <w:rFonts w:hAnsi="宋体"/>
          <w:spacing w:val="-4"/>
          <w:sz w:val="24"/>
        </w:rPr>
      </w:pPr>
      <w:r>
        <w:rPr>
          <w:rFonts w:hAnsi="宋体" w:hint="eastAsia"/>
          <w:spacing w:val="-4"/>
          <w:sz w:val="24"/>
        </w:rPr>
        <w:t>6</w:t>
      </w:r>
      <w:r>
        <w:rPr>
          <w:rFonts w:hAnsi="宋体" w:hint="eastAsia"/>
          <w:spacing w:val="-4"/>
          <w:sz w:val="24"/>
        </w:rPr>
        <w:t>、污水处理站臭气</w:t>
      </w:r>
    </w:p>
    <w:p w:rsidR="00475650" w:rsidRDefault="00475650">
      <w:pPr>
        <w:snapToGrid w:val="0"/>
        <w:spacing w:line="360" w:lineRule="auto"/>
        <w:ind w:firstLineChars="200" w:firstLine="464"/>
        <w:rPr>
          <w:rFonts w:hAnsi="宋体"/>
          <w:spacing w:val="-4"/>
          <w:sz w:val="24"/>
        </w:rPr>
      </w:pPr>
      <w:r>
        <w:rPr>
          <w:rFonts w:hAnsi="宋体" w:hint="eastAsia"/>
          <w:spacing w:val="-4"/>
          <w:sz w:val="24"/>
        </w:rPr>
        <w:t>污水处理站生化处理工序及污泥暂存场会产生异味，恶臭因子主要为氨，根据废水</w:t>
      </w:r>
      <w:r>
        <w:rPr>
          <w:rFonts w:hAnsi="宋体" w:hint="eastAsia"/>
          <w:spacing w:val="-4"/>
          <w:sz w:val="24"/>
        </w:rPr>
        <w:lastRenderedPageBreak/>
        <w:t>中</w:t>
      </w:r>
      <w:r>
        <w:rPr>
          <w:rFonts w:hAnsi="宋体" w:hint="eastAsia"/>
          <w:spacing w:val="-4"/>
          <w:sz w:val="24"/>
        </w:rPr>
        <w:t>N</w:t>
      </w:r>
      <w:r>
        <w:rPr>
          <w:rFonts w:hAnsi="宋体" w:hint="eastAsia"/>
          <w:spacing w:val="-4"/>
          <w:sz w:val="24"/>
        </w:rPr>
        <w:t>基团的存在形式来看，氯化铵为释放源，根据氨氮处理效率等考虑废水中约</w:t>
      </w:r>
      <w:r>
        <w:rPr>
          <w:rFonts w:hAnsi="宋体" w:hint="eastAsia"/>
          <w:spacing w:val="-4"/>
          <w:sz w:val="24"/>
        </w:rPr>
        <w:t>30%</w:t>
      </w:r>
      <w:r>
        <w:rPr>
          <w:rFonts w:hAnsi="宋体" w:hint="eastAsia"/>
          <w:spacing w:val="-4"/>
          <w:sz w:val="24"/>
        </w:rPr>
        <w:t>的氨以臭气形式外逸，逸出量为</w:t>
      </w:r>
      <w:r>
        <w:rPr>
          <w:rFonts w:hAnsi="宋体" w:hint="eastAsia"/>
          <w:spacing w:val="-4"/>
          <w:sz w:val="24"/>
        </w:rPr>
        <w:t>0.15t/a</w:t>
      </w:r>
      <w:r>
        <w:rPr>
          <w:rFonts w:hAnsi="宋体" w:hint="eastAsia"/>
          <w:spacing w:val="-4"/>
          <w:sz w:val="24"/>
        </w:rPr>
        <w:t>；建议污水处理站采用密封加盖，并对生化池、污泥暂存及处理间采用负压集气方式处理，收集的气体送至喷淋塔集中外排。</w:t>
      </w:r>
    </w:p>
    <w:p w:rsidR="00475650" w:rsidRDefault="00475650">
      <w:pPr>
        <w:snapToGrid w:val="0"/>
        <w:spacing w:line="360" w:lineRule="auto"/>
        <w:ind w:firstLineChars="200" w:firstLine="464"/>
        <w:rPr>
          <w:rFonts w:hAnsi="宋体"/>
          <w:spacing w:val="-4"/>
          <w:sz w:val="24"/>
        </w:rPr>
      </w:pPr>
      <w:r>
        <w:rPr>
          <w:rFonts w:hAnsi="宋体" w:hint="eastAsia"/>
          <w:spacing w:val="-4"/>
          <w:sz w:val="24"/>
        </w:rPr>
        <w:t>综合以上分析，酰化反应釜产生的含二氧化碳的气体为</w:t>
      </w:r>
      <w:r>
        <w:rPr>
          <w:rFonts w:hAnsi="宋体" w:hint="eastAsia"/>
          <w:spacing w:val="-4"/>
          <w:sz w:val="24"/>
        </w:rPr>
        <w:t>197.65t/a</w:t>
      </w:r>
      <w:r>
        <w:rPr>
          <w:rFonts w:hAnsi="宋体" w:hint="eastAsia"/>
          <w:spacing w:val="-4"/>
          <w:sz w:val="24"/>
        </w:rPr>
        <w:t>，负压吸收后由高点外排；重氮和偶合反应产生的氯化氢为</w:t>
      </w:r>
      <w:r>
        <w:rPr>
          <w:rFonts w:hAnsi="宋体" w:hint="eastAsia"/>
          <w:spacing w:val="-4"/>
          <w:sz w:val="24"/>
        </w:rPr>
        <w:t>4.95t/a</w:t>
      </w:r>
      <w:r>
        <w:rPr>
          <w:rFonts w:hAnsi="宋体" w:hint="eastAsia"/>
          <w:spacing w:val="-4"/>
          <w:sz w:val="24"/>
        </w:rPr>
        <w:t>、氨气</w:t>
      </w:r>
      <w:r>
        <w:rPr>
          <w:rFonts w:hAnsi="宋体" w:hint="eastAsia"/>
          <w:spacing w:val="-4"/>
          <w:sz w:val="24"/>
        </w:rPr>
        <w:t>0.12t/a</w:t>
      </w:r>
      <w:r>
        <w:rPr>
          <w:rFonts w:hAnsi="宋体" w:hint="eastAsia"/>
          <w:spacing w:val="-4"/>
          <w:sz w:val="24"/>
        </w:rPr>
        <w:t>、二氧化碳</w:t>
      </w:r>
      <w:r>
        <w:rPr>
          <w:rFonts w:hAnsi="宋体" w:hint="eastAsia"/>
          <w:spacing w:val="-4"/>
          <w:sz w:val="24"/>
        </w:rPr>
        <w:t>179.1t/a</w:t>
      </w:r>
      <w:r>
        <w:rPr>
          <w:rFonts w:hAnsi="宋体" w:hint="eastAsia"/>
          <w:spacing w:val="-4"/>
          <w:sz w:val="24"/>
        </w:rPr>
        <w:t>、氮气</w:t>
      </w:r>
      <w:r>
        <w:rPr>
          <w:rFonts w:hAnsi="宋体" w:hint="eastAsia"/>
          <w:spacing w:val="-4"/>
          <w:sz w:val="24"/>
        </w:rPr>
        <w:t>20.65t/a</w:t>
      </w:r>
      <w:r>
        <w:rPr>
          <w:rFonts w:hAnsi="宋体" w:hint="eastAsia"/>
          <w:spacing w:val="-4"/>
          <w:sz w:val="24"/>
        </w:rPr>
        <w:t>；烘干产生的废气中粉尘为</w:t>
      </w:r>
      <w:r>
        <w:rPr>
          <w:rFonts w:hAnsi="宋体" w:hint="eastAsia"/>
          <w:spacing w:val="-4"/>
          <w:sz w:val="24"/>
        </w:rPr>
        <w:t>1.14t/a</w:t>
      </w:r>
      <w:r>
        <w:rPr>
          <w:rFonts w:hAnsi="宋体" w:hint="eastAsia"/>
          <w:spacing w:val="-4"/>
          <w:sz w:val="24"/>
        </w:rPr>
        <w:t>，氯化氢为</w:t>
      </w:r>
      <w:r>
        <w:rPr>
          <w:rFonts w:hAnsi="宋体" w:hint="eastAsia"/>
          <w:spacing w:val="-4"/>
          <w:sz w:val="24"/>
        </w:rPr>
        <w:t>0.05t/a</w:t>
      </w:r>
      <w:r>
        <w:rPr>
          <w:rFonts w:hAnsi="宋体" w:hint="eastAsia"/>
          <w:spacing w:val="-4"/>
          <w:sz w:val="24"/>
        </w:rPr>
        <w:t>；破碎及包装产生的废气中粉尘含量为</w:t>
      </w:r>
      <w:r>
        <w:rPr>
          <w:rFonts w:hAnsi="宋体" w:hint="eastAsia"/>
          <w:spacing w:val="-4"/>
          <w:sz w:val="24"/>
        </w:rPr>
        <w:t>13.01t/a</w:t>
      </w:r>
      <w:r>
        <w:rPr>
          <w:rFonts w:hAnsi="宋体" w:hint="eastAsia"/>
          <w:spacing w:val="-4"/>
          <w:sz w:val="24"/>
        </w:rPr>
        <w:t>；根据环评要求，各装置产生的污染气体应采取负压吸收环保处理后高点集中外排。其中氮气和二氧化碳为大气组成成分，属于洁净气体组成，本项目废气中污染物成分主要为氯化氢、氨气和粉尘。</w:t>
      </w:r>
    </w:p>
    <w:p w:rsidR="00475650" w:rsidRDefault="00475650">
      <w:pPr>
        <w:snapToGrid w:val="0"/>
        <w:spacing w:line="360" w:lineRule="auto"/>
        <w:ind w:firstLineChars="200" w:firstLine="464"/>
        <w:rPr>
          <w:rFonts w:hAnsi="宋体"/>
          <w:spacing w:val="-4"/>
          <w:sz w:val="24"/>
        </w:rPr>
      </w:pPr>
      <w:r>
        <w:rPr>
          <w:rFonts w:hAnsi="宋体" w:hint="eastAsia"/>
          <w:spacing w:val="-4"/>
          <w:sz w:val="24"/>
        </w:rPr>
        <w:t>以上气体中酰化废气可负压收集后直接高点外排，破碎及包装废气经负压收集</w:t>
      </w:r>
      <w:r>
        <w:rPr>
          <w:rFonts w:hAnsi="宋体" w:hint="eastAsia"/>
          <w:spacing w:val="-4"/>
          <w:sz w:val="24"/>
        </w:rPr>
        <w:t>+</w:t>
      </w:r>
      <w:r>
        <w:rPr>
          <w:rFonts w:hAnsi="宋体" w:hint="eastAsia"/>
          <w:spacing w:val="-4"/>
          <w:sz w:val="24"/>
        </w:rPr>
        <w:t>布袋收尘后由高点外排，其它酸性气体经负压收集后送喷淋塔碱液吸收后高点外排，按照</w:t>
      </w:r>
      <w:r>
        <w:rPr>
          <w:rFonts w:hAnsi="宋体" w:hint="eastAsia"/>
          <w:spacing w:val="-4"/>
          <w:sz w:val="24"/>
        </w:rPr>
        <w:t>5%</w:t>
      </w:r>
      <w:r>
        <w:rPr>
          <w:rFonts w:hAnsi="宋体" w:hint="eastAsia"/>
          <w:spacing w:val="-4"/>
          <w:sz w:val="24"/>
        </w:rPr>
        <w:t>考虑设备及输送管道连接处的气体泄露</w:t>
      </w:r>
      <w:r>
        <w:rPr>
          <w:rFonts w:hAnsi="宋体"/>
          <w:spacing w:val="-4"/>
          <w:sz w:val="24"/>
        </w:rPr>
        <w:t>，</w:t>
      </w:r>
      <w:r>
        <w:rPr>
          <w:rFonts w:hAnsi="宋体" w:hint="eastAsia"/>
          <w:spacing w:val="-4"/>
          <w:sz w:val="24"/>
        </w:rPr>
        <w:t>喷淋对氯化氢的去除效率按照</w:t>
      </w:r>
      <w:r>
        <w:rPr>
          <w:rFonts w:hAnsi="宋体" w:hint="eastAsia"/>
          <w:spacing w:val="-4"/>
          <w:sz w:val="24"/>
        </w:rPr>
        <w:t>90%</w:t>
      </w:r>
      <w:r>
        <w:rPr>
          <w:rFonts w:hAnsi="宋体" w:hint="eastAsia"/>
          <w:spacing w:val="-4"/>
          <w:sz w:val="24"/>
        </w:rPr>
        <w:t>核算，</w:t>
      </w:r>
      <w:r>
        <w:rPr>
          <w:rFonts w:hAnsi="宋体"/>
          <w:spacing w:val="-4"/>
          <w:sz w:val="24"/>
        </w:rPr>
        <w:t>布袋收尘器收尘效率按照</w:t>
      </w:r>
      <w:r>
        <w:rPr>
          <w:spacing w:val="-4"/>
          <w:sz w:val="24"/>
        </w:rPr>
        <w:t>99.5%</w:t>
      </w:r>
      <w:r>
        <w:rPr>
          <w:rFonts w:hAnsi="宋体"/>
          <w:spacing w:val="-4"/>
          <w:sz w:val="24"/>
        </w:rPr>
        <w:t>核算，</w:t>
      </w:r>
      <w:r>
        <w:rPr>
          <w:rFonts w:hAnsi="宋体" w:hint="eastAsia"/>
          <w:spacing w:val="-4"/>
          <w:sz w:val="24"/>
        </w:rPr>
        <w:t>车间无组织外排污染物的量为：氯化氢</w:t>
      </w:r>
      <w:r>
        <w:rPr>
          <w:rFonts w:hAnsi="宋体" w:hint="eastAsia"/>
          <w:spacing w:val="-4"/>
          <w:sz w:val="24"/>
        </w:rPr>
        <w:t>0.25t/a</w:t>
      </w:r>
      <w:r>
        <w:rPr>
          <w:rFonts w:hAnsi="宋体" w:hint="eastAsia"/>
          <w:spacing w:val="-4"/>
          <w:sz w:val="24"/>
        </w:rPr>
        <w:t>，氨</w:t>
      </w:r>
      <w:r>
        <w:rPr>
          <w:rFonts w:hAnsi="宋体" w:hint="eastAsia"/>
          <w:spacing w:val="-4"/>
          <w:sz w:val="24"/>
        </w:rPr>
        <w:t>0.014t/a</w:t>
      </w:r>
      <w:r>
        <w:rPr>
          <w:rFonts w:hAnsi="宋体" w:hint="eastAsia"/>
          <w:spacing w:val="-4"/>
          <w:sz w:val="24"/>
        </w:rPr>
        <w:t>，粉尘</w:t>
      </w:r>
      <w:r>
        <w:rPr>
          <w:rFonts w:hAnsi="宋体" w:hint="eastAsia"/>
          <w:spacing w:val="-4"/>
          <w:sz w:val="24"/>
        </w:rPr>
        <w:t>0.71t/a</w:t>
      </w:r>
      <w:r>
        <w:rPr>
          <w:rFonts w:hAnsi="宋体" w:hint="eastAsia"/>
          <w:spacing w:val="-4"/>
          <w:sz w:val="24"/>
        </w:rPr>
        <w:t>；通过高点有组织外排污染物的量为：氯化氢</w:t>
      </w:r>
      <w:r>
        <w:rPr>
          <w:rFonts w:hAnsi="宋体" w:hint="eastAsia"/>
          <w:spacing w:val="-4"/>
          <w:sz w:val="24"/>
        </w:rPr>
        <w:t>0.475t/a</w:t>
      </w:r>
      <w:r>
        <w:rPr>
          <w:rFonts w:hAnsi="宋体" w:hint="eastAsia"/>
          <w:spacing w:val="-4"/>
          <w:sz w:val="24"/>
        </w:rPr>
        <w:t>，氨</w:t>
      </w:r>
      <w:r>
        <w:rPr>
          <w:rFonts w:hAnsi="宋体" w:hint="eastAsia"/>
          <w:spacing w:val="-4"/>
          <w:sz w:val="24"/>
        </w:rPr>
        <w:t>0.114t/a</w:t>
      </w:r>
      <w:r>
        <w:rPr>
          <w:rFonts w:hAnsi="宋体" w:hint="eastAsia"/>
          <w:spacing w:val="-4"/>
          <w:sz w:val="24"/>
        </w:rPr>
        <w:t>，粉尘</w:t>
      </w:r>
      <w:r>
        <w:rPr>
          <w:rFonts w:hAnsi="宋体" w:hint="eastAsia"/>
          <w:spacing w:val="-4"/>
          <w:sz w:val="24"/>
        </w:rPr>
        <w:t>1.145t/a</w:t>
      </w:r>
      <w:r>
        <w:rPr>
          <w:rFonts w:hAnsi="宋体" w:hint="eastAsia"/>
          <w:spacing w:val="-4"/>
          <w:sz w:val="24"/>
        </w:rPr>
        <w:t>；排气筒按照最低标准要求需设置在</w:t>
      </w:r>
      <w:r>
        <w:rPr>
          <w:rFonts w:hAnsi="宋体" w:hint="eastAsia"/>
          <w:spacing w:val="-4"/>
          <w:sz w:val="24"/>
        </w:rPr>
        <w:t>15m</w:t>
      </w:r>
      <w:r>
        <w:rPr>
          <w:rFonts w:hAnsi="宋体" w:hint="eastAsia"/>
          <w:spacing w:val="-4"/>
          <w:sz w:val="24"/>
        </w:rPr>
        <w:t>以上，内径设为</w:t>
      </w:r>
      <w:r>
        <w:rPr>
          <w:rFonts w:hAnsi="宋体" w:hint="eastAsia"/>
          <w:spacing w:val="-4"/>
          <w:sz w:val="24"/>
        </w:rPr>
        <w:t>0.6m</w:t>
      </w:r>
      <w:r>
        <w:rPr>
          <w:rFonts w:hAnsi="宋体" w:hint="eastAsia"/>
          <w:spacing w:val="-4"/>
          <w:sz w:val="24"/>
        </w:rPr>
        <w:t>，采用防腐材质，烟气量约为每小时</w:t>
      </w:r>
      <w:r>
        <w:rPr>
          <w:rFonts w:hAnsi="宋体" w:hint="eastAsia"/>
          <w:spacing w:val="-4"/>
          <w:sz w:val="24"/>
        </w:rPr>
        <w:t>15000</w:t>
      </w:r>
      <w:r>
        <w:rPr>
          <w:rFonts w:hAnsi="宋体" w:hint="eastAsia"/>
          <w:spacing w:val="-4"/>
          <w:sz w:val="24"/>
        </w:rPr>
        <w:t>立方米，外排烟气的温度约为</w:t>
      </w:r>
      <w:r>
        <w:rPr>
          <w:rFonts w:hAnsi="宋体" w:hint="eastAsia"/>
          <w:spacing w:val="-4"/>
          <w:sz w:val="24"/>
        </w:rPr>
        <w:t>25</w:t>
      </w:r>
      <w:r>
        <w:rPr>
          <w:rFonts w:hAnsi="宋体" w:hint="eastAsia"/>
          <w:spacing w:val="-4"/>
          <w:sz w:val="24"/>
        </w:rPr>
        <w:t>℃。</w:t>
      </w:r>
    </w:p>
    <w:bookmarkEnd w:id="583"/>
    <w:p w:rsidR="00475650" w:rsidRDefault="00475650">
      <w:pPr>
        <w:snapToGrid w:val="0"/>
        <w:spacing w:line="324" w:lineRule="auto"/>
        <w:ind w:firstLineChars="200" w:firstLine="464"/>
        <w:rPr>
          <w:spacing w:val="-4"/>
          <w:sz w:val="24"/>
        </w:rPr>
        <w:sectPr w:rsidR="00475650">
          <w:pgSz w:w="11906" w:h="16838"/>
          <w:pgMar w:top="1588" w:right="1588" w:bottom="1588" w:left="1588" w:header="851" w:footer="992" w:gutter="0"/>
          <w:paperSrc w:first="7" w:other="7"/>
          <w:cols w:space="720"/>
          <w:docGrid w:linePitch="312"/>
        </w:sectPr>
      </w:pPr>
      <w:r>
        <w:rPr>
          <w:rFonts w:hAnsi="宋体"/>
          <w:spacing w:val="-4"/>
          <w:sz w:val="24"/>
        </w:rPr>
        <w:t>本项目废气排放情况见表</w:t>
      </w:r>
      <w:r>
        <w:rPr>
          <w:spacing w:val="-4"/>
          <w:sz w:val="24"/>
        </w:rPr>
        <w:t>3.3-10</w:t>
      </w:r>
      <w:r>
        <w:rPr>
          <w:rFonts w:hAnsi="宋体"/>
          <w:spacing w:val="-4"/>
          <w:sz w:val="24"/>
        </w:rPr>
        <w:t>。</w:t>
      </w:r>
    </w:p>
    <w:p w:rsidR="00475650" w:rsidRDefault="00475650">
      <w:pPr>
        <w:adjustRightInd w:val="0"/>
        <w:snapToGrid w:val="0"/>
        <w:spacing w:line="360" w:lineRule="auto"/>
        <w:jc w:val="center"/>
        <w:rPr>
          <w:bCs/>
          <w:spacing w:val="4"/>
          <w:sz w:val="24"/>
        </w:rPr>
      </w:pPr>
      <w:r>
        <w:rPr>
          <w:rFonts w:hAnsi="宋体"/>
          <w:bCs/>
          <w:spacing w:val="4"/>
          <w:sz w:val="24"/>
        </w:rPr>
        <w:lastRenderedPageBreak/>
        <w:t>表</w:t>
      </w:r>
      <w:r>
        <w:rPr>
          <w:bCs/>
          <w:spacing w:val="4"/>
          <w:sz w:val="24"/>
        </w:rPr>
        <w:t xml:space="preserve">3.3-10   </w:t>
      </w:r>
      <w:r>
        <w:rPr>
          <w:rFonts w:hAnsi="宋体"/>
          <w:bCs/>
          <w:spacing w:val="4"/>
          <w:sz w:val="24"/>
        </w:rPr>
        <w:t>本项目废气污染源一览表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435"/>
        <w:gridCol w:w="1097"/>
        <w:gridCol w:w="1134"/>
        <w:gridCol w:w="860"/>
        <w:gridCol w:w="701"/>
        <w:gridCol w:w="1416"/>
        <w:gridCol w:w="1561"/>
        <w:gridCol w:w="1135"/>
        <w:gridCol w:w="707"/>
        <w:gridCol w:w="749"/>
        <w:gridCol w:w="710"/>
        <w:gridCol w:w="1274"/>
        <w:gridCol w:w="849"/>
        <w:gridCol w:w="434"/>
        <w:gridCol w:w="565"/>
        <w:gridCol w:w="565"/>
      </w:tblGrid>
      <w:tr w:rsidR="00475650">
        <w:trPr>
          <w:trHeight w:val="255"/>
          <w:jc w:val="center"/>
        </w:trPr>
        <w:tc>
          <w:tcPr>
            <w:tcW w:w="1532" w:type="dxa"/>
            <w:gridSpan w:val="2"/>
            <w:vMerge w:val="restart"/>
            <w:vAlign w:val="center"/>
          </w:tcPr>
          <w:p w:rsidR="00475650" w:rsidRDefault="00475650">
            <w:pPr>
              <w:snapToGrid w:val="0"/>
              <w:spacing w:line="211" w:lineRule="auto"/>
              <w:jc w:val="center"/>
              <w:rPr>
                <w:szCs w:val="21"/>
              </w:rPr>
            </w:pPr>
            <w:r>
              <w:rPr>
                <w:rFonts w:hAnsi="宋体"/>
                <w:szCs w:val="21"/>
              </w:rPr>
              <w:t>废气名称</w:t>
            </w:r>
          </w:p>
        </w:tc>
        <w:tc>
          <w:tcPr>
            <w:tcW w:w="1134" w:type="dxa"/>
            <w:vMerge w:val="restart"/>
            <w:vAlign w:val="center"/>
          </w:tcPr>
          <w:p w:rsidR="00475650" w:rsidRDefault="00475650">
            <w:pPr>
              <w:snapToGrid w:val="0"/>
              <w:spacing w:line="211" w:lineRule="auto"/>
              <w:jc w:val="center"/>
              <w:rPr>
                <w:szCs w:val="21"/>
              </w:rPr>
            </w:pPr>
            <w:r>
              <w:rPr>
                <w:rFonts w:hAnsi="宋体"/>
                <w:szCs w:val="21"/>
              </w:rPr>
              <w:t>废气来源</w:t>
            </w:r>
          </w:p>
        </w:tc>
        <w:tc>
          <w:tcPr>
            <w:tcW w:w="860" w:type="dxa"/>
            <w:vMerge w:val="restart"/>
            <w:vAlign w:val="center"/>
          </w:tcPr>
          <w:p w:rsidR="00475650" w:rsidRDefault="00475650">
            <w:pPr>
              <w:snapToGrid w:val="0"/>
              <w:spacing w:line="211" w:lineRule="auto"/>
              <w:jc w:val="center"/>
              <w:rPr>
                <w:szCs w:val="21"/>
              </w:rPr>
            </w:pPr>
            <w:r>
              <w:rPr>
                <w:rFonts w:hAnsi="宋体"/>
                <w:szCs w:val="21"/>
              </w:rPr>
              <w:t>主要</w:t>
            </w:r>
            <w:r>
              <w:rPr>
                <w:rFonts w:hAnsi="宋体" w:hint="eastAsia"/>
                <w:szCs w:val="21"/>
              </w:rPr>
              <w:t>组成</w:t>
            </w:r>
          </w:p>
        </w:tc>
        <w:tc>
          <w:tcPr>
            <w:tcW w:w="701" w:type="dxa"/>
            <w:vMerge w:val="restart"/>
            <w:vAlign w:val="center"/>
          </w:tcPr>
          <w:p w:rsidR="00475650" w:rsidRDefault="00475650">
            <w:pPr>
              <w:snapToGrid w:val="0"/>
              <w:spacing w:line="211" w:lineRule="auto"/>
              <w:ind w:firstLineChars="50" w:firstLine="105"/>
              <w:jc w:val="center"/>
              <w:rPr>
                <w:szCs w:val="21"/>
              </w:rPr>
            </w:pPr>
            <w:r>
              <w:rPr>
                <w:rFonts w:hAnsi="宋体"/>
                <w:szCs w:val="21"/>
              </w:rPr>
              <w:t>产生速度</w:t>
            </w:r>
            <w:r>
              <w:rPr>
                <w:rFonts w:hint="eastAsia"/>
                <w:szCs w:val="21"/>
              </w:rPr>
              <w:t>t/a</w:t>
            </w:r>
          </w:p>
        </w:tc>
        <w:tc>
          <w:tcPr>
            <w:tcW w:w="1416" w:type="dxa"/>
            <w:vMerge w:val="restart"/>
            <w:vAlign w:val="center"/>
          </w:tcPr>
          <w:p w:rsidR="00475650" w:rsidRDefault="00475650">
            <w:pPr>
              <w:snapToGrid w:val="0"/>
              <w:spacing w:line="211" w:lineRule="auto"/>
              <w:jc w:val="center"/>
              <w:rPr>
                <w:szCs w:val="21"/>
              </w:rPr>
            </w:pPr>
            <w:r>
              <w:rPr>
                <w:rFonts w:hAnsi="宋体" w:hint="eastAsia"/>
                <w:szCs w:val="21"/>
              </w:rPr>
              <w:t>可研措施</w:t>
            </w:r>
          </w:p>
        </w:tc>
        <w:tc>
          <w:tcPr>
            <w:tcW w:w="1561" w:type="dxa"/>
            <w:vMerge w:val="restart"/>
            <w:vAlign w:val="center"/>
          </w:tcPr>
          <w:p w:rsidR="00475650" w:rsidRDefault="00475650">
            <w:pPr>
              <w:snapToGrid w:val="0"/>
              <w:spacing w:line="211" w:lineRule="auto"/>
              <w:jc w:val="center"/>
              <w:rPr>
                <w:szCs w:val="21"/>
              </w:rPr>
            </w:pPr>
            <w:r>
              <w:rPr>
                <w:rFonts w:hAnsi="宋体" w:hint="eastAsia"/>
                <w:szCs w:val="21"/>
              </w:rPr>
              <w:t>环评补充措施</w:t>
            </w:r>
          </w:p>
        </w:tc>
        <w:tc>
          <w:tcPr>
            <w:tcW w:w="1135" w:type="dxa"/>
            <w:vMerge w:val="restart"/>
            <w:vAlign w:val="center"/>
          </w:tcPr>
          <w:p w:rsidR="00475650" w:rsidRDefault="00475650">
            <w:pPr>
              <w:snapToGrid w:val="0"/>
              <w:spacing w:line="211" w:lineRule="auto"/>
              <w:ind w:firstLineChars="50" w:firstLine="105"/>
              <w:jc w:val="center"/>
              <w:rPr>
                <w:szCs w:val="21"/>
              </w:rPr>
            </w:pPr>
            <w:r>
              <w:rPr>
                <w:rFonts w:hAnsi="宋体" w:hint="eastAsia"/>
                <w:szCs w:val="21"/>
              </w:rPr>
              <w:t>去除效率</w:t>
            </w:r>
          </w:p>
        </w:tc>
        <w:tc>
          <w:tcPr>
            <w:tcW w:w="707" w:type="dxa"/>
            <w:vMerge w:val="restart"/>
            <w:vAlign w:val="center"/>
          </w:tcPr>
          <w:p w:rsidR="00475650" w:rsidRDefault="00475650">
            <w:pPr>
              <w:snapToGrid w:val="0"/>
              <w:spacing w:line="211" w:lineRule="auto"/>
              <w:rPr>
                <w:szCs w:val="21"/>
              </w:rPr>
            </w:pPr>
            <w:r>
              <w:rPr>
                <w:rFonts w:hint="eastAsia"/>
                <w:szCs w:val="21"/>
              </w:rPr>
              <w:t>处理后污染物外排点</w:t>
            </w:r>
          </w:p>
        </w:tc>
        <w:tc>
          <w:tcPr>
            <w:tcW w:w="749" w:type="dxa"/>
            <w:vMerge w:val="restart"/>
            <w:vAlign w:val="center"/>
          </w:tcPr>
          <w:p w:rsidR="00475650" w:rsidRDefault="00475650">
            <w:pPr>
              <w:snapToGrid w:val="0"/>
              <w:spacing w:line="211" w:lineRule="auto"/>
              <w:ind w:firstLineChars="50" w:firstLine="105"/>
              <w:jc w:val="center"/>
              <w:rPr>
                <w:szCs w:val="21"/>
              </w:rPr>
            </w:pPr>
            <w:r>
              <w:rPr>
                <w:rFonts w:hint="eastAsia"/>
                <w:szCs w:val="21"/>
              </w:rPr>
              <w:t>气量</w:t>
            </w:r>
            <w:r>
              <w:rPr>
                <w:szCs w:val="21"/>
              </w:rPr>
              <w:t>m</w:t>
            </w:r>
            <w:r>
              <w:rPr>
                <w:szCs w:val="21"/>
                <w:vertAlign w:val="superscript"/>
              </w:rPr>
              <w:t>3</w:t>
            </w:r>
            <w:r>
              <w:rPr>
                <w:szCs w:val="21"/>
              </w:rPr>
              <w:t>/h</w:t>
            </w:r>
          </w:p>
        </w:tc>
        <w:tc>
          <w:tcPr>
            <w:tcW w:w="710" w:type="dxa"/>
            <w:vMerge w:val="restart"/>
          </w:tcPr>
          <w:p w:rsidR="00475650" w:rsidRDefault="00475650">
            <w:pPr>
              <w:snapToGrid w:val="0"/>
              <w:spacing w:line="211" w:lineRule="auto"/>
              <w:jc w:val="center"/>
              <w:rPr>
                <w:rFonts w:hAnsi="宋体"/>
                <w:szCs w:val="21"/>
              </w:rPr>
            </w:pPr>
            <w:r>
              <w:rPr>
                <w:rFonts w:hAnsi="宋体" w:hint="eastAsia"/>
                <w:szCs w:val="21"/>
              </w:rPr>
              <w:t>污染物名称</w:t>
            </w:r>
          </w:p>
        </w:tc>
        <w:tc>
          <w:tcPr>
            <w:tcW w:w="1274" w:type="dxa"/>
            <w:vMerge w:val="restart"/>
          </w:tcPr>
          <w:p w:rsidR="00475650" w:rsidRDefault="00475650">
            <w:pPr>
              <w:snapToGrid w:val="0"/>
              <w:spacing w:line="211" w:lineRule="auto"/>
              <w:jc w:val="center"/>
              <w:rPr>
                <w:rFonts w:hAnsi="宋体"/>
                <w:szCs w:val="21"/>
              </w:rPr>
            </w:pPr>
            <w:r>
              <w:rPr>
                <w:rFonts w:hAnsi="宋体" w:hint="eastAsia"/>
                <w:szCs w:val="21"/>
              </w:rPr>
              <w:t>排放量</w:t>
            </w:r>
          </w:p>
          <w:p w:rsidR="00475650" w:rsidRDefault="00475650">
            <w:pPr>
              <w:snapToGrid w:val="0"/>
              <w:spacing w:line="211" w:lineRule="auto"/>
              <w:jc w:val="center"/>
              <w:rPr>
                <w:rFonts w:hAnsi="宋体"/>
                <w:szCs w:val="21"/>
              </w:rPr>
            </w:pPr>
            <w:r>
              <w:rPr>
                <w:rFonts w:hAnsi="宋体" w:hint="eastAsia"/>
                <w:szCs w:val="21"/>
              </w:rPr>
              <w:t>t/a( kg/h)</w:t>
            </w:r>
          </w:p>
        </w:tc>
        <w:tc>
          <w:tcPr>
            <w:tcW w:w="849" w:type="dxa"/>
            <w:vMerge w:val="restart"/>
          </w:tcPr>
          <w:p w:rsidR="00475650" w:rsidRDefault="00475650">
            <w:pPr>
              <w:snapToGrid w:val="0"/>
              <w:spacing w:line="211" w:lineRule="auto"/>
              <w:jc w:val="center"/>
              <w:rPr>
                <w:rFonts w:hAnsi="宋体"/>
                <w:szCs w:val="21"/>
              </w:rPr>
            </w:pPr>
            <w:r>
              <w:rPr>
                <w:rFonts w:hAnsi="宋体" w:hint="eastAsia"/>
                <w:szCs w:val="21"/>
              </w:rPr>
              <w:t>排放浓度（</w:t>
            </w:r>
            <w:r>
              <w:rPr>
                <w:rFonts w:hAnsi="宋体" w:hint="eastAsia"/>
                <w:szCs w:val="21"/>
              </w:rPr>
              <w:t>mg/m</w:t>
            </w:r>
            <w:r>
              <w:rPr>
                <w:rFonts w:hAnsi="宋体" w:hint="eastAsia"/>
                <w:szCs w:val="21"/>
                <w:vertAlign w:val="superscript"/>
              </w:rPr>
              <w:t>3</w:t>
            </w:r>
            <w:r>
              <w:rPr>
                <w:rFonts w:hAnsi="宋体" w:hint="eastAsia"/>
                <w:szCs w:val="21"/>
              </w:rPr>
              <w:t>）</w:t>
            </w:r>
          </w:p>
        </w:tc>
        <w:tc>
          <w:tcPr>
            <w:tcW w:w="1564" w:type="dxa"/>
            <w:gridSpan w:val="3"/>
            <w:vAlign w:val="center"/>
          </w:tcPr>
          <w:p w:rsidR="00475650" w:rsidRDefault="00475650">
            <w:pPr>
              <w:snapToGrid w:val="0"/>
              <w:spacing w:line="211" w:lineRule="auto"/>
              <w:jc w:val="center"/>
              <w:rPr>
                <w:szCs w:val="21"/>
              </w:rPr>
            </w:pPr>
            <w:r>
              <w:rPr>
                <w:rFonts w:hAnsi="宋体"/>
                <w:szCs w:val="21"/>
              </w:rPr>
              <w:t>排气筒参数</w:t>
            </w:r>
          </w:p>
        </w:tc>
      </w:tr>
      <w:tr w:rsidR="00475650">
        <w:trPr>
          <w:trHeight w:val="210"/>
          <w:jc w:val="center"/>
        </w:trPr>
        <w:tc>
          <w:tcPr>
            <w:tcW w:w="1532" w:type="dxa"/>
            <w:gridSpan w:val="2"/>
            <w:vMerge/>
            <w:vAlign w:val="center"/>
          </w:tcPr>
          <w:p w:rsidR="00475650" w:rsidRDefault="00475650">
            <w:pPr>
              <w:snapToGrid w:val="0"/>
              <w:spacing w:line="211" w:lineRule="auto"/>
              <w:jc w:val="center"/>
              <w:rPr>
                <w:szCs w:val="21"/>
              </w:rPr>
            </w:pPr>
          </w:p>
        </w:tc>
        <w:tc>
          <w:tcPr>
            <w:tcW w:w="1134" w:type="dxa"/>
            <w:vMerge/>
            <w:vAlign w:val="center"/>
          </w:tcPr>
          <w:p w:rsidR="00475650" w:rsidRDefault="00475650">
            <w:pPr>
              <w:snapToGrid w:val="0"/>
              <w:spacing w:line="211" w:lineRule="auto"/>
              <w:jc w:val="center"/>
              <w:rPr>
                <w:szCs w:val="21"/>
              </w:rPr>
            </w:pPr>
          </w:p>
        </w:tc>
        <w:tc>
          <w:tcPr>
            <w:tcW w:w="860" w:type="dxa"/>
            <w:vMerge/>
            <w:vAlign w:val="center"/>
          </w:tcPr>
          <w:p w:rsidR="00475650" w:rsidRDefault="00475650">
            <w:pPr>
              <w:snapToGrid w:val="0"/>
              <w:spacing w:line="211" w:lineRule="auto"/>
              <w:jc w:val="center"/>
              <w:rPr>
                <w:szCs w:val="21"/>
              </w:rPr>
            </w:pPr>
          </w:p>
        </w:tc>
        <w:tc>
          <w:tcPr>
            <w:tcW w:w="701" w:type="dxa"/>
            <w:vMerge/>
            <w:vAlign w:val="center"/>
          </w:tcPr>
          <w:p w:rsidR="00475650" w:rsidRDefault="00475650">
            <w:pPr>
              <w:snapToGrid w:val="0"/>
              <w:spacing w:line="211" w:lineRule="auto"/>
              <w:jc w:val="center"/>
              <w:rPr>
                <w:szCs w:val="21"/>
              </w:rPr>
            </w:pPr>
          </w:p>
        </w:tc>
        <w:tc>
          <w:tcPr>
            <w:tcW w:w="1416" w:type="dxa"/>
            <w:vMerge/>
            <w:vAlign w:val="center"/>
          </w:tcPr>
          <w:p w:rsidR="00475650" w:rsidRDefault="00475650">
            <w:pPr>
              <w:snapToGrid w:val="0"/>
              <w:spacing w:line="211" w:lineRule="auto"/>
              <w:jc w:val="center"/>
              <w:rPr>
                <w:szCs w:val="21"/>
              </w:rPr>
            </w:pPr>
          </w:p>
        </w:tc>
        <w:tc>
          <w:tcPr>
            <w:tcW w:w="1561" w:type="dxa"/>
            <w:vMerge/>
            <w:vAlign w:val="center"/>
          </w:tcPr>
          <w:p w:rsidR="00475650" w:rsidRDefault="00475650">
            <w:pPr>
              <w:snapToGrid w:val="0"/>
              <w:spacing w:line="211" w:lineRule="auto"/>
              <w:jc w:val="center"/>
              <w:rPr>
                <w:szCs w:val="21"/>
              </w:rPr>
            </w:pPr>
          </w:p>
        </w:tc>
        <w:tc>
          <w:tcPr>
            <w:tcW w:w="1135" w:type="dxa"/>
            <w:vMerge/>
            <w:vAlign w:val="center"/>
          </w:tcPr>
          <w:p w:rsidR="00475650" w:rsidRDefault="00475650">
            <w:pPr>
              <w:snapToGrid w:val="0"/>
              <w:spacing w:line="211" w:lineRule="auto"/>
              <w:jc w:val="center"/>
              <w:rPr>
                <w:szCs w:val="21"/>
              </w:rPr>
            </w:pPr>
          </w:p>
        </w:tc>
        <w:tc>
          <w:tcPr>
            <w:tcW w:w="707" w:type="dxa"/>
            <w:vMerge/>
            <w:vAlign w:val="center"/>
          </w:tcPr>
          <w:p w:rsidR="00475650" w:rsidRDefault="00475650">
            <w:pPr>
              <w:snapToGrid w:val="0"/>
              <w:spacing w:line="211" w:lineRule="auto"/>
              <w:jc w:val="center"/>
              <w:rPr>
                <w:szCs w:val="21"/>
              </w:rPr>
            </w:pPr>
          </w:p>
        </w:tc>
        <w:tc>
          <w:tcPr>
            <w:tcW w:w="749" w:type="dxa"/>
            <w:vMerge/>
            <w:vAlign w:val="center"/>
          </w:tcPr>
          <w:p w:rsidR="00475650" w:rsidRDefault="00475650">
            <w:pPr>
              <w:snapToGrid w:val="0"/>
              <w:spacing w:line="211" w:lineRule="auto"/>
              <w:jc w:val="center"/>
              <w:rPr>
                <w:szCs w:val="21"/>
              </w:rPr>
            </w:pPr>
          </w:p>
        </w:tc>
        <w:tc>
          <w:tcPr>
            <w:tcW w:w="710" w:type="dxa"/>
            <w:vMerge/>
          </w:tcPr>
          <w:p w:rsidR="00475650" w:rsidRDefault="00475650">
            <w:pPr>
              <w:snapToGrid w:val="0"/>
              <w:spacing w:line="211" w:lineRule="auto"/>
              <w:jc w:val="center"/>
              <w:rPr>
                <w:szCs w:val="21"/>
              </w:rPr>
            </w:pPr>
          </w:p>
        </w:tc>
        <w:tc>
          <w:tcPr>
            <w:tcW w:w="1274" w:type="dxa"/>
            <w:vMerge/>
          </w:tcPr>
          <w:p w:rsidR="00475650" w:rsidRDefault="00475650">
            <w:pPr>
              <w:snapToGrid w:val="0"/>
              <w:spacing w:line="211" w:lineRule="auto"/>
              <w:jc w:val="center"/>
              <w:rPr>
                <w:szCs w:val="21"/>
              </w:rPr>
            </w:pPr>
          </w:p>
        </w:tc>
        <w:tc>
          <w:tcPr>
            <w:tcW w:w="849" w:type="dxa"/>
            <w:vMerge/>
          </w:tcPr>
          <w:p w:rsidR="00475650" w:rsidRDefault="00475650">
            <w:pPr>
              <w:snapToGrid w:val="0"/>
              <w:spacing w:line="211" w:lineRule="auto"/>
              <w:jc w:val="center"/>
              <w:rPr>
                <w:szCs w:val="21"/>
              </w:rPr>
            </w:pPr>
          </w:p>
        </w:tc>
        <w:tc>
          <w:tcPr>
            <w:tcW w:w="434" w:type="dxa"/>
            <w:vAlign w:val="center"/>
          </w:tcPr>
          <w:p w:rsidR="00475650" w:rsidRDefault="00475650">
            <w:pPr>
              <w:snapToGrid w:val="0"/>
              <w:spacing w:line="211" w:lineRule="auto"/>
              <w:jc w:val="center"/>
              <w:rPr>
                <w:szCs w:val="21"/>
              </w:rPr>
            </w:pPr>
            <w:r>
              <w:rPr>
                <w:rFonts w:hAnsi="宋体"/>
                <w:szCs w:val="21"/>
              </w:rPr>
              <w:t>高</w:t>
            </w:r>
            <w:r>
              <w:rPr>
                <w:szCs w:val="21"/>
              </w:rPr>
              <w:t>m</w:t>
            </w:r>
          </w:p>
        </w:tc>
        <w:tc>
          <w:tcPr>
            <w:tcW w:w="565" w:type="dxa"/>
            <w:vAlign w:val="center"/>
          </w:tcPr>
          <w:p w:rsidR="00475650" w:rsidRDefault="00475650">
            <w:pPr>
              <w:snapToGrid w:val="0"/>
              <w:spacing w:line="211" w:lineRule="auto"/>
              <w:jc w:val="center"/>
              <w:rPr>
                <w:szCs w:val="21"/>
              </w:rPr>
            </w:pPr>
            <w:r>
              <w:rPr>
                <w:rFonts w:hAnsi="宋体"/>
                <w:szCs w:val="21"/>
              </w:rPr>
              <w:t>口径</w:t>
            </w:r>
            <w:r>
              <w:rPr>
                <w:szCs w:val="21"/>
              </w:rPr>
              <w:t>m</w:t>
            </w:r>
          </w:p>
        </w:tc>
        <w:tc>
          <w:tcPr>
            <w:tcW w:w="565" w:type="dxa"/>
            <w:vAlign w:val="center"/>
          </w:tcPr>
          <w:p w:rsidR="00475650" w:rsidRDefault="00475650">
            <w:pPr>
              <w:snapToGrid w:val="0"/>
              <w:spacing w:line="211" w:lineRule="auto"/>
              <w:jc w:val="center"/>
              <w:rPr>
                <w:szCs w:val="21"/>
              </w:rPr>
            </w:pPr>
            <w:r>
              <w:rPr>
                <w:rFonts w:hAnsi="宋体"/>
                <w:szCs w:val="21"/>
              </w:rPr>
              <w:t>温度℃</w:t>
            </w:r>
          </w:p>
        </w:tc>
      </w:tr>
      <w:tr w:rsidR="00475650">
        <w:trPr>
          <w:trHeight w:val="210"/>
          <w:jc w:val="center"/>
        </w:trPr>
        <w:tc>
          <w:tcPr>
            <w:tcW w:w="435" w:type="dxa"/>
            <w:vMerge w:val="restart"/>
            <w:vAlign w:val="center"/>
          </w:tcPr>
          <w:p w:rsidR="00475650" w:rsidRDefault="00475650">
            <w:pPr>
              <w:snapToGrid w:val="0"/>
              <w:spacing w:line="216" w:lineRule="auto"/>
              <w:jc w:val="center"/>
              <w:rPr>
                <w:szCs w:val="21"/>
              </w:rPr>
            </w:pPr>
            <w:r>
              <w:rPr>
                <w:rFonts w:hint="eastAsia"/>
                <w:szCs w:val="21"/>
              </w:rPr>
              <w:t>有组织</w:t>
            </w:r>
          </w:p>
        </w:tc>
        <w:tc>
          <w:tcPr>
            <w:tcW w:w="1097" w:type="dxa"/>
            <w:vMerge w:val="restart"/>
            <w:vAlign w:val="center"/>
          </w:tcPr>
          <w:p w:rsidR="00475650" w:rsidRDefault="00475650">
            <w:pPr>
              <w:snapToGrid w:val="0"/>
              <w:spacing w:line="216" w:lineRule="auto"/>
              <w:jc w:val="center"/>
              <w:rPr>
                <w:szCs w:val="21"/>
              </w:rPr>
            </w:pPr>
            <w:r>
              <w:rPr>
                <w:rFonts w:hint="eastAsia"/>
                <w:szCs w:val="21"/>
              </w:rPr>
              <w:t>反应釜废气</w:t>
            </w:r>
          </w:p>
        </w:tc>
        <w:tc>
          <w:tcPr>
            <w:tcW w:w="1134" w:type="dxa"/>
            <w:vAlign w:val="center"/>
          </w:tcPr>
          <w:p w:rsidR="00475650" w:rsidRDefault="00475650">
            <w:pPr>
              <w:snapToGrid w:val="0"/>
              <w:spacing w:line="216" w:lineRule="auto"/>
              <w:jc w:val="center"/>
              <w:rPr>
                <w:szCs w:val="21"/>
              </w:rPr>
            </w:pPr>
            <w:r>
              <w:rPr>
                <w:rFonts w:hint="eastAsia"/>
                <w:szCs w:val="21"/>
              </w:rPr>
              <w:t>酰化反应</w:t>
            </w:r>
          </w:p>
        </w:tc>
        <w:tc>
          <w:tcPr>
            <w:tcW w:w="860" w:type="dxa"/>
            <w:vAlign w:val="center"/>
          </w:tcPr>
          <w:p w:rsidR="00475650" w:rsidRDefault="00475650">
            <w:pPr>
              <w:snapToGrid w:val="0"/>
              <w:spacing w:line="216" w:lineRule="auto"/>
              <w:jc w:val="center"/>
              <w:rPr>
                <w:szCs w:val="21"/>
              </w:rPr>
            </w:pPr>
            <w:r>
              <w:rPr>
                <w:rFonts w:hint="eastAsia"/>
                <w:szCs w:val="21"/>
              </w:rPr>
              <w:t>二氧化碳</w:t>
            </w:r>
          </w:p>
        </w:tc>
        <w:tc>
          <w:tcPr>
            <w:tcW w:w="701" w:type="dxa"/>
            <w:vAlign w:val="center"/>
          </w:tcPr>
          <w:p w:rsidR="00475650" w:rsidRDefault="00475650">
            <w:pPr>
              <w:snapToGrid w:val="0"/>
              <w:spacing w:line="216" w:lineRule="auto"/>
              <w:jc w:val="center"/>
              <w:rPr>
                <w:szCs w:val="21"/>
              </w:rPr>
            </w:pPr>
            <w:r>
              <w:rPr>
                <w:rFonts w:hint="eastAsia"/>
                <w:szCs w:val="21"/>
              </w:rPr>
              <w:t>197.65</w:t>
            </w:r>
          </w:p>
        </w:tc>
        <w:tc>
          <w:tcPr>
            <w:tcW w:w="1416" w:type="dxa"/>
            <w:vMerge w:val="restart"/>
            <w:vAlign w:val="center"/>
          </w:tcPr>
          <w:p w:rsidR="00475650" w:rsidRDefault="00475650">
            <w:pPr>
              <w:snapToGrid w:val="0"/>
              <w:spacing w:line="216" w:lineRule="auto"/>
              <w:jc w:val="center"/>
              <w:rPr>
                <w:szCs w:val="21"/>
              </w:rPr>
            </w:pPr>
            <w:r>
              <w:rPr>
                <w:rFonts w:hint="eastAsia"/>
                <w:szCs w:val="21"/>
              </w:rPr>
              <w:t>无组织</w:t>
            </w:r>
          </w:p>
        </w:tc>
        <w:tc>
          <w:tcPr>
            <w:tcW w:w="1561" w:type="dxa"/>
            <w:vAlign w:val="center"/>
          </w:tcPr>
          <w:p w:rsidR="00475650" w:rsidRDefault="00475650">
            <w:pPr>
              <w:snapToGrid w:val="0"/>
              <w:spacing w:line="216" w:lineRule="auto"/>
              <w:jc w:val="center"/>
              <w:rPr>
                <w:szCs w:val="21"/>
              </w:rPr>
            </w:pPr>
            <w:r>
              <w:rPr>
                <w:rFonts w:hint="eastAsia"/>
                <w:szCs w:val="21"/>
              </w:rPr>
              <w:t>负压吸收</w:t>
            </w:r>
            <w:r>
              <w:rPr>
                <w:rFonts w:hint="eastAsia"/>
                <w:szCs w:val="21"/>
              </w:rPr>
              <w:t>+</w:t>
            </w:r>
            <w:r>
              <w:rPr>
                <w:rFonts w:hint="eastAsia"/>
                <w:szCs w:val="21"/>
              </w:rPr>
              <w:t>高点外排</w:t>
            </w:r>
          </w:p>
        </w:tc>
        <w:tc>
          <w:tcPr>
            <w:tcW w:w="1135" w:type="dxa"/>
            <w:vAlign w:val="center"/>
          </w:tcPr>
          <w:p w:rsidR="00475650" w:rsidRDefault="00475650">
            <w:pPr>
              <w:snapToGrid w:val="0"/>
              <w:spacing w:line="216" w:lineRule="auto"/>
              <w:jc w:val="center"/>
              <w:rPr>
                <w:szCs w:val="21"/>
              </w:rPr>
            </w:pPr>
            <w:r>
              <w:rPr>
                <w:rFonts w:hint="eastAsia"/>
                <w:szCs w:val="21"/>
              </w:rPr>
              <w:t>/</w:t>
            </w:r>
          </w:p>
        </w:tc>
        <w:tc>
          <w:tcPr>
            <w:tcW w:w="707" w:type="dxa"/>
            <w:vMerge w:val="restart"/>
            <w:vAlign w:val="center"/>
          </w:tcPr>
          <w:p w:rsidR="00475650" w:rsidRDefault="00475650">
            <w:pPr>
              <w:snapToGrid w:val="0"/>
              <w:spacing w:line="216" w:lineRule="auto"/>
              <w:jc w:val="center"/>
              <w:rPr>
                <w:szCs w:val="21"/>
              </w:rPr>
            </w:pPr>
            <w:r>
              <w:rPr>
                <w:rFonts w:hint="eastAsia"/>
                <w:szCs w:val="21"/>
              </w:rPr>
              <w:t>排气筒</w:t>
            </w:r>
          </w:p>
        </w:tc>
        <w:tc>
          <w:tcPr>
            <w:tcW w:w="749" w:type="dxa"/>
            <w:vMerge w:val="restart"/>
            <w:vAlign w:val="center"/>
          </w:tcPr>
          <w:p w:rsidR="00475650" w:rsidRDefault="00475650">
            <w:pPr>
              <w:snapToGrid w:val="0"/>
              <w:spacing w:line="216" w:lineRule="auto"/>
              <w:jc w:val="center"/>
              <w:rPr>
                <w:szCs w:val="21"/>
              </w:rPr>
            </w:pPr>
            <w:r>
              <w:rPr>
                <w:rFonts w:hint="eastAsia"/>
                <w:szCs w:val="21"/>
              </w:rPr>
              <w:t>15000</w:t>
            </w:r>
          </w:p>
        </w:tc>
        <w:tc>
          <w:tcPr>
            <w:tcW w:w="710" w:type="dxa"/>
            <w:vMerge w:val="restart"/>
            <w:vAlign w:val="center"/>
          </w:tcPr>
          <w:p w:rsidR="00475650" w:rsidRDefault="00475650">
            <w:pPr>
              <w:snapToGrid w:val="0"/>
              <w:spacing w:line="216" w:lineRule="auto"/>
              <w:jc w:val="center"/>
              <w:rPr>
                <w:szCs w:val="21"/>
              </w:rPr>
            </w:pPr>
            <w:r>
              <w:rPr>
                <w:rFonts w:hint="eastAsia"/>
                <w:szCs w:val="21"/>
              </w:rPr>
              <w:t>氯化氢</w:t>
            </w:r>
          </w:p>
        </w:tc>
        <w:tc>
          <w:tcPr>
            <w:tcW w:w="1274" w:type="dxa"/>
            <w:vMerge w:val="restart"/>
            <w:vAlign w:val="center"/>
          </w:tcPr>
          <w:p w:rsidR="00475650" w:rsidRDefault="00475650">
            <w:pPr>
              <w:snapToGrid w:val="0"/>
              <w:spacing w:line="216" w:lineRule="auto"/>
              <w:jc w:val="center"/>
              <w:rPr>
                <w:szCs w:val="21"/>
              </w:rPr>
            </w:pPr>
            <w:r>
              <w:rPr>
                <w:rFonts w:hint="eastAsia"/>
                <w:szCs w:val="21"/>
              </w:rPr>
              <w:t>0.725</w:t>
            </w:r>
          </w:p>
          <w:p w:rsidR="00475650" w:rsidRDefault="00475650">
            <w:pPr>
              <w:snapToGrid w:val="0"/>
              <w:spacing w:line="216" w:lineRule="auto"/>
              <w:jc w:val="center"/>
              <w:rPr>
                <w:szCs w:val="21"/>
              </w:rPr>
            </w:pPr>
            <w:r>
              <w:rPr>
                <w:rFonts w:hint="eastAsia"/>
                <w:szCs w:val="21"/>
              </w:rPr>
              <w:t>（</w:t>
            </w:r>
            <w:r>
              <w:rPr>
                <w:rFonts w:hint="eastAsia"/>
                <w:szCs w:val="21"/>
              </w:rPr>
              <w:t>0.101</w:t>
            </w:r>
            <w:r>
              <w:rPr>
                <w:rFonts w:hint="eastAsia"/>
                <w:szCs w:val="21"/>
              </w:rPr>
              <w:t>）</w:t>
            </w:r>
          </w:p>
        </w:tc>
        <w:tc>
          <w:tcPr>
            <w:tcW w:w="849" w:type="dxa"/>
            <w:vMerge w:val="restart"/>
            <w:vAlign w:val="center"/>
          </w:tcPr>
          <w:p w:rsidR="00475650" w:rsidRDefault="00475650">
            <w:pPr>
              <w:snapToGrid w:val="0"/>
              <w:spacing w:line="216" w:lineRule="auto"/>
              <w:jc w:val="center"/>
              <w:rPr>
                <w:szCs w:val="21"/>
              </w:rPr>
            </w:pPr>
            <w:r>
              <w:rPr>
                <w:rFonts w:hint="eastAsia"/>
                <w:szCs w:val="21"/>
              </w:rPr>
              <w:t>6.733</w:t>
            </w:r>
          </w:p>
        </w:tc>
        <w:tc>
          <w:tcPr>
            <w:tcW w:w="434" w:type="dxa"/>
            <w:vMerge w:val="restart"/>
            <w:vAlign w:val="center"/>
          </w:tcPr>
          <w:p w:rsidR="00475650" w:rsidRDefault="00475650">
            <w:pPr>
              <w:snapToGrid w:val="0"/>
              <w:spacing w:line="216" w:lineRule="auto"/>
              <w:jc w:val="center"/>
              <w:rPr>
                <w:rFonts w:hAnsi="宋体"/>
                <w:szCs w:val="21"/>
              </w:rPr>
            </w:pPr>
            <w:r>
              <w:rPr>
                <w:rFonts w:hAnsi="宋体" w:hint="eastAsia"/>
                <w:szCs w:val="21"/>
              </w:rPr>
              <w:t>15</w:t>
            </w:r>
          </w:p>
        </w:tc>
        <w:tc>
          <w:tcPr>
            <w:tcW w:w="565" w:type="dxa"/>
            <w:vMerge w:val="restart"/>
            <w:vAlign w:val="center"/>
          </w:tcPr>
          <w:p w:rsidR="00475650" w:rsidRDefault="00475650">
            <w:pPr>
              <w:snapToGrid w:val="0"/>
              <w:spacing w:line="216" w:lineRule="auto"/>
              <w:jc w:val="center"/>
              <w:rPr>
                <w:rFonts w:hAnsi="宋体"/>
                <w:szCs w:val="21"/>
              </w:rPr>
            </w:pPr>
            <w:r>
              <w:rPr>
                <w:rFonts w:hAnsi="宋体" w:hint="eastAsia"/>
                <w:szCs w:val="21"/>
              </w:rPr>
              <w:t>0.6</w:t>
            </w:r>
          </w:p>
        </w:tc>
        <w:tc>
          <w:tcPr>
            <w:tcW w:w="565" w:type="dxa"/>
            <w:vMerge w:val="restart"/>
            <w:vAlign w:val="center"/>
          </w:tcPr>
          <w:p w:rsidR="00475650" w:rsidRDefault="00475650">
            <w:pPr>
              <w:snapToGrid w:val="0"/>
              <w:spacing w:line="216" w:lineRule="auto"/>
              <w:jc w:val="center"/>
              <w:rPr>
                <w:rFonts w:hAnsi="宋体"/>
                <w:szCs w:val="21"/>
              </w:rPr>
            </w:pPr>
            <w:r>
              <w:rPr>
                <w:rFonts w:hAnsi="宋体" w:hint="eastAsia"/>
                <w:szCs w:val="21"/>
              </w:rPr>
              <w:t>25</w:t>
            </w:r>
          </w:p>
        </w:tc>
      </w:tr>
      <w:tr w:rsidR="00475650">
        <w:trPr>
          <w:trHeight w:val="210"/>
          <w:jc w:val="center"/>
        </w:trPr>
        <w:tc>
          <w:tcPr>
            <w:tcW w:w="435" w:type="dxa"/>
            <w:vMerge/>
            <w:vAlign w:val="center"/>
          </w:tcPr>
          <w:p w:rsidR="00475650" w:rsidRDefault="00475650">
            <w:pPr>
              <w:snapToGrid w:val="0"/>
              <w:spacing w:line="216" w:lineRule="auto"/>
              <w:jc w:val="center"/>
              <w:rPr>
                <w:szCs w:val="21"/>
              </w:rPr>
            </w:pPr>
          </w:p>
        </w:tc>
        <w:tc>
          <w:tcPr>
            <w:tcW w:w="1097" w:type="dxa"/>
            <w:vMerge/>
            <w:vAlign w:val="center"/>
          </w:tcPr>
          <w:p w:rsidR="00475650" w:rsidRDefault="00475650">
            <w:pPr>
              <w:snapToGrid w:val="0"/>
              <w:spacing w:line="216" w:lineRule="auto"/>
              <w:jc w:val="center"/>
              <w:rPr>
                <w:szCs w:val="21"/>
              </w:rPr>
            </w:pPr>
          </w:p>
        </w:tc>
        <w:tc>
          <w:tcPr>
            <w:tcW w:w="1134" w:type="dxa"/>
            <w:vMerge w:val="restart"/>
            <w:vAlign w:val="center"/>
          </w:tcPr>
          <w:p w:rsidR="00475650" w:rsidRDefault="00475650">
            <w:pPr>
              <w:snapToGrid w:val="0"/>
              <w:spacing w:line="216" w:lineRule="auto"/>
              <w:jc w:val="center"/>
              <w:rPr>
                <w:szCs w:val="21"/>
              </w:rPr>
            </w:pPr>
            <w:r>
              <w:rPr>
                <w:rFonts w:hint="eastAsia"/>
                <w:szCs w:val="21"/>
              </w:rPr>
              <w:t>重氮反应</w:t>
            </w:r>
          </w:p>
        </w:tc>
        <w:tc>
          <w:tcPr>
            <w:tcW w:w="860" w:type="dxa"/>
            <w:vAlign w:val="center"/>
          </w:tcPr>
          <w:p w:rsidR="00475650" w:rsidRDefault="00475650">
            <w:pPr>
              <w:snapToGrid w:val="0"/>
              <w:spacing w:line="216" w:lineRule="auto"/>
              <w:jc w:val="center"/>
              <w:rPr>
                <w:szCs w:val="21"/>
              </w:rPr>
            </w:pPr>
            <w:r>
              <w:rPr>
                <w:rFonts w:hint="eastAsia"/>
                <w:szCs w:val="21"/>
              </w:rPr>
              <w:t>氯化氢</w:t>
            </w:r>
          </w:p>
        </w:tc>
        <w:tc>
          <w:tcPr>
            <w:tcW w:w="701" w:type="dxa"/>
            <w:vAlign w:val="center"/>
          </w:tcPr>
          <w:p w:rsidR="00475650" w:rsidRDefault="00475650">
            <w:pPr>
              <w:snapToGrid w:val="0"/>
              <w:spacing w:line="216" w:lineRule="auto"/>
              <w:jc w:val="center"/>
              <w:rPr>
                <w:szCs w:val="21"/>
              </w:rPr>
            </w:pPr>
            <w:r>
              <w:rPr>
                <w:rFonts w:hint="eastAsia"/>
                <w:szCs w:val="21"/>
              </w:rPr>
              <w:t>4.82</w:t>
            </w:r>
          </w:p>
        </w:tc>
        <w:tc>
          <w:tcPr>
            <w:tcW w:w="1416" w:type="dxa"/>
            <w:vMerge/>
            <w:vAlign w:val="center"/>
          </w:tcPr>
          <w:p w:rsidR="00475650" w:rsidRDefault="00475650">
            <w:pPr>
              <w:snapToGrid w:val="0"/>
              <w:spacing w:line="216" w:lineRule="auto"/>
              <w:jc w:val="center"/>
              <w:rPr>
                <w:szCs w:val="21"/>
              </w:rPr>
            </w:pPr>
          </w:p>
        </w:tc>
        <w:tc>
          <w:tcPr>
            <w:tcW w:w="1561" w:type="dxa"/>
            <w:vMerge w:val="restart"/>
            <w:vAlign w:val="center"/>
          </w:tcPr>
          <w:p w:rsidR="00475650" w:rsidRDefault="00475650">
            <w:pPr>
              <w:snapToGrid w:val="0"/>
              <w:spacing w:line="216" w:lineRule="auto"/>
              <w:jc w:val="center"/>
              <w:rPr>
                <w:szCs w:val="21"/>
              </w:rPr>
            </w:pPr>
            <w:r>
              <w:rPr>
                <w:rFonts w:hint="eastAsia"/>
                <w:szCs w:val="21"/>
              </w:rPr>
              <w:t>负压收集</w:t>
            </w:r>
            <w:r>
              <w:rPr>
                <w:rFonts w:hint="eastAsia"/>
                <w:szCs w:val="21"/>
              </w:rPr>
              <w:t>+</w:t>
            </w:r>
            <w:r>
              <w:rPr>
                <w:rFonts w:hint="eastAsia"/>
                <w:szCs w:val="21"/>
              </w:rPr>
              <w:t>碱液喷淋吸收</w:t>
            </w:r>
            <w:r>
              <w:rPr>
                <w:rFonts w:hint="eastAsia"/>
                <w:szCs w:val="21"/>
              </w:rPr>
              <w:t>+</w:t>
            </w:r>
            <w:r>
              <w:rPr>
                <w:rFonts w:hint="eastAsia"/>
                <w:szCs w:val="21"/>
              </w:rPr>
              <w:t>高点外排</w:t>
            </w:r>
          </w:p>
        </w:tc>
        <w:tc>
          <w:tcPr>
            <w:tcW w:w="1135" w:type="dxa"/>
            <w:vAlign w:val="center"/>
          </w:tcPr>
          <w:p w:rsidR="00475650" w:rsidRDefault="00475650">
            <w:pPr>
              <w:snapToGrid w:val="0"/>
              <w:spacing w:line="216" w:lineRule="auto"/>
              <w:jc w:val="center"/>
              <w:rPr>
                <w:szCs w:val="21"/>
              </w:rPr>
            </w:pPr>
            <w:r>
              <w:rPr>
                <w:rFonts w:hint="eastAsia"/>
                <w:szCs w:val="21"/>
              </w:rPr>
              <w:t>85.5%</w:t>
            </w:r>
          </w:p>
        </w:tc>
        <w:tc>
          <w:tcPr>
            <w:tcW w:w="707" w:type="dxa"/>
            <w:vMerge/>
            <w:vAlign w:val="center"/>
          </w:tcPr>
          <w:p w:rsidR="00475650" w:rsidRDefault="00475650">
            <w:pPr>
              <w:snapToGrid w:val="0"/>
              <w:spacing w:line="216" w:lineRule="auto"/>
              <w:jc w:val="center"/>
              <w:rPr>
                <w:szCs w:val="21"/>
              </w:rPr>
            </w:pPr>
          </w:p>
        </w:tc>
        <w:tc>
          <w:tcPr>
            <w:tcW w:w="749" w:type="dxa"/>
            <w:vMerge/>
            <w:vAlign w:val="center"/>
          </w:tcPr>
          <w:p w:rsidR="00475650" w:rsidRDefault="00475650">
            <w:pPr>
              <w:snapToGrid w:val="0"/>
              <w:spacing w:line="216" w:lineRule="auto"/>
              <w:jc w:val="center"/>
              <w:rPr>
                <w:szCs w:val="21"/>
              </w:rPr>
            </w:pPr>
          </w:p>
        </w:tc>
        <w:tc>
          <w:tcPr>
            <w:tcW w:w="710" w:type="dxa"/>
            <w:vMerge/>
            <w:vAlign w:val="center"/>
          </w:tcPr>
          <w:p w:rsidR="00475650" w:rsidRDefault="00475650">
            <w:pPr>
              <w:snapToGrid w:val="0"/>
              <w:spacing w:line="216" w:lineRule="auto"/>
              <w:jc w:val="center"/>
              <w:rPr>
                <w:szCs w:val="21"/>
              </w:rPr>
            </w:pPr>
          </w:p>
        </w:tc>
        <w:tc>
          <w:tcPr>
            <w:tcW w:w="1274" w:type="dxa"/>
            <w:vMerge/>
            <w:vAlign w:val="center"/>
          </w:tcPr>
          <w:p w:rsidR="00475650" w:rsidRDefault="00475650">
            <w:pPr>
              <w:snapToGrid w:val="0"/>
              <w:spacing w:line="216" w:lineRule="auto"/>
              <w:jc w:val="center"/>
              <w:rPr>
                <w:szCs w:val="21"/>
              </w:rPr>
            </w:pPr>
          </w:p>
        </w:tc>
        <w:tc>
          <w:tcPr>
            <w:tcW w:w="849" w:type="dxa"/>
            <w:vMerge/>
            <w:vAlign w:val="center"/>
          </w:tcPr>
          <w:p w:rsidR="00475650" w:rsidRDefault="00475650">
            <w:pPr>
              <w:snapToGrid w:val="0"/>
              <w:spacing w:line="216" w:lineRule="auto"/>
              <w:jc w:val="center"/>
              <w:rPr>
                <w:szCs w:val="21"/>
              </w:rPr>
            </w:pPr>
          </w:p>
        </w:tc>
        <w:tc>
          <w:tcPr>
            <w:tcW w:w="434" w:type="dxa"/>
            <w:vMerge/>
            <w:vAlign w:val="center"/>
          </w:tcPr>
          <w:p w:rsidR="00475650" w:rsidRDefault="00475650">
            <w:pPr>
              <w:snapToGrid w:val="0"/>
              <w:spacing w:line="216" w:lineRule="auto"/>
              <w:jc w:val="center"/>
              <w:rPr>
                <w:rFonts w:hAnsi="宋体"/>
                <w:szCs w:val="21"/>
              </w:rPr>
            </w:pPr>
          </w:p>
        </w:tc>
        <w:tc>
          <w:tcPr>
            <w:tcW w:w="565" w:type="dxa"/>
            <w:vMerge/>
            <w:vAlign w:val="center"/>
          </w:tcPr>
          <w:p w:rsidR="00475650" w:rsidRDefault="00475650">
            <w:pPr>
              <w:snapToGrid w:val="0"/>
              <w:spacing w:line="216" w:lineRule="auto"/>
              <w:jc w:val="center"/>
              <w:rPr>
                <w:rFonts w:hAnsi="宋体"/>
                <w:szCs w:val="21"/>
              </w:rPr>
            </w:pPr>
          </w:p>
        </w:tc>
        <w:tc>
          <w:tcPr>
            <w:tcW w:w="565" w:type="dxa"/>
            <w:vMerge/>
            <w:vAlign w:val="center"/>
          </w:tcPr>
          <w:p w:rsidR="00475650" w:rsidRDefault="00475650">
            <w:pPr>
              <w:snapToGrid w:val="0"/>
              <w:spacing w:line="216" w:lineRule="auto"/>
              <w:jc w:val="center"/>
              <w:rPr>
                <w:rFonts w:hAnsi="宋体"/>
                <w:szCs w:val="21"/>
              </w:rPr>
            </w:pPr>
          </w:p>
        </w:tc>
      </w:tr>
      <w:tr w:rsidR="00475650">
        <w:trPr>
          <w:trHeight w:val="210"/>
          <w:jc w:val="center"/>
        </w:trPr>
        <w:tc>
          <w:tcPr>
            <w:tcW w:w="435" w:type="dxa"/>
            <w:vMerge/>
            <w:vAlign w:val="center"/>
          </w:tcPr>
          <w:p w:rsidR="00475650" w:rsidRDefault="00475650">
            <w:pPr>
              <w:snapToGrid w:val="0"/>
              <w:spacing w:line="216" w:lineRule="auto"/>
              <w:jc w:val="center"/>
              <w:rPr>
                <w:szCs w:val="21"/>
              </w:rPr>
            </w:pPr>
          </w:p>
        </w:tc>
        <w:tc>
          <w:tcPr>
            <w:tcW w:w="1097" w:type="dxa"/>
            <w:vMerge/>
            <w:vAlign w:val="center"/>
          </w:tcPr>
          <w:p w:rsidR="00475650" w:rsidRDefault="00475650">
            <w:pPr>
              <w:snapToGrid w:val="0"/>
              <w:spacing w:line="216" w:lineRule="auto"/>
              <w:jc w:val="center"/>
              <w:rPr>
                <w:szCs w:val="21"/>
              </w:rPr>
            </w:pPr>
          </w:p>
        </w:tc>
        <w:tc>
          <w:tcPr>
            <w:tcW w:w="1134" w:type="dxa"/>
            <w:vMerge/>
            <w:vAlign w:val="center"/>
          </w:tcPr>
          <w:p w:rsidR="00475650" w:rsidRDefault="00475650">
            <w:pPr>
              <w:snapToGrid w:val="0"/>
              <w:spacing w:line="216" w:lineRule="auto"/>
              <w:jc w:val="center"/>
              <w:rPr>
                <w:szCs w:val="21"/>
              </w:rPr>
            </w:pPr>
          </w:p>
        </w:tc>
        <w:tc>
          <w:tcPr>
            <w:tcW w:w="860" w:type="dxa"/>
            <w:vAlign w:val="center"/>
          </w:tcPr>
          <w:p w:rsidR="00475650" w:rsidRDefault="00475650">
            <w:pPr>
              <w:snapToGrid w:val="0"/>
              <w:spacing w:line="216" w:lineRule="auto"/>
              <w:jc w:val="center"/>
              <w:rPr>
                <w:szCs w:val="21"/>
              </w:rPr>
            </w:pPr>
            <w:r>
              <w:rPr>
                <w:rFonts w:hint="eastAsia"/>
                <w:szCs w:val="21"/>
              </w:rPr>
              <w:t>二氧化碳</w:t>
            </w:r>
          </w:p>
        </w:tc>
        <w:tc>
          <w:tcPr>
            <w:tcW w:w="701" w:type="dxa"/>
            <w:vAlign w:val="center"/>
          </w:tcPr>
          <w:p w:rsidR="00475650" w:rsidRDefault="00475650">
            <w:pPr>
              <w:snapToGrid w:val="0"/>
              <w:spacing w:line="216" w:lineRule="auto"/>
              <w:jc w:val="center"/>
              <w:rPr>
                <w:szCs w:val="21"/>
              </w:rPr>
            </w:pPr>
            <w:r>
              <w:rPr>
                <w:rFonts w:hint="eastAsia"/>
                <w:szCs w:val="21"/>
              </w:rPr>
              <w:t>17.03</w:t>
            </w:r>
          </w:p>
        </w:tc>
        <w:tc>
          <w:tcPr>
            <w:tcW w:w="1416" w:type="dxa"/>
            <w:vMerge/>
            <w:vAlign w:val="center"/>
          </w:tcPr>
          <w:p w:rsidR="00475650" w:rsidRDefault="00475650">
            <w:pPr>
              <w:snapToGrid w:val="0"/>
              <w:spacing w:line="216" w:lineRule="auto"/>
              <w:jc w:val="center"/>
              <w:rPr>
                <w:szCs w:val="21"/>
              </w:rPr>
            </w:pPr>
          </w:p>
        </w:tc>
        <w:tc>
          <w:tcPr>
            <w:tcW w:w="1561" w:type="dxa"/>
            <w:vMerge/>
            <w:vAlign w:val="center"/>
          </w:tcPr>
          <w:p w:rsidR="00475650" w:rsidRDefault="00475650">
            <w:pPr>
              <w:snapToGrid w:val="0"/>
              <w:spacing w:line="216" w:lineRule="auto"/>
              <w:jc w:val="center"/>
              <w:rPr>
                <w:szCs w:val="21"/>
              </w:rPr>
            </w:pPr>
          </w:p>
        </w:tc>
        <w:tc>
          <w:tcPr>
            <w:tcW w:w="1135" w:type="dxa"/>
            <w:vAlign w:val="center"/>
          </w:tcPr>
          <w:p w:rsidR="00475650" w:rsidRDefault="00475650">
            <w:pPr>
              <w:snapToGrid w:val="0"/>
              <w:spacing w:line="216" w:lineRule="auto"/>
              <w:jc w:val="center"/>
              <w:rPr>
                <w:szCs w:val="21"/>
              </w:rPr>
            </w:pPr>
            <w:r>
              <w:rPr>
                <w:rFonts w:hint="eastAsia"/>
                <w:szCs w:val="21"/>
              </w:rPr>
              <w:t>/</w:t>
            </w:r>
          </w:p>
        </w:tc>
        <w:tc>
          <w:tcPr>
            <w:tcW w:w="707" w:type="dxa"/>
            <w:vMerge/>
            <w:vAlign w:val="center"/>
          </w:tcPr>
          <w:p w:rsidR="00475650" w:rsidRDefault="00475650">
            <w:pPr>
              <w:snapToGrid w:val="0"/>
              <w:spacing w:line="216" w:lineRule="auto"/>
              <w:jc w:val="center"/>
              <w:rPr>
                <w:szCs w:val="21"/>
              </w:rPr>
            </w:pPr>
          </w:p>
        </w:tc>
        <w:tc>
          <w:tcPr>
            <w:tcW w:w="749" w:type="dxa"/>
            <w:vMerge/>
            <w:vAlign w:val="center"/>
          </w:tcPr>
          <w:p w:rsidR="00475650" w:rsidRDefault="00475650">
            <w:pPr>
              <w:snapToGrid w:val="0"/>
              <w:spacing w:line="216" w:lineRule="auto"/>
              <w:jc w:val="center"/>
              <w:rPr>
                <w:szCs w:val="21"/>
              </w:rPr>
            </w:pPr>
          </w:p>
        </w:tc>
        <w:tc>
          <w:tcPr>
            <w:tcW w:w="710" w:type="dxa"/>
            <w:vMerge/>
            <w:vAlign w:val="center"/>
          </w:tcPr>
          <w:p w:rsidR="00475650" w:rsidRDefault="00475650">
            <w:pPr>
              <w:snapToGrid w:val="0"/>
              <w:spacing w:line="216" w:lineRule="auto"/>
              <w:jc w:val="center"/>
              <w:rPr>
                <w:szCs w:val="21"/>
              </w:rPr>
            </w:pPr>
          </w:p>
        </w:tc>
        <w:tc>
          <w:tcPr>
            <w:tcW w:w="1274" w:type="dxa"/>
            <w:vMerge/>
            <w:vAlign w:val="center"/>
          </w:tcPr>
          <w:p w:rsidR="00475650" w:rsidRDefault="00475650">
            <w:pPr>
              <w:snapToGrid w:val="0"/>
              <w:spacing w:line="216" w:lineRule="auto"/>
              <w:jc w:val="center"/>
              <w:rPr>
                <w:szCs w:val="21"/>
              </w:rPr>
            </w:pPr>
          </w:p>
        </w:tc>
        <w:tc>
          <w:tcPr>
            <w:tcW w:w="849" w:type="dxa"/>
            <w:vMerge/>
            <w:vAlign w:val="center"/>
          </w:tcPr>
          <w:p w:rsidR="00475650" w:rsidRDefault="00475650">
            <w:pPr>
              <w:snapToGrid w:val="0"/>
              <w:spacing w:line="216" w:lineRule="auto"/>
              <w:jc w:val="center"/>
              <w:rPr>
                <w:szCs w:val="21"/>
              </w:rPr>
            </w:pPr>
          </w:p>
        </w:tc>
        <w:tc>
          <w:tcPr>
            <w:tcW w:w="434" w:type="dxa"/>
            <w:vMerge/>
            <w:vAlign w:val="center"/>
          </w:tcPr>
          <w:p w:rsidR="00475650" w:rsidRDefault="00475650">
            <w:pPr>
              <w:snapToGrid w:val="0"/>
              <w:spacing w:line="216" w:lineRule="auto"/>
              <w:jc w:val="center"/>
              <w:rPr>
                <w:rFonts w:hAnsi="宋体"/>
                <w:szCs w:val="21"/>
              </w:rPr>
            </w:pPr>
          </w:p>
        </w:tc>
        <w:tc>
          <w:tcPr>
            <w:tcW w:w="565" w:type="dxa"/>
            <w:vMerge/>
            <w:vAlign w:val="center"/>
          </w:tcPr>
          <w:p w:rsidR="00475650" w:rsidRDefault="00475650">
            <w:pPr>
              <w:snapToGrid w:val="0"/>
              <w:spacing w:line="216" w:lineRule="auto"/>
              <w:jc w:val="center"/>
              <w:rPr>
                <w:rFonts w:hAnsi="宋体"/>
                <w:szCs w:val="21"/>
              </w:rPr>
            </w:pPr>
          </w:p>
        </w:tc>
        <w:tc>
          <w:tcPr>
            <w:tcW w:w="565" w:type="dxa"/>
            <w:vMerge/>
            <w:vAlign w:val="center"/>
          </w:tcPr>
          <w:p w:rsidR="00475650" w:rsidRDefault="00475650">
            <w:pPr>
              <w:snapToGrid w:val="0"/>
              <w:spacing w:line="216" w:lineRule="auto"/>
              <w:jc w:val="center"/>
              <w:rPr>
                <w:rFonts w:hAnsi="宋体"/>
                <w:szCs w:val="21"/>
              </w:rPr>
            </w:pPr>
          </w:p>
        </w:tc>
      </w:tr>
      <w:tr w:rsidR="00475650">
        <w:trPr>
          <w:trHeight w:val="210"/>
          <w:jc w:val="center"/>
        </w:trPr>
        <w:tc>
          <w:tcPr>
            <w:tcW w:w="435" w:type="dxa"/>
            <w:vMerge/>
            <w:vAlign w:val="center"/>
          </w:tcPr>
          <w:p w:rsidR="00475650" w:rsidRDefault="00475650">
            <w:pPr>
              <w:snapToGrid w:val="0"/>
              <w:spacing w:line="216" w:lineRule="auto"/>
              <w:jc w:val="center"/>
              <w:rPr>
                <w:szCs w:val="21"/>
              </w:rPr>
            </w:pPr>
          </w:p>
        </w:tc>
        <w:tc>
          <w:tcPr>
            <w:tcW w:w="1097" w:type="dxa"/>
            <w:vMerge/>
            <w:vAlign w:val="center"/>
          </w:tcPr>
          <w:p w:rsidR="00475650" w:rsidRDefault="00475650">
            <w:pPr>
              <w:snapToGrid w:val="0"/>
              <w:spacing w:line="216" w:lineRule="auto"/>
              <w:jc w:val="center"/>
              <w:rPr>
                <w:szCs w:val="21"/>
              </w:rPr>
            </w:pPr>
          </w:p>
        </w:tc>
        <w:tc>
          <w:tcPr>
            <w:tcW w:w="1134" w:type="dxa"/>
            <w:vMerge/>
            <w:vAlign w:val="center"/>
          </w:tcPr>
          <w:p w:rsidR="00475650" w:rsidRDefault="00475650">
            <w:pPr>
              <w:snapToGrid w:val="0"/>
              <w:spacing w:line="216" w:lineRule="auto"/>
              <w:jc w:val="center"/>
              <w:rPr>
                <w:szCs w:val="21"/>
              </w:rPr>
            </w:pPr>
          </w:p>
        </w:tc>
        <w:tc>
          <w:tcPr>
            <w:tcW w:w="860" w:type="dxa"/>
            <w:vAlign w:val="center"/>
          </w:tcPr>
          <w:p w:rsidR="00475650" w:rsidRDefault="00475650">
            <w:pPr>
              <w:snapToGrid w:val="0"/>
              <w:spacing w:line="216" w:lineRule="auto"/>
              <w:jc w:val="center"/>
              <w:rPr>
                <w:szCs w:val="21"/>
              </w:rPr>
            </w:pPr>
            <w:r>
              <w:rPr>
                <w:rFonts w:hint="eastAsia"/>
                <w:szCs w:val="21"/>
              </w:rPr>
              <w:t>氨气</w:t>
            </w:r>
          </w:p>
        </w:tc>
        <w:tc>
          <w:tcPr>
            <w:tcW w:w="701" w:type="dxa"/>
            <w:vAlign w:val="center"/>
          </w:tcPr>
          <w:p w:rsidR="00475650" w:rsidRDefault="00475650">
            <w:pPr>
              <w:snapToGrid w:val="0"/>
              <w:spacing w:line="216" w:lineRule="auto"/>
              <w:jc w:val="center"/>
              <w:rPr>
                <w:szCs w:val="21"/>
              </w:rPr>
            </w:pPr>
            <w:r>
              <w:rPr>
                <w:rFonts w:hint="eastAsia"/>
                <w:szCs w:val="21"/>
              </w:rPr>
              <w:t>0.12</w:t>
            </w:r>
          </w:p>
        </w:tc>
        <w:tc>
          <w:tcPr>
            <w:tcW w:w="1416" w:type="dxa"/>
            <w:vMerge/>
            <w:vAlign w:val="center"/>
          </w:tcPr>
          <w:p w:rsidR="00475650" w:rsidRDefault="00475650">
            <w:pPr>
              <w:snapToGrid w:val="0"/>
              <w:spacing w:line="216" w:lineRule="auto"/>
              <w:jc w:val="center"/>
              <w:rPr>
                <w:szCs w:val="21"/>
              </w:rPr>
            </w:pPr>
          </w:p>
        </w:tc>
        <w:tc>
          <w:tcPr>
            <w:tcW w:w="1561" w:type="dxa"/>
            <w:vMerge/>
            <w:vAlign w:val="center"/>
          </w:tcPr>
          <w:p w:rsidR="00475650" w:rsidRDefault="00475650">
            <w:pPr>
              <w:snapToGrid w:val="0"/>
              <w:spacing w:line="216" w:lineRule="auto"/>
              <w:jc w:val="center"/>
              <w:rPr>
                <w:szCs w:val="21"/>
              </w:rPr>
            </w:pPr>
          </w:p>
        </w:tc>
        <w:tc>
          <w:tcPr>
            <w:tcW w:w="1135" w:type="dxa"/>
            <w:vAlign w:val="center"/>
          </w:tcPr>
          <w:p w:rsidR="00475650" w:rsidRDefault="00475650">
            <w:pPr>
              <w:snapToGrid w:val="0"/>
              <w:spacing w:line="216" w:lineRule="auto"/>
              <w:jc w:val="center"/>
              <w:rPr>
                <w:szCs w:val="21"/>
              </w:rPr>
            </w:pPr>
            <w:r>
              <w:rPr>
                <w:rFonts w:hint="eastAsia"/>
                <w:szCs w:val="21"/>
              </w:rPr>
              <w:t>/</w:t>
            </w:r>
          </w:p>
        </w:tc>
        <w:tc>
          <w:tcPr>
            <w:tcW w:w="707" w:type="dxa"/>
            <w:vMerge/>
            <w:vAlign w:val="center"/>
          </w:tcPr>
          <w:p w:rsidR="00475650" w:rsidRDefault="00475650">
            <w:pPr>
              <w:snapToGrid w:val="0"/>
              <w:spacing w:line="216" w:lineRule="auto"/>
              <w:jc w:val="center"/>
              <w:rPr>
                <w:szCs w:val="21"/>
              </w:rPr>
            </w:pPr>
          </w:p>
        </w:tc>
        <w:tc>
          <w:tcPr>
            <w:tcW w:w="749" w:type="dxa"/>
            <w:vMerge/>
            <w:vAlign w:val="center"/>
          </w:tcPr>
          <w:p w:rsidR="00475650" w:rsidRDefault="00475650">
            <w:pPr>
              <w:snapToGrid w:val="0"/>
              <w:spacing w:line="216" w:lineRule="auto"/>
              <w:jc w:val="center"/>
              <w:rPr>
                <w:szCs w:val="21"/>
              </w:rPr>
            </w:pPr>
          </w:p>
        </w:tc>
        <w:tc>
          <w:tcPr>
            <w:tcW w:w="710" w:type="dxa"/>
            <w:vMerge/>
            <w:vAlign w:val="center"/>
          </w:tcPr>
          <w:p w:rsidR="00475650" w:rsidRDefault="00475650">
            <w:pPr>
              <w:snapToGrid w:val="0"/>
              <w:spacing w:line="216" w:lineRule="auto"/>
              <w:jc w:val="center"/>
              <w:rPr>
                <w:szCs w:val="21"/>
              </w:rPr>
            </w:pPr>
          </w:p>
        </w:tc>
        <w:tc>
          <w:tcPr>
            <w:tcW w:w="1274" w:type="dxa"/>
            <w:vMerge/>
            <w:vAlign w:val="center"/>
          </w:tcPr>
          <w:p w:rsidR="00475650" w:rsidRDefault="00475650">
            <w:pPr>
              <w:snapToGrid w:val="0"/>
              <w:spacing w:line="216" w:lineRule="auto"/>
              <w:jc w:val="center"/>
              <w:rPr>
                <w:szCs w:val="21"/>
              </w:rPr>
            </w:pPr>
          </w:p>
        </w:tc>
        <w:tc>
          <w:tcPr>
            <w:tcW w:w="849" w:type="dxa"/>
            <w:vMerge/>
            <w:vAlign w:val="center"/>
          </w:tcPr>
          <w:p w:rsidR="00475650" w:rsidRDefault="00475650">
            <w:pPr>
              <w:snapToGrid w:val="0"/>
              <w:spacing w:line="216" w:lineRule="auto"/>
              <w:jc w:val="center"/>
              <w:rPr>
                <w:szCs w:val="21"/>
              </w:rPr>
            </w:pPr>
          </w:p>
        </w:tc>
        <w:tc>
          <w:tcPr>
            <w:tcW w:w="434" w:type="dxa"/>
            <w:vMerge/>
            <w:vAlign w:val="center"/>
          </w:tcPr>
          <w:p w:rsidR="00475650" w:rsidRDefault="00475650">
            <w:pPr>
              <w:snapToGrid w:val="0"/>
              <w:spacing w:line="216" w:lineRule="auto"/>
              <w:jc w:val="center"/>
              <w:rPr>
                <w:rFonts w:hAnsi="宋体"/>
                <w:szCs w:val="21"/>
              </w:rPr>
            </w:pPr>
          </w:p>
        </w:tc>
        <w:tc>
          <w:tcPr>
            <w:tcW w:w="565" w:type="dxa"/>
            <w:vMerge/>
            <w:vAlign w:val="center"/>
          </w:tcPr>
          <w:p w:rsidR="00475650" w:rsidRDefault="00475650">
            <w:pPr>
              <w:snapToGrid w:val="0"/>
              <w:spacing w:line="216" w:lineRule="auto"/>
              <w:jc w:val="center"/>
              <w:rPr>
                <w:rFonts w:hAnsi="宋体"/>
                <w:szCs w:val="21"/>
              </w:rPr>
            </w:pPr>
          </w:p>
        </w:tc>
        <w:tc>
          <w:tcPr>
            <w:tcW w:w="565" w:type="dxa"/>
            <w:vMerge/>
            <w:vAlign w:val="center"/>
          </w:tcPr>
          <w:p w:rsidR="00475650" w:rsidRDefault="00475650">
            <w:pPr>
              <w:snapToGrid w:val="0"/>
              <w:spacing w:line="216" w:lineRule="auto"/>
              <w:jc w:val="center"/>
              <w:rPr>
                <w:rFonts w:hAnsi="宋体"/>
                <w:szCs w:val="21"/>
              </w:rPr>
            </w:pPr>
          </w:p>
        </w:tc>
      </w:tr>
      <w:tr w:rsidR="00475650">
        <w:trPr>
          <w:trHeight w:val="210"/>
          <w:jc w:val="center"/>
        </w:trPr>
        <w:tc>
          <w:tcPr>
            <w:tcW w:w="435" w:type="dxa"/>
            <w:vMerge/>
            <w:vAlign w:val="center"/>
          </w:tcPr>
          <w:p w:rsidR="00475650" w:rsidRDefault="00475650">
            <w:pPr>
              <w:snapToGrid w:val="0"/>
              <w:spacing w:line="216" w:lineRule="auto"/>
              <w:jc w:val="center"/>
              <w:rPr>
                <w:szCs w:val="21"/>
              </w:rPr>
            </w:pPr>
          </w:p>
        </w:tc>
        <w:tc>
          <w:tcPr>
            <w:tcW w:w="1097" w:type="dxa"/>
            <w:vMerge/>
            <w:vAlign w:val="center"/>
          </w:tcPr>
          <w:p w:rsidR="00475650" w:rsidRDefault="00475650">
            <w:pPr>
              <w:snapToGrid w:val="0"/>
              <w:spacing w:line="216" w:lineRule="auto"/>
              <w:jc w:val="center"/>
              <w:rPr>
                <w:szCs w:val="21"/>
              </w:rPr>
            </w:pPr>
          </w:p>
        </w:tc>
        <w:tc>
          <w:tcPr>
            <w:tcW w:w="1134" w:type="dxa"/>
            <w:vMerge/>
            <w:vAlign w:val="center"/>
          </w:tcPr>
          <w:p w:rsidR="00475650" w:rsidRDefault="00475650">
            <w:pPr>
              <w:snapToGrid w:val="0"/>
              <w:spacing w:line="216" w:lineRule="auto"/>
              <w:jc w:val="center"/>
              <w:rPr>
                <w:szCs w:val="21"/>
              </w:rPr>
            </w:pPr>
          </w:p>
        </w:tc>
        <w:tc>
          <w:tcPr>
            <w:tcW w:w="860" w:type="dxa"/>
            <w:vAlign w:val="center"/>
          </w:tcPr>
          <w:p w:rsidR="00475650" w:rsidRDefault="00475650">
            <w:pPr>
              <w:snapToGrid w:val="0"/>
              <w:spacing w:line="216" w:lineRule="auto"/>
              <w:jc w:val="center"/>
              <w:rPr>
                <w:szCs w:val="21"/>
              </w:rPr>
            </w:pPr>
            <w:r>
              <w:rPr>
                <w:rFonts w:hint="eastAsia"/>
                <w:szCs w:val="21"/>
              </w:rPr>
              <w:t>氮气</w:t>
            </w:r>
          </w:p>
        </w:tc>
        <w:tc>
          <w:tcPr>
            <w:tcW w:w="701" w:type="dxa"/>
            <w:vAlign w:val="center"/>
          </w:tcPr>
          <w:p w:rsidR="00475650" w:rsidRDefault="00475650">
            <w:pPr>
              <w:snapToGrid w:val="0"/>
              <w:spacing w:line="216" w:lineRule="auto"/>
              <w:jc w:val="center"/>
              <w:rPr>
                <w:szCs w:val="21"/>
              </w:rPr>
            </w:pPr>
            <w:r>
              <w:rPr>
                <w:rFonts w:hint="eastAsia"/>
                <w:szCs w:val="21"/>
              </w:rPr>
              <w:t>20.65</w:t>
            </w:r>
          </w:p>
        </w:tc>
        <w:tc>
          <w:tcPr>
            <w:tcW w:w="1416" w:type="dxa"/>
            <w:vMerge/>
            <w:vAlign w:val="center"/>
          </w:tcPr>
          <w:p w:rsidR="00475650" w:rsidRDefault="00475650">
            <w:pPr>
              <w:snapToGrid w:val="0"/>
              <w:spacing w:line="216" w:lineRule="auto"/>
              <w:jc w:val="center"/>
              <w:rPr>
                <w:szCs w:val="21"/>
              </w:rPr>
            </w:pPr>
          </w:p>
        </w:tc>
        <w:tc>
          <w:tcPr>
            <w:tcW w:w="1561" w:type="dxa"/>
            <w:vMerge/>
            <w:vAlign w:val="center"/>
          </w:tcPr>
          <w:p w:rsidR="00475650" w:rsidRDefault="00475650">
            <w:pPr>
              <w:snapToGrid w:val="0"/>
              <w:spacing w:line="216" w:lineRule="auto"/>
              <w:jc w:val="center"/>
              <w:rPr>
                <w:szCs w:val="21"/>
              </w:rPr>
            </w:pPr>
          </w:p>
        </w:tc>
        <w:tc>
          <w:tcPr>
            <w:tcW w:w="1135" w:type="dxa"/>
            <w:vAlign w:val="center"/>
          </w:tcPr>
          <w:p w:rsidR="00475650" w:rsidRDefault="00475650">
            <w:pPr>
              <w:snapToGrid w:val="0"/>
              <w:spacing w:line="216" w:lineRule="auto"/>
              <w:jc w:val="center"/>
              <w:rPr>
                <w:szCs w:val="21"/>
              </w:rPr>
            </w:pPr>
            <w:r>
              <w:rPr>
                <w:rFonts w:hint="eastAsia"/>
                <w:szCs w:val="21"/>
              </w:rPr>
              <w:t>/</w:t>
            </w:r>
          </w:p>
        </w:tc>
        <w:tc>
          <w:tcPr>
            <w:tcW w:w="707" w:type="dxa"/>
            <w:vMerge/>
            <w:vAlign w:val="center"/>
          </w:tcPr>
          <w:p w:rsidR="00475650" w:rsidRDefault="00475650">
            <w:pPr>
              <w:snapToGrid w:val="0"/>
              <w:spacing w:line="216" w:lineRule="auto"/>
              <w:jc w:val="center"/>
              <w:rPr>
                <w:szCs w:val="21"/>
              </w:rPr>
            </w:pPr>
          </w:p>
        </w:tc>
        <w:tc>
          <w:tcPr>
            <w:tcW w:w="749" w:type="dxa"/>
            <w:vMerge/>
            <w:vAlign w:val="center"/>
          </w:tcPr>
          <w:p w:rsidR="00475650" w:rsidRDefault="00475650">
            <w:pPr>
              <w:snapToGrid w:val="0"/>
              <w:spacing w:line="216" w:lineRule="auto"/>
              <w:jc w:val="center"/>
              <w:rPr>
                <w:szCs w:val="21"/>
              </w:rPr>
            </w:pPr>
          </w:p>
        </w:tc>
        <w:tc>
          <w:tcPr>
            <w:tcW w:w="710" w:type="dxa"/>
            <w:vMerge w:val="restart"/>
            <w:vAlign w:val="center"/>
          </w:tcPr>
          <w:p w:rsidR="00475650" w:rsidRDefault="00475650">
            <w:pPr>
              <w:snapToGrid w:val="0"/>
              <w:spacing w:line="216" w:lineRule="auto"/>
              <w:jc w:val="center"/>
              <w:rPr>
                <w:szCs w:val="21"/>
              </w:rPr>
            </w:pPr>
            <w:r>
              <w:rPr>
                <w:rFonts w:hint="eastAsia"/>
                <w:szCs w:val="21"/>
              </w:rPr>
              <w:t>氨气</w:t>
            </w:r>
          </w:p>
        </w:tc>
        <w:tc>
          <w:tcPr>
            <w:tcW w:w="1274" w:type="dxa"/>
            <w:vMerge w:val="restart"/>
            <w:vAlign w:val="center"/>
          </w:tcPr>
          <w:p w:rsidR="00475650" w:rsidRDefault="00475650">
            <w:pPr>
              <w:snapToGrid w:val="0"/>
              <w:spacing w:line="216" w:lineRule="auto"/>
              <w:jc w:val="center"/>
              <w:rPr>
                <w:szCs w:val="21"/>
              </w:rPr>
            </w:pPr>
            <w:r>
              <w:rPr>
                <w:rFonts w:hint="eastAsia"/>
                <w:szCs w:val="21"/>
              </w:rPr>
              <w:t>0.256</w:t>
            </w:r>
          </w:p>
          <w:p w:rsidR="00475650" w:rsidRDefault="00475650">
            <w:pPr>
              <w:snapToGrid w:val="0"/>
              <w:spacing w:line="216" w:lineRule="auto"/>
              <w:jc w:val="center"/>
              <w:rPr>
                <w:szCs w:val="21"/>
              </w:rPr>
            </w:pPr>
            <w:r>
              <w:rPr>
                <w:rFonts w:hint="eastAsia"/>
                <w:szCs w:val="21"/>
              </w:rPr>
              <w:t>（</w:t>
            </w:r>
            <w:r>
              <w:rPr>
                <w:rFonts w:hint="eastAsia"/>
                <w:szCs w:val="21"/>
              </w:rPr>
              <w:t>0.036</w:t>
            </w:r>
            <w:r>
              <w:rPr>
                <w:rFonts w:hint="eastAsia"/>
                <w:szCs w:val="21"/>
              </w:rPr>
              <w:t>）</w:t>
            </w:r>
          </w:p>
        </w:tc>
        <w:tc>
          <w:tcPr>
            <w:tcW w:w="849" w:type="dxa"/>
            <w:vMerge w:val="restart"/>
            <w:vAlign w:val="center"/>
          </w:tcPr>
          <w:p w:rsidR="00475650" w:rsidRDefault="00475650">
            <w:pPr>
              <w:snapToGrid w:val="0"/>
              <w:spacing w:line="216" w:lineRule="auto"/>
              <w:jc w:val="center"/>
              <w:rPr>
                <w:szCs w:val="21"/>
              </w:rPr>
            </w:pPr>
            <w:r>
              <w:rPr>
                <w:rFonts w:hint="eastAsia"/>
                <w:szCs w:val="21"/>
              </w:rPr>
              <w:t>2.4</w:t>
            </w:r>
          </w:p>
        </w:tc>
        <w:tc>
          <w:tcPr>
            <w:tcW w:w="434" w:type="dxa"/>
            <w:vMerge/>
            <w:vAlign w:val="center"/>
          </w:tcPr>
          <w:p w:rsidR="00475650" w:rsidRDefault="00475650">
            <w:pPr>
              <w:snapToGrid w:val="0"/>
              <w:spacing w:line="216" w:lineRule="auto"/>
              <w:jc w:val="center"/>
              <w:rPr>
                <w:rFonts w:hAnsi="宋体"/>
                <w:szCs w:val="21"/>
              </w:rPr>
            </w:pPr>
          </w:p>
        </w:tc>
        <w:tc>
          <w:tcPr>
            <w:tcW w:w="565" w:type="dxa"/>
            <w:vMerge/>
            <w:vAlign w:val="center"/>
          </w:tcPr>
          <w:p w:rsidR="00475650" w:rsidRDefault="00475650">
            <w:pPr>
              <w:snapToGrid w:val="0"/>
              <w:spacing w:line="216" w:lineRule="auto"/>
              <w:jc w:val="center"/>
              <w:rPr>
                <w:rFonts w:hAnsi="宋体"/>
                <w:szCs w:val="21"/>
              </w:rPr>
            </w:pPr>
          </w:p>
        </w:tc>
        <w:tc>
          <w:tcPr>
            <w:tcW w:w="565" w:type="dxa"/>
            <w:vMerge/>
            <w:vAlign w:val="center"/>
          </w:tcPr>
          <w:p w:rsidR="00475650" w:rsidRDefault="00475650">
            <w:pPr>
              <w:snapToGrid w:val="0"/>
              <w:spacing w:line="216" w:lineRule="auto"/>
              <w:jc w:val="center"/>
              <w:rPr>
                <w:rFonts w:hAnsi="宋体"/>
                <w:szCs w:val="21"/>
              </w:rPr>
            </w:pPr>
          </w:p>
        </w:tc>
      </w:tr>
      <w:tr w:rsidR="00475650">
        <w:trPr>
          <w:trHeight w:val="210"/>
          <w:jc w:val="center"/>
        </w:trPr>
        <w:tc>
          <w:tcPr>
            <w:tcW w:w="435" w:type="dxa"/>
            <w:vMerge/>
            <w:vAlign w:val="center"/>
          </w:tcPr>
          <w:p w:rsidR="00475650" w:rsidRDefault="00475650">
            <w:pPr>
              <w:snapToGrid w:val="0"/>
              <w:spacing w:line="216" w:lineRule="auto"/>
              <w:jc w:val="center"/>
              <w:rPr>
                <w:szCs w:val="21"/>
              </w:rPr>
            </w:pPr>
          </w:p>
        </w:tc>
        <w:tc>
          <w:tcPr>
            <w:tcW w:w="1097" w:type="dxa"/>
            <w:vMerge/>
            <w:vAlign w:val="center"/>
          </w:tcPr>
          <w:p w:rsidR="00475650" w:rsidRDefault="00475650">
            <w:pPr>
              <w:snapToGrid w:val="0"/>
              <w:spacing w:line="216" w:lineRule="auto"/>
              <w:jc w:val="center"/>
              <w:rPr>
                <w:szCs w:val="21"/>
              </w:rPr>
            </w:pPr>
          </w:p>
        </w:tc>
        <w:tc>
          <w:tcPr>
            <w:tcW w:w="1134" w:type="dxa"/>
            <w:vMerge w:val="restart"/>
            <w:vAlign w:val="center"/>
          </w:tcPr>
          <w:p w:rsidR="00475650" w:rsidRDefault="00475650">
            <w:pPr>
              <w:snapToGrid w:val="0"/>
              <w:spacing w:line="216" w:lineRule="auto"/>
              <w:jc w:val="center"/>
              <w:rPr>
                <w:szCs w:val="21"/>
              </w:rPr>
            </w:pPr>
            <w:r>
              <w:rPr>
                <w:rFonts w:hint="eastAsia"/>
                <w:szCs w:val="21"/>
              </w:rPr>
              <w:t>偶合反应</w:t>
            </w:r>
          </w:p>
        </w:tc>
        <w:tc>
          <w:tcPr>
            <w:tcW w:w="860" w:type="dxa"/>
            <w:vAlign w:val="center"/>
          </w:tcPr>
          <w:p w:rsidR="00475650" w:rsidRDefault="00475650">
            <w:pPr>
              <w:snapToGrid w:val="0"/>
              <w:spacing w:line="216" w:lineRule="auto"/>
              <w:jc w:val="center"/>
              <w:rPr>
                <w:szCs w:val="21"/>
              </w:rPr>
            </w:pPr>
            <w:r>
              <w:rPr>
                <w:rFonts w:hint="eastAsia"/>
                <w:szCs w:val="21"/>
              </w:rPr>
              <w:t>氯化氢</w:t>
            </w:r>
          </w:p>
        </w:tc>
        <w:tc>
          <w:tcPr>
            <w:tcW w:w="701" w:type="dxa"/>
            <w:vAlign w:val="center"/>
          </w:tcPr>
          <w:p w:rsidR="00475650" w:rsidRDefault="00475650">
            <w:pPr>
              <w:snapToGrid w:val="0"/>
              <w:spacing w:line="216" w:lineRule="auto"/>
              <w:jc w:val="center"/>
              <w:rPr>
                <w:szCs w:val="21"/>
              </w:rPr>
            </w:pPr>
            <w:r>
              <w:rPr>
                <w:rFonts w:hint="eastAsia"/>
                <w:szCs w:val="21"/>
              </w:rPr>
              <w:t>0.13</w:t>
            </w:r>
          </w:p>
        </w:tc>
        <w:tc>
          <w:tcPr>
            <w:tcW w:w="1416" w:type="dxa"/>
            <w:vMerge/>
            <w:vAlign w:val="center"/>
          </w:tcPr>
          <w:p w:rsidR="00475650" w:rsidRDefault="00475650">
            <w:pPr>
              <w:snapToGrid w:val="0"/>
              <w:spacing w:line="216" w:lineRule="auto"/>
              <w:jc w:val="center"/>
              <w:rPr>
                <w:szCs w:val="21"/>
              </w:rPr>
            </w:pPr>
          </w:p>
        </w:tc>
        <w:tc>
          <w:tcPr>
            <w:tcW w:w="1561" w:type="dxa"/>
            <w:vMerge/>
            <w:vAlign w:val="center"/>
          </w:tcPr>
          <w:p w:rsidR="00475650" w:rsidRDefault="00475650">
            <w:pPr>
              <w:snapToGrid w:val="0"/>
              <w:spacing w:line="216" w:lineRule="auto"/>
              <w:jc w:val="center"/>
              <w:rPr>
                <w:szCs w:val="21"/>
              </w:rPr>
            </w:pPr>
          </w:p>
        </w:tc>
        <w:tc>
          <w:tcPr>
            <w:tcW w:w="1135" w:type="dxa"/>
            <w:vAlign w:val="center"/>
          </w:tcPr>
          <w:p w:rsidR="00475650" w:rsidRDefault="00475650">
            <w:pPr>
              <w:snapToGrid w:val="0"/>
              <w:spacing w:line="216" w:lineRule="auto"/>
              <w:jc w:val="center"/>
              <w:rPr>
                <w:szCs w:val="21"/>
              </w:rPr>
            </w:pPr>
            <w:r>
              <w:rPr>
                <w:rFonts w:hint="eastAsia"/>
                <w:szCs w:val="21"/>
              </w:rPr>
              <w:t>85.5%</w:t>
            </w:r>
          </w:p>
        </w:tc>
        <w:tc>
          <w:tcPr>
            <w:tcW w:w="707" w:type="dxa"/>
            <w:vMerge/>
            <w:vAlign w:val="center"/>
          </w:tcPr>
          <w:p w:rsidR="00475650" w:rsidRDefault="00475650">
            <w:pPr>
              <w:snapToGrid w:val="0"/>
              <w:spacing w:line="216" w:lineRule="auto"/>
              <w:jc w:val="center"/>
              <w:rPr>
                <w:szCs w:val="21"/>
              </w:rPr>
            </w:pPr>
          </w:p>
        </w:tc>
        <w:tc>
          <w:tcPr>
            <w:tcW w:w="749" w:type="dxa"/>
            <w:vMerge/>
            <w:vAlign w:val="center"/>
          </w:tcPr>
          <w:p w:rsidR="00475650" w:rsidRDefault="00475650">
            <w:pPr>
              <w:snapToGrid w:val="0"/>
              <w:spacing w:line="216" w:lineRule="auto"/>
              <w:jc w:val="center"/>
              <w:rPr>
                <w:szCs w:val="21"/>
              </w:rPr>
            </w:pPr>
          </w:p>
        </w:tc>
        <w:tc>
          <w:tcPr>
            <w:tcW w:w="710" w:type="dxa"/>
            <w:vMerge/>
            <w:vAlign w:val="center"/>
          </w:tcPr>
          <w:p w:rsidR="00475650" w:rsidRDefault="00475650">
            <w:pPr>
              <w:snapToGrid w:val="0"/>
              <w:spacing w:line="216" w:lineRule="auto"/>
              <w:jc w:val="center"/>
              <w:rPr>
                <w:szCs w:val="21"/>
              </w:rPr>
            </w:pPr>
          </w:p>
        </w:tc>
        <w:tc>
          <w:tcPr>
            <w:tcW w:w="1274" w:type="dxa"/>
            <w:vMerge/>
            <w:vAlign w:val="center"/>
          </w:tcPr>
          <w:p w:rsidR="00475650" w:rsidRDefault="00475650">
            <w:pPr>
              <w:snapToGrid w:val="0"/>
              <w:spacing w:line="216" w:lineRule="auto"/>
              <w:jc w:val="center"/>
              <w:rPr>
                <w:szCs w:val="21"/>
              </w:rPr>
            </w:pPr>
          </w:p>
        </w:tc>
        <w:tc>
          <w:tcPr>
            <w:tcW w:w="849" w:type="dxa"/>
            <w:vMerge/>
            <w:vAlign w:val="center"/>
          </w:tcPr>
          <w:p w:rsidR="00475650" w:rsidRDefault="00475650">
            <w:pPr>
              <w:snapToGrid w:val="0"/>
              <w:spacing w:line="216" w:lineRule="auto"/>
              <w:jc w:val="center"/>
              <w:rPr>
                <w:szCs w:val="21"/>
              </w:rPr>
            </w:pPr>
          </w:p>
        </w:tc>
        <w:tc>
          <w:tcPr>
            <w:tcW w:w="434" w:type="dxa"/>
            <w:vMerge/>
            <w:vAlign w:val="center"/>
          </w:tcPr>
          <w:p w:rsidR="00475650" w:rsidRDefault="00475650">
            <w:pPr>
              <w:snapToGrid w:val="0"/>
              <w:spacing w:line="216" w:lineRule="auto"/>
              <w:jc w:val="center"/>
              <w:rPr>
                <w:rFonts w:hAnsi="宋体"/>
                <w:szCs w:val="21"/>
              </w:rPr>
            </w:pPr>
          </w:p>
        </w:tc>
        <w:tc>
          <w:tcPr>
            <w:tcW w:w="565" w:type="dxa"/>
            <w:vMerge/>
            <w:vAlign w:val="center"/>
          </w:tcPr>
          <w:p w:rsidR="00475650" w:rsidRDefault="00475650">
            <w:pPr>
              <w:snapToGrid w:val="0"/>
              <w:spacing w:line="216" w:lineRule="auto"/>
              <w:jc w:val="center"/>
              <w:rPr>
                <w:rFonts w:hAnsi="宋体"/>
                <w:szCs w:val="21"/>
              </w:rPr>
            </w:pPr>
          </w:p>
        </w:tc>
        <w:tc>
          <w:tcPr>
            <w:tcW w:w="565" w:type="dxa"/>
            <w:vMerge/>
            <w:vAlign w:val="center"/>
          </w:tcPr>
          <w:p w:rsidR="00475650" w:rsidRDefault="00475650">
            <w:pPr>
              <w:snapToGrid w:val="0"/>
              <w:spacing w:line="216" w:lineRule="auto"/>
              <w:jc w:val="center"/>
              <w:rPr>
                <w:rFonts w:hAnsi="宋体"/>
                <w:szCs w:val="21"/>
              </w:rPr>
            </w:pPr>
          </w:p>
        </w:tc>
      </w:tr>
      <w:tr w:rsidR="00475650">
        <w:trPr>
          <w:trHeight w:val="210"/>
          <w:jc w:val="center"/>
        </w:trPr>
        <w:tc>
          <w:tcPr>
            <w:tcW w:w="435" w:type="dxa"/>
            <w:vMerge/>
            <w:vAlign w:val="center"/>
          </w:tcPr>
          <w:p w:rsidR="00475650" w:rsidRDefault="00475650">
            <w:pPr>
              <w:snapToGrid w:val="0"/>
              <w:spacing w:line="216" w:lineRule="auto"/>
              <w:jc w:val="center"/>
              <w:rPr>
                <w:szCs w:val="21"/>
              </w:rPr>
            </w:pPr>
          </w:p>
        </w:tc>
        <w:tc>
          <w:tcPr>
            <w:tcW w:w="1097" w:type="dxa"/>
            <w:vMerge/>
            <w:vAlign w:val="center"/>
          </w:tcPr>
          <w:p w:rsidR="00475650" w:rsidRDefault="00475650">
            <w:pPr>
              <w:snapToGrid w:val="0"/>
              <w:spacing w:line="216" w:lineRule="auto"/>
              <w:jc w:val="center"/>
              <w:rPr>
                <w:szCs w:val="21"/>
              </w:rPr>
            </w:pPr>
          </w:p>
        </w:tc>
        <w:tc>
          <w:tcPr>
            <w:tcW w:w="1134" w:type="dxa"/>
            <w:vMerge/>
            <w:vAlign w:val="center"/>
          </w:tcPr>
          <w:p w:rsidR="00475650" w:rsidRDefault="00475650">
            <w:pPr>
              <w:snapToGrid w:val="0"/>
              <w:spacing w:line="216" w:lineRule="auto"/>
              <w:jc w:val="center"/>
              <w:rPr>
                <w:szCs w:val="21"/>
              </w:rPr>
            </w:pPr>
          </w:p>
        </w:tc>
        <w:tc>
          <w:tcPr>
            <w:tcW w:w="860" w:type="dxa"/>
            <w:vAlign w:val="center"/>
          </w:tcPr>
          <w:p w:rsidR="00475650" w:rsidRDefault="00475650">
            <w:pPr>
              <w:snapToGrid w:val="0"/>
              <w:spacing w:line="216" w:lineRule="auto"/>
              <w:jc w:val="center"/>
              <w:rPr>
                <w:szCs w:val="21"/>
              </w:rPr>
            </w:pPr>
            <w:r>
              <w:rPr>
                <w:rFonts w:hint="eastAsia"/>
                <w:szCs w:val="21"/>
              </w:rPr>
              <w:t>二氧化碳</w:t>
            </w:r>
          </w:p>
        </w:tc>
        <w:tc>
          <w:tcPr>
            <w:tcW w:w="701" w:type="dxa"/>
            <w:vAlign w:val="center"/>
          </w:tcPr>
          <w:p w:rsidR="00475650" w:rsidRDefault="00475650">
            <w:pPr>
              <w:snapToGrid w:val="0"/>
              <w:spacing w:line="216" w:lineRule="auto"/>
              <w:jc w:val="center"/>
              <w:rPr>
                <w:szCs w:val="21"/>
              </w:rPr>
            </w:pPr>
            <w:r>
              <w:rPr>
                <w:rFonts w:hint="eastAsia"/>
                <w:szCs w:val="21"/>
              </w:rPr>
              <w:t>162.07</w:t>
            </w:r>
          </w:p>
        </w:tc>
        <w:tc>
          <w:tcPr>
            <w:tcW w:w="1416" w:type="dxa"/>
            <w:vMerge/>
            <w:vAlign w:val="center"/>
          </w:tcPr>
          <w:p w:rsidR="00475650" w:rsidRDefault="00475650">
            <w:pPr>
              <w:snapToGrid w:val="0"/>
              <w:spacing w:line="216" w:lineRule="auto"/>
              <w:jc w:val="center"/>
              <w:rPr>
                <w:szCs w:val="21"/>
              </w:rPr>
            </w:pPr>
          </w:p>
        </w:tc>
        <w:tc>
          <w:tcPr>
            <w:tcW w:w="1561" w:type="dxa"/>
            <w:vMerge/>
            <w:vAlign w:val="center"/>
          </w:tcPr>
          <w:p w:rsidR="00475650" w:rsidRDefault="00475650">
            <w:pPr>
              <w:snapToGrid w:val="0"/>
              <w:spacing w:line="216" w:lineRule="auto"/>
              <w:jc w:val="center"/>
              <w:rPr>
                <w:szCs w:val="21"/>
              </w:rPr>
            </w:pPr>
          </w:p>
        </w:tc>
        <w:tc>
          <w:tcPr>
            <w:tcW w:w="1135" w:type="dxa"/>
            <w:vAlign w:val="center"/>
          </w:tcPr>
          <w:p w:rsidR="00475650" w:rsidRDefault="00475650">
            <w:pPr>
              <w:snapToGrid w:val="0"/>
              <w:spacing w:line="216" w:lineRule="auto"/>
              <w:jc w:val="center"/>
              <w:rPr>
                <w:szCs w:val="21"/>
              </w:rPr>
            </w:pPr>
            <w:r>
              <w:rPr>
                <w:rFonts w:hint="eastAsia"/>
                <w:szCs w:val="21"/>
              </w:rPr>
              <w:t>/</w:t>
            </w:r>
          </w:p>
        </w:tc>
        <w:tc>
          <w:tcPr>
            <w:tcW w:w="707" w:type="dxa"/>
            <w:vMerge/>
            <w:vAlign w:val="center"/>
          </w:tcPr>
          <w:p w:rsidR="00475650" w:rsidRDefault="00475650">
            <w:pPr>
              <w:snapToGrid w:val="0"/>
              <w:spacing w:line="216" w:lineRule="auto"/>
              <w:jc w:val="center"/>
              <w:rPr>
                <w:szCs w:val="21"/>
              </w:rPr>
            </w:pPr>
          </w:p>
        </w:tc>
        <w:tc>
          <w:tcPr>
            <w:tcW w:w="749" w:type="dxa"/>
            <w:vMerge/>
            <w:vAlign w:val="center"/>
          </w:tcPr>
          <w:p w:rsidR="00475650" w:rsidRDefault="00475650">
            <w:pPr>
              <w:snapToGrid w:val="0"/>
              <w:spacing w:line="216" w:lineRule="auto"/>
              <w:jc w:val="center"/>
              <w:rPr>
                <w:szCs w:val="21"/>
              </w:rPr>
            </w:pPr>
          </w:p>
        </w:tc>
        <w:tc>
          <w:tcPr>
            <w:tcW w:w="710" w:type="dxa"/>
            <w:vMerge/>
            <w:vAlign w:val="center"/>
          </w:tcPr>
          <w:p w:rsidR="00475650" w:rsidRDefault="00475650">
            <w:pPr>
              <w:snapToGrid w:val="0"/>
              <w:spacing w:line="216" w:lineRule="auto"/>
              <w:jc w:val="center"/>
              <w:rPr>
                <w:szCs w:val="21"/>
              </w:rPr>
            </w:pPr>
          </w:p>
        </w:tc>
        <w:tc>
          <w:tcPr>
            <w:tcW w:w="1274" w:type="dxa"/>
            <w:vMerge/>
            <w:vAlign w:val="center"/>
          </w:tcPr>
          <w:p w:rsidR="00475650" w:rsidRDefault="00475650">
            <w:pPr>
              <w:snapToGrid w:val="0"/>
              <w:spacing w:line="216" w:lineRule="auto"/>
              <w:jc w:val="center"/>
              <w:rPr>
                <w:szCs w:val="21"/>
              </w:rPr>
            </w:pPr>
          </w:p>
        </w:tc>
        <w:tc>
          <w:tcPr>
            <w:tcW w:w="849" w:type="dxa"/>
            <w:vMerge/>
            <w:vAlign w:val="center"/>
          </w:tcPr>
          <w:p w:rsidR="00475650" w:rsidRDefault="00475650">
            <w:pPr>
              <w:snapToGrid w:val="0"/>
              <w:spacing w:line="216" w:lineRule="auto"/>
              <w:jc w:val="center"/>
              <w:rPr>
                <w:szCs w:val="21"/>
              </w:rPr>
            </w:pPr>
          </w:p>
        </w:tc>
        <w:tc>
          <w:tcPr>
            <w:tcW w:w="434" w:type="dxa"/>
            <w:vMerge/>
            <w:vAlign w:val="center"/>
          </w:tcPr>
          <w:p w:rsidR="00475650" w:rsidRDefault="00475650">
            <w:pPr>
              <w:snapToGrid w:val="0"/>
              <w:spacing w:line="216" w:lineRule="auto"/>
              <w:jc w:val="center"/>
              <w:rPr>
                <w:rFonts w:hAnsi="宋体"/>
                <w:szCs w:val="21"/>
              </w:rPr>
            </w:pPr>
          </w:p>
        </w:tc>
        <w:tc>
          <w:tcPr>
            <w:tcW w:w="565" w:type="dxa"/>
            <w:vMerge/>
            <w:vAlign w:val="center"/>
          </w:tcPr>
          <w:p w:rsidR="00475650" w:rsidRDefault="00475650">
            <w:pPr>
              <w:snapToGrid w:val="0"/>
              <w:spacing w:line="216" w:lineRule="auto"/>
              <w:jc w:val="center"/>
              <w:rPr>
                <w:rFonts w:hAnsi="宋体"/>
                <w:szCs w:val="21"/>
              </w:rPr>
            </w:pPr>
          </w:p>
        </w:tc>
        <w:tc>
          <w:tcPr>
            <w:tcW w:w="565" w:type="dxa"/>
            <w:vMerge/>
            <w:vAlign w:val="center"/>
          </w:tcPr>
          <w:p w:rsidR="00475650" w:rsidRDefault="00475650">
            <w:pPr>
              <w:snapToGrid w:val="0"/>
              <w:spacing w:line="216" w:lineRule="auto"/>
              <w:jc w:val="center"/>
              <w:rPr>
                <w:rFonts w:hAnsi="宋体"/>
                <w:szCs w:val="21"/>
              </w:rPr>
            </w:pPr>
          </w:p>
        </w:tc>
      </w:tr>
      <w:tr w:rsidR="00475650">
        <w:trPr>
          <w:trHeight w:val="210"/>
          <w:jc w:val="center"/>
        </w:trPr>
        <w:tc>
          <w:tcPr>
            <w:tcW w:w="435" w:type="dxa"/>
            <w:vMerge/>
            <w:vAlign w:val="center"/>
          </w:tcPr>
          <w:p w:rsidR="00475650" w:rsidRDefault="00475650">
            <w:pPr>
              <w:snapToGrid w:val="0"/>
              <w:spacing w:line="216" w:lineRule="auto"/>
              <w:jc w:val="center"/>
              <w:rPr>
                <w:szCs w:val="21"/>
              </w:rPr>
            </w:pPr>
          </w:p>
        </w:tc>
        <w:tc>
          <w:tcPr>
            <w:tcW w:w="1097" w:type="dxa"/>
            <w:vMerge w:val="restart"/>
            <w:vAlign w:val="center"/>
          </w:tcPr>
          <w:p w:rsidR="00475650" w:rsidRDefault="00475650">
            <w:pPr>
              <w:snapToGrid w:val="0"/>
              <w:spacing w:line="216" w:lineRule="auto"/>
              <w:jc w:val="center"/>
              <w:rPr>
                <w:szCs w:val="21"/>
              </w:rPr>
            </w:pPr>
            <w:r>
              <w:rPr>
                <w:rFonts w:hint="eastAsia"/>
                <w:szCs w:val="21"/>
              </w:rPr>
              <w:t>烘干废气</w:t>
            </w:r>
          </w:p>
        </w:tc>
        <w:tc>
          <w:tcPr>
            <w:tcW w:w="1134" w:type="dxa"/>
            <w:vMerge w:val="restart"/>
            <w:vAlign w:val="center"/>
          </w:tcPr>
          <w:p w:rsidR="00475650" w:rsidRDefault="00475650">
            <w:pPr>
              <w:snapToGrid w:val="0"/>
              <w:spacing w:line="216" w:lineRule="auto"/>
              <w:jc w:val="center"/>
              <w:rPr>
                <w:szCs w:val="21"/>
              </w:rPr>
            </w:pPr>
            <w:r>
              <w:rPr>
                <w:rFonts w:hint="eastAsia"/>
                <w:szCs w:val="21"/>
              </w:rPr>
              <w:t>烘干房</w:t>
            </w:r>
          </w:p>
        </w:tc>
        <w:tc>
          <w:tcPr>
            <w:tcW w:w="860" w:type="dxa"/>
            <w:vAlign w:val="center"/>
          </w:tcPr>
          <w:p w:rsidR="00475650" w:rsidRDefault="00475650">
            <w:pPr>
              <w:snapToGrid w:val="0"/>
              <w:spacing w:line="216" w:lineRule="auto"/>
              <w:jc w:val="center"/>
              <w:rPr>
                <w:szCs w:val="21"/>
              </w:rPr>
            </w:pPr>
            <w:r>
              <w:rPr>
                <w:rFonts w:hint="eastAsia"/>
                <w:szCs w:val="21"/>
              </w:rPr>
              <w:t>氯化氢</w:t>
            </w:r>
          </w:p>
        </w:tc>
        <w:tc>
          <w:tcPr>
            <w:tcW w:w="701" w:type="dxa"/>
            <w:vAlign w:val="center"/>
          </w:tcPr>
          <w:p w:rsidR="00475650" w:rsidRDefault="00475650">
            <w:pPr>
              <w:snapToGrid w:val="0"/>
              <w:spacing w:line="216" w:lineRule="auto"/>
              <w:jc w:val="center"/>
              <w:rPr>
                <w:szCs w:val="21"/>
              </w:rPr>
            </w:pPr>
            <w:r>
              <w:rPr>
                <w:rFonts w:hint="eastAsia"/>
                <w:szCs w:val="21"/>
              </w:rPr>
              <w:t>0.05</w:t>
            </w:r>
          </w:p>
        </w:tc>
        <w:tc>
          <w:tcPr>
            <w:tcW w:w="1416" w:type="dxa"/>
            <w:vMerge w:val="restart"/>
            <w:vAlign w:val="center"/>
          </w:tcPr>
          <w:p w:rsidR="00475650" w:rsidRDefault="00475650">
            <w:pPr>
              <w:snapToGrid w:val="0"/>
              <w:spacing w:line="216" w:lineRule="auto"/>
              <w:jc w:val="center"/>
              <w:rPr>
                <w:szCs w:val="21"/>
              </w:rPr>
            </w:pPr>
            <w:r>
              <w:rPr>
                <w:rFonts w:hint="eastAsia"/>
                <w:szCs w:val="21"/>
              </w:rPr>
              <w:t>无组织</w:t>
            </w:r>
          </w:p>
        </w:tc>
        <w:tc>
          <w:tcPr>
            <w:tcW w:w="1561" w:type="dxa"/>
            <w:vMerge/>
            <w:vAlign w:val="center"/>
          </w:tcPr>
          <w:p w:rsidR="00475650" w:rsidRDefault="00475650">
            <w:pPr>
              <w:snapToGrid w:val="0"/>
              <w:spacing w:line="216" w:lineRule="auto"/>
              <w:jc w:val="center"/>
              <w:rPr>
                <w:szCs w:val="21"/>
              </w:rPr>
            </w:pPr>
          </w:p>
        </w:tc>
        <w:tc>
          <w:tcPr>
            <w:tcW w:w="1135" w:type="dxa"/>
            <w:vAlign w:val="center"/>
          </w:tcPr>
          <w:p w:rsidR="00475650" w:rsidRDefault="00475650">
            <w:pPr>
              <w:snapToGrid w:val="0"/>
              <w:spacing w:line="216" w:lineRule="auto"/>
              <w:jc w:val="center"/>
              <w:rPr>
                <w:szCs w:val="21"/>
              </w:rPr>
            </w:pPr>
            <w:r>
              <w:rPr>
                <w:rFonts w:hint="eastAsia"/>
                <w:szCs w:val="21"/>
              </w:rPr>
              <w:t>85.5%</w:t>
            </w:r>
          </w:p>
        </w:tc>
        <w:tc>
          <w:tcPr>
            <w:tcW w:w="707" w:type="dxa"/>
            <w:vMerge/>
            <w:vAlign w:val="center"/>
          </w:tcPr>
          <w:p w:rsidR="00475650" w:rsidRDefault="00475650">
            <w:pPr>
              <w:snapToGrid w:val="0"/>
              <w:spacing w:line="216" w:lineRule="auto"/>
              <w:jc w:val="center"/>
              <w:rPr>
                <w:szCs w:val="21"/>
              </w:rPr>
            </w:pPr>
          </w:p>
        </w:tc>
        <w:tc>
          <w:tcPr>
            <w:tcW w:w="749" w:type="dxa"/>
            <w:vMerge/>
            <w:vAlign w:val="center"/>
          </w:tcPr>
          <w:p w:rsidR="00475650" w:rsidRDefault="00475650">
            <w:pPr>
              <w:snapToGrid w:val="0"/>
              <w:spacing w:line="216" w:lineRule="auto"/>
              <w:jc w:val="center"/>
              <w:rPr>
                <w:szCs w:val="21"/>
              </w:rPr>
            </w:pPr>
          </w:p>
        </w:tc>
        <w:tc>
          <w:tcPr>
            <w:tcW w:w="710" w:type="dxa"/>
            <w:vMerge/>
          </w:tcPr>
          <w:p w:rsidR="00475650" w:rsidRDefault="00475650">
            <w:pPr>
              <w:snapToGrid w:val="0"/>
              <w:spacing w:line="216" w:lineRule="auto"/>
              <w:jc w:val="center"/>
              <w:rPr>
                <w:szCs w:val="21"/>
              </w:rPr>
            </w:pPr>
          </w:p>
        </w:tc>
        <w:tc>
          <w:tcPr>
            <w:tcW w:w="1274" w:type="dxa"/>
            <w:vMerge/>
            <w:vAlign w:val="center"/>
          </w:tcPr>
          <w:p w:rsidR="00475650" w:rsidRDefault="00475650">
            <w:pPr>
              <w:snapToGrid w:val="0"/>
              <w:spacing w:line="216" w:lineRule="auto"/>
              <w:jc w:val="center"/>
              <w:rPr>
                <w:szCs w:val="21"/>
              </w:rPr>
            </w:pPr>
          </w:p>
        </w:tc>
        <w:tc>
          <w:tcPr>
            <w:tcW w:w="849" w:type="dxa"/>
            <w:vMerge/>
            <w:vAlign w:val="center"/>
          </w:tcPr>
          <w:p w:rsidR="00475650" w:rsidRDefault="00475650">
            <w:pPr>
              <w:snapToGrid w:val="0"/>
              <w:spacing w:line="216" w:lineRule="auto"/>
              <w:jc w:val="center"/>
              <w:rPr>
                <w:szCs w:val="21"/>
              </w:rPr>
            </w:pPr>
          </w:p>
        </w:tc>
        <w:tc>
          <w:tcPr>
            <w:tcW w:w="434" w:type="dxa"/>
            <w:vMerge/>
            <w:vAlign w:val="center"/>
          </w:tcPr>
          <w:p w:rsidR="00475650" w:rsidRDefault="00475650">
            <w:pPr>
              <w:snapToGrid w:val="0"/>
              <w:spacing w:line="216" w:lineRule="auto"/>
              <w:jc w:val="center"/>
              <w:rPr>
                <w:rFonts w:hAnsi="宋体"/>
                <w:szCs w:val="21"/>
              </w:rPr>
            </w:pPr>
          </w:p>
        </w:tc>
        <w:tc>
          <w:tcPr>
            <w:tcW w:w="565" w:type="dxa"/>
            <w:vMerge/>
            <w:vAlign w:val="center"/>
          </w:tcPr>
          <w:p w:rsidR="00475650" w:rsidRDefault="00475650">
            <w:pPr>
              <w:snapToGrid w:val="0"/>
              <w:spacing w:line="216" w:lineRule="auto"/>
              <w:jc w:val="center"/>
              <w:rPr>
                <w:rFonts w:hAnsi="宋体"/>
                <w:szCs w:val="21"/>
              </w:rPr>
            </w:pPr>
          </w:p>
        </w:tc>
        <w:tc>
          <w:tcPr>
            <w:tcW w:w="565" w:type="dxa"/>
            <w:vMerge/>
            <w:vAlign w:val="center"/>
          </w:tcPr>
          <w:p w:rsidR="00475650" w:rsidRDefault="00475650">
            <w:pPr>
              <w:snapToGrid w:val="0"/>
              <w:spacing w:line="216" w:lineRule="auto"/>
              <w:jc w:val="center"/>
              <w:rPr>
                <w:rFonts w:hAnsi="宋体"/>
                <w:szCs w:val="21"/>
              </w:rPr>
            </w:pPr>
          </w:p>
        </w:tc>
      </w:tr>
      <w:tr w:rsidR="00475650">
        <w:trPr>
          <w:trHeight w:val="210"/>
          <w:jc w:val="center"/>
        </w:trPr>
        <w:tc>
          <w:tcPr>
            <w:tcW w:w="435" w:type="dxa"/>
            <w:vMerge/>
            <w:vAlign w:val="center"/>
          </w:tcPr>
          <w:p w:rsidR="00475650" w:rsidRDefault="00475650">
            <w:pPr>
              <w:snapToGrid w:val="0"/>
              <w:spacing w:line="216" w:lineRule="auto"/>
              <w:jc w:val="center"/>
              <w:rPr>
                <w:szCs w:val="21"/>
              </w:rPr>
            </w:pPr>
          </w:p>
        </w:tc>
        <w:tc>
          <w:tcPr>
            <w:tcW w:w="1097" w:type="dxa"/>
            <w:vMerge/>
            <w:vAlign w:val="center"/>
          </w:tcPr>
          <w:p w:rsidR="00475650" w:rsidRDefault="00475650">
            <w:pPr>
              <w:snapToGrid w:val="0"/>
              <w:spacing w:line="216" w:lineRule="auto"/>
              <w:jc w:val="center"/>
              <w:rPr>
                <w:szCs w:val="21"/>
              </w:rPr>
            </w:pPr>
          </w:p>
        </w:tc>
        <w:tc>
          <w:tcPr>
            <w:tcW w:w="1134" w:type="dxa"/>
            <w:vMerge/>
            <w:vAlign w:val="center"/>
          </w:tcPr>
          <w:p w:rsidR="00475650" w:rsidRDefault="00475650">
            <w:pPr>
              <w:snapToGrid w:val="0"/>
              <w:spacing w:line="216" w:lineRule="auto"/>
              <w:jc w:val="center"/>
              <w:rPr>
                <w:szCs w:val="21"/>
              </w:rPr>
            </w:pPr>
          </w:p>
        </w:tc>
        <w:tc>
          <w:tcPr>
            <w:tcW w:w="860" w:type="dxa"/>
            <w:vAlign w:val="center"/>
          </w:tcPr>
          <w:p w:rsidR="00475650" w:rsidRDefault="00475650">
            <w:pPr>
              <w:snapToGrid w:val="0"/>
              <w:spacing w:line="216" w:lineRule="auto"/>
              <w:jc w:val="center"/>
              <w:rPr>
                <w:szCs w:val="21"/>
              </w:rPr>
            </w:pPr>
            <w:r>
              <w:rPr>
                <w:rFonts w:hint="eastAsia"/>
                <w:szCs w:val="21"/>
              </w:rPr>
              <w:t>粉尘</w:t>
            </w:r>
          </w:p>
        </w:tc>
        <w:tc>
          <w:tcPr>
            <w:tcW w:w="701" w:type="dxa"/>
            <w:vAlign w:val="center"/>
          </w:tcPr>
          <w:p w:rsidR="00475650" w:rsidRDefault="00475650">
            <w:pPr>
              <w:snapToGrid w:val="0"/>
              <w:spacing w:line="216" w:lineRule="auto"/>
              <w:jc w:val="center"/>
              <w:rPr>
                <w:szCs w:val="21"/>
              </w:rPr>
            </w:pPr>
            <w:r>
              <w:rPr>
                <w:rFonts w:hint="eastAsia"/>
                <w:szCs w:val="21"/>
              </w:rPr>
              <w:t>1.14</w:t>
            </w:r>
          </w:p>
        </w:tc>
        <w:tc>
          <w:tcPr>
            <w:tcW w:w="1416" w:type="dxa"/>
            <w:vMerge/>
            <w:vAlign w:val="center"/>
          </w:tcPr>
          <w:p w:rsidR="00475650" w:rsidRDefault="00475650">
            <w:pPr>
              <w:snapToGrid w:val="0"/>
              <w:spacing w:line="216" w:lineRule="auto"/>
              <w:jc w:val="center"/>
              <w:rPr>
                <w:szCs w:val="21"/>
              </w:rPr>
            </w:pPr>
          </w:p>
        </w:tc>
        <w:tc>
          <w:tcPr>
            <w:tcW w:w="1561" w:type="dxa"/>
            <w:vMerge/>
            <w:vAlign w:val="center"/>
          </w:tcPr>
          <w:p w:rsidR="00475650" w:rsidRDefault="00475650">
            <w:pPr>
              <w:snapToGrid w:val="0"/>
              <w:spacing w:line="216" w:lineRule="auto"/>
              <w:jc w:val="center"/>
              <w:rPr>
                <w:szCs w:val="21"/>
              </w:rPr>
            </w:pPr>
          </w:p>
        </w:tc>
        <w:tc>
          <w:tcPr>
            <w:tcW w:w="1135" w:type="dxa"/>
            <w:vAlign w:val="center"/>
          </w:tcPr>
          <w:p w:rsidR="00475650" w:rsidRDefault="00475650">
            <w:pPr>
              <w:snapToGrid w:val="0"/>
              <w:spacing w:line="216" w:lineRule="auto"/>
              <w:jc w:val="center"/>
              <w:rPr>
                <w:szCs w:val="21"/>
              </w:rPr>
            </w:pPr>
            <w:r>
              <w:rPr>
                <w:rFonts w:hint="eastAsia"/>
                <w:szCs w:val="21"/>
              </w:rPr>
              <w:t>/</w:t>
            </w:r>
          </w:p>
        </w:tc>
        <w:tc>
          <w:tcPr>
            <w:tcW w:w="707" w:type="dxa"/>
            <w:vMerge/>
            <w:vAlign w:val="center"/>
          </w:tcPr>
          <w:p w:rsidR="00475650" w:rsidRDefault="00475650">
            <w:pPr>
              <w:snapToGrid w:val="0"/>
              <w:spacing w:line="216" w:lineRule="auto"/>
              <w:jc w:val="center"/>
              <w:rPr>
                <w:szCs w:val="21"/>
              </w:rPr>
            </w:pPr>
          </w:p>
        </w:tc>
        <w:tc>
          <w:tcPr>
            <w:tcW w:w="749" w:type="dxa"/>
            <w:vMerge/>
            <w:vAlign w:val="center"/>
          </w:tcPr>
          <w:p w:rsidR="00475650" w:rsidRDefault="00475650">
            <w:pPr>
              <w:snapToGrid w:val="0"/>
              <w:spacing w:line="216" w:lineRule="auto"/>
              <w:jc w:val="center"/>
              <w:rPr>
                <w:szCs w:val="21"/>
              </w:rPr>
            </w:pPr>
          </w:p>
        </w:tc>
        <w:tc>
          <w:tcPr>
            <w:tcW w:w="710" w:type="dxa"/>
            <w:vMerge w:val="restart"/>
          </w:tcPr>
          <w:p w:rsidR="00475650" w:rsidRDefault="00475650">
            <w:pPr>
              <w:snapToGrid w:val="0"/>
              <w:spacing w:line="216" w:lineRule="auto"/>
              <w:jc w:val="center"/>
              <w:rPr>
                <w:szCs w:val="21"/>
              </w:rPr>
            </w:pPr>
            <w:r>
              <w:rPr>
                <w:rFonts w:hint="eastAsia"/>
                <w:szCs w:val="21"/>
              </w:rPr>
              <w:t>粉尘</w:t>
            </w:r>
          </w:p>
        </w:tc>
        <w:tc>
          <w:tcPr>
            <w:tcW w:w="1274" w:type="dxa"/>
            <w:vMerge w:val="restart"/>
            <w:vAlign w:val="center"/>
          </w:tcPr>
          <w:p w:rsidR="00475650" w:rsidRDefault="00475650">
            <w:pPr>
              <w:snapToGrid w:val="0"/>
              <w:spacing w:line="216" w:lineRule="auto"/>
              <w:jc w:val="center"/>
              <w:rPr>
                <w:szCs w:val="21"/>
              </w:rPr>
            </w:pPr>
            <w:r>
              <w:rPr>
                <w:rFonts w:hint="eastAsia"/>
                <w:szCs w:val="21"/>
              </w:rPr>
              <w:t>1.14</w:t>
            </w:r>
          </w:p>
          <w:p w:rsidR="00475650" w:rsidRDefault="00475650">
            <w:pPr>
              <w:snapToGrid w:val="0"/>
              <w:spacing w:line="216" w:lineRule="auto"/>
              <w:jc w:val="center"/>
              <w:rPr>
                <w:szCs w:val="21"/>
              </w:rPr>
            </w:pPr>
            <w:r>
              <w:rPr>
                <w:rFonts w:hint="eastAsia"/>
                <w:szCs w:val="21"/>
              </w:rPr>
              <w:t>（</w:t>
            </w:r>
            <w:r>
              <w:rPr>
                <w:rFonts w:hint="eastAsia"/>
                <w:szCs w:val="21"/>
              </w:rPr>
              <w:t>0.158</w:t>
            </w:r>
            <w:r>
              <w:rPr>
                <w:rFonts w:hint="eastAsia"/>
                <w:szCs w:val="21"/>
              </w:rPr>
              <w:t>）</w:t>
            </w:r>
          </w:p>
        </w:tc>
        <w:tc>
          <w:tcPr>
            <w:tcW w:w="849" w:type="dxa"/>
            <w:vMerge w:val="restart"/>
            <w:vAlign w:val="center"/>
          </w:tcPr>
          <w:p w:rsidR="00475650" w:rsidRDefault="00475650">
            <w:pPr>
              <w:snapToGrid w:val="0"/>
              <w:spacing w:line="216" w:lineRule="auto"/>
              <w:jc w:val="center"/>
              <w:rPr>
                <w:szCs w:val="21"/>
              </w:rPr>
            </w:pPr>
            <w:r>
              <w:rPr>
                <w:rFonts w:hint="eastAsia"/>
                <w:szCs w:val="21"/>
              </w:rPr>
              <w:t>10.533</w:t>
            </w:r>
          </w:p>
        </w:tc>
        <w:tc>
          <w:tcPr>
            <w:tcW w:w="434" w:type="dxa"/>
            <w:vMerge/>
            <w:vAlign w:val="center"/>
          </w:tcPr>
          <w:p w:rsidR="00475650" w:rsidRDefault="00475650">
            <w:pPr>
              <w:snapToGrid w:val="0"/>
              <w:spacing w:line="216" w:lineRule="auto"/>
              <w:jc w:val="center"/>
              <w:rPr>
                <w:rFonts w:hAnsi="宋体"/>
                <w:szCs w:val="21"/>
              </w:rPr>
            </w:pPr>
          </w:p>
        </w:tc>
        <w:tc>
          <w:tcPr>
            <w:tcW w:w="565" w:type="dxa"/>
            <w:vMerge/>
            <w:vAlign w:val="center"/>
          </w:tcPr>
          <w:p w:rsidR="00475650" w:rsidRDefault="00475650">
            <w:pPr>
              <w:snapToGrid w:val="0"/>
              <w:spacing w:line="216" w:lineRule="auto"/>
              <w:jc w:val="center"/>
              <w:rPr>
                <w:rFonts w:hAnsi="宋体"/>
                <w:szCs w:val="21"/>
              </w:rPr>
            </w:pPr>
          </w:p>
        </w:tc>
        <w:tc>
          <w:tcPr>
            <w:tcW w:w="565" w:type="dxa"/>
            <w:vMerge/>
            <w:vAlign w:val="center"/>
          </w:tcPr>
          <w:p w:rsidR="00475650" w:rsidRDefault="00475650">
            <w:pPr>
              <w:snapToGrid w:val="0"/>
              <w:spacing w:line="216" w:lineRule="auto"/>
              <w:jc w:val="center"/>
              <w:rPr>
                <w:rFonts w:hAnsi="宋体"/>
                <w:szCs w:val="21"/>
              </w:rPr>
            </w:pPr>
          </w:p>
        </w:tc>
      </w:tr>
      <w:tr w:rsidR="00475650">
        <w:trPr>
          <w:trHeight w:val="210"/>
          <w:jc w:val="center"/>
        </w:trPr>
        <w:tc>
          <w:tcPr>
            <w:tcW w:w="435" w:type="dxa"/>
            <w:vMerge/>
            <w:vAlign w:val="center"/>
          </w:tcPr>
          <w:p w:rsidR="00475650" w:rsidRDefault="00475650">
            <w:pPr>
              <w:snapToGrid w:val="0"/>
              <w:spacing w:line="216" w:lineRule="auto"/>
              <w:jc w:val="center"/>
              <w:rPr>
                <w:szCs w:val="21"/>
              </w:rPr>
            </w:pPr>
          </w:p>
        </w:tc>
        <w:tc>
          <w:tcPr>
            <w:tcW w:w="1097" w:type="dxa"/>
            <w:vAlign w:val="center"/>
          </w:tcPr>
          <w:p w:rsidR="00475650" w:rsidRDefault="00475650">
            <w:pPr>
              <w:snapToGrid w:val="0"/>
              <w:spacing w:line="216" w:lineRule="auto"/>
              <w:jc w:val="center"/>
              <w:rPr>
                <w:szCs w:val="21"/>
              </w:rPr>
            </w:pPr>
            <w:r>
              <w:rPr>
                <w:rFonts w:hAnsi="宋体"/>
                <w:szCs w:val="21"/>
              </w:rPr>
              <w:t>破碎废气</w:t>
            </w:r>
          </w:p>
        </w:tc>
        <w:tc>
          <w:tcPr>
            <w:tcW w:w="1134" w:type="dxa"/>
            <w:vAlign w:val="center"/>
          </w:tcPr>
          <w:p w:rsidR="00475650" w:rsidRDefault="00475650">
            <w:pPr>
              <w:snapToGrid w:val="0"/>
              <w:spacing w:line="216" w:lineRule="auto"/>
              <w:jc w:val="center"/>
              <w:rPr>
                <w:szCs w:val="21"/>
              </w:rPr>
            </w:pPr>
            <w:r>
              <w:rPr>
                <w:rFonts w:hint="eastAsia"/>
                <w:szCs w:val="21"/>
              </w:rPr>
              <w:t>破碎机</w:t>
            </w:r>
          </w:p>
        </w:tc>
        <w:tc>
          <w:tcPr>
            <w:tcW w:w="860" w:type="dxa"/>
            <w:vAlign w:val="center"/>
          </w:tcPr>
          <w:p w:rsidR="00475650" w:rsidRDefault="00475650">
            <w:pPr>
              <w:snapToGrid w:val="0"/>
              <w:spacing w:line="216" w:lineRule="auto"/>
              <w:jc w:val="center"/>
              <w:rPr>
                <w:szCs w:val="21"/>
              </w:rPr>
            </w:pPr>
            <w:r>
              <w:rPr>
                <w:rFonts w:hint="eastAsia"/>
                <w:szCs w:val="21"/>
              </w:rPr>
              <w:t>粉尘</w:t>
            </w:r>
          </w:p>
        </w:tc>
        <w:tc>
          <w:tcPr>
            <w:tcW w:w="701" w:type="dxa"/>
            <w:vAlign w:val="center"/>
          </w:tcPr>
          <w:p w:rsidR="00475650" w:rsidRDefault="00475650">
            <w:pPr>
              <w:snapToGrid w:val="0"/>
              <w:spacing w:line="216" w:lineRule="auto"/>
              <w:jc w:val="center"/>
              <w:rPr>
                <w:szCs w:val="21"/>
              </w:rPr>
            </w:pPr>
            <w:r>
              <w:rPr>
                <w:rFonts w:hint="eastAsia"/>
                <w:szCs w:val="21"/>
              </w:rPr>
              <w:t>7.35</w:t>
            </w:r>
          </w:p>
        </w:tc>
        <w:tc>
          <w:tcPr>
            <w:tcW w:w="1416" w:type="dxa"/>
            <w:vMerge w:val="restart"/>
            <w:vAlign w:val="center"/>
          </w:tcPr>
          <w:p w:rsidR="00475650" w:rsidRDefault="00475650">
            <w:pPr>
              <w:snapToGrid w:val="0"/>
              <w:spacing w:line="216" w:lineRule="auto"/>
              <w:jc w:val="center"/>
              <w:rPr>
                <w:szCs w:val="21"/>
              </w:rPr>
            </w:pPr>
            <w:r>
              <w:rPr>
                <w:rFonts w:hint="eastAsia"/>
                <w:szCs w:val="21"/>
              </w:rPr>
              <w:t>布袋收尘</w:t>
            </w:r>
            <w:r>
              <w:rPr>
                <w:rFonts w:hint="eastAsia"/>
                <w:szCs w:val="21"/>
              </w:rPr>
              <w:t>+</w:t>
            </w:r>
            <w:r>
              <w:rPr>
                <w:rFonts w:hint="eastAsia"/>
                <w:szCs w:val="21"/>
              </w:rPr>
              <w:t>布袋自带的</w:t>
            </w:r>
            <w:r>
              <w:rPr>
                <w:rFonts w:hint="eastAsia"/>
                <w:szCs w:val="21"/>
              </w:rPr>
              <w:t xml:space="preserve">5m </w:t>
            </w:r>
            <w:r>
              <w:rPr>
                <w:rFonts w:hint="eastAsia"/>
                <w:szCs w:val="21"/>
              </w:rPr>
              <w:t>排气筒外排</w:t>
            </w:r>
          </w:p>
        </w:tc>
        <w:tc>
          <w:tcPr>
            <w:tcW w:w="1561" w:type="dxa"/>
            <w:vMerge w:val="restart"/>
            <w:vAlign w:val="center"/>
          </w:tcPr>
          <w:p w:rsidR="00475650" w:rsidRDefault="00475650">
            <w:pPr>
              <w:snapToGrid w:val="0"/>
              <w:spacing w:line="216" w:lineRule="auto"/>
              <w:jc w:val="center"/>
              <w:rPr>
                <w:szCs w:val="21"/>
              </w:rPr>
            </w:pPr>
            <w:r>
              <w:rPr>
                <w:rFonts w:hint="eastAsia"/>
                <w:szCs w:val="21"/>
              </w:rPr>
              <w:t>布袋收尘</w:t>
            </w:r>
            <w:r>
              <w:rPr>
                <w:rFonts w:hint="eastAsia"/>
                <w:szCs w:val="21"/>
              </w:rPr>
              <w:t>+</w:t>
            </w:r>
            <w:r>
              <w:rPr>
                <w:rFonts w:hint="eastAsia"/>
                <w:szCs w:val="21"/>
              </w:rPr>
              <w:t>高点集中外排</w:t>
            </w:r>
          </w:p>
        </w:tc>
        <w:tc>
          <w:tcPr>
            <w:tcW w:w="1135" w:type="dxa"/>
            <w:vAlign w:val="center"/>
          </w:tcPr>
          <w:p w:rsidR="00475650" w:rsidRDefault="00475650">
            <w:pPr>
              <w:snapToGrid w:val="0"/>
              <w:spacing w:line="216" w:lineRule="auto"/>
              <w:jc w:val="center"/>
              <w:rPr>
                <w:szCs w:val="21"/>
              </w:rPr>
            </w:pPr>
            <w:r>
              <w:rPr>
                <w:rFonts w:hint="eastAsia"/>
                <w:szCs w:val="21"/>
              </w:rPr>
              <w:t>94.525%</w:t>
            </w:r>
          </w:p>
        </w:tc>
        <w:tc>
          <w:tcPr>
            <w:tcW w:w="707" w:type="dxa"/>
            <w:vMerge/>
            <w:vAlign w:val="center"/>
          </w:tcPr>
          <w:p w:rsidR="00475650" w:rsidRDefault="00475650">
            <w:pPr>
              <w:snapToGrid w:val="0"/>
              <w:spacing w:line="216" w:lineRule="auto"/>
              <w:jc w:val="center"/>
              <w:rPr>
                <w:szCs w:val="21"/>
              </w:rPr>
            </w:pPr>
          </w:p>
        </w:tc>
        <w:tc>
          <w:tcPr>
            <w:tcW w:w="749" w:type="dxa"/>
            <w:vMerge/>
            <w:vAlign w:val="center"/>
          </w:tcPr>
          <w:p w:rsidR="00475650" w:rsidRDefault="00475650">
            <w:pPr>
              <w:snapToGrid w:val="0"/>
              <w:spacing w:line="216" w:lineRule="auto"/>
              <w:jc w:val="center"/>
              <w:rPr>
                <w:szCs w:val="21"/>
              </w:rPr>
            </w:pPr>
          </w:p>
        </w:tc>
        <w:tc>
          <w:tcPr>
            <w:tcW w:w="710" w:type="dxa"/>
            <w:vMerge/>
          </w:tcPr>
          <w:p w:rsidR="00475650" w:rsidRDefault="00475650">
            <w:pPr>
              <w:snapToGrid w:val="0"/>
              <w:spacing w:line="216" w:lineRule="auto"/>
              <w:jc w:val="center"/>
              <w:rPr>
                <w:szCs w:val="21"/>
              </w:rPr>
            </w:pPr>
          </w:p>
        </w:tc>
        <w:tc>
          <w:tcPr>
            <w:tcW w:w="1274" w:type="dxa"/>
            <w:vMerge/>
            <w:vAlign w:val="center"/>
          </w:tcPr>
          <w:p w:rsidR="00475650" w:rsidRDefault="00475650">
            <w:pPr>
              <w:snapToGrid w:val="0"/>
              <w:spacing w:line="216" w:lineRule="auto"/>
              <w:jc w:val="center"/>
              <w:rPr>
                <w:szCs w:val="21"/>
              </w:rPr>
            </w:pPr>
          </w:p>
        </w:tc>
        <w:tc>
          <w:tcPr>
            <w:tcW w:w="849" w:type="dxa"/>
            <w:vMerge/>
            <w:vAlign w:val="center"/>
          </w:tcPr>
          <w:p w:rsidR="00475650" w:rsidRDefault="00475650">
            <w:pPr>
              <w:snapToGrid w:val="0"/>
              <w:spacing w:line="216" w:lineRule="auto"/>
              <w:jc w:val="center"/>
              <w:rPr>
                <w:szCs w:val="21"/>
              </w:rPr>
            </w:pPr>
          </w:p>
        </w:tc>
        <w:tc>
          <w:tcPr>
            <w:tcW w:w="434" w:type="dxa"/>
            <w:vMerge/>
            <w:vAlign w:val="center"/>
          </w:tcPr>
          <w:p w:rsidR="00475650" w:rsidRDefault="00475650">
            <w:pPr>
              <w:snapToGrid w:val="0"/>
              <w:spacing w:line="216" w:lineRule="auto"/>
              <w:jc w:val="center"/>
              <w:rPr>
                <w:rFonts w:hAnsi="宋体"/>
                <w:szCs w:val="21"/>
              </w:rPr>
            </w:pPr>
          </w:p>
        </w:tc>
        <w:tc>
          <w:tcPr>
            <w:tcW w:w="565" w:type="dxa"/>
            <w:vMerge/>
            <w:vAlign w:val="center"/>
          </w:tcPr>
          <w:p w:rsidR="00475650" w:rsidRDefault="00475650">
            <w:pPr>
              <w:snapToGrid w:val="0"/>
              <w:spacing w:line="216" w:lineRule="auto"/>
              <w:jc w:val="center"/>
              <w:rPr>
                <w:rFonts w:hAnsi="宋体"/>
                <w:szCs w:val="21"/>
              </w:rPr>
            </w:pPr>
          </w:p>
        </w:tc>
        <w:tc>
          <w:tcPr>
            <w:tcW w:w="565" w:type="dxa"/>
            <w:vMerge/>
            <w:vAlign w:val="center"/>
          </w:tcPr>
          <w:p w:rsidR="00475650" w:rsidRDefault="00475650">
            <w:pPr>
              <w:snapToGrid w:val="0"/>
              <w:spacing w:line="216" w:lineRule="auto"/>
              <w:jc w:val="center"/>
              <w:rPr>
                <w:rFonts w:hAnsi="宋体"/>
                <w:szCs w:val="21"/>
              </w:rPr>
            </w:pPr>
          </w:p>
        </w:tc>
      </w:tr>
      <w:tr w:rsidR="00475650">
        <w:trPr>
          <w:trHeight w:val="210"/>
          <w:jc w:val="center"/>
        </w:trPr>
        <w:tc>
          <w:tcPr>
            <w:tcW w:w="435" w:type="dxa"/>
            <w:vMerge/>
            <w:vAlign w:val="center"/>
          </w:tcPr>
          <w:p w:rsidR="00475650" w:rsidRDefault="00475650">
            <w:pPr>
              <w:snapToGrid w:val="0"/>
              <w:spacing w:line="216" w:lineRule="auto"/>
              <w:jc w:val="center"/>
              <w:rPr>
                <w:szCs w:val="21"/>
              </w:rPr>
            </w:pPr>
          </w:p>
        </w:tc>
        <w:tc>
          <w:tcPr>
            <w:tcW w:w="1097" w:type="dxa"/>
            <w:vAlign w:val="center"/>
          </w:tcPr>
          <w:p w:rsidR="00475650" w:rsidRDefault="00475650">
            <w:pPr>
              <w:snapToGrid w:val="0"/>
              <w:spacing w:line="216" w:lineRule="auto"/>
              <w:jc w:val="center"/>
              <w:rPr>
                <w:szCs w:val="21"/>
              </w:rPr>
            </w:pPr>
            <w:r>
              <w:rPr>
                <w:rFonts w:hint="eastAsia"/>
                <w:szCs w:val="21"/>
              </w:rPr>
              <w:t>包装废气</w:t>
            </w:r>
          </w:p>
        </w:tc>
        <w:tc>
          <w:tcPr>
            <w:tcW w:w="1134" w:type="dxa"/>
            <w:vAlign w:val="center"/>
          </w:tcPr>
          <w:p w:rsidR="00475650" w:rsidRDefault="00475650">
            <w:pPr>
              <w:snapToGrid w:val="0"/>
              <w:spacing w:line="216" w:lineRule="auto"/>
              <w:jc w:val="center"/>
              <w:rPr>
                <w:szCs w:val="21"/>
              </w:rPr>
            </w:pPr>
            <w:r>
              <w:rPr>
                <w:rFonts w:hint="eastAsia"/>
                <w:szCs w:val="21"/>
              </w:rPr>
              <w:t>包装机</w:t>
            </w:r>
          </w:p>
        </w:tc>
        <w:tc>
          <w:tcPr>
            <w:tcW w:w="860" w:type="dxa"/>
            <w:vAlign w:val="center"/>
          </w:tcPr>
          <w:p w:rsidR="00475650" w:rsidRDefault="00475650">
            <w:pPr>
              <w:snapToGrid w:val="0"/>
              <w:spacing w:line="216" w:lineRule="auto"/>
              <w:jc w:val="center"/>
              <w:rPr>
                <w:szCs w:val="21"/>
              </w:rPr>
            </w:pPr>
            <w:r>
              <w:rPr>
                <w:rFonts w:hint="eastAsia"/>
                <w:szCs w:val="21"/>
              </w:rPr>
              <w:t>粉尘</w:t>
            </w:r>
          </w:p>
        </w:tc>
        <w:tc>
          <w:tcPr>
            <w:tcW w:w="701" w:type="dxa"/>
            <w:vAlign w:val="center"/>
          </w:tcPr>
          <w:p w:rsidR="00475650" w:rsidRDefault="00475650">
            <w:pPr>
              <w:snapToGrid w:val="0"/>
              <w:spacing w:line="216" w:lineRule="auto"/>
              <w:jc w:val="center"/>
              <w:rPr>
                <w:szCs w:val="21"/>
              </w:rPr>
            </w:pPr>
            <w:r>
              <w:rPr>
                <w:rFonts w:hint="eastAsia"/>
                <w:szCs w:val="21"/>
              </w:rPr>
              <w:t>5.66</w:t>
            </w:r>
          </w:p>
        </w:tc>
        <w:tc>
          <w:tcPr>
            <w:tcW w:w="1416" w:type="dxa"/>
            <w:vMerge/>
            <w:vAlign w:val="center"/>
          </w:tcPr>
          <w:p w:rsidR="00475650" w:rsidRDefault="00475650">
            <w:pPr>
              <w:snapToGrid w:val="0"/>
              <w:spacing w:line="216" w:lineRule="auto"/>
              <w:jc w:val="center"/>
              <w:rPr>
                <w:szCs w:val="21"/>
              </w:rPr>
            </w:pPr>
          </w:p>
        </w:tc>
        <w:tc>
          <w:tcPr>
            <w:tcW w:w="1561" w:type="dxa"/>
            <w:vMerge/>
            <w:vAlign w:val="center"/>
          </w:tcPr>
          <w:p w:rsidR="00475650" w:rsidRDefault="00475650">
            <w:pPr>
              <w:snapToGrid w:val="0"/>
              <w:spacing w:line="216" w:lineRule="auto"/>
              <w:jc w:val="center"/>
              <w:rPr>
                <w:szCs w:val="21"/>
              </w:rPr>
            </w:pPr>
          </w:p>
        </w:tc>
        <w:tc>
          <w:tcPr>
            <w:tcW w:w="1135" w:type="dxa"/>
            <w:vAlign w:val="center"/>
          </w:tcPr>
          <w:p w:rsidR="00475650" w:rsidRDefault="00475650">
            <w:pPr>
              <w:snapToGrid w:val="0"/>
              <w:spacing w:line="216" w:lineRule="auto"/>
              <w:jc w:val="center"/>
              <w:rPr>
                <w:szCs w:val="21"/>
              </w:rPr>
            </w:pPr>
            <w:r>
              <w:rPr>
                <w:rFonts w:hint="eastAsia"/>
                <w:szCs w:val="21"/>
              </w:rPr>
              <w:t>94.525%</w:t>
            </w:r>
          </w:p>
        </w:tc>
        <w:tc>
          <w:tcPr>
            <w:tcW w:w="707" w:type="dxa"/>
            <w:vMerge/>
            <w:vAlign w:val="center"/>
          </w:tcPr>
          <w:p w:rsidR="00475650" w:rsidRDefault="00475650">
            <w:pPr>
              <w:snapToGrid w:val="0"/>
              <w:spacing w:line="216" w:lineRule="auto"/>
              <w:jc w:val="center"/>
              <w:rPr>
                <w:szCs w:val="21"/>
              </w:rPr>
            </w:pPr>
          </w:p>
        </w:tc>
        <w:tc>
          <w:tcPr>
            <w:tcW w:w="749" w:type="dxa"/>
            <w:vMerge/>
            <w:vAlign w:val="center"/>
          </w:tcPr>
          <w:p w:rsidR="00475650" w:rsidRDefault="00475650">
            <w:pPr>
              <w:snapToGrid w:val="0"/>
              <w:spacing w:line="216" w:lineRule="auto"/>
              <w:jc w:val="center"/>
              <w:rPr>
                <w:szCs w:val="21"/>
              </w:rPr>
            </w:pPr>
          </w:p>
        </w:tc>
        <w:tc>
          <w:tcPr>
            <w:tcW w:w="710" w:type="dxa"/>
            <w:vMerge/>
          </w:tcPr>
          <w:p w:rsidR="00475650" w:rsidRDefault="00475650">
            <w:pPr>
              <w:snapToGrid w:val="0"/>
              <w:spacing w:line="216" w:lineRule="auto"/>
              <w:jc w:val="center"/>
              <w:rPr>
                <w:szCs w:val="21"/>
              </w:rPr>
            </w:pPr>
          </w:p>
        </w:tc>
        <w:tc>
          <w:tcPr>
            <w:tcW w:w="1274" w:type="dxa"/>
            <w:vMerge/>
            <w:vAlign w:val="center"/>
          </w:tcPr>
          <w:p w:rsidR="00475650" w:rsidRDefault="00475650">
            <w:pPr>
              <w:snapToGrid w:val="0"/>
              <w:spacing w:line="216" w:lineRule="auto"/>
              <w:jc w:val="center"/>
              <w:rPr>
                <w:szCs w:val="21"/>
              </w:rPr>
            </w:pPr>
          </w:p>
        </w:tc>
        <w:tc>
          <w:tcPr>
            <w:tcW w:w="849" w:type="dxa"/>
            <w:vMerge/>
            <w:vAlign w:val="center"/>
          </w:tcPr>
          <w:p w:rsidR="00475650" w:rsidRDefault="00475650">
            <w:pPr>
              <w:snapToGrid w:val="0"/>
              <w:spacing w:line="216" w:lineRule="auto"/>
              <w:jc w:val="center"/>
              <w:rPr>
                <w:szCs w:val="21"/>
              </w:rPr>
            </w:pPr>
          </w:p>
        </w:tc>
        <w:tc>
          <w:tcPr>
            <w:tcW w:w="434" w:type="dxa"/>
            <w:vMerge/>
            <w:vAlign w:val="center"/>
          </w:tcPr>
          <w:p w:rsidR="00475650" w:rsidRDefault="00475650">
            <w:pPr>
              <w:snapToGrid w:val="0"/>
              <w:spacing w:line="216" w:lineRule="auto"/>
              <w:jc w:val="center"/>
              <w:rPr>
                <w:rFonts w:hAnsi="宋体"/>
                <w:szCs w:val="21"/>
              </w:rPr>
            </w:pPr>
          </w:p>
        </w:tc>
        <w:tc>
          <w:tcPr>
            <w:tcW w:w="565" w:type="dxa"/>
            <w:vMerge/>
            <w:vAlign w:val="center"/>
          </w:tcPr>
          <w:p w:rsidR="00475650" w:rsidRDefault="00475650">
            <w:pPr>
              <w:snapToGrid w:val="0"/>
              <w:spacing w:line="216" w:lineRule="auto"/>
              <w:jc w:val="center"/>
              <w:rPr>
                <w:rFonts w:hAnsi="宋体"/>
                <w:szCs w:val="21"/>
              </w:rPr>
            </w:pPr>
          </w:p>
        </w:tc>
        <w:tc>
          <w:tcPr>
            <w:tcW w:w="565" w:type="dxa"/>
            <w:vMerge/>
            <w:vAlign w:val="center"/>
          </w:tcPr>
          <w:p w:rsidR="00475650" w:rsidRDefault="00475650">
            <w:pPr>
              <w:snapToGrid w:val="0"/>
              <w:spacing w:line="216" w:lineRule="auto"/>
              <w:jc w:val="center"/>
              <w:rPr>
                <w:rFonts w:hAnsi="宋体"/>
                <w:szCs w:val="21"/>
              </w:rPr>
            </w:pPr>
          </w:p>
        </w:tc>
      </w:tr>
      <w:tr w:rsidR="00475650">
        <w:trPr>
          <w:trHeight w:val="210"/>
          <w:jc w:val="center"/>
        </w:trPr>
        <w:tc>
          <w:tcPr>
            <w:tcW w:w="435" w:type="dxa"/>
            <w:vMerge/>
            <w:vAlign w:val="center"/>
          </w:tcPr>
          <w:p w:rsidR="00475650" w:rsidRDefault="00475650">
            <w:pPr>
              <w:snapToGrid w:val="0"/>
              <w:spacing w:line="216" w:lineRule="auto"/>
              <w:jc w:val="center"/>
              <w:rPr>
                <w:szCs w:val="21"/>
              </w:rPr>
            </w:pPr>
          </w:p>
        </w:tc>
        <w:tc>
          <w:tcPr>
            <w:tcW w:w="1097" w:type="dxa"/>
            <w:vAlign w:val="center"/>
          </w:tcPr>
          <w:p w:rsidR="00475650" w:rsidRDefault="00475650">
            <w:pPr>
              <w:snapToGrid w:val="0"/>
              <w:spacing w:line="216" w:lineRule="auto"/>
              <w:jc w:val="center"/>
              <w:rPr>
                <w:szCs w:val="21"/>
              </w:rPr>
            </w:pPr>
            <w:r>
              <w:rPr>
                <w:rFonts w:hint="eastAsia"/>
                <w:szCs w:val="21"/>
              </w:rPr>
              <w:t>污水处理站废气</w:t>
            </w:r>
          </w:p>
        </w:tc>
        <w:tc>
          <w:tcPr>
            <w:tcW w:w="1134" w:type="dxa"/>
            <w:vAlign w:val="center"/>
          </w:tcPr>
          <w:p w:rsidR="00475650" w:rsidRDefault="00475650">
            <w:pPr>
              <w:snapToGrid w:val="0"/>
              <w:spacing w:line="216" w:lineRule="auto"/>
              <w:jc w:val="center"/>
              <w:rPr>
                <w:szCs w:val="21"/>
              </w:rPr>
            </w:pPr>
            <w:r>
              <w:rPr>
                <w:rFonts w:hint="eastAsia"/>
                <w:szCs w:val="21"/>
              </w:rPr>
              <w:t>生化工序及污泥暂存场</w:t>
            </w:r>
          </w:p>
        </w:tc>
        <w:tc>
          <w:tcPr>
            <w:tcW w:w="860" w:type="dxa"/>
            <w:vAlign w:val="center"/>
          </w:tcPr>
          <w:p w:rsidR="00475650" w:rsidRDefault="00475650">
            <w:pPr>
              <w:snapToGrid w:val="0"/>
              <w:spacing w:line="216" w:lineRule="auto"/>
              <w:jc w:val="center"/>
              <w:rPr>
                <w:szCs w:val="21"/>
              </w:rPr>
            </w:pPr>
            <w:r>
              <w:rPr>
                <w:rFonts w:hint="eastAsia"/>
                <w:szCs w:val="21"/>
              </w:rPr>
              <w:t>氨</w:t>
            </w:r>
          </w:p>
        </w:tc>
        <w:tc>
          <w:tcPr>
            <w:tcW w:w="701" w:type="dxa"/>
            <w:vAlign w:val="center"/>
          </w:tcPr>
          <w:p w:rsidR="00475650" w:rsidRDefault="00475650">
            <w:pPr>
              <w:snapToGrid w:val="0"/>
              <w:spacing w:line="216" w:lineRule="auto"/>
              <w:jc w:val="center"/>
              <w:rPr>
                <w:szCs w:val="21"/>
              </w:rPr>
            </w:pPr>
            <w:r>
              <w:rPr>
                <w:rFonts w:hint="eastAsia"/>
                <w:szCs w:val="21"/>
              </w:rPr>
              <w:t>0.15</w:t>
            </w:r>
          </w:p>
        </w:tc>
        <w:tc>
          <w:tcPr>
            <w:tcW w:w="1416" w:type="dxa"/>
            <w:vAlign w:val="center"/>
          </w:tcPr>
          <w:p w:rsidR="00475650" w:rsidRDefault="00475650">
            <w:pPr>
              <w:snapToGrid w:val="0"/>
              <w:spacing w:line="216" w:lineRule="auto"/>
              <w:jc w:val="center"/>
              <w:rPr>
                <w:szCs w:val="21"/>
              </w:rPr>
            </w:pPr>
            <w:r>
              <w:rPr>
                <w:rFonts w:hint="eastAsia"/>
                <w:szCs w:val="21"/>
              </w:rPr>
              <w:t>无组织</w:t>
            </w:r>
          </w:p>
        </w:tc>
        <w:tc>
          <w:tcPr>
            <w:tcW w:w="1561" w:type="dxa"/>
            <w:vAlign w:val="center"/>
          </w:tcPr>
          <w:p w:rsidR="00475650" w:rsidRDefault="00475650">
            <w:pPr>
              <w:snapToGrid w:val="0"/>
              <w:spacing w:line="216" w:lineRule="auto"/>
              <w:jc w:val="center"/>
              <w:rPr>
                <w:szCs w:val="21"/>
              </w:rPr>
            </w:pPr>
            <w:r>
              <w:rPr>
                <w:rFonts w:hint="eastAsia"/>
                <w:szCs w:val="21"/>
              </w:rPr>
              <w:t>污水处理站加盖</w:t>
            </w:r>
            <w:r>
              <w:rPr>
                <w:rFonts w:hint="eastAsia"/>
                <w:szCs w:val="21"/>
              </w:rPr>
              <w:t>+</w:t>
            </w:r>
            <w:r>
              <w:rPr>
                <w:rFonts w:hint="eastAsia"/>
                <w:szCs w:val="21"/>
              </w:rPr>
              <w:t>负压收集</w:t>
            </w:r>
            <w:r>
              <w:rPr>
                <w:rFonts w:hint="eastAsia"/>
                <w:szCs w:val="21"/>
              </w:rPr>
              <w:t>+</w:t>
            </w:r>
            <w:r>
              <w:rPr>
                <w:rFonts w:hint="eastAsia"/>
                <w:szCs w:val="21"/>
              </w:rPr>
              <w:t>碱液喷淋吸收</w:t>
            </w:r>
            <w:r>
              <w:rPr>
                <w:rFonts w:hint="eastAsia"/>
                <w:szCs w:val="21"/>
              </w:rPr>
              <w:t>+</w:t>
            </w:r>
            <w:r>
              <w:rPr>
                <w:rFonts w:hint="eastAsia"/>
                <w:szCs w:val="21"/>
              </w:rPr>
              <w:t>高点外排</w:t>
            </w:r>
          </w:p>
        </w:tc>
        <w:tc>
          <w:tcPr>
            <w:tcW w:w="1135" w:type="dxa"/>
            <w:vAlign w:val="center"/>
          </w:tcPr>
          <w:p w:rsidR="00475650" w:rsidRDefault="00475650">
            <w:pPr>
              <w:snapToGrid w:val="0"/>
              <w:spacing w:line="216" w:lineRule="auto"/>
              <w:jc w:val="center"/>
              <w:rPr>
                <w:szCs w:val="21"/>
              </w:rPr>
            </w:pPr>
            <w:r>
              <w:rPr>
                <w:rFonts w:hint="eastAsia"/>
                <w:szCs w:val="21"/>
              </w:rPr>
              <w:t>/</w:t>
            </w:r>
          </w:p>
        </w:tc>
        <w:tc>
          <w:tcPr>
            <w:tcW w:w="707" w:type="dxa"/>
            <w:vMerge/>
            <w:vAlign w:val="center"/>
          </w:tcPr>
          <w:p w:rsidR="00475650" w:rsidRDefault="00475650">
            <w:pPr>
              <w:snapToGrid w:val="0"/>
              <w:spacing w:line="216" w:lineRule="auto"/>
              <w:jc w:val="center"/>
              <w:rPr>
                <w:szCs w:val="21"/>
              </w:rPr>
            </w:pPr>
          </w:p>
        </w:tc>
        <w:tc>
          <w:tcPr>
            <w:tcW w:w="749" w:type="dxa"/>
            <w:vMerge/>
            <w:vAlign w:val="center"/>
          </w:tcPr>
          <w:p w:rsidR="00475650" w:rsidRDefault="00475650">
            <w:pPr>
              <w:snapToGrid w:val="0"/>
              <w:spacing w:line="216" w:lineRule="auto"/>
              <w:jc w:val="center"/>
              <w:rPr>
                <w:szCs w:val="21"/>
              </w:rPr>
            </w:pPr>
          </w:p>
        </w:tc>
        <w:tc>
          <w:tcPr>
            <w:tcW w:w="710" w:type="dxa"/>
            <w:vMerge/>
          </w:tcPr>
          <w:p w:rsidR="00475650" w:rsidRDefault="00475650">
            <w:pPr>
              <w:snapToGrid w:val="0"/>
              <w:spacing w:line="216" w:lineRule="auto"/>
              <w:jc w:val="center"/>
              <w:rPr>
                <w:szCs w:val="21"/>
              </w:rPr>
            </w:pPr>
          </w:p>
        </w:tc>
        <w:tc>
          <w:tcPr>
            <w:tcW w:w="1274" w:type="dxa"/>
            <w:vMerge/>
            <w:vAlign w:val="center"/>
          </w:tcPr>
          <w:p w:rsidR="00475650" w:rsidRDefault="00475650">
            <w:pPr>
              <w:snapToGrid w:val="0"/>
              <w:spacing w:line="216" w:lineRule="auto"/>
              <w:jc w:val="center"/>
              <w:rPr>
                <w:szCs w:val="21"/>
              </w:rPr>
            </w:pPr>
          </w:p>
        </w:tc>
        <w:tc>
          <w:tcPr>
            <w:tcW w:w="849" w:type="dxa"/>
            <w:vMerge/>
            <w:vAlign w:val="center"/>
          </w:tcPr>
          <w:p w:rsidR="00475650" w:rsidRDefault="00475650">
            <w:pPr>
              <w:snapToGrid w:val="0"/>
              <w:spacing w:line="216" w:lineRule="auto"/>
              <w:jc w:val="center"/>
              <w:rPr>
                <w:szCs w:val="21"/>
              </w:rPr>
            </w:pPr>
          </w:p>
        </w:tc>
        <w:tc>
          <w:tcPr>
            <w:tcW w:w="434" w:type="dxa"/>
            <w:vMerge/>
            <w:vAlign w:val="center"/>
          </w:tcPr>
          <w:p w:rsidR="00475650" w:rsidRDefault="00475650">
            <w:pPr>
              <w:snapToGrid w:val="0"/>
              <w:spacing w:line="216" w:lineRule="auto"/>
              <w:jc w:val="center"/>
              <w:rPr>
                <w:rFonts w:hAnsi="宋体"/>
                <w:szCs w:val="21"/>
              </w:rPr>
            </w:pPr>
          </w:p>
        </w:tc>
        <w:tc>
          <w:tcPr>
            <w:tcW w:w="565" w:type="dxa"/>
            <w:vMerge/>
            <w:vAlign w:val="center"/>
          </w:tcPr>
          <w:p w:rsidR="00475650" w:rsidRDefault="00475650">
            <w:pPr>
              <w:snapToGrid w:val="0"/>
              <w:spacing w:line="216" w:lineRule="auto"/>
              <w:jc w:val="center"/>
              <w:rPr>
                <w:rFonts w:hAnsi="宋体"/>
                <w:szCs w:val="21"/>
              </w:rPr>
            </w:pPr>
          </w:p>
        </w:tc>
        <w:tc>
          <w:tcPr>
            <w:tcW w:w="565" w:type="dxa"/>
            <w:vMerge/>
            <w:vAlign w:val="center"/>
          </w:tcPr>
          <w:p w:rsidR="00475650" w:rsidRDefault="00475650">
            <w:pPr>
              <w:snapToGrid w:val="0"/>
              <w:spacing w:line="216" w:lineRule="auto"/>
              <w:jc w:val="center"/>
              <w:rPr>
                <w:rFonts w:hAnsi="宋体"/>
                <w:szCs w:val="21"/>
              </w:rPr>
            </w:pPr>
          </w:p>
        </w:tc>
      </w:tr>
      <w:tr w:rsidR="00475650">
        <w:trPr>
          <w:trHeight w:val="210"/>
          <w:jc w:val="center"/>
        </w:trPr>
        <w:tc>
          <w:tcPr>
            <w:tcW w:w="435" w:type="dxa"/>
            <w:vMerge/>
            <w:vAlign w:val="center"/>
          </w:tcPr>
          <w:p w:rsidR="00475650" w:rsidRDefault="00475650">
            <w:pPr>
              <w:snapToGrid w:val="0"/>
              <w:spacing w:line="216" w:lineRule="auto"/>
              <w:jc w:val="center"/>
              <w:rPr>
                <w:szCs w:val="21"/>
              </w:rPr>
            </w:pPr>
          </w:p>
        </w:tc>
        <w:tc>
          <w:tcPr>
            <w:tcW w:w="1097" w:type="dxa"/>
            <w:vAlign w:val="center"/>
          </w:tcPr>
          <w:p w:rsidR="00475650" w:rsidRDefault="00475650">
            <w:pPr>
              <w:snapToGrid w:val="0"/>
              <w:spacing w:line="216" w:lineRule="auto"/>
              <w:jc w:val="center"/>
              <w:rPr>
                <w:szCs w:val="21"/>
              </w:rPr>
            </w:pPr>
            <w:r>
              <w:rPr>
                <w:rFonts w:hint="eastAsia"/>
                <w:szCs w:val="21"/>
              </w:rPr>
              <w:t>隔膜压滤臭气</w:t>
            </w:r>
          </w:p>
        </w:tc>
        <w:tc>
          <w:tcPr>
            <w:tcW w:w="1134" w:type="dxa"/>
            <w:vAlign w:val="center"/>
          </w:tcPr>
          <w:p w:rsidR="00475650" w:rsidRDefault="00475650">
            <w:pPr>
              <w:snapToGrid w:val="0"/>
              <w:spacing w:line="216" w:lineRule="auto"/>
              <w:jc w:val="center"/>
              <w:rPr>
                <w:szCs w:val="21"/>
              </w:rPr>
            </w:pPr>
            <w:r>
              <w:rPr>
                <w:rFonts w:hint="eastAsia"/>
                <w:szCs w:val="21"/>
              </w:rPr>
              <w:t>隔膜压滤机</w:t>
            </w:r>
          </w:p>
        </w:tc>
        <w:tc>
          <w:tcPr>
            <w:tcW w:w="860" w:type="dxa"/>
            <w:vAlign w:val="center"/>
          </w:tcPr>
          <w:p w:rsidR="00475650" w:rsidRDefault="00475650">
            <w:pPr>
              <w:snapToGrid w:val="0"/>
              <w:spacing w:line="216" w:lineRule="auto"/>
              <w:jc w:val="center"/>
              <w:rPr>
                <w:szCs w:val="21"/>
              </w:rPr>
            </w:pPr>
            <w:r>
              <w:rPr>
                <w:rFonts w:hint="eastAsia"/>
                <w:szCs w:val="21"/>
              </w:rPr>
              <w:t>有机异味</w:t>
            </w:r>
          </w:p>
        </w:tc>
        <w:tc>
          <w:tcPr>
            <w:tcW w:w="701" w:type="dxa"/>
            <w:vAlign w:val="center"/>
          </w:tcPr>
          <w:p w:rsidR="00475650" w:rsidRDefault="00475650">
            <w:pPr>
              <w:snapToGrid w:val="0"/>
              <w:spacing w:line="216" w:lineRule="auto"/>
              <w:jc w:val="center"/>
              <w:rPr>
                <w:szCs w:val="21"/>
              </w:rPr>
            </w:pPr>
          </w:p>
        </w:tc>
        <w:tc>
          <w:tcPr>
            <w:tcW w:w="1416" w:type="dxa"/>
            <w:vAlign w:val="center"/>
          </w:tcPr>
          <w:p w:rsidR="00475650" w:rsidRDefault="00475650">
            <w:pPr>
              <w:snapToGrid w:val="0"/>
              <w:spacing w:line="216" w:lineRule="auto"/>
              <w:jc w:val="center"/>
              <w:rPr>
                <w:szCs w:val="21"/>
              </w:rPr>
            </w:pPr>
            <w:r>
              <w:rPr>
                <w:rFonts w:hint="eastAsia"/>
                <w:szCs w:val="21"/>
              </w:rPr>
              <w:t>无组织</w:t>
            </w:r>
          </w:p>
        </w:tc>
        <w:tc>
          <w:tcPr>
            <w:tcW w:w="1561" w:type="dxa"/>
            <w:vAlign w:val="center"/>
          </w:tcPr>
          <w:p w:rsidR="00475650" w:rsidRDefault="00475650">
            <w:pPr>
              <w:snapToGrid w:val="0"/>
              <w:spacing w:line="216" w:lineRule="auto"/>
              <w:jc w:val="center"/>
              <w:rPr>
                <w:szCs w:val="21"/>
              </w:rPr>
            </w:pPr>
            <w:r>
              <w:rPr>
                <w:rFonts w:hint="eastAsia"/>
                <w:szCs w:val="21"/>
              </w:rPr>
              <w:t>负压收集</w:t>
            </w:r>
            <w:r>
              <w:rPr>
                <w:rFonts w:hint="eastAsia"/>
                <w:szCs w:val="21"/>
              </w:rPr>
              <w:t>+</w:t>
            </w:r>
            <w:r>
              <w:rPr>
                <w:rFonts w:hint="eastAsia"/>
                <w:szCs w:val="21"/>
              </w:rPr>
              <w:t>碱液喷淋吸收</w:t>
            </w:r>
            <w:r>
              <w:rPr>
                <w:rFonts w:hint="eastAsia"/>
                <w:szCs w:val="21"/>
              </w:rPr>
              <w:t>+</w:t>
            </w:r>
            <w:r>
              <w:rPr>
                <w:rFonts w:hint="eastAsia"/>
                <w:szCs w:val="21"/>
              </w:rPr>
              <w:t>高点外排</w:t>
            </w:r>
          </w:p>
        </w:tc>
        <w:tc>
          <w:tcPr>
            <w:tcW w:w="1135" w:type="dxa"/>
            <w:vAlign w:val="center"/>
          </w:tcPr>
          <w:p w:rsidR="00475650" w:rsidRDefault="00475650">
            <w:pPr>
              <w:snapToGrid w:val="0"/>
              <w:spacing w:line="216" w:lineRule="auto"/>
              <w:jc w:val="center"/>
              <w:rPr>
                <w:szCs w:val="21"/>
              </w:rPr>
            </w:pPr>
          </w:p>
        </w:tc>
        <w:tc>
          <w:tcPr>
            <w:tcW w:w="707" w:type="dxa"/>
            <w:vMerge/>
            <w:vAlign w:val="center"/>
          </w:tcPr>
          <w:p w:rsidR="00475650" w:rsidRDefault="00475650">
            <w:pPr>
              <w:snapToGrid w:val="0"/>
              <w:spacing w:line="216" w:lineRule="auto"/>
              <w:jc w:val="center"/>
              <w:rPr>
                <w:szCs w:val="21"/>
              </w:rPr>
            </w:pPr>
          </w:p>
        </w:tc>
        <w:tc>
          <w:tcPr>
            <w:tcW w:w="749" w:type="dxa"/>
            <w:vMerge/>
            <w:vAlign w:val="center"/>
          </w:tcPr>
          <w:p w:rsidR="00475650" w:rsidRDefault="00475650">
            <w:pPr>
              <w:snapToGrid w:val="0"/>
              <w:spacing w:line="216" w:lineRule="auto"/>
              <w:jc w:val="center"/>
              <w:rPr>
                <w:szCs w:val="21"/>
              </w:rPr>
            </w:pPr>
          </w:p>
        </w:tc>
        <w:tc>
          <w:tcPr>
            <w:tcW w:w="710" w:type="dxa"/>
          </w:tcPr>
          <w:p w:rsidR="00475650" w:rsidRDefault="00475650">
            <w:pPr>
              <w:snapToGrid w:val="0"/>
              <w:spacing w:line="216" w:lineRule="auto"/>
              <w:jc w:val="center"/>
              <w:rPr>
                <w:szCs w:val="21"/>
              </w:rPr>
            </w:pPr>
          </w:p>
        </w:tc>
        <w:tc>
          <w:tcPr>
            <w:tcW w:w="1274" w:type="dxa"/>
            <w:vAlign w:val="center"/>
          </w:tcPr>
          <w:p w:rsidR="00475650" w:rsidRDefault="00475650">
            <w:pPr>
              <w:snapToGrid w:val="0"/>
              <w:spacing w:line="216" w:lineRule="auto"/>
              <w:jc w:val="center"/>
              <w:rPr>
                <w:szCs w:val="21"/>
              </w:rPr>
            </w:pPr>
          </w:p>
        </w:tc>
        <w:tc>
          <w:tcPr>
            <w:tcW w:w="849" w:type="dxa"/>
            <w:vAlign w:val="center"/>
          </w:tcPr>
          <w:p w:rsidR="00475650" w:rsidRDefault="00475650">
            <w:pPr>
              <w:snapToGrid w:val="0"/>
              <w:spacing w:line="216" w:lineRule="auto"/>
              <w:jc w:val="center"/>
              <w:rPr>
                <w:szCs w:val="21"/>
              </w:rPr>
            </w:pPr>
          </w:p>
        </w:tc>
        <w:tc>
          <w:tcPr>
            <w:tcW w:w="434" w:type="dxa"/>
            <w:vMerge/>
            <w:vAlign w:val="center"/>
          </w:tcPr>
          <w:p w:rsidR="00475650" w:rsidRDefault="00475650">
            <w:pPr>
              <w:snapToGrid w:val="0"/>
              <w:spacing w:line="216" w:lineRule="auto"/>
              <w:jc w:val="center"/>
              <w:rPr>
                <w:rFonts w:hAnsi="宋体"/>
                <w:szCs w:val="21"/>
              </w:rPr>
            </w:pPr>
          </w:p>
        </w:tc>
        <w:tc>
          <w:tcPr>
            <w:tcW w:w="565" w:type="dxa"/>
            <w:vMerge/>
            <w:vAlign w:val="center"/>
          </w:tcPr>
          <w:p w:rsidR="00475650" w:rsidRDefault="00475650">
            <w:pPr>
              <w:snapToGrid w:val="0"/>
              <w:spacing w:line="216" w:lineRule="auto"/>
              <w:jc w:val="center"/>
              <w:rPr>
                <w:rFonts w:hAnsi="宋体"/>
                <w:szCs w:val="21"/>
              </w:rPr>
            </w:pPr>
          </w:p>
        </w:tc>
        <w:tc>
          <w:tcPr>
            <w:tcW w:w="565" w:type="dxa"/>
            <w:vMerge/>
            <w:vAlign w:val="center"/>
          </w:tcPr>
          <w:p w:rsidR="00475650" w:rsidRDefault="00475650">
            <w:pPr>
              <w:snapToGrid w:val="0"/>
              <w:spacing w:line="216" w:lineRule="auto"/>
              <w:jc w:val="center"/>
              <w:rPr>
                <w:rFonts w:hAnsi="宋体"/>
                <w:szCs w:val="21"/>
              </w:rPr>
            </w:pPr>
          </w:p>
        </w:tc>
      </w:tr>
      <w:tr w:rsidR="00475650">
        <w:trPr>
          <w:trHeight w:val="210"/>
          <w:jc w:val="center"/>
        </w:trPr>
        <w:tc>
          <w:tcPr>
            <w:tcW w:w="1532" w:type="dxa"/>
            <w:gridSpan w:val="2"/>
            <w:vMerge w:val="restart"/>
            <w:vAlign w:val="center"/>
          </w:tcPr>
          <w:p w:rsidR="00475650" w:rsidRDefault="00475650">
            <w:pPr>
              <w:snapToGrid w:val="0"/>
              <w:spacing w:line="216" w:lineRule="auto"/>
              <w:jc w:val="center"/>
              <w:rPr>
                <w:szCs w:val="21"/>
              </w:rPr>
            </w:pPr>
            <w:r>
              <w:rPr>
                <w:rFonts w:hint="eastAsia"/>
                <w:szCs w:val="21"/>
              </w:rPr>
              <w:t>无组织</w:t>
            </w:r>
          </w:p>
        </w:tc>
        <w:tc>
          <w:tcPr>
            <w:tcW w:w="1134" w:type="dxa"/>
            <w:vMerge w:val="restart"/>
            <w:vAlign w:val="center"/>
          </w:tcPr>
          <w:p w:rsidR="00475650" w:rsidRDefault="00475650">
            <w:pPr>
              <w:snapToGrid w:val="0"/>
              <w:spacing w:line="216" w:lineRule="auto"/>
              <w:jc w:val="center"/>
              <w:rPr>
                <w:szCs w:val="21"/>
              </w:rPr>
            </w:pPr>
            <w:r>
              <w:rPr>
                <w:rFonts w:hint="eastAsia"/>
                <w:szCs w:val="21"/>
              </w:rPr>
              <w:t>车间装置连接不紧密处</w:t>
            </w:r>
          </w:p>
        </w:tc>
        <w:tc>
          <w:tcPr>
            <w:tcW w:w="860" w:type="dxa"/>
            <w:vAlign w:val="center"/>
          </w:tcPr>
          <w:p w:rsidR="00475650" w:rsidRDefault="00475650">
            <w:pPr>
              <w:snapToGrid w:val="0"/>
              <w:spacing w:line="216" w:lineRule="auto"/>
              <w:jc w:val="center"/>
              <w:rPr>
                <w:szCs w:val="21"/>
              </w:rPr>
            </w:pPr>
            <w:r>
              <w:rPr>
                <w:rFonts w:hint="eastAsia"/>
                <w:szCs w:val="21"/>
              </w:rPr>
              <w:t>氯化氢</w:t>
            </w:r>
          </w:p>
        </w:tc>
        <w:tc>
          <w:tcPr>
            <w:tcW w:w="701" w:type="dxa"/>
            <w:vAlign w:val="center"/>
          </w:tcPr>
          <w:p w:rsidR="00475650" w:rsidRDefault="00475650">
            <w:pPr>
              <w:snapToGrid w:val="0"/>
              <w:spacing w:line="216" w:lineRule="auto"/>
              <w:jc w:val="center"/>
              <w:rPr>
                <w:szCs w:val="21"/>
              </w:rPr>
            </w:pPr>
          </w:p>
        </w:tc>
        <w:tc>
          <w:tcPr>
            <w:tcW w:w="1416" w:type="dxa"/>
            <w:vAlign w:val="center"/>
          </w:tcPr>
          <w:p w:rsidR="00475650" w:rsidRDefault="00475650">
            <w:pPr>
              <w:snapToGrid w:val="0"/>
              <w:spacing w:line="216" w:lineRule="auto"/>
              <w:jc w:val="center"/>
              <w:rPr>
                <w:szCs w:val="21"/>
              </w:rPr>
            </w:pPr>
          </w:p>
        </w:tc>
        <w:tc>
          <w:tcPr>
            <w:tcW w:w="1561" w:type="dxa"/>
            <w:vAlign w:val="center"/>
          </w:tcPr>
          <w:p w:rsidR="00475650" w:rsidRDefault="00475650">
            <w:pPr>
              <w:snapToGrid w:val="0"/>
              <w:spacing w:line="216" w:lineRule="auto"/>
              <w:jc w:val="center"/>
              <w:rPr>
                <w:szCs w:val="21"/>
              </w:rPr>
            </w:pPr>
          </w:p>
        </w:tc>
        <w:tc>
          <w:tcPr>
            <w:tcW w:w="1135" w:type="dxa"/>
            <w:vAlign w:val="center"/>
          </w:tcPr>
          <w:p w:rsidR="00475650" w:rsidRDefault="00475650">
            <w:pPr>
              <w:snapToGrid w:val="0"/>
              <w:spacing w:line="216" w:lineRule="auto"/>
              <w:jc w:val="center"/>
              <w:rPr>
                <w:szCs w:val="21"/>
              </w:rPr>
            </w:pPr>
          </w:p>
        </w:tc>
        <w:tc>
          <w:tcPr>
            <w:tcW w:w="707" w:type="dxa"/>
            <w:vAlign w:val="center"/>
          </w:tcPr>
          <w:p w:rsidR="00475650" w:rsidRDefault="00475650">
            <w:pPr>
              <w:snapToGrid w:val="0"/>
              <w:spacing w:line="216" w:lineRule="auto"/>
              <w:jc w:val="center"/>
              <w:rPr>
                <w:szCs w:val="21"/>
              </w:rPr>
            </w:pPr>
          </w:p>
        </w:tc>
        <w:tc>
          <w:tcPr>
            <w:tcW w:w="749" w:type="dxa"/>
            <w:vAlign w:val="center"/>
          </w:tcPr>
          <w:p w:rsidR="00475650" w:rsidRDefault="00475650">
            <w:pPr>
              <w:snapToGrid w:val="0"/>
              <w:spacing w:line="216" w:lineRule="auto"/>
              <w:jc w:val="center"/>
              <w:rPr>
                <w:szCs w:val="21"/>
              </w:rPr>
            </w:pPr>
          </w:p>
        </w:tc>
        <w:tc>
          <w:tcPr>
            <w:tcW w:w="710" w:type="dxa"/>
          </w:tcPr>
          <w:p w:rsidR="00475650" w:rsidRDefault="00475650">
            <w:pPr>
              <w:snapToGrid w:val="0"/>
              <w:spacing w:line="216" w:lineRule="auto"/>
              <w:jc w:val="center"/>
              <w:rPr>
                <w:szCs w:val="21"/>
              </w:rPr>
            </w:pPr>
          </w:p>
        </w:tc>
        <w:tc>
          <w:tcPr>
            <w:tcW w:w="1274" w:type="dxa"/>
            <w:vAlign w:val="center"/>
          </w:tcPr>
          <w:p w:rsidR="00475650" w:rsidRDefault="00475650">
            <w:pPr>
              <w:snapToGrid w:val="0"/>
              <w:spacing w:line="216" w:lineRule="auto"/>
              <w:jc w:val="center"/>
              <w:rPr>
                <w:szCs w:val="21"/>
              </w:rPr>
            </w:pPr>
            <w:r>
              <w:rPr>
                <w:rFonts w:hint="eastAsia"/>
                <w:szCs w:val="21"/>
              </w:rPr>
              <w:t>0.25t/a</w:t>
            </w:r>
          </w:p>
        </w:tc>
        <w:tc>
          <w:tcPr>
            <w:tcW w:w="849" w:type="dxa"/>
            <w:vAlign w:val="center"/>
          </w:tcPr>
          <w:p w:rsidR="00475650" w:rsidRDefault="00475650">
            <w:pPr>
              <w:snapToGrid w:val="0"/>
              <w:spacing w:line="216" w:lineRule="auto"/>
              <w:jc w:val="center"/>
              <w:rPr>
                <w:szCs w:val="21"/>
              </w:rPr>
            </w:pPr>
          </w:p>
        </w:tc>
        <w:tc>
          <w:tcPr>
            <w:tcW w:w="434" w:type="dxa"/>
            <w:vAlign w:val="center"/>
          </w:tcPr>
          <w:p w:rsidR="00475650" w:rsidRDefault="00475650">
            <w:pPr>
              <w:snapToGrid w:val="0"/>
              <w:spacing w:line="216" w:lineRule="auto"/>
              <w:jc w:val="center"/>
              <w:rPr>
                <w:rFonts w:hAnsi="宋体"/>
                <w:szCs w:val="21"/>
              </w:rPr>
            </w:pPr>
          </w:p>
        </w:tc>
        <w:tc>
          <w:tcPr>
            <w:tcW w:w="565" w:type="dxa"/>
            <w:vAlign w:val="center"/>
          </w:tcPr>
          <w:p w:rsidR="00475650" w:rsidRDefault="00475650">
            <w:pPr>
              <w:snapToGrid w:val="0"/>
              <w:spacing w:line="216" w:lineRule="auto"/>
              <w:jc w:val="center"/>
              <w:rPr>
                <w:rFonts w:hAnsi="宋体"/>
                <w:szCs w:val="21"/>
              </w:rPr>
            </w:pPr>
          </w:p>
        </w:tc>
        <w:tc>
          <w:tcPr>
            <w:tcW w:w="565" w:type="dxa"/>
            <w:vAlign w:val="center"/>
          </w:tcPr>
          <w:p w:rsidR="00475650" w:rsidRDefault="00475650">
            <w:pPr>
              <w:snapToGrid w:val="0"/>
              <w:spacing w:line="216" w:lineRule="auto"/>
              <w:jc w:val="center"/>
              <w:rPr>
                <w:rFonts w:hAnsi="宋体"/>
                <w:szCs w:val="21"/>
              </w:rPr>
            </w:pPr>
          </w:p>
        </w:tc>
      </w:tr>
      <w:tr w:rsidR="00475650">
        <w:trPr>
          <w:trHeight w:val="210"/>
          <w:jc w:val="center"/>
        </w:trPr>
        <w:tc>
          <w:tcPr>
            <w:tcW w:w="1532" w:type="dxa"/>
            <w:gridSpan w:val="2"/>
            <w:vMerge/>
            <w:vAlign w:val="center"/>
          </w:tcPr>
          <w:p w:rsidR="00475650" w:rsidRDefault="00475650">
            <w:pPr>
              <w:snapToGrid w:val="0"/>
              <w:spacing w:line="216" w:lineRule="auto"/>
              <w:jc w:val="center"/>
              <w:rPr>
                <w:szCs w:val="21"/>
              </w:rPr>
            </w:pPr>
          </w:p>
        </w:tc>
        <w:tc>
          <w:tcPr>
            <w:tcW w:w="1134" w:type="dxa"/>
            <w:vMerge/>
            <w:vAlign w:val="center"/>
          </w:tcPr>
          <w:p w:rsidR="00475650" w:rsidRDefault="00475650">
            <w:pPr>
              <w:snapToGrid w:val="0"/>
              <w:spacing w:line="216" w:lineRule="auto"/>
              <w:jc w:val="center"/>
              <w:rPr>
                <w:szCs w:val="21"/>
              </w:rPr>
            </w:pPr>
          </w:p>
        </w:tc>
        <w:tc>
          <w:tcPr>
            <w:tcW w:w="860" w:type="dxa"/>
            <w:vAlign w:val="center"/>
          </w:tcPr>
          <w:p w:rsidR="00475650" w:rsidRDefault="00475650">
            <w:pPr>
              <w:snapToGrid w:val="0"/>
              <w:spacing w:line="216" w:lineRule="auto"/>
              <w:jc w:val="center"/>
              <w:rPr>
                <w:szCs w:val="21"/>
              </w:rPr>
            </w:pPr>
            <w:r>
              <w:rPr>
                <w:rFonts w:hint="eastAsia"/>
                <w:szCs w:val="21"/>
              </w:rPr>
              <w:t>粉尘</w:t>
            </w:r>
          </w:p>
        </w:tc>
        <w:tc>
          <w:tcPr>
            <w:tcW w:w="701" w:type="dxa"/>
            <w:vAlign w:val="center"/>
          </w:tcPr>
          <w:p w:rsidR="00475650" w:rsidRDefault="00475650">
            <w:pPr>
              <w:snapToGrid w:val="0"/>
              <w:spacing w:line="216" w:lineRule="auto"/>
              <w:jc w:val="center"/>
              <w:rPr>
                <w:szCs w:val="21"/>
              </w:rPr>
            </w:pPr>
          </w:p>
        </w:tc>
        <w:tc>
          <w:tcPr>
            <w:tcW w:w="1416" w:type="dxa"/>
            <w:vAlign w:val="center"/>
          </w:tcPr>
          <w:p w:rsidR="00475650" w:rsidRDefault="00475650">
            <w:pPr>
              <w:snapToGrid w:val="0"/>
              <w:spacing w:line="216" w:lineRule="auto"/>
              <w:jc w:val="center"/>
              <w:rPr>
                <w:szCs w:val="21"/>
              </w:rPr>
            </w:pPr>
          </w:p>
        </w:tc>
        <w:tc>
          <w:tcPr>
            <w:tcW w:w="1561" w:type="dxa"/>
            <w:vAlign w:val="center"/>
          </w:tcPr>
          <w:p w:rsidR="00475650" w:rsidRDefault="00475650">
            <w:pPr>
              <w:snapToGrid w:val="0"/>
              <w:spacing w:line="216" w:lineRule="auto"/>
              <w:jc w:val="center"/>
              <w:rPr>
                <w:szCs w:val="21"/>
              </w:rPr>
            </w:pPr>
          </w:p>
        </w:tc>
        <w:tc>
          <w:tcPr>
            <w:tcW w:w="1135" w:type="dxa"/>
            <w:vAlign w:val="center"/>
          </w:tcPr>
          <w:p w:rsidR="00475650" w:rsidRDefault="00475650">
            <w:pPr>
              <w:snapToGrid w:val="0"/>
              <w:spacing w:line="216" w:lineRule="auto"/>
              <w:jc w:val="center"/>
              <w:rPr>
                <w:szCs w:val="21"/>
              </w:rPr>
            </w:pPr>
          </w:p>
        </w:tc>
        <w:tc>
          <w:tcPr>
            <w:tcW w:w="707" w:type="dxa"/>
            <w:vAlign w:val="center"/>
          </w:tcPr>
          <w:p w:rsidR="00475650" w:rsidRDefault="00475650">
            <w:pPr>
              <w:snapToGrid w:val="0"/>
              <w:spacing w:line="216" w:lineRule="auto"/>
              <w:jc w:val="center"/>
              <w:rPr>
                <w:szCs w:val="21"/>
              </w:rPr>
            </w:pPr>
          </w:p>
        </w:tc>
        <w:tc>
          <w:tcPr>
            <w:tcW w:w="749" w:type="dxa"/>
            <w:vAlign w:val="center"/>
          </w:tcPr>
          <w:p w:rsidR="00475650" w:rsidRDefault="00475650">
            <w:pPr>
              <w:snapToGrid w:val="0"/>
              <w:spacing w:line="216" w:lineRule="auto"/>
              <w:jc w:val="center"/>
              <w:rPr>
                <w:szCs w:val="21"/>
              </w:rPr>
            </w:pPr>
          </w:p>
        </w:tc>
        <w:tc>
          <w:tcPr>
            <w:tcW w:w="710" w:type="dxa"/>
          </w:tcPr>
          <w:p w:rsidR="00475650" w:rsidRDefault="00475650">
            <w:pPr>
              <w:snapToGrid w:val="0"/>
              <w:spacing w:line="216" w:lineRule="auto"/>
              <w:jc w:val="center"/>
              <w:rPr>
                <w:szCs w:val="21"/>
              </w:rPr>
            </w:pPr>
          </w:p>
        </w:tc>
        <w:tc>
          <w:tcPr>
            <w:tcW w:w="1274" w:type="dxa"/>
            <w:vAlign w:val="center"/>
          </w:tcPr>
          <w:p w:rsidR="00475650" w:rsidRDefault="00475650">
            <w:pPr>
              <w:snapToGrid w:val="0"/>
              <w:spacing w:line="216" w:lineRule="auto"/>
              <w:jc w:val="center"/>
              <w:rPr>
                <w:szCs w:val="21"/>
              </w:rPr>
            </w:pPr>
            <w:r>
              <w:rPr>
                <w:rFonts w:hint="eastAsia"/>
                <w:szCs w:val="21"/>
              </w:rPr>
              <w:t>0.71 t/a</w:t>
            </w:r>
          </w:p>
        </w:tc>
        <w:tc>
          <w:tcPr>
            <w:tcW w:w="849" w:type="dxa"/>
            <w:vAlign w:val="center"/>
          </w:tcPr>
          <w:p w:rsidR="00475650" w:rsidRDefault="00475650">
            <w:pPr>
              <w:snapToGrid w:val="0"/>
              <w:spacing w:line="216" w:lineRule="auto"/>
              <w:jc w:val="center"/>
              <w:rPr>
                <w:szCs w:val="21"/>
              </w:rPr>
            </w:pPr>
          </w:p>
        </w:tc>
        <w:tc>
          <w:tcPr>
            <w:tcW w:w="434" w:type="dxa"/>
            <w:vAlign w:val="center"/>
          </w:tcPr>
          <w:p w:rsidR="00475650" w:rsidRDefault="00475650">
            <w:pPr>
              <w:snapToGrid w:val="0"/>
              <w:spacing w:line="216" w:lineRule="auto"/>
              <w:jc w:val="center"/>
              <w:rPr>
                <w:rFonts w:hAnsi="宋体"/>
                <w:szCs w:val="21"/>
              </w:rPr>
            </w:pPr>
          </w:p>
        </w:tc>
        <w:tc>
          <w:tcPr>
            <w:tcW w:w="565" w:type="dxa"/>
            <w:vAlign w:val="center"/>
          </w:tcPr>
          <w:p w:rsidR="00475650" w:rsidRDefault="00475650">
            <w:pPr>
              <w:snapToGrid w:val="0"/>
              <w:spacing w:line="216" w:lineRule="auto"/>
              <w:jc w:val="center"/>
              <w:rPr>
                <w:rFonts w:hAnsi="宋体"/>
                <w:szCs w:val="21"/>
              </w:rPr>
            </w:pPr>
          </w:p>
        </w:tc>
        <w:tc>
          <w:tcPr>
            <w:tcW w:w="565" w:type="dxa"/>
            <w:vAlign w:val="center"/>
          </w:tcPr>
          <w:p w:rsidR="00475650" w:rsidRDefault="00475650">
            <w:pPr>
              <w:snapToGrid w:val="0"/>
              <w:spacing w:line="216" w:lineRule="auto"/>
              <w:jc w:val="center"/>
              <w:rPr>
                <w:rFonts w:hAnsi="宋体"/>
                <w:szCs w:val="21"/>
              </w:rPr>
            </w:pPr>
          </w:p>
        </w:tc>
      </w:tr>
      <w:tr w:rsidR="00475650">
        <w:trPr>
          <w:trHeight w:val="210"/>
          <w:jc w:val="center"/>
        </w:trPr>
        <w:tc>
          <w:tcPr>
            <w:tcW w:w="1532" w:type="dxa"/>
            <w:gridSpan w:val="2"/>
            <w:vMerge/>
            <w:vAlign w:val="center"/>
          </w:tcPr>
          <w:p w:rsidR="00475650" w:rsidRDefault="00475650">
            <w:pPr>
              <w:snapToGrid w:val="0"/>
              <w:spacing w:line="216" w:lineRule="auto"/>
              <w:jc w:val="center"/>
              <w:rPr>
                <w:szCs w:val="21"/>
              </w:rPr>
            </w:pPr>
          </w:p>
        </w:tc>
        <w:tc>
          <w:tcPr>
            <w:tcW w:w="1134" w:type="dxa"/>
            <w:vMerge/>
            <w:vAlign w:val="center"/>
          </w:tcPr>
          <w:p w:rsidR="00475650" w:rsidRDefault="00475650">
            <w:pPr>
              <w:snapToGrid w:val="0"/>
              <w:spacing w:line="216" w:lineRule="auto"/>
              <w:jc w:val="center"/>
              <w:rPr>
                <w:szCs w:val="21"/>
              </w:rPr>
            </w:pPr>
          </w:p>
        </w:tc>
        <w:tc>
          <w:tcPr>
            <w:tcW w:w="860" w:type="dxa"/>
            <w:vAlign w:val="center"/>
          </w:tcPr>
          <w:p w:rsidR="00475650" w:rsidRDefault="00475650">
            <w:pPr>
              <w:snapToGrid w:val="0"/>
              <w:spacing w:line="216" w:lineRule="auto"/>
              <w:jc w:val="center"/>
              <w:rPr>
                <w:szCs w:val="21"/>
              </w:rPr>
            </w:pPr>
            <w:r>
              <w:rPr>
                <w:rFonts w:hint="eastAsia"/>
                <w:szCs w:val="21"/>
              </w:rPr>
              <w:t>氨</w:t>
            </w:r>
          </w:p>
        </w:tc>
        <w:tc>
          <w:tcPr>
            <w:tcW w:w="701" w:type="dxa"/>
            <w:vAlign w:val="center"/>
          </w:tcPr>
          <w:p w:rsidR="00475650" w:rsidRDefault="00475650">
            <w:pPr>
              <w:snapToGrid w:val="0"/>
              <w:spacing w:line="216" w:lineRule="auto"/>
              <w:jc w:val="center"/>
              <w:rPr>
                <w:szCs w:val="21"/>
              </w:rPr>
            </w:pPr>
          </w:p>
        </w:tc>
        <w:tc>
          <w:tcPr>
            <w:tcW w:w="1416" w:type="dxa"/>
            <w:vAlign w:val="center"/>
          </w:tcPr>
          <w:p w:rsidR="00475650" w:rsidRDefault="00475650">
            <w:pPr>
              <w:snapToGrid w:val="0"/>
              <w:spacing w:line="216" w:lineRule="auto"/>
              <w:jc w:val="center"/>
              <w:rPr>
                <w:szCs w:val="21"/>
              </w:rPr>
            </w:pPr>
          </w:p>
        </w:tc>
        <w:tc>
          <w:tcPr>
            <w:tcW w:w="1561" w:type="dxa"/>
            <w:vAlign w:val="center"/>
          </w:tcPr>
          <w:p w:rsidR="00475650" w:rsidRDefault="00475650">
            <w:pPr>
              <w:snapToGrid w:val="0"/>
              <w:spacing w:line="216" w:lineRule="auto"/>
              <w:jc w:val="center"/>
              <w:rPr>
                <w:szCs w:val="21"/>
              </w:rPr>
            </w:pPr>
          </w:p>
        </w:tc>
        <w:tc>
          <w:tcPr>
            <w:tcW w:w="1135" w:type="dxa"/>
            <w:vAlign w:val="center"/>
          </w:tcPr>
          <w:p w:rsidR="00475650" w:rsidRDefault="00475650">
            <w:pPr>
              <w:snapToGrid w:val="0"/>
              <w:spacing w:line="216" w:lineRule="auto"/>
              <w:jc w:val="center"/>
              <w:rPr>
                <w:szCs w:val="21"/>
              </w:rPr>
            </w:pPr>
          </w:p>
        </w:tc>
        <w:tc>
          <w:tcPr>
            <w:tcW w:w="707" w:type="dxa"/>
            <w:vAlign w:val="center"/>
          </w:tcPr>
          <w:p w:rsidR="00475650" w:rsidRDefault="00475650">
            <w:pPr>
              <w:snapToGrid w:val="0"/>
              <w:spacing w:line="216" w:lineRule="auto"/>
              <w:jc w:val="center"/>
              <w:rPr>
                <w:szCs w:val="21"/>
              </w:rPr>
            </w:pPr>
          </w:p>
        </w:tc>
        <w:tc>
          <w:tcPr>
            <w:tcW w:w="749" w:type="dxa"/>
            <w:vAlign w:val="center"/>
          </w:tcPr>
          <w:p w:rsidR="00475650" w:rsidRDefault="00475650">
            <w:pPr>
              <w:snapToGrid w:val="0"/>
              <w:spacing w:line="216" w:lineRule="auto"/>
              <w:jc w:val="center"/>
              <w:rPr>
                <w:szCs w:val="21"/>
              </w:rPr>
            </w:pPr>
          </w:p>
        </w:tc>
        <w:tc>
          <w:tcPr>
            <w:tcW w:w="710" w:type="dxa"/>
          </w:tcPr>
          <w:p w:rsidR="00475650" w:rsidRDefault="00475650">
            <w:pPr>
              <w:snapToGrid w:val="0"/>
              <w:spacing w:line="216" w:lineRule="auto"/>
              <w:jc w:val="center"/>
              <w:rPr>
                <w:szCs w:val="21"/>
              </w:rPr>
            </w:pPr>
          </w:p>
        </w:tc>
        <w:tc>
          <w:tcPr>
            <w:tcW w:w="1274" w:type="dxa"/>
            <w:vAlign w:val="center"/>
          </w:tcPr>
          <w:p w:rsidR="00475650" w:rsidRDefault="00475650">
            <w:pPr>
              <w:snapToGrid w:val="0"/>
              <w:spacing w:line="216" w:lineRule="auto"/>
              <w:jc w:val="center"/>
              <w:rPr>
                <w:szCs w:val="21"/>
              </w:rPr>
            </w:pPr>
            <w:r>
              <w:rPr>
                <w:rFonts w:hint="eastAsia"/>
                <w:szCs w:val="21"/>
              </w:rPr>
              <w:t>0.014 t/a</w:t>
            </w:r>
          </w:p>
        </w:tc>
        <w:tc>
          <w:tcPr>
            <w:tcW w:w="849" w:type="dxa"/>
            <w:vAlign w:val="center"/>
          </w:tcPr>
          <w:p w:rsidR="00475650" w:rsidRDefault="00475650">
            <w:pPr>
              <w:snapToGrid w:val="0"/>
              <w:spacing w:line="216" w:lineRule="auto"/>
              <w:jc w:val="center"/>
              <w:rPr>
                <w:szCs w:val="21"/>
              </w:rPr>
            </w:pPr>
          </w:p>
        </w:tc>
        <w:tc>
          <w:tcPr>
            <w:tcW w:w="434" w:type="dxa"/>
            <w:vAlign w:val="center"/>
          </w:tcPr>
          <w:p w:rsidR="00475650" w:rsidRDefault="00475650">
            <w:pPr>
              <w:snapToGrid w:val="0"/>
              <w:spacing w:line="216" w:lineRule="auto"/>
              <w:jc w:val="center"/>
              <w:rPr>
                <w:rFonts w:hAnsi="宋体"/>
                <w:szCs w:val="21"/>
              </w:rPr>
            </w:pPr>
          </w:p>
        </w:tc>
        <w:tc>
          <w:tcPr>
            <w:tcW w:w="565" w:type="dxa"/>
            <w:vAlign w:val="center"/>
          </w:tcPr>
          <w:p w:rsidR="00475650" w:rsidRDefault="00475650">
            <w:pPr>
              <w:snapToGrid w:val="0"/>
              <w:spacing w:line="216" w:lineRule="auto"/>
              <w:jc w:val="center"/>
              <w:rPr>
                <w:rFonts w:hAnsi="宋体"/>
                <w:szCs w:val="21"/>
              </w:rPr>
            </w:pPr>
          </w:p>
        </w:tc>
        <w:tc>
          <w:tcPr>
            <w:tcW w:w="565" w:type="dxa"/>
            <w:vAlign w:val="center"/>
          </w:tcPr>
          <w:p w:rsidR="00475650" w:rsidRDefault="00475650">
            <w:pPr>
              <w:snapToGrid w:val="0"/>
              <w:spacing w:line="216" w:lineRule="auto"/>
              <w:jc w:val="center"/>
              <w:rPr>
                <w:rFonts w:hAnsi="宋体"/>
                <w:szCs w:val="21"/>
              </w:rPr>
            </w:pPr>
          </w:p>
        </w:tc>
      </w:tr>
    </w:tbl>
    <w:p w:rsidR="00475650" w:rsidRDefault="00475650">
      <w:pPr>
        <w:spacing w:line="360" w:lineRule="auto"/>
        <w:ind w:firstLineChars="200" w:firstLine="464"/>
        <w:rPr>
          <w:spacing w:val="-4"/>
          <w:sz w:val="24"/>
        </w:rPr>
        <w:sectPr w:rsidR="00475650">
          <w:pgSz w:w="16838" w:h="11906" w:orient="landscape"/>
          <w:pgMar w:top="1588" w:right="1588" w:bottom="1418" w:left="1588" w:header="851" w:footer="992" w:gutter="0"/>
          <w:paperSrc w:first="7" w:other="7"/>
          <w:cols w:space="720"/>
          <w:docGrid w:linePitch="312"/>
        </w:sectPr>
      </w:pPr>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584" w:name="_Toc334014156"/>
      <w:bookmarkStart w:id="585" w:name="_Toc333229979"/>
      <w:bookmarkStart w:id="586" w:name="_Toc302936791"/>
      <w:bookmarkStart w:id="587" w:name="_Toc334080798"/>
      <w:bookmarkStart w:id="588" w:name="_Toc448999098"/>
      <w:bookmarkStart w:id="589" w:name="_Toc465676994"/>
      <w:bookmarkStart w:id="590" w:name="_Toc12464"/>
      <w:r>
        <w:rPr>
          <w:rStyle w:val="2Char1Char"/>
          <w:rFonts w:ascii="Times New Roman" w:eastAsia="宋体" w:hAnsi="Times New Roman" w:cs="Times New Roman"/>
          <w:b w:val="0"/>
          <w:sz w:val="24"/>
          <w:szCs w:val="24"/>
        </w:rPr>
        <w:lastRenderedPageBreak/>
        <w:t>3.3.5.3</w:t>
      </w:r>
      <w:r>
        <w:rPr>
          <w:rStyle w:val="2Char1Char"/>
          <w:rFonts w:ascii="Times New Roman" w:eastAsia="宋体" w:hAnsi="宋体" w:cs="Times New Roman"/>
          <w:b w:val="0"/>
          <w:sz w:val="24"/>
          <w:szCs w:val="24"/>
        </w:rPr>
        <w:t>固体废物</w:t>
      </w:r>
      <w:bookmarkEnd w:id="584"/>
      <w:bookmarkEnd w:id="585"/>
      <w:bookmarkEnd w:id="586"/>
      <w:bookmarkEnd w:id="587"/>
      <w:bookmarkEnd w:id="588"/>
      <w:bookmarkEnd w:id="589"/>
      <w:bookmarkEnd w:id="590"/>
    </w:p>
    <w:p w:rsidR="00475650" w:rsidRDefault="00475650">
      <w:pPr>
        <w:pStyle w:val="2f2"/>
        <w:snapToGrid w:val="0"/>
        <w:ind w:firstLine="480"/>
        <w:rPr>
          <w:rFonts w:ascii="Times New Roman" w:hAnsi="Times New Roman" w:cs="Times New Roman"/>
          <w:szCs w:val="24"/>
        </w:rPr>
      </w:pPr>
      <w:r>
        <w:rPr>
          <w:rFonts w:ascii="Times New Roman" w:hAnsi="宋体" w:cs="Times New Roman"/>
          <w:szCs w:val="24"/>
        </w:rPr>
        <w:t>根据物料流程分析，本项目生产过程中无固体废物产生，项目固体废物是指原辅材料废包装物、污水处理装置产生的污泥以及工作人员产生的生活垃圾。</w:t>
      </w:r>
    </w:p>
    <w:p w:rsidR="00475650" w:rsidRDefault="00475650">
      <w:pPr>
        <w:spacing w:line="360" w:lineRule="auto"/>
        <w:ind w:firstLineChars="200" w:firstLine="464"/>
        <w:rPr>
          <w:spacing w:val="-4"/>
          <w:sz w:val="24"/>
        </w:rPr>
      </w:pPr>
      <w:bookmarkStart w:id="591" w:name="_Toc333229982"/>
      <w:r>
        <w:rPr>
          <w:spacing w:val="-4"/>
          <w:sz w:val="24"/>
        </w:rPr>
        <w:t>1</w:t>
      </w:r>
      <w:r>
        <w:rPr>
          <w:rFonts w:hAnsi="宋体"/>
          <w:spacing w:val="-4"/>
          <w:sz w:val="24"/>
        </w:rPr>
        <w:t>、废包装物</w:t>
      </w:r>
    </w:p>
    <w:p w:rsidR="00475650" w:rsidRDefault="00475650">
      <w:pPr>
        <w:spacing w:line="360" w:lineRule="auto"/>
        <w:ind w:firstLineChars="200" w:firstLine="464"/>
        <w:rPr>
          <w:spacing w:val="-4"/>
          <w:sz w:val="24"/>
        </w:rPr>
      </w:pPr>
      <w:r>
        <w:rPr>
          <w:rFonts w:hAnsi="宋体"/>
          <w:spacing w:val="-4"/>
          <w:sz w:val="24"/>
        </w:rPr>
        <w:t>本项目使用的固体原辅材料较多，由此将产生废包装桶和废包装袋，根据初步可研设计，废包装桶及废包装袋的产生量约为</w:t>
      </w:r>
      <w:r>
        <w:rPr>
          <w:spacing w:val="-4"/>
          <w:sz w:val="24"/>
        </w:rPr>
        <w:t>10t/a</w:t>
      </w:r>
      <w:r>
        <w:rPr>
          <w:rFonts w:hAnsi="宋体"/>
          <w:spacing w:val="-4"/>
          <w:sz w:val="24"/>
        </w:rPr>
        <w:t>，送厂家回收处理。</w:t>
      </w:r>
    </w:p>
    <w:p w:rsidR="00475650" w:rsidRDefault="00475650">
      <w:pPr>
        <w:spacing w:line="360" w:lineRule="auto"/>
        <w:ind w:firstLineChars="200" w:firstLine="464"/>
        <w:rPr>
          <w:spacing w:val="-4"/>
          <w:sz w:val="24"/>
        </w:rPr>
      </w:pPr>
      <w:r>
        <w:rPr>
          <w:spacing w:val="-4"/>
          <w:sz w:val="24"/>
        </w:rPr>
        <w:t>2</w:t>
      </w:r>
      <w:r>
        <w:rPr>
          <w:rFonts w:hAnsi="宋体"/>
          <w:spacing w:val="-4"/>
          <w:sz w:val="24"/>
        </w:rPr>
        <w:t>、污水预处理装置</w:t>
      </w:r>
      <w:bookmarkEnd w:id="591"/>
      <w:r>
        <w:rPr>
          <w:rFonts w:hAnsi="宋体"/>
          <w:spacing w:val="-4"/>
          <w:sz w:val="24"/>
        </w:rPr>
        <w:t>污泥</w:t>
      </w:r>
    </w:p>
    <w:p w:rsidR="00475650" w:rsidRDefault="00475650">
      <w:pPr>
        <w:spacing w:line="360" w:lineRule="auto"/>
        <w:ind w:firstLineChars="200" w:firstLine="464"/>
        <w:rPr>
          <w:rFonts w:hAnsi="宋体"/>
          <w:spacing w:val="-4"/>
          <w:sz w:val="24"/>
        </w:rPr>
      </w:pPr>
      <w:r>
        <w:rPr>
          <w:rFonts w:hAnsi="宋体"/>
          <w:spacing w:val="-4"/>
          <w:sz w:val="24"/>
        </w:rPr>
        <w:t>本项目产生的生产废水中盐分和有机物含量较高，需要自建污水预处理装置对废水进行生化处理，由此将产生</w:t>
      </w:r>
      <w:r>
        <w:rPr>
          <w:rFonts w:hAnsi="宋体" w:hint="eastAsia"/>
          <w:spacing w:val="-4"/>
          <w:sz w:val="24"/>
        </w:rPr>
        <w:t>生化</w:t>
      </w:r>
      <w:r>
        <w:rPr>
          <w:rFonts w:hAnsi="宋体"/>
          <w:spacing w:val="-4"/>
          <w:sz w:val="24"/>
        </w:rPr>
        <w:t>污泥；本项目污泥脱水后其产生量约为</w:t>
      </w:r>
      <w:r>
        <w:rPr>
          <w:rFonts w:hint="eastAsia"/>
          <w:spacing w:val="-4"/>
          <w:sz w:val="24"/>
        </w:rPr>
        <w:t>400</w:t>
      </w:r>
      <w:r>
        <w:rPr>
          <w:spacing w:val="-4"/>
          <w:sz w:val="24"/>
        </w:rPr>
        <w:t>t/a</w:t>
      </w:r>
      <w:r>
        <w:rPr>
          <w:rFonts w:hAnsi="宋体"/>
          <w:spacing w:val="-4"/>
          <w:sz w:val="24"/>
        </w:rPr>
        <w:t>（含水率约为</w:t>
      </w:r>
      <w:r>
        <w:rPr>
          <w:rFonts w:hint="eastAsia"/>
          <w:spacing w:val="-4"/>
          <w:sz w:val="24"/>
        </w:rPr>
        <w:t>60</w:t>
      </w:r>
      <w:r>
        <w:rPr>
          <w:spacing w:val="-4"/>
          <w:sz w:val="24"/>
        </w:rPr>
        <w:t>%</w:t>
      </w:r>
      <w:r>
        <w:rPr>
          <w:rFonts w:hint="eastAsia"/>
          <w:spacing w:val="-4"/>
          <w:sz w:val="24"/>
        </w:rPr>
        <w:t>，每公斤</w:t>
      </w:r>
      <w:r>
        <w:rPr>
          <w:rFonts w:hint="eastAsia"/>
          <w:spacing w:val="-4"/>
          <w:sz w:val="24"/>
        </w:rPr>
        <w:t>BOD</w:t>
      </w:r>
      <w:r>
        <w:rPr>
          <w:rFonts w:hint="eastAsia"/>
          <w:spacing w:val="-4"/>
          <w:sz w:val="24"/>
        </w:rPr>
        <w:t>产污泥系数为</w:t>
      </w:r>
      <w:r>
        <w:rPr>
          <w:rFonts w:hint="eastAsia"/>
          <w:spacing w:val="-4"/>
          <w:sz w:val="24"/>
        </w:rPr>
        <w:t>0.5</w:t>
      </w:r>
      <w:r>
        <w:rPr>
          <w:rFonts w:hint="eastAsia"/>
          <w:spacing w:val="-4"/>
          <w:sz w:val="24"/>
        </w:rPr>
        <w:t>公斤污泥干基</w:t>
      </w:r>
      <w:r>
        <w:rPr>
          <w:rFonts w:hAnsi="宋体"/>
          <w:spacing w:val="-4"/>
          <w:sz w:val="24"/>
        </w:rPr>
        <w:t>），主要成分为有机质，</w:t>
      </w:r>
      <w:r>
        <w:rPr>
          <w:rFonts w:hAnsi="宋体" w:hint="eastAsia"/>
          <w:spacing w:val="-4"/>
          <w:sz w:val="24"/>
        </w:rPr>
        <w:t>可研未涉及该污泥的处置</w:t>
      </w:r>
      <w:r>
        <w:rPr>
          <w:rFonts w:hAnsi="宋体"/>
          <w:spacing w:val="-4"/>
          <w:sz w:val="24"/>
        </w:rPr>
        <w:t>。</w:t>
      </w:r>
      <w:r>
        <w:rPr>
          <w:rFonts w:hAnsi="宋体" w:hint="eastAsia"/>
          <w:spacing w:val="-4"/>
          <w:sz w:val="24"/>
        </w:rPr>
        <w:t>根据《国家危险废物名录》</w:t>
      </w:r>
      <w:r>
        <w:rPr>
          <w:rFonts w:hAnsi="宋体" w:hint="eastAsia"/>
          <w:spacing w:val="-4"/>
          <w:sz w:val="24"/>
        </w:rPr>
        <w:t xml:space="preserve"> </w:t>
      </w:r>
      <w:r>
        <w:rPr>
          <w:rFonts w:hAnsi="宋体" w:hint="eastAsia"/>
          <w:spacing w:val="-4"/>
          <w:sz w:val="24"/>
        </w:rPr>
        <w:t>，污水处理站产生的污泥属于危险废物，废物类别为</w:t>
      </w:r>
      <w:r>
        <w:rPr>
          <w:rFonts w:hAnsi="宋体" w:hint="eastAsia"/>
          <w:spacing w:val="-4"/>
          <w:sz w:val="24"/>
        </w:rPr>
        <w:t>W12</w:t>
      </w:r>
      <w:r>
        <w:rPr>
          <w:rFonts w:hAnsi="宋体" w:hint="eastAsia"/>
          <w:spacing w:val="-4"/>
          <w:sz w:val="24"/>
        </w:rPr>
        <w:t>染料、涂料废物，环评建议按照危险废物管理要求，送有危险废物</w:t>
      </w:r>
      <w:r>
        <w:rPr>
          <w:rFonts w:hAnsi="宋体" w:hint="eastAsia"/>
          <w:spacing w:val="-4"/>
          <w:sz w:val="24"/>
        </w:rPr>
        <w:t>W12</w:t>
      </w:r>
      <w:r>
        <w:rPr>
          <w:rFonts w:hAnsi="宋体" w:hint="eastAsia"/>
          <w:spacing w:val="-4"/>
          <w:sz w:val="24"/>
        </w:rPr>
        <w:t>处理资质的单位进行处理。</w:t>
      </w:r>
    </w:p>
    <w:p w:rsidR="00475650" w:rsidRDefault="00475650">
      <w:pPr>
        <w:spacing w:line="360" w:lineRule="auto"/>
        <w:ind w:firstLineChars="200" w:firstLine="464"/>
        <w:rPr>
          <w:spacing w:val="-4"/>
          <w:sz w:val="24"/>
        </w:rPr>
      </w:pPr>
      <w:bookmarkStart w:id="592" w:name="_Toc333229983"/>
      <w:r>
        <w:rPr>
          <w:spacing w:val="-4"/>
          <w:sz w:val="24"/>
        </w:rPr>
        <w:t>3</w:t>
      </w:r>
      <w:r>
        <w:rPr>
          <w:rFonts w:hAnsi="宋体"/>
          <w:spacing w:val="-4"/>
          <w:sz w:val="24"/>
        </w:rPr>
        <w:t>、生活垃圾</w:t>
      </w:r>
      <w:bookmarkEnd w:id="592"/>
    </w:p>
    <w:p w:rsidR="00475650" w:rsidRDefault="00475650">
      <w:pPr>
        <w:spacing w:line="360" w:lineRule="auto"/>
        <w:ind w:firstLineChars="200" w:firstLine="464"/>
        <w:rPr>
          <w:spacing w:val="-4"/>
          <w:sz w:val="24"/>
        </w:rPr>
      </w:pPr>
      <w:r>
        <w:rPr>
          <w:rFonts w:hAnsi="宋体"/>
          <w:spacing w:val="-4"/>
          <w:sz w:val="24"/>
        </w:rPr>
        <w:t>本项目新增人员为</w:t>
      </w:r>
      <w:r>
        <w:rPr>
          <w:spacing w:val="-4"/>
          <w:sz w:val="24"/>
        </w:rPr>
        <w:t>60</w:t>
      </w:r>
      <w:r>
        <w:rPr>
          <w:rFonts w:hAnsi="宋体"/>
          <w:spacing w:val="-4"/>
          <w:sz w:val="24"/>
        </w:rPr>
        <w:t>人，生活垃圾主要产生于职工的日常生活，本项目不设职工倒班宿舍，生活垃圾产生量较少，根据职工人数、工作制度，按照人均垃圾产生量</w:t>
      </w:r>
      <w:r>
        <w:rPr>
          <w:spacing w:val="-4"/>
          <w:sz w:val="24"/>
        </w:rPr>
        <w:t>0.1kg/d</w:t>
      </w:r>
      <w:r>
        <w:rPr>
          <w:rFonts w:hAnsi="宋体"/>
          <w:spacing w:val="-4"/>
          <w:sz w:val="24"/>
        </w:rPr>
        <w:t>核算，总产生量约为</w:t>
      </w:r>
      <w:r>
        <w:rPr>
          <w:spacing w:val="-4"/>
          <w:sz w:val="24"/>
        </w:rPr>
        <w:t>1.8t/a</w:t>
      </w:r>
      <w:r>
        <w:rPr>
          <w:rFonts w:hAnsi="宋体"/>
          <w:spacing w:val="-4"/>
          <w:sz w:val="24"/>
        </w:rPr>
        <w:t>，生活垃圾定点收集后由环卫部门定期清运。</w:t>
      </w:r>
    </w:p>
    <w:p w:rsidR="00475650" w:rsidRDefault="00475650">
      <w:pPr>
        <w:spacing w:line="360" w:lineRule="auto"/>
        <w:ind w:firstLineChars="200" w:firstLine="464"/>
        <w:rPr>
          <w:spacing w:val="-4"/>
          <w:sz w:val="24"/>
        </w:rPr>
      </w:pPr>
      <w:r>
        <w:rPr>
          <w:rFonts w:hAnsi="宋体"/>
          <w:spacing w:val="-4"/>
          <w:sz w:val="24"/>
        </w:rPr>
        <w:t>本项目固体废物产生情况见表</w:t>
      </w:r>
      <w:r>
        <w:rPr>
          <w:spacing w:val="-4"/>
          <w:sz w:val="24"/>
        </w:rPr>
        <w:t>3.3-11</w:t>
      </w:r>
      <w:r>
        <w:rPr>
          <w:rFonts w:hAnsi="宋体"/>
          <w:spacing w:val="-4"/>
          <w:sz w:val="24"/>
        </w:rPr>
        <w:t>。</w:t>
      </w:r>
    </w:p>
    <w:p w:rsidR="00475650" w:rsidRDefault="00475650">
      <w:pPr>
        <w:adjustRightInd w:val="0"/>
        <w:snapToGrid w:val="0"/>
        <w:spacing w:line="360" w:lineRule="auto"/>
        <w:jc w:val="center"/>
        <w:rPr>
          <w:bCs/>
          <w:spacing w:val="4"/>
          <w:sz w:val="18"/>
          <w:szCs w:val="18"/>
        </w:rPr>
      </w:pPr>
      <w:r>
        <w:rPr>
          <w:rFonts w:hAnsi="宋体"/>
          <w:bCs/>
          <w:spacing w:val="4"/>
          <w:sz w:val="24"/>
        </w:rPr>
        <w:t>表</w:t>
      </w:r>
      <w:r>
        <w:rPr>
          <w:bCs/>
          <w:spacing w:val="4"/>
          <w:sz w:val="24"/>
        </w:rPr>
        <w:t xml:space="preserve">3.3-11   </w:t>
      </w:r>
      <w:r>
        <w:rPr>
          <w:rFonts w:hAnsi="宋体"/>
          <w:bCs/>
          <w:spacing w:val="4"/>
          <w:sz w:val="24"/>
        </w:rPr>
        <w:t>固体废物产生情况表</w:t>
      </w:r>
      <w:r>
        <w:rPr>
          <w:bCs/>
          <w:spacing w:val="4"/>
          <w:sz w:val="24"/>
        </w:rPr>
        <w:t xml:space="preserve">    </w:t>
      </w:r>
      <w:r>
        <w:rPr>
          <w:bCs/>
          <w:spacing w:val="4"/>
          <w:szCs w:val="21"/>
        </w:rPr>
        <w:t xml:space="preserve"> </w:t>
      </w:r>
      <w:r>
        <w:rPr>
          <w:rFonts w:hAnsi="宋体"/>
          <w:bCs/>
          <w:spacing w:val="4"/>
          <w:szCs w:val="21"/>
        </w:rPr>
        <w:t>单位：</w:t>
      </w:r>
      <w:r>
        <w:rPr>
          <w:bCs/>
          <w:spacing w:val="4"/>
          <w:szCs w:val="21"/>
        </w:rPr>
        <w:t>t/a</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268"/>
        <w:gridCol w:w="1668"/>
        <w:gridCol w:w="1275"/>
        <w:gridCol w:w="1882"/>
        <w:gridCol w:w="2321"/>
      </w:tblGrid>
      <w:tr w:rsidR="00475650">
        <w:tc>
          <w:tcPr>
            <w:tcW w:w="2268" w:type="dxa"/>
            <w:vAlign w:val="center"/>
          </w:tcPr>
          <w:p w:rsidR="00475650" w:rsidRDefault="00475650">
            <w:pPr>
              <w:autoSpaceDE w:val="0"/>
              <w:snapToGrid w:val="0"/>
              <w:spacing w:line="240" w:lineRule="exact"/>
              <w:jc w:val="center"/>
              <w:rPr>
                <w:szCs w:val="21"/>
              </w:rPr>
            </w:pPr>
            <w:r>
              <w:rPr>
                <w:rFonts w:hAnsi="宋体"/>
                <w:szCs w:val="21"/>
              </w:rPr>
              <w:t>固体废物名称</w:t>
            </w:r>
          </w:p>
        </w:tc>
        <w:tc>
          <w:tcPr>
            <w:tcW w:w="1668" w:type="dxa"/>
            <w:tcBorders>
              <w:right w:val="single" w:sz="4" w:space="0" w:color="auto"/>
            </w:tcBorders>
            <w:vAlign w:val="center"/>
          </w:tcPr>
          <w:p w:rsidR="00475650" w:rsidRDefault="00475650">
            <w:pPr>
              <w:autoSpaceDE w:val="0"/>
              <w:snapToGrid w:val="0"/>
              <w:spacing w:line="240" w:lineRule="exact"/>
              <w:jc w:val="center"/>
              <w:rPr>
                <w:szCs w:val="21"/>
              </w:rPr>
            </w:pPr>
            <w:r>
              <w:rPr>
                <w:rFonts w:hAnsi="宋体"/>
                <w:szCs w:val="21"/>
              </w:rPr>
              <w:t>主要成分</w:t>
            </w:r>
          </w:p>
        </w:tc>
        <w:tc>
          <w:tcPr>
            <w:tcW w:w="1275" w:type="dxa"/>
            <w:tcBorders>
              <w:left w:val="single" w:sz="4" w:space="0" w:color="auto"/>
              <w:right w:val="single" w:sz="4" w:space="0" w:color="auto"/>
            </w:tcBorders>
            <w:vAlign w:val="center"/>
          </w:tcPr>
          <w:p w:rsidR="00475650" w:rsidRDefault="00475650">
            <w:pPr>
              <w:autoSpaceDE w:val="0"/>
              <w:snapToGrid w:val="0"/>
              <w:spacing w:line="240" w:lineRule="exact"/>
              <w:jc w:val="center"/>
              <w:rPr>
                <w:szCs w:val="21"/>
              </w:rPr>
            </w:pPr>
            <w:r>
              <w:rPr>
                <w:rFonts w:hAnsi="宋体"/>
                <w:szCs w:val="21"/>
              </w:rPr>
              <w:t>年排放量</w:t>
            </w:r>
            <w:r>
              <w:rPr>
                <w:szCs w:val="21"/>
              </w:rPr>
              <w:t>t</w:t>
            </w:r>
          </w:p>
        </w:tc>
        <w:tc>
          <w:tcPr>
            <w:tcW w:w="1882" w:type="dxa"/>
            <w:tcBorders>
              <w:left w:val="single" w:sz="4" w:space="0" w:color="auto"/>
            </w:tcBorders>
            <w:vAlign w:val="center"/>
          </w:tcPr>
          <w:p w:rsidR="00475650" w:rsidRDefault="00475650">
            <w:pPr>
              <w:autoSpaceDE w:val="0"/>
              <w:snapToGrid w:val="0"/>
              <w:spacing w:line="240" w:lineRule="exact"/>
              <w:jc w:val="center"/>
              <w:rPr>
                <w:szCs w:val="21"/>
              </w:rPr>
            </w:pPr>
            <w:r>
              <w:rPr>
                <w:rFonts w:hAnsi="宋体"/>
                <w:szCs w:val="21"/>
              </w:rPr>
              <w:t>性质</w:t>
            </w:r>
          </w:p>
        </w:tc>
        <w:tc>
          <w:tcPr>
            <w:tcW w:w="2321" w:type="dxa"/>
            <w:vAlign w:val="center"/>
          </w:tcPr>
          <w:p w:rsidR="00475650" w:rsidRDefault="00475650">
            <w:pPr>
              <w:autoSpaceDE w:val="0"/>
              <w:snapToGrid w:val="0"/>
              <w:spacing w:line="240" w:lineRule="exact"/>
              <w:rPr>
                <w:szCs w:val="21"/>
              </w:rPr>
            </w:pPr>
            <w:r>
              <w:rPr>
                <w:rFonts w:hAnsi="宋体"/>
                <w:szCs w:val="21"/>
              </w:rPr>
              <w:t>初步可研采取的措施</w:t>
            </w:r>
          </w:p>
        </w:tc>
      </w:tr>
      <w:tr w:rsidR="00475650">
        <w:tc>
          <w:tcPr>
            <w:tcW w:w="2268" w:type="dxa"/>
            <w:vAlign w:val="center"/>
          </w:tcPr>
          <w:p w:rsidR="00475650" w:rsidRDefault="00475650">
            <w:pPr>
              <w:snapToGrid w:val="0"/>
              <w:spacing w:line="240" w:lineRule="exact"/>
              <w:jc w:val="center"/>
              <w:rPr>
                <w:szCs w:val="21"/>
              </w:rPr>
            </w:pPr>
            <w:r>
              <w:rPr>
                <w:rFonts w:hAnsi="宋体"/>
                <w:szCs w:val="21"/>
              </w:rPr>
              <w:t>废包装桶及废包装袋</w:t>
            </w:r>
          </w:p>
        </w:tc>
        <w:tc>
          <w:tcPr>
            <w:tcW w:w="1668" w:type="dxa"/>
            <w:tcBorders>
              <w:right w:val="single" w:sz="4" w:space="0" w:color="auto"/>
            </w:tcBorders>
            <w:vAlign w:val="center"/>
          </w:tcPr>
          <w:p w:rsidR="00475650" w:rsidRDefault="00475650">
            <w:pPr>
              <w:snapToGrid w:val="0"/>
              <w:spacing w:line="240" w:lineRule="exact"/>
              <w:jc w:val="center"/>
              <w:rPr>
                <w:szCs w:val="21"/>
              </w:rPr>
            </w:pPr>
            <w:r>
              <w:rPr>
                <w:rFonts w:hAnsi="宋体"/>
                <w:szCs w:val="21"/>
              </w:rPr>
              <w:t>包装物</w:t>
            </w:r>
          </w:p>
        </w:tc>
        <w:tc>
          <w:tcPr>
            <w:tcW w:w="1275" w:type="dxa"/>
            <w:tcBorders>
              <w:left w:val="single" w:sz="4" w:space="0" w:color="auto"/>
              <w:right w:val="single" w:sz="4" w:space="0" w:color="auto"/>
            </w:tcBorders>
            <w:vAlign w:val="center"/>
          </w:tcPr>
          <w:p w:rsidR="00475650" w:rsidRDefault="00475650">
            <w:pPr>
              <w:snapToGrid w:val="0"/>
              <w:spacing w:line="240" w:lineRule="exact"/>
              <w:jc w:val="center"/>
              <w:rPr>
                <w:szCs w:val="21"/>
              </w:rPr>
            </w:pPr>
            <w:r>
              <w:rPr>
                <w:szCs w:val="21"/>
              </w:rPr>
              <w:t>10</w:t>
            </w:r>
          </w:p>
        </w:tc>
        <w:tc>
          <w:tcPr>
            <w:tcW w:w="1882" w:type="dxa"/>
            <w:tcBorders>
              <w:left w:val="single" w:sz="4" w:space="0" w:color="auto"/>
            </w:tcBorders>
            <w:vAlign w:val="center"/>
          </w:tcPr>
          <w:p w:rsidR="00475650" w:rsidRDefault="00475650">
            <w:pPr>
              <w:snapToGrid w:val="0"/>
              <w:spacing w:line="240" w:lineRule="exact"/>
              <w:jc w:val="center"/>
              <w:rPr>
                <w:szCs w:val="21"/>
              </w:rPr>
            </w:pPr>
            <w:r>
              <w:rPr>
                <w:rFonts w:hAnsi="宋体"/>
                <w:szCs w:val="21"/>
              </w:rPr>
              <w:t>一般固废</w:t>
            </w:r>
          </w:p>
        </w:tc>
        <w:tc>
          <w:tcPr>
            <w:tcW w:w="2321" w:type="dxa"/>
            <w:vAlign w:val="center"/>
          </w:tcPr>
          <w:p w:rsidR="00475650" w:rsidRDefault="00475650">
            <w:pPr>
              <w:rPr>
                <w:szCs w:val="21"/>
              </w:rPr>
            </w:pPr>
            <w:r>
              <w:rPr>
                <w:rFonts w:hAnsi="宋体"/>
                <w:szCs w:val="21"/>
              </w:rPr>
              <w:t>送厂家回收</w:t>
            </w:r>
          </w:p>
        </w:tc>
      </w:tr>
      <w:tr w:rsidR="00475650">
        <w:tc>
          <w:tcPr>
            <w:tcW w:w="2268" w:type="dxa"/>
            <w:vAlign w:val="center"/>
          </w:tcPr>
          <w:p w:rsidR="00475650" w:rsidRDefault="00475650">
            <w:pPr>
              <w:snapToGrid w:val="0"/>
              <w:spacing w:line="240" w:lineRule="exact"/>
              <w:jc w:val="center"/>
              <w:rPr>
                <w:szCs w:val="21"/>
              </w:rPr>
            </w:pPr>
            <w:r>
              <w:rPr>
                <w:rFonts w:hAnsi="宋体"/>
                <w:szCs w:val="21"/>
              </w:rPr>
              <w:t>污水处理站污泥</w:t>
            </w:r>
          </w:p>
        </w:tc>
        <w:tc>
          <w:tcPr>
            <w:tcW w:w="1668" w:type="dxa"/>
            <w:tcBorders>
              <w:right w:val="single" w:sz="4" w:space="0" w:color="auto"/>
            </w:tcBorders>
            <w:vAlign w:val="center"/>
          </w:tcPr>
          <w:p w:rsidR="00475650" w:rsidRDefault="00475650">
            <w:pPr>
              <w:snapToGrid w:val="0"/>
              <w:spacing w:line="240" w:lineRule="exact"/>
              <w:jc w:val="center"/>
              <w:rPr>
                <w:szCs w:val="21"/>
              </w:rPr>
            </w:pPr>
            <w:r>
              <w:rPr>
                <w:rFonts w:hAnsi="宋体"/>
                <w:szCs w:val="21"/>
              </w:rPr>
              <w:t>有机物</w:t>
            </w:r>
          </w:p>
        </w:tc>
        <w:tc>
          <w:tcPr>
            <w:tcW w:w="1275" w:type="dxa"/>
            <w:tcBorders>
              <w:left w:val="single" w:sz="4" w:space="0" w:color="auto"/>
              <w:right w:val="single" w:sz="4" w:space="0" w:color="auto"/>
            </w:tcBorders>
            <w:vAlign w:val="center"/>
          </w:tcPr>
          <w:p w:rsidR="00475650" w:rsidRDefault="00475650">
            <w:pPr>
              <w:snapToGrid w:val="0"/>
              <w:spacing w:line="240" w:lineRule="exact"/>
              <w:jc w:val="center"/>
              <w:rPr>
                <w:szCs w:val="21"/>
              </w:rPr>
            </w:pPr>
            <w:r>
              <w:rPr>
                <w:rFonts w:hint="eastAsia"/>
                <w:szCs w:val="21"/>
              </w:rPr>
              <w:t>400</w:t>
            </w:r>
            <w:r>
              <w:rPr>
                <w:rFonts w:hint="eastAsia"/>
                <w:szCs w:val="21"/>
              </w:rPr>
              <w:t>（含水率</w:t>
            </w:r>
            <w:r>
              <w:rPr>
                <w:rFonts w:hint="eastAsia"/>
                <w:szCs w:val="21"/>
              </w:rPr>
              <w:t>60%</w:t>
            </w:r>
            <w:r>
              <w:rPr>
                <w:rFonts w:hint="eastAsia"/>
                <w:szCs w:val="21"/>
              </w:rPr>
              <w:t>）</w:t>
            </w:r>
          </w:p>
        </w:tc>
        <w:tc>
          <w:tcPr>
            <w:tcW w:w="1882" w:type="dxa"/>
            <w:tcBorders>
              <w:left w:val="single" w:sz="4" w:space="0" w:color="auto"/>
            </w:tcBorders>
            <w:vAlign w:val="center"/>
          </w:tcPr>
          <w:p w:rsidR="00475650" w:rsidRDefault="00475650">
            <w:pPr>
              <w:snapToGrid w:val="0"/>
              <w:spacing w:line="240" w:lineRule="exact"/>
              <w:jc w:val="center"/>
              <w:rPr>
                <w:szCs w:val="21"/>
              </w:rPr>
            </w:pPr>
            <w:r>
              <w:rPr>
                <w:szCs w:val="21"/>
              </w:rPr>
              <w:t>HW12</w:t>
            </w:r>
            <w:r>
              <w:rPr>
                <w:rFonts w:hAnsi="宋体"/>
                <w:szCs w:val="21"/>
              </w:rPr>
              <w:t>危险废物</w:t>
            </w:r>
          </w:p>
        </w:tc>
        <w:tc>
          <w:tcPr>
            <w:tcW w:w="2321" w:type="dxa"/>
          </w:tcPr>
          <w:p w:rsidR="00475650" w:rsidRDefault="00475650">
            <w:r>
              <w:rPr>
                <w:rFonts w:hAnsi="宋体" w:hint="eastAsia"/>
              </w:rPr>
              <w:t>/</w:t>
            </w:r>
          </w:p>
        </w:tc>
      </w:tr>
      <w:tr w:rsidR="00475650">
        <w:tc>
          <w:tcPr>
            <w:tcW w:w="2268" w:type="dxa"/>
            <w:vAlign w:val="center"/>
          </w:tcPr>
          <w:p w:rsidR="00475650" w:rsidRDefault="00475650">
            <w:pPr>
              <w:snapToGrid w:val="0"/>
              <w:spacing w:line="240" w:lineRule="exact"/>
              <w:jc w:val="center"/>
              <w:rPr>
                <w:szCs w:val="21"/>
              </w:rPr>
            </w:pPr>
            <w:r>
              <w:rPr>
                <w:rFonts w:hAnsi="宋体"/>
                <w:szCs w:val="21"/>
              </w:rPr>
              <w:t>生活垃圾</w:t>
            </w:r>
          </w:p>
        </w:tc>
        <w:tc>
          <w:tcPr>
            <w:tcW w:w="1668" w:type="dxa"/>
            <w:tcBorders>
              <w:right w:val="single" w:sz="4" w:space="0" w:color="auto"/>
            </w:tcBorders>
            <w:vAlign w:val="center"/>
          </w:tcPr>
          <w:p w:rsidR="00475650" w:rsidRDefault="00475650">
            <w:pPr>
              <w:snapToGrid w:val="0"/>
              <w:spacing w:line="240" w:lineRule="exact"/>
              <w:jc w:val="center"/>
              <w:rPr>
                <w:szCs w:val="21"/>
              </w:rPr>
            </w:pPr>
            <w:r>
              <w:rPr>
                <w:rFonts w:hAnsi="宋体"/>
                <w:szCs w:val="21"/>
              </w:rPr>
              <w:t>日常生活废物</w:t>
            </w:r>
          </w:p>
        </w:tc>
        <w:tc>
          <w:tcPr>
            <w:tcW w:w="1275" w:type="dxa"/>
            <w:tcBorders>
              <w:left w:val="single" w:sz="4" w:space="0" w:color="auto"/>
              <w:right w:val="single" w:sz="4" w:space="0" w:color="auto"/>
            </w:tcBorders>
            <w:vAlign w:val="center"/>
          </w:tcPr>
          <w:p w:rsidR="00475650" w:rsidRDefault="00475650">
            <w:pPr>
              <w:snapToGrid w:val="0"/>
              <w:spacing w:line="240" w:lineRule="exact"/>
              <w:jc w:val="center"/>
              <w:rPr>
                <w:szCs w:val="21"/>
              </w:rPr>
            </w:pPr>
            <w:r>
              <w:rPr>
                <w:szCs w:val="21"/>
              </w:rPr>
              <w:t>1.8</w:t>
            </w:r>
          </w:p>
        </w:tc>
        <w:tc>
          <w:tcPr>
            <w:tcW w:w="1882" w:type="dxa"/>
            <w:tcBorders>
              <w:left w:val="single" w:sz="4" w:space="0" w:color="auto"/>
            </w:tcBorders>
            <w:vAlign w:val="center"/>
          </w:tcPr>
          <w:p w:rsidR="00475650" w:rsidRDefault="00475650">
            <w:pPr>
              <w:snapToGrid w:val="0"/>
              <w:spacing w:line="240" w:lineRule="exact"/>
              <w:jc w:val="center"/>
              <w:rPr>
                <w:szCs w:val="21"/>
              </w:rPr>
            </w:pPr>
            <w:r>
              <w:rPr>
                <w:szCs w:val="21"/>
              </w:rPr>
              <w:t>/</w:t>
            </w:r>
          </w:p>
        </w:tc>
        <w:tc>
          <w:tcPr>
            <w:tcW w:w="2321" w:type="dxa"/>
          </w:tcPr>
          <w:p w:rsidR="00475650" w:rsidRDefault="00475650">
            <w:r>
              <w:rPr>
                <w:rFonts w:hAnsi="宋体"/>
              </w:rPr>
              <w:t>园区环卫部门清运</w:t>
            </w:r>
          </w:p>
        </w:tc>
      </w:tr>
    </w:tbl>
    <w:p w:rsidR="00475650" w:rsidRDefault="00475650" w:rsidP="00475650">
      <w:pPr>
        <w:spacing w:line="360" w:lineRule="auto"/>
        <w:ind w:firstLineChars="207" w:firstLine="497"/>
        <w:rPr>
          <w:rFonts w:hAnsi="宋体"/>
          <w:sz w:val="24"/>
        </w:rPr>
      </w:pPr>
      <w:bookmarkStart w:id="593" w:name="_Toc302936792"/>
      <w:bookmarkStart w:id="594" w:name="_Toc333229984"/>
      <w:bookmarkStart w:id="595" w:name="_Toc334014157"/>
      <w:bookmarkStart w:id="596" w:name="_Toc334080799"/>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597" w:name="_Toc448999099"/>
      <w:bookmarkStart w:id="598" w:name="_Toc465676995"/>
      <w:bookmarkStart w:id="599" w:name="_Toc22079"/>
      <w:r>
        <w:rPr>
          <w:rStyle w:val="2Char1Char"/>
          <w:rFonts w:ascii="Times New Roman" w:eastAsia="宋体" w:hAnsi="Times New Roman" w:cs="Times New Roman"/>
          <w:b w:val="0"/>
          <w:sz w:val="24"/>
          <w:szCs w:val="24"/>
        </w:rPr>
        <w:t>3.3.5.4</w:t>
      </w:r>
      <w:r>
        <w:rPr>
          <w:rStyle w:val="2Char1Char"/>
          <w:rFonts w:ascii="Times New Roman" w:eastAsia="宋体" w:hAnsi="宋体" w:cs="Times New Roman"/>
          <w:b w:val="0"/>
          <w:sz w:val="24"/>
          <w:szCs w:val="24"/>
        </w:rPr>
        <w:t>噪声</w:t>
      </w:r>
      <w:bookmarkEnd w:id="593"/>
      <w:bookmarkEnd w:id="594"/>
      <w:bookmarkEnd w:id="595"/>
      <w:bookmarkEnd w:id="596"/>
      <w:bookmarkEnd w:id="597"/>
      <w:bookmarkEnd w:id="598"/>
      <w:bookmarkEnd w:id="599"/>
    </w:p>
    <w:p w:rsidR="00475650" w:rsidRDefault="00475650" w:rsidP="00475650">
      <w:pPr>
        <w:spacing w:line="360" w:lineRule="auto"/>
        <w:ind w:firstLineChars="207" w:firstLine="497"/>
        <w:rPr>
          <w:rFonts w:hAnsi="宋体"/>
          <w:sz w:val="24"/>
        </w:rPr>
      </w:pPr>
      <w:r>
        <w:rPr>
          <w:rFonts w:hAnsi="宋体"/>
          <w:sz w:val="24"/>
        </w:rPr>
        <w:t>本项目各装置噪声源主要是来自泵、风机、压滤机，通过机型选择、隔声及减震等实施降噪。类比同类设备，本项目主要噪声源见表</w:t>
      </w:r>
      <w:r>
        <w:rPr>
          <w:sz w:val="24"/>
        </w:rPr>
        <w:t>3.3-12</w:t>
      </w:r>
      <w:r>
        <w:rPr>
          <w:rFonts w:hAnsi="宋体"/>
          <w:sz w:val="24"/>
        </w:rPr>
        <w:t>。</w:t>
      </w:r>
    </w:p>
    <w:p w:rsidR="00475650" w:rsidRDefault="00475650" w:rsidP="00475650">
      <w:pPr>
        <w:spacing w:line="360" w:lineRule="auto"/>
        <w:ind w:firstLineChars="907" w:firstLine="2177"/>
        <w:rPr>
          <w:bCs/>
          <w:spacing w:val="4"/>
          <w:sz w:val="24"/>
        </w:rPr>
      </w:pPr>
      <w:r>
        <w:rPr>
          <w:rFonts w:hAnsi="宋体"/>
          <w:sz w:val="24"/>
        </w:rPr>
        <w:br w:type="page"/>
      </w:r>
      <w:r>
        <w:rPr>
          <w:rFonts w:hAnsi="宋体"/>
          <w:bCs/>
          <w:spacing w:val="4"/>
          <w:sz w:val="24"/>
        </w:rPr>
        <w:lastRenderedPageBreak/>
        <w:t>表</w:t>
      </w:r>
      <w:r>
        <w:rPr>
          <w:bCs/>
          <w:spacing w:val="4"/>
          <w:sz w:val="24"/>
        </w:rPr>
        <w:t xml:space="preserve">3.3-12    </w:t>
      </w:r>
      <w:r>
        <w:rPr>
          <w:rFonts w:hAnsi="宋体"/>
          <w:bCs/>
          <w:spacing w:val="4"/>
          <w:sz w:val="24"/>
        </w:rPr>
        <w:t>本项目噪声排放表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658"/>
        <w:gridCol w:w="893"/>
        <w:gridCol w:w="1578"/>
        <w:gridCol w:w="4099"/>
        <w:gridCol w:w="1431"/>
      </w:tblGrid>
      <w:tr w:rsidR="00475650">
        <w:trPr>
          <w:jc w:val="center"/>
        </w:trPr>
        <w:tc>
          <w:tcPr>
            <w:tcW w:w="1658" w:type="dxa"/>
            <w:vAlign w:val="center"/>
          </w:tcPr>
          <w:p w:rsidR="00475650" w:rsidRDefault="00475650" w:rsidP="00BD74CB">
            <w:pPr>
              <w:snapToGrid w:val="0"/>
              <w:spacing w:beforeLines="20" w:afterLines="20" w:line="240" w:lineRule="exact"/>
              <w:jc w:val="center"/>
              <w:rPr>
                <w:szCs w:val="21"/>
              </w:rPr>
            </w:pPr>
            <w:r>
              <w:rPr>
                <w:rFonts w:hAnsi="宋体"/>
                <w:szCs w:val="21"/>
              </w:rPr>
              <w:t>噪声设备</w:t>
            </w:r>
          </w:p>
        </w:tc>
        <w:tc>
          <w:tcPr>
            <w:tcW w:w="893" w:type="dxa"/>
            <w:tcMar>
              <w:top w:w="28" w:type="dxa"/>
              <w:bottom w:w="28" w:type="dxa"/>
            </w:tcMar>
            <w:vAlign w:val="center"/>
          </w:tcPr>
          <w:p w:rsidR="00475650" w:rsidRDefault="00475650" w:rsidP="00BD74CB">
            <w:pPr>
              <w:snapToGrid w:val="0"/>
              <w:spacing w:beforeLines="20" w:afterLines="20" w:line="240" w:lineRule="exact"/>
              <w:jc w:val="center"/>
              <w:rPr>
                <w:szCs w:val="21"/>
              </w:rPr>
            </w:pPr>
            <w:r>
              <w:rPr>
                <w:rFonts w:hAnsi="宋体"/>
                <w:szCs w:val="21"/>
              </w:rPr>
              <w:t>数目</w:t>
            </w:r>
          </w:p>
        </w:tc>
        <w:tc>
          <w:tcPr>
            <w:tcW w:w="1578" w:type="dxa"/>
            <w:vAlign w:val="center"/>
          </w:tcPr>
          <w:p w:rsidR="00475650" w:rsidRDefault="00475650" w:rsidP="00BD74CB">
            <w:pPr>
              <w:snapToGrid w:val="0"/>
              <w:spacing w:beforeLines="20" w:afterLines="20" w:line="240" w:lineRule="exact"/>
              <w:jc w:val="center"/>
              <w:rPr>
                <w:szCs w:val="21"/>
              </w:rPr>
            </w:pPr>
            <w:r>
              <w:rPr>
                <w:rFonts w:hAnsi="宋体"/>
                <w:szCs w:val="21"/>
              </w:rPr>
              <w:t>源强</w:t>
            </w:r>
            <w:r>
              <w:rPr>
                <w:szCs w:val="21"/>
              </w:rPr>
              <w:t>dB(A)</w:t>
            </w:r>
          </w:p>
        </w:tc>
        <w:tc>
          <w:tcPr>
            <w:tcW w:w="4099" w:type="dxa"/>
            <w:tcMar>
              <w:top w:w="28" w:type="dxa"/>
              <w:bottom w:w="28" w:type="dxa"/>
            </w:tcMar>
            <w:vAlign w:val="center"/>
          </w:tcPr>
          <w:p w:rsidR="00475650" w:rsidRDefault="00475650" w:rsidP="00BD74CB">
            <w:pPr>
              <w:snapToGrid w:val="0"/>
              <w:spacing w:beforeLines="20" w:afterLines="20" w:line="240" w:lineRule="exact"/>
              <w:jc w:val="center"/>
              <w:rPr>
                <w:szCs w:val="21"/>
              </w:rPr>
            </w:pPr>
            <w:r>
              <w:rPr>
                <w:rFonts w:hAnsi="宋体"/>
                <w:szCs w:val="21"/>
              </w:rPr>
              <w:t>初步可研采取的降噪措施</w:t>
            </w:r>
          </w:p>
        </w:tc>
        <w:tc>
          <w:tcPr>
            <w:tcW w:w="1431" w:type="dxa"/>
            <w:vAlign w:val="center"/>
          </w:tcPr>
          <w:p w:rsidR="00475650" w:rsidRDefault="00475650" w:rsidP="00BD74CB">
            <w:pPr>
              <w:snapToGrid w:val="0"/>
              <w:spacing w:beforeLines="20" w:afterLines="20" w:line="240" w:lineRule="exact"/>
              <w:jc w:val="center"/>
              <w:rPr>
                <w:szCs w:val="21"/>
              </w:rPr>
            </w:pPr>
            <w:r>
              <w:rPr>
                <w:rFonts w:hAnsi="宋体"/>
                <w:szCs w:val="21"/>
              </w:rPr>
              <w:t>降噪量</w:t>
            </w:r>
            <w:r>
              <w:rPr>
                <w:szCs w:val="21"/>
              </w:rPr>
              <w:t>dB(A)</w:t>
            </w:r>
          </w:p>
        </w:tc>
      </w:tr>
      <w:tr w:rsidR="00475650">
        <w:trPr>
          <w:jc w:val="center"/>
        </w:trPr>
        <w:tc>
          <w:tcPr>
            <w:tcW w:w="1658" w:type="dxa"/>
            <w:vAlign w:val="center"/>
          </w:tcPr>
          <w:p w:rsidR="00475650" w:rsidRDefault="00475650" w:rsidP="00BD74CB">
            <w:pPr>
              <w:snapToGrid w:val="0"/>
              <w:spacing w:beforeLines="20" w:afterLines="20" w:line="240" w:lineRule="exact"/>
              <w:jc w:val="center"/>
              <w:rPr>
                <w:szCs w:val="21"/>
              </w:rPr>
            </w:pPr>
            <w:r>
              <w:rPr>
                <w:rFonts w:hAnsi="宋体"/>
                <w:szCs w:val="21"/>
              </w:rPr>
              <w:t>机泵</w:t>
            </w:r>
          </w:p>
        </w:tc>
        <w:tc>
          <w:tcPr>
            <w:tcW w:w="893" w:type="dxa"/>
            <w:tcMar>
              <w:top w:w="28" w:type="dxa"/>
              <w:bottom w:w="28" w:type="dxa"/>
            </w:tcMar>
            <w:vAlign w:val="center"/>
          </w:tcPr>
          <w:p w:rsidR="00475650" w:rsidRDefault="00475650" w:rsidP="00BD74CB">
            <w:pPr>
              <w:snapToGrid w:val="0"/>
              <w:spacing w:beforeLines="20" w:afterLines="20" w:line="240" w:lineRule="exact"/>
              <w:jc w:val="center"/>
              <w:rPr>
                <w:szCs w:val="21"/>
              </w:rPr>
            </w:pPr>
            <w:r>
              <w:rPr>
                <w:szCs w:val="21"/>
              </w:rPr>
              <w:t>20</w:t>
            </w:r>
            <w:r>
              <w:rPr>
                <w:rFonts w:hAnsi="宋体"/>
                <w:szCs w:val="21"/>
              </w:rPr>
              <w:t>台</w:t>
            </w:r>
          </w:p>
        </w:tc>
        <w:tc>
          <w:tcPr>
            <w:tcW w:w="1578" w:type="dxa"/>
            <w:vAlign w:val="center"/>
          </w:tcPr>
          <w:p w:rsidR="00475650" w:rsidRDefault="00475650" w:rsidP="00BD74CB">
            <w:pPr>
              <w:snapToGrid w:val="0"/>
              <w:spacing w:beforeLines="20" w:afterLines="20" w:line="240" w:lineRule="exact"/>
              <w:jc w:val="center"/>
              <w:rPr>
                <w:szCs w:val="21"/>
              </w:rPr>
            </w:pPr>
            <w:r>
              <w:rPr>
                <w:szCs w:val="21"/>
              </w:rPr>
              <w:t>70-75</w:t>
            </w:r>
          </w:p>
        </w:tc>
        <w:tc>
          <w:tcPr>
            <w:tcW w:w="4099" w:type="dxa"/>
            <w:vAlign w:val="center"/>
          </w:tcPr>
          <w:p w:rsidR="00475650" w:rsidRDefault="00475650" w:rsidP="00BD74CB">
            <w:pPr>
              <w:snapToGrid w:val="0"/>
              <w:spacing w:beforeLines="20" w:afterLines="20" w:line="240" w:lineRule="exact"/>
              <w:jc w:val="center"/>
              <w:rPr>
                <w:szCs w:val="21"/>
              </w:rPr>
            </w:pPr>
            <w:r>
              <w:rPr>
                <w:rFonts w:hAnsi="宋体"/>
                <w:szCs w:val="21"/>
              </w:rPr>
              <w:t>选用低噪声设备</w:t>
            </w:r>
            <w:r>
              <w:rPr>
                <w:szCs w:val="21"/>
              </w:rPr>
              <w:t>+</w:t>
            </w:r>
            <w:r>
              <w:rPr>
                <w:rFonts w:hAnsi="宋体"/>
                <w:szCs w:val="21"/>
              </w:rPr>
              <w:t>隔声</w:t>
            </w:r>
            <w:r>
              <w:rPr>
                <w:szCs w:val="21"/>
              </w:rPr>
              <w:t>+</w:t>
            </w:r>
            <w:r>
              <w:rPr>
                <w:rFonts w:hAnsi="宋体"/>
                <w:szCs w:val="21"/>
              </w:rPr>
              <w:t>基础减震</w:t>
            </w:r>
          </w:p>
        </w:tc>
        <w:tc>
          <w:tcPr>
            <w:tcW w:w="1431" w:type="dxa"/>
            <w:vAlign w:val="center"/>
          </w:tcPr>
          <w:p w:rsidR="00475650" w:rsidRDefault="00475650" w:rsidP="00BD74CB">
            <w:pPr>
              <w:snapToGrid w:val="0"/>
              <w:spacing w:beforeLines="20" w:afterLines="20" w:line="240" w:lineRule="exact"/>
              <w:jc w:val="center"/>
              <w:rPr>
                <w:szCs w:val="21"/>
              </w:rPr>
            </w:pPr>
            <w:r>
              <w:rPr>
                <w:szCs w:val="21"/>
              </w:rPr>
              <w:t>15-20</w:t>
            </w:r>
          </w:p>
        </w:tc>
      </w:tr>
      <w:tr w:rsidR="00475650">
        <w:trPr>
          <w:jc w:val="center"/>
        </w:trPr>
        <w:tc>
          <w:tcPr>
            <w:tcW w:w="1658" w:type="dxa"/>
            <w:vAlign w:val="center"/>
          </w:tcPr>
          <w:p w:rsidR="00475650" w:rsidRDefault="00475650" w:rsidP="00BD74CB">
            <w:pPr>
              <w:snapToGrid w:val="0"/>
              <w:spacing w:beforeLines="20" w:afterLines="20" w:line="240" w:lineRule="exact"/>
              <w:jc w:val="center"/>
              <w:rPr>
                <w:szCs w:val="21"/>
              </w:rPr>
            </w:pPr>
            <w:r>
              <w:rPr>
                <w:rFonts w:hAnsi="宋体"/>
                <w:szCs w:val="21"/>
              </w:rPr>
              <w:t>鼓风机</w:t>
            </w:r>
          </w:p>
        </w:tc>
        <w:tc>
          <w:tcPr>
            <w:tcW w:w="893" w:type="dxa"/>
            <w:tcMar>
              <w:top w:w="28" w:type="dxa"/>
              <w:bottom w:w="28" w:type="dxa"/>
            </w:tcMar>
            <w:vAlign w:val="center"/>
          </w:tcPr>
          <w:p w:rsidR="00475650" w:rsidRDefault="00475650" w:rsidP="00BD74CB">
            <w:pPr>
              <w:snapToGrid w:val="0"/>
              <w:spacing w:beforeLines="20" w:afterLines="20" w:line="240" w:lineRule="exact"/>
              <w:jc w:val="center"/>
              <w:rPr>
                <w:szCs w:val="21"/>
              </w:rPr>
            </w:pPr>
            <w:r>
              <w:rPr>
                <w:szCs w:val="21"/>
              </w:rPr>
              <w:t>1</w:t>
            </w:r>
            <w:r>
              <w:rPr>
                <w:rFonts w:hAnsi="宋体"/>
                <w:szCs w:val="21"/>
              </w:rPr>
              <w:t>台</w:t>
            </w:r>
          </w:p>
        </w:tc>
        <w:tc>
          <w:tcPr>
            <w:tcW w:w="1578" w:type="dxa"/>
            <w:vAlign w:val="center"/>
          </w:tcPr>
          <w:p w:rsidR="00475650" w:rsidRDefault="00475650" w:rsidP="00BD74CB">
            <w:pPr>
              <w:snapToGrid w:val="0"/>
              <w:spacing w:beforeLines="20" w:afterLines="20" w:line="240" w:lineRule="exact"/>
              <w:jc w:val="center"/>
              <w:rPr>
                <w:szCs w:val="21"/>
              </w:rPr>
            </w:pPr>
            <w:r>
              <w:rPr>
                <w:szCs w:val="21"/>
              </w:rPr>
              <w:t>90</w:t>
            </w:r>
          </w:p>
        </w:tc>
        <w:tc>
          <w:tcPr>
            <w:tcW w:w="4099" w:type="dxa"/>
            <w:vAlign w:val="center"/>
          </w:tcPr>
          <w:p w:rsidR="00475650" w:rsidRDefault="00475650" w:rsidP="00BD74CB">
            <w:pPr>
              <w:snapToGrid w:val="0"/>
              <w:spacing w:beforeLines="20" w:afterLines="20" w:line="240" w:lineRule="exact"/>
              <w:jc w:val="center"/>
              <w:rPr>
                <w:szCs w:val="21"/>
              </w:rPr>
            </w:pPr>
            <w:r>
              <w:rPr>
                <w:rFonts w:hAnsi="宋体"/>
                <w:szCs w:val="21"/>
              </w:rPr>
              <w:t>选用低噪声设备</w:t>
            </w:r>
            <w:r>
              <w:rPr>
                <w:szCs w:val="21"/>
              </w:rPr>
              <w:t>+</w:t>
            </w:r>
            <w:r>
              <w:rPr>
                <w:rFonts w:hAnsi="宋体"/>
                <w:szCs w:val="21"/>
              </w:rPr>
              <w:t>厂房及隔声罩隔声</w:t>
            </w:r>
            <w:r>
              <w:rPr>
                <w:szCs w:val="21"/>
              </w:rPr>
              <w:t>+</w:t>
            </w:r>
            <w:r>
              <w:rPr>
                <w:rFonts w:hAnsi="宋体"/>
                <w:szCs w:val="21"/>
              </w:rPr>
              <w:t>消声</w:t>
            </w:r>
          </w:p>
        </w:tc>
        <w:tc>
          <w:tcPr>
            <w:tcW w:w="1431" w:type="dxa"/>
            <w:vAlign w:val="center"/>
          </w:tcPr>
          <w:p w:rsidR="00475650" w:rsidRDefault="00475650" w:rsidP="00BD74CB">
            <w:pPr>
              <w:snapToGrid w:val="0"/>
              <w:spacing w:beforeLines="20" w:afterLines="20" w:line="240" w:lineRule="exact"/>
              <w:jc w:val="center"/>
              <w:rPr>
                <w:szCs w:val="21"/>
              </w:rPr>
            </w:pPr>
            <w:r>
              <w:rPr>
                <w:szCs w:val="21"/>
              </w:rPr>
              <w:t>15-20</w:t>
            </w:r>
          </w:p>
        </w:tc>
      </w:tr>
      <w:tr w:rsidR="00475650">
        <w:trPr>
          <w:jc w:val="center"/>
        </w:trPr>
        <w:tc>
          <w:tcPr>
            <w:tcW w:w="1658" w:type="dxa"/>
            <w:vAlign w:val="center"/>
          </w:tcPr>
          <w:p w:rsidR="00475650" w:rsidRDefault="00475650" w:rsidP="00BD74CB">
            <w:pPr>
              <w:snapToGrid w:val="0"/>
              <w:spacing w:beforeLines="20" w:afterLines="20" w:line="240" w:lineRule="exact"/>
              <w:jc w:val="center"/>
              <w:rPr>
                <w:szCs w:val="21"/>
              </w:rPr>
            </w:pPr>
            <w:r>
              <w:rPr>
                <w:rFonts w:hAnsi="宋体"/>
                <w:szCs w:val="21"/>
              </w:rPr>
              <w:t>压滤机</w:t>
            </w:r>
          </w:p>
        </w:tc>
        <w:tc>
          <w:tcPr>
            <w:tcW w:w="893" w:type="dxa"/>
            <w:tcMar>
              <w:top w:w="28" w:type="dxa"/>
              <w:bottom w:w="28" w:type="dxa"/>
            </w:tcMar>
            <w:vAlign w:val="center"/>
          </w:tcPr>
          <w:p w:rsidR="00475650" w:rsidRDefault="00475650" w:rsidP="00BD74CB">
            <w:pPr>
              <w:snapToGrid w:val="0"/>
              <w:spacing w:beforeLines="20" w:afterLines="20" w:line="240" w:lineRule="exact"/>
              <w:jc w:val="center"/>
              <w:rPr>
                <w:szCs w:val="21"/>
              </w:rPr>
            </w:pPr>
            <w:r>
              <w:rPr>
                <w:szCs w:val="21"/>
              </w:rPr>
              <w:t>3</w:t>
            </w:r>
            <w:r>
              <w:rPr>
                <w:rFonts w:hAnsi="宋体"/>
                <w:szCs w:val="21"/>
              </w:rPr>
              <w:t>台</w:t>
            </w:r>
          </w:p>
        </w:tc>
        <w:tc>
          <w:tcPr>
            <w:tcW w:w="1578" w:type="dxa"/>
            <w:vAlign w:val="center"/>
          </w:tcPr>
          <w:p w:rsidR="00475650" w:rsidRDefault="00475650" w:rsidP="00BD74CB">
            <w:pPr>
              <w:snapToGrid w:val="0"/>
              <w:spacing w:beforeLines="20" w:afterLines="20" w:line="240" w:lineRule="exact"/>
              <w:jc w:val="center"/>
              <w:rPr>
                <w:szCs w:val="21"/>
              </w:rPr>
            </w:pPr>
            <w:r>
              <w:rPr>
                <w:szCs w:val="21"/>
              </w:rPr>
              <w:t>80</w:t>
            </w:r>
          </w:p>
        </w:tc>
        <w:tc>
          <w:tcPr>
            <w:tcW w:w="4099" w:type="dxa"/>
            <w:vAlign w:val="center"/>
          </w:tcPr>
          <w:p w:rsidR="00475650" w:rsidRDefault="00475650" w:rsidP="00BD74CB">
            <w:pPr>
              <w:snapToGrid w:val="0"/>
              <w:spacing w:beforeLines="20" w:afterLines="20" w:line="240" w:lineRule="exact"/>
              <w:jc w:val="center"/>
              <w:rPr>
                <w:szCs w:val="21"/>
              </w:rPr>
            </w:pPr>
            <w:r>
              <w:rPr>
                <w:rFonts w:hAnsi="宋体"/>
                <w:szCs w:val="21"/>
              </w:rPr>
              <w:t>选用低噪声设备</w:t>
            </w:r>
            <w:r>
              <w:rPr>
                <w:szCs w:val="21"/>
              </w:rPr>
              <w:t>+</w:t>
            </w:r>
            <w:r>
              <w:rPr>
                <w:rFonts w:hAnsi="宋体"/>
                <w:szCs w:val="21"/>
              </w:rPr>
              <w:t>厂房隔声</w:t>
            </w:r>
            <w:r>
              <w:rPr>
                <w:szCs w:val="21"/>
              </w:rPr>
              <w:t>+</w:t>
            </w:r>
            <w:r>
              <w:rPr>
                <w:rFonts w:hAnsi="宋体"/>
                <w:szCs w:val="21"/>
              </w:rPr>
              <w:t>减震</w:t>
            </w:r>
          </w:p>
        </w:tc>
        <w:tc>
          <w:tcPr>
            <w:tcW w:w="1431" w:type="dxa"/>
            <w:vAlign w:val="center"/>
          </w:tcPr>
          <w:p w:rsidR="00475650" w:rsidRDefault="00475650" w:rsidP="00BD74CB">
            <w:pPr>
              <w:snapToGrid w:val="0"/>
              <w:spacing w:beforeLines="20" w:afterLines="20" w:line="240" w:lineRule="exact"/>
              <w:jc w:val="center"/>
              <w:rPr>
                <w:szCs w:val="21"/>
              </w:rPr>
            </w:pPr>
            <w:r>
              <w:rPr>
                <w:szCs w:val="21"/>
              </w:rPr>
              <w:t>15-20</w:t>
            </w:r>
          </w:p>
        </w:tc>
      </w:tr>
    </w:tbl>
    <w:p w:rsidR="00475650" w:rsidRDefault="00475650">
      <w:pPr>
        <w:pStyle w:val="af4"/>
      </w:pPr>
    </w:p>
    <w:p w:rsidR="00475650" w:rsidRDefault="00475650">
      <w:pPr>
        <w:pStyle w:val="h"/>
        <w:spacing w:before="0" w:after="0" w:line="348" w:lineRule="auto"/>
        <w:ind w:firstLine="0"/>
        <w:outlineLvl w:val="2"/>
        <w:rPr>
          <w:rStyle w:val="2Char1Char"/>
          <w:rFonts w:ascii="Times New Roman" w:eastAsia="宋体" w:hAnsi="Times New Roman" w:cs="Times New Roman"/>
          <w:b w:val="0"/>
          <w:sz w:val="24"/>
          <w:szCs w:val="24"/>
        </w:rPr>
      </w:pPr>
      <w:bookmarkStart w:id="600" w:name="_Toc302936793"/>
      <w:r>
        <w:rPr>
          <w:rStyle w:val="2Char1Char"/>
          <w:rFonts w:ascii="Times New Roman" w:eastAsia="宋体" w:hAnsi="Times New Roman" w:cs="Times New Roman"/>
          <w:b w:val="0"/>
          <w:sz w:val="24"/>
          <w:szCs w:val="24"/>
        </w:rPr>
        <w:t>3.3.5.5</w:t>
      </w:r>
      <w:r>
        <w:rPr>
          <w:rStyle w:val="2Char1Char"/>
          <w:rFonts w:ascii="Times New Roman" w:eastAsia="宋体" w:hAnsi="宋体" w:cs="Times New Roman"/>
          <w:b w:val="0"/>
          <w:sz w:val="24"/>
          <w:szCs w:val="24"/>
        </w:rPr>
        <w:t>生态</w:t>
      </w:r>
      <w:bookmarkEnd w:id="600"/>
    </w:p>
    <w:p w:rsidR="00475650" w:rsidRDefault="00475650">
      <w:pPr>
        <w:snapToGrid w:val="0"/>
        <w:spacing w:line="348" w:lineRule="auto"/>
        <w:ind w:firstLineChars="200" w:firstLine="480"/>
        <w:rPr>
          <w:sz w:val="24"/>
        </w:rPr>
      </w:pPr>
      <w:r>
        <w:rPr>
          <w:rFonts w:hAnsi="宋体"/>
          <w:sz w:val="24"/>
        </w:rPr>
        <w:t>本项目选址公司已有预留场地内，三通一平工作已经完成，厂房以及水池等已建成，生态影响已经结束，因此，本项目的建设对生态影响较小。</w:t>
      </w:r>
    </w:p>
    <w:p w:rsidR="00475650" w:rsidRDefault="00475650">
      <w:pPr>
        <w:pStyle w:val="h"/>
        <w:spacing w:before="0" w:after="0" w:line="348" w:lineRule="auto"/>
        <w:ind w:firstLine="0"/>
        <w:outlineLvl w:val="1"/>
        <w:rPr>
          <w:rStyle w:val="2Char1Char"/>
          <w:rFonts w:ascii="Times New Roman" w:eastAsia="宋体" w:hAnsi="Times New Roman" w:cs="Times New Roman"/>
          <w:sz w:val="24"/>
          <w:szCs w:val="24"/>
        </w:rPr>
      </w:pPr>
      <w:bookmarkStart w:id="601" w:name="_Toc333229985"/>
      <w:bookmarkStart w:id="602" w:name="_Toc334080800"/>
      <w:bookmarkStart w:id="603" w:name="_Toc332292997"/>
      <w:bookmarkStart w:id="604" w:name="_Toc334014158"/>
      <w:bookmarkStart w:id="605" w:name="_Toc465676996"/>
      <w:bookmarkStart w:id="606" w:name="_Toc6254"/>
      <w:r>
        <w:rPr>
          <w:rStyle w:val="2Char1Char"/>
          <w:rFonts w:ascii="Times New Roman" w:eastAsia="宋体" w:hAnsi="Times New Roman" w:cs="Times New Roman"/>
          <w:sz w:val="24"/>
          <w:szCs w:val="24"/>
        </w:rPr>
        <w:t>3.3.6</w:t>
      </w:r>
      <w:bookmarkEnd w:id="601"/>
      <w:bookmarkEnd w:id="602"/>
      <w:bookmarkEnd w:id="603"/>
      <w:bookmarkEnd w:id="604"/>
      <w:r>
        <w:rPr>
          <w:rStyle w:val="2Char1Char"/>
          <w:rFonts w:ascii="Times New Roman" w:eastAsia="宋体" w:hAnsi="Times New Roman" w:cs="Times New Roman" w:hint="eastAsia"/>
          <w:sz w:val="24"/>
          <w:szCs w:val="24"/>
        </w:rPr>
        <w:t>污染防治措施与达标排放分析</w:t>
      </w:r>
      <w:bookmarkEnd w:id="605"/>
      <w:bookmarkEnd w:id="606"/>
    </w:p>
    <w:p w:rsidR="00475650" w:rsidRDefault="00475650">
      <w:pPr>
        <w:pStyle w:val="h"/>
        <w:spacing w:before="0" w:after="0" w:line="348" w:lineRule="auto"/>
        <w:ind w:firstLine="0"/>
        <w:outlineLvl w:val="2"/>
        <w:rPr>
          <w:rStyle w:val="2Char1Char"/>
          <w:rFonts w:ascii="Times New Roman" w:eastAsia="宋体" w:hAnsi="Times New Roman" w:cs="Times New Roman"/>
          <w:b w:val="0"/>
          <w:sz w:val="24"/>
          <w:szCs w:val="24"/>
        </w:rPr>
      </w:pPr>
      <w:r>
        <w:rPr>
          <w:rStyle w:val="2Char1Char"/>
          <w:rFonts w:ascii="Times New Roman" w:eastAsia="宋体" w:hAnsi="Times New Roman" w:cs="Times New Roman"/>
          <w:b w:val="0"/>
          <w:sz w:val="24"/>
          <w:szCs w:val="24"/>
        </w:rPr>
        <w:t>3.3.6.1</w:t>
      </w:r>
      <w:r>
        <w:rPr>
          <w:rStyle w:val="2Char1Char"/>
          <w:rFonts w:ascii="Times New Roman" w:eastAsia="宋体" w:hAnsi="宋体" w:cs="Times New Roman"/>
          <w:b w:val="0"/>
          <w:sz w:val="24"/>
          <w:szCs w:val="24"/>
        </w:rPr>
        <w:t>废水污染防治措施分析</w:t>
      </w:r>
    </w:p>
    <w:p w:rsidR="00475650" w:rsidRDefault="00475650">
      <w:pPr>
        <w:snapToGrid w:val="0"/>
        <w:spacing w:line="360" w:lineRule="auto"/>
        <w:ind w:firstLineChars="200" w:firstLine="480"/>
        <w:rPr>
          <w:sz w:val="24"/>
        </w:rPr>
      </w:pPr>
      <w:r>
        <w:rPr>
          <w:rFonts w:hAnsi="宋体"/>
          <w:sz w:val="24"/>
        </w:rPr>
        <w:t>本项目初步可研对于废水的污染防治措施设定为</w:t>
      </w:r>
      <w:r>
        <w:rPr>
          <w:sz w:val="24"/>
        </w:rPr>
        <w:t>“</w:t>
      </w:r>
      <w:r>
        <w:rPr>
          <w:rFonts w:hAnsi="宋体"/>
          <w:sz w:val="24"/>
        </w:rPr>
        <w:t>雨污分流</w:t>
      </w:r>
      <w:r>
        <w:rPr>
          <w:sz w:val="24"/>
        </w:rPr>
        <w:t>”“</w:t>
      </w:r>
      <w:r>
        <w:rPr>
          <w:rFonts w:hAnsi="宋体"/>
          <w:sz w:val="24"/>
        </w:rPr>
        <w:t>污污分流</w:t>
      </w:r>
      <w:r>
        <w:rPr>
          <w:sz w:val="24"/>
        </w:rPr>
        <w:t>”</w:t>
      </w:r>
      <w:r>
        <w:rPr>
          <w:rFonts w:hAnsi="宋体"/>
          <w:sz w:val="24"/>
        </w:rPr>
        <w:t>的原则：雨水、清净废水通过雨水管道自流汇集后，排入厂区雨水排水系统，污水通过预处理设施处理后送园区污水处理厂处理。</w:t>
      </w:r>
    </w:p>
    <w:p w:rsidR="00475650" w:rsidRDefault="00475650">
      <w:pPr>
        <w:snapToGrid w:val="0"/>
        <w:spacing w:line="360" w:lineRule="auto"/>
        <w:ind w:firstLineChars="200" w:firstLine="480"/>
        <w:rPr>
          <w:sz w:val="24"/>
        </w:rPr>
      </w:pPr>
      <w:r>
        <w:rPr>
          <w:rFonts w:hAnsi="宋体"/>
          <w:sz w:val="24"/>
        </w:rPr>
        <w:t>通过污染源分析章节可知，隔膜压滤生产废水、</w:t>
      </w:r>
      <w:r>
        <w:rPr>
          <w:rFonts w:hAnsi="宋体" w:hint="eastAsia"/>
          <w:sz w:val="24"/>
        </w:rPr>
        <w:t>喷淋废水、</w:t>
      </w:r>
      <w:r>
        <w:rPr>
          <w:rFonts w:hAnsi="宋体"/>
          <w:sz w:val="24"/>
        </w:rPr>
        <w:t>装置平台及地面冲洗水均纳入自建污水预处理系统处理，蒸汽冷凝水外排雨水系统，生活污水经管道收集后直接送园区污水处理厂处理。</w:t>
      </w:r>
    </w:p>
    <w:p w:rsidR="00475650" w:rsidRDefault="00475650">
      <w:pPr>
        <w:snapToGrid w:val="0"/>
        <w:spacing w:line="360" w:lineRule="auto"/>
        <w:ind w:firstLineChars="200" w:firstLine="480"/>
        <w:rPr>
          <w:sz w:val="24"/>
        </w:rPr>
      </w:pPr>
      <w:bookmarkStart w:id="607" w:name="_Toc334080801"/>
      <w:bookmarkStart w:id="608" w:name="_Toc333229986"/>
      <w:bookmarkStart w:id="609" w:name="_Toc334014159"/>
      <w:r>
        <w:rPr>
          <w:rFonts w:hAnsi="宋体"/>
          <w:sz w:val="24"/>
        </w:rPr>
        <w:t>一、</w:t>
      </w:r>
      <w:bookmarkEnd w:id="607"/>
      <w:bookmarkEnd w:id="608"/>
      <w:bookmarkEnd w:id="609"/>
      <w:r>
        <w:rPr>
          <w:rFonts w:hAnsi="宋体"/>
          <w:sz w:val="24"/>
        </w:rPr>
        <w:t>生产废水的处理措施分析</w:t>
      </w:r>
    </w:p>
    <w:p w:rsidR="00475650" w:rsidRDefault="00475650">
      <w:pPr>
        <w:snapToGrid w:val="0"/>
        <w:spacing w:line="360" w:lineRule="auto"/>
        <w:ind w:firstLineChars="200" w:firstLine="480"/>
        <w:rPr>
          <w:rFonts w:hAnsi="宋体"/>
          <w:sz w:val="24"/>
        </w:rPr>
      </w:pPr>
      <w:r>
        <w:rPr>
          <w:sz w:val="24"/>
        </w:rPr>
        <w:t>1</w:t>
      </w:r>
      <w:r>
        <w:rPr>
          <w:rFonts w:hAnsi="宋体"/>
          <w:sz w:val="24"/>
        </w:rPr>
        <w:t>、</w:t>
      </w:r>
      <w:r>
        <w:rPr>
          <w:rFonts w:hAnsi="宋体" w:hint="eastAsia"/>
          <w:sz w:val="24"/>
        </w:rPr>
        <w:t>生产废水来源</w:t>
      </w:r>
    </w:p>
    <w:p w:rsidR="00475650" w:rsidRDefault="00475650">
      <w:pPr>
        <w:snapToGrid w:val="0"/>
        <w:spacing w:line="360" w:lineRule="auto"/>
        <w:ind w:firstLineChars="200" w:firstLine="480"/>
        <w:rPr>
          <w:rFonts w:hAnsi="宋体"/>
          <w:sz w:val="24"/>
        </w:rPr>
      </w:pPr>
      <w:r>
        <w:rPr>
          <w:rFonts w:hAnsi="宋体" w:hint="eastAsia"/>
          <w:sz w:val="24"/>
        </w:rPr>
        <w:t>生产废水污染物浓度较大，根据前述工程分析章节有关内容，生产废水包括沉淀池沉淀后废水、喷淋塔产生的酸碱废水及装置平台与地面的清洗水。核算每天生产废水产生量为</w:t>
      </w:r>
      <w:r>
        <w:rPr>
          <w:rFonts w:hAnsi="宋体" w:hint="eastAsia"/>
          <w:sz w:val="24"/>
        </w:rPr>
        <w:t>602.4t/d</w:t>
      </w:r>
      <w:r>
        <w:rPr>
          <w:rFonts w:hAnsi="宋体" w:hint="eastAsia"/>
          <w:sz w:val="24"/>
        </w:rPr>
        <w:t>。</w:t>
      </w:r>
    </w:p>
    <w:p w:rsidR="00475650" w:rsidRDefault="00475650">
      <w:pPr>
        <w:snapToGrid w:val="0"/>
        <w:spacing w:line="360" w:lineRule="auto"/>
        <w:ind w:firstLineChars="200" w:firstLine="480"/>
        <w:rPr>
          <w:rFonts w:hAnsi="宋体"/>
          <w:sz w:val="24"/>
        </w:rPr>
      </w:pPr>
      <w:r>
        <w:rPr>
          <w:rFonts w:hAnsi="宋体" w:hint="eastAsia"/>
          <w:sz w:val="24"/>
        </w:rPr>
        <w:t>此外，根据竣工验收监测数据及总量核算资料，竣工验收监测资料提供的现有工程总量中未包含初期雨水外排总量，本处补充初期雨水的核算及总量数据。公司总占地</w:t>
      </w:r>
      <w:r>
        <w:rPr>
          <w:rFonts w:hAnsi="宋体" w:hint="eastAsia"/>
          <w:sz w:val="24"/>
        </w:rPr>
        <w:t>40</w:t>
      </w:r>
      <w:r>
        <w:rPr>
          <w:rFonts w:hAnsi="宋体" w:hint="eastAsia"/>
          <w:sz w:val="24"/>
        </w:rPr>
        <w:t>亩，作业场所占地约为总占地的</w:t>
      </w:r>
      <w:r>
        <w:rPr>
          <w:rFonts w:hAnsi="宋体" w:hint="eastAsia"/>
          <w:sz w:val="24"/>
        </w:rPr>
        <w:t>90%</w:t>
      </w:r>
      <w:r>
        <w:rPr>
          <w:rFonts w:hAnsi="宋体" w:hint="eastAsia"/>
          <w:sz w:val="24"/>
        </w:rPr>
        <w:t>，</w:t>
      </w:r>
      <w:r>
        <w:rPr>
          <w:rFonts w:hAnsi="宋体"/>
          <w:sz w:val="24"/>
        </w:rPr>
        <w:t>年平均降雨量</w:t>
      </w:r>
      <w:r>
        <w:rPr>
          <w:sz w:val="24"/>
        </w:rPr>
        <w:t>1556.2mm</w:t>
      </w:r>
      <w:r>
        <w:rPr>
          <w:rFonts w:hAnsi="宋体"/>
          <w:sz w:val="24"/>
        </w:rPr>
        <w:t>，</w:t>
      </w:r>
      <w:r>
        <w:rPr>
          <w:rFonts w:hAnsi="宋体" w:hint="eastAsia"/>
          <w:sz w:val="24"/>
        </w:rPr>
        <w:t>初期雨水量为降雨的前</w:t>
      </w:r>
      <w:r>
        <w:rPr>
          <w:rFonts w:hAnsi="宋体" w:hint="eastAsia"/>
          <w:sz w:val="24"/>
        </w:rPr>
        <w:t>15</w:t>
      </w:r>
      <w:r>
        <w:rPr>
          <w:rFonts w:hAnsi="宋体" w:hint="eastAsia"/>
          <w:sz w:val="24"/>
        </w:rPr>
        <w:t>分钟雨水收集量，环评按照年均降雨量的</w:t>
      </w:r>
      <w:r>
        <w:rPr>
          <w:rFonts w:hAnsi="宋体" w:hint="eastAsia"/>
          <w:sz w:val="24"/>
        </w:rPr>
        <w:t>15%</w:t>
      </w:r>
      <w:r>
        <w:rPr>
          <w:rFonts w:hAnsi="宋体" w:hint="eastAsia"/>
          <w:sz w:val="24"/>
        </w:rPr>
        <w:t>核算全年初期雨水量为</w:t>
      </w:r>
      <w:r>
        <w:rPr>
          <w:rFonts w:hAnsi="宋体" w:hint="eastAsia"/>
          <w:sz w:val="24"/>
        </w:rPr>
        <w:t>5605m</w:t>
      </w:r>
      <w:r>
        <w:rPr>
          <w:rFonts w:hAnsi="宋体" w:hint="eastAsia"/>
          <w:sz w:val="24"/>
          <w:vertAlign w:val="superscript"/>
        </w:rPr>
        <w:t>3</w:t>
      </w:r>
      <w:r>
        <w:rPr>
          <w:rFonts w:hAnsi="宋体" w:hint="eastAsia"/>
          <w:sz w:val="24"/>
        </w:rPr>
        <w:t>/a</w:t>
      </w:r>
      <w:r>
        <w:rPr>
          <w:rFonts w:hAnsi="宋体" w:hint="eastAsia"/>
          <w:sz w:val="24"/>
        </w:rPr>
        <w:t>，现有工程将其直接纳入园区污水处理厂，本项目建成后，考虑到初期雨水中可能夹带有少量的染料成分，初期雨水主要污染物成分为</w:t>
      </w:r>
      <w:r>
        <w:rPr>
          <w:rFonts w:hAnsi="宋体" w:hint="eastAsia"/>
          <w:sz w:val="24"/>
        </w:rPr>
        <w:t>Ph</w:t>
      </w:r>
      <w:r>
        <w:rPr>
          <w:rFonts w:hAnsi="宋体" w:hint="eastAsia"/>
          <w:sz w:val="24"/>
        </w:rPr>
        <w:t>、</w:t>
      </w:r>
      <w:r>
        <w:rPr>
          <w:rFonts w:hAnsi="宋体" w:hint="eastAsia"/>
          <w:sz w:val="24"/>
        </w:rPr>
        <w:t>COD</w:t>
      </w:r>
      <w:r>
        <w:rPr>
          <w:rFonts w:hAnsi="宋体" w:hint="eastAsia"/>
          <w:sz w:val="24"/>
        </w:rPr>
        <w:t>和色度，环评要求将初期雨水纳入新建的污水处理站一并处理后送园区污水处理厂处理。</w:t>
      </w:r>
    </w:p>
    <w:p w:rsidR="00475650" w:rsidRDefault="00475650">
      <w:pPr>
        <w:snapToGrid w:val="0"/>
        <w:spacing w:line="360" w:lineRule="auto"/>
        <w:ind w:firstLineChars="200" w:firstLine="480"/>
        <w:rPr>
          <w:rFonts w:hAnsi="宋体"/>
          <w:sz w:val="24"/>
        </w:rPr>
      </w:pPr>
      <w:r>
        <w:rPr>
          <w:rFonts w:hAnsi="宋体" w:hint="eastAsia"/>
          <w:sz w:val="24"/>
        </w:rPr>
        <w:t>2</w:t>
      </w:r>
      <w:r>
        <w:rPr>
          <w:rFonts w:hAnsi="宋体" w:hint="eastAsia"/>
          <w:sz w:val="24"/>
        </w:rPr>
        <w:t>、</w:t>
      </w:r>
      <w:r>
        <w:rPr>
          <w:rFonts w:hAnsi="宋体"/>
          <w:sz w:val="24"/>
        </w:rPr>
        <w:t>初步可研措施</w:t>
      </w:r>
    </w:p>
    <w:p w:rsidR="00475650" w:rsidRDefault="00475650">
      <w:pPr>
        <w:snapToGrid w:val="0"/>
        <w:spacing w:line="326" w:lineRule="auto"/>
        <w:ind w:firstLineChars="200" w:firstLine="480"/>
        <w:rPr>
          <w:sz w:val="24"/>
        </w:rPr>
      </w:pPr>
      <w:r>
        <w:rPr>
          <w:rFonts w:hAnsi="宋体"/>
          <w:sz w:val="24"/>
        </w:rPr>
        <w:lastRenderedPageBreak/>
        <w:t>根据污染源分析内容知：生产废水中主要污染物为有机物及盐分，其中有机物</w:t>
      </w:r>
      <w:r>
        <w:rPr>
          <w:sz w:val="24"/>
        </w:rPr>
        <w:t>CODcr</w:t>
      </w:r>
      <w:r>
        <w:rPr>
          <w:rFonts w:hAnsi="宋体"/>
          <w:sz w:val="24"/>
        </w:rPr>
        <w:t>浓度</w:t>
      </w:r>
      <w:r>
        <w:rPr>
          <w:rFonts w:hAnsi="宋体" w:hint="eastAsia"/>
          <w:sz w:val="24"/>
        </w:rPr>
        <w:t>为</w:t>
      </w:r>
      <w:r>
        <w:rPr>
          <w:rFonts w:hAnsi="宋体" w:hint="eastAsia"/>
          <w:sz w:val="24"/>
        </w:rPr>
        <w:t>1000</w:t>
      </w:r>
      <w:r>
        <w:rPr>
          <w:sz w:val="24"/>
        </w:rPr>
        <w:t>mg/l</w:t>
      </w:r>
      <w:r>
        <w:rPr>
          <w:rFonts w:hAnsi="宋体"/>
          <w:sz w:val="24"/>
        </w:rPr>
        <w:t>，盐分为</w:t>
      </w:r>
      <w:r>
        <w:rPr>
          <w:rFonts w:hint="eastAsia"/>
          <w:sz w:val="24"/>
        </w:rPr>
        <w:t>2</w:t>
      </w:r>
      <w:r>
        <w:rPr>
          <w:sz w:val="24"/>
        </w:rPr>
        <w:t>%</w:t>
      </w:r>
      <w:r>
        <w:rPr>
          <w:rFonts w:hAnsi="宋体"/>
          <w:sz w:val="24"/>
        </w:rPr>
        <w:t>，初步可研拟采取</w:t>
      </w:r>
      <w:r>
        <w:rPr>
          <w:sz w:val="24"/>
        </w:rPr>
        <w:t>“</w:t>
      </w:r>
      <w:r>
        <w:rPr>
          <w:rFonts w:hAnsi="宋体"/>
          <w:sz w:val="24"/>
        </w:rPr>
        <w:t>隔油</w:t>
      </w:r>
      <w:r>
        <w:rPr>
          <w:sz w:val="24"/>
        </w:rPr>
        <w:t>+pH</w:t>
      </w:r>
      <w:r>
        <w:rPr>
          <w:rFonts w:hAnsi="宋体"/>
          <w:sz w:val="24"/>
        </w:rPr>
        <w:t>调节</w:t>
      </w:r>
      <w:r>
        <w:rPr>
          <w:sz w:val="24"/>
        </w:rPr>
        <w:t>+</w:t>
      </w:r>
      <w:r>
        <w:rPr>
          <w:rFonts w:hAnsi="宋体"/>
          <w:sz w:val="24"/>
        </w:rPr>
        <w:t>高效厌氧生化</w:t>
      </w:r>
      <w:r>
        <w:rPr>
          <w:sz w:val="24"/>
        </w:rPr>
        <w:t>+</w:t>
      </w:r>
      <w:r>
        <w:rPr>
          <w:rFonts w:hAnsi="宋体"/>
          <w:sz w:val="24"/>
        </w:rPr>
        <w:t>耗氧生化</w:t>
      </w:r>
      <w:r>
        <w:rPr>
          <w:sz w:val="24"/>
        </w:rPr>
        <w:t>+</w:t>
      </w:r>
      <w:r>
        <w:rPr>
          <w:rFonts w:hAnsi="宋体"/>
          <w:sz w:val="24"/>
        </w:rPr>
        <w:t>臭氧氧化塔脱色</w:t>
      </w:r>
      <w:r>
        <w:rPr>
          <w:sz w:val="24"/>
        </w:rPr>
        <w:t>+</w:t>
      </w:r>
      <w:r>
        <w:rPr>
          <w:rFonts w:hAnsi="宋体"/>
          <w:sz w:val="24"/>
        </w:rPr>
        <w:t>沉淀处理</w:t>
      </w:r>
      <w:r>
        <w:rPr>
          <w:sz w:val="24"/>
        </w:rPr>
        <w:t>”</w:t>
      </w:r>
      <w:r>
        <w:rPr>
          <w:rFonts w:hAnsi="宋体"/>
          <w:sz w:val="24"/>
        </w:rPr>
        <w:t>后送园区污水处理站处理。</w:t>
      </w:r>
    </w:p>
    <w:p w:rsidR="00475650" w:rsidRDefault="00475650">
      <w:pPr>
        <w:snapToGrid w:val="0"/>
        <w:spacing w:line="326" w:lineRule="auto"/>
        <w:ind w:firstLineChars="200" w:firstLine="480"/>
        <w:rPr>
          <w:sz w:val="24"/>
        </w:rPr>
      </w:pPr>
      <w:r>
        <w:rPr>
          <w:rFonts w:hint="eastAsia"/>
          <w:sz w:val="24"/>
        </w:rPr>
        <w:t>3</w:t>
      </w:r>
      <w:r>
        <w:rPr>
          <w:rFonts w:hAnsi="宋体"/>
          <w:sz w:val="24"/>
        </w:rPr>
        <w:t>、设计资料措施</w:t>
      </w:r>
    </w:p>
    <w:p w:rsidR="00475650" w:rsidRDefault="00475650">
      <w:pPr>
        <w:snapToGrid w:val="0"/>
        <w:spacing w:line="326" w:lineRule="auto"/>
        <w:ind w:firstLineChars="200" w:firstLine="480"/>
        <w:rPr>
          <w:sz w:val="24"/>
        </w:rPr>
      </w:pPr>
      <w:r>
        <w:rPr>
          <w:rFonts w:hAnsi="宋体"/>
          <w:sz w:val="24"/>
        </w:rPr>
        <w:t>临湘市鹏程化工有限公司于</w:t>
      </w:r>
      <w:r>
        <w:rPr>
          <w:sz w:val="24"/>
        </w:rPr>
        <w:t>2014</w:t>
      </w:r>
      <w:r>
        <w:rPr>
          <w:rFonts w:hAnsi="宋体"/>
          <w:sz w:val="24"/>
        </w:rPr>
        <w:t>年</w:t>
      </w:r>
      <w:r>
        <w:rPr>
          <w:sz w:val="24"/>
        </w:rPr>
        <w:t>5</w:t>
      </w:r>
      <w:r>
        <w:rPr>
          <w:rFonts w:hAnsi="宋体"/>
          <w:sz w:val="24"/>
        </w:rPr>
        <w:t>月委托武汉沐澜环保科技有限公司实施了废水处理措施的初步设计，初步设计拟采取</w:t>
      </w:r>
      <w:r>
        <w:rPr>
          <w:sz w:val="24"/>
        </w:rPr>
        <w:t>“pH</w:t>
      </w:r>
      <w:r>
        <w:rPr>
          <w:rFonts w:hAnsi="宋体"/>
          <w:sz w:val="24"/>
        </w:rPr>
        <w:t>调节</w:t>
      </w:r>
      <w:r>
        <w:rPr>
          <w:sz w:val="24"/>
        </w:rPr>
        <w:t>+</w:t>
      </w:r>
      <w:r>
        <w:rPr>
          <w:rFonts w:hAnsi="宋体"/>
          <w:sz w:val="24"/>
        </w:rPr>
        <w:t>蒸发脱盐</w:t>
      </w:r>
      <w:r>
        <w:rPr>
          <w:sz w:val="24"/>
        </w:rPr>
        <w:t>+</w:t>
      </w:r>
      <w:r>
        <w:rPr>
          <w:rFonts w:hAnsi="宋体"/>
          <w:sz w:val="24"/>
        </w:rPr>
        <w:t>微电解</w:t>
      </w:r>
      <w:r>
        <w:rPr>
          <w:sz w:val="24"/>
        </w:rPr>
        <w:t>+</w:t>
      </w:r>
      <w:r>
        <w:rPr>
          <w:rFonts w:hAnsi="宋体"/>
          <w:sz w:val="24"/>
        </w:rPr>
        <w:t>化学氧化</w:t>
      </w:r>
      <w:r>
        <w:rPr>
          <w:sz w:val="24"/>
        </w:rPr>
        <w:t>+</w:t>
      </w:r>
      <w:r>
        <w:rPr>
          <w:rFonts w:hAnsi="宋体"/>
          <w:sz w:val="24"/>
        </w:rPr>
        <w:t>厌氧生化</w:t>
      </w:r>
      <w:r>
        <w:rPr>
          <w:sz w:val="24"/>
        </w:rPr>
        <w:t>+</w:t>
      </w:r>
      <w:r>
        <w:rPr>
          <w:rFonts w:hAnsi="宋体"/>
          <w:sz w:val="24"/>
        </w:rPr>
        <w:t>生物滤池处理</w:t>
      </w:r>
      <w:r>
        <w:rPr>
          <w:sz w:val="24"/>
        </w:rPr>
        <w:t>”</w:t>
      </w:r>
      <w:r>
        <w:rPr>
          <w:rFonts w:hAnsi="宋体"/>
          <w:sz w:val="24"/>
        </w:rPr>
        <w:t>后送园区污水处理厂处理。</w:t>
      </w:r>
    </w:p>
    <w:p w:rsidR="00475650" w:rsidRDefault="00475650">
      <w:pPr>
        <w:snapToGrid w:val="0"/>
        <w:spacing w:line="326" w:lineRule="auto"/>
        <w:ind w:firstLineChars="200" w:firstLine="480"/>
        <w:rPr>
          <w:sz w:val="24"/>
        </w:rPr>
      </w:pPr>
      <w:r>
        <w:rPr>
          <w:rFonts w:hint="eastAsia"/>
          <w:sz w:val="24"/>
        </w:rPr>
        <w:t>4</w:t>
      </w:r>
      <w:r>
        <w:rPr>
          <w:rFonts w:hAnsi="宋体"/>
          <w:sz w:val="24"/>
        </w:rPr>
        <w:t>、措施分析</w:t>
      </w:r>
    </w:p>
    <w:p w:rsidR="00475650" w:rsidRDefault="00475650">
      <w:pPr>
        <w:snapToGrid w:val="0"/>
        <w:spacing w:line="326" w:lineRule="auto"/>
        <w:ind w:firstLineChars="200" w:firstLine="480"/>
        <w:rPr>
          <w:sz w:val="24"/>
        </w:rPr>
      </w:pPr>
      <w:r>
        <w:rPr>
          <w:rFonts w:hAnsi="宋体"/>
          <w:sz w:val="24"/>
        </w:rPr>
        <w:t>压滤废水中可能夹带有未能溶解的原辅材料或产品物质，初步可研采取的隔油措施实际为多级沉淀，沉淀渣返回反应釜，废水送污水处理站处理。该措施可有效回收废水中有用的原辅材料及中间用品，措施可行。</w:t>
      </w:r>
    </w:p>
    <w:p w:rsidR="00475650" w:rsidRDefault="00475650">
      <w:pPr>
        <w:snapToGrid w:val="0"/>
        <w:spacing w:line="326" w:lineRule="auto"/>
        <w:ind w:firstLineChars="200" w:firstLine="480"/>
        <w:rPr>
          <w:sz w:val="24"/>
        </w:rPr>
      </w:pPr>
      <w:r>
        <w:rPr>
          <w:rFonts w:hAnsi="宋体"/>
          <w:sz w:val="24"/>
        </w:rPr>
        <w:t>根据水质分析，压滤废水盐分浓度较高，且具有一定的酸碱度，高浓度盐水（本项目废水中盐分主要成分为乙酸钠和氯化钠，其中氯离子对生化细菌有毒害作用，一般控制盐分在</w:t>
      </w:r>
      <w:r>
        <w:rPr>
          <w:rFonts w:hint="eastAsia"/>
          <w:sz w:val="24"/>
        </w:rPr>
        <w:t>0.1</w:t>
      </w:r>
      <w:r>
        <w:rPr>
          <w:sz w:val="24"/>
        </w:rPr>
        <w:t>%</w:t>
      </w:r>
      <w:r>
        <w:rPr>
          <w:rFonts w:hAnsi="宋体"/>
          <w:sz w:val="24"/>
        </w:rPr>
        <w:t>以下）及酸碱物质将破坏生化处理微生物活性，影响生化处理效率及出水水质，因此在生化处理前需进行</w:t>
      </w:r>
      <w:r>
        <w:rPr>
          <w:sz w:val="24"/>
        </w:rPr>
        <w:t>pH</w:t>
      </w:r>
      <w:r>
        <w:rPr>
          <w:rFonts w:hAnsi="宋体"/>
          <w:sz w:val="24"/>
        </w:rPr>
        <w:t>调节及除盐处理；废水</w:t>
      </w:r>
      <w:r>
        <w:rPr>
          <w:sz w:val="24"/>
        </w:rPr>
        <w:t>pH</w:t>
      </w:r>
      <w:r>
        <w:rPr>
          <w:rFonts w:hAnsi="宋体"/>
          <w:sz w:val="24"/>
        </w:rPr>
        <w:t>可加入少量氢氧化钠或者石灰乳液进行调节；目前较为有效的除盐工艺为三效蒸发除盐，使用间接蒸汽对废水进行蒸发除盐，三效蒸发对盐分的去除率为</w:t>
      </w:r>
      <w:r>
        <w:rPr>
          <w:rFonts w:hint="eastAsia"/>
          <w:sz w:val="24"/>
        </w:rPr>
        <w:t>95</w:t>
      </w:r>
      <w:r>
        <w:rPr>
          <w:sz w:val="24"/>
        </w:rPr>
        <w:t>-99%</w:t>
      </w:r>
      <w:r>
        <w:rPr>
          <w:rFonts w:hAnsi="宋体"/>
          <w:sz w:val="24"/>
        </w:rPr>
        <w:t>，本处取</w:t>
      </w:r>
      <w:r>
        <w:rPr>
          <w:rFonts w:hint="eastAsia"/>
          <w:sz w:val="24"/>
        </w:rPr>
        <w:t>96</w:t>
      </w:r>
      <w:r>
        <w:rPr>
          <w:sz w:val="24"/>
        </w:rPr>
        <w:t>%</w:t>
      </w:r>
      <w:r>
        <w:rPr>
          <w:rFonts w:hAnsi="宋体"/>
          <w:sz w:val="24"/>
        </w:rPr>
        <w:t>，初步设计考虑的蒸发脱盐措施可行。</w:t>
      </w:r>
    </w:p>
    <w:p w:rsidR="00475650" w:rsidRDefault="00475650">
      <w:pPr>
        <w:snapToGrid w:val="0"/>
        <w:spacing w:line="326" w:lineRule="auto"/>
        <w:ind w:firstLineChars="200" w:firstLine="480"/>
        <w:rPr>
          <w:sz w:val="24"/>
        </w:rPr>
      </w:pPr>
      <w:r>
        <w:rPr>
          <w:rFonts w:hAnsi="宋体"/>
          <w:sz w:val="24"/>
        </w:rPr>
        <w:t>微电解是指在低压直流状态下的电解，可有效除去水中的钙、镁等盐类成分以降低水的硬度，同时产生可灭菌消毒的活性氢氧自由基等杀死水中的细菌，该工序往往配合三效蒸发工序对高浓度及高盐度废水处理以降低废水毒性并提高其可生化性。本项目生产废水中含有苯环等有毒基团，初步设计设置微电解工序以确保后续生化处理的有效性，该措施可行。</w:t>
      </w:r>
    </w:p>
    <w:p w:rsidR="00475650" w:rsidRDefault="00475650">
      <w:pPr>
        <w:snapToGrid w:val="0"/>
        <w:spacing w:line="326" w:lineRule="auto"/>
        <w:ind w:firstLineChars="200" w:firstLine="480"/>
        <w:rPr>
          <w:sz w:val="24"/>
        </w:rPr>
      </w:pPr>
      <w:r>
        <w:rPr>
          <w:rFonts w:hAnsi="宋体"/>
          <w:sz w:val="24"/>
        </w:rPr>
        <w:t>化学氧化法是利用化学氧化剂的氧化作用将水中的污染物转化为微毒或无毒的物质，或将其转化为易于分离的形态的处理方法，在废水处理中主要是用于水质的消毒、脱色、除酚、除臭等。经化学氧化后的废水可生化性一定程度上得以提高，并且可破坏染色物质的结构，降低废水的色度，有利于下阶段的生化处理。初步设计将化学氧化法设定在生化处理前，但未涉及氧化物种类，一般废水处理采用高锰酸盐、次氯酸钠、双氧水等作为氧化剂，其中高锰酸盐以廉价易得使用较多。可研则将化学氧化（臭氧氧化）设定在生化处理后，对水质进行深度处理。评价认为，将化学氧化设定在生化处理前不仅可对废水进行脱色，也可有效提高废水的可生化性并可破坏废水中可能存在的有毒基团，有利于提高后续生化处理。该步反应环评采纳初步设计建议。</w:t>
      </w:r>
    </w:p>
    <w:p w:rsidR="00475650" w:rsidRDefault="00475650">
      <w:pPr>
        <w:snapToGrid w:val="0"/>
        <w:spacing w:line="360" w:lineRule="auto"/>
        <w:ind w:firstLineChars="200" w:firstLine="480"/>
        <w:rPr>
          <w:sz w:val="24"/>
        </w:rPr>
      </w:pPr>
      <w:r>
        <w:rPr>
          <w:rFonts w:hAnsi="宋体"/>
          <w:sz w:val="24"/>
        </w:rPr>
        <w:lastRenderedPageBreak/>
        <w:t>高效厌氧反应器主要对废水进行厌氧反应，在厌氧菌的作用下废水中的大分子有机物以及难生物降解的有机物氧化成小分子，该过程对有机物的去除率在</w:t>
      </w:r>
      <w:r>
        <w:rPr>
          <w:sz w:val="24"/>
        </w:rPr>
        <w:t>60%</w:t>
      </w:r>
      <w:r>
        <w:rPr>
          <w:rFonts w:hAnsi="宋体"/>
          <w:sz w:val="24"/>
        </w:rPr>
        <w:t>以上。该装置一般采用流化床等生物膜法，厌氧微生物以膜形式结在载体表面，在污水中成流动状态，微生物与污水中的有机物进行接触吸附分解有机物。该设备以占地面积小，生化处理能力大等优点成为高浓度有机废水处理常用措施。</w:t>
      </w:r>
    </w:p>
    <w:p w:rsidR="00475650" w:rsidRDefault="00475650">
      <w:pPr>
        <w:snapToGrid w:val="0"/>
        <w:spacing w:line="360" w:lineRule="auto"/>
        <w:ind w:firstLineChars="200" w:firstLine="480"/>
        <w:rPr>
          <w:rFonts w:hAnsi="宋体"/>
          <w:sz w:val="24"/>
        </w:rPr>
      </w:pPr>
      <w:r>
        <w:rPr>
          <w:rFonts w:hAnsi="宋体"/>
          <w:sz w:val="24"/>
        </w:rPr>
        <w:t>生物滤池有厌氧生物滤池及好氧生物滤池之分，废水经高效厌氧反应后一般采用好样生物滤池进行好氧处理，生化细菌分布于滤池填料上与通过填料的来水充分反应以降低废水可生化污染，有机物的处理效率为</w:t>
      </w:r>
      <w:r>
        <w:rPr>
          <w:sz w:val="24"/>
        </w:rPr>
        <w:t>65%-90%</w:t>
      </w:r>
      <w:r>
        <w:rPr>
          <w:rFonts w:hAnsi="宋体"/>
          <w:sz w:val="24"/>
        </w:rPr>
        <w:t>，氨氮的去除效率</w:t>
      </w:r>
      <w:r>
        <w:rPr>
          <w:sz w:val="24"/>
        </w:rPr>
        <w:t>40%</w:t>
      </w:r>
      <w:r>
        <w:rPr>
          <w:rFonts w:hAnsi="宋体"/>
          <w:sz w:val="24"/>
        </w:rPr>
        <w:t>以上。</w:t>
      </w:r>
    </w:p>
    <w:p w:rsidR="00475650" w:rsidRDefault="00475650">
      <w:pPr>
        <w:snapToGrid w:val="0"/>
        <w:spacing w:line="360" w:lineRule="auto"/>
        <w:ind w:firstLineChars="200" w:firstLine="480"/>
        <w:rPr>
          <w:rFonts w:hAnsi="宋体"/>
          <w:sz w:val="24"/>
          <w:u w:val="single"/>
        </w:rPr>
      </w:pPr>
      <w:r>
        <w:rPr>
          <w:rFonts w:hAnsi="宋体" w:hint="eastAsia"/>
          <w:sz w:val="24"/>
          <w:u w:val="single"/>
        </w:rPr>
        <w:t>以上处理措施主要针对水中的盐分、有机物及氨氮污染成分进行处理，其中</w:t>
      </w:r>
      <w:r>
        <w:rPr>
          <w:rFonts w:hAnsi="宋体" w:hint="eastAsia"/>
          <w:sz w:val="24"/>
          <w:u w:val="single"/>
        </w:rPr>
        <w:t>COD</w:t>
      </w:r>
      <w:r>
        <w:rPr>
          <w:rFonts w:hAnsi="宋体" w:hint="eastAsia"/>
          <w:sz w:val="24"/>
          <w:u w:val="single"/>
        </w:rPr>
        <w:t>的去除对色度的去除有一定的贡献作用，但本项目废水色度较高，生化处理仍不能完全解决出水色度较高的问题，需采用处理效率高且针对性的措施，环评建议于蒸发脱盐措施前增加一级活性炭吸附措施，于生物滤池后增加一级炉膛煤渣吸附措施，以处理废水色度污染问题。</w:t>
      </w:r>
    </w:p>
    <w:p w:rsidR="00475650" w:rsidRDefault="00475650">
      <w:pPr>
        <w:snapToGrid w:val="0"/>
        <w:spacing w:line="360" w:lineRule="auto"/>
        <w:ind w:firstLineChars="200" w:firstLine="480"/>
        <w:rPr>
          <w:rFonts w:hAnsi="宋体"/>
          <w:sz w:val="24"/>
          <w:u w:val="single"/>
        </w:rPr>
      </w:pPr>
      <w:r>
        <w:rPr>
          <w:rFonts w:hAnsi="宋体" w:hint="eastAsia"/>
          <w:sz w:val="24"/>
          <w:u w:val="single"/>
        </w:rPr>
        <w:t>综合可得，本项目废水的处理措施为：“车间沉淀预处理</w:t>
      </w:r>
      <w:r>
        <w:rPr>
          <w:rFonts w:hAnsi="宋体" w:hint="eastAsia"/>
          <w:sz w:val="24"/>
          <w:u w:val="single"/>
        </w:rPr>
        <w:t>+</w:t>
      </w:r>
      <w:r>
        <w:rPr>
          <w:rFonts w:hAnsi="宋体"/>
          <w:sz w:val="24"/>
          <w:u w:val="single"/>
        </w:rPr>
        <w:t>pH</w:t>
      </w:r>
      <w:r>
        <w:rPr>
          <w:rFonts w:hAnsi="宋体"/>
          <w:sz w:val="24"/>
          <w:u w:val="single"/>
        </w:rPr>
        <w:t>调节</w:t>
      </w:r>
      <w:r>
        <w:rPr>
          <w:rFonts w:hAnsi="宋体"/>
          <w:sz w:val="24"/>
          <w:u w:val="single"/>
        </w:rPr>
        <w:t>+</w:t>
      </w:r>
      <w:r>
        <w:rPr>
          <w:rFonts w:hAnsi="宋体" w:hint="eastAsia"/>
          <w:sz w:val="24"/>
          <w:u w:val="single"/>
        </w:rPr>
        <w:t>活性炭吸附</w:t>
      </w:r>
      <w:r>
        <w:rPr>
          <w:rFonts w:hAnsi="宋体" w:hint="eastAsia"/>
          <w:sz w:val="24"/>
          <w:u w:val="single"/>
        </w:rPr>
        <w:t>+</w:t>
      </w:r>
      <w:r>
        <w:rPr>
          <w:rFonts w:hAnsi="宋体"/>
          <w:sz w:val="24"/>
          <w:u w:val="single"/>
        </w:rPr>
        <w:t>蒸发脱盐</w:t>
      </w:r>
      <w:r>
        <w:rPr>
          <w:rFonts w:hAnsi="宋体"/>
          <w:sz w:val="24"/>
          <w:u w:val="single"/>
        </w:rPr>
        <w:t>+</w:t>
      </w:r>
      <w:r>
        <w:rPr>
          <w:rFonts w:hAnsi="宋体"/>
          <w:sz w:val="24"/>
          <w:u w:val="single"/>
        </w:rPr>
        <w:t>微电解</w:t>
      </w:r>
      <w:r>
        <w:rPr>
          <w:rFonts w:hAnsi="宋体"/>
          <w:sz w:val="24"/>
          <w:u w:val="single"/>
        </w:rPr>
        <w:t>+</w:t>
      </w:r>
      <w:r>
        <w:rPr>
          <w:rFonts w:hAnsi="宋体"/>
          <w:sz w:val="24"/>
          <w:u w:val="single"/>
        </w:rPr>
        <w:t>化学氧化</w:t>
      </w:r>
      <w:r>
        <w:rPr>
          <w:rFonts w:hAnsi="宋体"/>
          <w:sz w:val="24"/>
          <w:u w:val="single"/>
        </w:rPr>
        <w:t>+</w:t>
      </w:r>
      <w:r>
        <w:rPr>
          <w:rFonts w:hAnsi="宋体"/>
          <w:sz w:val="24"/>
          <w:u w:val="single"/>
        </w:rPr>
        <w:t>厌氧生化</w:t>
      </w:r>
      <w:r>
        <w:rPr>
          <w:rFonts w:hAnsi="宋体"/>
          <w:sz w:val="24"/>
          <w:u w:val="single"/>
        </w:rPr>
        <w:t>+</w:t>
      </w:r>
      <w:r>
        <w:rPr>
          <w:rFonts w:hAnsi="宋体"/>
          <w:sz w:val="24"/>
          <w:u w:val="single"/>
        </w:rPr>
        <w:t>生物滤池处理</w:t>
      </w:r>
      <w:r>
        <w:rPr>
          <w:rFonts w:hAnsi="宋体" w:hint="eastAsia"/>
          <w:sz w:val="24"/>
          <w:u w:val="single"/>
        </w:rPr>
        <w:t>+</w:t>
      </w:r>
      <w:r>
        <w:rPr>
          <w:rFonts w:hAnsi="宋体" w:hint="eastAsia"/>
          <w:sz w:val="24"/>
          <w:u w:val="single"/>
        </w:rPr>
        <w:t>炉膛煤渣吸附”；该措施已经得到业主的确认，其中沉淀措施在装置区内即实施，沉淀处理后的废水送污水处理站进行后续处理。</w:t>
      </w:r>
    </w:p>
    <w:p w:rsidR="00475650" w:rsidRDefault="00475650">
      <w:pPr>
        <w:snapToGrid w:val="0"/>
        <w:spacing w:line="360" w:lineRule="auto"/>
        <w:ind w:firstLineChars="200" w:firstLine="480"/>
        <w:rPr>
          <w:sz w:val="24"/>
          <w:u w:val="single"/>
        </w:rPr>
      </w:pPr>
      <w:r>
        <w:rPr>
          <w:rFonts w:hAnsi="宋体"/>
          <w:sz w:val="24"/>
          <w:u w:val="single"/>
        </w:rPr>
        <w:t>活性炭是由含炭为主的物质作原料，经高温炭化和活化制得的疏水性吸附剂。活性炭含有大量微孔，具有巨大的比表面积，</w:t>
      </w:r>
      <w:r>
        <w:rPr>
          <w:sz w:val="24"/>
          <w:u w:val="single"/>
        </w:rPr>
        <w:t>主要吸附分子量在</w:t>
      </w:r>
      <w:r>
        <w:rPr>
          <w:rFonts w:hint="eastAsia"/>
          <w:sz w:val="24"/>
          <w:u w:val="single"/>
        </w:rPr>
        <w:t>100</w:t>
      </w:r>
      <w:r>
        <w:rPr>
          <w:sz w:val="24"/>
          <w:u w:val="single"/>
        </w:rPr>
        <w:t>到</w:t>
      </w:r>
      <w:r>
        <w:rPr>
          <w:rFonts w:hint="eastAsia"/>
          <w:sz w:val="24"/>
          <w:u w:val="single"/>
        </w:rPr>
        <w:t>10000</w:t>
      </w:r>
      <w:r>
        <w:rPr>
          <w:sz w:val="24"/>
          <w:u w:val="single"/>
        </w:rPr>
        <w:t>之间的化合物，</w:t>
      </w:r>
      <w:r>
        <w:rPr>
          <w:rFonts w:hAnsi="宋体"/>
          <w:sz w:val="24"/>
          <w:u w:val="single"/>
        </w:rPr>
        <w:t>能有效地去除色度、臭味</w:t>
      </w:r>
      <w:r>
        <w:rPr>
          <w:sz w:val="24"/>
          <w:u w:val="single"/>
        </w:rPr>
        <w:t>和</w:t>
      </w:r>
      <w:r>
        <w:rPr>
          <w:rFonts w:hint="eastAsia"/>
          <w:sz w:val="24"/>
          <w:u w:val="single"/>
        </w:rPr>
        <w:t>COD</w:t>
      </w:r>
      <w:r>
        <w:rPr>
          <w:rFonts w:hAnsi="宋体"/>
          <w:sz w:val="24"/>
          <w:u w:val="single"/>
        </w:rPr>
        <w:t>，</w:t>
      </w:r>
      <w:r>
        <w:rPr>
          <w:sz w:val="24"/>
          <w:u w:val="single"/>
        </w:rPr>
        <w:t>可以用于色度废水的脱色剂；活性炭处理染料废水在国内外都有研究，</w:t>
      </w:r>
      <w:r>
        <w:rPr>
          <w:rFonts w:hint="eastAsia"/>
          <w:sz w:val="24"/>
          <w:u w:val="single"/>
        </w:rPr>
        <w:t>本项目染料废水色度值较高，根据《染料工业废水治理工程技术规范（</w:t>
      </w:r>
      <w:r>
        <w:rPr>
          <w:rFonts w:hint="eastAsia"/>
          <w:sz w:val="24"/>
          <w:u w:val="single"/>
        </w:rPr>
        <w:t>HJ 2036-2013</w:t>
      </w:r>
      <w:r>
        <w:rPr>
          <w:rFonts w:hint="eastAsia"/>
          <w:sz w:val="24"/>
          <w:u w:val="single"/>
        </w:rPr>
        <w:t>）》，采用活性炭处理技术对色度的去除效率为</w:t>
      </w:r>
      <w:r>
        <w:rPr>
          <w:rFonts w:hint="eastAsia"/>
          <w:sz w:val="24"/>
          <w:u w:val="single"/>
        </w:rPr>
        <w:t>70-80%</w:t>
      </w:r>
      <w:r>
        <w:rPr>
          <w:rFonts w:hint="eastAsia"/>
          <w:sz w:val="24"/>
          <w:u w:val="single"/>
        </w:rPr>
        <w:t>，</w:t>
      </w:r>
      <w:r>
        <w:rPr>
          <w:rFonts w:hint="eastAsia"/>
          <w:sz w:val="24"/>
          <w:u w:val="single"/>
        </w:rPr>
        <w:t>COD</w:t>
      </w:r>
      <w:r>
        <w:rPr>
          <w:rFonts w:hint="eastAsia"/>
          <w:sz w:val="24"/>
          <w:u w:val="single"/>
        </w:rPr>
        <w:t>的去除效率为</w:t>
      </w:r>
      <w:r>
        <w:rPr>
          <w:rFonts w:hint="eastAsia"/>
          <w:sz w:val="24"/>
          <w:u w:val="single"/>
        </w:rPr>
        <w:t>55-75%</w:t>
      </w:r>
      <w:r>
        <w:rPr>
          <w:rFonts w:hint="eastAsia"/>
          <w:sz w:val="24"/>
          <w:u w:val="single"/>
        </w:rPr>
        <w:t>。炉膛煤渣的脱色效率跟活性炭的处理效率基本相同，由于其经济性更好，为现有同类企业常用吸附剂。废活性炭及废炉膛煤渣纳入污水处理污泥中一并外委处理。</w:t>
      </w:r>
    </w:p>
    <w:p w:rsidR="00475650" w:rsidRDefault="00475650">
      <w:pPr>
        <w:snapToGrid w:val="0"/>
        <w:spacing w:line="360" w:lineRule="auto"/>
        <w:ind w:firstLineChars="200" w:firstLine="480"/>
        <w:rPr>
          <w:rFonts w:hAnsi="宋体"/>
          <w:sz w:val="24"/>
        </w:rPr>
      </w:pPr>
      <w:r>
        <w:rPr>
          <w:rFonts w:hAnsi="宋体"/>
          <w:sz w:val="24"/>
        </w:rPr>
        <w:t>根据初步设计资料并分析各废水处理措施的实际运行处理效率，各装置对废水的处理情况见表</w:t>
      </w:r>
      <w:r>
        <w:rPr>
          <w:sz w:val="24"/>
        </w:rPr>
        <w:t>3.3-13</w:t>
      </w:r>
      <w:r>
        <w:rPr>
          <w:rFonts w:hAnsi="宋体"/>
          <w:sz w:val="24"/>
        </w:rPr>
        <w:t>，根据表中数据可知，本项目废水进水水质浓度约为</w:t>
      </w:r>
      <w:r>
        <w:rPr>
          <w:rFonts w:hint="eastAsia"/>
          <w:sz w:val="24"/>
        </w:rPr>
        <w:t>10000</w:t>
      </w:r>
      <w:r>
        <w:rPr>
          <w:sz w:val="24"/>
        </w:rPr>
        <w:t>mg/l</w:t>
      </w:r>
      <w:r>
        <w:rPr>
          <w:rFonts w:hAnsi="宋体"/>
          <w:sz w:val="24"/>
        </w:rPr>
        <w:t>，初期雨水的</w:t>
      </w:r>
      <w:r>
        <w:rPr>
          <w:rFonts w:hAnsi="宋体" w:hint="eastAsia"/>
          <w:sz w:val="24"/>
        </w:rPr>
        <w:t>COD</w:t>
      </w:r>
      <w:r>
        <w:rPr>
          <w:rFonts w:hAnsi="宋体" w:hint="eastAsia"/>
          <w:sz w:val="24"/>
        </w:rPr>
        <w:t>进水浓度远低于</w:t>
      </w:r>
      <w:r>
        <w:rPr>
          <w:rFonts w:hAnsi="宋体" w:hint="eastAsia"/>
          <w:sz w:val="24"/>
        </w:rPr>
        <w:t>10000</w:t>
      </w:r>
      <w:r>
        <w:rPr>
          <w:sz w:val="24"/>
        </w:rPr>
        <w:t xml:space="preserve"> mg/l</w:t>
      </w:r>
      <w:r>
        <w:rPr>
          <w:rFonts w:hAnsi="宋体"/>
          <w:sz w:val="24"/>
        </w:rPr>
        <w:t>，污水处理设施对</w:t>
      </w:r>
      <w:r>
        <w:rPr>
          <w:sz w:val="24"/>
        </w:rPr>
        <w:t>COD</w:t>
      </w:r>
      <w:r>
        <w:rPr>
          <w:rFonts w:hAnsi="宋体"/>
          <w:sz w:val="24"/>
        </w:rPr>
        <w:t>的总处理效率约为</w:t>
      </w:r>
      <w:r>
        <w:rPr>
          <w:rFonts w:hint="eastAsia"/>
          <w:sz w:val="24"/>
        </w:rPr>
        <w:t>97.82</w:t>
      </w:r>
      <w:r>
        <w:rPr>
          <w:sz w:val="24"/>
        </w:rPr>
        <w:t>%</w:t>
      </w:r>
      <w:r>
        <w:rPr>
          <w:rFonts w:hAnsi="宋体" w:hint="eastAsia"/>
          <w:sz w:val="24"/>
        </w:rPr>
        <w:t>。</w:t>
      </w:r>
      <w:r>
        <w:rPr>
          <w:rFonts w:hAnsi="宋体"/>
          <w:sz w:val="24"/>
        </w:rPr>
        <w:t>本项目废水经初步设计设定的处理方式处理后水质约为</w:t>
      </w:r>
      <w:r>
        <w:rPr>
          <w:rFonts w:hint="eastAsia"/>
          <w:sz w:val="24"/>
        </w:rPr>
        <w:t>212.4</w:t>
      </w:r>
      <w:r>
        <w:rPr>
          <w:sz w:val="24"/>
        </w:rPr>
        <w:t xml:space="preserve"> mg/l</w:t>
      </w:r>
      <w:r>
        <w:rPr>
          <w:rFonts w:hAnsi="宋体"/>
          <w:sz w:val="24"/>
        </w:rPr>
        <w:t>，满足园区污水处理厂</w:t>
      </w:r>
      <w:r>
        <w:rPr>
          <w:rFonts w:hint="eastAsia"/>
          <w:sz w:val="24"/>
        </w:rPr>
        <w:t>500</w:t>
      </w:r>
      <w:r>
        <w:rPr>
          <w:sz w:val="24"/>
        </w:rPr>
        <w:t xml:space="preserve"> mg/l</w:t>
      </w:r>
      <w:r>
        <w:rPr>
          <w:rFonts w:hAnsi="宋体"/>
          <w:sz w:val="24"/>
        </w:rPr>
        <w:t>的进水水质标准。工艺流程见图</w:t>
      </w:r>
      <w:r>
        <w:rPr>
          <w:sz w:val="24"/>
        </w:rPr>
        <w:t>3-8</w:t>
      </w:r>
      <w:r>
        <w:rPr>
          <w:rFonts w:hAnsi="宋体"/>
          <w:sz w:val="24"/>
        </w:rPr>
        <w:t>。主要污染因子处理效率情况见表</w:t>
      </w:r>
      <w:r>
        <w:rPr>
          <w:sz w:val="24"/>
        </w:rPr>
        <w:t>3.3-13</w:t>
      </w:r>
      <w:r>
        <w:rPr>
          <w:rFonts w:hAnsi="宋体"/>
          <w:sz w:val="24"/>
        </w:rPr>
        <w:t>。</w:t>
      </w:r>
    </w:p>
    <w:p w:rsidR="00475650" w:rsidRDefault="00475650">
      <w:pPr>
        <w:snapToGrid w:val="0"/>
        <w:spacing w:line="360" w:lineRule="auto"/>
        <w:ind w:firstLineChars="200" w:firstLine="480"/>
        <w:rPr>
          <w:rFonts w:hAnsi="宋体"/>
          <w:sz w:val="24"/>
        </w:rPr>
      </w:pPr>
      <w:r>
        <w:rPr>
          <w:rFonts w:hAnsi="宋体" w:hint="eastAsia"/>
          <w:sz w:val="24"/>
        </w:rPr>
        <w:lastRenderedPageBreak/>
        <w:t>按照以上核算，污水处理站的处理规模应不低于</w:t>
      </w:r>
      <w:r>
        <w:rPr>
          <w:rFonts w:hAnsi="宋体" w:hint="eastAsia"/>
          <w:sz w:val="24"/>
        </w:rPr>
        <w:t>700m</w:t>
      </w:r>
      <w:r>
        <w:rPr>
          <w:rFonts w:hAnsi="宋体" w:hint="eastAsia"/>
          <w:sz w:val="24"/>
          <w:vertAlign w:val="superscript"/>
        </w:rPr>
        <w:t>3</w:t>
      </w:r>
      <w:r>
        <w:rPr>
          <w:rFonts w:hAnsi="宋体" w:hint="eastAsia"/>
          <w:sz w:val="24"/>
        </w:rPr>
        <w:t>/d(</w:t>
      </w:r>
      <w:r>
        <w:rPr>
          <w:rFonts w:hAnsi="宋体" w:hint="eastAsia"/>
          <w:sz w:val="24"/>
        </w:rPr>
        <w:t>按照</w:t>
      </w:r>
      <w:r>
        <w:rPr>
          <w:rFonts w:hAnsi="宋体" w:hint="eastAsia"/>
          <w:sz w:val="24"/>
        </w:rPr>
        <w:t>90%</w:t>
      </w:r>
      <w:r>
        <w:rPr>
          <w:rFonts w:hAnsi="宋体" w:hint="eastAsia"/>
          <w:sz w:val="24"/>
        </w:rPr>
        <w:t>的容积率</w:t>
      </w:r>
      <w:r>
        <w:rPr>
          <w:rFonts w:hAnsi="宋体" w:hint="eastAsia"/>
          <w:sz w:val="24"/>
        </w:rPr>
        <w:t>)</w:t>
      </w:r>
      <w:r>
        <w:rPr>
          <w:rFonts w:hAnsi="宋体" w:hint="eastAsia"/>
          <w:sz w:val="24"/>
        </w:rPr>
        <w:t>。</w:t>
      </w:r>
    </w:p>
    <w:p w:rsidR="00475650" w:rsidRDefault="00475650">
      <w:pPr>
        <w:snapToGrid w:val="0"/>
        <w:spacing w:line="360" w:lineRule="auto"/>
        <w:ind w:firstLineChars="200" w:firstLine="480"/>
        <w:rPr>
          <w:sz w:val="24"/>
        </w:rPr>
      </w:pPr>
      <w:r>
        <w:rPr>
          <w:rFonts w:hAnsi="宋体"/>
          <w:sz w:val="24"/>
        </w:rPr>
        <w:t>工艺流程如下：</w:t>
      </w:r>
    </w:p>
    <w:p w:rsidR="00475650" w:rsidRDefault="006F27A1">
      <w:pPr>
        <w:snapToGrid w:val="0"/>
        <w:spacing w:line="360" w:lineRule="auto"/>
        <w:ind w:firstLineChars="200" w:firstLine="480"/>
        <w:rPr>
          <w:sz w:val="24"/>
        </w:rPr>
      </w:pPr>
      <w:r>
        <w:rPr>
          <w:sz w:val="24"/>
        </w:rPr>
      </w:r>
      <w:r>
        <w:rPr>
          <w:sz w:val="24"/>
        </w:rPr>
        <w:pict>
          <v:group id="画布 19985" o:spid="_x0000_s22033" editas="canvas" style="width:421.6pt;height:292.7pt;mso-position-horizontal-relative:char;mso-position-vertical-relative:line" coordorigin="2834,7012" coordsize="8432,5854">
            <o:lock v:ext="edit" aspectratio="t" text="t"/>
            <o:diagram v:ext="edit" dgmstyle="0" dgmscalex="0" dgmscaley="0"/>
            <v:shape id="_x0000_s22034" type="#_x0000_t75" style="position:absolute;left:2834;top:7012;width:8432;height:5854" o:preferrelative="f">
              <v:path o:extrusionok="t"/>
              <o:lock v:ext="edit" rotation="t" text="t"/>
              <o:diagram v:ext="edit" dgmstyle="0" dgmscalex="0" dgmscaley="0"/>
            </v:shape>
            <v:rect id="矩形 19987" o:spid="_x0000_s22035" style="position:absolute;left:2850;top:8188;width:1542;height:437" filled="f">
              <v:textbox>
                <w:txbxContent>
                  <w:p w:rsidR="00BD74CB" w:rsidRDefault="00BD74CB">
                    <w:r>
                      <w:t>活性炭吸附</w:t>
                    </w:r>
                  </w:p>
                </w:txbxContent>
              </v:textbox>
            </v:rect>
            <v:rect id="矩形 19989" o:spid="_x0000_s22037" style="position:absolute;left:5130;top:8218;width:1572;height:392" filled="f">
              <v:textbox>
                <w:txbxContent>
                  <w:p w:rsidR="00BD74CB" w:rsidRDefault="00BD74CB">
                    <w:r>
                      <w:rPr>
                        <w:rFonts w:hint="eastAsia"/>
                      </w:rPr>
                      <w:t>蒸发脱盐装置</w:t>
                    </w:r>
                  </w:p>
                </w:txbxContent>
              </v:textbox>
            </v:rect>
            <v:line id="直线 19990" o:spid="_x0000_s22038" style="position:absolute" from="4410,8370" to="5114,8370">
              <v:stroke endarrow="block"/>
            </v:line>
            <v:rect id="矩形 19992" o:spid="_x0000_s22040" style="position:absolute;left:7394;top:8220;width:944;height:405" filled="f">
              <v:textbox>
                <w:txbxContent>
                  <w:p w:rsidR="00BD74CB" w:rsidRDefault="00BD74CB">
                    <w:r>
                      <w:rPr>
                        <w:rFonts w:hint="eastAsia"/>
                      </w:rPr>
                      <w:t>中间池</w:t>
                    </w:r>
                  </w:p>
                </w:txbxContent>
              </v:textbox>
            </v:rect>
            <v:rect id="矩形 19993" o:spid="_x0000_s22041" style="position:absolute;left:4212;top:9179;width:1692;height:377" filled="f">
              <v:textbox>
                <w:txbxContent>
                  <w:p w:rsidR="00BD74CB" w:rsidRDefault="00BD74CB">
                    <w:r>
                      <w:rPr>
                        <w:rFonts w:hint="eastAsia"/>
                      </w:rPr>
                      <w:t>二次沉淀装置</w:t>
                    </w:r>
                  </w:p>
                </w:txbxContent>
              </v:textbox>
            </v:rect>
            <v:line id="直线 19994" o:spid="_x0000_s22042" style="position:absolute" from="3692,7700" to="3693,8154">
              <v:stroke endarrow="block"/>
            </v:line>
            <v:rect id="矩形 19996" o:spid="_x0000_s22044" style="position:absolute;left:8756;top:9134;width:1738;height:422" filled="f">
              <v:textbox>
                <w:txbxContent>
                  <w:p w:rsidR="00BD74CB" w:rsidRDefault="00BD74CB">
                    <w:pPr>
                      <w:ind w:firstLineChars="50" w:firstLine="105"/>
                    </w:pPr>
                    <w:r>
                      <w:rPr>
                        <w:rFonts w:hint="eastAsia"/>
                      </w:rPr>
                      <w:t>化学氧化系统</w:t>
                    </w:r>
                  </w:p>
                </w:txbxContent>
              </v:textbox>
            </v:rect>
            <v:rect id="矩形 19999" o:spid="_x0000_s22047" style="position:absolute;left:3798;top:12446;width:2520;height:420" filled="f" stroked="f">
              <v:textbox>
                <w:txbxContent>
                  <w:p w:rsidR="00BD74CB" w:rsidRDefault="00BD74CB">
                    <w:r>
                      <w:rPr>
                        <w:rFonts w:hint="eastAsia"/>
                      </w:rPr>
                      <w:t>出水进园区污水处理厂</w:t>
                    </w:r>
                  </w:p>
                </w:txbxContent>
              </v:textbox>
            </v:rect>
            <v:line id="直线 20007" o:spid="_x0000_s22055" style="position:absolute" from="6720,8400" to="7396,8400">
              <v:stroke endarrow="block"/>
            </v:line>
            <v:line id="直线 20008" o:spid="_x0000_s22056" style="position:absolute" from="8326,8386" to="9000,8386">
              <v:stroke endarrow="block"/>
            </v:line>
            <v:rect id="矩形 20032" o:spid="_x0000_s22080" style="position:absolute;left:8986;top:8220;width:1380;height:420" filled="f">
              <v:textbox>
                <w:txbxContent>
                  <w:p w:rsidR="00BD74CB" w:rsidRDefault="00BD74CB">
                    <w:r>
                      <w:rPr>
                        <w:rFonts w:hint="eastAsia"/>
                      </w:rPr>
                      <w:t>微电解装置</w:t>
                    </w:r>
                  </w:p>
                </w:txbxContent>
              </v:textbox>
            </v:rect>
            <v:line id="直线 20056" o:spid="_x0000_s22104" style="position:absolute" from="9586,8640" to="9587,9150">
              <v:stroke endarrow="block"/>
            </v:line>
            <v:line id="直线 20057" o:spid="_x0000_s22105" style="position:absolute;flip:x" from="8250,9346" to="8716,9347">
              <v:stroke endarrow="block"/>
            </v:line>
            <v:rect id="矩形 20058" o:spid="_x0000_s22106" style="position:absolute;left:6586;top:9134;width:1664;height:420" filled="f">
              <v:textbox>
                <w:txbxContent>
                  <w:p w:rsidR="00BD74CB" w:rsidRDefault="00BD74CB">
                    <w:pPr>
                      <w:ind w:firstLineChars="50" w:firstLine="105"/>
                    </w:pPr>
                    <w:r>
                      <w:rPr>
                        <w:rFonts w:hint="eastAsia"/>
                      </w:rPr>
                      <w:t>初次沉淀池</w:t>
                    </w:r>
                  </w:p>
                </w:txbxContent>
              </v:textbox>
            </v:rect>
            <v:line id="直线 20059" o:spid="_x0000_s22107" style="position:absolute;flip:x" from="4556,7450" to="5156,7451">
              <v:stroke endarrow="block"/>
            </v:line>
            <v:line id="直线 20060" o:spid="_x0000_s22108" style="position:absolute" from="4934,9556" to="4935,10066">
              <v:stroke endarrow="block"/>
            </v:line>
            <v:rect id="矩形 20061" o:spid="_x0000_s22109" style="position:absolute;left:4126;top:10066;width:1680;height:374" filled="f">
              <v:textbox>
                <w:txbxContent>
                  <w:p w:rsidR="00BD74CB" w:rsidRDefault="00BD74CB">
                    <w:r>
                      <w:rPr>
                        <w:rFonts w:hint="eastAsia"/>
                      </w:rPr>
                      <w:t>高效厌氧设备</w:t>
                    </w:r>
                  </w:p>
                </w:txbxContent>
              </v:textbox>
            </v:rect>
            <v:rect id="矩形 20063" o:spid="_x0000_s22111" style="position:absolute;left:4126;top:10860;width:1814;height:404" filled="f">
              <v:textbox>
                <w:txbxContent>
                  <w:p w:rsidR="00BD74CB" w:rsidRDefault="00BD74CB">
                    <w:r>
                      <w:rPr>
                        <w:rFonts w:hint="eastAsia"/>
                      </w:rPr>
                      <w:t>塔式生物滤池</w:t>
                    </w:r>
                  </w:p>
                </w:txbxContent>
              </v:textbox>
            </v:rect>
            <v:line id="直线 20065" o:spid="_x0000_s22113" style="position:absolute" from="4935,10440" to="4936,10860">
              <v:stroke endarrow="block"/>
            </v:line>
            <v:line id="直线 20067" o:spid="_x0000_s22115" style="position:absolute" from="4964,12066" to="4965,12502">
              <v:stroke endarrow="block"/>
            </v:line>
            <v:line id="直线 20090" o:spid="_x0000_s22138" style="position:absolute" from="7605,9556" to="7606,9900">
              <v:stroke endarrow="block"/>
            </v:line>
            <v:line id="直线 20091" o:spid="_x0000_s22139" style="position:absolute" from="5640,9556" to="5641,10036"/>
            <v:line id="直线 20094" o:spid="_x0000_s22142" style="position:absolute" from="5640,10020" to="7096,10036">
              <v:stroke endarrow="block"/>
            </v:line>
            <v:rect id="矩形 20095" o:spid="_x0000_s22143" style="position:absolute;left:7158;top:9960;width:1154;height:480" filled="f">
              <v:textbox>
                <w:txbxContent>
                  <w:p w:rsidR="00BD74CB" w:rsidRDefault="00BD74CB">
                    <w:r>
                      <w:rPr>
                        <w:rFonts w:hint="eastAsia"/>
                      </w:rPr>
                      <w:t>污泥池</w:t>
                    </w:r>
                  </w:p>
                </w:txbxContent>
              </v:textbox>
            </v:rect>
            <v:line id="直线 20096" o:spid="_x0000_s22144" style="position:absolute" from="5806,10291" to="7172,10292">
              <v:stroke endarrow="block"/>
            </v:line>
            <v:line id="直线 20097" o:spid="_x0000_s22145" style="position:absolute" from="7679,10440" to="7680,10800">
              <v:stroke endarrow="block"/>
            </v:line>
            <v:rect id="矩形 20098" o:spid="_x0000_s22146" style="position:absolute;left:7172;top:10800;width:1096;height:390" filled="f">
              <v:textbox>
                <w:txbxContent>
                  <w:p w:rsidR="00BD74CB" w:rsidRDefault="00BD74CB">
                    <w:r>
                      <w:rPr>
                        <w:rFonts w:hint="eastAsia"/>
                      </w:rPr>
                      <w:t>脱水机</w:t>
                    </w:r>
                  </w:p>
                </w:txbxContent>
              </v:textbox>
            </v:rect>
            <v:line id="直线 20100" o:spid="_x0000_s22148" style="position:absolute" from="7679,11190" to="7680,11564">
              <v:stroke endarrow="block"/>
            </v:line>
            <v:rect id="矩形 20101" o:spid="_x0000_s22149" style="position:absolute;left:6886;top:11564;width:2100;height:390" filled="f" stroked="f">
              <v:textbox>
                <w:txbxContent>
                  <w:p w:rsidR="00BD74CB" w:rsidRDefault="00BD74CB">
                    <w:r>
                      <w:rPr>
                        <w:rFonts w:hint="eastAsia"/>
                      </w:rPr>
                      <w:t>干泥掺至产品</w:t>
                    </w:r>
                  </w:p>
                </w:txbxContent>
              </v:textbox>
            </v:rect>
            <v:rect id="矩形 19987" o:spid="_x0000_s22468" style="position:absolute;left:2850;top:7229;width:1693;height:437" filled="f">
              <v:textbox>
                <w:txbxContent>
                  <w:p w:rsidR="00BD74CB" w:rsidRDefault="00BD74CB">
                    <w:r>
                      <w:rPr>
                        <w:rFonts w:hint="eastAsia"/>
                      </w:rPr>
                      <w:t>pH</w:t>
                    </w:r>
                    <w:r>
                      <w:rPr>
                        <w:rFonts w:hint="eastAsia"/>
                      </w:rPr>
                      <w:t>调节沉淀池</w:t>
                    </w:r>
                  </w:p>
                </w:txbxContent>
              </v:textbox>
            </v:rect>
            <v:rect id="矩形 19988" o:spid="_x0000_s22036" style="position:absolute;left:5030;top:7241;width:1288;height:467" filled="f" stroked="f">
              <v:textbox>
                <w:txbxContent>
                  <w:p w:rsidR="00BD74CB" w:rsidRDefault="00BD74CB">
                    <w:r>
                      <w:rPr>
                        <w:rFonts w:hint="eastAsia"/>
                      </w:rPr>
                      <w:t>生产废水</w:t>
                    </w:r>
                  </w:p>
                </w:txbxContent>
              </v:textbox>
            </v:rect>
            <v:shape id="自选图形 20422" o:spid="_x0000_s22470" type="#_x0000_t32" style="position:absolute;left:5904;top:9344;width:682;height:24;flip:x" o:connectortype="straight">
              <v:stroke endarrow="block"/>
            </v:shape>
            <v:rect id="矩形 20063" o:spid="_x0000_s22471" style="position:absolute;left:4126;top:11700;width:1814;height:404" filled="f">
              <v:textbox>
                <w:txbxContent>
                  <w:p w:rsidR="00BD74CB" w:rsidRDefault="00BD74CB">
                    <w:r>
                      <w:rPr>
                        <w:rFonts w:hint="eastAsia"/>
                      </w:rPr>
                      <w:t>炉膛煤渣吸附</w:t>
                    </w:r>
                  </w:p>
                </w:txbxContent>
              </v:textbox>
            </v:rect>
            <v:line id="直线 20067" o:spid="_x0000_s22472" style="position:absolute" from="4937,11264" to="4938,11700">
              <v:stroke endarrow="block"/>
            </v:line>
            <w10:wrap type="none"/>
            <w10:anchorlock/>
          </v:group>
        </w:pict>
      </w:r>
    </w:p>
    <w:p w:rsidR="00475650" w:rsidRDefault="00475650">
      <w:pPr>
        <w:ind w:firstLine="560"/>
        <w:jc w:val="center"/>
        <w:rPr>
          <w:sz w:val="24"/>
        </w:rPr>
      </w:pPr>
      <w:r>
        <w:rPr>
          <w:rFonts w:hAnsi="宋体"/>
          <w:sz w:val="24"/>
        </w:rPr>
        <w:t>图</w:t>
      </w:r>
      <w:r>
        <w:rPr>
          <w:sz w:val="24"/>
        </w:rPr>
        <w:t>3-</w:t>
      </w:r>
      <w:r>
        <w:rPr>
          <w:rFonts w:hint="eastAsia"/>
          <w:sz w:val="24"/>
        </w:rPr>
        <w:t>8</w:t>
      </w:r>
      <w:r>
        <w:rPr>
          <w:sz w:val="24"/>
        </w:rPr>
        <w:t xml:space="preserve">    </w:t>
      </w:r>
      <w:r>
        <w:rPr>
          <w:rFonts w:hAnsi="宋体"/>
          <w:sz w:val="24"/>
        </w:rPr>
        <w:t>生产废水处理工艺流程图</w:t>
      </w:r>
    </w:p>
    <w:p w:rsidR="00475650" w:rsidRDefault="00475650">
      <w:pPr>
        <w:ind w:firstLine="560"/>
        <w:jc w:val="center"/>
        <w:rPr>
          <w:sz w:val="24"/>
        </w:rPr>
      </w:pPr>
    </w:p>
    <w:p w:rsidR="00475650" w:rsidRDefault="00475650">
      <w:pPr>
        <w:adjustRightInd w:val="0"/>
        <w:snapToGrid w:val="0"/>
        <w:spacing w:line="360" w:lineRule="auto"/>
        <w:jc w:val="center"/>
        <w:rPr>
          <w:bCs/>
          <w:spacing w:val="4"/>
          <w:sz w:val="24"/>
          <w:u w:val="single"/>
        </w:rPr>
      </w:pPr>
      <w:r>
        <w:rPr>
          <w:rFonts w:hAnsi="宋体"/>
          <w:bCs/>
          <w:spacing w:val="4"/>
          <w:sz w:val="24"/>
          <w:u w:val="single"/>
        </w:rPr>
        <w:t>表</w:t>
      </w:r>
      <w:r>
        <w:rPr>
          <w:bCs/>
          <w:spacing w:val="4"/>
          <w:sz w:val="24"/>
          <w:u w:val="single"/>
        </w:rPr>
        <w:t xml:space="preserve">3.3-13   </w:t>
      </w:r>
      <w:r>
        <w:rPr>
          <w:rFonts w:hAnsi="宋体"/>
          <w:bCs/>
          <w:spacing w:val="4"/>
          <w:sz w:val="24"/>
          <w:u w:val="single"/>
        </w:rPr>
        <w:t>污水处理设施处理效率一览表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175"/>
        <w:gridCol w:w="1078"/>
        <w:gridCol w:w="936"/>
        <w:gridCol w:w="804"/>
        <w:gridCol w:w="1072"/>
        <w:gridCol w:w="856"/>
        <w:gridCol w:w="1135"/>
        <w:gridCol w:w="992"/>
        <w:gridCol w:w="1133"/>
      </w:tblGrid>
      <w:tr w:rsidR="00475650">
        <w:trPr>
          <w:trHeight w:val="340"/>
        </w:trPr>
        <w:tc>
          <w:tcPr>
            <w:tcW w:w="2253" w:type="dxa"/>
            <w:gridSpan w:val="2"/>
            <w:vAlign w:val="center"/>
          </w:tcPr>
          <w:p w:rsidR="00475650" w:rsidRDefault="00475650">
            <w:pPr>
              <w:widowControl/>
              <w:jc w:val="center"/>
              <w:rPr>
                <w:kern w:val="0"/>
                <w:szCs w:val="21"/>
                <w:u w:val="single"/>
              </w:rPr>
            </w:pPr>
            <w:r>
              <w:rPr>
                <w:rFonts w:hAnsi="宋体"/>
                <w:kern w:val="0"/>
                <w:szCs w:val="21"/>
                <w:u w:val="single"/>
              </w:rPr>
              <w:t>污染因子</w:t>
            </w:r>
          </w:p>
        </w:tc>
        <w:tc>
          <w:tcPr>
            <w:tcW w:w="936" w:type="dxa"/>
            <w:vAlign w:val="center"/>
          </w:tcPr>
          <w:p w:rsidR="00475650" w:rsidRDefault="00475650">
            <w:pPr>
              <w:widowControl/>
              <w:jc w:val="center"/>
              <w:rPr>
                <w:kern w:val="0"/>
                <w:szCs w:val="21"/>
                <w:u w:val="single"/>
              </w:rPr>
            </w:pPr>
            <w:r>
              <w:rPr>
                <w:kern w:val="0"/>
                <w:szCs w:val="21"/>
                <w:u w:val="single"/>
              </w:rPr>
              <w:t>PH</w:t>
            </w:r>
            <w:r>
              <w:rPr>
                <w:rFonts w:hAnsi="宋体"/>
                <w:kern w:val="0"/>
                <w:szCs w:val="21"/>
                <w:u w:val="single"/>
              </w:rPr>
              <w:t>值</w:t>
            </w:r>
          </w:p>
        </w:tc>
        <w:tc>
          <w:tcPr>
            <w:tcW w:w="804" w:type="dxa"/>
            <w:tcBorders>
              <w:right w:val="single" w:sz="4" w:space="0" w:color="auto"/>
            </w:tcBorders>
            <w:vAlign w:val="center"/>
          </w:tcPr>
          <w:p w:rsidR="00475650" w:rsidRDefault="00475650">
            <w:pPr>
              <w:widowControl/>
              <w:jc w:val="center"/>
              <w:rPr>
                <w:kern w:val="0"/>
                <w:szCs w:val="21"/>
                <w:u w:val="single"/>
              </w:rPr>
            </w:pPr>
            <w:r>
              <w:rPr>
                <w:rFonts w:hAnsi="宋体"/>
                <w:kern w:val="0"/>
                <w:szCs w:val="21"/>
                <w:u w:val="single"/>
              </w:rPr>
              <w:t>盐分</w:t>
            </w:r>
          </w:p>
        </w:tc>
        <w:tc>
          <w:tcPr>
            <w:tcW w:w="1072" w:type="dxa"/>
            <w:tcBorders>
              <w:left w:val="single" w:sz="4" w:space="0" w:color="auto"/>
            </w:tcBorders>
            <w:vAlign w:val="center"/>
          </w:tcPr>
          <w:p w:rsidR="00475650" w:rsidRDefault="00475650">
            <w:pPr>
              <w:widowControl/>
              <w:jc w:val="center"/>
              <w:rPr>
                <w:kern w:val="0"/>
                <w:szCs w:val="21"/>
                <w:u w:val="single"/>
              </w:rPr>
            </w:pPr>
            <w:r>
              <w:rPr>
                <w:kern w:val="0"/>
                <w:szCs w:val="21"/>
                <w:u w:val="single"/>
              </w:rPr>
              <w:t>COD mg/l</w:t>
            </w:r>
          </w:p>
        </w:tc>
        <w:tc>
          <w:tcPr>
            <w:tcW w:w="856"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氨氮</w:t>
            </w:r>
          </w:p>
          <w:p w:rsidR="00475650" w:rsidRDefault="00475650">
            <w:pPr>
              <w:widowControl/>
              <w:jc w:val="center"/>
              <w:rPr>
                <w:kern w:val="0"/>
                <w:szCs w:val="21"/>
                <w:u w:val="single"/>
              </w:rPr>
            </w:pPr>
            <w:r>
              <w:rPr>
                <w:kern w:val="0"/>
                <w:szCs w:val="21"/>
                <w:u w:val="single"/>
              </w:rPr>
              <w:t>mg/l</w:t>
            </w:r>
          </w:p>
        </w:tc>
        <w:tc>
          <w:tcPr>
            <w:tcW w:w="1135"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色度</w:t>
            </w:r>
          </w:p>
          <w:p w:rsidR="00475650" w:rsidRDefault="00475650">
            <w:pPr>
              <w:widowControl/>
              <w:jc w:val="center"/>
              <w:rPr>
                <w:kern w:val="0"/>
                <w:szCs w:val="21"/>
                <w:u w:val="single"/>
              </w:rPr>
            </w:pPr>
            <w:r>
              <w:rPr>
                <w:kern w:val="0"/>
                <w:szCs w:val="21"/>
                <w:u w:val="single"/>
              </w:rPr>
              <w:t>mg/l</w:t>
            </w:r>
          </w:p>
        </w:tc>
        <w:tc>
          <w:tcPr>
            <w:tcW w:w="992"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SS</w:t>
            </w:r>
          </w:p>
          <w:p w:rsidR="00475650" w:rsidRDefault="00475650">
            <w:pPr>
              <w:widowControl/>
              <w:jc w:val="center"/>
              <w:rPr>
                <w:kern w:val="0"/>
                <w:szCs w:val="21"/>
                <w:u w:val="single"/>
              </w:rPr>
            </w:pPr>
            <w:r>
              <w:rPr>
                <w:kern w:val="0"/>
                <w:szCs w:val="21"/>
                <w:u w:val="single"/>
              </w:rPr>
              <w:t>mg/l</w:t>
            </w:r>
          </w:p>
        </w:tc>
        <w:tc>
          <w:tcPr>
            <w:tcW w:w="1133"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挥发酚</w:t>
            </w:r>
          </w:p>
          <w:p w:rsidR="00475650" w:rsidRDefault="00475650">
            <w:pPr>
              <w:widowControl/>
              <w:jc w:val="center"/>
              <w:rPr>
                <w:kern w:val="0"/>
                <w:szCs w:val="21"/>
                <w:u w:val="single"/>
              </w:rPr>
            </w:pPr>
            <w:r>
              <w:rPr>
                <w:kern w:val="0"/>
                <w:szCs w:val="21"/>
                <w:u w:val="single"/>
              </w:rPr>
              <w:t>mg/l</w:t>
            </w:r>
          </w:p>
        </w:tc>
      </w:tr>
      <w:tr w:rsidR="00475650">
        <w:trPr>
          <w:trHeight w:val="340"/>
        </w:trPr>
        <w:tc>
          <w:tcPr>
            <w:tcW w:w="2253" w:type="dxa"/>
            <w:gridSpan w:val="2"/>
            <w:vAlign w:val="center"/>
          </w:tcPr>
          <w:p w:rsidR="00475650" w:rsidRDefault="00475650">
            <w:pPr>
              <w:widowControl/>
              <w:jc w:val="center"/>
              <w:rPr>
                <w:kern w:val="0"/>
                <w:szCs w:val="21"/>
                <w:u w:val="single"/>
              </w:rPr>
            </w:pPr>
            <w:r>
              <w:rPr>
                <w:rFonts w:hAnsi="宋体"/>
                <w:kern w:val="0"/>
                <w:szCs w:val="21"/>
                <w:u w:val="single"/>
              </w:rPr>
              <w:t>污水处理站进水</w:t>
            </w:r>
          </w:p>
        </w:tc>
        <w:tc>
          <w:tcPr>
            <w:tcW w:w="936" w:type="dxa"/>
            <w:vAlign w:val="center"/>
          </w:tcPr>
          <w:p w:rsidR="00475650" w:rsidRDefault="00475650">
            <w:pPr>
              <w:widowControl/>
              <w:jc w:val="center"/>
              <w:rPr>
                <w:kern w:val="0"/>
                <w:szCs w:val="21"/>
                <w:u w:val="single"/>
              </w:rPr>
            </w:pPr>
            <w:r>
              <w:rPr>
                <w:kern w:val="0"/>
                <w:szCs w:val="21"/>
                <w:u w:val="single"/>
              </w:rPr>
              <w:t>5-6</w:t>
            </w:r>
          </w:p>
        </w:tc>
        <w:tc>
          <w:tcPr>
            <w:tcW w:w="804"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2</w:t>
            </w:r>
            <w:r>
              <w:rPr>
                <w:kern w:val="0"/>
                <w:szCs w:val="21"/>
                <w:u w:val="single"/>
              </w:rPr>
              <w:t>%</w:t>
            </w:r>
          </w:p>
        </w:tc>
        <w:tc>
          <w:tcPr>
            <w:tcW w:w="1072"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10000</w:t>
            </w:r>
          </w:p>
        </w:tc>
        <w:tc>
          <w:tcPr>
            <w:tcW w:w="856"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107</w:t>
            </w:r>
          </w:p>
        </w:tc>
        <w:tc>
          <w:tcPr>
            <w:tcW w:w="1135"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2</w:t>
            </w:r>
            <w:r>
              <w:rPr>
                <w:kern w:val="0"/>
                <w:szCs w:val="21"/>
                <w:u w:val="single"/>
              </w:rPr>
              <w:t>5000</w:t>
            </w:r>
          </w:p>
        </w:tc>
        <w:tc>
          <w:tcPr>
            <w:tcW w:w="992"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500</w:t>
            </w:r>
          </w:p>
        </w:tc>
        <w:tc>
          <w:tcPr>
            <w:tcW w:w="1133"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117</w:t>
            </w:r>
          </w:p>
        </w:tc>
      </w:tr>
      <w:tr w:rsidR="00475650">
        <w:trPr>
          <w:trHeight w:val="340"/>
        </w:trPr>
        <w:tc>
          <w:tcPr>
            <w:tcW w:w="1175" w:type="dxa"/>
            <w:vMerge w:val="restart"/>
            <w:vAlign w:val="center"/>
          </w:tcPr>
          <w:p w:rsidR="00475650" w:rsidRDefault="00475650">
            <w:pPr>
              <w:widowControl/>
              <w:jc w:val="center"/>
              <w:rPr>
                <w:kern w:val="0"/>
                <w:szCs w:val="21"/>
                <w:u w:val="single"/>
              </w:rPr>
            </w:pPr>
            <w:r>
              <w:rPr>
                <w:kern w:val="0"/>
                <w:szCs w:val="21"/>
                <w:u w:val="single"/>
              </w:rPr>
              <w:t>pH</w:t>
            </w:r>
            <w:r>
              <w:rPr>
                <w:rFonts w:hAnsi="宋体"/>
                <w:kern w:val="0"/>
                <w:szCs w:val="21"/>
                <w:u w:val="single"/>
              </w:rPr>
              <w:t>调节沉淀池</w:t>
            </w:r>
          </w:p>
        </w:tc>
        <w:tc>
          <w:tcPr>
            <w:tcW w:w="1078" w:type="dxa"/>
            <w:vAlign w:val="center"/>
          </w:tcPr>
          <w:p w:rsidR="00475650" w:rsidRDefault="00475650">
            <w:pPr>
              <w:widowControl/>
              <w:jc w:val="center"/>
              <w:rPr>
                <w:kern w:val="0"/>
                <w:szCs w:val="21"/>
                <w:u w:val="single"/>
              </w:rPr>
            </w:pPr>
            <w:r>
              <w:rPr>
                <w:rFonts w:hAnsi="宋体"/>
                <w:kern w:val="0"/>
                <w:szCs w:val="21"/>
                <w:u w:val="single"/>
              </w:rPr>
              <w:t>出水</w:t>
            </w:r>
          </w:p>
        </w:tc>
        <w:tc>
          <w:tcPr>
            <w:tcW w:w="936" w:type="dxa"/>
            <w:vAlign w:val="center"/>
          </w:tcPr>
          <w:p w:rsidR="00475650" w:rsidRDefault="00475650">
            <w:pPr>
              <w:widowControl/>
              <w:jc w:val="center"/>
              <w:rPr>
                <w:kern w:val="0"/>
                <w:szCs w:val="21"/>
                <w:u w:val="single"/>
              </w:rPr>
            </w:pPr>
            <w:r>
              <w:rPr>
                <w:kern w:val="0"/>
                <w:szCs w:val="21"/>
                <w:u w:val="single"/>
              </w:rPr>
              <w:t>6-9</w:t>
            </w:r>
          </w:p>
        </w:tc>
        <w:tc>
          <w:tcPr>
            <w:tcW w:w="804"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2</w:t>
            </w:r>
            <w:r>
              <w:rPr>
                <w:kern w:val="0"/>
                <w:szCs w:val="21"/>
                <w:u w:val="single"/>
              </w:rPr>
              <w:t>%</w:t>
            </w:r>
          </w:p>
        </w:tc>
        <w:tc>
          <w:tcPr>
            <w:tcW w:w="1072"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10000</w:t>
            </w:r>
          </w:p>
        </w:tc>
        <w:tc>
          <w:tcPr>
            <w:tcW w:w="856"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107</w:t>
            </w:r>
          </w:p>
        </w:tc>
        <w:tc>
          <w:tcPr>
            <w:tcW w:w="1135"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20000</w:t>
            </w:r>
          </w:p>
        </w:tc>
        <w:tc>
          <w:tcPr>
            <w:tcW w:w="992"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500</w:t>
            </w:r>
          </w:p>
        </w:tc>
        <w:tc>
          <w:tcPr>
            <w:tcW w:w="1133"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117</w:t>
            </w:r>
          </w:p>
        </w:tc>
      </w:tr>
      <w:tr w:rsidR="00475650">
        <w:trPr>
          <w:trHeight w:val="340"/>
        </w:trPr>
        <w:tc>
          <w:tcPr>
            <w:tcW w:w="1175" w:type="dxa"/>
            <w:vMerge/>
            <w:vAlign w:val="center"/>
          </w:tcPr>
          <w:p w:rsidR="00475650" w:rsidRDefault="00475650">
            <w:pPr>
              <w:widowControl/>
              <w:jc w:val="center"/>
              <w:rPr>
                <w:kern w:val="0"/>
                <w:szCs w:val="21"/>
                <w:u w:val="single"/>
              </w:rPr>
            </w:pPr>
          </w:p>
        </w:tc>
        <w:tc>
          <w:tcPr>
            <w:tcW w:w="1078" w:type="dxa"/>
            <w:vAlign w:val="center"/>
          </w:tcPr>
          <w:p w:rsidR="00475650" w:rsidRDefault="00475650">
            <w:pPr>
              <w:widowControl/>
              <w:jc w:val="center"/>
              <w:rPr>
                <w:kern w:val="0"/>
                <w:szCs w:val="21"/>
                <w:u w:val="single"/>
              </w:rPr>
            </w:pPr>
            <w:r>
              <w:rPr>
                <w:rFonts w:hAnsi="宋体"/>
                <w:kern w:val="0"/>
                <w:szCs w:val="21"/>
                <w:u w:val="single"/>
              </w:rPr>
              <w:t>去除率</w:t>
            </w:r>
            <w:r>
              <w:rPr>
                <w:kern w:val="0"/>
                <w:szCs w:val="21"/>
                <w:u w:val="single"/>
              </w:rPr>
              <w:t>%</w:t>
            </w:r>
          </w:p>
        </w:tc>
        <w:tc>
          <w:tcPr>
            <w:tcW w:w="936" w:type="dxa"/>
            <w:vAlign w:val="center"/>
          </w:tcPr>
          <w:p w:rsidR="00475650" w:rsidRDefault="00475650">
            <w:pPr>
              <w:widowControl/>
              <w:jc w:val="center"/>
              <w:rPr>
                <w:kern w:val="0"/>
                <w:szCs w:val="21"/>
                <w:u w:val="single"/>
              </w:rPr>
            </w:pPr>
            <w:r>
              <w:rPr>
                <w:kern w:val="0"/>
                <w:szCs w:val="21"/>
                <w:u w:val="single"/>
              </w:rPr>
              <w:t>/</w:t>
            </w:r>
          </w:p>
        </w:tc>
        <w:tc>
          <w:tcPr>
            <w:tcW w:w="804" w:type="dxa"/>
            <w:tcBorders>
              <w:right w:val="single" w:sz="4" w:space="0" w:color="auto"/>
            </w:tcBorders>
            <w:vAlign w:val="center"/>
          </w:tcPr>
          <w:p w:rsidR="00475650" w:rsidRDefault="00475650">
            <w:pPr>
              <w:widowControl/>
              <w:jc w:val="center"/>
              <w:rPr>
                <w:kern w:val="0"/>
                <w:szCs w:val="21"/>
                <w:u w:val="single"/>
              </w:rPr>
            </w:pPr>
            <w:r>
              <w:rPr>
                <w:kern w:val="0"/>
                <w:szCs w:val="21"/>
                <w:u w:val="single"/>
              </w:rPr>
              <w:t>/</w:t>
            </w:r>
          </w:p>
        </w:tc>
        <w:tc>
          <w:tcPr>
            <w:tcW w:w="1072"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w:t>
            </w:r>
          </w:p>
        </w:tc>
        <w:tc>
          <w:tcPr>
            <w:tcW w:w="856"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10</w:t>
            </w:r>
          </w:p>
        </w:tc>
        <w:tc>
          <w:tcPr>
            <w:tcW w:w="1135" w:type="dxa"/>
            <w:tcBorders>
              <w:right w:val="single" w:sz="4" w:space="0" w:color="auto"/>
            </w:tcBorders>
            <w:vAlign w:val="center"/>
          </w:tcPr>
          <w:p w:rsidR="00475650" w:rsidRDefault="00475650">
            <w:pPr>
              <w:jc w:val="center"/>
              <w:rPr>
                <w:kern w:val="0"/>
                <w:szCs w:val="21"/>
                <w:u w:val="single"/>
              </w:rPr>
            </w:pPr>
            <w:r>
              <w:rPr>
                <w:rFonts w:hint="eastAsia"/>
                <w:kern w:val="0"/>
                <w:szCs w:val="21"/>
                <w:u w:val="single"/>
              </w:rPr>
              <w:t>20</w:t>
            </w:r>
          </w:p>
        </w:tc>
        <w:tc>
          <w:tcPr>
            <w:tcW w:w="992" w:type="dxa"/>
            <w:tcBorders>
              <w:right w:val="single" w:sz="4" w:space="0" w:color="auto"/>
            </w:tcBorders>
            <w:vAlign w:val="center"/>
          </w:tcPr>
          <w:p w:rsidR="00475650" w:rsidRDefault="00475650">
            <w:pPr>
              <w:jc w:val="center"/>
              <w:rPr>
                <w:kern w:val="0"/>
                <w:szCs w:val="21"/>
                <w:u w:val="single"/>
              </w:rPr>
            </w:pPr>
            <w:r>
              <w:rPr>
                <w:rFonts w:hint="eastAsia"/>
                <w:kern w:val="0"/>
                <w:szCs w:val="21"/>
                <w:u w:val="single"/>
              </w:rPr>
              <w:t>/</w:t>
            </w:r>
          </w:p>
        </w:tc>
        <w:tc>
          <w:tcPr>
            <w:tcW w:w="1133" w:type="dxa"/>
            <w:tcBorders>
              <w:left w:val="single" w:sz="4" w:space="0" w:color="auto"/>
            </w:tcBorders>
            <w:vAlign w:val="center"/>
          </w:tcPr>
          <w:p w:rsidR="00475650" w:rsidRDefault="00475650">
            <w:pPr>
              <w:jc w:val="center"/>
              <w:rPr>
                <w:kern w:val="0"/>
                <w:szCs w:val="21"/>
                <w:u w:val="single"/>
              </w:rPr>
            </w:pPr>
            <w:r>
              <w:rPr>
                <w:rFonts w:hint="eastAsia"/>
                <w:kern w:val="0"/>
                <w:szCs w:val="21"/>
                <w:u w:val="single"/>
              </w:rPr>
              <w:t>/</w:t>
            </w:r>
          </w:p>
        </w:tc>
      </w:tr>
      <w:tr w:rsidR="00475650">
        <w:trPr>
          <w:trHeight w:val="340"/>
        </w:trPr>
        <w:tc>
          <w:tcPr>
            <w:tcW w:w="1175" w:type="dxa"/>
            <w:vMerge w:val="restart"/>
            <w:vAlign w:val="center"/>
          </w:tcPr>
          <w:p w:rsidR="00475650" w:rsidRDefault="00475650">
            <w:pPr>
              <w:widowControl/>
              <w:jc w:val="center"/>
              <w:rPr>
                <w:kern w:val="0"/>
                <w:szCs w:val="21"/>
                <w:u w:val="single"/>
              </w:rPr>
            </w:pPr>
            <w:r>
              <w:rPr>
                <w:rFonts w:hint="eastAsia"/>
                <w:kern w:val="0"/>
                <w:szCs w:val="21"/>
                <w:u w:val="single"/>
              </w:rPr>
              <w:t>活性炭吸附设施</w:t>
            </w:r>
          </w:p>
        </w:tc>
        <w:tc>
          <w:tcPr>
            <w:tcW w:w="1078" w:type="dxa"/>
            <w:vAlign w:val="center"/>
          </w:tcPr>
          <w:p w:rsidR="00475650" w:rsidRDefault="00475650">
            <w:pPr>
              <w:widowControl/>
              <w:jc w:val="center"/>
              <w:rPr>
                <w:rFonts w:hAnsi="宋体"/>
                <w:kern w:val="0"/>
                <w:szCs w:val="21"/>
                <w:u w:val="single"/>
              </w:rPr>
            </w:pPr>
            <w:r>
              <w:rPr>
                <w:rFonts w:hAnsi="宋体" w:hint="eastAsia"/>
                <w:kern w:val="0"/>
                <w:szCs w:val="21"/>
                <w:u w:val="single"/>
              </w:rPr>
              <w:t>出水</w:t>
            </w:r>
          </w:p>
        </w:tc>
        <w:tc>
          <w:tcPr>
            <w:tcW w:w="936" w:type="dxa"/>
            <w:vAlign w:val="center"/>
          </w:tcPr>
          <w:p w:rsidR="00475650" w:rsidRDefault="00475650">
            <w:pPr>
              <w:widowControl/>
              <w:jc w:val="center"/>
              <w:rPr>
                <w:kern w:val="0"/>
                <w:szCs w:val="21"/>
                <w:u w:val="single"/>
              </w:rPr>
            </w:pPr>
            <w:r>
              <w:rPr>
                <w:kern w:val="0"/>
                <w:szCs w:val="21"/>
                <w:u w:val="single"/>
              </w:rPr>
              <w:t>6-9</w:t>
            </w:r>
          </w:p>
        </w:tc>
        <w:tc>
          <w:tcPr>
            <w:tcW w:w="804"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2%</w:t>
            </w:r>
          </w:p>
        </w:tc>
        <w:tc>
          <w:tcPr>
            <w:tcW w:w="1072"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6000</w:t>
            </w:r>
          </w:p>
        </w:tc>
        <w:tc>
          <w:tcPr>
            <w:tcW w:w="856"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97</w:t>
            </w:r>
          </w:p>
        </w:tc>
        <w:tc>
          <w:tcPr>
            <w:tcW w:w="1135"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5000</w:t>
            </w:r>
          </w:p>
        </w:tc>
        <w:tc>
          <w:tcPr>
            <w:tcW w:w="992"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150</w:t>
            </w:r>
          </w:p>
        </w:tc>
        <w:tc>
          <w:tcPr>
            <w:tcW w:w="1133"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47</w:t>
            </w:r>
          </w:p>
        </w:tc>
      </w:tr>
      <w:tr w:rsidR="00475650">
        <w:trPr>
          <w:trHeight w:val="340"/>
        </w:trPr>
        <w:tc>
          <w:tcPr>
            <w:tcW w:w="1175" w:type="dxa"/>
            <w:vMerge/>
            <w:vAlign w:val="center"/>
          </w:tcPr>
          <w:p w:rsidR="00475650" w:rsidRDefault="00475650">
            <w:pPr>
              <w:widowControl/>
              <w:jc w:val="center"/>
              <w:rPr>
                <w:kern w:val="0"/>
                <w:szCs w:val="21"/>
                <w:u w:val="single"/>
              </w:rPr>
            </w:pPr>
          </w:p>
        </w:tc>
        <w:tc>
          <w:tcPr>
            <w:tcW w:w="1078" w:type="dxa"/>
            <w:vAlign w:val="center"/>
          </w:tcPr>
          <w:p w:rsidR="00475650" w:rsidRDefault="00475650">
            <w:pPr>
              <w:widowControl/>
              <w:jc w:val="center"/>
              <w:rPr>
                <w:rFonts w:hAnsi="宋体"/>
                <w:kern w:val="0"/>
                <w:szCs w:val="21"/>
                <w:u w:val="single"/>
              </w:rPr>
            </w:pPr>
            <w:r>
              <w:rPr>
                <w:rFonts w:hAnsi="宋体" w:hint="eastAsia"/>
                <w:kern w:val="0"/>
                <w:szCs w:val="21"/>
                <w:u w:val="single"/>
              </w:rPr>
              <w:t>去除率</w:t>
            </w:r>
            <w:r>
              <w:rPr>
                <w:rFonts w:hAnsi="宋体" w:hint="eastAsia"/>
                <w:kern w:val="0"/>
                <w:szCs w:val="21"/>
                <w:u w:val="single"/>
              </w:rPr>
              <w:t>%</w:t>
            </w:r>
          </w:p>
        </w:tc>
        <w:tc>
          <w:tcPr>
            <w:tcW w:w="936" w:type="dxa"/>
            <w:vAlign w:val="center"/>
          </w:tcPr>
          <w:p w:rsidR="00475650" w:rsidRDefault="00475650">
            <w:pPr>
              <w:widowControl/>
              <w:jc w:val="center"/>
              <w:rPr>
                <w:kern w:val="0"/>
                <w:szCs w:val="21"/>
                <w:u w:val="single"/>
              </w:rPr>
            </w:pPr>
            <w:r>
              <w:rPr>
                <w:rFonts w:hint="eastAsia"/>
                <w:kern w:val="0"/>
                <w:szCs w:val="21"/>
                <w:u w:val="single"/>
              </w:rPr>
              <w:t>/</w:t>
            </w:r>
          </w:p>
        </w:tc>
        <w:tc>
          <w:tcPr>
            <w:tcW w:w="804"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w:t>
            </w:r>
          </w:p>
        </w:tc>
        <w:tc>
          <w:tcPr>
            <w:tcW w:w="1072"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40</w:t>
            </w:r>
          </w:p>
        </w:tc>
        <w:tc>
          <w:tcPr>
            <w:tcW w:w="856"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w:t>
            </w:r>
          </w:p>
        </w:tc>
        <w:tc>
          <w:tcPr>
            <w:tcW w:w="1135"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75</w:t>
            </w:r>
          </w:p>
        </w:tc>
        <w:tc>
          <w:tcPr>
            <w:tcW w:w="992"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70</w:t>
            </w:r>
          </w:p>
        </w:tc>
        <w:tc>
          <w:tcPr>
            <w:tcW w:w="1133"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60</w:t>
            </w:r>
          </w:p>
        </w:tc>
      </w:tr>
      <w:tr w:rsidR="00475650">
        <w:trPr>
          <w:trHeight w:val="340"/>
        </w:trPr>
        <w:tc>
          <w:tcPr>
            <w:tcW w:w="1175" w:type="dxa"/>
            <w:vMerge w:val="restart"/>
            <w:vAlign w:val="center"/>
          </w:tcPr>
          <w:p w:rsidR="00475650" w:rsidRDefault="00475650">
            <w:pPr>
              <w:widowControl/>
              <w:jc w:val="center"/>
              <w:rPr>
                <w:kern w:val="0"/>
                <w:szCs w:val="21"/>
                <w:u w:val="single"/>
              </w:rPr>
            </w:pPr>
            <w:r>
              <w:rPr>
                <w:rFonts w:hAnsi="宋体"/>
                <w:kern w:val="0"/>
                <w:szCs w:val="21"/>
                <w:u w:val="single"/>
              </w:rPr>
              <w:t>蒸发脱盐设备</w:t>
            </w:r>
          </w:p>
        </w:tc>
        <w:tc>
          <w:tcPr>
            <w:tcW w:w="1078" w:type="dxa"/>
            <w:vAlign w:val="center"/>
          </w:tcPr>
          <w:p w:rsidR="00475650" w:rsidRDefault="00475650">
            <w:pPr>
              <w:widowControl/>
              <w:jc w:val="center"/>
              <w:rPr>
                <w:kern w:val="0"/>
                <w:szCs w:val="21"/>
                <w:u w:val="single"/>
              </w:rPr>
            </w:pPr>
            <w:r>
              <w:rPr>
                <w:rFonts w:hAnsi="宋体"/>
                <w:kern w:val="0"/>
                <w:szCs w:val="21"/>
                <w:u w:val="single"/>
              </w:rPr>
              <w:t>出水</w:t>
            </w:r>
          </w:p>
        </w:tc>
        <w:tc>
          <w:tcPr>
            <w:tcW w:w="936" w:type="dxa"/>
            <w:vAlign w:val="center"/>
          </w:tcPr>
          <w:p w:rsidR="00475650" w:rsidRDefault="00475650">
            <w:pPr>
              <w:widowControl/>
              <w:jc w:val="center"/>
              <w:rPr>
                <w:kern w:val="0"/>
                <w:szCs w:val="21"/>
                <w:u w:val="single"/>
              </w:rPr>
            </w:pPr>
            <w:r>
              <w:rPr>
                <w:kern w:val="0"/>
                <w:szCs w:val="21"/>
                <w:u w:val="single"/>
              </w:rPr>
              <w:t>6-9</w:t>
            </w:r>
          </w:p>
        </w:tc>
        <w:tc>
          <w:tcPr>
            <w:tcW w:w="804"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0.08</w:t>
            </w:r>
            <w:r>
              <w:rPr>
                <w:kern w:val="0"/>
                <w:szCs w:val="21"/>
                <w:u w:val="single"/>
              </w:rPr>
              <w:t>%</w:t>
            </w:r>
          </w:p>
        </w:tc>
        <w:tc>
          <w:tcPr>
            <w:tcW w:w="1072"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5400</w:t>
            </w:r>
          </w:p>
        </w:tc>
        <w:tc>
          <w:tcPr>
            <w:tcW w:w="856"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97</w:t>
            </w:r>
          </w:p>
        </w:tc>
        <w:tc>
          <w:tcPr>
            <w:tcW w:w="1135"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5000</w:t>
            </w:r>
          </w:p>
        </w:tc>
        <w:tc>
          <w:tcPr>
            <w:tcW w:w="992"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150</w:t>
            </w:r>
          </w:p>
        </w:tc>
        <w:tc>
          <w:tcPr>
            <w:tcW w:w="1133"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47</w:t>
            </w:r>
          </w:p>
        </w:tc>
      </w:tr>
      <w:tr w:rsidR="00475650">
        <w:trPr>
          <w:trHeight w:val="340"/>
        </w:trPr>
        <w:tc>
          <w:tcPr>
            <w:tcW w:w="1175" w:type="dxa"/>
            <w:vMerge/>
            <w:vAlign w:val="center"/>
          </w:tcPr>
          <w:p w:rsidR="00475650" w:rsidRDefault="00475650">
            <w:pPr>
              <w:widowControl/>
              <w:jc w:val="center"/>
              <w:rPr>
                <w:kern w:val="0"/>
                <w:szCs w:val="21"/>
                <w:u w:val="single"/>
              </w:rPr>
            </w:pPr>
          </w:p>
        </w:tc>
        <w:tc>
          <w:tcPr>
            <w:tcW w:w="1078" w:type="dxa"/>
            <w:vAlign w:val="center"/>
          </w:tcPr>
          <w:p w:rsidR="00475650" w:rsidRDefault="00475650">
            <w:pPr>
              <w:widowControl/>
              <w:jc w:val="center"/>
              <w:rPr>
                <w:kern w:val="0"/>
                <w:szCs w:val="21"/>
                <w:u w:val="single"/>
              </w:rPr>
            </w:pPr>
            <w:r>
              <w:rPr>
                <w:rFonts w:hAnsi="宋体"/>
                <w:kern w:val="0"/>
                <w:szCs w:val="21"/>
                <w:u w:val="single"/>
              </w:rPr>
              <w:t>去除率</w:t>
            </w:r>
            <w:r>
              <w:rPr>
                <w:kern w:val="0"/>
                <w:szCs w:val="21"/>
                <w:u w:val="single"/>
              </w:rPr>
              <w:t>%</w:t>
            </w:r>
          </w:p>
        </w:tc>
        <w:tc>
          <w:tcPr>
            <w:tcW w:w="936" w:type="dxa"/>
            <w:vAlign w:val="center"/>
          </w:tcPr>
          <w:p w:rsidR="00475650" w:rsidRDefault="00475650">
            <w:pPr>
              <w:widowControl/>
              <w:jc w:val="center"/>
              <w:rPr>
                <w:kern w:val="0"/>
                <w:szCs w:val="21"/>
                <w:u w:val="single"/>
              </w:rPr>
            </w:pPr>
            <w:r>
              <w:rPr>
                <w:kern w:val="0"/>
                <w:szCs w:val="21"/>
                <w:u w:val="single"/>
              </w:rPr>
              <w:t>/</w:t>
            </w:r>
          </w:p>
        </w:tc>
        <w:tc>
          <w:tcPr>
            <w:tcW w:w="804"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96</w:t>
            </w:r>
          </w:p>
        </w:tc>
        <w:tc>
          <w:tcPr>
            <w:tcW w:w="1072" w:type="dxa"/>
            <w:tcBorders>
              <w:left w:val="single" w:sz="4" w:space="0" w:color="auto"/>
            </w:tcBorders>
            <w:vAlign w:val="center"/>
          </w:tcPr>
          <w:p w:rsidR="00475650" w:rsidRDefault="00475650">
            <w:pPr>
              <w:widowControl/>
              <w:jc w:val="center"/>
              <w:rPr>
                <w:kern w:val="0"/>
                <w:szCs w:val="21"/>
                <w:u w:val="single"/>
              </w:rPr>
            </w:pPr>
            <w:r>
              <w:rPr>
                <w:kern w:val="0"/>
                <w:szCs w:val="21"/>
                <w:u w:val="single"/>
              </w:rPr>
              <w:t>10</w:t>
            </w:r>
          </w:p>
        </w:tc>
        <w:tc>
          <w:tcPr>
            <w:tcW w:w="856"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w:t>
            </w:r>
          </w:p>
        </w:tc>
        <w:tc>
          <w:tcPr>
            <w:tcW w:w="1135" w:type="dxa"/>
            <w:tcBorders>
              <w:right w:val="single" w:sz="4" w:space="0" w:color="auto"/>
            </w:tcBorders>
            <w:vAlign w:val="center"/>
          </w:tcPr>
          <w:p w:rsidR="00475650" w:rsidRDefault="00475650">
            <w:pPr>
              <w:jc w:val="center"/>
              <w:rPr>
                <w:kern w:val="0"/>
                <w:szCs w:val="21"/>
                <w:u w:val="single"/>
              </w:rPr>
            </w:pPr>
            <w:r>
              <w:rPr>
                <w:rFonts w:hint="eastAsia"/>
                <w:kern w:val="0"/>
                <w:szCs w:val="21"/>
                <w:u w:val="single"/>
              </w:rPr>
              <w:t>/</w:t>
            </w:r>
          </w:p>
        </w:tc>
        <w:tc>
          <w:tcPr>
            <w:tcW w:w="992" w:type="dxa"/>
            <w:tcBorders>
              <w:right w:val="single" w:sz="4" w:space="0" w:color="auto"/>
            </w:tcBorders>
            <w:vAlign w:val="center"/>
          </w:tcPr>
          <w:p w:rsidR="00475650" w:rsidRDefault="00475650">
            <w:pPr>
              <w:jc w:val="center"/>
              <w:rPr>
                <w:kern w:val="0"/>
                <w:szCs w:val="21"/>
                <w:u w:val="single"/>
              </w:rPr>
            </w:pPr>
            <w:r>
              <w:rPr>
                <w:rFonts w:hint="eastAsia"/>
                <w:kern w:val="0"/>
                <w:szCs w:val="21"/>
                <w:u w:val="single"/>
              </w:rPr>
              <w:t>/</w:t>
            </w:r>
          </w:p>
        </w:tc>
        <w:tc>
          <w:tcPr>
            <w:tcW w:w="1133" w:type="dxa"/>
            <w:tcBorders>
              <w:left w:val="single" w:sz="4" w:space="0" w:color="auto"/>
            </w:tcBorders>
            <w:vAlign w:val="center"/>
          </w:tcPr>
          <w:p w:rsidR="00475650" w:rsidRDefault="00475650">
            <w:pPr>
              <w:jc w:val="center"/>
              <w:rPr>
                <w:kern w:val="0"/>
                <w:szCs w:val="21"/>
                <w:u w:val="single"/>
              </w:rPr>
            </w:pPr>
            <w:r>
              <w:rPr>
                <w:rFonts w:hint="eastAsia"/>
                <w:kern w:val="0"/>
                <w:szCs w:val="21"/>
                <w:u w:val="single"/>
              </w:rPr>
              <w:t>/</w:t>
            </w:r>
          </w:p>
        </w:tc>
      </w:tr>
      <w:tr w:rsidR="00475650">
        <w:trPr>
          <w:trHeight w:val="340"/>
        </w:trPr>
        <w:tc>
          <w:tcPr>
            <w:tcW w:w="1175" w:type="dxa"/>
            <w:vMerge w:val="restart"/>
            <w:vAlign w:val="center"/>
          </w:tcPr>
          <w:p w:rsidR="00475650" w:rsidRDefault="00475650">
            <w:pPr>
              <w:widowControl/>
              <w:jc w:val="center"/>
              <w:rPr>
                <w:kern w:val="0"/>
                <w:szCs w:val="21"/>
                <w:u w:val="single"/>
              </w:rPr>
            </w:pPr>
            <w:r>
              <w:rPr>
                <w:rFonts w:hAnsi="宋体"/>
                <w:szCs w:val="21"/>
                <w:u w:val="single"/>
              </w:rPr>
              <w:t>中间池</w:t>
            </w:r>
          </w:p>
        </w:tc>
        <w:tc>
          <w:tcPr>
            <w:tcW w:w="1078" w:type="dxa"/>
            <w:vAlign w:val="center"/>
          </w:tcPr>
          <w:p w:rsidR="00475650" w:rsidRDefault="00475650">
            <w:pPr>
              <w:widowControl/>
              <w:jc w:val="center"/>
              <w:rPr>
                <w:kern w:val="0"/>
                <w:szCs w:val="21"/>
                <w:u w:val="single"/>
              </w:rPr>
            </w:pPr>
            <w:r>
              <w:rPr>
                <w:rFonts w:hAnsi="宋体"/>
                <w:kern w:val="0"/>
                <w:szCs w:val="21"/>
                <w:u w:val="single"/>
              </w:rPr>
              <w:t>出水</w:t>
            </w:r>
          </w:p>
        </w:tc>
        <w:tc>
          <w:tcPr>
            <w:tcW w:w="936" w:type="dxa"/>
            <w:vAlign w:val="center"/>
          </w:tcPr>
          <w:p w:rsidR="00475650" w:rsidRDefault="00475650">
            <w:pPr>
              <w:widowControl/>
              <w:jc w:val="center"/>
              <w:rPr>
                <w:kern w:val="0"/>
                <w:szCs w:val="21"/>
                <w:u w:val="single"/>
              </w:rPr>
            </w:pPr>
            <w:r>
              <w:rPr>
                <w:kern w:val="0"/>
                <w:szCs w:val="21"/>
                <w:u w:val="single"/>
              </w:rPr>
              <w:t>6-9</w:t>
            </w:r>
          </w:p>
        </w:tc>
        <w:tc>
          <w:tcPr>
            <w:tcW w:w="804"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0.08</w:t>
            </w:r>
            <w:r>
              <w:rPr>
                <w:kern w:val="0"/>
                <w:szCs w:val="21"/>
                <w:u w:val="single"/>
              </w:rPr>
              <w:t>%</w:t>
            </w:r>
          </w:p>
        </w:tc>
        <w:tc>
          <w:tcPr>
            <w:tcW w:w="1072"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5400</w:t>
            </w:r>
          </w:p>
        </w:tc>
        <w:tc>
          <w:tcPr>
            <w:tcW w:w="856"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97</w:t>
            </w:r>
          </w:p>
        </w:tc>
        <w:tc>
          <w:tcPr>
            <w:tcW w:w="1135"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5000</w:t>
            </w:r>
          </w:p>
        </w:tc>
        <w:tc>
          <w:tcPr>
            <w:tcW w:w="992"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150</w:t>
            </w:r>
          </w:p>
        </w:tc>
        <w:tc>
          <w:tcPr>
            <w:tcW w:w="1133"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47</w:t>
            </w:r>
          </w:p>
        </w:tc>
      </w:tr>
      <w:tr w:rsidR="00475650">
        <w:trPr>
          <w:trHeight w:val="340"/>
        </w:trPr>
        <w:tc>
          <w:tcPr>
            <w:tcW w:w="1175" w:type="dxa"/>
            <w:vMerge/>
            <w:vAlign w:val="center"/>
          </w:tcPr>
          <w:p w:rsidR="00475650" w:rsidRDefault="00475650">
            <w:pPr>
              <w:widowControl/>
              <w:jc w:val="center"/>
              <w:rPr>
                <w:kern w:val="0"/>
                <w:szCs w:val="21"/>
                <w:u w:val="single"/>
              </w:rPr>
            </w:pPr>
          </w:p>
        </w:tc>
        <w:tc>
          <w:tcPr>
            <w:tcW w:w="1078" w:type="dxa"/>
            <w:vAlign w:val="center"/>
          </w:tcPr>
          <w:p w:rsidR="00475650" w:rsidRDefault="00475650">
            <w:pPr>
              <w:widowControl/>
              <w:jc w:val="center"/>
              <w:rPr>
                <w:kern w:val="0"/>
                <w:szCs w:val="21"/>
                <w:u w:val="single"/>
              </w:rPr>
            </w:pPr>
            <w:r>
              <w:rPr>
                <w:rFonts w:hAnsi="宋体"/>
                <w:kern w:val="0"/>
                <w:szCs w:val="21"/>
                <w:u w:val="single"/>
              </w:rPr>
              <w:t>去除率</w:t>
            </w:r>
            <w:r>
              <w:rPr>
                <w:kern w:val="0"/>
                <w:szCs w:val="21"/>
                <w:u w:val="single"/>
              </w:rPr>
              <w:t>%</w:t>
            </w:r>
          </w:p>
        </w:tc>
        <w:tc>
          <w:tcPr>
            <w:tcW w:w="936" w:type="dxa"/>
            <w:vAlign w:val="center"/>
          </w:tcPr>
          <w:p w:rsidR="00475650" w:rsidRDefault="00475650">
            <w:pPr>
              <w:widowControl/>
              <w:jc w:val="center"/>
              <w:rPr>
                <w:kern w:val="0"/>
                <w:szCs w:val="21"/>
                <w:u w:val="single"/>
              </w:rPr>
            </w:pPr>
            <w:r>
              <w:rPr>
                <w:kern w:val="0"/>
                <w:szCs w:val="21"/>
                <w:u w:val="single"/>
              </w:rPr>
              <w:t>/</w:t>
            </w:r>
          </w:p>
        </w:tc>
        <w:tc>
          <w:tcPr>
            <w:tcW w:w="804" w:type="dxa"/>
            <w:tcBorders>
              <w:right w:val="single" w:sz="4" w:space="0" w:color="auto"/>
            </w:tcBorders>
            <w:vAlign w:val="center"/>
          </w:tcPr>
          <w:p w:rsidR="00475650" w:rsidRDefault="00475650">
            <w:pPr>
              <w:widowControl/>
              <w:jc w:val="center"/>
              <w:rPr>
                <w:kern w:val="0"/>
                <w:szCs w:val="21"/>
                <w:u w:val="single"/>
              </w:rPr>
            </w:pPr>
            <w:r>
              <w:rPr>
                <w:kern w:val="0"/>
                <w:szCs w:val="21"/>
                <w:u w:val="single"/>
              </w:rPr>
              <w:t>/</w:t>
            </w:r>
          </w:p>
        </w:tc>
        <w:tc>
          <w:tcPr>
            <w:tcW w:w="1072" w:type="dxa"/>
            <w:tcBorders>
              <w:left w:val="single" w:sz="4" w:space="0" w:color="auto"/>
            </w:tcBorders>
            <w:vAlign w:val="center"/>
          </w:tcPr>
          <w:p w:rsidR="00475650" w:rsidRDefault="00475650">
            <w:pPr>
              <w:widowControl/>
              <w:jc w:val="center"/>
              <w:rPr>
                <w:kern w:val="0"/>
                <w:szCs w:val="21"/>
                <w:u w:val="single"/>
              </w:rPr>
            </w:pPr>
            <w:r>
              <w:rPr>
                <w:kern w:val="0"/>
                <w:szCs w:val="21"/>
                <w:u w:val="single"/>
              </w:rPr>
              <w:t>/</w:t>
            </w:r>
          </w:p>
        </w:tc>
        <w:tc>
          <w:tcPr>
            <w:tcW w:w="856"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w:t>
            </w:r>
          </w:p>
        </w:tc>
        <w:tc>
          <w:tcPr>
            <w:tcW w:w="1135" w:type="dxa"/>
            <w:tcBorders>
              <w:right w:val="single" w:sz="4" w:space="0" w:color="auto"/>
            </w:tcBorders>
            <w:vAlign w:val="center"/>
          </w:tcPr>
          <w:p w:rsidR="00475650" w:rsidRDefault="00475650">
            <w:pPr>
              <w:jc w:val="center"/>
              <w:rPr>
                <w:kern w:val="0"/>
                <w:szCs w:val="21"/>
                <w:u w:val="single"/>
              </w:rPr>
            </w:pPr>
            <w:r>
              <w:rPr>
                <w:rFonts w:hint="eastAsia"/>
                <w:kern w:val="0"/>
                <w:szCs w:val="21"/>
                <w:u w:val="single"/>
              </w:rPr>
              <w:t>/</w:t>
            </w:r>
          </w:p>
        </w:tc>
        <w:tc>
          <w:tcPr>
            <w:tcW w:w="992" w:type="dxa"/>
            <w:tcBorders>
              <w:right w:val="single" w:sz="4" w:space="0" w:color="auto"/>
            </w:tcBorders>
            <w:vAlign w:val="center"/>
          </w:tcPr>
          <w:p w:rsidR="00475650" w:rsidRDefault="00475650">
            <w:pPr>
              <w:jc w:val="center"/>
              <w:rPr>
                <w:kern w:val="0"/>
                <w:szCs w:val="21"/>
                <w:u w:val="single"/>
              </w:rPr>
            </w:pPr>
            <w:r>
              <w:rPr>
                <w:rFonts w:hint="eastAsia"/>
                <w:kern w:val="0"/>
                <w:szCs w:val="21"/>
                <w:u w:val="single"/>
              </w:rPr>
              <w:t>/</w:t>
            </w:r>
          </w:p>
        </w:tc>
        <w:tc>
          <w:tcPr>
            <w:tcW w:w="1133" w:type="dxa"/>
            <w:tcBorders>
              <w:left w:val="single" w:sz="4" w:space="0" w:color="auto"/>
            </w:tcBorders>
            <w:vAlign w:val="center"/>
          </w:tcPr>
          <w:p w:rsidR="00475650" w:rsidRDefault="00475650">
            <w:pPr>
              <w:jc w:val="center"/>
              <w:rPr>
                <w:kern w:val="0"/>
                <w:szCs w:val="21"/>
                <w:u w:val="single"/>
              </w:rPr>
            </w:pPr>
            <w:r>
              <w:rPr>
                <w:rFonts w:hint="eastAsia"/>
                <w:kern w:val="0"/>
                <w:szCs w:val="21"/>
                <w:u w:val="single"/>
              </w:rPr>
              <w:t>/</w:t>
            </w:r>
          </w:p>
        </w:tc>
      </w:tr>
      <w:tr w:rsidR="00475650">
        <w:trPr>
          <w:trHeight w:val="340"/>
        </w:trPr>
        <w:tc>
          <w:tcPr>
            <w:tcW w:w="1175" w:type="dxa"/>
            <w:vMerge w:val="restart"/>
            <w:vAlign w:val="center"/>
          </w:tcPr>
          <w:p w:rsidR="00475650" w:rsidRDefault="00475650">
            <w:pPr>
              <w:widowControl/>
              <w:jc w:val="center"/>
              <w:rPr>
                <w:kern w:val="0"/>
                <w:szCs w:val="21"/>
                <w:u w:val="single"/>
              </w:rPr>
            </w:pPr>
            <w:r>
              <w:rPr>
                <w:rFonts w:hAnsi="宋体"/>
                <w:kern w:val="0"/>
                <w:szCs w:val="21"/>
                <w:u w:val="single"/>
              </w:rPr>
              <w:t>微电解装置</w:t>
            </w:r>
          </w:p>
        </w:tc>
        <w:tc>
          <w:tcPr>
            <w:tcW w:w="1078" w:type="dxa"/>
            <w:vAlign w:val="center"/>
          </w:tcPr>
          <w:p w:rsidR="00475650" w:rsidRDefault="00475650">
            <w:pPr>
              <w:widowControl/>
              <w:jc w:val="center"/>
              <w:rPr>
                <w:kern w:val="0"/>
                <w:szCs w:val="21"/>
                <w:u w:val="single"/>
              </w:rPr>
            </w:pPr>
            <w:r>
              <w:rPr>
                <w:rFonts w:hAnsi="宋体"/>
                <w:kern w:val="0"/>
                <w:szCs w:val="21"/>
                <w:u w:val="single"/>
              </w:rPr>
              <w:t>出水</w:t>
            </w:r>
          </w:p>
        </w:tc>
        <w:tc>
          <w:tcPr>
            <w:tcW w:w="936" w:type="dxa"/>
            <w:vAlign w:val="center"/>
          </w:tcPr>
          <w:p w:rsidR="00475650" w:rsidRDefault="00475650">
            <w:pPr>
              <w:widowControl/>
              <w:jc w:val="center"/>
              <w:rPr>
                <w:kern w:val="0"/>
                <w:szCs w:val="21"/>
                <w:u w:val="single"/>
              </w:rPr>
            </w:pPr>
            <w:r>
              <w:rPr>
                <w:kern w:val="0"/>
                <w:szCs w:val="21"/>
                <w:u w:val="single"/>
              </w:rPr>
              <w:t>6-9</w:t>
            </w:r>
          </w:p>
        </w:tc>
        <w:tc>
          <w:tcPr>
            <w:tcW w:w="804"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0.08</w:t>
            </w:r>
            <w:r>
              <w:rPr>
                <w:kern w:val="0"/>
                <w:szCs w:val="21"/>
                <w:u w:val="single"/>
              </w:rPr>
              <w:t>%</w:t>
            </w:r>
          </w:p>
        </w:tc>
        <w:tc>
          <w:tcPr>
            <w:tcW w:w="1072"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4320</w:t>
            </w:r>
          </w:p>
        </w:tc>
        <w:tc>
          <w:tcPr>
            <w:tcW w:w="856"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97</w:t>
            </w:r>
          </w:p>
        </w:tc>
        <w:tc>
          <w:tcPr>
            <w:tcW w:w="1135"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5000</w:t>
            </w:r>
          </w:p>
        </w:tc>
        <w:tc>
          <w:tcPr>
            <w:tcW w:w="992"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150</w:t>
            </w:r>
          </w:p>
        </w:tc>
        <w:tc>
          <w:tcPr>
            <w:tcW w:w="1133"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38</w:t>
            </w:r>
          </w:p>
        </w:tc>
      </w:tr>
      <w:tr w:rsidR="00475650">
        <w:trPr>
          <w:trHeight w:val="340"/>
        </w:trPr>
        <w:tc>
          <w:tcPr>
            <w:tcW w:w="1175" w:type="dxa"/>
            <w:vMerge/>
            <w:vAlign w:val="center"/>
          </w:tcPr>
          <w:p w:rsidR="00475650" w:rsidRDefault="00475650">
            <w:pPr>
              <w:widowControl/>
              <w:jc w:val="center"/>
              <w:rPr>
                <w:kern w:val="0"/>
                <w:szCs w:val="21"/>
                <w:u w:val="single"/>
              </w:rPr>
            </w:pPr>
          </w:p>
        </w:tc>
        <w:tc>
          <w:tcPr>
            <w:tcW w:w="1078" w:type="dxa"/>
            <w:vAlign w:val="center"/>
          </w:tcPr>
          <w:p w:rsidR="00475650" w:rsidRDefault="00475650">
            <w:pPr>
              <w:widowControl/>
              <w:jc w:val="center"/>
              <w:rPr>
                <w:kern w:val="0"/>
                <w:szCs w:val="21"/>
                <w:u w:val="single"/>
              </w:rPr>
            </w:pPr>
            <w:r>
              <w:rPr>
                <w:rFonts w:hAnsi="宋体"/>
                <w:kern w:val="0"/>
                <w:szCs w:val="21"/>
                <w:u w:val="single"/>
              </w:rPr>
              <w:t>去除率</w:t>
            </w:r>
            <w:r>
              <w:rPr>
                <w:kern w:val="0"/>
                <w:szCs w:val="21"/>
                <w:u w:val="single"/>
              </w:rPr>
              <w:t>%</w:t>
            </w:r>
          </w:p>
        </w:tc>
        <w:tc>
          <w:tcPr>
            <w:tcW w:w="936" w:type="dxa"/>
            <w:vAlign w:val="center"/>
          </w:tcPr>
          <w:p w:rsidR="00475650" w:rsidRDefault="00475650">
            <w:pPr>
              <w:widowControl/>
              <w:jc w:val="center"/>
              <w:rPr>
                <w:kern w:val="0"/>
                <w:szCs w:val="21"/>
                <w:u w:val="single"/>
              </w:rPr>
            </w:pPr>
            <w:r>
              <w:rPr>
                <w:kern w:val="0"/>
                <w:szCs w:val="21"/>
                <w:u w:val="single"/>
              </w:rPr>
              <w:t>/</w:t>
            </w:r>
          </w:p>
        </w:tc>
        <w:tc>
          <w:tcPr>
            <w:tcW w:w="804" w:type="dxa"/>
            <w:tcBorders>
              <w:right w:val="single" w:sz="4" w:space="0" w:color="auto"/>
            </w:tcBorders>
            <w:vAlign w:val="center"/>
          </w:tcPr>
          <w:p w:rsidR="00475650" w:rsidRDefault="00475650">
            <w:pPr>
              <w:widowControl/>
              <w:jc w:val="center"/>
              <w:rPr>
                <w:kern w:val="0"/>
                <w:szCs w:val="21"/>
                <w:u w:val="single"/>
              </w:rPr>
            </w:pPr>
            <w:r>
              <w:rPr>
                <w:kern w:val="0"/>
                <w:szCs w:val="21"/>
                <w:u w:val="single"/>
              </w:rPr>
              <w:t>/</w:t>
            </w:r>
          </w:p>
        </w:tc>
        <w:tc>
          <w:tcPr>
            <w:tcW w:w="1072" w:type="dxa"/>
            <w:tcBorders>
              <w:left w:val="single" w:sz="4" w:space="0" w:color="auto"/>
            </w:tcBorders>
            <w:vAlign w:val="center"/>
          </w:tcPr>
          <w:p w:rsidR="00475650" w:rsidRDefault="00475650">
            <w:pPr>
              <w:widowControl/>
              <w:jc w:val="center"/>
              <w:rPr>
                <w:kern w:val="0"/>
                <w:szCs w:val="21"/>
                <w:u w:val="single"/>
              </w:rPr>
            </w:pPr>
            <w:r>
              <w:rPr>
                <w:kern w:val="0"/>
                <w:szCs w:val="21"/>
                <w:u w:val="single"/>
              </w:rPr>
              <w:t>20</w:t>
            </w:r>
          </w:p>
        </w:tc>
        <w:tc>
          <w:tcPr>
            <w:tcW w:w="856"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w:t>
            </w:r>
          </w:p>
        </w:tc>
        <w:tc>
          <w:tcPr>
            <w:tcW w:w="1135" w:type="dxa"/>
            <w:tcBorders>
              <w:right w:val="single" w:sz="4" w:space="0" w:color="auto"/>
            </w:tcBorders>
            <w:vAlign w:val="center"/>
          </w:tcPr>
          <w:p w:rsidR="00475650" w:rsidRDefault="00475650">
            <w:pPr>
              <w:jc w:val="center"/>
              <w:rPr>
                <w:kern w:val="0"/>
                <w:szCs w:val="21"/>
                <w:u w:val="single"/>
              </w:rPr>
            </w:pPr>
            <w:r>
              <w:rPr>
                <w:rFonts w:hint="eastAsia"/>
                <w:kern w:val="0"/>
                <w:szCs w:val="21"/>
                <w:u w:val="single"/>
              </w:rPr>
              <w:t>/</w:t>
            </w:r>
          </w:p>
        </w:tc>
        <w:tc>
          <w:tcPr>
            <w:tcW w:w="992" w:type="dxa"/>
            <w:tcBorders>
              <w:right w:val="single" w:sz="4" w:space="0" w:color="auto"/>
            </w:tcBorders>
            <w:vAlign w:val="center"/>
          </w:tcPr>
          <w:p w:rsidR="00475650" w:rsidRDefault="00475650">
            <w:pPr>
              <w:jc w:val="center"/>
              <w:rPr>
                <w:kern w:val="0"/>
                <w:szCs w:val="21"/>
                <w:u w:val="single"/>
              </w:rPr>
            </w:pPr>
            <w:r>
              <w:rPr>
                <w:rFonts w:hint="eastAsia"/>
                <w:kern w:val="0"/>
                <w:szCs w:val="21"/>
                <w:u w:val="single"/>
              </w:rPr>
              <w:t>/</w:t>
            </w:r>
          </w:p>
        </w:tc>
        <w:tc>
          <w:tcPr>
            <w:tcW w:w="1133" w:type="dxa"/>
            <w:tcBorders>
              <w:left w:val="single" w:sz="4" w:space="0" w:color="auto"/>
            </w:tcBorders>
            <w:vAlign w:val="center"/>
          </w:tcPr>
          <w:p w:rsidR="00475650" w:rsidRDefault="00475650">
            <w:pPr>
              <w:jc w:val="center"/>
              <w:rPr>
                <w:kern w:val="0"/>
                <w:szCs w:val="21"/>
                <w:u w:val="single"/>
              </w:rPr>
            </w:pPr>
            <w:r>
              <w:rPr>
                <w:rFonts w:hint="eastAsia"/>
                <w:kern w:val="0"/>
                <w:szCs w:val="21"/>
                <w:u w:val="single"/>
              </w:rPr>
              <w:t>20</w:t>
            </w:r>
          </w:p>
        </w:tc>
      </w:tr>
      <w:tr w:rsidR="00475650">
        <w:trPr>
          <w:trHeight w:val="340"/>
        </w:trPr>
        <w:tc>
          <w:tcPr>
            <w:tcW w:w="1175" w:type="dxa"/>
            <w:vMerge w:val="restart"/>
            <w:vAlign w:val="center"/>
          </w:tcPr>
          <w:p w:rsidR="00475650" w:rsidRDefault="00475650">
            <w:pPr>
              <w:widowControl/>
              <w:jc w:val="center"/>
              <w:rPr>
                <w:kern w:val="0"/>
                <w:szCs w:val="21"/>
                <w:u w:val="single"/>
              </w:rPr>
            </w:pPr>
            <w:r>
              <w:rPr>
                <w:rFonts w:hAnsi="宋体"/>
                <w:kern w:val="0"/>
                <w:szCs w:val="21"/>
                <w:u w:val="single"/>
              </w:rPr>
              <w:t>化学氧化装置</w:t>
            </w:r>
          </w:p>
        </w:tc>
        <w:tc>
          <w:tcPr>
            <w:tcW w:w="1078" w:type="dxa"/>
            <w:vAlign w:val="center"/>
          </w:tcPr>
          <w:p w:rsidR="00475650" w:rsidRDefault="00475650">
            <w:pPr>
              <w:widowControl/>
              <w:jc w:val="center"/>
              <w:rPr>
                <w:kern w:val="0"/>
                <w:szCs w:val="21"/>
                <w:u w:val="single"/>
              </w:rPr>
            </w:pPr>
            <w:r>
              <w:rPr>
                <w:rFonts w:hAnsi="宋体"/>
                <w:kern w:val="0"/>
                <w:szCs w:val="21"/>
                <w:u w:val="single"/>
              </w:rPr>
              <w:t>出水</w:t>
            </w:r>
          </w:p>
        </w:tc>
        <w:tc>
          <w:tcPr>
            <w:tcW w:w="936" w:type="dxa"/>
            <w:vAlign w:val="center"/>
          </w:tcPr>
          <w:p w:rsidR="00475650" w:rsidRDefault="00475650">
            <w:pPr>
              <w:widowControl/>
              <w:jc w:val="center"/>
              <w:rPr>
                <w:kern w:val="0"/>
                <w:szCs w:val="21"/>
                <w:u w:val="single"/>
              </w:rPr>
            </w:pPr>
            <w:r>
              <w:rPr>
                <w:kern w:val="0"/>
                <w:szCs w:val="21"/>
                <w:u w:val="single"/>
              </w:rPr>
              <w:t>6-9</w:t>
            </w:r>
          </w:p>
        </w:tc>
        <w:tc>
          <w:tcPr>
            <w:tcW w:w="804"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0.08</w:t>
            </w:r>
            <w:r>
              <w:rPr>
                <w:kern w:val="0"/>
                <w:szCs w:val="21"/>
                <w:u w:val="single"/>
              </w:rPr>
              <w:t>%</w:t>
            </w:r>
          </w:p>
        </w:tc>
        <w:tc>
          <w:tcPr>
            <w:tcW w:w="1072"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2160</w:t>
            </w:r>
          </w:p>
        </w:tc>
        <w:tc>
          <w:tcPr>
            <w:tcW w:w="856"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78</w:t>
            </w:r>
          </w:p>
        </w:tc>
        <w:tc>
          <w:tcPr>
            <w:tcW w:w="1135"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4000</w:t>
            </w:r>
          </w:p>
        </w:tc>
        <w:tc>
          <w:tcPr>
            <w:tcW w:w="992"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150</w:t>
            </w:r>
          </w:p>
        </w:tc>
        <w:tc>
          <w:tcPr>
            <w:tcW w:w="1133"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38</w:t>
            </w:r>
          </w:p>
        </w:tc>
      </w:tr>
      <w:tr w:rsidR="00475650">
        <w:trPr>
          <w:trHeight w:val="340"/>
        </w:trPr>
        <w:tc>
          <w:tcPr>
            <w:tcW w:w="1175" w:type="dxa"/>
            <w:vMerge/>
            <w:vAlign w:val="center"/>
          </w:tcPr>
          <w:p w:rsidR="00475650" w:rsidRDefault="00475650">
            <w:pPr>
              <w:widowControl/>
              <w:jc w:val="center"/>
              <w:rPr>
                <w:kern w:val="0"/>
                <w:szCs w:val="21"/>
                <w:u w:val="single"/>
              </w:rPr>
            </w:pPr>
          </w:p>
        </w:tc>
        <w:tc>
          <w:tcPr>
            <w:tcW w:w="1078" w:type="dxa"/>
            <w:vAlign w:val="center"/>
          </w:tcPr>
          <w:p w:rsidR="00475650" w:rsidRDefault="00475650">
            <w:pPr>
              <w:widowControl/>
              <w:jc w:val="center"/>
              <w:rPr>
                <w:kern w:val="0"/>
                <w:szCs w:val="21"/>
                <w:u w:val="single"/>
              </w:rPr>
            </w:pPr>
            <w:r>
              <w:rPr>
                <w:rFonts w:hAnsi="宋体"/>
                <w:kern w:val="0"/>
                <w:szCs w:val="21"/>
                <w:u w:val="single"/>
              </w:rPr>
              <w:t>去除率</w:t>
            </w:r>
            <w:r>
              <w:rPr>
                <w:kern w:val="0"/>
                <w:szCs w:val="21"/>
                <w:u w:val="single"/>
              </w:rPr>
              <w:t>%</w:t>
            </w:r>
          </w:p>
        </w:tc>
        <w:tc>
          <w:tcPr>
            <w:tcW w:w="936" w:type="dxa"/>
            <w:vAlign w:val="center"/>
          </w:tcPr>
          <w:p w:rsidR="00475650" w:rsidRDefault="00475650">
            <w:pPr>
              <w:widowControl/>
              <w:jc w:val="center"/>
              <w:rPr>
                <w:kern w:val="0"/>
                <w:szCs w:val="21"/>
                <w:u w:val="single"/>
              </w:rPr>
            </w:pPr>
            <w:r>
              <w:rPr>
                <w:kern w:val="0"/>
                <w:szCs w:val="21"/>
                <w:u w:val="single"/>
              </w:rPr>
              <w:t>/</w:t>
            </w:r>
          </w:p>
        </w:tc>
        <w:tc>
          <w:tcPr>
            <w:tcW w:w="804" w:type="dxa"/>
            <w:tcBorders>
              <w:right w:val="single" w:sz="4" w:space="0" w:color="auto"/>
            </w:tcBorders>
            <w:vAlign w:val="center"/>
          </w:tcPr>
          <w:p w:rsidR="00475650" w:rsidRDefault="00475650">
            <w:pPr>
              <w:widowControl/>
              <w:jc w:val="center"/>
              <w:rPr>
                <w:kern w:val="0"/>
                <w:szCs w:val="21"/>
                <w:u w:val="single"/>
              </w:rPr>
            </w:pPr>
            <w:r>
              <w:rPr>
                <w:kern w:val="0"/>
                <w:szCs w:val="21"/>
                <w:u w:val="single"/>
              </w:rPr>
              <w:t>/</w:t>
            </w:r>
          </w:p>
        </w:tc>
        <w:tc>
          <w:tcPr>
            <w:tcW w:w="1072"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50</w:t>
            </w:r>
          </w:p>
        </w:tc>
        <w:tc>
          <w:tcPr>
            <w:tcW w:w="856"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20</w:t>
            </w:r>
          </w:p>
        </w:tc>
        <w:tc>
          <w:tcPr>
            <w:tcW w:w="1135" w:type="dxa"/>
            <w:tcBorders>
              <w:right w:val="single" w:sz="4" w:space="0" w:color="auto"/>
            </w:tcBorders>
            <w:vAlign w:val="center"/>
          </w:tcPr>
          <w:p w:rsidR="00475650" w:rsidRDefault="00475650">
            <w:pPr>
              <w:jc w:val="center"/>
              <w:rPr>
                <w:kern w:val="0"/>
                <w:szCs w:val="21"/>
                <w:u w:val="single"/>
              </w:rPr>
            </w:pPr>
            <w:r>
              <w:rPr>
                <w:rFonts w:hint="eastAsia"/>
                <w:kern w:val="0"/>
                <w:szCs w:val="21"/>
                <w:u w:val="single"/>
              </w:rPr>
              <w:t>20</w:t>
            </w:r>
          </w:p>
        </w:tc>
        <w:tc>
          <w:tcPr>
            <w:tcW w:w="992" w:type="dxa"/>
            <w:tcBorders>
              <w:right w:val="single" w:sz="4" w:space="0" w:color="auto"/>
            </w:tcBorders>
            <w:vAlign w:val="center"/>
          </w:tcPr>
          <w:p w:rsidR="00475650" w:rsidRDefault="00475650">
            <w:pPr>
              <w:jc w:val="center"/>
              <w:rPr>
                <w:kern w:val="0"/>
                <w:szCs w:val="21"/>
                <w:u w:val="single"/>
              </w:rPr>
            </w:pPr>
            <w:r>
              <w:rPr>
                <w:rFonts w:hint="eastAsia"/>
                <w:kern w:val="0"/>
                <w:szCs w:val="21"/>
                <w:u w:val="single"/>
              </w:rPr>
              <w:t>/</w:t>
            </w:r>
          </w:p>
        </w:tc>
        <w:tc>
          <w:tcPr>
            <w:tcW w:w="1133" w:type="dxa"/>
            <w:tcBorders>
              <w:left w:val="single" w:sz="4" w:space="0" w:color="auto"/>
            </w:tcBorders>
            <w:vAlign w:val="center"/>
          </w:tcPr>
          <w:p w:rsidR="00475650" w:rsidRDefault="00475650">
            <w:pPr>
              <w:jc w:val="center"/>
              <w:rPr>
                <w:kern w:val="0"/>
                <w:szCs w:val="21"/>
                <w:u w:val="single"/>
              </w:rPr>
            </w:pPr>
            <w:r>
              <w:rPr>
                <w:rFonts w:hint="eastAsia"/>
                <w:kern w:val="0"/>
                <w:szCs w:val="21"/>
                <w:u w:val="single"/>
              </w:rPr>
              <w:t>/</w:t>
            </w:r>
          </w:p>
        </w:tc>
      </w:tr>
      <w:tr w:rsidR="00475650">
        <w:trPr>
          <w:trHeight w:val="340"/>
        </w:trPr>
        <w:tc>
          <w:tcPr>
            <w:tcW w:w="1175" w:type="dxa"/>
            <w:vMerge w:val="restart"/>
            <w:vAlign w:val="center"/>
          </w:tcPr>
          <w:p w:rsidR="00475650" w:rsidRDefault="00475650">
            <w:pPr>
              <w:widowControl/>
              <w:jc w:val="center"/>
              <w:rPr>
                <w:kern w:val="0"/>
                <w:szCs w:val="21"/>
                <w:u w:val="single"/>
              </w:rPr>
            </w:pPr>
            <w:r>
              <w:rPr>
                <w:rFonts w:hAnsi="宋体"/>
                <w:kern w:val="0"/>
                <w:szCs w:val="21"/>
                <w:u w:val="single"/>
              </w:rPr>
              <w:t>沉淀装置</w:t>
            </w:r>
          </w:p>
        </w:tc>
        <w:tc>
          <w:tcPr>
            <w:tcW w:w="1078" w:type="dxa"/>
            <w:vAlign w:val="center"/>
          </w:tcPr>
          <w:p w:rsidR="00475650" w:rsidRDefault="00475650">
            <w:pPr>
              <w:widowControl/>
              <w:jc w:val="center"/>
              <w:rPr>
                <w:kern w:val="0"/>
                <w:szCs w:val="21"/>
                <w:u w:val="single"/>
              </w:rPr>
            </w:pPr>
            <w:r>
              <w:rPr>
                <w:rFonts w:hAnsi="宋体"/>
                <w:kern w:val="0"/>
                <w:szCs w:val="21"/>
                <w:u w:val="single"/>
              </w:rPr>
              <w:t>出水</w:t>
            </w:r>
          </w:p>
        </w:tc>
        <w:tc>
          <w:tcPr>
            <w:tcW w:w="936" w:type="dxa"/>
            <w:vAlign w:val="center"/>
          </w:tcPr>
          <w:p w:rsidR="00475650" w:rsidRDefault="00475650">
            <w:pPr>
              <w:widowControl/>
              <w:jc w:val="center"/>
              <w:rPr>
                <w:kern w:val="0"/>
                <w:szCs w:val="21"/>
                <w:u w:val="single"/>
              </w:rPr>
            </w:pPr>
            <w:r>
              <w:rPr>
                <w:kern w:val="0"/>
                <w:szCs w:val="21"/>
                <w:u w:val="single"/>
              </w:rPr>
              <w:t>6-9</w:t>
            </w:r>
          </w:p>
        </w:tc>
        <w:tc>
          <w:tcPr>
            <w:tcW w:w="804"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0.08</w:t>
            </w:r>
            <w:r>
              <w:rPr>
                <w:kern w:val="0"/>
                <w:szCs w:val="21"/>
                <w:u w:val="single"/>
              </w:rPr>
              <w:t>%</w:t>
            </w:r>
          </w:p>
        </w:tc>
        <w:tc>
          <w:tcPr>
            <w:tcW w:w="1072"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1944</w:t>
            </w:r>
          </w:p>
        </w:tc>
        <w:tc>
          <w:tcPr>
            <w:tcW w:w="856"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78</w:t>
            </w:r>
          </w:p>
        </w:tc>
        <w:tc>
          <w:tcPr>
            <w:tcW w:w="1135"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3600</w:t>
            </w:r>
          </w:p>
        </w:tc>
        <w:tc>
          <w:tcPr>
            <w:tcW w:w="992"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90</w:t>
            </w:r>
          </w:p>
        </w:tc>
        <w:tc>
          <w:tcPr>
            <w:tcW w:w="1133"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38</w:t>
            </w:r>
          </w:p>
        </w:tc>
      </w:tr>
      <w:tr w:rsidR="00475650">
        <w:trPr>
          <w:trHeight w:val="340"/>
        </w:trPr>
        <w:tc>
          <w:tcPr>
            <w:tcW w:w="1175" w:type="dxa"/>
            <w:vMerge/>
            <w:vAlign w:val="center"/>
          </w:tcPr>
          <w:p w:rsidR="00475650" w:rsidRDefault="00475650">
            <w:pPr>
              <w:widowControl/>
              <w:jc w:val="center"/>
              <w:rPr>
                <w:kern w:val="0"/>
                <w:szCs w:val="21"/>
                <w:u w:val="single"/>
              </w:rPr>
            </w:pPr>
          </w:p>
        </w:tc>
        <w:tc>
          <w:tcPr>
            <w:tcW w:w="1078" w:type="dxa"/>
            <w:vAlign w:val="center"/>
          </w:tcPr>
          <w:p w:rsidR="00475650" w:rsidRDefault="00475650">
            <w:pPr>
              <w:widowControl/>
              <w:jc w:val="center"/>
              <w:rPr>
                <w:kern w:val="0"/>
                <w:szCs w:val="21"/>
                <w:u w:val="single"/>
              </w:rPr>
            </w:pPr>
            <w:r>
              <w:rPr>
                <w:rFonts w:hAnsi="宋体"/>
                <w:kern w:val="0"/>
                <w:szCs w:val="21"/>
                <w:u w:val="single"/>
              </w:rPr>
              <w:t>去除率</w:t>
            </w:r>
            <w:r>
              <w:rPr>
                <w:kern w:val="0"/>
                <w:szCs w:val="21"/>
                <w:u w:val="single"/>
              </w:rPr>
              <w:t>%</w:t>
            </w:r>
          </w:p>
        </w:tc>
        <w:tc>
          <w:tcPr>
            <w:tcW w:w="936" w:type="dxa"/>
            <w:vAlign w:val="center"/>
          </w:tcPr>
          <w:p w:rsidR="00475650" w:rsidRDefault="00475650">
            <w:pPr>
              <w:widowControl/>
              <w:jc w:val="center"/>
              <w:rPr>
                <w:kern w:val="0"/>
                <w:szCs w:val="21"/>
                <w:u w:val="single"/>
              </w:rPr>
            </w:pPr>
            <w:r>
              <w:rPr>
                <w:kern w:val="0"/>
                <w:szCs w:val="21"/>
                <w:u w:val="single"/>
              </w:rPr>
              <w:t>/</w:t>
            </w:r>
          </w:p>
        </w:tc>
        <w:tc>
          <w:tcPr>
            <w:tcW w:w="804" w:type="dxa"/>
            <w:tcBorders>
              <w:right w:val="single" w:sz="4" w:space="0" w:color="auto"/>
            </w:tcBorders>
            <w:vAlign w:val="center"/>
          </w:tcPr>
          <w:p w:rsidR="00475650" w:rsidRDefault="00475650">
            <w:pPr>
              <w:widowControl/>
              <w:jc w:val="center"/>
              <w:rPr>
                <w:kern w:val="0"/>
                <w:szCs w:val="21"/>
                <w:u w:val="single"/>
              </w:rPr>
            </w:pPr>
            <w:r>
              <w:rPr>
                <w:kern w:val="0"/>
                <w:szCs w:val="21"/>
                <w:u w:val="single"/>
              </w:rPr>
              <w:t>/</w:t>
            </w:r>
          </w:p>
        </w:tc>
        <w:tc>
          <w:tcPr>
            <w:tcW w:w="1072"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10</w:t>
            </w:r>
          </w:p>
        </w:tc>
        <w:tc>
          <w:tcPr>
            <w:tcW w:w="856"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w:t>
            </w:r>
          </w:p>
        </w:tc>
        <w:tc>
          <w:tcPr>
            <w:tcW w:w="1135" w:type="dxa"/>
            <w:tcBorders>
              <w:right w:val="single" w:sz="4" w:space="0" w:color="auto"/>
            </w:tcBorders>
            <w:vAlign w:val="center"/>
          </w:tcPr>
          <w:p w:rsidR="00475650" w:rsidRDefault="00475650">
            <w:pPr>
              <w:jc w:val="center"/>
              <w:rPr>
                <w:kern w:val="0"/>
                <w:szCs w:val="21"/>
                <w:u w:val="single"/>
              </w:rPr>
            </w:pPr>
            <w:r>
              <w:rPr>
                <w:rFonts w:hint="eastAsia"/>
                <w:kern w:val="0"/>
                <w:szCs w:val="21"/>
                <w:u w:val="single"/>
              </w:rPr>
              <w:t>10</w:t>
            </w:r>
          </w:p>
        </w:tc>
        <w:tc>
          <w:tcPr>
            <w:tcW w:w="992" w:type="dxa"/>
            <w:tcBorders>
              <w:right w:val="single" w:sz="4" w:space="0" w:color="auto"/>
            </w:tcBorders>
            <w:vAlign w:val="center"/>
          </w:tcPr>
          <w:p w:rsidR="00475650" w:rsidRDefault="00475650">
            <w:pPr>
              <w:jc w:val="center"/>
              <w:rPr>
                <w:kern w:val="0"/>
                <w:szCs w:val="21"/>
                <w:u w:val="single"/>
              </w:rPr>
            </w:pPr>
            <w:r>
              <w:rPr>
                <w:rFonts w:hint="eastAsia"/>
                <w:kern w:val="0"/>
                <w:szCs w:val="21"/>
                <w:u w:val="single"/>
              </w:rPr>
              <w:t>40</w:t>
            </w:r>
          </w:p>
        </w:tc>
        <w:tc>
          <w:tcPr>
            <w:tcW w:w="1133" w:type="dxa"/>
            <w:tcBorders>
              <w:left w:val="single" w:sz="4" w:space="0" w:color="auto"/>
            </w:tcBorders>
            <w:vAlign w:val="center"/>
          </w:tcPr>
          <w:p w:rsidR="00475650" w:rsidRDefault="00475650">
            <w:pPr>
              <w:jc w:val="center"/>
              <w:rPr>
                <w:kern w:val="0"/>
                <w:szCs w:val="21"/>
                <w:u w:val="single"/>
              </w:rPr>
            </w:pPr>
            <w:r>
              <w:rPr>
                <w:rFonts w:hint="eastAsia"/>
                <w:kern w:val="0"/>
                <w:szCs w:val="21"/>
                <w:u w:val="single"/>
              </w:rPr>
              <w:t>/</w:t>
            </w:r>
          </w:p>
        </w:tc>
      </w:tr>
      <w:tr w:rsidR="00475650">
        <w:trPr>
          <w:trHeight w:val="340"/>
        </w:trPr>
        <w:tc>
          <w:tcPr>
            <w:tcW w:w="1175" w:type="dxa"/>
            <w:vMerge w:val="restart"/>
            <w:vAlign w:val="center"/>
          </w:tcPr>
          <w:p w:rsidR="00475650" w:rsidRDefault="00475650">
            <w:pPr>
              <w:widowControl/>
              <w:jc w:val="center"/>
              <w:rPr>
                <w:kern w:val="0"/>
                <w:szCs w:val="21"/>
                <w:u w:val="single"/>
              </w:rPr>
            </w:pPr>
            <w:r>
              <w:rPr>
                <w:rFonts w:hAnsi="宋体"/>
                <w:kern w:val="0"/>
                <w:szCs w:val="21"/>
                <w:u w:val="single"/>
              </w:rPr>
              <w:t>二次沉淀设备</w:t>
            </w:r>
          </w:p>
        </w:tc>
        <w:tc>
          <w:tcPr>
            <w:tcW w:w="1078" w:type="dxa"/>
            <w:vAlign w:val="center"/>
          </w:tcPr>
          <w:p w:rsidR="00475650" w:rsidRDefault="00475650">
            <w:pPr>
              <w:widowControl/>
              <w:jc w:val="center"/>
              <w:rPr>
                <w:kern w:val="0"/>
                <w:szCs w:val="21"/>
                <w:u w:val="single"/>
              </w:rPr>
            </w:pPr>
            <w:r>
              <w:rPr>
                <w:rFonts w:hAnsi="宋体"/>
                <w:kern w:val="0"/>
                <w:szCs w:val="21"/>
                <w:u w:val="single"/>
              </w:rPr>
              <w:t>出水</w:t>
            </w:r>
          </w:p>
        </w:tc>
        <w:tc>
          <w:tcPr>
            <w:tcW w:w="936" w:type="dxa"/>
            <w:vAlign w:val="center"/>
          </w:tcPr>
          <w:p w:rsidR="00475650" w:rsidRDefault="00475650">
            <w:pPr>
              <w:widowControl/>
              <w:jc w:val="center"/>
              <w:rPr>
                <w:kern w:val="0"/>
                <w:szCs w:val="21"/>
                <w:u w:val="single"/>
              </w:rPr>
            </w:pPr>
            <w:r>
              <w:rPr>
                <w:kern w:val="0"/>
                <w:szCs w:val="21"/>
                <w:u w:val="single"/>
              </w:rPr>
              <w:t>6-9</w:t>
            </w:r>
          </w:p>
        </w:tc>
        <w:tc>
          <w:tcPr>
            <w:tcW w:w="804"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0.08</w:t>
            </w:r>
            <w:r>
              <w:rPr>
                <w:kern w:val="0"/>
                <w:szCs w:val="21"/>
                <w:u w:val="single"/>
              </w:rPr>
              <w:t>%</w:t>
            </w:r>
          </w:p>
        </w:tc>
        <w:tc>
          <w:tcPr>
            <w:tcW w:w="1072"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1556</w:t>
            </w:r>
          </w:p>
        </w:tc>
        <w:tc>
          <w:tcPr>
            <w:tcW w:w="856"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78</w:t>
            </w:r>
          </w:p>
        </w:tc>
        <w:tc>
          <w:tcPr>
            <w:tcW w:w="1135"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3240</w:t>
            </w:r>
          </w:p>
        </w:tc>
        <w:tc>
          <w:tcPr>
            <w:tcW w:w="992"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63</w:t>
            </w:r>
          </w:p>
        </w:tc>
        <w:tc>
          <w:tcPr>
            <w:tcW w:w="1133"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38</w:t>
            </w:r>
          </w:p>
        </w:tc>
      </w:tr>
      <w:tr w:rsidR="00475650">
        <w:trPr>
          <w:trHeight w:val="340"/>
        </w:trPr>
        <w:tc>
          <w:tcPr>
            <w:tcW w:w="1175" w:type="dxa"/>
            <w:vMerge/>
            <w:vAlign w:val="center"/>
          </w:tcPr>
          <w:p w:rsidR="00475650" w:rsidRDefault="00475650">
            <w:pPr>
              <w:widowControl/>
              <w:jc w:val="center"/>
              <w:rPr>
                <w:kern w:val="0"/>
                <w:szCs w:val="21"/>
                <w:u w:val="single"/>
              </w:rPr>
            </w:pPr>
          </w:p>
        </w:tc>
        <w:tc>
          <w:tcPr>
            <w:tcW w:w="1078" w:type="dxa"/>
            <w:vAlign w:val="center"/>
          </w:tcPr>
          <w:p w:rsidR="00475650" w:rsidRDefault="00475650">
            <w:pPr>
              <w:widowControl/>
              <w:jc w:val="center"/>
              <w:rPr>
                <w:kern w:val="0"/>
                <w:szCs w:val="21"/>
                <w:u w:val="single"/>
              </w:rPr>
            </w:pPr>
            <w:r>
              <w:rPr>
                <w:rFonts w:hAnsi="宋体"/>
                <w:kern w:val="0"/>
                <w:szCs w:val="21"/>
                <w:u w:val="single"/>
              </w:rPr>
              <w:t>去除率</w:t>
            </w:r>
            <w:r>
              <w:rPr>
                <w:kern w:val="0"/>
                <w:szCs w:val="21"/>
                <w:u w:val="single"/>
              </w:rPr>
              <w:t>%</w:t>
            </w:r>
          </w:p>
        </w:tc>
        <w:tc>
          <w:tcPr>
            <w:tcW w:w="936" w:type="dxa"/>
            <w:vAlign w:val="center"/>
          </w:tcPr>
          <w:p w:rsidR="00475650" w:rsidRDefault="00475650">
            <w:pPr>
              <w:widowControl/>
              <w:jc w:val="center"/>
              <w:rPr>
                <w:kern w:val="0"/>
                <w:szCs w:val="21"/>
                <w:u w:val="single"/>
              </w:rPr>
            </w:pPr>
            <w:r>
              <w:rPr>
                <w:kern w:val="0"/>
                <w:szCs w:val="21"/>
                <w:u w:val="single"/>
              </w:rPr>
              <w:t>/</w:t>
            </w:r>
          </w:p>
        </w:tc>
        <w:tc>
          <w:tcPr>
            <w:tcW w:w="804" w:type="dxa"/>
            <w:tcBorders>
              <w:right w:val="single" w:sz="4" w:space="0" w:color="auto"/>
            </w:tcBorders>
            <w:vAlign w:val="center"/>
          </w:tcPr>
          <w:p w:rsidR="00475650" w:rsidRDefault="00475650">
            <w:pPr>
              <w:widowControl/>
              <w:jc w:val="center"/>
              <w:rPr>
                <w:kern w:val="0"/>
                <w:szCs w:val="21"/>
                <w:u w:val="single"/>
              </w:rPr>
            </w:pPr>
            <w:r>
              <w:rPr>
                <w:kern w:val="0"/>
                <w:szCs w:val="21"/>
                <w:u w:val="single"/>
              </w:rPr>
              <w:t>/</w:t>
            </w:r>
          </w:p>
        </w:tc>
        <w:tc>
          <w:tcPr>
            <w:tcW w:w="1072" w:type="dxa"/>
            <w:tcBorders>
              <w:left w:val="single" w:sz="4" w:space="0" w:color="auto"/>
            </w:tcBorders>
            <w:vAlign w:val="center"/>
          </w:tcPr>
          <w:p w:rsidR="00475650" w:rsidRDefault="00475650">
            <w:pPr>
              <w:widowControl/>
              <w:jc w:val="center"/>
              <w:rPr>
                <w:kern w:val="0"/>
                <w:szCs w:val="21"/>
                <w:u w:val="single"/>
              </w:rPr>
            </w:pPr>
            <w:r>
              <w:rPr>
                <w:kern w:val="0"/>
                <w:szCs w:val="21"/>
                <w:u w:val="single"/>
              </w:rPr>
              <w:t>20</w:t>
            </w:r>
          </w:p>
        </w:tc>
        <w:tc>
          <w:tcPr>
            <w:tcW w:w="856"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w:t>
            </w:r>
          </w:p>
        </w:tc>
        <w:tc>
          <w:tcPr>
            <w:tcW w:w="1135" w:type="dxa"/>
            <w:tcBorders>
              <w:right w:val="single" w:sz="4" w:space="0" w:color="auto"/>
            </w:tcBorders>
            <w:vAlign w:val="center"/>
          </w:tcPr>
          <w:p w:rsidR="00475650" w:rsidRDefault="00475650">
            <w:pPr>
              <w:jc w:val="center"/>
              <w:rPr>
                <w:kern w:val="0"/>
                <w:szCs w:val="21"/>
                <w:u w:val="single"/>
              </w:rPr>
            </w:pPr>
            <w:r>
              <w:rPr>
                <w:rFonts w:hint="eastAsia"/>
                <w:kern w:val="0"/>
                <w:szCs w:val="21"/>
                <w:u w:val="single"/>
              </w:rPr>
              <w:t>10</w:t>
            </w:r>
          </w:p>
        </w:tc>
        <w:tc>
          <w:tcPr>
            <w:tcW w:w="992" w:type="dxa"/>
            <w:tcBorders>
              <w:right w:val="single" w:sz="4" w:space="0" w:color="auto"/>
            </w:tcBorders>
            <w:vAlign w:val="center"/>
          </w:tcPr>
          <w:p w:rsidR="00475650" w:rsidRDefault="00475650">
            <w:pPr>
              <w:jc w:val="center"/>
              <w:rPr>
                <w:kern w:val="0"/>
                <w:szCs w:val="21"/>
                <w:u w:val="single"/>
              </w:rPr>
            </w:pPr>
            <w:r>
              <w:rPr>
                <w:rFonts w:hint="eastAsia"/>
                <w:kern w:val="0"/>
                <w:szCs w:val="21"/>
                <w:u w:val="single"/>
              </w:rPr>
              <w:t>30</w:t>
            </w:r>
          </w:p>
        </w:tc>
        <w:tc>
          <w:tcPr>
            <w:tcW w:w="1133" w:type="dxa"/>
            <w:tcBorders>
              <w:left w:val="single" w:sz="4" w:space="0" w:color="auto"/>
            </w:tcBorders>
            <w:vAlign w:val="center"/>
          </w:tcPr>
          <w:p w:rsidR="00475650" w:rsidRDefault="00475650">
            <w:pPr>
              <w:jc w:val="center"/>
              <w:rPr>
                <w:kern w:val="0"/>
                <w:szCs w:val="21"/>
                <w:u w:val="single"/>
              </w:rPr>
            </w:pPr>
            <w:r>
              <w:rPr>
                <w:rFonts w:hint="eastAsia"/>
                <w:kern w:val="0"/>
                <w:szCs w:val="21"/>
                <w:u w:val="single"/>
              </w:rPr>
              <w:t>/</w:t>
            </w:r>
          </w:p>
        </w:tc>
      </w:tr>
      <w:tr w:rsidR="00475650">
        <w:trPr>
          <w:trHeight w:val="340"/>
        </w:trPr>
        <w:tc>
          <w:tcPr>
            <w:tcW w:w="1175" w:type="dxa"/>
            <w:vMerge w:val="restart"/>
            <w:vAlign w:val="center"/>
          </w:tcPr>
          <w:p w:rsidR="00475650" w:rsidRDefault="00475650">
            <w:pPr>
              <w:widowControl/>
              <w:jc w:val="center"/>
              <w:rPr>
                <w:kern w:val="0"/>
                <w:szCs w:val="21"/>
                <w:u w:val="single"/>
              </w:rPr>
            </w:pPr>
            <w:r>
              <w:rPr>
                <w:rFonts w:hAnsi="宋体"/>
                <w:kern w:val="0"/>
                <w:szCs w:val="21"/>
                <w:u w:val="single"/>
              </w:rPr>
              <w:t>提升池</w:t>
            </w:r>
          </w:p>
        </w:tc>
        <w:tc>
          <w:tcPr>
            <w:tcW w:w="1078" w:type="dxa"/>
            <w:vAlign w:val="center"/>
          </w:tcPr>
          <w:p w:rsidR="00475650" w:rsidRDefault="00475650">
            <w:pPr>
              <w:widowControl/>
              <w:jc w:val="center"/>
              <w:rPr>
                <w:kern w:val="0"/>
                <w:szCs w:val="21"/>
                <w:u w:val="single"/>
              </w:rPr>
            </w:pPr>
            <w:r>
              <w:rPr>
                <w:rFonts w:hAnsi="宋体"/>
                <w:kern w:val="0"/>
                <w:szCs w:val="21"/>
                <w:u w:val="single"/>
              </w:rPr>
              <w:t>出水</w:t>
            </w:r>
          </w:p>
        </w:tc>
        <w:tc>
          <w:tcPr>
            <w:tcW w:w="936" w:type="dxa"/>
            <w:vAlign w:val="center"/>
          </w:tcPr>
          <w:p w:rsidR="00475650" w:rsidRDefault="00475650">
            <w:pPr>
              <w:widowControl/>
              <w:jc w:val="center"/>
              <w:rPr>
                <w:kern w:val="0"/>
                <w:szCs w:val="21"/>
                <w:u w:val="single"/>
              </w:rPr>
            </w:pPr>
            <w:r>
              <w:rPr>
                <w:kern w:val="0"/>
                <w:szCs w:val="21"/>
                <w:u w:val="single"/>
              </w:rPr>
              <w:t>6-9</w:t>
            </w:r>
          </w:p>
        </w:tc>
        <w:tc>
          <w:tcPr>
            <w:tcW w:w="804"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0.08</w:t>
            </w:r>
            <w:r>
              <w:rPr>
                <w:kern w:val="0"/>
                <w:szCs w:val="21"/>
                <w:u w:val="single"/>
              </w:rPr>
              <w:t>%</w:t>
            </w:r>
          </w:p>
        </w:tc>
        <w:tc>
          <w:tcPr>
            <w:tcW w:w="1072"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1556</w:t>
            </w:r>
          </w:p>
        </w:tc>
        <w:tc>
          <w:tcPr>
            <w:tcW w:w="856"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78</w:t>
            </w:r>
          </w:p>
        </w:tc>
        <w:tc>
          <w:tcPr>
            <w:tcW w:w="1135"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3240</w:t>
            </w:r>
          </w:p>
        </w:tc>
        <w:tc>
          <w:tcPr>
            <w:tcW w:w="992"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63</w:t>
            </w:r>
          </w:p>
        </w:tc>
        <w:tc>
          <w:tcPr>
            <w:tcW w:w="1133"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38</w:t>
            </w:r>
          </w:p>
        </w:tc>
      </w:tr>
      <w:tr w:rsidR="00475650">
        <w:trPr>
          <w:trHeight w:val="340"/>
        </w:trPr>
        <w:tc>
          <w:tcPr>
            <w:tcW w:w="1175" w:type="dxa"/>
            <w:vMerge/>
            <w:vAlign w:val="center"/>
          </w:tcPr>
          <w:p w:rsidR="00475650" w:rsidRDefault="00475650">
            <w:pPr>
              <w:widowControl/>
              <w:jc w:val="center"/>
              <w:rPr>
                <w:kern w:val="0"/>
                <w:szCs w:val="21"/>
                <w:u w:val="single"/>
              </w:rPr>
            </w:pPr>
          </w:p>
        </w:tc>
        <w:tc>
          <w:tcPr>
            <w:tcW w:w="1078" w:type="dxa"/>
            <w:vAlign w:val="center"/>
          </w:tcPr>
          <w:p w:rsidR="00475650" w:rsidRDefault="00475650">
            <w:pPr>
              <w:widowControl/>
              <w:jc w:val="center"/>
              <w:rPr>
                <w:kern w:val="0"/>
                <w:szCs w:val="21"/>
                <w:u w:val="single"/>
              </w:rPr>
            </w:pPr>
            <w:r>
              <w:rPr>
                <w:rFonts w:hAnsi="宋体"/>
                <w:kern w:val="0"/>
                <w:szCs w:val="21"/>
                <w:u w:val="single"/>
              </w:rPr>
              <w:t>去除率</w:t>
            </w:r>
            <w:r>
              <w:rPr>
                <w:kern w:val="0"/>
                <w:szCs w:val="21"/>
                <w:u w:val="single"/>
              </w:rPr>
              <w:t>%</w:t>
            </w:r>
          </w:p>
        </w:tc>
        <w:tc>
          <w:tcPr>
            <w:tcW w:w="936" w:type="dxa"/>
            <w:vAlign w:val="center"/>
          </w:tcPr>
          <w:p w:rsidR="00475650" w:rsidRDefault="00475650">
            <w:pPr>
              <w:widowControl/>
              <w:jc w:val="center"/>
              <w:rPr>
                <w:kern w:val="0"/>
                <w:szCs w:val="21"/>
                <w:u w:val="single"/>
              </w:rPr>
            </w:pPr>
            <w:r>
              <w:rPr>
                <w:kern w:val="0"/>
                <w:szCs w:val="21"/>
                <w:u w:val="single"/>
              </w:rPr>
              <w:t>/</w:t>
            </w:r>
          </w:p>
        </w:tc>
        <w:tc>
          <w:tcPr>
            <w:tcW w:w="804" w:type="dxa"/>
            <w:tcBorders>
              <w:right w:val="single" w:sz="4" w:space="0" w:color="auto"/>
            </w:tcBorders>
            <w:vAlign w:val="center"/>
          </w:tcPr>
          <w:p w:rsidR="00475650" w:rsidRDefault="00475650">
            <w:pPr>
              <w:widowControl/>
              <w:jc w:val="center"/>
              <w:rPr>
                <w:kern w:val="0"/>
                <w:szCs w:val="21"/>
                <w:u w:val="single"/>
              </w:rPr>
            </w:pPr>
            <w:r>
              <w:rPr>
                <w:kern w:val="0"/>
                <w:szCs w:val="21"/>
                <w:u w:val="single"/>
              </w:rPr>
              <w:t>/</w:t>
            </w:r>
          </w:p>
        </w:tc>
        <w:tc>
          <w:tcPr>
            <w:tcW w:w="1072"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w:t>
            </w:r>
          </w:p>
        </w:tc>
        <w:tc>
          <w:tcPr>
            <w:tcW w:w="856"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w:t>
            </w:r>
          </w:p>
        </w:tc>
        <w:tc>
          <w:tcPr>
            <w:tcW w:w="1135" w:type="dxa"/>
            <w:tcBorders>
              <w:right w:val="single" w:sz="4" w:space="0" w:color="auto"/>
            </w:tcBorders>
            <w:vAlign w:val="center"/>
          </w:tcPr>
          <w:p w:rsidR="00475650" w:rsidRDefault="00475650">
            <w:pPr>
              <w:jc w:val="center"/>
              <w:rPr>
                <w:kern w:val="0"/>
                <w:szCs w:val="21"/>
                <w:u w:val="single"/>
              </w:rPr>
            </w:pPr>
            <w:r>
              <w:rPr>
                <w:rFonts w:hint="eastAsia"/>
                <w:kern w:val="0"/>
                <w:szCs w:val="21"/>
                <w:u w:val="single"/>
              </w:rPr>
              <w:t>/</w:t>
            </w:r>
          </w:p>
        </w:tc>
        <w:tc>
          <w:tcPr>
            <w:tcW w:w="992" w:type="dxa"/>
            <w:tcBorders>
              <w:right w:val="single" w:sz="4" w:space="0" w:color="auto"/>
            </w:tcBorders>
            <w:vAlign w:val="center"/>
          </w:tcPr>
          <w:p w:rsidR="00475650" w:rsidRDefault="00475650">
            <w:pPr>
              <w:jc w:val="center"/>
              <w:rPr>
                <w:kern w:val="0"/>
                <w:szCs w:val="21"/>
                <w:u w:val="single"/>
              </w:rPr>
            </w:pPr>
            <w:r>
              <w:rPr>
                <w:rFonts w:hint="eastAsia"/>
                <w:kern w:val="0"/>
                <w:szCs w:val="21"/>
                <w:u w:val="single"/>
              </w:rPr>
              <w:t>/</w:t>
            </w:r>
          </w:p>
        </w:tc>
        <w:tc>
          <w:tcPr>
            <w:tcW w:w="1133" w:type="dxa"/>
            <w:tcBorders>
              <w:left w:val="single" w:sz="4" w:space="0" w:color="auto"/>
            </w:tcBorders>
            <w:vAlign w:val="center"/>
          </w:tcPr>
          <w:p w:rsidR="00475650" w:rsidRDefault="00475650">
            <w:pPr>
              <w:jc w:val="center"/>
              <w:rPr>
                <w:kern w:val="0"/>
                <w:szCs w:val="21"/>
                <w:u w:val="single"/>
              </w:rPr>
            </w:pPr>
            <w:r>
              <w:rPr>
                <w:rFonts w:hint="eastAsia"/>
                <w:kern w:val="0"/>
                <w:szCs w:val="21"/>
                <w:u w:val="single"/>
              </w:rPr>
              <w:t>/</w:t>
            </w:r>
          </w:p>
        </w:tc>
      </w:tr>
      <w:tr w:rsidR="00475650">
        <w:trPr>
          <w:trHeight w:val="340"/>
        </w:trPr>
        <w:tc>
          <w:tcPr>
            <w:tcW w:w="1175" w:type="dxa"/>
            <w:vMerge w:val="restart"/>
            <w:vAlign w:val="center"/>
          </w:tcPr>
          <w:p w:rsidR="00475650" w:rsidRDefault="00475650">
            <w:pPr>
              <w:widowControl/>
              <w:jc w:val="center"/>
              <w:rPr>
                <w:kern w:val="0"/>
                <w:szCs w:val="21"/>
                <w:u w:val="single"/>
              </w:rPr>
            </w:pPr>
            <w:r>
              <w:rPr>
                <w:rFonts w:hAnsi="宋体"/>
                <w:kern w:val="0"/>
                <w:szCs w:val="21"/>
                <w:u w:val="single"/>
              </w:rPr>
              <w:t>高效厌氧设备</w:t>
            </w:r>
          </w:p>
        </w:tc>
        <w:tc>
          <w:tcPr>
            <w:tcW w:w="1078" w:type="dxa"/>
            <w:vAlign w:val="center"/>
          </w:tcPr>
          <w:p w:rsidR="00475650" w:rsidRDefault="00475650">
            <w:pPr>
              <w:widowControl/>
              <w:jc w:val="center"/>
              <w:rPr>
                <w:kern w:val="0"/>
                <w:szCs w:val="21"/>
                <w:u w:val="single"/>
              </w:rPr>
            </w:pPr>
            <w:r>
              <w:rPr>
                <w:rFonts w:hAnsi="宋体"/>
                <w:kern w:val="0"/>
                <w:szCs w:val="21"/>
                <w:u w:val="single"/>
              </w:rPr>
              <w:t>出水</w:t>
            </w:r>
          </w:p>
        </w:tc>
        <w:tc>
          <w:tcPr>
            <w:tcW w:w="936" w:type="dxa"/>
            <w:vAlign w:val="center"/>
          </w:tcPr>
          <w:p w:rsidR="00475650" w:rsidRDefault="00475650">
            <w:pPr>
              <w:widowControl/>
              <w:jc w:val="center"/>
              <w:rPr>
                <w:kern w:val="0"/>
                <w:szCs w:val="21"/>
                <w:u w:val="single"/>
              </w:rPr>
            </w:pPr>
            <w:r>
              <w:rPr>
                <w:kern w:val="0"/>
                <w:szCs w:val="21"/>
                <w:u w:val="single"/>
              </w:rPr>
              <w:t>6-9</w:t>
            </w:r>
          </w:p>
        </w:tc>
        <w:tc>
          <w:tcPr>
            <w:tcW w:w="804"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0.08</w:t>
            </w:r>
            <w:r>
              <w:rPr>
                <w:kern w:val="0"/>
                <w:szCs w:val="21"/>
                <w:u w:val="single"/>
              </w:rPr>
              <w:t>%</w:t>
            </w:r>
          </w:p>
        </w:tc>
        <w:tc>
          <w:tcPr>
            <w:tcW w:w="1072"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622</w:t>
            </w:r>
          </w:p>
        </w:tc>
        <w:tc>
          <w:tcPr>
            <w:tcW w:w="856"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47</w:t>
            </w:r>
          </w:p>
        </w:tc>
        <w:tc>
          <w:tcPr>
            <w:tcW w:w="1135"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1620</w:t>
            </w:r>
          </w:p>
        </w:tc>
        <w:tc>
          <w:tcPr>
            <w:tcW w:w="992"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32</w:t>
            </w:r>
          </w:p>
        </w:tc>
        <w:tc>
          <w:tcPr>
            <w:tcW w:w="1133"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27</w:t>
            </w:r>
          </w:p>
        </w:tc>
      </w:tr>
      <w:tr w:rsidR="00475650">
        <w:trPr>
          <w:trHeight w:val="340"/>
        </w:trPr>
        <w:tc>
          <w:tcPr>
            <w:tcW w:w="1175" w:type="dxa"/>
            <w:vMerge/>
            <w:vAlign w:val="center"/>
          </w:tcPr>
          <w:p w:rsidR="00475650" w:rsidRDefault="00475650">
            <w:pPr>
              <w:widowControl/>
              <w:jc w:val="center"/>
              <w:rPr>
                <w:kern w:val="0"/>
                <w:szCs w:val="21"/>
                <w:u w:val="single"/>
              </w:rPr>
            </w:pPr>
          </w:p>
        </w:tc>
        <w:tc>
          <w:tcPr>
            <w:tcW w:w="1078" w:type="dxa"/>
            <w:vAlign w:val="center"/>
          </w:tcPr>
          <w:p w:rsidR="00475650" w:rsidRDefault="00475650">
            <w:pPr>
              <w:widowControl/>
              <w:jc w:val="center"/>
              <w:rPr>
                <w:kern w:val="0"/>
                <w:szCs w:val="21"/>
                <w:u w:val="single"/>
              </w:rPr>
            </w:pPr>
            <w:r>
              <w:rPr>
                <w:rFonts w:hAnsi="宋体"/>
                <w:kern w:val="0"/>
                <w:szCs w:val="21"/>
                <w:u w:val="single"/>
              </w:rPr>
              <w:t>去除率</w:t>
            </w:r>
            <w:r>
              <w:rPr>
                <w:kern w:val="0"/>
                <w:szCs w:val="21"/>
                <w:u w:val="single"/>
              </w:rPr>
              <w:t>%</w:t>
            </w:r>
          </w:p>
        </w:tc>
        <w:tc>
          <w:tcPr>
            <w:tcW w:w="936" w:type="dxa"/>
            <w:vAlign w:val="center"/>
          </w:tcPr>
          <w:p w:rsidR="00475650" w:rsidRDefault="00475650">
            <w:pPr>
              <w:widowControl/>
              <w:jc w:val="center"/>
              <w:rPr>
                <w:kern w:val="0"/>
                <w:szCs w:val="21"/>
                <w:u w:val="single"/>
              </w:rPr>
            </w:pPr>
            <w:r>
              <w:rPr>
                <w:kern w:val="0"/>
                <w:szCs w:val="21"/>
                <w:u w:val="single"/>
              </w:rPr>
              <w:t>/</w:t>
            </w:r>
          </w:p>
        </w:tc>
        <w:tc>
          <w:tcPr>
            <w:tcW w:w="804" w:type="dxa"/>
            <w:tcBorders>
              <w:right w:val="single" w:sz="4" w:space="0" w:color="auto"/>
            </w:tcBorders>
            <w:vAlign w:val="center"/>
          </w:tcPr>
          <w:p w:rsidR="00475650" w:rsidRDefault="00475650">
            <w:pPr>
              <w:widowControl/>
              <w:jc w:val="center"/>
              <w:rPr>
                <w:kern w:val="0"/>
                <w:szCs w:val="21"/>
                <w:u w:val="single"/>
              </w:rPr>
            </w:pPr>
            <w:r>
              <w:rPr>
                <w:kern w:val="0"/>
                <w:szCs w:val="21"/>
                <w:u w:val="single"/>
              </w:rPr>
              <w:t>/</w:t>
            </w:r>
          </w:p>
        </w:tc>
        <w:tc>
          <w:tcPr>
            <w:tcW w:w="1072"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60</w:t>
            </w:r>
          </w:p>
        </w:tc>
        <w:tc>
          <w:tcPr>
            <w:tcW w:w="856"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40</w:t>
            </w:r>
          </w:p>
        </w:tc>
        <w:tc>
          <w:tcPr>
            <w:tcW w:w="1135" w:type="dxa"/>
            <w:tcBorders>
              <w:right w:val="single" w:sz="4" w:space="0" w:color="auto"/>
            </w:tcBorders>
            <w:vAlign w:val="center"/>
          </w:tcPr>
          <w:p w:rsidR="00475650" w:rsidRDefault="00475650">
            <w:pPr>
              <w:jc w:val="center"/>
              <w:rPr>
                <w:kern w:val="0"/>
                <w:szCs w:val="21"/>
                <w:u w:val="single"/>
              </w:rPr>
            </w:pPr>
            <w:r>
              <w:rPr>
                <w:rFonts w:hint="eastAsia"/>
                <w:kern w:val="0"/>
                <w:szCs w:val="21"/>
                <w:u w:val="single"/>
              </w:rPr>
              <w:t>50</w:t>
            </w:r>
          </w:p>
        </w:tc>
        <w:tc>
          <w:tcPr>
            <w:tcW w:w="992" w:type="dxa"/>
            <w:tcBorders>
              <w:right w:val="single" w:sz="4" w:space="0" w:color="auto"/>
            </w:tcBorders>
            <w:vAlign w:val="center"/>
          </w:tcPr>
          <w:p w:rsidR="00475650" w:rsidRDefault="00475650">
            <w:pPr>
              <w:jc w:val="center"/>
              <w:rPr>
                <w:kern w:val="0"/>
                <w:szCs w:val="21"/>
                <w:u w:val="single"/>
              </w:rPr>
            </w:pPr>
            <w:r>
              <w:rPr>
                <w:rFonts w:hint="eastAsia"/>
                <w:kern w:val="0"/>
                <w:szCs w:val="21"/>
                <w:u w:val="single"/>
              </w:rPr>
              <w:t>50</w:t>
            </w:r>
          </w:p>
        </w:tc>
        <w:tc>
          <w:tcPr>
            <w:tcW w:w="1133" w:type="dxa"/>
            <w:tcBorders>
              <w:left w:val="single" w:sz="4" w:space="0" w:color="auto"/>
            </w:tcBorders>
            <w:vAlign w:val="center"/>
          </w:tcPr>
          <w:p w:rsidR="00475650" w:rsidRDefault="00475650">
            <w:pPr>
              <w:jc w:val="center"/>
              <w:rPr>
                <w:kern w:val="0"/>
                <w:szCs w:val="21"/>
                <w:u w:val="single"/>
              </w:rPr>
            </w:pPr>
            <w:r>
              <w:rPr>
                <w:rFonts w:hint="eastAsia"/>
                <w:kern w:val="0"/>
                <w:szCs w:val="21"/>
                <w:u w:val="single"/>
              </w:rPr>
              <w:t>30</w:t>
            </w:r>
          </w:p>
        </w:tc>
      </w:tr>
      <w:tr w:rsidR="00475650">
        <w:trPr>
          <w:trHeight w:val="340"/>
        </w:trPr>
        <w:tc>
          <w:tcPr>
            <w:tcW w:w="1175" w:type="dxa"/>
            <w:vMerge w:val="restart"/>
            <w:vAlign w:val="center"/>
          </w:tcPr>
          <w:p w:rsidR="00475650" w:rsidRDefault="00475650">
            <w:pPr>
              <w:widowControl/>
              <w:jc w:val="center"/>
              <w:rPr>
                <w:kern w:val="0"/>
                <w:szCs w:val="21"/>
                <w:u w:val="single"/>
              </w:rPr>
            </w:pPr>
            <w:r>
              <w:rPr>
                <w:rFonts w:hAnsi="宋体"/>
                <w:kern w:val="0"/>
                <w:szCs w:val="21"/>
                <w:u w:val="single"/>
              </w:rPr>
              <w:t>塔式生物滤池</w:t>
            </w:r>
          </w:p>
        </w:tc>
        <w:tc>
          <w:tcPr>
            <w:tcW w:w="1078" w:type="dxa"/>
            <w:vAlign w:val="center"/>
          </w:tcPr>
          <w:p w:rsidR="00475650" w:rsidRDefault="00475650">
            <w:pPr>
              <w:widowControl/>
              <w:jc w:val="center"/>
              <w:rPr>
                <w:kern w:val="0"/>
                <w:szCs w:val="21"/>
                <w:u w:val="single"/>
              </w:rPr>
            </w:pPr>
            <w:r>
              <w:rPr>
                <w:rFonts w:hAnsi="宋体"/>
                <w:kern w:val="0"/>
                <w:szCs w:val="21"/>
                <w:u w:val="single"/>
              </w:rPr>
              <w:t>出水</w:t>
            </w:r>
          </w:p>
        </w:tc>
        <w:tc>
          <w:tcPr>
            <w:tcW w:w="936" w:type="dxa"/>
            <w:vAlign w:val="center"/>
          </w:tcPr>
          <w:p w:rsidR="00475650" w:rsidRDefault="00475650">
            <w:pPr>
              <w:widowControl/>
              <w:jc w:val="center"/>
              <w:rPr>
                <w:kern w:val="0"/>
                <w:szCs w:val="21"/>
                <w:u w:val="single"/>
              </w:rPr>
            </w:pPr>
            <w:r>
              <w:rPr>
                <w:kern w:val="0"/>
                <w:szCs w:val="21"/>
                <w:u w:val="single"/>
              </w:rPr>
              <w:t>6-9</w:t>
            </w:r>
          </w:p>
        </w:tc>
        <w:tc>
          <w:tcPr>
            <w:tcW w:w="804"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0.08</w:t>
            </w:r>
            <w:r>
              <w:rPr>
                <w:kern w:val="0"/>
                <w:szCs w:val="21"/>
                <w:u w:val="single"/>
              </w:rPr>
              <w:t>%</w:t>
            </w:r>
          </w:p>
        </w:tc>
        <w:tc>
          <w:tcPr>
            <w:tcW w:w="1072"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374</w:t>
            </w:r>
          </w:p>
        </w:tc>
        <w:tc>
          <w:tcPr>
            <w:tcW w:w="856"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28.2</w:t>
            </w:r>
          </w:p>
        </w:tc>
        <w:tc>
          <w:tcPr>
            <w:tcW w:w="1135"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1300</w:t>
            </w:r>
          </w:p>
        </w:tc>
        <w:tc>
          <w:tcPr>
            <w:tcW w:w="992"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26</w:t>
            </w:r>
          </w:p>
        </w:tc>
        <w:tc>
          <w:tcPr>
            <w:tcW w:w="1133"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19</w:t>
            </w:r>
          </w:p>
        </w:tc>
      </w:tr>
      <w:tr w:rsidR="00475650">
        <w:trPr>
          <w:trHeight w:val="340"/>
        </w:trPr>
        <w:tc>
          <w:tcPr>
            <w:tcW w:w="1175" w:type="dxa"/>
            <w:vMerge/>
            <w:vAlign w:val="center"/>
          </w:tcPr>
          <w:p w:rsidR="00475650" w:rsidRDefault="00475650">
            <w:pPr>
              <w:widowControl/>
              <w:jc w:val="center"/>
              <w:rPr>
                <w:kern w:val="0"/>
                <w:szCs w:val="21"/>
                <w:u w:val="single"/>
              </w:rPr>
            </w:pPr>
          </w:p>
        </w:tc>
        <w:tc>
          <w:tcPr>
            <w:tcW w:w="1078" w:type="dxa"/>
            <w:vAlign w:val="center"/>
          </w:tcPr>
          <w:p w:rsidR="00475650" w:rsidRDefault="00475650">
            <w:pPr>
              <w:widowControl/>
              <w:jc w:val="center"/>
              <w:rPr>
                <w:kern w:val="0"/>
                <w:szCs w:val="21"/>
                <w:u w:val="single"/>
              </w:rPr>
            </w:pPr>
            <w:r>
              <w:rPr>
                <w:rFonts w:hAnsi="宋体"/>
                <w:kern w:val="0"/>
                <w:szCs w:val="21"/>
                <w:u w:val="single"/>
              </w:rPr>
              <w:t>去除率</w:t>
            </w:r>
            <w:r>
              <w:rPr>
                <w:kern w:val="0"/>
                <w:szCs w:val="21"/>
                <w:u w:val="single"/>
              </w:rPr>
              <w:t>%</w:t>
            </w:r>
          </w:p>
        </w:tc>
        <w:tc>
          <w:tcPr>
            <w:tcW w:w="936" w:type="dxa"/>
            <w:vAlign w:val="center"/>
          </w:tcPr>
          <w:p w:rsidR="00475650" w:rsidRDefault="00475650">
            <w:pPr>
              <w:widowControl/>
              <w:jc w:val="center"/>
              <w:rPr>
                <w:kern w:val="0"/>
                <w:szCs w:val="21"/>
                <w:u w:val="single"/>
              </w:rPr>
            </w:pPr>
            <w:r>
              <w:rPr>
                <w:kern w:val="0"/>
                <w:szCs w:val="21"/>
                <w:u w:val="single"/>
              </w:rPr>
              <w:t>/</w:t>
            </w:r>
          </w:p>
        </w:tc>
        <w:tc>
          <w:tcPr>
            <w:tcW w:w="804" w:type="dxa"/>
            <w:tcBorders>
              <w:right w:val="single" w:sz="4" w:space="0" w:color="auto"/>
            </w:tcBorders>
            <w:vAlign w:val="center"/>
          </w:tcPr>
          <w:p w:rsidR="00475650" w:rsidRDefault="00475650">
            <w:pPr>
              <w:widowControl/>
              <w:jc w:val="center"/>
              <w:rPr>
                <w:kern w:val="0"/>
                <w:szCs w:val="21"/>
                <w:u w:val="single"/>
              </w:rPr>
            </w:pPr>
            <w:r>
              <w:rPr>
                <w:kern w:val="0"/>
                <w:szCs w:val="21"/>
                <w:u w:val="single"/>
              </w:rPr>
              <w:t>/</w:t>
            </w:r>
          </w:p>
        </w:tc>
        <w:tc>
          <w:tcPr>
            <w:tcW w:w="1072"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40</w:t>
            </w:r>
          </w:p>
        </w:tc>
        <w:tc>
          <w:tcPr>
            <w:tcW w:w="856"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40</w:t>
            </w:r>
          </w:p>
        </w:tc>
        <w:tc>
          <w:tcPr>
            <w:tcW w:w="1135" w:type="dxa"/>
            <w:tcBorders>
              <w:right w:val="single" w:sz="4" w:space="0" w:color="auto"/>
            </w:tcBorders>
            <w:vAlign w:val="center"/>
          </w:tcPr>
          <w:p w:rsidR="00475650" w:rsidRDefault="00475650">
            <w:pPr>
              <w:jc w:val="center"/>
              <w:rPr>
                <w:kern w:val="0"/>
                <w:szCs w:val="21"/>
                <w:u w:val="single"/>
              </w:rPr>
            </w:pPr>
            <w:r>
              <w:rPr>
                <w:rFonts w:hint="eastAsia"/>
                <w:kern w:val="0"/>
                <w:szCs w:val="21"/>
                <w:u w:val="single"/>
              </w:rPr>
              <w:t>20</w:t>
            </w:r>
          </w:p>
        </w:tc>
        <w:tc>
          <w:tcPr>
            <w:tcW w:w="992" w:type="dxa"/>
            <w:tcBorders>
              <w:right w:val="single" w:sz="4" w:space="0" w:color="auto"/>
            </w:tcBorders>
            <w:vAlign w:val="center"/>
          </w:tcPr>
          <w:p w:rsidR="00475650" w:rsidRDefault="00475650">
            <w:pPr>
              <w:jc w:val="center"/>
              <w:rPr>
                <w:kern w:val="0"/>
                <w:szCs w:val="21"/>
                <w:u w:val="single"/>
              </w:rPr>
            </w:pPr>
            <w:r>
              <w:rPr>
                <w:rFonts w:hint="eastAsia"/>
                <w:kern w:val="0"/>
                <w:szCs w:val="21"/>
                <w:u w:val="single"/>
              </w:rPr>
              <w:t>20</w:t>
            </w:r>
          </w:p>
        </w:tc>
        <w:tc>
          <w:tcPr>
            <w:tcW w:w="1133" w:type="dxa"/>
            <w:tcBorders>
              <w:left w:val="single" w:sz="4" w:space="0" w:color="auto"/>
            </w:tcBorders>
            <w:vAlign w:val="center"/>
          </w:tcPr>
          <w:p w:rsidR="00475650" w:rsidRDefault="00475650">
            <w:pPr>
              <w:jc w:val="center"/>
              <w:rPr>
                <w:kern w:val="0"/>
                <w:szCs w:val="21"/>
                <w:u w:val="single"/>
              </w:rPr>
            </w:pPr>
            <w:r>
              <w:rPr>
                <w:rFonts w:hint="eastAsia"/>
                <w:kern w:val="0"/>
                <w:szCs w:val="21"/>
                <w:u w:val="single"/>
              </w:rPr>
              <w:t>30</w:t>
            </w:r>
          </w:p>
        </w:tc>
      </w:tr>
      <w:tr w:rsidR="00475650">
        <w:trPr>
          <w:trHeight w:val="340"/>
        </w:trPr>
        <w:tc>
          <w:tcPr>
            <w:tcW w:w="1175" w:type="dxa"/>
            <w:vMerge w:val="restart"/>
            <w:vAlign w:val="center"/>
          </w:tcPr>
          <w:p w:rsidR="00475650" w:rsidRDefault="00475650">
            <w:pPr>
              <w:widowControl/>
              <w:jc w:val="center"/>
              <w:rPr>
                <w:kern w:val="0"/>
                <w:szCs w:val="21"/>
                <w:u w:val="single"/>
              </w:rPr>
            </w:pPr>
            <w:r>
              <w:rPr>
                <w:rFonts w:hAnsi="宋体" w:hint="eastAsia"/>
                <w:kern w:val="0"/>
                <w:szCs w:val="21"/>
                <w:u w:val="single"/>
              </w:rPr>
              <w:t>炉膛煤渣吸附</w:t>
            </w:r>
          </w:p>
        </w:tc>
        <w:tc>
          <w:tcPr>
            <w:tcW w:w="1078" w:type="dxa"/>
            <w:vAlign w:val="center"/>
          </w:tcPr>
          <w:p w:rsidR="00475650" w:rsidRDefault="00475650">
            <w:pPr>
              <w:widowControl/>
              <w:jc w:val="center"/>
              <w:rPr>
                <w:rFonts w:hAnsi="宋体"/>
                <w:kern w:val="0"/>
                <w:szCs w:val="21"/>
                <w:u w:val="single"/>
              </w:rPr>
            </w:pPr>
            <w:r>
              <w:rPr>
                <w:rFonts w:hAnsi="宋体" w:hint="eastAsia"/>
                <w:kern w:val="0"/>
                <w:szCs w:val="21"/>
                <w:u w:val="single"/>
              </w:rPr>
              <w:t>出水</w:t>
            </w:r>
          </w:p>
        </w:tc>
        <w:tc>
          <w:tcPr>
            <w:tcW w:w="936" w:type="dxa"/>
            <w:vAlign w:val="center"/>
          </w:tcPr>
          <w:p w:rsidR="00475650" w:rsidRDefault="00475650">
            <w:pPr>
              <w:widowControl/>
              <w:jc w:val="center"/>
              <w:rPr>
                <w:kern w:val="0"/>
                <w:szCs w:val="21"/>
                <w:u w:val="single"/>
              </w:rPr>
            </w:pPr>
            <w:r>
              <w:rPr>
                <w:kern w:val="0"/>
                <w:szCs w:val="21"/>
                <w:u w:val="single"/>
              </w:rPr>
              <w:t>6-9</w:t>
            </w:r>
          </w:p>
        </w:tc>
        <w:tc>
          <w:tcPr>
            <w:tcW w:w="804"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0.08</w:t>
            </w:r>
            <w:r>
              <w:rPr>
                <w:kern w:val="0"/>
                <w:szCs w:val="21"/>
                <w:u w:val="single"/>
              </w:rPr>
              <w:t>%</w:t>
            </w:r>
          </w:p>
        </w:tc>
        <w:tc>
          <w:tcPr>
            <w:tcW w:w="1072"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224.4</w:t>
            </w:r>
          </w:p>
        </w:tc>
        <w:tc>
          <w:tcPr>
            <w:tcW w:w="856"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25.4</w:t>
            </w:r>
          </w:p>
        </w:tc>
        <w:tc>
          <w:tcPr>
            <w:tcW w:w="1135" w:type="dxa"/>
            <w:tcBorders>
              <w:right w:val="single" w:sz="4" w:space="0" w:color="auto"/>
            </w:tcBorders>
            <w:vAlign w:val="center"/>
          </w:tcPr>
          <w:p w:rsidR="00475650" w:rsidRDefault="00475650">
            <w:pPr>
              <w:jc w:val="center"/>
              <w:rPr>
                <w:kern w:val="0"/>
                <w:szCs w:val="21"/>
                <w:u w:val="single"/>
              </w:rPr>
            </w:pPr>
            <w:r>
              <w:rPr>
                <w:rFonts w:hint="eastAsia"/>
                <w:kern w:val="0"/>
                <w:szCs w:val="21"/>
                <w:u w:val="single"/>
              </w:rPr>
              <w:t>260</w:t>
            </w:r>
          </w:p>
        </w:tc>
        <w:tc>
          <w:tcPr>
            <w:tcW w:w="992" w:type="dxa"/>
            <w:tcBorders>
              <w:right w:val="single" w:sz="4" w:space="0" w:color="auto"/>
            </w:tcBorders>
            <w:vAlign w:val="center"/>
          </w:tcPr>
          <w:p w:rsidR="00475650" w:rsidRDefault="00475650">
            <w:pPr>
              <w:jc w:val="center"/>
              <w:rPr>
                <w:kern w:val="0"/>
                <w:szCs w:val="21"/>
                <w:u w:val="single"/>
              </w:rPr>
            </w:pPr>
            <w:r>
              <w:rPr>
                <w:rFonts w:hint="eastAsia"/>
                <w:kern w:val="0"/>
                <w:szCs w:val="21"/>
                <w:u w:val="single"/>
              </w:rPr>
              <w:t>26</w:t>
            </w:r>
          </w:p>
        </w:tc>
        <w:tc>
          <w:tcPr>
            <w:tcW w:w="1133" w:type="dxa"/>
            <w:tcBorders>
              <w:left w:val="single" w:sz="4" w:space="0" w:color="auto"/>
            </w:tcBorders>
            <w:vAlign w:val="center"/>
          </w:tcPr>
          <w:p w:rsidR="00475650" w:rsidRDefault="00475650">
            <w:pPr>
              <w:jc w:val="center"/>
              <w:rPr>
                <w:kern w:val="0"/>
                <w:szCs w:val="21"/>
                <w:u w:val="single"/>
              </w:rPr>
            </w:pPr>
            <w:r>
              <w:rPr>
                <w:rFonts w:hint="eastAsia"/>
                <w:kern w:val="0"/>
                <w:szCs w:val="21"/>
                <w:u w:val="single"/>
              </w:rPr>
              <w:t>5.7</w:t>
            </w:r>
          </w:p>
        </w:tc>
      </w:tr>
      <w:tr w:rsidR="00475650">
        <w:trPr>
          <w:trHeight w:val="340"/>
        </w:trPr>
        <w:tc>
          <w:tcPr>
            <w:tcW w:w="1175" w:type="dxa"/>
            <w:vMerge/>
            <w:vAlign w:val="center"/>
          </w:tcPr>
          <w:p w:rsidR="00475650" w:rsidRDefault="00475650">
            <w:pPr>
              <w:widowControl/>
              <w:ind w:firstLineChars="100" w:firstLine="210"/>
              <w:rPr>
                <w:kern w:val="0"/>
                <w:szCs w:val="21"/>
                <w:u w:val="single"/>
              </w:rPr>
            </w:pPr>
          </w:p>
        </w:tc>
        <w:tc>
          <w:tcPr>
            <w:tcW w:w="1078" w:type="dxa"/>
            <w:vAlign w:val="center"/>
          </w:tcPr>
          <w:p w:rsidR="00475650" w:rsidRDefault="00475650">
            <w:pPr>
              <w:widowControl/>
              <w:jc w:val="center"/>
              <w:rPr>
                <w:rFonts w:hAnsi="宋体"/>
                <w:kern w:val="0"/>
                <w:szCs w:val="21"/>
                <w:u w:val="single"/>
              </w:rPr>
            </w:pPr>
            <w:r>
              <w:rPr>
                <w:rFonts w:hAnsi="宋体" w:hint="eastAsia"/>
                <w:kern w:val="0"/>
                <w:szCs w:val="21"/>
                <w:u w:val="single"/>
              </w:rPr>
              <w:t>去除率</w:t>
            </w:r>
          </w:p>
        </w:tc>
        <w:tc>
          <w:tcPr>
            <w:tcW w:w="936" w:type="dxa"/>
            <w:vAlign w:val="center"/>
          </w:tcPr>
          <w:p w:rsidR="00475650" w:rsidRDefault="00475650">
            <w:pPr>
              <w:widowControl/>
              <w:jc w:val="center"/>
              <w:rPr>
                <w:kern w:val="0"/>
                <w:szCs w:val="21"/>
                <w:u w:val="single"/>
              </w:rPr>
            </w:pPr>
            <w:r>
              <w:rPr>
                <w:kern w:val="0"/>
                <w:szCs w:val="21"/>
                <w:u w:val="single"/>
              </w:rPr>
              <w:t>/</w:t>
            </w:r>
          </w:p>
        </w:tc>
        <w:tc>
          <w:tcPr>
            <w:tcW w:w="804" w:type="dxa"/>
            <w:tcBorders>
              <w:right w:val="single" w:sz="4" w:space="0" w:color="auto"/>
            </w:tcBorders>
            <w:vAlign w:val="center"/>
          </w:tcPr>
          <w:p w:rsidR="00475650" w:rsidRDefault="00475650">
            <w:pPr>
              <w:widowControl/>
              <w:jc w:val="center"/>
              <w:rPr>
                <w:kern w:val="0"/>
                <w:szCs w:val="21"/>
                <w:u w:val="single"/>
              </w:rPr>
            </w:pPr>
            <w:r>
              <w:rPr>
                <w:kern w:val="0"/>
                <w:szCs w:val="21"/>
                <w:u w:val="single"/>
              </w:rPr>
              <w:t>/</w:t>
            </w:r>
          </w:p>
        </w:tc>
        <w:tc>
          <w:tcPr>
            <w:tcW w:w="1072"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40</w:t>
            </w:r>
          </w:p>
        </w:tc>
        <w:tc>
          <w:tcPr>
            <w:tcW w:w="856"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10</w:t>
            </w:r>
          </w:p>
        </w:tc>
        <w:tc>
          <w:tcPr>
            <w:tcW w:w="1135" w:type="dxa"/>
            <w:tcBorders>
              <w:right w:val="single" w:sz="4" w:space="0" w:color="auto"/>
            </w:tcBorders>
            <w:vAlign w:val="center"/>
          </w:tcPr>
          <w:p w:rsidR="00475650" w:rsidRDefault="00475650">
            <w:pPr>
              <w:jc w:val="center"/>
              <w:rPr>
                <w:kern w:val="0"/>
                <w:szCs w:val="21"/>
                <w:u w:val="single"/>
              </w:rPr>
            </w:pPr>
            <w:r>
              <w:rPr>
                <w:rFonts w:hint="eastAsia"/>
                <w:kern w:val="0"/>
                <w:szCs w:val="21"/>
                <w:u w:val="single"/>
              </w:rPr>
              <w:t>80</w:t>
            </w:r>
          </w:p>
        </w:tc>
        <w:tc>
          <w:tcPr>
            <w:tcW w:w="992" w:type="dxa"/>
            <w:tcBorders>
              <w:right w:val="single" w:sz="4" w:space="0" w:color="auto"/>
            </w:tcBorders>
            <w:vAlign w:val="center"/>
          </w:tcPr>
          <w:p w:rsidR="00475650" w:rsidRDefault="00475650">
            <w:pPr>
              <w:jc w:val="center"/>
              <w:rPr>
                <w:kern w:val="0"/>
                <w:szCs w:val="21"/>
                <w:u w:val="single"/>
              </w:rPr>
            </w:pPr>
            <w:r>
              <w:rPr>
                <w:rFonts w:hint="eastAsia"/>
                <w:kern w:val="0"/>
                <w:szCs w:val="21"/>
                <w:u w:val="single"/>
              </w:rPr>
              <w:t>/</w:t>
            </w:r>
          </w:p>
        </w:tc>
        <w:tc>
          <w:tcPr>
            <w:tcW w:w="1133" w:type="dxa"/>
            <w:tcBorders>
              <w:left w:val="single" w:sz="4" w:space="0" w:color="auto"/>
            </w:tcBorders>
            <w:vAlign w:val="center"/>
          </w:tcPr>
          <w:p w:rsidR="00475650" w:rsidRDefault="00475650">
            <w:pPr>
              <w:jc w:val="center"/>
              <w:rPr>
                <w:kern w:val="0"/>
                <w:szCs w:val="21"/>
                <w:u w:val="single"/>
              </w:rPr>
            </w:pPr>
            <w:r>
              <w:rPr>
                <w:rFonts w:hint="eastAsia"/>
                <w:kern w:val="0"/>
                <w:szCs w:val="21"/>
                <w:u w:val="single"/>
              </w:rPr>
              <w:t>70</w:t>
            </w:r>
          </w:p>
        </w:tc>
      </w:tr>
      <w:tr w:rsidR="00475650">
        <w:trPr>
          <w:trHeight w:val="340"/>
        </w:trPr>
        <w:tc>
          <w:tcPr>
            <w:tcW w:w="2253" w:type="dxa"/>
            <w:gridSpan w:val="2"/>
            <w:vAlign w:val="center"/>
          </w:tcPr>
          <w:p w:rsidR="00475650" w:rsidRDefault="00475650">
            <w:pPr>
              <w:widowControl/>
              <w:jc w:val="center"/>
              <w:rPr>
                <w:kern w:val="0"/>
                <w:szCs w:val="21"/>
                <w:u w:val="single"/>
              </w:rPr>
            </w:pPr>
            <w:r>
              <w:rPr>
                <w:rFonts w:hAnsi="宋体"/>
                <w:szCs w:val="21"/>
                <w:u w:val="single"/>
              </w:rPr>
              <w:t>出水水质</w:t>
            </w:r>
          </w:p>
        </w:tc>
        <w:tc>
          <w:tcPr>
            <w:tcW w:w="936" w:type="dxa"/>
            <w:vAlign w:val="center"/>
          </w:tcPr>
          <w:p w:rsidR="00475650" w:rsidRDefault="00475650">
            <w:pPr>
              <w:widowControl/>
              <w:jc w:val="center"/>
              <w:rPr>
                <w:kern w:val="0"/>
                <w:szCs w:val="21"/>
                <w:u w:val="single"/>
              </w:rPr>
            </w:pPr>
            <w:r>
              <w:rPr>
                <w:kern w:val="0"/>
                <w:szCs w:val="21"/>
                <w:u w:val="single"/>
              </w:rPr>
              <w:t>6-9</w:t>
            </w:r>
          </w:p>
        </w:tc>
        <w:tc>
          <w:tcPr>
            <w:tcW w:w="804" w:type="dxa"/>
            <w:tcBorders>
              <w:right w:val="single" w:sz="4" w:space="0" w:color="auto"/>
            </w:tcBorders>
            <w:vAlign w:val="center"/>
          </w:tcPr>
          <w:p w:rsidR="00475650" w:rsidRDefault="00475650">
            <w:pPr>
              <w:widowControl/>
              <w:jc w:val="center"/>
              <w:rPr>
                <w:kern w:val="0"/>
                <w:szCs w:val="21"/>
                <w:u w:val="single"/>
              </w:rPr>
            </w:pPr>
            <w:r>
              <w:rPr>
                <w:kern w:val="0"/>
                <w:szCs w:val="21"/>
                <w:u w:val="single"/>
              </w:rPr>
              <w:t>0.</w:t>
            </w:r>
            <w:r>
              <w:rPr>
                <w:rFonts w:hint="eastAsia"/>
                <w:kern w:val="0"/>
                <w:szCs w:val="21"/>
                <w:u w:val="single"/>
              </w:rPr>
              <w:t>08</w:t>
            </w:r>
            <w:r>
              <w:rPr>
                <w:kern w:val="0"/>
                <w:szCs w:val="21"/>
                <w:u w:val="single"/>
              </w:rPr>
              <w:t>%</w:t>
            </w:r>
          </w:p>
        </w:tc>
        <w:tc>
          <w:tcPr>
            <w:tcW w:w="1072"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224.4</w:t>
            </w:r>
          </w:p>
        </w:tc>
        <w:tc>
          <w:tcPr>
            <w:tcW w:w="856"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25.4</w:t>
            </w:r>
          </w:p>
        </w:tc>
        <w:tc>
          <w:tcPr>
            <w:tcW w:w="1135"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260</w:t>
            </w:r>
          </w:p>
        </w:tc>
        <w:tc>
          <w:tcPr>
            <w:tcW w:w="992"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26</w:t>
            </w:r>
          </w:p>
        </w:tc>
        <w:tc>
          <w:tcPr>
            <w:tcW w:w="1133"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5.7</w:t>
            </w:r>
          </w:p>
        </w:tc>
      </w:tr>
      <w:tr w:rsidR="00475650">
        <w:trPr>
          <w:trHeight w:val="340"/>
        </w:trPr>
        <w:tc>
          <w:tcPr>
            <w:tcW w:w="2253" w:type="dxa"/>
            <w:gridSpan w:val="2"/>
            <w:vAlign w:val="center"/>
          </w:tcPr>
          <w:p w:rsidR="00475650" w:rsidRDefault="00475650">
            <w:pPr>
              <w:widowControl/>
              <w:jc w:val="center"/>
              <w:rPr>
                <w:kern w:val="0"/>
                <w:szCs w:val="21"/>
                <w:u w:val="single"/>
              </w:rPr>
            </w:pPr>
            <w:r>
              <w:rPr>
                <w:rFonts w:hAnsi="宋体"/>
                <w:kern w:val="0"/>
                <w:szCs w:val="21"/>
                <w:u w:val="single"/>
              </w:rPr>
              <w:t>总去除率</w:t>
            </w:r>
            <w:r>
              <w:rPr>
                <w:kern w:val="0"/>
                <w:szCs w:val="21"/>
                <w:u w:val="single"/>
              </w:rPr>
              <w:t>%</w:t>
            </w:r>
          </w:p>
        </w:tc>
        <w:tc>
          <w:tcPr>
            <w:tcW w:w="936" w:type="dxa"/>
            <w:vAlign w:val="center"/>
          </w:tcPr>
          <w:p w:rsidR="00475650" w:rsidRDefault="00475650">
            <w:pPr>
              <w:widowControl/>
              <w:jc w:val="center"/>
              <w:rPr>
                <w:kern w:val="0"/>
                <w:szCs w:val="21"/>
                <w:u w:val="single"/>
              </w:rPr>
            </w:pPr>
            <w:r>
              <w:rPr>
                <w:kern w:val="0"/>
                <w:szCs w:val="21"/>
                <w:u w:val="single"/>
              </w:rPr>
              <w:t>/</w:t>
            </w:r>
          </w:p>
        </w:tc>
        <w:tc>
          <w:tcPr>
            <w:tcW w:w="804" w:type="dxa"/>
            <w:tcBorders>
              <w:right w:val="single" w:sz="4" w:space="0" w:color="auto"/>
            </w:tcBorders>
            <w:vAlign w:val="center"/>
          </w:tcPr>
          <w:p w:rsidR="00475650" w:rsidRDefault="00475650">
            <w:pPr>
              <w:widowControl/>
              <w:jc w:val="center"/>
              <w:rPr>
                <w:kern w:val="0"/>
                <w:szCs w:val="21"/>
                <w:u w:val="single"/>
              </w:rPr>
            </w:pPr>
            <w:r>
              <w:rPr>
                <w:kern w:val="0"/>
                <w:szCs w:val="21"/>
                <w:u w:val="single"/>
              </w:rPr>
              <w:t>9</w:t>
            </w:r>
            <w:r>
              <w:rPr>
                <w:rFonts w:hint="eastAsia"/>
                <w:kern w:val="0"/>
                <w:szCs w:val="21"/>
                <w:u w:val="single"/>
              </w:rPr>
              <w:t>6</w:t>
            </w:r>
          </w:p>
        </w:tc>
        <w:tc>
          <w:tcPr>
            <w:tcW w:w="1072" w:type="dxa"/>
            <w:tcBorders>
              <w:left w:val="single" w:sz="4" w:space="0" w:color="auto"/>
            </w:tcBorders>
            <w:vAlign w:val="center"/>
          </w:tcPr>
          <w:p w:rsidR="00475650" w:rsidRDefault="00475650">
            <w:pPr>
              <w:widowControl/>
              <w:jc w:val="center"/>
              <w:rPr>
                <w:kern w:val="0"/>
                <w:szCs w:val="21"/>
                <w:u w:val="single"/>
              </w:rPr>
            </w:pPr>
            <w:r>
              <w:rPr>
                <w:rFonts w:hint="eastAsia"/>
                <w:kern w:val="0"/>
                <w:szCs w:val="21"/>
                <w:u w:val="single"/>
              </w:rPr>
              <w:t>97.76</w:t>
            </w:r>
          </w:p>
        </w:tc>
        <w:tc>
          <w:tcPr>
            <w:tcW w:w="856" w:type="dxa"/>
            <w:tcBorders>
              <w:right w:val="single" w:sz="4" w:space="0" w:color="auto"/>
            </w:tcBorders>
            <w:vAlign w:val="center"/>
          </w:tcPr>
          <w:p w:rsidR="00475650" w:rsidRDefault="00475650">
            <w:pPr>
              <w:widowControl/>
              <w:jc w:val="center"/>
              <w:rPr>
                <w:kern w:val="0"/>
                <w:szCs w:val="21"/>
                <w:u w:val="single"/>
              </w:rPr>
            </w:pPr>
            <w:r>
              <w:rPr>
                <w:rFonts w:hint="eastAsia"/>
                <w:kern w:val="0"/>
                <w:szCs w:val="21"/>
                <w:u w:val="single"/>
              </w:rPr>
              <w:t>76.3</w:t>
            </w:r>
          </w:p>
        </w:tc>
        <w:tc>
          <w:tcPr>
            <w:tcW w:w="1135" w:type="dxa"/>
            <w:tcBorders>
              <w:left w:val="single" w:sz="4" w:space="0" w:color="auto"/>
            </w:tcBorders>
            <w:vAlign w:val="center"/>
          </w:tcPr>
          <w:p w:rsidR="00475650" w:rsidRDefault="00475650">
            <w:pPr>
              <w:jc w:val="center"/>
              <w:rPr>
                <w:kern w:val="0"/>
                <w:szCs w:val="21"/>
                <w:u w:val="single"/>
              </w:rPr>
            </w:pPr>
            <w:r>
              <w:rPr>
                <w:rFonts w:hint="eastAsia"/>
                <w:kern w:val="0"/>
                <w:szCs w:val="21"/>
                <w:u w:val="single"/>
              </w:rPr>
              <w:t>98.98</w:t>
            </w:r>
          </w:p>
        </w:tc>
        <w:tc>
          <w:tcPr>
            <w:tcW w:w="992" w:type="dxa"/>
            <w:tcBorders>
              <w:left w:val="single" w:sz="4" w:space="0" w:color="auto"/>
            </w:tcBorders>
            <w:vAlign w:val="center"/>
          </w:tcPr>
          <w:p w:rsidR="00475650" w:rsidRDefault="00475650">
            <w:pPr>
              <w:jc w:val="center"/>
              <w:rPr>
                <w:kern w:val="0"/>
                <w:szCs w:val="21"/>
                <w:u w:val="single"/>
              </w:rPr>
            </w:pPr>
            <w:r>
              <w:rPr>
                <w:rFonts w:hint="eastAsia"/>
                <w:kern w:val="0"/>
                <w:szCs w:val="21"/>
                <w:u w:val="single"/>
              </w:rPr>
              <w:t>94.8</w:t>
            </w:r>
          </w:p>
        </w:tc>
        <w:tc>
          <w:tcPr>
            <w:tcW w:w="1133" w:type="dxa"/>
            <w:tcBorders>
              <w:left w:val="single" w:sz="4" w:space="0" w:color="auto"/>
            </w:tcBorders>
            <w:vAlign w:val="center"/>
          </w:tcPr>
          <w:p w:rsidR="00475650" w:rsidRDefault="00475650">
            <w:pPr>
              <w:jc w:val="center"/>
              <w:rPr>
                <w:kern w:val="0"/>
                <w:szCs w:val="21"/>
                <w:u w:val="single"/>
              </w:rPr>
            </w:pPr>
            <w:r>
              <w:rPr>
                <w:rFonts w:hint="eastAsia"/>
                <w:kern w:val="0"/>
                <w:szCs w:val="21"/>
                <w:u w:val="single"/>
              </w:rPr>
              <w:t>95.13</w:t>
            </w:r>
          </w:p>
        </w:tc>
      </w:tr>
    </w:tbl>
    <w:p w:rsidR="00475650" w:rsidRDefault="00475650">
      <w:pPr>
        <w:snapToGrid w:val="0"/>
        <w:spacing w:line="360" w:lineRule="auto"/>
        <w:ind w:firstLineChars="200" w:firstLine="480"/>
        <w:rPr>
          <w:rFonts w:hAnsi="宋体"/>
          <w:sz w:val="24"/>
          <w:u w:val="single"/>
        </w:rPr>
      </w:pPr>
    </w:p>
    <w:p w:rsidR="00475650" w:rsidRDefault="00475650">
      <w:pPr>
        <w:snapToGrid w:val="0"/>
        <w:spacing w:line="360" w:lineRule="auto"/>
        <w:ind w:firstLineChars="200" w:firstLine="480"/>
        <w:rPr>
          <w:sz w:val="24"/>
        </w:rPr>
      </w:pPr>
      <w:r>
        <w:rPr>
          <w:rFonts w:hAnsi="宋体"/>
          <w:sz w:val="24"/>
        </w:rPr>
        <w:t>二、其他废水的处理措施分析</w:t>
      </w:r>
    </w:p>
    <w:p w:rsidR="00475650" w:rsidRDefault="00475650">
      <w:pPr>
        <w:snapToGrid w:val="0"/>
        <w:spacing w:line="336" w:lineRule="auto"/>
        <w:ind w:firstLineChars="200" w:firstLine="480"/>
        <w:rPr>
          <w:sz w:val="24"/>
        </w:rPr>
      </w:pPr>
      <w:r>
        <w:rPr>
          <w:rFonts w:hAnsi="宋体"/>
          <w:sz w:val="24"/>
        </w:rPr>
        <w:t>生活废水水量及污染物浓度较小，且可生化性高，由废水水质来看满足园区污水处理厂进水水质标准，送园区污水处理厂处理的措施可行。</w:t>
      </w:r>
    </w:p>
    <w:p w:rsidR="00475650" w:rsidRDefault="00475650">
      <w:pPr>
        <w:snapToGrid w:val="0"/>
        <w:spacing w:line="336" w:lineRule="auto"/>
        <w:ind w:firstLineChars="200" w:firstLine="480"/>
        <w:rPr>
          <w:sz w:val="24"/>
        </w:rPr>
      </w:pPr>
      <w:r>
        <w:rPr>
          <w:rFonts w:hAnsi="宋体"/>
          <w:sz w:val="24"/>
        </w:rPr>
        <w:t>装置的平台水及地面冲洗水中含有生产原辅材料及产品等，应一并纳入自建的污水处理设施处理。</w:t>
      </w:r>
    </w:p>
    <w:p w:rsidR="00475650" w:rsidRDefault="00475650">
      <w:pPr>
        <w:snapToGrid w:val="0"/>
        <w:spacing w:line="336" w:lineRule="auto"/>
        <w:ind w:firstLineChars="200" w:firstLine="480"/>
        <w:rPr>
          <w:sz w:val="24"/>
        </w:rPr>
      </w:pPr>
      <w:r>
        <w:rPr>
          <w:rFonts w:hAnsi="宋体"/>
          <w:sz w:val="24"/>
        </w:rPr>
        <w:t>三、园区污水处理厂对本项目废水的可接纳性分析</w:t>
      </w:r>
    </w:p>
    <w:p w:rsidR="00475650" w:rsidRDefault="00475650">
      <w:pPr>
        <w:snapToGrid w:val="0"/>
        <w:spacing w:line="336" w:lineRule="auto"/>
        <w:ind w:firstLineChars="200" w:firstLine="480"/>
        <w:rPr>
          <w:sz w:val="24"/>
        </w:rPr>
      </w:pPr>
      <w:r>
        <w:rPr>
          <w:rFonts w:hAnsi="宋体"/>
          <w:sz w:val="24"/>
        </w:rPr>
        <w:t>园区污水处理厂接纳的污水为园区生活污水、工业废水、公用工程废水和初期雨水。该污水处理厂设计总污水处理规模为</w:t>
      </w:r>
      <w:r>
        <w:rPr>
          <w:sz w:val="24"/>
        </w:rPr>
        <w:t>5.0×10</w:t>
      </w:r>
      <w:r>
        <w:rPr>
          <w:sz w:val="24"/>
          <w:vertAlign w:val="superscript"/>
        </w:rPr>
        <w:t>4</w:t>
      </w:r>
      <w:r>
        <w:rPr>
          <w:sz w:val="24"/>
        </w:rPr>
        <w:t>m</w:t>
      </w:r>
      <w:r>
        <w:rPr>
          <w:sz w:val="24"/>
          <w:vertAlign w:val="superscript"/>
        </w:rPr>
        <w:t>3</w:t>
      </w:r>
      <w:r>
        <w:rPr>
          <w:sz w:val="24"/>
        </w:rPr>
        <w:t>/d</w:t>
      </w:r>
      <w:r>
        <w:rPr>
          <w:rFonts w:hAnsi="宋体"/>
          <w:sz w:val="24"/>
        </w:rPr>
        <w:t>，采用</w:t>
      </w:r>
      <w:r>
        <w:rPr>
          <w:sz w:val="24"/>
        </w:rPr>
        <w:t>“</w:t>
      </w:r>
      <w:r>
        <w:rPr>
          <w:rFonts w:hAnsi="宋体"/>
          <w:sz w:val="24"/>
        </w:rPr>
        <w:t>水解酸化＋卡鲁塞尔氧化沟</w:t>
      </w:r>
      <w:r>
        <w:rPr>
          <w:sz w:val="24"/>
        </w:rPr>
        <w:t>”</w:t>
      </w:r>
      <w:r>
        <w:rPr>
          <w:rFonts w:hAnsi="宋体"/>
          <w:sz w:val="24"/>
        </w:rPr>
        <w:t>处理工艺，工程分</w:t>
      </w:r>
      <w:r>
        <w:rPr>
          <w:sz w:val="24"/>
        </w:rPr>
        <w:t>2</w:t>
      </w:r>
      <w:r>
        <w:rPr>
          <w:rFonts w:hAnsi="宋体"/>
          <w:sz w:val="24"/>
        </w:rPr>
        <w:t>期建设，其中一期工程的污水处理规模为</w:t>
      </w:r>
      <w:r>
        <w:rPr>
          <w:sz w:val="24"/>
        </w:rPr>
        <w:t>2</w:t>
      </w:r>
      <w:r>
        <w:rPr>
          <w:rFonts w:hAnsi="宋体"/>
          <w:sz w:val="24"/>
        </w:rPr>
        <w:t>万</w:t>
      </w:r>
      <w:r>
        <w:rPr>
          <w:sz w:val="24"/>
        </w:rPr>
        <w:t>m</w:t>
      </w:r>
      <w:r>
        <w:rPr>
          <w:sz w:val="24"/>
          <w:vertAlign w:val="superscript"/>
        </w:rPr>
        <w:t>3</w:t>
      </w:r>
      <w:r>
        <w:rPr>
          <w:sz w:val="24"/>
        </w:rPr>
        <w:t>/d</w:t>
      </w:r>
      <w:r>
        <w:rPr>
          <w:rFonts w:hAnsi="宋体"/>
          <w:sz w:val="24"/>
        </w:rPr>
        <w:t>并全部完成污水截污干管工程，目前园区污水处理厂已经建成，排污管网已铺设至本项目厂区内，污水处理厂现实际处理量不到</w:t>
      </w:r>
      <w:r>
        <w:rPr>
          <w:rFonts w:hint="eastAsia"/>
          <w:sz w:val="24"/>
        </w:rPr>
        <w:t>10</w:t>
      </w:r>
      <w:r>
        <w:rPr>
          <w:sz w:val="24"/>
        </w:rPr>
        <w:t>000m</w:t>
      </w:r>
      <w:r>
        <w:rPr>
          <w:sz w:val="24"/>
          <w:vertAlign w:val="superscript"/>
        </w:rPr>
        <w:t>3</w:t>
      </w:r>
      <w:r>
        <w:rPr>
          <w:sz w:val="24"/>
        </w:rPr>
        <w:t>/d</w:t>
      </w:r>
      <w:r>
        <w:rPr>
          <w:rFonts w:hAnsi="宋体"/>
          <w:sz w:val="24"/>
        </w:rPr>
        <w:t>，本项目废水量占园区污水处理厂一期规模的</w:t>
      </w:r>
      <w:r>
        <w:rPr>
          <w:rFonts w:hAnsi="宋体" w:hint="eastAsia"/>
          <w:sz w:val="24"/>
        </w:rPr>
        <w:t>约</w:t>
      </w:r>
      <w:r>
        <w:rPr>
          <w:rFonts w:hint="eastAsia"/>
          <w:sz w:val="24"/>
        </w:rPr>
        <w:t>3</w:t>
      </w:r>
      <w:r>
        <w:rPr>
          <w:sz w:val="24"/>
        </w:rPr>
        <w:t>%</w:t>
      </w:r>
      <w:r>
        <w:rPr>
          <w:rFonts w:hAnsi="宋体"/>
          <w:sz w:val="24"/>
        </w:rPr>
        <w:t>。</w:t>
      </w:r>
      <w:r>
        <w:rPr>
          <w:rFonts w:hAnsi="宋体" w:hint="eastAsia"/>
          <w:sz w:val="24"/>
        </w:rPr>
        <w:t>园区污水经污水处理厂处理后外排至长江陆城段，外排废水执行《污水综合排放标准》</w:t>
      </w:r>
      <w:r>
        <w:rPr>
          <w:rFonts w:hAnsi="宋体" w:hint="eastAsia"/>
          <w:sz w:val="24"/>
        </w:rPr>
        <w:t>(GB8978-1996)</w:t>
      </w:r>
      <w:r>
        <w:rPr>
          <w:rFonts w:hAnsi="宋体" w:hint="eastAsia"/>
          <w:sz w:val="24"/>
        </w:rPr>
        <w:t>一级标准，临湘市环境监测站于</w:t>
      </w:r>
      <w:r>
        <w:rPr>
          <w:rFonts w:hAnsi="宋体" w:hint="eastAsia"/>
          <w:sz w:val="24"/>
        </w:rPr>
        <w:t>2015</w:t>
      </w:r>
      <w:r>
        <w:rPr>
          <w:rFonts w:hAnsi="宋体" w:hint="eastAsia"/>
          <w:sz w:val="24"/>
        </w:rPr>
        <w:t>年</w:t>
      </w:r>
      <w:r>
        <w:rPr>
          <w:rFonts w:hAnsi="宋体" w:hint="eastAsia"/>
          <w:sz w:val="24"/>
        </w:rPr>
        <w:t>1</w:t>
      </w:r>
      <w:r>
        <w:rPr>
          <w:rFonts w:hAnsi="宋体" w:hint="eastAsia"/>
          <w:sz w:val="24"/>
        </w:rPr>
        <w:t>月对北控污水处理厂的排放废水进行了监测，监测结果见表</w:t>
      </w:r>
      <w:r>
        <w:rPr>
          <w:rFonts w:hAnsi="宋体" w:hint="eastAsia"/>
          <w:sz w:val="24"/>
        </w:rPr>
        <w:t>3.3-14</w:t>
      </w:r>
      <w:r>
        <w:rPr>
          <w:rFonts w:hAnsi="宋体" w:hint="eastAsia"/>
          <w:sz w:val="24"/>
        </w:rPr>
        <w:t>。</w:t>
      </w:r>
    </w:p>
    <w:p w:rsidR="00475650" w:rsidRDefault="00475650">
      <w:pPr>
        <w:snapToGrid w:val="0"/>
        <w:spacing w:line="336" w:lineRule="auto"/>
        <w:ind w:firstLineChars="200" w:firstLine="480"/>
        <w:rPr>
          <w:sz w:val="24"/>
        </w:rPr>
      </w:pPr>
      <w:r>
        <w:rPr>
          <w:rFonts w:hAnsi="宋体"/>
          <w:sz w:val="24"/>
        </w:rPr>
        <w:t>园区污水处理厂设计污水处理工艺详见图</w:t>
      </w:r>
      <w:r>
        <w:rPr>
          <w:sz w:val="24"/>
        </w:rPr>
        <w:t>3-9</w:t>
      </w:r>
      <w:r>
        <w:rPr>
          <w:rFonts w:hAnsi="宋体"/>
          <w:sz w:val="24"/>
        </w:rPr>
        <w:t>；本项目废水经处理后的水质情况以及园区污水处理站对本项目预处理后废水的可接纳型见表</w:t>
      </w:r>
      <w:r>
        <w:rPr>
          <w:sz w:val="24"/>
        </w:rPr>
        <w:t>3.3-1</w:t>
      </w:r>
      <w:r>
        <w:rPr>
          <w:rFonts w:hint="eastAsia"/>
          <w:sz w:val="24"/>
        </w:rPr>
        <w:t>5</w:t>
      </w:r>
      <w:r>
        <w:rPr>
          <w:rFonts w:hAnsi="宋体"/>
          <w:sz w:val="24"/>
        </w:rPr>
        <w:t>。</w:t>
      </w:r>
    </w:p>
    <w:p w:rsidR="00475650" w:rsidRDefault="00475650">
      <w:pPr>
        <w:snapToGrid w:val="0"/>
        <w:spacing w:line="336" w:lineRule="auto"/>
        <w:ind w:firstLineChars="200" w:firstLine="480"/>
        <w:rPr>
          <w:rFonts w:hAnsi="宋体"/>
          <w:sz w:val="24"/>
        </w:rPr>
      </w:pPr>
      <w:r>
        <w:rPr>
          <w:rFonts w:hAnsi="宋体"/>
          <w:sz w:val="24"/>
        </w:rPr>
        <w:t>由以上分析和上表中数据可知，本项目排水水质满足园区污水处理厂的进水要求。对于园区污水处理厂，无论是在规模、进水水质还是在运行时间上，均可接纳本项目产生的污水。</w:t>
      </w:r>
      <w:r>
        <w:rPr>
          <w:rFonts w:hAnsi="宋体" w:hint="eastAsia"/>
          <w:sz w:val="24"/>
        </w:rPr>
        <w:t>临湘市鹏程化工有限公司就污水处理事宜与湖南临湘工业园管理委员会签订</w:t>
      </w:r>
      <w:r>
        <w:rPr>
          <w:rFonts w:hAnsi="宋体" w:hint="eastAsia"/>
          <w:sz w:val="24"/>
        </w:rPr>
        <w:lastRenderedPageBreak/>
        <w:t>了“污水处理站工艺调试及人员培训技术服务合同”，</w:t>
      </w:r>
      <w:r>
        <w:rPr>
          <w:rFonts w:hAnsi="宋体" w:hint="eastAsia"/>
          <w:sz w:val="24"/>
          <w:u w:val="single"/>
        </w:rPr>
        <w:t>由湖南临湘工业园管理委员会提供技术服务以确保临湘市鹏程化工有限公司染料废水经处理后能满足园区污水处理厂进水水质标准。协议见附件。</w:t>
      </w:r>
    </w:p>
    <w:p w:rsidR="00475650" w:rsidRDefault="00475650">
      <w:pPr>
        <w:snapToGrid w:val="0"/>
        <w:spacing w:line="336" w:lineRule="auto"/>
        <w:ind w:firstLineChars="200" w:firstLine="480"/>
        <w:rPr>
          <w:rFonts w:hAnsi="宋体"/>
          <w:sz w:val="24"/>
          <w:u w:val="single"/>
        </w:rPr>
      </w:pPr>
      <w:r>
        <w:rPr>
          <w:rFonts w:hAnsi="宋体" w:hint="eastAsia"/>
          <w:sz w:val="24"/>
          <w:u w:val="single"/>
        </w:rPr>
        <w:t>目前，由于工业园地下排水管网运行出现故障，园区采取“一企一管”的方式将各企业产生的废水送至园区污水处理厂，临湘市鹏程化工有限公司排水管网已建成，通过专用管道将公司总排口废水输送至园区污水处理厂。本项目位于公司现有用地范围内，排水纳入该管道中一并送园区污水处理厂。在公司总排口设有废水检测口，目前正在安装在线监测仪器。</w:t>
      </w:r>
    </w:p>
    <w:p w:rsidR="00475650" w:rsidRDefault="006F27A1">
      <w:pPr>
        <w:snapToGrid w:val="0"/>
        <w:ind w:firstLine="480"/>
        <w:rPr>
          <w:szCs w:val="20"/>
        </w:rPr>
      </w:pPr>
      <w:r>
        <w:rPr>
          <w:szCs w:val="20"/>
        </w:rPr>
      </w:r>
      <w:r>
        <w:rPr>
          <w:szCs w:val="20"/>
        </w:rPr>
        <w:pict>
          <v:group id="画布 20114" o:spid="_x0000_s22162" editas="canvas" style="width:447.2pt;height:265.2pt;mso-position-horizontal-relative:char;mso-position-vertical-relative:line" coordorigin="2556,2396" coordsize="8944,5304">
            <o:lock v:ext="edit" aspectratio="t" text="t"/>
            <o:diagram v:ext="edit" dgmstyle="0" dgmscalex="0" dgmscaley="0"/>
            <v:shape id="_x0000_s22163" type="#_x0000_t75" style="position:absolute;left:2556;top:2396;width:8944;height:5304" o:preferrelative="f" filled="t">
              <v:path o:extrusionok="t"/>
              <o:lock v:ext="edit" rotation="t" text="t"/>
              <o:diagram v:ext="edit" dgmstyle="0" dgmscalex="0" dgmscaley="0"/>
            </v:shape>
            <v:rect id="矩形 20116" o:spid="_x0000_s22164" style="position:absolute;left:3180;top:3374;width:513;height:1689">
              <v:textbox>
                <w:txbxContent>
                  <w:p w:rsidR="00BD74CB" w:rsidRDefault="00BD74CB">
                    <w:pPr>
                      <w:jc w:val="center"/>
                      <w:rPr>
                        <w:szCs w:val="21"/>
                      </w:rPr>
                    </w:pPr>
                    <w:r>
                      <w:rPr>
                        <w:rFonts w:hint="eastAsia"/>
                        <w:szCs w:val="21"/>
                      </w:rPr>
                      <w:t>粗</w:t>
                    </w:r>
                  </w:p>
                  <w:p w:rsidR="00BD74CB" w:rsidRDefault="00BD74CB">
                    <w:pPr>
                      <w:jc w:val="center"/>
                      <w:rPr>
                        <w:szCs w:val="21"/>
                      </w:rPr>
                    </w:pPr>
                  </w:p>
                  <w:p w:rsidR="00BD74CB" w:rsidRDefault="00BD74CB">
                    <w:pPr>
                      <w:jc w:val="center"/>
                      <w:rPr>
                        <w:szCs w:val="21"/>
                      </w:rPr>
                    </w:pPr>
                    <w:r>
                      <w:rPr>
                        <w:rFonts w:hint="eastAsia"/>
                        <w:szCs w:val="21"/>
                      </w:rPr>
                      <w:t>格</w:t>
                    </w:r>
                  </w:p>
                  <w:p w:rsidR="00BD74CB" w:rsidRDefault="00BD74CB">
                    <w:pPr>
                      <w:jc w:val="center"/>
                      <w:rPr>
                        <w:szCs w:val="21"/>
                      </w:rPr>
                    </w:pPr>
                  </w:p>
                  <w:p w:rsidR="00BD74CB" w:rsidRDefault="00BD74CB">
                    <w:pPr>
                      <w:jc w:val="center"/>
                      <w:rPr>
                        <w:szCs w:val="21"/>
                      </w:rPr>
                    </w:pPr>
                    <w:r>
                      <w:rPr>
                        <w:rFonts w:hint="eastAsia"/>
                        <w:szCs w:val="21"/>
                      </w:rPr>
                      <w:t>栅</w:t>
                    </w:r>
                  </w:p>
                </w:txbxContent>
              </v:textbox>
            </v:rect>
            <v:rect id="矩形 20117" o:spid="_x0000_s22165" style="position:absolute;left:4220;top:3361;width:499;height:1689">
              <v:textbox>
                <w:txbxContent>
                  <w:p w:rsidR="00BD74CB" w:rsidRDefault="00BD74CB">
                    <w:pPr>
                      <w:jc w:val="center"/>
                      <w:rPr>
                        <w:szCs w:val="21"/>
                      </w:rPr>
                    </w:pPr>
                    <w:r>
                      <w:rPr>
                        <w:rFonts w:hint="eastAsia"/>
                        <w:szCs w:val="21"/>
                      </w:rPr>
                      <w:t>进</w:t>
                    </w:r>
                  </w:p>
                  <w:p w:rsidR="00BD74CB" w:rsidRDefault="00BD74CB">
                    <w:pPr>
                      <w:jc w:val="center"/>
                      <w:rPr>
                        <w:szCs w:val="21"/>
                      </w:rPr>
                    </w:pPr>
                    <w:r>
                      <w:rPr>
                        <w:rFonts w:hint="eastAsia"/>
                        <w:szCs w:val="21"/>
                      </w:rPr>
                      <w:t>水</w:t>
                    </w:r>
                  </w:p>
                  <w:p w:rsidR="00BD74CB" w:rsidRDefault="00BD74CB">
                    <w:pPr>
                      <w:jc w:val="center"/>
                      <w:rPr>
                        <w:szCs w:val="21"/>
                      </w:rPr>
                    </w:pPr>
                    <w:r>
                      <w:rPr>
                        <w:rFonts w:hint="eastAsia"/>
                        <w:szCs w:val="21"/>
                      </w:rPr>
                      <w:t>泵</w:t>
                    </w:r>
                  </w:p>
                  <w:p w:rsidR="00BD74CB" w:rsidRDefault="00BD74CB">
                    <w:pPr>
                      <w:jc w:val="center"/>
                      <w:rPr>
                        <w:szCs w:val="21"/>
                      </w:rPr>
                    </w:pPr>
                    <w:r>
                      <w:rPr>
                        <w:rFonts w:hint="eastAsia"/>
                        <w:szCs w:val="21"/>
                      </w:rPr>
                      <w:t>站</w:t>
                    </w:r>
                  </w:p>
                </w:txbxContent>
              </v:textbox>
            </v:rect>
            <v:rect id="矩形 20118" o:spid="_x0000_s22166" style="position:absolute;left:5260;top:3361;width:485;height:1689" filled="f">
              <v:textbox>
                <w:txbxContent>
                  <w:p w:rsidR="00BD74CB" w:rsidRDefault="00BD74CB">
                    <w:pPr>
                      <w:jc w:val="center"/>
                      <w:rPr>
                        <w:szCs w:val="21"/>
                      </w:rPr>
                    </w:pPr>
                    <w:r>
                      <w:rPr>
                        <w:rFonts w:hint="eastAsia"/>
                        <w:szCs w:val="21"/>
                      </w:rPr>
                      <w:t>细</w:t>
                    </w:r>
                  </w:p>
                  <w:p w:rsidR="00BD74CB" w:rsidRDefault="00BD74CB">
                    <w:pPr>
                      <w:jc w:val="center"/>
                      <w:rPr>
                        <w:szCs w:val="21"/>
                      </w:rPr>
                    </w:pPr>
                  </w:p>
                  <w:p w:rsidR="00BD74CB" w:rsidRDefault="00BD74CB">
                    <w:pPr>
                      <w:jc w:val="center"/>
                      <w:rPr>
                        <w:szCs w:val="21"/>
                      </w:rPr>
                    </w:pPr>
                    <w:r>
                      <w:rPr>
                        <w:rFonts w:hint="eastAsia"/>
                        <w:szCs w:val="21"/>
                      </w:rPr>
                      <w:t>格</w:t>
                    </w:r>
                  </w:p>
                  <w:p w:rsidR="00BD74CB" w:rsidRDefault="00BD74CB">
                    <w:pPr>
                      <w:jc w:val="center"/>
                      <w:rPr>
                        <w:szCs w:val="21"/>
                      </w:rPr>
                    </w:pPr>
                  </w:p>
                  <w:p w:rsidR="00BD74CB" w:rsidRDefault="00BD74CB">
                    <w:pPr>
                      <w:jc w:val="center"/>
                      <w:rPr>
                        <w:szCs w:val="21"/>
                      </w:rPr>
                    </w:pPr>
                    <w:r>
                      <w:rPr>
                        <w:rFonts w:hint="eastAsia"/>
                        <w:szCs w:val="21"/>
                      </w:rPr>
                      <w:t>栅</w:t>
                    </w:r>
                  </w:p>
                </w:txbxContent>
              </v:textbox>
            </v:rect>
            <v:rect id="矩形 20119" o:spid="_x0000_s22167" style="position:absolute;left:6300;top:3374;width:527;height:1689">
              <v:textbox>
                <w:txbxContent>
                  <w:p w:rsidR="00BD74CB" w:rsidRDefault="00BD74CB">
                    <w:pPr>
                      <w:jc w:val="center"/>
                      <w:rPr>
                        <w:szCs w:val="21"/>
                      </w:rPr>
                    </w:pPr>
                    <w:r>
                      <w:rPr>
                        <w:rFonts w:hint="eastAsia"/>
                        <w:szCs w:val="21"/>
                      </w:rPr>
                      <w:t>旋流沉砂池</w:t>
                    </w:r>
                  </w:p>
                </w:txbxContent>
              </v:textbox>
            </v:rect>
            <v:rect id="矩形 20120" o:spid="_x0000_s22168" style="position:absolute;left:10772;top:3635;width:520;height:393" stroked="f">
              <v:textbox inset="0,0,0,0">
                <w:txbxContent>
                  <w:p w:rsidR="00BD74CB" w:rsidRDefault="00BD74CB">
                    <w:pPr>
                      <w:jc w:val="center"/>
                      <w:rPr>
                        <w:szCs w:val="21"/>
                      </w:rPr>
                    </w:pPr>
                    <w:r>
                      <w:rPr>
                        <w:rFonts w:hint="eastAsia"/>
                        <w:szCs w:val="21"/>
                      </w:rPr>
                      <w:t>出水</w:t>
                    </w:r>
                  </w:p>
                </w:txbxContent>
              </v:textbox>
            </v:rect>
            <v:line id="直线 20121" o:spid="_x0000_s22169" style="position:absolute" from="7860,6284" to="9381,6285"/>
            <v:rect id="矩形 20122" o:spid="_x0000_s22170" style="position:absolute;left:6820;top:5348;width:624;height:312" stroked="f">
              <v:textbox inset="0,0,0,0">
                <w:txbxContent>
                  <w:p w:rsidR="00BD74CB" w:rsidRDefault="00BD74CB">
                    <w:pPr>
                      <w:jc w:val="center"/>
                      <w:rPr>
                        <w:szCs w:val="21"/>
                      </w:rPr>
                    </w:pPr>
                    <w:r>
                      <w:rPr>
                        <w:rFonts w:hint="eastAsia"/>
                        <w:szCs w:val="21"/>
                      </w:rPr>
                      <w:t>排泥</w:t>
                    </w:r>
                  </w:p>
                </w:txbxContent>
              </v:textbox>
            </v:rect>
            <v:rect id="矩形 20123" o:spid="_x0000_s22171" style="position:absolute;left:8380;top:3371;width:520;height:1689">
              <v:textbox>
                <w:txbxContent>
                  <w:p w:rsidR="00BD74CB" w:rsidRDefault="00BD74CB">
                    <w:pPr>
                      <w:jc w:val="center"/>
                      <w:rPr>
                        <w:szCs w:val="21"/>
                      </w:rPr>
                    </w:pPr>
                    <w:r>
                      <w:rPr>
                        <w:rFonts w:hint="eastAsia"/>
                        <w:szCs w:val="21"/>
                      </w:rPr>
                      <w:t>改良氧化沟</w:t>
                    </w:r>
                  </w:p>
                </w:txbxContent>
              </v:textbox>
            </v:rect>
            <v:rect id="矩形 20124" o:spid="_x0000_s22172" style="position:absolute;left:10349;top:3431;width:423;height:1773">
              <v:textbox>
                <w:txbxContent>
                  <w:p w:rsidR="00BD74CB" w:rsidRDefault="00BD74CB">
                    <w:pPr>
                      <w:jc w:val="center"/>
                      <w:rPr>
                        <w:szCs w:val="21"/>
                      </w:rPr>
                    </w:pPr>
                    <w:r>
                      <w:rPr>
                        <w:rFonts w:hint="eastAsia"/>
                        <w:szCs w:val="21"/>
                      </w:rPr>
                      <w:t>接触</w:t>
                    </w:r>
                  </w:p>
                  <w:p w:rsidR="00BD74CB" w:rsidRDefault="00BD74CB">
                    <w:pPr>
                      <w:jc w:val="center"/>
                      <w:rPr>
                        <w:szCs w:val="21"/>
                      </w:rPr>
                    </w:pPr>
                    <w:r>
                      <w:rPr>
                        <w:rFonts w:hint="eastAsia"/>
                        <w:szCs w:val="21"/>
                      </w:rPr>
                      <w:t>消毒池</w:t>
                    </w:r>
                  </w:p>
                </w:txbxContent>
              </v:textbox>
            </v:rect>
            <v:rect id="矩形 20125" o:spid="_x0000_s22173" style="position:absolute;left:7236;top:5816;width:520;height:1092">
              <v:textbox>
                <w:txbxContent>
                  <w:p w:rsidR="00BD74CB" w:rsidRDefault="00BD74CB">
                    <w:pPr>
                      <w:jc w:val="center"/>
                      <w:rPr>
                        <w:szCs w:val="21"/>
                      </w:rPr>
                    </w:pPr>
                    <w:r>
                      <w:rPr>
                        <w:rFonts w:hint="eastAsia"/>
                        <w:szCs w:val="21"/>
                      </w:rPr>
                      <w:t>贮</w:t>
                    </w:r>
                  </w:p>
                  <w:p w:rsidR="00BD74CB" w:rsidRDefault="00BD74CB">
                    <w:pPr>
                      <w:jc w:val="center"/>
                      <w:rPr>
                        <w:szCs w:val="21"/>
                      </w:rPr>
                    </w:pPr>
                    <w:r>
                      <w:rPr>
                        <w:rFonts w:hint="eastAsia"/>
                        <w:szCs w:val="21"/>
                      </w:rPr>
                      <w:t>泥</w:t>
                    </w:r>
                  </w:p>
                  <w:p w:rsidR="00BD74CB" w:rsidRDefault="00BD74CB">
                    <w:pPr>
                      <w:jc w:val="center"/>
                      <w:rPr>
                        <w:szCs w:val="21"/>
                      </w:rPr>
                    </w:pPr>
                    <w:r>
                      <w:rPr>
                        <w:rFonts w:hint="eastAsia"/>
                        <w:szCs w:val="21"/>
                      </w:rPr>
                      <w:t>池</w:t>
                    </w:r>
                  </w:p>
                </w:txbxContent>
              </v:textbox>
            </v:rect>
            <v:rect id="矩形 20126" o:spid="_x0000_s22174" style="position:absolute;left:5572;top:5787;width:821;height:1121">
              <v:textbox>
                <w:txbxContent>
                  <w:p w:rsidR="00BD74CB" w:rsidRDefault="00BD74CB">
                    <w:pPr>
                      <w:jc w:val="center"/>
                      <w:rPr>
                        <w:szCs w:val="21"/>
                      </w:rPr>
                    </w:pPr>
                    <w:r>
                      <w:rPr>
                        <w:rFonts w:hint="eastAsia"/>
                        <w:szCs w:val="21"/>
                      </w:rPr>
                      <w:t>污泥</w:t>
                    </w:r>
                  </w:p>
                  <w:p w:rsidR="00BD74CB" w:rsidRDefault="00BD74CB">
                    <w:pPr>
                      <w:jc w:val="center"/>
                      <w:rPr>
                        <w:szCs w:val="21"/>
                      </w:rPr>
                    </w:pPr>
                    <w:r>
                      <w:rPr>
                        <w:rFonts w:hint="eastAsia"/>
                        <w:szCs w:val="21"/>
                      </w:rPr>
                      <w:t>浓缩</w:t>
                    </w:r>
                  </w:p>
                  <w:p w:rsidR="00BD74CB" w:rsidRDefault="00BD74CB">
                    <w:pPr>
                      <w:jc w:val="center"/>
                      <w:rPr>
                        <w:szCs w:val="21"/>
                      </w:rPr>
                    </w:pPr>
                    <w:r>
                      <w:rPr>
                        <w:rFonts w:hint="eastAsia"/>
                        <w:szCs w:val="21"/>
                      </w:rPr>
                      <w:t>脱水</w:t>
                    </w:r>
                  </w:p>
                </w:txbxContent>
              </v:textbox>
            </v:rect>
            <v:rect id="矩形 20127" o:spid="_x0000_s22175" style="position:absolute;left:4469;top:5888;width:1144;height:468" filled="f" stroked="f">
              <v:textbox>
                <w:txbxContent>
                  <w:p w:rsidR="00BD74CB" w:rsidRDefault="00BD74CB">
                    <w:pPr>
                      <w:jc w:val="center"/>
                      <w:rPr>
                        <w:szCs w:val="21"/>
                      </w:rPr>
                    </w:pPr>
                    <w:r>
                      <w:rPr>
                        <w:rFonts w:hint="eastAsia"/>
                        <w:szCs w:val="21"/>
                      </w:rPr>
                      <w:t>泥饼外运</w:t>
                    </w:r>
                  </w:p>
                </w:txbxContent>
              </v:textbox>
            </v:rect>
            <v:line id="直线 20128" o:spid="_x0000_s22176" style="position:absolute" from="2764,3998" to="3180,3999" strokeweight="1.5pt">
              <v:stroke endarrow="block" endarrowlength="long"/>
            </v:line>
            <v:shape id="文本框 20129" o:spid="_x0000_s22177" type="#_x0000_t202" style="position:absolute;left:7132;top:2396;width:936;height:461" strokecolor="white">
              <v:textbox>
                <w:txbxContent>
                  <w:p w:rsidR="00BD74CB" w:rsidRDefault="00BD74CB">
                    <w:pPr>
                      <w:jc w:val="center"/>
                      <w:rPr>
                        <w:szCs w:val="21"/>
                      </w:rPr>
                    </w:pPr>
                    <w:r>
                      <w:rPr>
                        <w:rFonts w:hint="eastAsia"/>
                        <w:szCs w:val="21"/>
                      </w:rPr>
                      <w:t>FeCl</w:t>
                    </w:r>
                    <w:r>
                      <w:rPr>
                        <w:szCs w:val="21"/>
                        <w:vertAlign w:val="subscript"/>
                      </w:rPr>
                      <w:t>3</w:t>
                    </w:r>
                  </w:p>
                </w:txbxContent>
              </v:textbox>
            </v:shape>
            <v:line id="直线 20130" o:spid="_x0000_s22178" style="position:absolute" from="7548,2729" to="7549,3339">
              <v:stroke endarrow="block" endarrowwidth="narrow" endarrowlength="long"/>
            </v:line>
            <v:shape id="文本框 20131" o:spid="_x0000_s22179" type="#_x0000_t202" style="position:absolute;left:10131;top:2426;width:1074;height:461" strokecolor="white">
              <v:textbox>
                <w:txbxContent>
                  <w:p w:rsidR="00BD74CB" w:rsidRDefault="00BD74CB">
                    <w:pPr>
                      <w:jc w:val="center"/>
                      <w:rPr>
                        <w:szCs w:val="21"/>
                      </w:rPr>
                    </w:pPr>
                    <w:r>
                      <w:rPr>
                        <w:rFonts w:hint="eastAsia"/>
                        <w:szCs w:val="21"/>
                      </w:rPr>
                      <w:t>ClO</w:t>
                    </w:r>
                    <w:r>
                      <w:rPr>
                        <w:szCs w:val="21"/>
                        <w:vertAlign w:val="subscript"/>
                      </w:rPr>
                      <w:t>2</w:t>
                    </w:r>
                  </w:p>
                </w:txbxContent>
              </v:textbox>
            </v:shape>
            <v:rect id="矩形 20132" o:spid="_x0000_s22180" style="position:absolute;left:2660;top:4154;width:520;height:312" stroked="f">
              <v:textbox inset="0,0,0,0">
                <w:txbxContent>
                  <w:p w:rsidR="00BD74CB" w:rsidRDefault="00BD74CB">
                    <w:pPr>
                      <w:jc w:val="center"/>
                      <w:rPr>
                        <w:szCs w:val="21"/>
                      </w:rPr>
                    </w:pPr>
                    <w:r>
                      <w:rPr>
                        <w:rFonts w:hint="eastAsia"/>
                        <w:szCs w:val="21"/>
                      </w:rPr>
                      <w:t>进水</w:t>
                    </w:r>
                  </w:p>
                </w:txbxContent>
              </v:textbox>
            </v:rect>
            <v:line id="直线 20133" o:spid="_x0000_s22181" style="position:absolute" from="3700,3998" to="4236,3999" strokeweight="1.5pt">
              <v:stroke endarrow="block" endarrowlength="long"/>
            </v:line>
            <v:line id="直线 20134" o:spid="_x0000_s22182" style="position:absolute" from="4740,3998" to="5286,3999" strokeweight="1.5pt">
              <v:stroke endarrow="block" endarrowlength="long"/>
            </v:line>
            <v:line id="直线 20135" o:spid="_x0000_s22183" style="position:absolute" from="5750,3998" to="6336,3999" strokeweight="1.5pt">
              <v:stroke endarrow="block" endarrowlength="long"/>
            </v:line>
            <v:line id="直线 20136" o:spid="_x0000_s22184" style="position:absolute" from="6756,3998" to="7340,3999" strokeweight="1.5pt">
              <v:stroke endarrow="block" endarrowlength="long"/>
            </v:line>
            <v:rect id="矩形 20137" o:spid="_x0000_s22185" style="position:absolute;left:7340;top:3374;width:527;height:1689">
              <v:textbox>
                <w:txbxContent>
                  <w:p w:rsidR="00BD74CB" w:rsidRDefault="00BD74CB">
                    <w:pPr>
                      <w:jc w:val="center"/>
                      <w:rPr>
                        <w:szCs w:val="21"/>
                      </w:rPr>
                    </w:pPr>
                    <w:r>
                      <w:rPr>
                        <w:rFonts w:hint="eastAsia"/>
                        <w:szCs w:val="21"/>
                      </w:rPr>
                      <w:t>水解酸化池</w:t>
                    </w:r>
                  </w:p>
                </w:txbxContent>
              </v:textbox>
            </v:rect>
            <v:line id="直线 20138" o:spid="_x0000_s22186" style="position:absolute" from="7911,3998" to="8380,3999" strokeweight="1.5pt">
              <v:stroke endarrow="block" endarrowlength="long"/>
            </v:line>
            <v:line id="直线 20139" o:spid="_x0000_s22187" style="position:absolute" from="9906,3998" to="10356,3999" strokeweight="1.5pt">
              <v:stroke endarrow="block" endarrowlength="long"/>
            </v:line>
            <v:line id="直线 20140" o:spid="_x0000_s22188" style="position:absolute" from="10746,3998" to="11292,3999" strokeweight="1.5pt">
              <v:stroke endarrow="block" endarrowlength="long"/>
            </v:line>
            <v:line id="直线 20141" o:spid="_x0000_s22189" style="position:absolute" from="4532,6283" to="5468,6284">
              <v:stroke startarrow="block" endarrowwidth="narrow" endarrowlength="long"/>
            </v:line>
            <v:line id="直线 20142" o:spid="_x0000_s22190" style="position:absolute" from="6388,6283" to="7281,6285">
              <v:stroke startarrow="block" endarrowwidth="narrow" endarrowlength="long"/>
            </v:line>
            <v:line id="直线 20143" o:spid="_x0000_s22191" style="position:absolute" from="7548,5036" to="7549,5816">
              <v:stroke endarrow="block" endarrowwidth="narrow" endarrowlength="long"/>
            </v:line>
            <v:line id="直线 20144" o:spid="_x0000_s22192" style="position:absolute" from="10563,2789" to="10564,3399">
              <v:stroke endarrow="block" endarrowwidth="narrow" endarrowlength="long"/>
            </v:line>
            <v:line id="直线 20145" o:spid="_x0000_s22193" style="position:absolute" from="9627,5036" to="9628,5816">
              <v:stroke endarrow="block" endarrowwidth="narrow" endarrowlength="long"/>
            </v:line>
            <v:line id="直线 20146" o:spid="_x0000_s22194" style="position:absolute" from="7860,5036" to="7861,6284">
              <v:stroke startarrow="block" startarrowwidth="narrow" startarrowlength="long" endarrowwidth="narrow" endarrowlength="long"/>
            </v:line>
            <v:rect id="矩形 20147" o:spid="_x0000_s22195" style="position:absolute;left:7934;top:5030;width:312;height:1248" stroked="f">
              <v:textbox inset="0,0,0,0">
                <w:txbxContent>
                  <w:p w:rsidR="00BD74CB" w:rsidRDefault="00BD74CB">
                    <w:pPr>
                      <w:jc w:val="center"/>
                      <w:rPr>
                        <w:szCs w:val="21"/>
                      </w:rPr>
                    </w:pPr>
                    <w:r>
                      <w:rPr>
                        <w:rFonts w:hint="eastAsia"/>
                        <w:szCs w:val="21"/>
                      </w:rPr>
                      <w:t>剩余污泥</w:t>
                    </w:r>
                  </w:p>
                </w:txbxContent>
              </v:textbox>
            </v:rect>
            <v:rect id="矩形 20148" o:spid="_x0000_s22196" style="position:absolute;left:9420;top:3374;width:416;height:1689">
              <v:textbox>
                <w:txbxContent>
                  <w:p w:rsidR="00BD74CB" w:rsidRDefault="00BD74CB">
                    <w:pPr>
                      <w:jc w:val="center"/>
                      <w:rPr>
                        <w:szCs w:val="21"/>
                      </w:rPr>
                    </w:pPr>
                    <w:r>
                      <w:rPr>
                        <w:rFonts w:hint="eastAsia"/>
                        <w:szCs w:val="21"/>
                      </w:rPr>
                      <w:t>二</w:t>
                    </w:r>
                  </w:p>
                  <w:p w:rsidR="00BD74CB" w:rsidRDefault="00BD74CB">
                    <w:pPr>
                      <w:jc w:val="center"/>
                      <w:rPr>
                        <w:szCs w:val="21"/>
                      </w:rPr>
                    </w:pPr>
                  </w:p>
                  <w:p w:rsidR="00BD74CB" w:rsidRDefault="00BD74CB">
                    <w:pPr>
                      <w:jc w:val="center"/>
                      <w:rPr>
                        <w:szCs w:val="21"/>
                      </w:rPr>
                    </w:pPr>
                    <w:r>
                      <w:rPr>
                        <w:rFonts w:hint="eastAsia"/>
                        <w:szCs w:val="21"/>
                      </w:rPr>
                      <w:t>沉</w:t>
                    </w:r>
                  </w:p>
                  <w:p w:rsidR="00BD74CB" w:rsidRDefault="00BD74CB">
                    <w:pPr>
                      <w:jc w:val="center"/>
                      <w:rPr>
                        <w:szCs w:val="21"/>
                      </w:rPr>
                    </w:pPr>
                  </w:p>
                  <w:p w:rsidR="00BD74CB" w:rsidRDefault="00BD74CB">
                    <w:pPr>
                      <w:jc w:val="center"/>
                      <w:rPr>
                        <w:szCs w:val="21"/>
                      </w:rPr>
                    </w:pPr>
                    <w:r>
                      <w:rPr>
                        <w:rFonts w:hint="eastAsia"/>
                        <w:szCs w:val="21"/>
                      </w:rPr>
                      <w:t>池</w:t>
                    </w:r>
                  </w:p>
                </w:txbxContent>
              </v:textbox>
            </v:rect>
            <v:line id="直线 20149" o:spid="_x0000_s22197" style="position:absolute" from="8856,3998" to="9420,3999" strokeweight="1.5pt">
              <v:stroke endarrow="block" endarrowlength="long"/>
            </v:line>
            <v:line id="直线 20150" o:spid="_x0000_s22198" style="position:absolute" from="8588,5036" to="8589,6284">
              <v:stroke startarrow="block" startarrowwidth="narrow" startarrowlength="long" endarrowwidth="narrow" endarrowlength="long"/>
            </v:line>
            <v:rect id="矩形 20151" o:spid="_x0000_s22199" style="position:absolute;left:9316;top:5816;width:624;height:1092">
              <v:textbox inset="1mm,3mm,1mm,1mm">
                <w:txbxContent>
                  <w:p w:rsidR="00BD74CB" w:rsidRDefault="00BD74CB">
                    <w:pPr>
                      <w:jc w:val="center"/>
                      <w:rPr>
                        <w:szCs w:val="21"/>
                      </w:rPr>
                    </w:pPr>
                    <w:r>
                      <w:rPr>
                        <w:rFonts w:hint="eastAsia"/>
                        <w:szCs w:val="21"/>
                      </w:rPr>
                      <w:t>污泥泵站</w:t>
                    </w:r>
                  </w:p>
                </w:txbxContent>
              </v:textbox>
            </v:rect>
            <v:rect id="矩形 20152" o:spid="_x0000_s22200" style="position:absolute;left:8647;top:5045;width:312;height:1248" filled="f" stroked="f">
              <v:textbox inset="0,0,0,0">
                <w:txbxContent>
                  <w:p w:rsidR="00BD74CB" w:rsidRDefault="00BD74CB">
                    <w:pPr>
                      <w:jc w:val="center"/>
                      <w:rPr>
                        <w:szCs w:val="21"/>
                      </w:rPr>
                    </w:pPr>
                    <w:r>
                      <w:rPr>
                        <w:rFonts w:hint="eastAsia"/>
                        <w:szCs w:val="21"/>
                      </w:rPr>
                      <w:t>回流污泥</w:t>
                    </w:r>
                  </w:p>
                </w:txbxContent>
              </v:textbox>
            </v:rect>
            <v:shape id="文本框 20153" o:spid="_x0000_s22201" type="#_x0000_t202" style="position:absolute;left:3996;top:7232;width:5355;height:399" filled="f" stroked="f">
              <v:textbox inset="0,0,0,0">
                <w:txbxContent>
                  <w:p w:rsidR="00BD74CB" w:rsidRDefault="00BD74CB">
                    <w:pPr>
                      <w:pStyle w:val="afffff2"/>
                      <w:rPr>
                        <w:rFonts w:ascii="宋体" w:eastAsia="宋体" w:hAnsi="宋体"/>
                        <w:b/>
                        <w:sz w:val="24"/>
                        <w:szCs w:val="24"/>
                      </w:rPr>
                    </w:pPr>
                    <w:r>
                      <w:rPr>
                        <w:rFonts w:ascii="宋体" w:eastAsia="宋体" w:hAnsi="宋体" w:hint="eastAsia"/>
                        <w:b/>
                        <w:sz w:val="24"/>
                        <w:szCs w:val="24"/>
                      </w:rPr>
                      <w:t>图3-9    园区污水处理厂污水处理工艺</w:t>
                    </w:r>
                  </w:p>
                </w:txbxContent>
              </v:textbox>
            </v:shape>
            <w10:wrap type="none"/>
            <w10:anchorlock/>
          </v:group>
        </w:pict>
      </w:r>
    </w:p>
    <w:p w:rsidR="00475650" w:rsidRDefault="00475650">
      <w:pPr>
        <w:pStyle w:val="2f"/>
        <w:spacing w:line="324" w:lineRule="auto"/>
        <w:rPr>
          <w:rFonts w:hAnsi="宋体"/>
        </w:rPr>
      </w:pPr>
      <w:r>
        <w:rPr>
          <w:rFonts w:hAnsi="宋体" w:hint="eastAsia"/>
        </w:rPr>
        <w:t>表</w:t>
      </w:r>
      <w:r>
        <w:rPr>
          <w:rFonts w:hAnsi="宋体" w:hint="eastAsia"/>
        </w:rPr>
        <w:t xml:space="preserve">3.3-14   </w:t>
      </w:r>
      <w:r>
        <w:rPr>
          <w:rFonts w:hAnsi="宋体" w:hint="eastAsia"/>
        </w:rPr>
        <w:t>北控污水处理厂排水水质监测一览表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1075"/>
        <w:gridCol w:w="2000"/>
        <w:gridCol w:w="1999"/>
        <w:gridCol w:w="2000"/>
        <w:gridCol w:w="1997"/>
      </w:tblGrid>
      <w:tr w:rsidR="00475650">
        <w:trPr>
          <w:trHeight w:val="340"/>
          <w:jc w:val="center"/>
        </w:trPr>
        <w:tc>
          <w:tcPr>
            <w:tcW w:w="1075" w:type="dxa"/>
            <w:vAlign w:val="center"/>
          </w:tcPr>
          <w:p w:rsidR="00475650" w:rsidRDefault="00475650">
            <w:pPr>
              <w:ind w:left="-90"/>
              <w:jc w:val="center"/>
              <w:rPr>
                <w:rFonts w:hAnsi="宋体"/>
                <w:spacing w:val="3"/>
                <w:kern w:val="0"/>
                <w:szCs w:val="21"/>
              </w:rPr>
            </w:pPr>
            <w:r>
              <w:rPr>
                <w:rFonts w:hAnsi="宋体"/>
                <w:spacing w:val="3"/>
                <w:kern w:val="0"/>
                <w:szCs w:val="21"/>
              </w:rPr>
              <w:t>序号</w:t>
            </w:r>
          </w:p>
        </w:tc>
        <w:tc>
          <w:tcPr>
            <w:tcW w:w="2000" w:type="dxa"/>
            <w:vAlign w:val="center"/>
          </w:tcPr>
          <w:p w:rsidR="00475650" w:rsidRDefault="00475650">
            <w:pPr>
              <w:ind w:left="-90"/>
              <w:jc w:val="center"/>
              <w:rPr>
                <w:rFonts w:hAnsi="宋体"/>
                <w:spacing w:val="3"/>
                <w:kern w:val="0"/>
                <w:szCs w:val="21"/>
              </w:rPr>
            </w:pPr>
            <w:r>
              <w:rPr>
                <w:rFonts w:hAnsi="宋体"/>
                <w:spacing w:val="3"/>
                <w:kern w:val="0"/>
                <w:szCs w:val="21"/>
              </w:rPr>
              <w:t>监测因子（</w:t>
            </w:r>
            <w:r>
              <w:rPr>
                <w:rFonts w:hAnsi="宋体"/>
                <w:spacing w:val="3"/>
                <w:kern w:val="0"/>
                <w:szCs w:val="21"/>
              </w:rPr>
              <w:t>mg/L</w:t>
            </w:r>
            <w:r>
              <w:rPr>
                <w:rFonts w:hAnsi="宋体"/>
                <w:spacing w:val="3"/>
                <w:kern w:val="0"/>
                <w:szCs w:val="21"/>
              </w:rPr>
              <w:t>）</w:t>
            </w:r>
          </w:p>
        </w:tc>
        <w:tc>
          <w:tcPr>
            <w:tcW w:w="1999" w:type="dxa"/>
            <w:vAlign w:val="center"/>
          </w:tcPr>
          <w:p w:rsidR="00475650" w:rsidRDefault="00475650">
            <w:pPr>
              <w:ind w:left="-90"/>
              <w:jc w:val="center"/>
              <w:rPr>
                <w:rFonts w:hAnsi="宋体"/>
                <w:spacing w:val="3"/>
                <w:kern w:val="0"/>
                <w:szCs w:val="21"/>
              </w:rPr>
            </w:pPr>
            <w:r>
              <w:rPr>
                <w:rFonts w:hAnsi="宋体"/>
                <w:spacing w:val="3"/>
                <w:kern w:val="0"/>
                <w:szCs w:val="21"/>
              </w:rPr>
              <w:t>监测结果（</w:t>
            </w:r>
            <w:r>
              <w:rPr>
                <w:rFonts w:hAnsi="宋体"/>
                <w:spacing w:val="3"/>
                <w:kern w:val="0"/>
                <w:szCs w:val="21"/>
              </w:rPr>
              <w:t>mg/L</w:t>
            </w:r>
            <w:r>
              <w:rPr>
                <w:rFonts w:hAnsi="宋体"/>
                <w:spacing w:val="3"/>
                <w:kern w:val="0"/>
                <w:szCs w:val="21"/>
              </w:rPr>
              <w:t>）</w:t>
            </w:r>
          </w:p>
        </w:tc>
        <w:tc>
          <w:tcPr>
            <w:tcW w:w="2000" w:type="dxa"/>
            <w:vAlign w:val="center"/>
          </w:tcPr>
          <w:p w:rsidR="00475650" w:rsidRDefault="00475650">
            <w:pPr>
              <w:ind w:left="-90"/>
              <w:jc w:val="center"/>
              <w:rPr>
                <w:rFonts w:hAnsi="宋体"/>
                <w:spacing w:val="3"/>
                <w:kern w:val="0"/>
                <w:szCs w:val="21"/>
              </w:rPr>
            </w:pPr>
            <w:r>
              <w:rPr>
                <w:rFonts w:hAnsi="宋体"/>
                <w:spacing w:val="3"/>
                <w:kern w:val="0"/>
                <w:szCs w:val="21"/>
              </w:rPr>
              <w:t>标准值（</w:t>
            </w:r>
            <w:r>
              <w:rPr>
                <w:rFonts w:hAnsi="宋体"/>
                <w:spacing w:val="3"/>
                <w:kern w:val="0"/>
                <w:szCs w:val="21"/>
              </w:rPr>
              <w:t>mg/L</w:t>
            </w:r>
            <w:r>
              <w:rPr>
                <w:rFonts w:hAnsi="宋体"/>
                <w:spacing w:val="3"/>
                <w:kern w:val="0"/>
                <w:szCs w:val="21"/>
              </w:rPr>
              <w:t>）</w:t>
            </w:r>
          </w:p>
        </w:tc>
        <w:tc>
          <w:tcPr>
            <w:tcW w:w="1997" w:type="dxa"/>
            <w:vAlign w:val="center"/>
          </w:tcPr>
          <w:p w:rsidR="00475650" w:rsidRDefault="00475650">
            <w:pPr>
              <w:ind w:left="-90"/>
              <w:jc w:val="center"/>
              <w:rPr>
                <w:rFonts w:hAnsi="宋体"/>
                <w:spacing w:val="3"/>
                <w:kern w:val="0"/>
                <w:szCs w:val="21"/>
              </w:rPr>
            </w:pPr>
            <w:r>
              <w:rPr>
                <w:rFonts w:hAnsi="宋体"/>
                <w:spacing w:val="3"/>
                <w:kern w:val="0"/>
                <w:szCs w:val="21"/>
              </w:rPr>
              <w:t>是否达标</w:t>
            </w:r>
          </w:p>
        </w:tc>
      </w:tr>
      <w:tr w:rsidR="00475650">
        <w:trPr>
          <w:trHeight w:val="146"/>
          <w:jc w:val="center"/>
        </w:trPr>
        <w:tc>
          <w:tcPr>
            <w:tcW w:w="1075" w:type="dxa"/>
            <w:vAlign w:val="center"/>
          </w:tcPr>
          <w:p w:rsidR="00475650" w:rsidRDefault="00475650">
            <w:pPr>
              <w:ind w:left="-90"/>
              <w:jc w:val="center"/>
              <w:rPr>
                <w:rFonts w:hAnsi="宋体"/>
                <w:spacing w:val="3"/>
                <w:kern w:val="0"/>
                <w:szCs w:val="21"/>
              </w:rPr>
            </w:pPr>
            <w:r>
              <w:rPr>
                <w:rFonts w:hAnsi="宋体"/>
                <w:spacing w:val="3"/>
                <w:kern w:val="0"/>
                <w:szCs w:val="21"/>
              </w:rPr>
              <w:t>1</w:t>
            </w:r>
          </w:p>
        </w:tc>
        <w:tc>
          <w:tcPr>
            <w:tcW w:w="2000" w:type="dxa"/>
            <w:vAlign w:val="center"/>
          </w:tcPr>
          <w:p w:rsidR="00475650" w:rsidRDefault="00475650">
            <w:pPr>
              <w:ind w:left="-90"/>
              <w:jc w:val="center"/>
              <w:rPr>
                <w:rFonts w:hAnsi="宋体"/>
                <w:spacing w:val="3"/>
                <w:kern w:val="0"/>
                <w:szCs w:val="21"/>
              </w:rPr>
            </w:pPr>
            <w:r>
              <w:rPr>
                <w:rFonts w:hAnsi="宋体"/>
                <w:spacing w:val="3"/>
                <w:kern w:val="0"/>
                <w:szCs w:val="21"/>
              </w:rPr>
              <w:t>pH</w:t>
            </w:r>
          </w:p>
        </w:tc>
        <w:tc>
          <w:tcPr>
            <w:tcW w:w="1999" w:type="dxa"/>
            <w:vAlign w:val="center"/>
          </w:tcPr>
          <w:p w:rsidR="00475650" w:rsidRDefault="00475650">
            <w:pPr>
              <w:ind w:left="-90"/>
              <w:jc w:val="center"/>
              <w:rPr>
                <w:rFonts w:hAnsi="宋体"/>
                <w:spacing w:val="3"/>
                <w:kern w:val="0"/>
                <w:szCs w:val="21"/>
              </w:rPr>
            </w:pPr>
            <w:r>
              <w:rPr>
                <w:rFonts w:hAnsi="宋体"/>
                <w:spacing w:val="3"/>
                <w:kern w:val="0"/>
                <w:szCs w:val="21"/>
              </w:rPr>
              <w:t>7.47</w:t>
            </w:r>
          </w:p>
        </w:tc>
        <w:tc>
          <w:tcPr>
            <w:tcW w:w="2000" w:type="dxa"/>
            <w:vAlign w:val="center"/>
          </w:tcPr>
          <w:p w:rsidR="00475650" w:rsidRDefault="00475650">
            <w:pPr>
              <w:ind w:left="-90"/>
              <w:jc w:val="center"/>
              <w:rPr>
                <w:rFonts w:hAnsi="宋体"/>
                <w:spacing w:val="3"/>
                <w:kern w:val="0"/>
                <w:szCs w:val="21"/>
              </w:rPr>
            </w:pPr>
            <w:r>
              <w:rPr>
                <w:rFonts w:hAnsi="宋体" w:hint="eastAsia"/>
                <w:spacing w:val="3"/>
                <w:kern w:val="0"/>
                <w:szCs w:val="21"/>
              </w:rPr>
              <w:t>6~9</w:t>
            </w:r>
          </w:p>
        </w:tc>
        <w:tc>
          <w:tcPr>
            <w:tcW w:w="1997" w:type="dxa"/>
            <w:vAlign w:val="center"/>
          </w:tcPr>
          <w:p w:rsidR="00475650" w:rsidRDefault="00475650">
            <w:pPr>
              <w:ind w:left="-90"/>
              <w:jc w:val="center"/>
              <w:rPr>
                <w:rFonts w:hAnsi="宋体"/>
                <w:spacing w:val="3"/>
                <w:kern w:val="0"/>
                <w:szCs w:val="21"/>
              </w:rPr>
            </w:pPr>
            <w:r>
              <w:rPr>
                <w:rFonts w:hAnsi="宋体" w:hint="eastAsia"/>
                <w:spacing w:val="3"/>
                <w:kern w:val="0"/>
                <w:szCs w:val="21"/>
              </w:rPr>
              <w:t>是</w:t>
            </w:r>
          </w:p>
        </w:tc>
      </w:tr>
      <w:tr w:rsidR="00475650">
        <w:trPr>
          <w:trHeight w:val="277"/>
          <w:jc w:val="center"/>
        </w:trPr>
        <w:tc>
          <w:tcPr>
            <w:tcW w:w="1075" w:type="dxa"/>
            <w:vAlign w:val="center"/>
          </w:tcPr>
          <w:p w:rsidR="00475650" w:rsidRDefault="00475650">
            <w:pPr>
              <w:ind w:left="-90"/>
              <w:jc w:val="center"/>
              <w:rPr>
                <w:rFonts w:hAnsi="宋体"/>
                <w:spacing w:val="3"/>
                <w:kern w:val="0"/>
                <w:szCs w:val="21"/>
              </w:rPr>
            </w:pPr>
            <w:r>
              <w:rPr>
                <w:rFonts w:hAnsi="宋体"/>
                <w:spacing w:val="3"/>
                <w:kern w:val="0"/>
                <w:szCs w:val="21"/>
              </w:rPr>
              <w:t>2</w:t>
            </w:r>
          </w:p>
        </w:tc>
        <w:tc>
          <w:tcPr>
            <w:tcW w:w="2000" w:type="dxa"/>
            <w:vAlign w:val="center"/>
          </w:tcPr>
          <w:p w:rsidR="00475650" w:rsidRDefault="00475650">
            <w:pPr>
              <w:ind w:left="-90"/>
              <w:jc w:val="center"/>
              <w:rPr>
                <w:rFonts w:hAnsi="宋体"/>
                <w:spacing w:val="3"/>
                <w:kern w:val="0"/>
                <w:szCs w:val="21"/>
              </w:rPr>
            </w:pPr>
            <w:r>
              <w:rPr>
                <w:rFonts w:hAnsi="宋体"/>
                <w:spacing w:val="3"/>
                <w:kern w:val="0"/>
                <w:szCs w:val="21"/>
              </w:rPr>
              <w:t>COD</w:t>
            </w:r>
          </w:p>
        </w:tc>
        <w:tc>
          <w:tcPr>
            <w:tcW w:w="1999" w:type="dxa"/>
            <w:vAlign w:val="center"/>
          </w:tcPr>
          <w:p w:rsidR="00475650" w:rsidRDefault="00475650">
            <w:pPr>
              <w:ind w:left="-90"/>
              <w:jc w:val="center"/>
              <w:rPr>
                <w:rFonts w:hAnsi="宋体"/>
                <w:spacing w:val="3"/>
                <w:kern w:val="0"/>
                <w:szCs w:val="21"/>
              </w:rPr>
            </w:pPr>
            <w:r>
              <w:rPr>
                <w:rFonts w:hAnsi="宋体"/>
                <w:spacing w:val="3"/>
                <w:kern w:val="0"/>
                <w:szCs w:val="21"/>
              </w:rPr>
              <w:t>65.9</w:t>
            </w:r>
          </w:p>
        </w:tc>
        <w:tc>
          <w:tcPr>
            <w:tcW w:w="2000" w:type="dxa"/>
            <w:vAlign w:val="center"/>
          </w:tcPr>
          <w:p w:rsidR="00475650" w:rsidRDefault="00475650">
            <w:pPr>
              <w:ind w:left="-90"/>
              <w:jc w:val="center"/>
              <w:rPr>
                <w:rFonts w:hAnsi="宋体"/>
                <w:spacing w:val="3"/>
                <w:kern w:val="0"/>
                <w:szCs w:val="21"/>
              </w:rPr>
            </w:pPr>
            <w:r>
              <w:rPr>
                <w:rFonts w:hAnsi="宋体" w:hint="eastAsia"/>
                <w:spacing w:val="3"/>
                <w:kern w:val="0"/>
                <w:szCs w:val="21"/>
              </w:rPr>
              <w:t>100</w:t>
            </w:r>
          </w:p>
        </w:tc>
        <w:tc>
          <w:tcPr>
            <w:tcW w:w="1997" w:type="dxa"/>
            <w:vAlign w:val="center"/>
          </w:tcPr>
          <w:p w:rsidR="00475650" w:rsidRDefault="00475650">
            <w:pPr>
              <w:ind w:left="-90"/>
              <w:jc w:val="center"/>
              <w:rPr>
                <w:rFonts w:hAnsi="宋体"/>
                <w:spacing w:val="3"/>
                <w:kern w:val="0"/>
                <w:szCs w:val="21"/>
              </w:rPr>
            </w:pPr>
            <w:r>
              <w:rPr>
                <w:rFonts w:hAnsi="宋体" w:hint="eastAsia"/>
                <w:spacing w:val="3"/>
                <w:kern w:val="0"/>
                <w:szCs w:val="21"/>
              </w:rPr>
              <w:t>是</w:t>
            </w:r>
          </w:p>
        </w:tc>
      </w:tr>
      <w:tr w:rsidR="00475650">
        <w:trPr>
          <w:trHeight w:val="126"/>
          <w:jc w:val="center"/>
        </w:trPr>
        <w:tc>
          <w:tcPr>
            <w:tcW w:w="1075" w:type="dxa"/>
            <w:vAlign w:val="center"/>
          </w:tcPr>
          <w:p w:rsidR="00475650" w:rsidRDefault="00475650">
            <w:pPr>
              <w:ind w:left="-90"/>
              <w:jc w:val="center"/>
              <w:rPr>
                <w:rFonts w:hAnsi="宋体"/>
                <w:spacing w:val="3"/>
                <w:kern w:val="0"/>
                <w:szCs w:val="21"/>
              </w:rPr>
            </w:pPr>
            <w:r>
              <w:rPr>
                <w:rFonts w:hAnsi="宋体"/>
                <w:spacing w:val="3"/>
                <w:kern w:val="0"/>
                <w:szCs w:val="21"/>
              </w:rPr>
              <w:t>3</w:t>
            </w:r>
          </w:p>
        </w:tc>
        <w:tc>
          <w:tcPr>
            <w:tcW w:w="2000" w:type="dxa"/>
            <w:vAlign w:val="center"/>
          </w:tcPr>
          <w:p w:rsidR="00475650" w:rsidRDefault="00475650">
            <w:pPr>
              <w:ind w:left="-90"/>
              <w:jc w:val="center"/>
              <w:rPr>
                <w:rFonts w:hAnsi="宋体"/>
                <w:spacing w:val="3"/>
                <w:kern w:val="0"/>
                <w:szCs w:val="21"/>
              </w:rPr>
            </w:pPr>
            <w:r>
              <w:rPr>
                <w:rFonts w:hAnsi="宋体"/>
                <w:spacing w:val="3"/>
                <w:kern w:val="0"/>
                <w:szCs w:val="21"/>
              </w:rPr>
              <w:t>SS</w:t>
            </w:r>
          </w:p>
        </w:tc>
        <w:tc>
          <w:tcPr>
            <w:tcW w:w="1999" w:type="dxa"/>
            <w:vAlign w:val="center"/>
          </w:tcPr>
          <w:p w:rsidR="00475650" w:rsidRDefault="00475650">
            <w:pPr>
              <w:ind w:left="-90"/>
              <w:jc w:val="center"/>
              <w:rPr>
                <w:rFonts w:hAnsi="宋体"/>
                <w:spacing w:val="3"/>
                <w:kern w:val="0"/>
                <w:szCs w:val="21"/>
              </w:rPr>
            </w:pPr>
            <w:r>
              <w:rPr>
                <w:rFonts w:hAnsi="宋体"/>
                <w:spacing w:val="3"/>
                <w:kern w:val="0"/>
                <w:szCs w:val="21"/>
              </w:rPr>
              <w:t>19</w:t>
            </w:r>
          </w:p>
        </w:tc>
        <w:tc>
          <w:tcPr>
            <w:tcW w:w="2000" w:type="dxa"/>
            <w:vAlign w:val="center"/>
          </w:tcPr>
          <w:p w:rsidR="00475650" w:rsidRDefault="00475650">
            <w:pPr>
              <w:ind w:left="-90"/>
              <w:jc w:val="center"/>
              <w:rPr>
                <w:rFonts w:hAnsi="宋体"/>
                <w:spacing w:val="3"/>
                <w:kern w:val="0"/>
                <w:szCs w:val="21"/>
              </w:rPr>
            </w:pPr>
            <w:r>
              <w:rPr>
                <w:rFonts w:hAnsi="宋体" w:hint="eastAsia"/>
                <w:spacing w:val="3"/>
                <w:kern w:val="0"/>
                <w:szCs w:val="21"/>
              </w:rPr>
              <w:t>20</w:t>
            </w:r>
          </w:p>
        </w:tc>
        <w:tc>
          <w:tcPr>
            <w:tcW w:w="1997" w:type="dxa"/>
            <w:vAlign w:val="center"/>
          </w:tcPr>
          <w:p w:rsidR="00475650" w:rsidRDefault="00475650">
            <w:pPr>
              <w:ind w:left="-90"/>
              <w:jc w:val="center"/>
              <w:rPr>
                <w:rFonts w:hAnsi="宋体"/>
                <w:spacing w:val="3"/>
                <w:kern w:val="0"/>
                <w:szCs w:val="21"/>
              </w:rPr>
            </w:pPr>
            <w:r>
              <w:rPr>
                <w:rFonts w:hAnsi="宋体" w:hint="eastAsia"/>
                <w:spacing w:val="3"/>
                <w:kern w:val="0"/>
                <w:szCs w:val="21"/>
              </w:rPr>
              <w:t>是</w:t>
            </w:r>
          </w:p>
        </w:tc>
      </w:tr>
      <w:tr w:rsidR="00475650">
        <w:trPr>
          <w:trHeight w:val="271"/>
          <w:jc w:val="center"/>
        </w:trPr>
        <w:tc>
          <w:tcPr>
            <w:tcW w:w="1075" w:type="dxa"/>
            <w:vAlign w:val="center"/>
          </w:tcPr>
          <w:p w:rsidR="00475650" w:rsidRDefault="00475650">
            <w:pPr>
              <w:ind w:left="-90"/>
              <w:jc w:val="center"/>
              <w:rPr>
                <w:rFonts w:hAnsi="宋体"/>
                <w:spacing w:val="3"/>
                <w:kern w:val="0"/>
                <w:szCs w:val="21"/>
              </w:rPr>
            </w:pPr>
            <w:r>
              <w:rPr>
                <w:rFonts w:hAnsi="宋体"/>
                <w:spacing w:val="3"/>
                <w:kern w:val="0"/>
                <w:szCs w:val="21"/>
              </w:rPr>
              <w:t>4</w:t>
            </w:r>
          </w:p>
        </w:tc>
        <w:tc>
          <w:tcPr>
            <w:tcW w:w="2000" w:type="dxa"/>
            <w:vAlign w:val="center"/>
          </w:tcPr>
          <w:p w:rsidR="00475650" w:rsidRDefault="00475650">
            <w:pPr>
              <w:ind w:left="-90"/>
              <w:jc w:val="center"/>
              <w:rPr>
                <w:rFonts w:hAnsi="宋体"/>
                <w:spacing w:val="3"/>
                <w:kern w:val="0"/>
                <w:szCs w:val="21"/>
              </w:rPr>
            </w:pPr>
            <w:r>
              <w:rPr>
                <w:rFonts w:hAnsi="宋体"/>
                <w:spacing w:val="3"/>
                <w:kern w:val="0"/>
                <w:szCs w:val="21"/>
              </w:rPr>
              <w:t>色度</w:t>
            </w:r>
          </w:p>
        </w:tc>
        <w:tc>
          <w:tcPr>
            <w:tcW w:w="1999" w:type="dxa"/>
            <w:vAlign w:val="center"/>
          </w:tcPr>
          <w:p w:rsidR="00475650" w:rsidRDefault="00475650">
            <w:pPr>
              <w:ind w:left="-90"/>
              <w:jc w:val="center"/>
              <w:rPr>
                <w:rFonts w:hAnsi="宋体"/>
                <w:spacing w:val="3"/>
                <w:kern w:val="0"/>
                <w:szCs w:val="21"/>
              </w:rPr>
            </w:pPr>
            <w:r>
              <w:rPr>
                <w:rFonts w:hAnsi="宋体"/>
                <w:spacing w:val="3"/>
                <w:kern w:val="0"/>
                <w:szCs w:val="21"/>
              </w:rPr>
              <w:t>8</w:t>
            </w:r>
          </w:p>
        </w:tc>
        <w:tc>
          <w:tcPr>
            <w:tcW w:w="2000" w:type="dxa"/>
            <w:vAlign w:val="center"/>
          </w:tcPr>
          <w:p w:rsidR="00475650" w:rsidRDefault="00475650">
            <w:pPr>
              <w:ind w:left="-90"/>
              <w:jc w:val="center"/>
              <w:rPr>
                <w:rFonts w:hAnsi="宋体"/>
                <w:spacing w:val="3"/>
                <w:kern w:val="0"/>
                <w:szCs w:val="21"/>
              </w:rPr>
            </w:pPr>
            <w:r>
              <w:rPr>
                <w:rFonts w:hAnsi="宋体" w:hint="eastAsia"/>
                <w:spacing w:val="3"/>
                <w:kern w:val="0"/>
                <w:szCs w:val="21"/>
              </w:rPr>
              <w:t>50</w:t>
            </w:r>
          </w:p>
        </w:tc>
        <w:tc>
          <w:tcPr>
            <w:tcW w:w="1997" w:type="dxa"/>
            <w:vAlign w:val="center"/>
          </w:tcPr>
          <w:p w:rsidR="00475650" w:rsidRDefault="00475650">
            <w:pPr>
              <w:ind w:left="-90"/>
              <w:jc w:val="center"/>
              <w:rPr>
                <w:rFonts w:hAnsi="宋体"/>
                <w:spacing w:val="3"/>
                <w:kern w:val="0"/>
                <w:szCs w:val="21"/>
              </w:rPr>
            </w:pPr>
            <w:r>
              <w:rPr>
                <w:rFonts w:hAnsi="宋体" w:hint="eastAsia"/>
                <w:spacing w:val="3"/>
                <w:kern w:val="0"/>
                <w:szCs w:val="21"/>
              </w:rPr>
              <w:t>是</w:t>
            </w:r>
          </w:p>
        </w:tc>
      </w:tr>
      <w:tr w:rsidR="00475650">
        <w:trPr>
          <w:trHeight w:val="262"/>
          <w:jc w:val="center"/>
        </w:trPr>
        <w:tc>
          <w:tcPr>
            <w:tcW w:w="1075" w:type="dxa"/>
            <w:vAlign w:val="center"/>
          </w:tcPr>
          <w:p w:rsidR="00475650" w:rsidRDefault="00475650">
            <w:pPr>
              <w:ind w:left="-90"/>
              <w:jc w:val="center"/>
              <w:rPr>
                <w:rFonts w:hAnsi="宋体"/>
                <w:spacing w:val="3"/>
                <w:kern w:val="0"/>
                <w:szCs w:val="21"/>
              </w:rPr>
            </w:pPr>
            <w:r>
              <w:rPr>
                <w:rFonts w:hAnsi="宋体"/>
                <w:spacing w:val="3"/>
                <w:kern w:val="0"/>
                <w:szCs w:val="21"/>
              </w:rPr>
              <w:t>5</w:t>
            </w:r>
          </w:p>
        </w:tc>
        <w:tc>
          <w:tcPr>
            <w:tcW w:w="2000" w:type="dxa"/>
            <w:vAlign w:val="center"/>
          </w:tcPr>
          <w:p w:rsidR="00475650" w:rsidRDefault="00475650">
            <w:pPr>
              <w:ind w:left="-90"/>
              <w:jc w:val="center"/>
              <w:rPr>
                <w:rFonts w:hAnsi="宋体"/>
                <w:spacing w:val="3"/>
                <w:kern w:val="0"/>
                <w:szCs w:val="21"/>
              </w:rPr>
            </w:pPr>
            <w:r>
              <w:rPr>
                <w:rFonts w:hAnsi="宋体"/>
                <w:spacing w:val="3"/>
                <w:kern w:val="0"/>
                <w:szCs w:val="21"/>
              </w:rPr>
              <w:t>总磷</w:t>
            </w:r>
          </w:p>
        </w:tc>
        <w:tc>
          <w:tcPr>
            <w:tcW w:w="1999" w:type="dxa"/>
            <w:vAlign w:val="center"/>
          </w:tcPr>
          <w:p w:rsidR="00475650" w:rsidRDefault="00475650">
            <w:pPr>
              <w:ind w:left="-90"/>
              <w:jc w:val="center"/>
              <w:rPr>
                <w:rFonts w:hAnsi="宋体"/>
                <w:spacing w:val="3"/>
                <w:kern w:val="0"/>
                <w:szCs w:val="21"/>
              </w:rPr>
            </w:pPr>
            <w:r>
              <w:rPr>
                <w:rFonts w:hAnsi="宋体"/>
                <w:spacing w:val="3"/>
                <w:kern w:val="0"/>
                <w:szCs w:val="21"/>
              </w:rPr>
              <w:t>0.13</w:t>
            </w:r>
          </w:p>
        </w:tc>
        <w:tc>
          <w:tcPr>
            <w:tcW w:w="2000" w:type="dxa"/>
            <w:vAlign w:val="center"/>
          </w:tcPr>
          <w:p w:rsidR="00475650" w:rsidRDefault="00475650">
            <w:pPr>
              <w:ind w:left="-90"/>
              <w:jc w:val="center"/>
              <w:rPr>
                <w:rFonts w:hAnsi="宋体"/>
                <w:spacing w:val="3"/>
                <w:kern w:val="0"/>
                <w:szCs w:val="21"/>
              </w:rPr>
            </w:pPr>
            <w:r>
              <w:rPr>
                <w:rFonts w:hAnsi="宋体" w:hint="eastAsia"/>
                <w:spacing w:val="3"/>
                <w:kern w:val="0"/>
                <w:szCs w:val="21"/>
              </w:rPr>
              <w:t>--</w:t>
            </w:r>
          </w:p>
        </w:tc>
        <w:tc>
          <w:tcPr>
            <w:tcW w:w="1997" w:type="dxa"/>
            <w:vAlign w:val="center"/>
          </w:tcPr>
          <w:p w:rsidR="00475650" w:rsidRDefault="00475650">
            <w:pPr>
              <w:ind w:left="-90"/>
              <w:jc w:val="center"/>
              <w:rPr>
                <w:rFonts w:hAnsi="宋体"/>
                <w:spacing w:val="3"/>
                <w:kern w:val="0"/>
                <w:szCs w:val="21"/>
              </w:rPr>
            </w:pPr>
            <w:r>
              <w:rPr>
                <w:rFonts w:hAnsi="宋体" w:hint="eastAsia"/>
                <w:spacing w:val="3"/>
                <w:kern w:val="0"/>
                <w:szCs w:val="21"/>
              </w:rPr>
              <w:t>是</w:t>
            </w:r>
          </w:p>
        </w:tc>
      </w:tr>
      <w:tr w:rsidR="00475650">
        <w:trPr>
          <w:trHeight w:val="265"/>
          <w:jc w:val="center"/>
        </w:trPr>
        <w:tc>
          <w:tcPr>
            <w:tcW w:w="1075" w:type="dxa"/>
            <w:vAlign w:val="center"/>
          </w:tcPr>
          <w:p w:rsidR="00475650" w:rsidRDefault="00475650">
            <w:pPr>
              <w:ind w:left="-90"/>
              <w:jc w:val="center"/>
              <w:rPr>
                <w:rFonts w:hAnsi="宋体"/>
                <w:spacing w:val="3"/>
                <w:kern w:val="0"/>
                <w:szCs w:val="21"/>
              </w:rPr>
            </w:pPr>
            <w:r>
              <w:rPr>
                <w:rFonts w:hAnsi="宋体"/>
                <w:spacing w:val="3"/>
                <w:kern w:val="0"/>
                <w:szCs w:val="21"/>
              </w:rPr>
              <w:t>6</w:t>
            </w:r>
          </w:p>
        </w:tc>
        <w:tc>
          <w:tcPr>
            <w:tcW w:w="2000" w:type="dxa"/>
            <w:vAlign w:val="center"/>
          </w:tcPr>
          <w:p w:rsidR="00475650" w:rsidRDefault="00475650">
            <w:pPr>
              <w:ind w:left="-90"/>
              <w:jc w:val="center"/>
              <w:rPr>
                <w:rFonts w:hAnsi="宋体"/>
                <w:spacing w:val="3"/>
                <w:kern w:val="0"/>
                <w:szCs w:val="21"/>
              </w:rPr>
            </w:pPr>
            <w:r>
              <w:rPr>
                <w:rFonts w:hAnsi="宋体"/>
                <w:spacing w:val="3"/>
                <w:kern w:val="0"/>
                <w:szCs w:val="21"/>
              </w:rPr>
              <w:t>挥发酚</w:t>
            </w:r>
          </w:p>
        </w:tc>
        <w:tc>
          <w:tcPr>
            <w:tcW w:w="1999" w:type="dxa"/>
            <w:vAlign w:val="center"/>
          </w:tcPr>
          <w:p w:rsidR="00475650" w:rsidRDefault="00475650">
            <w:pPr>
              <w:ind w:left="-90"/>
              <w:jc w:val="center"/>
              <w:rPr>
                <w:rFonts w:hAnsi="宋体"/>
                <w:spacing w:val="3"/>
                <w:kern w:val="0"/>
                <w:szCs w:val="21"/>
              </w:rPr>
            </w:pPr>
            <w:r>
              <w:rPr>
                <w:rFonts w:hAnsi="宋体"/>
                <w:spacing w:val="3"/>
                <w:kern w:val="0"/>
                <w:szCs w:val="21"/>
              </w:rPr>
              <w:t>0.08</w:t>
            </w:r>
          </w:p>
        </w:tc>
        <w:tc>
          <w:tcPr>
            <w:tcW w:w="2000" w:type="dxa"/>
            <w:vAlign w:val="center"/>
          </w:tcPr>
          <w:p w:rsidR="00475650" w:rsidRDefault="00475650">
            <w:pPr>
              <w:ind w:left="-90"/>
              <w:jc w:val="center"/>
              <w:rPr>
                <w:rFonts w:hAnsi="宋体"/>
                <w:spacing w:val="3"/>
                <w:kern w:val="0"/>
                <w:szCs w:val="21"/>
              </w:rPr>
            </w:pPr>
            <w:r>
              <w:rPr>
                <w:rFonts w:hAnsi="宋体" w:hint="eastAsia"/>
                <w:spacing w:val="3"/>
                <w:kern w:val="0"/>
                <w:szCs w:val="21"/>
              </w:rPr>
              <w:t>0.5</w:t>
            </w:r>
          </w:p>
        </w:tc>
        <w:tc>
          <w:tcPr>
            <w:tcW w:w="1997" w:type="dxa"/>
            <w:vAlign w:val="center"/>
          </w:tcPr>
          <w:p w:rsidR="00475650" w:rsidRDefault="00475650">
            <w:pPr>
              <w:ind w:left="-90"/>
              <w:jc w:val="center"/>
              <w:rPr>
                <w:rFonts w:hAnsi="宋体"/>
                <w:spacing w:val="3"/>
                <w:kern w:val="0"/>
                <w:szCs w:val="21"/>
              </w:rPr>
            </w:pPr>
            <w:r>
              <w:rPr>
                <w:rFonts w:hAnsi="宋体" w:hint="eastAsia"/>
                <w:spacing w:val="3"/>
                <w:kern w:val="0"/>
                <w:szCs w:val="21"/>
              </w:rPr>
              <w:t>是</w:t>
            </w:r>
          </w:p>
        </w:tc>
      </w:tr>
      <w:tr w:rsidR="00475650">
        <w:trPr>
          <w:trHeight w:val="256"/>
          <w:jc w:val="center"/>
        </w:trPr>
        <w:tc>
          <w:tcPr>
            <w:tcW w:w="1075" w:type="dxa"/>
            <w:vAlign w:val="center"/>
          </w:tcPr>
          <w:p w:rsidR="00475650" w:rsidRDefault="00475650">
            <w:pPr>
              <w:ind w:left="-90"/>
              <w:jc w:val="center"/>
              <w:rPr>
                <w:rFonts w:hAnsi="宋体"/>
                <w:spacing w:val="3"/>
                <w:kern w:val="0"/>
                <w:szCs w:val="21"/>
              </w:rPr>
            </w:pPr>
            <w:r>
              <w:rPr>
                <w:rFonts w:hAnsi="宋体"/>
                <w:spacing w:val="3"/>
                <w:kern w:val="0"/>
                <w:szCs w:val="21"/>
              </w:rPr>
              <w:t>7</w:t>
            </w:r>
          </w:p>
        </w:tc>
        <w:tc>
          <w:tcPr>
            <w:tcW w:w="2000" w:type="dxa"/>
            <w:vAlign w:val="center"/>
          </w:tcPr>
          <w:p w:rsidR="00475650" w:rsidRDefault="00475650">
            <w:pPr>
              <w:ind w:left="-90"/>
              <w:jc w:val="center"/>
              <w:rPr>
                <w:rFonts w:hAnsi="宋体"/>
                <w:spacing w:val="3"/>
                <w:kern w:val="0"/>
                <w:szCs w:val="21"/>
              </w:rPr>
            </w:pPr>
            <w:r>
              <w:rPr>
                <w:rFonts w:hAnsi="宋体"/>
                <w:spacing w:val="3"/>
                <w:kern w:val="0"/>
                <w:szCs w:val="21"/>
              </w:rPr>
              <w:t>氨氮</w:t>
            </w:r>
          </w:p>
        </w:tc>
        <w:tc>
          <w:tcPr>
            <w:tcW w:w="1999" w:type="dxa"/>
            <w:vAlign w:val="center"/>
          </w:tcPr>
          <w:p w:rsidR="00475650" w:rsidRDefault="00475650">
            <w:pPr>
              <w:ind w:left="-90"/>
              <w:jc w:val="center"/>
              <w:rPr>
                <w:rFonts w:hAnsi="宋体"/>
                <w:spacing w:val="3"/>
                <w:kern w:val="0"/>
                <w:szCs w:val="21"/>
              </w:rPr>
            </w:pPr>
            <w:r>
              <w:rPr>
                <w:rFonts w:hAnsi="宋体"/>
                <w:spacing w:val="3"/>
                <w:kern w:val="0"/>
                <w:szCs w:val="21"/>
              </w:rPr>
              <w:t>10.19</w:t>
            </w:r>
          </w:p>
        </w:tc>
        <w:tc>
          <w:tcPr>
            <w:tcW w:w="2000" w:type="dxa"/>
            <w:vAlign w:val="center"/>
          </w:tcPr>
          <w:p w:rsidR="00475650" w:rsidRDefault="00475650">
            <w:pPr>
              <w:ind w:left="-90"/>
              <w:jc w:val="center"/>
              <w:rPr>
                <w:rFonts w:hAnsi="宋体"/>
                <w:spacing w:val="3"/>
                <w:kern w:val="0"/>
                <w:szCs w:val="21"/>
              </w:rPr>
            </w:pPr>
            <w:r>
              <w:rPr>
                <w:rFonts w:hAnsi="宋体" w:hint="eastAsia"/>
                <w:spacing w:val="3"/>
                <w:kern w:val="0"/>
                <w:szCs w:val="21"/>
              </w:rPr>
              <w:t>15</w:t>
            </w:r>
          </w:p>
        </w:tc>
        <w:tc>
          <w:tcPr>
            <w:tcW w:w="1997" w:type="dxa"/>
            <w:vAlign w:val="center"/>
          </w:tcPr>
          <w:p w:rsidR="00475650" w:rsidRDefault="00475650">
            <w:pPr>
              <w:ind w:left="-90"/>
              <w:jc w:val="center"/>
              <w:rPr>
                <w:rFonts w:hAnsi="宋体"/>
                <w:spacing w:val="3"/>
                <w:kern w:val="0"/>
                <w:szCs w:val="21"/>
              </w:rPr>
            </w:pPr>
            <w:r>
              <w:rPr>
                <w:rFonts w:hAnsi="宋体" w:hint="eastAsia"/>
                <w:spacing w:val="3"/>
                <w:kern w:val="0"/>
                <w:szCs w:val="21"/>
              </w:rPr>
              <w:t>是</w:t>
            </w:r>
          </w:p>
        </w:tc>
      </w:tr>
      <w:tr w:rsidR="00475650">
        <w:trPr>
          <w:trHeight w:val="210"/>
          <w:jc w:val="center"/>
        </w:trPr>
        <w:tc>
          <w:tcPr>
            <w:tcW w:w="1075" w:type="dxa"/>
            <w:vAlign w:val="center"/>
          </w:tcPr>
          <w:p w:rsidR="00475650" w:rsidRDefault="00475650">
            <w:pPr>
              <w:ind w:left="-90"/>
              <w:jc w:val="center"/>
              <w:rPr>
                <w:rFonts w:hAnsi="宋体"/>
                <w:spacing w:val="3"/>
                <w:kern w:val="0"/>
                <w:szCs w:val="21"/>
              </w:rPr>
            </w:pPr>
            <w:r>
              <w:rPr>
                <w:rFonts w:hAnsi="宋体"/>
                <w:spacing w:val="3"/>
                <w:kern w:val="0"/>
                <w:szCs w:val="21"/>
              </w:rPr>
              <w:t>8</w:t>
            </w:r>
          </w:p>
        </w:tc>
        <w:tc>
          <w:tcPr>
            <w:tcW w:w="2000" w:type="dxa"/>
            <w:vAlign w:val="center"/>
          </w:tcPr>
          <w:p w:rsidR="00475650" w:rsidRDefault="00475650">
            <w:pPr>
              <w:ind w:left="-90"/>
              <w:jc w:val="center"/>
              <w:rPr>
                <w:rFonts w:hAnsi="宋体"/>
                <w:spacing w:val="3"/>
                <w:kern w:val="0"/>
                <w:szCs w:val="21"/>
              </w:rPr>
            </w:pPr>
            <w:r>
              <w:rPr>
                <w:rFonts w:hAnsi="宋体"/>
                <w:spacing w:val="3"/>
                <w:kern w:val="0"/>
                <w:szCs w:val="21"/>
              </w:rPr>
              <w:t>氰化物</w:t>
            </w:r>
          </w:p>
        </w:tc>
        <w:tc>
          <w:tcPr>
            <w:tcW w:w="1999" w:type="dxa"/>
            <w:vAlign w:val="center"/>
          </w:tcPr>
          <w:p w:rsidR="00475650" w:rsidRDefault="00475650">
            <w:pPr>
              <w:ind w:left="-90"/>
              <w:jc w:val="center"/>
              <w:rPr>
                <w:rFonts w:hAnsi="宋体"/>
                <w:spacing w:val="3"/>
                <w:kern w:val="0"/>
                <w:szCs w:val="21"/>
              </w:rPr>
            </w:pPr>
            <w:r>
              <w:rPr>
                <w:rFonts w:hAnsi="宋体"/>
                <w:spacing w:val="3"/>
                <w:kern w:val="0"/>
                <w:szCs w:val="21"/>
              </w:rPr>
              <w:t>0.004ND</w:t>
            </w:r>
          </w:p>
        </w:tc>
        <w:tc>
          <w:tcPr>
            <w:tcW w:w="2000" w:type="dxa"/>
            <w:vAlign w:val="center"/>
          </w:tcPr>
          <w:p w:rsidR="00475650" w:rsidRDefault="00475650">
            <w:pPr>
              <w:ind w:left="-90"/>
              <w:jc w:val="center"/>
              <w:rPr>
                <w:rFonts w:hAnsi="宋体"/>
                <w:spacing w:val="3"/>
                <w:kern w:val="0"/>
                <w:szCs w:val="21"/>
              </w:rPr>
            </w:pPr>
            <w:r>
              <w:rPr>
                <w:rFonts w:hAnsi="宋体" w:hint="eastAsia"/>
                <w:spacing w:val="3"/>
                <w:kern w:val="0"/>
                <w:szCs w:val="21"/>
              </w:rPr>
              <w:t>0.5</w:t>
            </w:r>
          </w:p>
        </w:tc>
        <w:tc>
          <w:tcPr>
            <w:tcW w:w="1997" w:type="dxa"/>
            <w:vAlign w:val="center"/>
          </w:tcPr>
          <w:p w:rsidR="00475650" w:rsidRDefault="00475650">
            <w:pPr>
              <w:ind w:left="-90"/>
              <w:jc w:val="center"/>
              <w:rPr>
                <w:rFonts w:hAnsi="宋体"/>
                <w:spacing w:val="3"/>
                <w:kern w:val="0"/>
                <w:szCs w:val="21"/>
              </w:rPr>
            </w:pPr>
            <w:r>
              <w:rPr>
                <w:rFonts w:hAnsi="宋体" w:hint="eastAsia"/>
                <w:spacing w:val="3"/>
                <w:kern w:val="0"/>
                <w:szCs w:val="21"/>
              </w:rPr>
              <w:t>是</w:t>
            </w:r>
          </w:p>
        </w:tc>
      </w:tr>
    </w:tbl>
    <w:p w:rsidR="00475650" w:rsidRDefault="00475650">
      <w:pPr>
        <w:snapToGrid w:val="0"/>
        <w:spacing w:line="360" w:lineRule="auto"/>
        <w:ind w:firstLineChars="200" w:firstLine="360"/>
        <w:rPr>
          <w:rFonts w:hAnsi="宋体"/>
          <w:sz w:val="18"/>
          <w:szCs w:val="18"/>
        </w:rPr>
      </w:pPr>
      <w:r>
        <w:rPr>
          <w:rFonts w:hAnsi="宋体" w:hint="eastAsia"/>
          <w:sz w:val="18"/>
          <w:szCs w:val="18"/>
        </w:rPr>
        <w:t>注：</w:t>
      </w:r>
      <w:r>
        <w:rPr>
          <w:rFonts w:hAnsi="宋体" w:hint="eastAsia"/>
          <w:sz w:val="18"/>
          <w:szCs w:val="18"/>
        </w:rPr>
        <w:t>ND</w:t>
      </w:r>
      <w:r>
        <w:rPr>
          <w:rFonts w:hAnsi="宋体" w:hint="eastAsia"/>
          <w:sz w:val="18"/>
          <w:szCs w:val="18"/>
        </w:rPr>
        <w:t>达标未检出。</w:t>
      </w:r>
    </w:p>
    <w:p w:rsidR="00475650" w:rsidRDefault="00475650">
      <w:pPr>
        <w:snapToGrid w:val="0"/>
        <w:spacing w:line="360" w:lineRule="auto"/>
        <w:ind w:firstLineChars="200" w:firstLine="360"/>
        <w:rPr>
          <w:rFonts w:hAnsi="宋体"/>
          <w:sz w:val="18"/>
          <w:szCs w:val="18"/>
        </w:rPr>
      </w:pPr>
    </w:p>
    <w:p w:rsidR="00475650" w:rsidRDefault="00475650">
      <w:pPr>
        <w:snapToGrid w:val="0"/>
        <w:spacing w:line="360" w:lineRule="auto"/>
        <w:ind w:firstLineChars="200" w:firstLine="360"/>
        <w:rPr>
          <w:rFonts w:hAnsi="宋体"/>
          <w:sz w:val="18"/>
          <w:szCs w:val="18"/>
        </w:rPr>
      </w:pPr>
    </w:p>
    <w:p w:rsidR="00475650" w:rsidRDefault="00475650">
      <w:pPr>
        <w:snapToGrid w:val="0"/>
        <w:spacing w:line="360" w:lineRule="auto"/>
        <w:ind w:firstLineChars="200" w:firstLine="360"/>
        <w:rPr>
          <w:rFonts w:hAnsi="宋体"/>
          <w:sz w:val="18"/>
          <w:szCs w:val="18"/>
        </w:rPr>
      </w:pPr>
    </w:p>
    <w:p w:rsidR="00475650" w:rsidRDefault="00475650">
      <w:pPr>
        <w:snapToGrid w:val="0"/>
        <w:spacing w:line="360" w:lineRule="auto"/>
        <w:ind w:firstLineChars="200" w:firstLine="360"/>
        <w:rPr>
          <w:rFonts w:hAnsi="宋体"/>
          <w:sz w:val="18"/>
          <w:szCs w:val="18"/>
        </w:rPr>
      </w:pPr>
    </w:p>
    <w:p w:rsidR="00475650" w:rsidRDefault="00475650">
      <w:pPr>
        <w:ind w:left="-90"/>
        <w:jc w:val="center"/>
        <w:rPr>
          <w:rFonts w:hAnsi="宋体"/>
          <w:spacing w:val="3"/>
          <w:kern w:val="0"/>
          <w:szCs w:val="21"/>
        </w:rPr>
      </w:pPr>
      <w:r>
        <w:rPr>
          <w:rFonts w:hAnsi="宋体"/>
          <w:spacing w:val="3"/>
          <w:kern w:val="0"/>
          <w:szCs w:val="21"/>
        </w:rPr>
        <w:lastRenderedPageBreak/>
        <w:t>表</w:t>
      </w:r>
      <w:r>
        <w:rPr>
          <w:rFonts w:hAnsi="宋体"/>
          <w:spacing w:val="3"/>
          <w:kern w:val="0"/>
          <w:szCs w:val="21"/>
        </w:rPr>
        <w:t>3.3-1</w:t>
      </w:r>
      <w:r>
        <w:rPr>
          <w:rFonts w:hAnsi="宋体" w:hint="eastAsia"/>
          <w:spacing w:val="3"/>
          <w:kern w:val="0"/>
          <w:szCs w:val="21"/>
        </w:rPr>
        <w:t>5</w:t>
      </w:r>
      <w:r>
        <w:rPr>
          <w:rFonts w:hAnsi="宋体"/>
          <w:spacing w:val="3"/>
          <w:kern w:val="0"/>
          <w:szCs w:val="21"/>
        </w:rPr>
        <w:t xml:space="preserve">  </w:t>
      </w:r>
      <w:r>
        <w:rPr>
          <w:rFonts w:hAnsi="宋体"/>
          <w:spacing w:val="3"/>
          <w:kern w:val="0"/>
          <w:szCs w:val="21"/>
        </w:rPr>
        <w:t>废水水质及园区污水处理厂接纳标准一览表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691"/>
        <w:gridCol w:w="1086"/>
        <w:gridCol w:w="997"/>
        <w:gridCol w:w="996"/>
        <w:gridCol w:w="1452"/>
        <w:gridCol w:w="952"/>
        <w:gridCol w:w="952"/>
        <w:gridCol w:w="945"/>
      </w:tblGrid>
      <w:tr w:rsidR="00475650">
        <w:trPr>
          <w:trHeight w:val="712"/>
          <w:jc w:val="center"/>
        </w:trPr>
        <w:tc>
          <w:tcPr>
            <w:tcW w:w="1691" w:type="dxa"/>
            <w:vAlign w:val="center"/>
          </w:tcPr>
          <w:p w:rsidR="00475650" w:rsidRDefault="00475650">
            <w:pPr>
              <w:ind w:left="-90"/>
              <w:jc w:val="center"/>
              <w:rPr>
                <w:rFonts w:hAnsi="宋体"/>
                <w:spacing w:val="3"/>
                <w:kern w:val="0"/>
                <w:szCs w:val="21"/>
              </w:rPr>
            </w:pPr>
            <w:r>
              <w:rPr>
                <w:rFonts w:hAnsi="宋体"/>
                <w:spacing w:val="3"/>
                <w:kern w:val="0"/>
                <w:szCs w:val="21"/>
              </w:rPr>
              <w:t>废水来源</w:t>
            </w:r>
          </w:p>
        </w:tc>
        <w:tc>
          <w:tcPr>
            <w:tcW w:w="1086" w:type="dxa"/>
            <w:vAlign w:val="center"/>
          </w:tcPr>
          <w:p w:rsidR="00475650" w:rsidRDefault="00475650">
            <w:pPr>
              <w:ind w:left="-90"/>
              <w:jc w:val="center"/>
              <w:rPr>
                <w:rFonts w:hAnsi="宋体"/>
                <w:spacing w:val="3"/>
                <w:kern w:val="0"/>
                <w:szCs w:val="21"/>
              </w:rPr>
            </w:pPr>
            <w:r>
              <w:rPr>
                <w:rFonts w:hAnsi="宋体"/>
                <w:spacing w:val="3"/>
                <w:kern w:val="0"/>
                <w:szCs w:val="21"/>
              </w:rPr>
              <w:t>废水量</w:t>
            </w:r>
          </w:p>
          <w:p w:rsidR="00475650" w:rsidRDefault="00475650">
            <w:pPr>
              <w:ind w:left="-90"/>
              <w:jc w:val="center"/>
              <w:rPr>
                <w:rFonts w:hAnsi="宋体"/>
                <w:spacing w:val="3"/>
                <w:kern w:val="0"/>
                <w:szCs w:val="21"/>
              </w:rPr>
            </w:pPr>
            <w:r>
              <w:rPr>
                <w:rFonts w:hAnsi="宋体" w:hint="eastAsia"/>
                <w:spacing w:val="3"/>
                <w:kern w:val="0"/>
                <w:szCs w:val="21"/>
              </w:rPr>
              <w:t>(</w:t>
            </w:r>
            <w:r>
              <w:rPr>
                <w:rFonts w:hAnsi="宋体"/>
                <w:spacing w:val="3"/>
                <w:kern w:val="0"/>
                <w:szCs w:val="21"/>
              </w:rPr>
              <w:t>m</w:t>
            </w:r>
            <w:r>
              <w:rPr>
                <w:rFonts w:hAnsi="宋体"/>
                <w:spacing w:val="3"/>
                <w:kern w:val="0"/>
                <w:szCs w:val="21"/>
                <w:vertAlign w:val="superscript"/>
              </w:rPr>
              <w:t>3</w:t>
            </w:r>
            <w:r>
              <w:rPr>
                <w:rFonts w:hAnsi="宋体" w:hint="eastAsia"/>
                <w:spacing w:val="3"/>
                <w:kern w:val="0"/>
                <w:szCs w:val="21"/>
              </w:rPr>
              <w:t>/</w:t>
            </w:r>
            <w:r>
              <w:rPr>
                <w:rFonts w:hAnsi="宋体"/>
                <w:spacing w:val="3"/>
                <w:kern w:val="0"/>
                <w:szCs w:val="21"/>
              </w:rPr>
              <w:t>d</w:t>
            </w:r>
            <w:r>
              <w:rPr>
                <w:rFonts w:hAnsi="宋体" w:hint="eastAsia"/>
                <w:spacing w:val="3"/>
                <w:kern w:val="0"/>
                <w:szCs w:val="21"/>
              </w:rPr>
              <w:t>)</w:t>
            </w:r>
          </w:p>
        </w:tc>
        <w:tc>
          <w:tcPr>
            <w:tcW w:w="997" w:type="dxa"/>
            <w:vAlign w:val="center"/>
          </w:tcPr>
          <w:p w:rsidR="00475650" w:rsidRDefault="00475650">
            <w:pPr>
              <w:ind w:left="-90"/>
              <w:jc w:val="center"/>
              <w:rPr>
                <w:rFonts w:hAnsi="宋体"/>
                <w:spacing w:val="3"/>
                <w:kern w:val="0"/>
                <w:szCs w:val="21"/>
              </w:rPr>
            </w:pPr>
            <w:r>
              <w:rPr>
                <w:rFonts w:hAnsi="宋体" w:hint="eastAsia"/>
                <w:spacing w:val="3"/>
                <w:kern w:val="0"/>
                <w:szCs w:val="21"/>
              </w:rPr>
              <w:t>盐分</w:t>
            </w:r>
          </w:p>
          <w:p w:rsidR="00475650" w:rsidRDefault="00475650">
            <w:pPr>
              <w:ind w:left="-90"/>
              <w:jc w:val="center"/>
              <w:rPr>
                <w:rFonts w:hAnsi="宋体"/>
                <w:spacing w:val="3"/>
                <w:kern w:val="0"/>
                <w:szCs w:val="21"/>
              </w:rPr>
            </w:pPr>
            <w:r>
              <w:rPr>
                <w:rFonts w:hAnsi="宋体" w:hint="eastAsia"/>
                <w:spacing w:val="3"/>
                <w:kern w:val="0"/>
                <w:szCs w:val="21"/>
              </w:rPr>
              <w:t>(</w:t>
            </w:r>
            <w:r>
              <w:rPr>
                <w:rFonts w:hAnsi="宋体"/>
                <w:spacing w:val="3"/>
                <w:kern w:val="0"/>
                <w:szCs w:val="21"/>
              </w:rPr>
              <w:t>mg</w:t>
            </w:r>
            <w:r>
              <w:rPr>
                <w:rFonts w:hAnsi="宋体" w:hint="eastAsia"/>
                <w:spacing w:val="3"/>
                <w:kern w:val="0"/>
                <w:szCs w:val="21"/>
              </w:rPr>
              <w:t>/</w:t>
            </w:r>
            <w:r>
              <w:rPr>
                <w:rFonts w:hAnsi="宋体"/>
                <w:spacing w:val="3"/>
                <w:kern w:val="0"/>
                <w:szCs w:val="21"/>
              </w:rPr>
              <w:t>1</w:t>
            </w:r>
            <w:r>
              <w:rPr>
                <w:rFonts w:hAnsi="宋体" w:hint="eastAsia"/>
                <w:spacing w:val="3"/>
                <w:kern w:val="0"/>
                <w:szCs w:val="21"/>
              </w:rPr>
              <w:t>)</w:t>
            </w:r>
          </w:p>
        </w:tc>
        <w:tc>
          <w:tcPr>
            <w:tcW w:w="996" w:type="dxa"/>
            <w:vAlign w:val="center"/>
          </w:tcPr>
          <w:p w:rsidR="00475650" w:rsidRDefault="00475650">
            <w:pPr>
              <w:ind w:left="-90"/>
              <w:jc w:val="center"/>
              <w:rPr>
                <w:rFonts w:hAnsi="宋体"/>
                <w:spacing w:val="3"/>
                <w:kern w:val="0"/>
                <w:szCs w:val="21"/>
              </w:rPr>
            </w:pPr>
            <w:r>
              <w:rPr>
                <w:rFonts w:hAnsi="宋体"/>
                <w:spacing w:val="3"/>
                <w:kern w:val="0"/>
                <w:szCs w:val="21"/>
              </w:rPr>
              <w:t>COD</w:t>
            </w:r>
          </w:p>
          <w:p w:rsidR="00475650" w:rsidRDefault="00475650">
            <w:pPr>
              <w:ind w:left="-90"/>
              <w:jc w:val="center"/>
              <w:rPr>
                <w:rFonts w:hAnsi="宋体"/>
                <w:spacing w:val="3"/>
                <w:kern w:val="0"/>
                <w:szCs w:val="21"/>
              </w:rPr>
            </w:pPr>
            <w:r>
              <w:rPr>
                <w:rFonts w:hAnsi="宋体" w:hint="eastAsia"/>
                <w:spacing w:val="3"/>
                <w:kern w:val="0"/>
                <w:szCs w:val="21"/>
              </w:rPr>
              <w:t>(</w:t>
            </w:r>
            <w:r>
              <w:rPr>
                <w:rFonts w:hAnsi="宋体"/>
                <w:spacing w:val="3"/>
                <w:kern w:val="0"/>
                <w:szCs w:val="21"/>
              </w:rPr>
              <w:t>mg</w:t>
            </w:r>
            <w:r>
              <w:rPr>
                <w:rFonts w:hAnsi="宋体" w:hint="eastAsia"/>
                <w:spacing w:val="3"/>
                <w:kern w:val="0"/>
                <w:szCs w:val="21"/>
              </w:rPr>
              <w:t>/</w:t>
            </w:r>
            <w:r>
              <w:rPr>
                <w:rFonts w:hAnsi="宋体"/>
                <w:spacing w:val="3"/>
                <w:kern w:val="0"/>
                <w:szCs w:val="21"/>
              </w:rPr>
              <w:t>1</w:t>
            </w:r>
            <w:r>
              <w:rPr>
                <w:rFonts w:hAnsi="宋体" w:hint="eastAsia"/>
                <w:spacing w:val="3"/>
                <w:kern w:val="0"/>
                <w:szCs w:val="21"/>
              </w:rPr>
              <w:t>)</w:t>
            </w:r>
          </w:p>
        </w:tc>
        <w:tc>
          <w:tcPr>
            <w:tcW w:w="1452" w:type="dxa"/>
            <w:vAlign w:val="center"/>
          </w:tcPr>
          <w:p w:rsidR="00475650" w:rsidRDefault="00475650">
            <w:pPr>
              <w:ind w:left="-90"/>
              <w:jc w:val="center"/>
              <w:rPr>
                <w:rFonts w:hAnsi="宋体"/>
                <w:spacing w:val="3"/>
                <w:kern w:val="0"/>
                <w:szCs w:val="21"/>
              </w:rPr>
            </w:pPr>
            <w:r>
              <w:rPr>
                <w:rFonts w:hAnsi="宋体"/>
                <w:spacing w:val="3"/>
                <w:kern w:val="0"/>
                <w:szCs w:val="21"/>
              </w:rPr>
              <w:t>氨氮</w:t>
            </w:r>
          </w:p>
          <w:p w:rsidR="00475650" w:rsidRDefault="00475650">
            <w:pPr>
              <w:ind w:left="-90"/>
              <w:jc w:val="center"/>
              <w:rPr>
                <w:rFonts w:hAnsi="宋体"/>
                <w:spacing w:val="3"/>
                <w:kern w:val="0"/>
                <w:szCs w:val="21"/>
              </w:rPr>
            </w:pPr>
            <w:r>
              <w:rPr>
                <w:rFonts w:hAnsi="宋体" w:hint="eastAsia"/>
                <w:spacing w:val="3"/>
                <w:kern w:val="0"/>
                <w:szCs w:val="21"/>
              </w:rPr>
              <w:t>(</w:t>
            </w:r>
            <w:r>
              <w:rPr>
                <w:rFonts w:hAnsi="宋体"/>
                <w:spacing w:val="3"/>
                <w:kern w:val="0"/>
                <w:szCs w:val="21"/>
              </w:rPr>
              <w:t>mg</w:t>
            </w:r>
            <w:r>
              <w:rPr>
                <w:rFonts w:hAnsi="宋体" w:hint="eastAsia"/>
                <w:spacing w:val="3"/>
                <w:kern w:val="0"/>
                <w:szCs w:val="21"/>
              </w:rPr>
              <w:t>/</w:t>
            </w:r>
            <w:r>
              <w:rPr>
                <w:rFonts w:hAnsi="宋体"/>
                <w:spacing w:val="3"/>
                <w:kern w:val="0"/>
                <w:szCs w:val="21"/>
              </w:rPr>
              <w:t>1</w:t>
            </w:r>
            <w:r>
              <w:rPr>
                <w:rFonts w:hAnsi="宋体" w:hint="eastAsia"/>
                <w:spacing w:val="3"/>
                <w:kern w:val="0"/>
                <w:szCs w:val="21"/>
              </w:rPr>
              <w:t>)</w:t>
            </w:r>
          </w:p>
        </w:tc>
        <w:tc>
          <w:tcPr>
            <w:tcW w:w="952" w:type="dxa"/>
            <w:vAlign w:val="center"/>
          </w:tcPr>
          <w:p w:rsidR="00475650" w:rsidRDefault="00475650">
            <w:pPr>
              <w:ind w:left="-90"/>
              <w:jc w:val="center"/>
              <w:rPr>
                <w:rFonts w:hAnsi="宋体"/>
                <w:spacing w:val="3"/>
                <w:kern w:val="0"/>
                <w:szCs w:val="21"/>
              </w:rPr>
            </w:pPr>
            <w:r>
              <w:rPr>
                <w:rFonts w:hAnsi="宋体"/>
                <w:spacing w:val="3"/>
                <w:kern w:val="0"/>
                <w:szCs w:val="21"/>
              </w:rPr>
              <w:t>色度</w:t>
            </w:r>
          </w:p>
          <w:p w:rsidR="00475650" w:rsidRDefault="00475650">
            <w:pPr>
              <w:ind w:left="-90"/>
              <w:jc w:val="center"/>
              <w:rPr>
                <w:rFonts w:hAnsi="宋体"/>
                <w:spacing w:val="3"/>
                <w:kern w:val="0"/>
                <w:szCs w:val="21"/>
              </w:rPr>
            </w:pPr>
            <w:r>
              <w:rPr>
                <w:rFonts w:hAnsi="宋体"/>
                <w:spacing w:val="3"/>
                <w:kern w:val="0"/>
                <w:szCs w:val="21"/>
              </w:rPr>
              <w:t>（倍）</w:t>
            </w:r>
          </w:p>
        </w:tc>
        <w:tc>
          <w:tcPr>
            <w:tcW w:w="952" w:type="dxa"/>
            <w:tcBorders>
              <w:right w:val="single" w:sz="4" w:space="0" w:color="auto"/>
            </w:tcBorders>
            <w:vAlign w:val="center"/>
          </w:tcPr>
          <w:p w:rsidR="00475650" w:rsidRDefault="00475650">
            <w:pPr>
              <w:ind w:left="-90"/>
              <w:jc w:val="center"/>
              <w:rPr>
                <w:rFonts w:hAnsi="宋体"/>
                <w:spacing w:val="3"/>
                <w:kern w:val="0"/>
                <w:szCs w:val="21"/>
              </w:rPr>
            </w:pPr>
            <w:r>
              <w:rPr>
                <w:rFonts w:hAnsi="宋体"/>
                <w:spacing w:val="3"/>
                <w:kern w:val="0"/>
                <w:szCs w:val="21"/>
              </w:rPr>
              <w:t>SS</w:t>
            </w:r>
          </w:p>
          <w:p w:rsidR="00475650" w:rsidRDefault="00475650">
            <w:pPr>
              <w:ind w:left="-90"/>
              <w:jc w:val="center"/>
              <w:rPr>
                <w:rFonts w:hAnsi="宋体"/>
                <w:spacing w:val="3"/>
                <w:kern w:val="0"/>
                <w:szCs w:val="21"/>
              </w:rPr>
            </w:pPr>
            <w:r>
              <w:rPr>
                <w:rFonts w:hAnsi="宋体" w:hint="eastAsia"/>
                <w:spacing w:val="3"/>
                <w:kern w:val="0"/>
                <w:szCs w:val="21"/>
              </w:rPr>
              <w:t>(</w:t>
            </w:r>
            <w:r>
              <w:rPr>
                <w:rFonts w:hAnsi="宋体"/>
                <w:spacing w:val="3"/>
                <w:kern w:val="0"/>
                <w:szCs w:val="21"/>
              </w:rPr>
              <w:t>mg</w:t>
            </w:r>
            <w:r>
              <w:rPr>
                <w:rFonts w:hAnsi="宋体" w:hint="eastAsia"/>
                <w:spacing w:val="3"/>
                <w:kern w:val="0"/>
                <w:szCs w:val="21"/>
              </w:rPr>
              <w:t>/</w:t>
            </w:r>
            <w:r>
              <w:rPr>
                <w:rFonts w:hAnsi="宋体"/>
                <w:spacing w:val="3"/>
                <w:kern w:val="0"/>
                <w:szCs w:val="21"/>
              </w:rPr>
              <w:t>1</w:t>
            </w:r>
            <w:r>
              <w:rPr>
                <w:rFonts w:hAnsi="宋体" w:hint="eastAsia"/>
                <w:spacing w:val="3"/>
                <w:kern w:val="0"/>
                <w:szCs w:val="21"/>
              </w:rPr>
              <w:t>)</w:t>
            </w:r>
          </w:p>
        </w:tc>
        <w:tc>
          <w:tcPr>
            <w:tcW w:w="945" w:type="dxa"/>
            <w:tcBorders>
              <w:left w:val="single" w:sz="4" w:space="0" w:color="auto"/>
            </w:tcBorders>
            <w:vAlign w:val="center"/>
          </w:tcPr>
          <w:p w:rsidR="00475650" w:rsidRDefault="00475650">
            <w:pPr>
              <w:ind w:left="-90"/>
              <w:jc w:val="center"/>
              <w:rPr>
                <w:rFonts w:hAnsi="宋体"/>
                <w:spacing w:val="3"/>
                <w:kern w:val="0"/>
                <w:szCs w:val="21"/>
              </w:rPr>
            </w:pPr>
            <w:r>
              <w:rPr>
                <w:rFonts w:hAnsi="宋体" w:hint="eastAsia"/>
                <w:spacing w:val="3"/>
                <w:kern w:val="0"/>
                <w:szCs w:val="21"/>
              </w:rPr>
              <w:t>挥发酚</w:t>
            </w:r>
          </w:p>
          <w:p w:rsidR="00475650" w:rsidRDefault="00475650">
            <w:pPr>
              <w:ind w:left="-90"/>
              <w:jc w:val="center"/>
              <w:rPr>
                <w:rFonts w:hAnsi="宋体"/>
                <w:spacing w:val="3"/>
                <w:kern w:val="0"/>
                <w:szCs w:val="21"/>
              </w:rPr>
            </w:pPr>
            <w:r>
              <w:rPr>
                <w:rFonts w:hAnsi="宋体" w:hint="eastAsia"/>
                <w:spacing w:val="3"/>
                <w:kern w:val="0"/>
                <w:szCs w:val="21"/>
              </w:rPr>
              <w:t>(</w:t>
            </w:r>
            <w:r>
              <w:rPr>
                <w:rFonts w:hAnsi="宋体"/>
                <w:spacing w:val="3"/>
                <w:kern w:val="0"/>
                <w:szCs w:val="21"/>
              </w:rPr>
              <w:t>mg</w:t>
            </w:r>
            <w:r>
              <w:rPr>
                <w:rFonts w:hAnsi="宋体" w:hint="eastAsia"/>
                <w:spacing w:val="3"/>
                <w:kern w:val="0"/>
                <w:szCs w:val="21"/>
              </w:rPr>
              <w:t>/</w:t>
            </w:r>
            <w:r>
              <w:rPr>
                <w:rFonts w:hAnsi="宋体"/>
                <w:spacing w:val="3"/>
                <w:kern w:val="0"/>
                <w:szCs w:val="21"/>
              </w:rPr>
              <w:t>1</w:t>
            </w:r>
            <w:r>
              <w:rPr>
                <w:rFonts w:hAnsi="宋体" w:hint="eastAsia"/>
                <w:spacing w:val="3"/>
                <w:kern w:val="0"/>
                <w:szCs w:val="21"/>
              </w:rPr>
              <w:t>)</w:t>
            </w:r>
          </w:p>
        </w:tc>
      </w:tr>
      <w:tr w:rsidR="00475650">
        <w:trPr>
          <w:trHeight w:val="272"/>
          <w:jc w:val="center"/>
        </w:trPr>
        <w:tc>
          <w:tcPr>
            <w:tcW w:w="1691" w:type="dxa"/>
            <w:vAlign w:val="center"/>
          </w:tcPr>
          <w:p w:rsidR="00475650" w:rsidRDefault="00475650">
            <w:pPr>
              <w:ind w:left="-90"/>
              <w:jc w:val="center"/>
              <w:rPr>
                <w:rFonts w:hAnsi="宋体"/>
                <w:spacing w:val="3"/>
                <w:kern w:val="0"/>
                <w:szCs w:val="21"/>
              </w:rPr>
            </w:pPr>
            <w:r>
              <w:rPr>
                <w:rFonts w:hAnsi="宋体"/>
                <w:spacing w:val="3"/>
                <w:kern w:val="0"/>
                <w:szCs w:val="21"/>
              </w:rPr>
              <w:t>生产废水</w:t>
            </w:r>
          </w:p>
        </w:tc>
        <w:tc>
          <w:tcPr>
            <w:tcW w:w="1086" w:type="dxa"/>
            <w:vAlign w:val="center"/>
          </w:tcPr>
          <w:p w:rsidR="00475650" w:rsidRDefault="00475650">
            <w:pPr>
              <w:ind w:left="-90"/>
              <w:jc w:val="center"/>
              <w:rPr>
                <w:rFonts w:hAnsi="宋体"/>
                <w:spacing w:val="3"/>
                <w:kern w:val="0"/>
                <w:szCs w:val="21"/>
              </w:rPr>
            </w:pPr>
            <w:r>
              <w:rPr>
                <w:rFonts w:hAnsi="宋体" w:hint="eastAsia"/>
                <w:spacing w:val="3"/>
                <w:kern w:val="0"/>
                <w:szCs w:val="21"/>
              </w:rPr>
              <w:t>602.4</w:t>
            </w:r>
          </w:p>
        </w:tc>
        <w:tc>
          <w:tcPr>
            <w:tcW w:w="997" w:type="dxa"/>
            <w:vAlign w:val="center"/>
          </w:tcPr>
          <w:p w:rsidR="00475650" w:rsidRDefault="00475650">
            <w:pPr>
              <w:ind w:left="-90"/>
              <w:jc w:val="center"/>
              <w:rPr>
                <w:rFonts w:hAnsi="宋体"/>
                <w:spacing w:val="3"/>
                <w:kern w:val="0"/>
                <w:szCs w:val="21"/>
              </w:rPr>
            </w:pPr>
            <w:r>
              <w:rPr>
                <w:rFonts w:hAnsi="宋体" w:hint="eastAsia"/>
                <w:spacing w:val="3"/>
                <w:kern w:val="0"/>
                <w:szCs w:val="21"/>
              </w:rPr>
              <w:t>20000</w:t>
            </w:r>
          </w:p>
        </w:tc>
        <w:tc>
          <w:tcPr>
            <w:tcW w:w="996" w:type="dxa"/>
            <w:vAlign w:val="center"/>
          </w:tcPr>
          <w:p w:rsidR="00475650" w:rsidRDefault="00475650">
            <w:pPr>
              <w:ind w:left="-90"/>
              <w:jc w:val="center"/>
              <w:rPr>
                <w:rFonts w:hAnsi="宋体"/>
                <w:spacing w:val="3"/>
                <w:kern w:val="0"/>
                <w:szCs w:val="21"/>
              </w:rPr>
            </w:pPr>
            <w:r>
              <w:rPr>
                <w:rFonts w:hAnsi="宋体" w:hint="eastAsia"/>
                <w:spacing w:val="3"/>
                <w:kern w:val="0"/>
                <w:szCs w:val="21"/>
              </w:rPr>
              <w:t>10000</w:t>
            </w:r>
          </w:p>
        </w:tc>
        <w:tc>
          <w:tcPr>
            <w:tcW w:w="1452" w:type="dxa"/>
            <w:vAlign w:val="center"/>
          </w:tcPr>
          <w:p w:rsidR="00475650" w:rsidRDefault="00475650">
            <w:pPr>
              <w:ind w:left="-90"/>
              <w:jc w:val="center"/>
              <w:rPr>
                <w:rFonts w:hAnsi="宋体"/>
                <w:spacing w:val="3"/>
                <w:kern w:val="0"/>
                <w:szCs w:val="21"/>
              </w:rPr>
            </w:pPr>
            <w:r>
              <w:rPr>
                <w:rFonts w:hAnsi="宋体" w:hint="eastAsia"/>
                <w:spacing w:val="3"/>
                <w:kern w:val="0"/>
                <w:szCs w:val="21"/>
              </w:rPr>
              <w:t>107</w:t>
            </w:r>
          </w:p>
        </w:tc>
        <w:tc>
          <w:tcPr>
            <w:tcW w:w="952" w:type="dxa"/>
            <w:vAlign w:val="center"/>
          </w:tcPr>
          <w:p w:rsidR="00475650" w:rsidRDefault="00475650">
            <w:pPr>
              <w:ind w:left="-90"/>
              <w:jc w:val="center"/>
              <w:rPr>
                <w:rFonts w:hAnsi="宋体"/>
                <w:spacing w:val="3"/>
                <w:kern w:val="0"/>
                <w:szCs w:val="21"/>
              </w:rPr>
            </w:pPr>
            <w:r>
              <w:rPr>
                <w:rFonts w:hAnsi="宋体" w:hint="eastAsia"/>
                <w:spacing w:val="3"/>
                <w:kern w:val="0"/>
                <w:szCs w:val="21"/>
              </w:rPr>
              <w:t>25000</w:t>
            </w:r>
          </w:p>
        </w:tc>
        <w:tc>
          <w:tcPr>
            <w:tcW w:w="952" w:type="dxa"/>
            <w:tcBorders>
              <w:right w:val="single" w:sz="4" w:space="0" w:color="auto"/>
            </w:tcBorders>
            <w:vAlign w:val="center"/>
          </w:tcPr>
          <w:p w:rsidR="00475650" w:rsidRDefault="00475650">
            <w:pPr>
              <w:ind w:left="-90"/>
              <w:jc w:val="center"/>
              <w:rPr>
                <w:rFonts w:hAnsi="宋体"/>
                <w:spacing w:val="3"/>
                <w:kern w:val="0"/>
                <w:szCs w:val="21"/>
              </w:rPr>
            </w:pPr>
            <w:r>
              <w:rPr>
                <w:rFonts w:hAnsi="宋体" w:hint="eastAsia"/>
                <w:spacing w:val="3"/>
                <w:kern w:val="0"/>
                <w:szCs w:val="21"/>
              </w:rPr>
              <w:t>500</w:t>
            </w:r>
          </w:p>
        </w:tc>
        <w:tc>
          <w:tcPr>
            <w:tcW w:w="945" w:type="dxa"/>
            <w:tcBorders>
              <w:left w:val="single" w:sz="4" w:space="0" w:color="auto"/>
            </w:tcBorders>
            <w:vAlign w:val="center"/>
          </w:tcPr>
          <w:p w:rsidR="00475650" w:rsidRDefault="00475650">
            <w:pPr>
              <w:ind w:left="-90"/>
              <w:jc w:val="center"/>
              <w:rPr>
                <w:rFonts w:hAnsi="宋体"/>
                <w:spacing w:val="3"/>
                <w:kern w:val="0"/>
                <w:szCs w:val="21"/>
              </w:rPr>
            </w:pPr>
            <w:r>
              <w:rPr>
                <w:rFonts w:hAnsi="宋体" w:hint="eastAsia"/>
                <w:spacing w:val="3"/>
                <w:kern w:val="0"/>
                <w:szCs w:val="21"/>
              </w:rPr>
              <w:t>117</w:t>
            </w:r>
          </w:p>
        </w:tc>
      </w:tr>
      <w:tr w:rsidR="00475650">
        <w:trPr>
          <w:trHeight w:val="272"/>
          <w:jc w:val="center"/>
        </w:trPr>
        <w:tc>
          <w:tcPr>
            <w:tcW w:w="1691" w:type="dxa"/>
            <w:vAlign w:val="center"/>
          </w:tcPr>
          <w:p w:rsidR="00475650" w:rsidRDefault="00475650">
            <w:pPr>
              <w:ind w:left="-90"/>
              <w:jc w:val="center"/>
              <w:rPr>
                <w:rFonts w:hAnsi="宋体"/>
                <w:spacing w:val="3"/>
                <w:kern w:val="0"/>
                <w:szCs w:val="21"/>
              </w:rPr>
            </w:pPr>
            <w:r>
              <w:rPr>
                <w:rFonts w:hAnsi="宋体" w:hint="eastAsia"/>
                <w:spacing w:val="3"/>
                <w:kern w:val="0"/>
                <w:szCs w:val="21"/>
              </w:rPr>
              <w:t>全厂初期雨水</w:t>
            </w:r>
          </w:p>
        </w:tc>
        <w:tc>
          <w:tcPr>
            <w:tcW w:w="1086" w:type="dxa"/>
            <w:vAlign w:val="center"/>
          </w:tcPr>
          <w:p w:rsidR="00475650" w:rsidRDefault="00475650">
            <w:pPr>
              <w:ind w:left="-90"/>
              <w:jc w:val="center"/>
              <w:rPr>
                <w:rFonts w:hAnsi="宋体"/>
                <w:spacing w:val="3"/>
                <w:kern w:val="0"/>
                <w:szCs w:val="21"/>
              </w:rPr>
            </w:pPr>
            <w:r>
              <w:rPr>
                <w:rFonts w:hAnsi="宋体"/>
                <w:spacing w:val="3"/>
                <w:kern w:val="0"/>
                <w:szCs w:val="21"/>
              </w:rPr>
              <w:t>18.7</w:t>
            </w:r>
          </w:p>
        </w:tc>
        <w:tc>
          <w:tcPr>
            <w:tcW w:w="997" w:type="dxa"/>
            <w:vAlign w:val="center"/>
          </w:tcPr>
          <w:p w:rsidR="00475650" w:rsidRDefault="00475650">
            <w:pPr>
              <w:ind w:left="-90"/>
              <w:jc w:val="center"/>
            </w:pPr>
            <w:r>
              <w:t>/</w:t>
            </w:r>
          </w:p>
        </w:tc>
        <w:tc>
          <w:tcPr>
            <w:tcW w:w="996" w:type="dxa"/>
            <w:vAlign w:val="center"/>
          </w:tcPr>
          <w:p w:rsidR="00475650" w:rsidRDefault="00475650">
            <w:pPr>
              <w:ind w:left="-90"/>
              <w:jc w:val="center"/>
              <w:rPr>
                <w:rFonts w:hAnsi="宋体"/>
                <w:spacing w:val="3"/>
                <w:kern w:val="0"/>
                <w:szCs w:val="21"/>
              </w:rPr>
            </w:pPr>
            <w:r>
              <w:rPr>
                <w:rFonts w:hAnsi="宋体"/>
                <w:spacing w:val="3"/>
                <w:kern w:val="0"/>
                <w:szCs w:val="21"/>
              </w:rPr>
              <w:t>1000</w:t>
            </w:r>
          </w:p>
        </w:tc>
        <w:tc>
          <w:tcPr>
            <w:tcW w:w="1452" w:type="dxa"/>
            <w:vAlign w:val="center"/>
          </w:tcPr>
          <w:p w:rsidR="00475650" w:rsidRDefault="00475650">
            <w:pPr>
              <w:ind w:left="-90"/>
              <w:jc w:val="center"/>
              <w:rPr>
                <w:rFonts w:hAnsi="宋体"/>
                <w:spacing w:val="3"/>
                <w:kern w:val="0"/>
                <w:szCs w:val="21"/>
              </w:rPr>
            </w:pPr>
            <w:r>
              <w:rPr>
                <w:rFonts w:hAnsi="宋体"/>
                <w:spacing w:val="3"/>
                <w:kern w:val="0"/>
                <w:szCs w:val="21"/>
              </w:rPr>
              <w:t>20</w:t>
            </w:r>
          </w:p>
        </w:tc>
        <w:tc>
          <w:tcPr>
            <w:tcW w:w="952" w:type="dxa"/>
            <w:vAlign w:val="center"/>
          </w:tcPr>
          <w:p w:rsidR="00475650" w:rsidRDefault="00475650">
            <w:pPr>
              <w:ind w:left="-90"/>
              <w:jc w:val="center"/>
              <w:rPr>
                <w:rFonts w:hAnsi="宋体"/>
                <w:spacing w:val="3"/>
                <w:kern w:val="0"/>
                <w:szCs w:val="21"/>
              </w:rPr>
            </w:pPr>
            <w:r>
              <w:rPr>
                <w:rFonts w:hAnsi="宋体"/>
                <w:spacing w:val="3"/>
                <w:kern w:val="0"/>
                <w:szCs w:val="21"/>
              </w:rPr>
              <w:t>1000</w:t>
            </w:r>
          </w:p>
        </w:tc>
        <w:tc>
          <w:tcPr>
            <w:tcW w:w="952" w:type="dxa"/>
            <w:tcBorders>
              <w:right w:val="single" w:sz="4" w:space="0" w:color="auto"/>
            </w:tcBorders>
            <w:vAlign w:val="center"/>
          </w:tcPr>
          <w:p w:rsidR="00475650" w:rsidRDefault="00475650">
            <w:pPr>
              <w:ind w:left="-90"/>
              <w:jc w:val="center"/>
              <w:rPr>
                <w:rFonts w:hAnsi="宋体"/>
                <w:spacing w:val="3"/>
                <w:kern w:val="0"/>
                <w:szCs w:val="21"/>
              </w:rPr>
            </w:pPr>
            <w:r>
              <w:rPr>
                <w:rFonts w:hAnsi="宋体"/>
                <w:spacing w:val="3"/>
                <w:kern w:val="0"/>
                <w:szCs w:val="21"/>
              </w:rPr>
              <w:t>200</w:t>
            </w:r>
          </w:p>
        </w:tc>
        <w:tc>
          <w:tcPr>
            <w:tcW w:w="945" w:type="dxa"/>
            <w:tcBorders>
              <w:left w:val="single" w:sz="4" w:space="0" w:color="auto"/>
            </w:tcBorders>
            <w:vAlign w:val="center"/>
          </w:tcPr>
          <w:p w:rsidR="00475650" w:rsidRDefault="00475650">
            <w:pPr>
              <w:ind w:left="-90"/>
              <w:jc w:val="center"/>
              <w:rPr>
                <w:rFonts w:hAnsi="宋体"/>
                <w:spacing w:val="3"/>
                <w:kern w:val="0"/>
                <w:szCs w:val="21"/>
              </w:rPr>
            </w:pPr>
            <w:r>
              <w:rPr>
                <w:rFonts w:hAnsi="宋体"/>
                <w:spacing w:val="3"/>
                <w:kern w:val="0"/>
                <w:szCs w:val="21"/>
              </w:rPr>
              <w:t>10</w:t>
            </w:r>
          </w:p>
        </w:tc>
      </w:tr>
      <w:tr w:rsidR="00475650">
        <w:trPr>
          <w:trHeight w:val="160"/>
          <w:jc w:val="center"/>
        </w:trPr>
        <w:tc>
          <w:tcPr>
            <w:tcW w:w="1691" w:type="dxa"/>
            <w:vAlign w:val="center"/>
          </w:tcPr>
          <w:p w:rsidR="00475650" w:rsidRDefault="00475650">
            <w:pPr>
              <w:ind w:left="-90"/>
              <w:jc w:val="center"/>
              <w:rPr>
                <w:rFonts w:hAnsi="宋体"/>
                <w:spacing w:val="3"/>
                <w:kern w:val="0"/>
                <w:szCs w:val="21"/>
              </w:rPr>
            </w:pPr>
            <w:r>
              <w:rPr>
                <w:rFonts w:hAnsi="宋体"/>
                <w:spacing w:val="3"/>
                <w:kern w:val="0"/>
                <w:szCs w:val="21"/>
              </w:rPr>
              <w:t>污水预处理装置</w:t>
            </w:r>
          </w:p>
          <w:p w:rsidR="00475650" w:rsidRDefault="00475650">
            <w:pPr>
              <w:ind w:left="-90"/>
              <w:jc w:val="center"/>
              <w:rPr>
                <w:rFonts w:hAnsi="宋体"/>
                <w:spacing w:val="3"/>
                <w:kern w:val="0"/>
                <w:szCs w:val="21"/>
              </w:rPr>
            </w:pPr>
            <w:r>
              <w:rPr>
                <w:rFonts w:hAnsi="宋体"/>
                <w:spacing w:val="3"/>
                <w:kern w:val="0"/>
                <w:szCs w:val="21"/>
              </w:rPr>
              <w:t>去除效率（</w:t>
            </w:r>
            <w:r>
              <w:rPr>
                <w:rFonts w:hAnsi="宋体"/>
                <w:spacing w:val="3"/>
                <w:kern w:val="0"/>
                <w:szCs w:val="21"/>
              </w:rPr>
              <w:t>%</w:t>
            </w:r>
            <w:r>
              <w:rPr>
                <w:rFonts w:hAnsi="宋体"/>
                <w:spacing w:val="3"/>
                <w:kern w:val="0"/>
                <w:szCs w:val="21"/>
              </w:rPr>
              <w:t>）</w:t>
            </w:r>
          </w:p>
        </w:tc>
        <w:tc>
          <w:tcPr>
            <w:tcW w:w="1086" w:type="dxa"/>
            <w:vAlign w:val="center"/>
          </w:tcPr>
          <w:p w:rsidR="00475650" w:rsidRDefault="00475650">
            <w:pPr>
              <w:ind w:left="-90"/>
              <w:jc w:val="center"/>
              <w:rPr>
                <w:rFonts w:hAnsi="宋体"/>
                <w:spacing w:val="3"/>
                <w:kern w:val="0"/>
                <w:szCs w:val="21"/>
              </w:rPr>
            </w:pPr>
            <w:r>
              <w:rPr>
                <w:rFonts w:hAnsi="宋体"/>
                <w:spacing w:val="3"/>
                <w:kern w:val="0"/>
                <w:szCs w:val="21"/>
              </w:rPr>
              <w:t>/</w:t>
            </w:r>
          </w:p>
        </w:tc>
        <w:tc>
          <w:tcPr>
            <w:tcW w:w="997" w:type="dxa"/>
            <w:vAlign w:val="center"/>
          </w:tcPr>
          <w:p w:rsidR="00475650" w:rsidRDefault="00475650">
            <w:pPr>
              <w:ind w:left="-90"/>
              <w:jc w:val="center"/>
              <w:rPr>
                <w:rFonts w:hAnsi="宋体"/>
                <w:spacing w:val="3"/>
                <w:kern w:val="0"/>
                <w:szCs w:val="21"/>
              </w:rPr>
            </w:pPr>
            <w:r>
              <w:rPr>
                <w:rFonts w:hAnsi="宋体" w:hint="eastAsia"/>
                <w:spacing w:val="3"/>
                <w:kern w:val="0"/>
                <w:szCs w:val="21"/>
              </w:rPr>
              <w:t>96</w:t>
            </w:r>
          </w:p>
        </w:tc>
        <w:tc>
          <w:tcPr>
            <w:tcW w:w="996" w:type="dxa"/>
            <w:vAlign w:val="center"/>
          </w:tcPr>
          <w:p w:rsidR="00475650" w:rsidRDefault="00475650">
            <w:pPr>
              <w:ind w:left="-90"/>
              <w:jc w:val="center"/>
              <w:rPr>
                <w:rFonts w:hAnsi="宋体"/>
                <w:spacing w:val="3"/>
                <w:kern w:val="0"/>
                <w:szCs w:val="21"/>
              </w:rPr>
            </w:pPr>
            <w:r>
              <w:rPr>
                <w:rFonts w:hAnsi="宋体" w:hint="eastAsia"/>
                <w:spacing w:val="3"/>
                <w:kern w:val="0"/>
                <w:szCs w:val="21"/>
              </w:rPr>
              <w:t>97.82</w:t>
            </w:r>
          </w:p>
        </w:tc>
        <w:tc>
          <w:tcPr>
            <w:tcW w:w="1452" w:type="dxa"/>
            <w:vAlign w:val="center"/>
          </w:tcPr>
          <w:p w:rsidR="00475650" w:rsidRDefault="00475650">
            <w:pPr>
              <w:ind w:left="-90"/>
              <w:jc w:val="center"/>
              <w:rPr>
                <w:rFonts w:hAnsi="宋体"/>
                <w:spacing w:val="3"/>
                <w:kern w:val="0"/>
                <w:szCs w:val="21"/>
              </w:rPr>
            </w:pPr>
            <w:r>
              <w:rPr>
                <w:rFonts w:hAnsi="宋体" w:hint="eastAsia"/>
                <w:spacing w:val="3"/>
                <w:kern w:val="0"/>
                <w:szCs w:val="21"/>
              </w:rPr>
              <w:t>76.3</w:t>
            </w:r>
          </w:p>
        </w:tc>
        <w:tc>
          <w:tcPr>
            <w:tcW w:w="952" w:type="dxa"/>
            <w:vAlign w:val="center"/>
          </w:tcPr>
          <w:p w:rsidR="00475650" w:rsidRDefault="00475650">
            <w:pPr>
              <w:ind w:left="-90"/>
              <w:jc w:val="center"/>
              <w:rPr>
                <w:rFonts w:hAnsi="宋体"/>
                <w:spacing w:val="3"/>
                <w:kern w:val="0"/>
                <w:szCs w:val="21"/>
              </w:rPr>
            </w:pPr>
            <w:r>
              <w:rPr>
                <w:rFonts w:hAnsi="宋体" w:hint="eastAsia"/>
                <w:spacing w:val="3"/>
                <w:kern w:val="0"/>
                <w:szCs w:val="21"/>
              </w:rPr>
              <w:t>98.98</w:t>
            </w:r>
          </w:p>
        </w:tc>
        <w:tc>
          <w:tcPr>
            <w:tcW w:w="952" w:type="dxa"/>
            <w:tcBorders>
              <w:right w:val="single" w:sz="4" w:space="0" w:color="auto"/>
            </w:tcBorders>
            <w:vAlign w:val="center"/>
          </w:tcPr>
          <w:p w:rsidR="00475650" w:rsidRDefault="00475650">
            <w:pPr>
              <w:ind w:left="-90"/>
              <w:jc w:val="center"/>
              <w:rPr>
                <w:rFonts w:hAnsi="宋体"/>
                <w:spacing w:val="3"/>
                <w:kern w:val="0"/>
                <w:szCs w:val="21"/>
              </w:rPr>
            </w:pPr>
            <w:r>
              <w:rPr>
                <w:rFonts w:hAnsi="宋体" w:hint="eastAsia"/>
                <w:spacing w:val="3"/>
                <w:kern w:val="0"/>
                <w:szCs w:val="21"/>
              </w:rPr>
              <w:t>94.8</w:t>
            </w:r>
          </w:p>
        </w:tc>
        <w:tc>
          <w:tcPr>
            <w:tcW w:w="945" w:type="dxa"/>
            <w:tcBorders>
              <w:left w:val="single" w:sz="4" w:space="0" w:color="auto"/>
            </w:tcBorders>
            <w:vAlign w:val="center"/>
          </w:tcPr>
          <w:p w:rsidR="00475650" w:rsidRDefault="00475650">
            <w:pPr>
              <w:ind w:left="-90"/>
              <w:jc w:val="center"/>
              <w:rPr>
                <w:rFonts w:hAnsi="宋体"/>
                <w:spacing w:val="3"/>
                <w:kern w:val="0"/>
                <w:szCs w:val="21"/>
              </w:rPr>
            </w:pPr>
            <w:r>
              <w:rPr>
                <w:rFonts w:hAnsi="宋体" w:hint="eastAsia"/>
                <w:spacing w:val="3"/>
                <w:kern w:val="0"/>
                <w:szCs w:val="21"/>
              </w:rPr>
              <w:t>95.13</w:t>
            </w:r>
          </w:p>
        </w:tc>
      </w:tr>
      <w:tr w:rsidR="00475650">
        <w:trPr>
          <w:trHeight w:val="160"/>
          <w:jc w:val="center"/>
        </w:trPr>
        <w:tc>
          <w:tcPr>
            <w:tcW w:w="1691" w:type="dxa"/>
            <w:vAlign w:val="center"/>
          </w:tcPr>
          <w:p w:rsidR="00475650" w:rsidRDefault="00475650">
            <w:pPr>
              <w:ind w:left="-90"/>
              <w:jc w:val="center"/>
              <w:rPr>
                <w:rFonts w:hAnsi="宋体"/>
                <w:spacing w:val="3"/>
                <w:kern w:val="0"/>
                <w:szCs w:val="21"/>
              </w:rPr>
            </w:pPr>
            <w:r>
              <w:rPr>
                <w:rFonts w:hAnsi="宋体"/>
                <w:spacing w:val="3"/>
                <w:kern w:val="0"/>
                <w:szCs w:val="21"/>
              </w:rPr>
              <w:t>污水处理装置出水水质</w:t>
            </w:r>
          </w:p>
        </w:tc>
        <w:tc>
          <w:tcPr>
            <w:tcW w:w="1086" w:type="dxa"/>
            <w:vAlign w:val="center"/>
          </w:tcPr>
          <w:p w:rsidR="00475650" w:rsidRDefault="00475650">
            <w:pPr>
              <w:ind w:left="-90"/>
              <w:jc w:val="center"/>
              <w:rPr>
                <w:rFonts w:hAnsi="宋体"/>
                <w:spacing w:val="3"/>
                <w:kern w:val="0"/>
                <w:szCs w:val="21"/>
              </w:rPr>
            </w:pPr>
            <w:r>
              <w:rPr>
                <w:rFonts w:hAnsi="宋体"/>
                <w:spacing w:val="3"/>
                <w:kern w:val="0"/>
                <w:szCs w:val="21"/>
              </w:rPr>
              <w:t>621.1</w:t>
            </w:r>
          </w:p>
        </w:tc>
        <w:tc>
          <w:tcPr>
            <w:tcW w:w="997" w:type="dxa"/>
            <w:vAlign w:val="center"/>
          </w:tcPr>
          <w:p w:rsidR="00475650" w:rsidRDefault="00475650">
            <w:pPr>
              <w:ind w:left="-90"/>
              <w:jc w:val="center"/>
              <w:rPr>
                <w:rFonts w:hAnsi="宋体"/>
                <w:spacing w:val="3"/>
                <w:kern w:val="0"/>
                <w:szCs w:val="21"/>
              </w:rPr>
            </w:pPr>
            <w:r>
              <w:rPr>
                <w:rFonts w:hAnsi="宋体" w:hint="eastAsia"/>
                <w:spacing w:val="3"/>
                <w:kern w:val="0"/>
                <w:szCs w:val="21"/>
              </w:rPr>
              <w:t>776</w:t>
            </w:r>
          </w:p>
        </w:tc>
        <w:tc>
          <w:tcPr>
            <w:tcW w:w="996" w:type="dxa"/>
            <w:vAlign w:val="center"/>
          </w:tcPr>
          <w:p w:rsidR="00475650" w:rsidRDefault="00475650">
            <w:pPr>
              <w:ind w:left="-90"/>
              <w:jc w:val="center"/>
              <w:rPr>
                <w:rFonts w:hAnsi="宋体"/>
                <w:spacing w:val="3"/>
                <w:kern w:val="0"/>
                <w:szCs w:val="21"/>
              </w:rPr>
            </w:pPr>
            <w:r>
              <w:rPr>
                <w:rFonts w:hAnsi="宋体" w:hint="eastAsia"/>
                <w:spacing w:val="3"/>
                <w:kern w:val="0"/>
                <w:szCs w:val="21"/>
              </w:rPr>
              <w:t>212</w:t>
            </w:r>
          </w:p>
        </w:tc>
        <w:tc>
          <w:tcPr>
            <w:tcW w:w="1452" w:type="dxa"/>
            <w:vAlign w:val="center"/>
          </w:tcPr>
          <w:p w:rsidR="00475650" w:rsidRDefault="00475650">
            <w:pPr>
              <w:ind w:left="-90"/>
              <w:jc w:val="center"/>
              <w:rPr>
                <w:rFonts w:hAnsi="宋体"/>
                <w:spacing w:val="3"/>
                <w:kern w:val="0"/>
                <w:szCs w:val="21"/>
              </w:rPr>
            </w:pPr>
            <w:r>
              <w:rPr>
                <w:rFonts w:hAnsi="宋体" w:hint="eastAsia"/>
                <w:spacing w:val="3"/>
                <w:kern w:val="0"/>
                <w:szCs w:val="21"/>
              </w:rPr>
              <w:t>25</w:t>
            </w:r>
          </w:p>
        </w:tc>
        <w:tc>
          <w:tcPr>
            <w:tcW w:w="952" w:type="dxa"/>
            <w:vAlign w:val="center"/>
          </w:tcPr>
          <w:p w:rsidR="00475650" w:rsidRDefault="00475650">
            <w:pPr>
              <w:ind w:left="-90"/>
              <w:jc w:val="center"/>
              <w:rPr>
                <w:rFonts w:hAnsi="宋体"/>
                <w:spacing w:val="3"/>
                <w:kern w:val="0"/>
                <w:szCs w:val="21"/>
              </w:rPr>
            </w:pPr>
            <w:r>
              <w:rPr>
                <w:rFonts w:hAnsi="宋体" w:hint="eastAsia"/>
                <w:spacing w:val="3"/>
                <w:kern w:val="0"/>
                <w:szCs w:val="21"/>
              </w:rPr>
              <w:t>248</w:t>
            </w:r>
          </w:p>
        </w:tc>
        <w:tc>
          <w:tcPr>
            <w:tcW w:w="952" w:type="dxa"/>
            <w:tcBorders>
              <w:right w:val="single" w:sz="4" w:space="0" w:color="auto"/>
            </w:tcBorders>
            <w:vAlign w:val="center"/>
          </w:tcPr>
          <w:p w:rsidR="00475650" w:rsidRDefault="00475650">
            <w:pPr>
              <w:ind w:left="-90"/>
              <w:jc w:val="center"/>
              <w:rPr>
                <w:rFonts w:hAnsi="宋体"/>
                <w:spacing w:val="3"/>
                <w:kern w:val="0"/>
                <w:szCs w:val="21"/>
              </w:rPr>
            </w:pPr>
            <w:r>
              <w:rPr>
                <w:rFonts w:hAnsi="宋体" w:hint="eastAsia"/>
                <w:spacing w:val="3"/>
                <w:kern w:val="0"/>
                <w:szCs w:val="21"/>
              </w:rPr>
              <w:t>25.53</w:t>
            </w:r>
          </w:p>
        </w:tc>
        <w:tc>
          <w:tcPr>
            <w:tcW w:w="945" w:type="dxa"/>
            <w:tcBorders>
              <w:left w:val="single" w:sz="4" w:space="0" w:color="auto"/>
            </w:tcBorders>
            <w:vAlign w:val="center"/>
          </w:tcPr>
          <w:p w:rsidR="00475650" w:rsidRDefault="00475650">
            <w:pPr>
              <w:ind w:left="-90"/>
              <w:jc w:val="center"/>
              <w:rPr>
                <w:rFonts w:hAnsi="宋体"/>
                <w:spacing w:val="3"/>
                <w:kern w:val="0"/>
                <w:szCs w:val="21"/>
              </w:rPr>
            </w:pPr>
            <w:r>
              <w:rPr>
                <w:rFonts w:hAnsi="宋体" w:hint="eastAsia"/>
                <w:spacing w:val="3"/>
                <w:kern w:val="0"/>
                <w:szCs w:val="21"/>
              </w:rPr>
              <w:t>5.54</w:t>
            </w:r>
          </w:p>
        </w:tc>
      </w:tr>
      <w:tr w:rsidR="00475650">
        <w:trPr>
          <w:trHeight w:val="160"/>
          <w:jc w:val="center"/>
        </w:trPr>
        <w:tc>
          <w:tcPr>
            <w:tcW w:w="1691" w:type="dxa"/>
            <w:vAlign w:val="center"/>
          </w:tcPr>
          <w:p w:rsidR="00475650" w:rsidRDefault="00475650">
            <w:pPr>
              <w:ind w:left="-90"/>
              <w:jc w:val="center"/>
              <w:rPr>
                <w:rFonts w:hAnsi="宋体"/>
                <w:spacing w:val="3"/>
                <w:kern w:val="0"/>
                <w:szCs w:val="21"/>
              </w:rPr>
            </w:pPr>
            <w:r>
              <w:rPr>
                <w:rFonts w:hAnsi="宋体"/>
                <w:spacing w:val="3"/>
                <w:kern w:val="0"/>
                <w:szCs w:val="21"/>
              </w:rPr>
              <w:t>生活污水</w:t>
            </w:r>
          </w:p>
        </w:tc>
        <w:tc>
          <w:tcPr>
            <w:tcW w:w="1086" w:type="dxa"/>
            <w:vAlign w:val="center"/>
          </w:tcPr>
          <w:p w:rsidR="00475650" w:rsidRDefault="00475650">
            <w:pPr>
              <w:ind w:left="-90"/>
              <w:jc w:val="center"/>
              <w:rPr>
                <w:rFonts w:hAnsi="宋体"/>
                <w:spacing w:val="3"/>
                <w:kern w:val="0"/>
                <w:szCs w:val="21"/>
              </w:rPr>
            </w:pPr>
            <w:r>
              <w:rPr>
                <w:rFonts w:hAnsi="宋体"/>
                <w:spacing w:val="3"/>
                <w:kern w:val="0"/>
                <w:szCs w:val="21"/>
              </w:rPr>
              <w:t>2</w:t>
            </w:r>
          </w:p>
        </w:tc>
        <w:tc>
          <w:tcPr>
            <w:tcW w:w="997" w:type="dxa"/>
            <w:vAlign w:val="center"/>
          </w:tcPr>
          <w:p w:rsidR="00475650" w:rsidRDefault="00475650">
            <w:pPr>
              <w:ind w:left="-90"/>
              <w:jc w:val="center"/>
              <w:rPr>
                <w:rFonts w:hAnsi="宋体"/>
                <w:spacing w:val="3"/>
                <w:kern w:val="0"/>
                <w:szCs w:val="21"/>
              </w:rPr>
            </w:pPr>
            <w:r>
              <w:rPr>
                <w:rFonts w:hAnsi="宋体" w:hint="eastAsia"/>
                <w:spacing w:val="3"/>
                <w:kern w:val="0"/>
                <w:szCs w:val="21"/>
              </w:rPr>
              <w:t>/</w:t>
            </w:r>
          </w:p>
        </w:tc>
        <w:tc>
          <w:tcPr>
            <w:tcW w:w="996" w:type="dxa"/>
            <w:vAlign w:val="center"/>
          </w:tcPr>
          <w:p w:rsidR="00475650" w:rsidRDefault="00475650">
            <w:pPr>
              <w:ind w:left="-90"/>
              <w:jc w:val="center"/>
              <w:rPr>
                <w:rFonts w:hAnsi="宋体"/>
                <w:spacing w:val="3"/>
                <w:kern w:val="0"/>
                <w:szCs w:val="21"/>
              </w:rPr>
            </w:pPr>
            <w:r>
              <w:rPr>
                <w:rFonts w:hAnsi="宋体" w:hint="eastAsia"/>
                <w:spacing w:val="3"/>
                <w:kern w:val="0"/>
                <w:szCs w:val="21"/>
              </w:rPr>
              <w:t>300</w:t>
            </w:r>
          </w:p>
        </w:tc>
        <w:tc>
          <w:tcPr>
            <w:tcW w:w="1452" w:type="dxa"/>
            <w:vAlign w:val="center"/>
          </w:tcPr>
          <w:p w:rsidR="00475650" w:rsidRDefault="00475650">
            <w:pPr>
              <w:ind w:left="-90"/>
              <w:jc w:val="center"/>
              <w:rPr>
                <w:rFonts w:hAnsi="宋体"/>
                <w:spacing w:val="3"/>
                <w:kern w:val="0"/>
                <w:szCs w:val="21"/>
              </w:rPr>
            </w:pPr>
            <w:r>
              <w:rPr>
                <w:rFonts w:hAnsi="宋体" w:hint="eastAsia"/>
                <w:spacing w:val="3"/>
                <w:kern w:val="0"/>
                <w:szCs w:val="21"/>
              </w:rPr>
              <w:t>20</w:t>
            </w:r>
          </w:p>
        </w:tc>
        <w:tc>
          <w:tcPr>
            <w:tcW w:w="952" w:type="dxa"/>
            <w:vAlign w:val="center"/>
          </w:tcPr>
          <w:p w:rsidR="00475650" w:rsidRDefault="00475650">
            <w:pPr>
              <w:ind w:left="-90"/>
              <w:jc w:val="center"/>
              <w:rPr>
                <w:rFonts w:hAnsi="宋体"/>
                <w:spacing w:val="3"/>
                <w:kern w:val="0"/>
                <w:szCs w:val="21"/>
              </w:rPr>
            </w:pPr>
            <w:r>
              <w:rPr>
                <w:rFonts w:hAnsi="宋体"/>
                <w:spacing w:val="3"/>
                <w:kern w:val="0"/>
                <w:szCs w:val="21"/>
              </w:rPr>
              <w:t>/</w:t>
            </w:r>
          </w:p>
        </w:tc>
        <w:tc>
          <w:tcPr>
            <w:tcW w:w="952" w:type="dxa"/>
            <w:tcBorders>
              <w:right w:val="single" w:sz="4" w:space="0" w:color="auto"/>
            </w:tcBorders>
            <w:vAlign w:val="center"/>
          </w:tcPr>
          <w:p w:rsidR="00475650" w:rsidRDefault="00475650">
            <w:pPr>
              <w:ind w:left="-90"/>
              <w:jc w:val="center"/>
              <w:rPr>
                <w:rFonts w:hAnsi="宋体"/>
                <w:spacing w:val="3"/>
                <w:kern w:val="0"/>
                <w:szCs w:val="21"/>
              </w:rPr>
            </w:pPr>
            <w:r>
              <w:rPr>
                <w:rFonts w:hAnsi="宋体" w:hint="eastAsia"/>
                <w:spacing w:val="3"/>
                <w:kern w:val="0"/>
                <w:szCs w:val="21"/>
              </w:rPr>
              <w:t>200</w:t>
            </w:r>
          </w:p>
        </w:tc>
        <w:tc>
          <w:tcPr>
            <w:tcW w:w="945" w:type="dxa"/>
            <w:tcBorders>
              <w:left w:val="single" w:sz="4" w:space="0" w:color="auto"/>
            </w:tcBorders>
            <w:vAlign w:val="center"/>
          </w:tcPr>
          <w:p w:rsidR="00475650" w:rsidRDefault="00475650">
            <w:pPr>
              <w:ind w:left="-90"/>
              <w:jc w:val="center"/>
              <w:rPr>
                <w:rFonts w:hAnsi="宋体"/>
                <w:spacing w:val="3"/>
                <w:kern w:val="0"/>
                <w:szCs w:val="21"/>
              </w:rPr>
            </w:pPr>
            <w:r>
              <w:rPr>
                <w:rFonts w:hAnsi="宋体" w:hint="eastAsia"/>
                <w:spacing w:val="3"/>
                <w:kern w:val="0"/>
                <w:szCs w:val="21"/>
              </w:rPr>
              <w:t>/</w:t>
            </w:r>
          </w:p>
        </w:tc>
      </w:tr>
      <w:tr w:rsidR="00475650">
        <w:trPr>
          <w:trHeight w:val="160"/>
          <w:jc w:val="center"/>
        </w:trPr>
        <w:tc>
          <w:tcPr>
            <w:tcW w:w="1691" w:type="dxa"/>
            <w:vAlign w:val="center"/>
          </w:tcPr>
          <w:p w:rsidR="00475650" w:rsidRDefault="00475650">
            <w:pPr>
              <w:ind w:left="-90"/>
              <w:jc w:val="center"/>
              <w:rPr>
                <w:rFonts w:hAnsi="宋体"/>
                <w:spacing w:val="3"/>
                <w:kern w:val="0"/>
                <w:szCs w:val="21"/>
              </w:rPr>
            </w:pPr>
            <w:r>
              <w:rPr>
                <w:rFonts w:hAnsi="宋体"/>
                <w:spacing w:val="3"/>
                <w:kern w:val="0"/>
                <w:szCs w:val="21"/>
              </w:rPr>
              <w:t>综合废水水质</w:t>
            </w:r>
          </w:p>
        </w:tc>
        <w:tc>
          <w:tcPr>
            <w:tcW w:w="1086" w:type="dxa"/>
            <w:vAlign w:val="center"/>
          </w:tcPr>
          <w:p w:rsidR="00475650" w:rsidRDefault="00475650">
            <w:pPr>
              <w:ind w:left="-90"/>
              <w:jc w:val="center"/>
              <w:rPr>
                <w:rFonts w:hAnsi="宋体"/>
                <w:spacing w:val="3"/>
                <w:kern w:val="0"/>
                <w:szCs w:val="21"/>
              </w:rPr>
            </w:pPr>
            <w:r>
              <w:rPr>
                <w:rFonts w:hAnsi="宋体" w:hint="eastAsia"/>
                <w:spacing w:val="3"/>
                <w:kern w:val="0"/>
                <w:szCs w:val="21"/>
              </w:rPr>
              <w:t>623.1</w:t>
            </w:r>
          </w:p>
        </w:tc>
        <w:tc>
          <w:tcPr>
            <w:tcW w:w="997" w:type="dxa"/>
            <w:vAlign w:val="center"/>
          </w:tcPr>
          <w:p w:rsidR="00475650" w:rsidRDefault="00475650">
            <w:pPr>
              <w:ind w:left="-90"/>
              <w:jc w:val="center"/>
              <w:rPr>
                <w:rFonts w:hAnsi="宋体"/>
                <w:spacing w:val="3"/>
                <w:kern w:val="0"/>
                <w:szCs w:val="21"/>
              </w:rPr>
            </w:pPr>
            <w:r>
              <w:rPr>
                <w:rFonts w:hAnsi="宋体" w:hint="eastAsia"/>
                <w:spacing w:val="3"/>
                <w:kern w:val="0"/>
                <w:szCs w:val="21"/>
              </w:rPr>
              <w:t>773.42</w:t>
            </w:r>
          </w:p>
        </w:tc>
        <w:tc>
          <w:tcPr>
            <w:tcW w:w="996" w:type="dxa"/>
            <w:vAlign w:val="center"/>
          </w:tcPr>
          <w:p w:rsidR="00475650" w:rsidRDefault="00475650">
            <w:pPr>
              <w:ind w:left="-90"/>
              <w:jc w:val="center"/>
              <w:rPr>
                <w:rFonts w:hAnsi="宋体"/>
                <w:spacing w:val="3"/>
                <w:kern w:val="0"/>
                <w:szCs w:val="21"/>
              </w:rPr>
            </w:pPr>
            <w:r>
              <w:rPr>
                <w:rFonts w:hAnsi="宋体" w:hint="eastAsia"/>
                <w:spacing w:val="3"/>
                <w:kern w:val="0"/>
                <w:szCs w:val="21"/>
              </w:rPr>
              <w:t>212.4</w:t>
            </w:r>
          </w:p>
        </w:tc>
        <w:tc>
          <w:tcPr>
            <w:tcW w:w="1452" w:type="dxa"/>
            <w:vAlign w:val="center"/>
          </w:tcPr>
          <w:p w:rsidR="00475650" w:rsidRDefault="00475650">
            <w:pPr>
              <w:ind w:left="-90"/>
              <w:jc w:val="center"/>
              <w:rPr>
                <w:rFonts w:hAnsi="宋体"/>
                <w:spacing w:val="3"/>
                <w:kern w:val="0"/>
                <w:szCs w:val="21"/>
              </w:rPr>
            </w:pPr>
            <w:r>
              <w:rPr>
                <w:rFonts w:hAnsi="宋体" w:hint="eastAsia"/>
                <w:spacing w:val="3"/>
                <w:kern w:val="0"/>
                <w:szCs w:val="21"/>
              </w:rPr>
              <w:t>24.72</w:t>
            </w:r>
          </w:p>
        </w:tc>
        <w:tc>
          <w:tcPr>
            <w:tcW w:w="952" w:type="dxa"/>
            <w:vAlign w:val="center"/>
          </w:tcPr>
          <w:p w:rsidR="00475650" w:rsidRDefault="00475650">
            <w:pPr>
              <w:ind w:left="-90"/>
              <w:jc w:val="center"/>
              <w:rPr>
                <w:rFonts w:hAnsi="宋体"/>
                <w:spacing w:val="3"/>
                <w:kern w:val="0"/>
                <w:szCs w:val="21"/>
              </w:rPr>
            </w:pPr>
            <w:r>
              <w:rPr>
                <w:rFonts w:hAnsi="宋体" w:hint="eastAsia"/>
                <w:spacing w:val="3"/>
                <w:kern w:val="0"/>
                <w:szCs w:val="21"/>
              </w:rPr>
              <w:t>247</w:t>
            </w:r>
          </w:p>
        </w:tc>
        <w:tc>
          <w:tcPr>
            <w:tcW w:w="952" w:type="dxa"/>
            <w:tcBorders>
              <w:right w:val="single" w:sz="4" w:space="0" w:color="auto"/>
            </w:tcBorders>
            <w:vAlign w:val="center"/>
          </w:tcPr>
          <w:p w:rsidR="00475650" w:rsidRDefault="00475650">
            <w:pPr>
              <w:ind w:left="-90"/>
              <w:jc w:val="center"/>
              <w:rPr>
                <w:rFonts w:hAnsi="宋体"/>
                <w:spacing w:val="3"/>
                <w:kern w:val="0"/>
                <w:szCs w:val="21"/>
              </w:rPr>
            </w:pPr>
            <w:r>
              <w:rPr>
                <w:rFonts w:hAnsi="宋体" w:hint="eastAsia"/>
                <w:spacing w:val="3"/>
                <w:kern w:val="0"/>
                <w:szCs w:val="21"/>
              </w:rPr>
              <w:t>26.1</w:t>
            </w:r>
          </w:p>
        </w:tc>
        <w:tc>
          <w:tcPr>
            <w:tcW w:w="945" w:type="dxa"/>
            <w:tcBorders>
              <w:left w:val="single" w:sz="4" w:space="0" w:color="auto"/>
            </w:tcBorders>
            <w:vAlign w:val="center"/>
          </w:tcPr>
          <w:p w:rsidR="00475650" w:rsidRDefault="00475650">
            <w:pPr>
              <w:ind w:left="-90"/>
              <w:jc w:val="center"/>
              <w:rPr>
                <w:rFonts w:hAnsi="宋体"/>
                <w:spacing w:val="3"/>
                <w:kern w:val="0"/>
                <w:szCs w:val="21"/>
              </w:rPr>
            </w:pPr>
            <w:r>
              <w:rPr>
                <w:rFonts w:hAnsi="宋体" w:hint="eastAsia"/>
                <w:spacing w:val="3"/>
                <w:kern w:val="0"/>
                <w:szCs w:val="21"/>
              </w:rPr>
              <w:t>5.52</w:t>
            </w:r>
          </w:p>
        </w:tc>
      </w:tr>
      <w:tr w:rsidR="00475650">
        <w:trPr>
          <w:trHeight w:val="160"/>
          <w:jc w:val="center"/>
        </w:trPr>
        <w:tc>
          <w:tcPr>
            <w:tcW w:w="1691" w:type="dxa"/>
            <w:vAlign w:val="center"/>
          </w:tcPr>
          <w:p w:rsidR="00475650" w:rsidRDefault="00475650">
            <w:pPr>
              <w:ind w:left="-90"/>
              <w:jc w:val="center"/>
              <w:rPr>
                <w:rFonts w:hAnsi="宋体"/>
                <w:spacing w:val="3"/>
                <w:kern w:val="0"/>
                <w:szCs w:val="21"/>
              </w:rPr>
            </w:pPr>
            <w:r>
              <w:rPr>
                <w:rFonts w:hAnsi="宋体"/>
                <w:spacing w:val="3"/>
                <w:kern w:val="0"/>
                <w:szCs w:val="21"/>
              </w:rPr>
              <w:t>污水处理厂接纳水水质</w:t>
            </w:r>
          </w:p>
        </w:tc>
        <w:tc>
          <w:tcPr>
            <w:tcW w:w="1086" w:type="dxa"/>
            <w:vAlign w:val="center"/>
          </w:tcPr>
          <w:p w:rsidR="00475650" w:rsidRDefault="00475650">
            <w:pPr>
              <w:ind w:left="-90"/>
              <w:jc w:val="center"/>
              <w:rPr>
                <w:rFonts w:hAnsi="宋体"/>
                <w:spacing w:val="3"/>
                <w:kern w:val="0"/>
                <w:szCs w:val="21"/>
              </w:rPr>
            </w:pPr>
            <w:r>
              <w:rPr>
                <w:rFonts w:hAnsi="宋体"/>
                <w:spacing w:val="3"/>
                <w:kern w:val="0"/>
                <w:szCs w:val="21"/>
              </w:rPr>
              <w:t>20000</w:t>
            </w:r>
          </w:p>
        </w:tc>
        <w:tc>
          <w:tcPr>
            <w:tcW w:w="997" w:type="dxa"/>
            <w:vAlign w:val="center"/>
          </w:tcPr>
          <w:p w:rsidR="00475650" w:rsidRDefault="00475650">
            <w:pPr>
              <w:ind w:left="-90"/>
              <w:jc w:val="center"/>
              <w:rPr>
                <w:rFonts w:hAnsi="宋体"/>
                <w:spacing w:val="3"/>
                <w:kern w:val="0"/>
                <w:szCs w:val="21"/>
              </w:rPr>
            </w:pPr>
            <w:r>
              <w:rPr>
                <w:rFonts w:hAnsi="宋体" w:hint="eastAsia"/>
                <w:spacing w:val="3"/>
                <w:kern w:val="0"/>
                <w:szCs w:val="21"/>
              </w:rPr>
              <w:t>1000</w:t>
            </w:r>
          </w:p>
        </w:tc>
        <w:tc>
          <w:tcPr>
            <w:tcW w:w="996" w:type="dxa"/>
            <w:vAlign w:val="center"/>
          </w:tcPr>
          <w:p w:rsidR="00475650" w:rsidRDefault="00475650">
            <w:pPr>
              <w:ind w:left="-90"/>
              <w:jc w:val="center"/>
              <w:rPr>
                <w:rFonts w:hAnsi="宋体"/>
                <w:spacing w:val="3"/>
                <w:kern w:val="0"/>
                <w:szCs w:val="21"/>
              </w:rPr>
            </w:pPr>
            <w:r>
              <w:rPr>
                <w:rFonts w:hAnsi="宋体" w:hint="eastAsia"/>
                <w:spacing w:val="3"/>
                <w:kern w:val="0"/>
                <w:szCs w:val="21"/>
              </w:rPr>
              <w:t>500</w:t>
            </w:r>
          </w:p>
        </w:tc>
        <w:tc>
          <w:tcPr>
            <w:tcW w:w="1452" w:type="dxa"/>
            <w:vAlign w:val="center"/>
          </w:tcPr>
          <w:p w:rsidR="00475650" w:rsidRDefault="00475650">
            <w:pPr>
              <w:ind w:left="-90"/>
              <w:jc w:val="center"/>
              <w:rPr>
                <w:rFonts w:hAnsi="宋体"/>
                <w:spacing w:val="3"/>
                <w:kern w:val="0"/>
                <w:szCs w:val="21"/>
              </w:rPr>
            </w:pPr>
            <w:r>
              <w:rPr>
                <w:rFonts w:hAnsi="宋体"/>
                <w:spacing w:val="3"/>
                <w:kern w:val="0"/>
                <w:szCs w:val="21"/>
              </w:rPr>
              <w:t>27</w:t>
            </w:r>
          </w:p>
        </w:tc>
        <w:tc>
          <w:tcPr>
            <w:tcW w:w="952" w:type="dxa"/>
            <w:vAlign w:val="center"/>
          </w:tcPr>
          <w:p w:rsidR="00475650" w:rsidRDefault="00475650">
            <w:pPr>
              <w:ind w:left="-90"/>
              <w:jc w:val="center"/>
              <w:rPr>
                <w:rFonts w:hAnsi="宋体"/>
                <w:spacing w:val="3"/>
                <w:kern w:val="0"/>
                <w:szCs w:val="21"/>
              </w:rPr>
            </w:pPr>
            <w:r>
              <w:rPr>
                <w:rFonts w:hAnsi="宋体"/>
                <w:spacing w:val="3"/>
                <w:kern w:val="0"/>
                <w:szCs w:val="21"/>
              </w:rPr>
              <w:t>/</w:t>
            </w:r>
          </w:p>
        </w:tc>
        <w:tc>
          <w:tcPr>
            <w:tcW w:w="952" w:type="dxa"/>
            <w:tcBorders>
              <w:right w:val="single" w:sz="4" w:space="0" w:color="auto"/>
            </w:tcBorders>
            <w:vAlign w:val="center"/>
          </w:tcPr>
          <w:p w:rsidR="00475650" w:rsidRDefault="00475650">
            <w:pPr>
              <w:ind w:left="-90"/>
              <w:jc w:val="center"/>
              <w:rPr>
                <w:rFonts w:hAnsi="宋体"/>
                <w:spacing w:val="3"/>
                <w:kern w:val="0"/>
                <w:szCs w:val="21"/>
              </w:rPr>
            </w:pPr>
            <w:r>
              <w:rPr>
                <w:rFonts w:hAnsi="宋体"/>
                <w:spacing w:val="3"/>
                <w:kern w:val="0"/>
                <w:szCs w:val="21"/>
              </w:rPr>
              <w:t>350</w:t>
            </w:r>
          </w:p>
        </w:tc>
        <w:tc>
          <w:tcPr>
            <w:tcW w:w="945" w:type="dxa"/>
            <w:tcBorders>
              <w:left w:val="single" w:sz="4" w:space="0" w:color="auto"/>
            </w:tcBorders>
            <w:vAlign w:val="center"/>
          </w:tcPr>
          <w:p w:rsidR="00475650" w:rsidRDefault="00475650">
            <w:pPr>
              <w:ind w:left="-90"/>
              <w:jc w:val="center"/>
              <w:rPr>
                <w:rFonts w:hAnsi="宋体"/>
                <w:spacing w:val="3"/>
                <w:kern w:val="0"/>
                <w:szCs w:val="21"/>
              </w:rPr>
            </w:pPr>
            <w:r>
              <w:rPr>
                <w:rFonts w:hAnsi="宋体" w:hint="eastAsia"/>
                <w:spacing w:val="3"/>
                <w:kern w:val="0"/>
                <w:szCs w:val="21"/>
              </w:rPr>
              <w:t>/</w:t>
            </w:r>
          </w:p>
        </w:tc>
      </w:tr>
      <w:tr w:rsidR="00475650">
        <w:trPr>
          <w:trHeight w:val="160"/>
          <w:jc w:val="center"/>
        </w:trPr>
        <w:tc>
          <w:tcPr>
            <w:tcW w:w="1691" w:type="dxa"/>
            <w:vAlign w:val="center"/>
          </w:tcPr>
          <w:p w:rsidR="00475650" w:rsidRDefault="00475650">
            <w:pPr>
              <w:ind w:left="-90"/>
              <w:jc w:val="center"/>
              <w:rPr>
                <w:rFonts w:hAnsi="宋体"/>
                <w:spacing w:val="3"/>
                <w:kern w:val="0"/>
                <w:szCs w:val="21"/>
              </w:rPr>
            </w:pPr>
            <w:r>
              <w:rPr>
                <w:rFonts w:hAnsi="宋体"/>
                <w:spacing w:val="3"/>
                <w:kern w:val="0"/>
                <w:szCs w:val="21"/>
              </w:rPr>
              <w:t>可接纳性</w:t>
            </w:r>
          </w:p>
        </w:tc>
        <w:tc>
          <w:tcPr>
            <w:tcW w:w="1086" w:type="dxa"/>
            <w:vAlign w:val="center"/>
          </w:tcPr>
          <w:p w:rsidR="00475650" w:rsidRDefault="00475650">
            <w:pPr>
              <w:ind w:left="-90"/>
              <w:jc w:val="center"/>
              <w:rPr>
                <w:rFonts w:hAnsi="宋体"/>
                <w:spacing w:val="3"/>
                <w:kern w:val="0"/>
                <w:szCs w:val="21"/>
              </w:rPr>
            </w:pPr>
            <w:r>
              <w:rPr>
                <w:rFonts w:hAnsi="宋体"/>
                <w:spacing w:val="3"/>
                <w:kern w:val="0"/>
                <w:szCs w:val="21"/>
              </w:rPr>
              <w:t>可</w:t>
            </w:r>
          </w:p>
        </w:tc>
        <w:tc>
          <w:tcPr>
            <w:tcW w:w="997" w:type="dxa"/>
            <w:vAlign w:val="center"/>
          </w:tcPr>
          <w:p w:rsidR="00475650" w:rsidRDefault="00475650">
            <w:pPr>
              <w:ind w:left="-90"/>
              <w:jc w:val="center"/>
              <w:rPr>
                <w:rFonts w:hAnsi="宋体"/>
                <w:spacing w:val="3"/>
                <w:kern w:val="0"/>
                <w:szCs w:val="21"/>
              </w:rPr>
            </w:pPr>
            <w:r>
              <w:rPr>
                <w:rFonts w:hAnsi="宋体" w:hint="eastAsia"/>
                <w:spacing w:val="3"/>
                <w:kern w:val="0"/>
                <w:szCs w:val="21"/>
              </w:rPr>
              <w:t>可</w:t>
            </w:r>
          </w:p>
        </w:tc>
        <w:tc>
          <w:tcPr>
            <w:tcW w:w="996" w:type="dxa"/>
            <w:vAlign w:val="center"/>
          </w:tcPr>
          <w:p w:rsidR="00475650" w:rsidRDefault="00475650">
            <w:pPr>
              <w:ind w:left="-90"/>
              <w:jc w:val="center"/>
              <w:rPr>
                <w:rFonts w:hAnsi="宋体"/>
                <w:spacing w:val="3"/>
                <w:kern w:val="0"/>
                <w:szCs w:val="21"/>
              </w:rPr>
            </w:pPr>
            <w:r>
              <w:rPr>
                <w:rFonts w:hAnsi="宋体"/>
                <w:spacing w:val="3"/>
                <w:kern w:val="0"/>
                <w:szCs w:val="21"/>
              </w:rPr>
              <w:t>可</w:t>
            </w:r>
          </w:p>
        </w:tc>
        <w:tc>
          <w:tcPr>
            <w:tcW w:w="1452" w:type="dxa"/>
            <w:vAlign w:val="center"/>
          </w:tcPr>
          <w:p w:rsidR="00475650" w:rsidRDefault="00475650">
            <w:pPr>
              <w:ind w:left="-90"/>
              <w:jc w:val="center"/>
              <w:rPr>
                <w:rFonts w:hAnsi="宋体"/>
                <w:spacing w:val="3"/>
                <w:kern w:val="0"/>
                <w:szCs w:val="21"/>
              </w:rPr>
            </w:pPr>
            <w:r>
              <w:rPr>
                <w:rFonts w:hAnsi="宋体"/>
                <w:spacing w:val="3"/>
                <w:kern w:val="0"/>
                <w:szCs w:val="21"/>
              </w:rPr>
              <w:t>可</w:t>
            </w:r>
          </w:p>
        </w:tc>
        <w:tc>
          <w:tcPr>
            <w:tcW w:w="952" w:type="dxa"/>
            <w:vAlign w:val="center"/>
          </w:tcPr>
          <w:p w:rsidR="00475650" w:rsidRDefault="00475650">
            <w:pPr>
              <w:ind w:left="-90"/>
              <w:jc w:val="center"/>
              <w:rPr>
                <w:rFonts w:hAnsi="宋体"/>
                <w:spacing w:val="3"/>
                <w:kern w:val="0"/>
                <w:szCs w:val="21"/>
              </w:rPr>
            </w:pPr>
            <w:r>
              <w:rPr>
                <w:rFonts w:hAnsi="宋体"/>
                <w:spacing w:val="3"/>
                <w:kern w:val="0"/>
                <w:szCs w:val="21"/>
              </w:rPr>
              <w:t>/</w:t>
            </w:r>
          </w:p>
        </w:tc>
        <w:tc>
          <w:tcPr>
            <w:tcW w:w="952" w:type="dxa"/>
            <w:tcBorders>
              <w:right w:val="single" w:sz="4" w:space="0" w:color="auto"/>
            </w:tcBorders>
            <w:vAlign w:val="center"/>
          </w:tcPr>
          <w:p w:rsidR="00475650" w:rsidRDefault="00475650">
            <w:pPr>
              <w:ind w:left="-90"/>
              <w:jc w:val="center"/>
              <w:rPr>
                <w:rFonts w:hAnsi="宋体"/>
                <w:spacing w:val="3"/>
                <w:kern w:val="0"/>
                <w:szCs w:val="21"/>
              </w:rPr>
            </w:pPr>
            <w:r>
              <w:rPr>
                <w:rFonts w:hAnsi="宋体"/>
                <w:spacing w:val="3"/>
                <w:kern w:val="0"/>
                <w:szCs w:val="21"/>
              </w:rPr>
              <w:t>可</w:t>
            </w:r>
          </w:p>
        </w:tc>
        <w:tc>
          <w:tcPr>
            <w:tcW w:w="945" w:type="dxa"/>
            <w:tcBorders>
              <w:left w:val="single" w:sz="4" w:space="0" w:color="auto"/>
            </w:tcBorders>
            <w:vAlign w:val="center"/>
          </w:tcPr>
          <w:p w:rsidR="00475650" w:rsidRDefault="00475650">
            <w:pPr>
              <w:ind w:left="-90"/>
              <w:jc w:val="center"/>
              <w:rPr>
                <w:rFonts w:hAnsi="宋体"/>
                <w:spacing w:val="3"/>
                <w:kern w:val="0"/>
                <w:szCs w:val="21"/>
              </w:rPr>
            </w:pPr>
            <w:r>
              <w:rPr>
                <w:rFonts w:hAnsi="宋体" w:hint="eastAsia"/>
                <w:spacing w:val="3"/>
                <w:kern w:val="0"/>
                <w:szCs w:val="21"/>
              </w:rPr>
              <w:t>/</w:t>
            </w:r>
          </w:p>
        </w:tc>
      </w:tr>
    </w:tbl>
    <w:p w:rsidR="00475650" w:rsidRDefault="00475650">
      <w:pPr>
        <w:ind w:left="-90"/>
        <w:jc w:val="left"/>
        <w:rPr>
          <w:rFonts w:hAnsi="宋体"/>
          <w:spacing w:val="3"/>
          <w:kern w:val="0"/>
          <w:szCs w:val="21"/>
        </w:rPr>
      </w:pPr>
    </w:p>
    <w:p w:rsidR="00475650" w:rsidRDefault="00475650">
      <w:pPr>
        <w:ind w:left="-90"/>
        <w:jc w:val="left"/>
        <w:rPr>
          <w:rFonts w:hAnsi="宋体"/>
          <w:spacing w:val="3"/>
          <w:kern w:val="0"/>
          <w:szCs w:val="21"/>
        </w:rPr>
      </w:pPr>
    </w:p>
    <w:p w:rsidR="00475650" w:rsidRDefault="00475650">
      <w:pPr>
        <w:ind w:left="-90"/>
        <w:jc w:val="left"/>
        <w:rPr>
          <w:rFonts w:hAnsi="宋体"/>
          <w:spacing w:val="3"/>
          <w:kern w:val="0"/>
          <w:sz w:val="24"/>
        </w:rPr>
      </w:pPr>
      <w:r>
        <w:rPr>
          <w:rFonts w:hAnsi="宋体" w:hint="eastAsia"/>
          <w:spacing w:val="3"/>
          <w:kern w:val="0"/>
          <w:sz w:val="24"/>
        </w:rPr>
        <w:t>四</w:t>
      </w:r>
      <w:r>
        <w:rPr>
          <w:rFonts w:hAnsi="宋体"/>
          <w:spacing w:val="3"/>
          <w:kern w:val="0"/>
          <w:sz w:val="24"/>
        </w:rPr>
        <w:t>、工程总水平衡</w:t>
      </w:r>
    </w:p>
    <w:p w:rsidR="00475650" w:rsidRDefault="00475650">
      <w:pPr>
        <w:snapToGrid w:val="0"/>
        <w:spacing w:line="336" w:lineRule="auto"/>
        <w:ind w:firstLineChars="200" w:firstLine="480"/>
        <w:rPr>
          <w:rFonts w:hAnsi="宋体"/>
          <w:sz w:val="24"/>
        </w:rPr>
      </w:pPr>
      <w:r>
        <w:rPr>
          <w:rFonts w:hAnsi="宋体"/>
          <w:sz w:val="24"/>
        </w:rPr>
        <w:t>本工程水平衡情况见下图：</w:t>
      </w:r>
    </w:p>
    <w:p w:rsidR="00475650" w:rsidRDefault="006F27A1">
      <w:pPr>
        <w:snapToGrid w:val="0"/>
        <w:spacing w:line="360" w:lineRule="auto"/>
        <w:ind w:firstLineChars="200" w:firstLine="480"/>
        <w:rPr>
          <w:sz w:val="24"/>
        </w:rPr>
      </w:pPr>
      <w:r>
        <w:rPr>
          <w:sz w:val="24"/>
        </w:rPr>
        <w:pict>
          <v:group id="画布 19732" o:spid="_x0000_s21780" editas="canvas" style="position:absolute;margin-left:-38.2pt;margin-top:4.2pt;width:471.1pt;height:322.65pt;z-index:251646976;mso-position-horizontal-relative:char;mso-position-vertical-relative:line" coordorigin="1844,4211" coordsize="9422,6453">
            <o:lock v:ext="edit" aspectratio="t" text="t"/>
            <o:diagram v:ext="edit" dgmstyle="0" dgmscalex="0" dgmscaley="0"/>
            <v:shape id="_x0000_s21781" type="#_x0000_t75" style="position:absolute;left:1844;top:4211;width:9422;height:6453" o:preferrelative="f">
              <v:path o:extrusionok="t"/>
              <o:lock v:ext="edit" text="t"/>
              <o:diagram v:ext="edit" dgmstyle="0" dgmscalex="0" dgmscaley="0"/>
            </v:shape>
            <v:rect id="矩形 19734" o:spid="_x0000_s21782" style="position:absolute;left:1846;top:7111;width:1048;height:692" filled="f" stroked="f">
              <v:textbox>
                <w:txbxContent>
                  <w:p w:rsidR="00BD74CB" w:rsidRDefault="00BD74CB">
                    <w:r>
                      <w:rPr>
                        <w:rFonts w:hint="eastAsia"/>
                      </w:rPr>
                      <w:t>新鲜水</w:t>
                    </w:r>
                  </w:p>
                  <w:p w:rsidR="00BD74CB" w:rsidRDefault="00BD74CB">
                    <w:r>
                      <w:rPr>
                        <w:rFonts w:hint="eastAsia"/>
                      </w:rPr>
                      <w:t>593.2</w:t>
                    </w:r>
                  </w:p>
                </w:txbxContent>
              </v:textbox>
            </v:rect>
            <v:rect id="矩形 19737" o:spid="_x0000_s21785" style="position:absolute;left:6418;top:5888;width:630;height:1754">
              <v:textbox>
                <w:txbxContent>
                  <w:p w:rsidR="00BD74CB" w:rsidRDefault="00BD74CB">
                    <w:r>
                      <w:rPr>
                        <w:rFonts w:hint="eastAsia"/>
                      </w:rPr>
                      <w:t>染料生产线</w:t>
                    </w:r>
                  </w:p>
                </w:txbxContent>
              </v:textbox>
            </v:rect>
            <v:rect id="矩形 19738" o:spid="_x0000_s21786" style="position:absolute;left:4198;top:5792;width:1546;height:374" filled="f" stroked="f">
              <v:textbox>
                <w:txbxContent>
                  <w:p w:rsidR="00BD74CB" w:rsidRDefault="00BD74CB">
                    <w:r>
                      <w:rPr>
                        <w:rFonts w:hint="eastAsia"/>
                      </w:rPr>
                      <w:t>原料带入</w:t>
                    </w:r>
                    <w:r>
                      <w:rPr>
                        <w:rFonts w:hint="eastAsia"/>
                      </w:rPr>
                      <w:t>7.27</w:t>
                    </w:r>
                  </w:p>
                </w:txbxContent>
              </v:textbox>
            </v:rect>
            <v:rect id="矩形 19739" o:spid="_x0000_s21787" style="position:absolute;left:4048;top:6166;width:1562;height:424" filled="f" stroked="f">
              <v:textbox>
                <w:txbxContent>
                  <w:p w:rsidR="00BD74CB" w:rsidRDefault="00BD74CB">
                    <w:r>
                      <w:rPr>
                        <w:rFonts w:hint="eastAsia"/>
                      </w:rPr>
                      <w:t>反应生成</w:t>
                    </w:r>
                    <w:r>
                      <w:rPr>
                        <w:rFonts w:hint="eastAsia"/>
                      </w:rPr>
                      <w:t>3.25</w:t>
                    </w:r>
                  </w:p>
                </w:txbxContent>
              </v:textbox>
            </v:rect>
            <v:rect id="矩形 19740" o:spid="_x0000_s21788" style="position:absolute;left:8022;top:7280;width:1980;height:420">
              <v:textbox>
                <w:txbxContent>
                  <w:p w:rsidR="00BD74CB" w:rsidRDefault="00BD74CB">
                    <w:r>
                      <w:rPr>
                        <w:rFonts w:hint="eastAsia"/>
                      </w:rPr>
                      <w:t>厂内污水处理站</w:t>
                    </w:r>
                  </w:p>
                </w:txbxContent>
              </v:textbox>
            </v:rect>
            <v:rect id="矩形 19741" o:spid="_x0000_s21789" style="position:absolute;left:7078;top:7180;width:946;height:374" filled="f" stroked="f">
              <v:textbox>
                <w:txbxContent>
                  <w:p w:rsidR="00BD74CB" w:rsidRDefault="00BD74CB">
                    <w:r>
                      <w:rPr>
                        <w:rFonts w:hint="eastAsia"/>
                      </w:rPr>
                      <w:t>587.86</w:t>
                    </w:r>
                  </w:p>
                </w:txbxContent>
              </v:textbox>
            </v:rect>
            <v:rect id="矩形 19742" o:spid="_x0000_s21790" style="position:absolute;left:8008;top:6730;width:1246;height:490">
              <v:textbox>
                <w:txbxContent>
                  <w:p w:rsidR="00BD74CB" w:rsidRDefault="00BD74CB">
                    <w:r>
                      <w:rPr>
                        <w:rFonts w:hint="eastAsia"/>
                      </w:rPr>
                      <w:t>进入产品</w:t>
                    </w:r>
                  </w:p>
                </w:txbxContent>
              </v:textbox>
            </v:rect>
            <v:rect id="矩形 19743" o:spid="_x0000_s21791" style="position:absolute;left:7972;top:6125;width:1334;height:524">
              <v:textbox>
                <w:txbxContent>
                  <w:p w:rsidR="00BD74CB" w:rsidRDefault="00BD74CB">
                    <w:r>
                      <w:rPr>
                        <w:rFonts w:hint="eastAsia"/>
                      </w:rPr>
                      <w:t>进入大气</w:t>
                    </w:r>
                  </w:p>
                </w:txbxContent>
              </v:textbox>
            </v:rect>
            <v:rect id="矩形 19744" o:spid="_x0000_s21792" style="position:absolute;left:7078;top:6200;width:766;height:374" filled="f" stroked="f">
              <v:textbox>
                <w:txbxContent>
                  <w:p w:rsidR="00BD74CB" w:rsidRDefault="00BD74CB">
                    <w:r>
                      <w:rPr>
                        <w:rFonts w:hint="eastAsia"/>
                      </w:rPr>
                      <w:t>11.94</w:t>
                    </w:r>
                  </w:p>
                </w:txbxContent>
              </v:textbox>
            </v:rect>
            <v:rect id="矩形 19745" o:spid="_x0000_s21793" style="position:absolute;left:7124;top:6730;width:782;height:374" filled="f" stroked="f">
              <v:textbox>
                <w:txbxContent>
                  <w:p w:rsidR="00BD74CB" w:rsidRDefault="00BD74CB">
                    <w:r>
                      <w:rPr>
                        <w:rFonts w:hint="eastAsia"/>
                      </w:rPr>
                      <w:t>0.72</w:t>
                    </w:r>
                  </w:p>
                </w:txbxContent>
              </v:textbox>
            </v:rect>
            <v:rect id="矩形 19756" o:spid="_x0000_s21804" style="position:absolute;left:5130;top:8445;width:2104;height:418">
              <v:textbox>
                <w:txbxContent>
                  <w:p w:rsidR="00BD74CB" w:rsidRDefault="00BD74CB">
                    <w:r>
                      <w:rPr>
                        <w:rFonts w:hint="eastAsia"/>
                      </w:rPr>
                      <w:t>地面及平台冲洗水</w:t>
                    </w:r>
                  </w:p>
                </w:txbxContent>
              </v:textbox>
            </v:rect>
            <v:rect id="矩形 19759" o:spid="_x0000_s21807" style="position:absolute;left:4562;top:9530;width:1488;height:418">
              <v:textbox>
                <w:txbxContent>
                  <w:p w:rsidR="00BD74CB" w:rsidRDefault="00BD74CB">
                    <w:pPr>
                      <w:ind w:firstLineChars="50" w:firstLine="105"/>
                    </w:pPr>
                    <w:r>
                      <w:rPr>
                        <w:rFonts w:hint="eastAsia"/>
                      </w:rPr>
                      <w:t>生活废水</w:t>
                    </w:r>
                  </w:p>
                </w:txbxContent>
              </v:textbox>
            </v:rect>
            <v:rect id="矩形 19796" o:spid="_x0000_s21844" style="position:absolute;left:6310;top:4505;width:1018;height:476">
              <v:textbox>
                <w:txbxContent>
                  <w:p w:rsidR="00BD74CB" w:rsidRDefault="00BD74CB">
                    <w:r>
                      <w:rPr>
                        <w:rFonts w:hint="eastAsia"/>
                      </w:rPr>
                      <w:t>制冰机</w:t>
                    </w:r>
                  </w:p>
                </w:txbxContent>
              </v:textbox>
            </v:rect>
            <v:line id="直线 19800" o:spid="_x0000_s21848" style="position:absolute" from="5670,6426" to="6376,6426">
              <v:stroke endarrow="block"/>
            </v:line>
            <v:line id="直线 19801" o:spid="_x0000_s21849" style="position:absolute" from="5700,5976" to="6406,5976">
              <v:stroke endarrow="block"/>
            </v:line>
            <v:line id="直线 19802" o:spid="_x0000_s21850" style="position:absolute" from="3210,5480" to="6676,5480"/>
            <v:line id="直线 19803" o:spid="_x0000_s21851" style="position:absolute" from="6646,5496" to="6646,5886">
              <v:stroke endarrow="block"/>
            </v:line>
            <v:line id="直线 19805" o:spid="_x0000_s21853" style="position:absolute" from="2700,7401" to="3226,7402">
              <v:stroke endarrow="block"/>
            </v:line>
            <v:rect id="矩形 19806" o:spid="_x0000_s21854" style="position:absolute;left:3792;top:5104;width:1876;height:374" filled="f" stroked="f">
              <v:textbox>
                <w:txbxContent>
                  <w:p w:rsidR="00BD74CB" w:rsidRDefault="00BD74CB">
                    <w:r>
                      <w:rPr>
                        <w:rFonts w:hint="eastAsia"/>
                      </w:rPr>
                      <w:t>100</w:t>
                    </w:r>
                  </w:p>
                </w:txbxContent>
              </v:textbox>
            </v:rect>
            <v:rect id="矩形 19807" o:spid="_x0000_s21855" style="position:absolute;left:3734;top:4369;width:1576;height:374" filled="f" stroked="f">
              <v:textbox>
                <w:txbxContent>
                  <w:p w:rsidR="00BD74CB" w:rsidRDefault="00BD74CB">
                    <w:r>
                      <w:rPr>
                        <w:rFonts w:hint="eastAsia"/>
                      </w:rPr>
                      <w:t>490</w:t>
                    </w:r>
                  </w:p>
                </w:txbxContent>
              </v:textbox>
            </v:rect>
            <v:line id="直线 19808" o:spid="_x0000_s21856" style="position:absolute" from="7050,6516" to="7950,6517">
              <v:stroke endarrow="block"/>
            </v:line>
            <v:line id="直线 19809" o:spid="_x0000_s21857" style="position:absolute" from="7066,7490" to="7996,7490">
              <v:stroke endarrow="block"/>
            </v:line>
            <v:line id="直线 19810" o:spid="_x0000_s21858" style="position:absolute" from="7066,7026" to="8010,7026">
              <v:stroke endarrow="block"/>
            </v:line>
            <v:rect id="矩形 19814" o:spid="_x0000_s21862" style="position:absolute;left:6824;top:5089;width:1066;height:374" filled="f" stroked="f">
              <v:textbox>
                <w:txbxContent>
                  <w:p w:rsidR="00BD74CB" w:rsidRDefault="00BD74CB">
                    <w:r>
                      <w:rPr>
                        <w:rFonts w:hint="eastAsia"/>
                      </w:rPr>
                      <w:t>冰</w:t>
                    </w:r>
                    <w:r>
                      <w:rPr>
                        <w:rFonts w:hint="eastAsia"/>
                      </w:rPr>
                      <w:t>490</w:t>
                    </w:r>
                  </w:p>
                </w:txbxContent>
              </v:textbox>
            </v:rect>
            <v:line id="直线 19818" o:spid="_x0000_s21866" style="position:absolute" from="3224,4711" to="6300,4711">
              <v:stroke endarrow="block"/>
            </v:line>
            <v:line id="直线 19819" o:spid="_x0000_s21867" style="position:absolute" from="6884,5011" to="6884,5897">
              <v:stroke endarrow="block"/>
            </v:line>
            <v:line id="直线 19824" o:spid="_x0000_s21872" style="position:absolute" from="3254,9707" to="4588,9708">
              <v:stroke endarrow="block"/>
            </v:line>
            <v:line id="直线 19825" o:spid="_x0000_s21873" style="position:absolute;flip:y" from="5294,9244" to="5310,9530">
              <v:stroke endarrow="block"/>
            </v:line>
            <v:rect id="矩形 19826" o:spid="_x0000_s21874" style="position:absolute;left:4860;top:8870;width:1546;height:374" filled="f" stroked="f">
              <v:textbox>
                <w:txbxContent>
                  <w:p w:rsidR="00BD74CB" w:rsidRDefault="00BD74CB">
                    <w:r>
                      <w:rPr>
                        <w:rFonts w:hint="eastAsia"/>
                      </w:rPr>
                      <w:t>消耗</w:t>
                    </w:r>
                    <w:r>
                      <w:rPr>
                        <w:rFonts w:hint="eastAsia"/>
                      </w:rPr>
                      <w:t xml:space="preserve">0.4                                        </w:t>
                    </w:r>
                  </w:p>
                </w:txbxContent>
              </v:textbox>
            </v:rect>
            <v:line id="直线 19827" o:spid="_x0000_s21875" style="position:absolute" from="3224,4691" to="3254,9707"/>
            <v:line id="直线 19828" o:spid="_x0000_s21876" style="position:absolute" from="3240,8626" to="5130,8627">
              <v:stroke endarrow="block"/>
            </v:line>
            <v:rect id="矩形 19830" o:spid="_x0000_s21878" style="position:absolute;left:3716;top:8191;width:872;height:374" filled="f" stroked="f">
              <v:textbox>
                <w:txbxContent>
                  <w:p w:rsidR="00BD74CB" w:rsidRDefault="00BD74CB">
                    <w:r>
                      <w:rPr>
                        <w:rFonts w:hint="eastAsia"/>
                      </w:rPr>
                      <w:t>0.8</w:t>
                    </w:r>
                  </w:p>
                </w:txbxContent>
              </v:textbox>
            </v:rect>
            <v:rect id="矩形 19831" o:spid="_x0000_s21879" style="position:absolute;left:7710;top:8252;width:872;height:374" filled="f" stroked="f">
              <v:textbox>
                <w:txbxContent>
                  <w:p w:rsidR="00BD74CB" w:rsidRDefault="00BD74CB">
                    <w:r>
                      <w:rPr>
                        <w:rFonts w:hint="eastAsia"/>
                      </w:rPr>
                      <w:t>0.8</w:t>
                    </w:r>
                  </w:p>
                </w:txbxContent>
              </v:textbox>
            </v:rect>
            <v:rect id="矩形 19832" o:spid="_x0000_s21880" style="position:absolute;left:3629;top:9244;width:738;height:374" filled="f" stroked="f">
              <v:textbox>
                <w:txbxContent>
                  <w:p w:rsidR="00BD74CB" w:rsidRDefault="00BD74CB">
                    <w:r>
                      <w:rPr>
                        <w:rFonts w:hint="eastAsia"/>
                      </w:rPr>
                      <w:t>2.4</w:t>
                    </w:r>
                  </w:p>
                </w:txbxContent>
              </v:textbox>
            </v:rect>
            <v:line id="直线 19839" o:spid="_x0000_s21887" style="position:absolute" from="7234,8627" to="8974,8628"/>
            <v:line id="直线 19840" o:spid="_x0000_s21888" style="position:absolute;flip:y" from="8984,7764" to="8985,8614">
              <v:stroke endarrow="block"/>
            </v:line>
            <v:line id="直线 19850" o:spid="_x0000_s21898" style="position:absolute" from="6050,9708" to="7190,9709">
              <v:stroke endarrow="block"/>
            </v:line>
            <v:rect id="矩形 19851" o:spid="_x0000_s21899" style="position:absolute;left:7234;top:9530;width:1894;height:490" filled="f" stroked="f">
              <v:textbox>
                <w:txbxContent>
                  <w:p w:rsidR="00BD74CB" w:rsidRDefault="00BD74CB">
                    <w:r>
                      <w:rPr>
                        <w:rFonts w:hint="eastAsia"/>
                      </w:rPr>
                      <w:t>园区污水处理厂</w:t>
                    </w:r>
                  </w:p>
                </w:txbxContent>
              </v:textbox>
            </v:rect>
            <v:line id="直线 19852" o:spid="_x0000_s21900" style="position:absolute" from="9780,7715" to="9780,8329">
              <v:stroke endarrow="block"/>
            </v:line>
            <v:rect id="矩形 19853" o:spid="_x0000_s21901" style="position:absolute;left:9040;top:8253;width:1758;height:374" filled="f" stroked="f">
              <v:textbox>
                <w:txbxContent>
                  <w:p w:rsidR="00BD74CB" w:rsidRDefault="00BD74CB">
                    <w:r>
                      <w:rPr>
                        <w:rFonts w:hint="eastAsia"/>
                      </w:rPr>
                      <w:t>园区污水处理厂</w:t>
                    </w:r>
                  </w:p>
                </w:txbxContent>
              </v:textbox>
            </v:rect>
            <v:rect id="矩形 19854" o:spid="_x0000_s21902" style="position:absolute;left:6146;top:9333;width:738;height:374" filled="f" stroked="f">
              <v:textbox>
                <w:txbxContent>
                  <w:p w:rsidR="00BD74CB" w:rsidRDefault="00BD74CB">
                    <w:r>
                      <w:rPr>
                        <w:rFonts w:hint="eastAsia"/>
                      </w:rPr>
                      <w:t>2.00</w:t>
                    </w:r>
                  </w:p>
                </w:txbxContent>
              </v:textbox>
            </v:rect>
            <v:rect id="矩形 19856" o:spid="_x0000_s21904" style="position:absolute;left:9792;top:7817;width:962;height:374" filled="f" stroked="f">
              <v:textbox>
                <w:txbxContent>
                  <w:p w:rsidR="00BD74CB" w:rsidRDefault="00BD74CB">
                    <w:r>
                      <w:rPr>
                        <w:rFonts w:hint="eastAsia"/>
                      </w:rPr>
                      <w:t>607.46</w:t>
                    </w:r>
                  </w:p>
                </w:txbxContent>
              </v:textbox>
            </v:rect>
            <v:line id="直线 19819" o:spid="_x0000_s22473" style="position:absolute" from="9780,6294" to="9780,7180">
              <v:stroke endarrow="block"/>
            </v:line>
            <v:rect id="矩形 19814" o:spid="_x0000_s22474" style="position:absolute;left:9411;top:5751;width:1600;height:839" filled="f" stroked="f">
              <v:textbox>
                <w:txbxContent>
                  <w:p w:rsidR="00BD74CB" w:rsidRDefault="00BD74CB">
                    <w:r>
                      <w:rPr>
                        <w:rFonts w:hint="eastAsia"/>
                      </w:rPr>
                      <w:t>喷淋废水</w:t>
                    </w:r>
                    <w:r>
                      <w:rPr>
                        <w:rFonts w:hint="eastAsia"/>
                      </w:rPr>
                      <w:t>0.1</w:t>
                    </w:r>
                    <w:r>
                      <w:rPr>
                        <w:rFonts w:hint="eastAsia"/>
                      </w:rPr>
                      <w:t>，初期雨水</w:t>
                    </w:r>
                    <w:r>
                      <w:rPr>
                        <w:rFonts w:hint="eastAsia"/>
                      </w:rPr>
                      <w:t>18.7</w:t>
                    </w:r>
                  </w:p>
                </w:txbxContent>
              </v:textbox>
            </v:rect>
          </v:group>
        </w:pict>
      </w:r>
    </w:p>
    <w:p w:rsidR="00475650" w:rsidRDefault="00475650">
      <w:pPr>
        <w:snapToGrid w:val="0"/>
        <w:spacing w:line="360" w:lineRule="auto"/>
        <w:ind w:firstLineChars="200" w:firstLine="480"/>
        <w:rPr>
          <w:sz w:val="24"/>
        </w:rPr>
      </w:pPr>
    </w:p>
    <w:p w:rsidR="00475650" w:rsidRDefault="00475650">
      <w:pPr>
        <w:snapToGrid w:val="0"/>
        <w:spacing w:line="360" w:lineRule="auto"/>
        <w:ind w:firstLineChars="200" w:firstLine="480"/>
        <w:rPr>
          <w:sz w:val="24"/>
        </w:rPr>
      </w:pPr>
    </w:p>
    <w:p w:rsidR="00475650" w:rsidRDefault="00475650">
      <w:pPr>
        <w:snapToGrid w:val="0"/>
        <w:spacing w:line="360" w:lineRule="auto"/>
        <w:ind w:firstLineChars="200" w:firstLine="480"/>
        <w:rPr>
          <w:sz w:val="24"/>
        </w:rPr>
      </w:pPr>
    </w:p>
    <w:p w:rsidR="00475650" w:rsidRDefault="00475650">
      <w:pPr>
        <w:snapToGrid w:val="0"/>
        <w:spacing w:line="360" w:lineRule="auto"/>
        <w:ind w:firstLineChars="200" w:firstLine="480"/>
        <w:rPr>
          <w:sz w:val="24"/>
        </w:rPr>
      </w:pPr>
    </w:p>
    <w:p w:rsidR="00475650" w:rsidRDefault="00475650">
      <w:pPr>
        <w:snapToGrid w:val="0"/>
        <w:spacing w:line="360" w:lineRule="auto"/>
        <w:ind w:firstLineChars="200" w:firstLine="480"/>
        <w:rPr>
          <w:sz w:val="24"/>
        </w:rPr>
      </w:pPr>
    </w:p>
    <w:p w:rsidR="00475650" w:rsidRDefault="00475650">
      <w:pPr>
        <w:snapToGrid w:val="0"/>
        <w:spacing w:line="360" w:lineRule="auto"/>
        <w:ind w:firstLineChars="200" w:firstLine="480"/>
        <w:rPr>
          <w:sz w:val="24"/>
        </w:rPr>
      </w:pPr>
    </w:p>
    <w:p w:rsidR="00475650" w:rsidRDefault="00475650">
      <w:pPr>
        <w:snapToGrid w:val="0"/>
        <w:spacing w:line="360" w:lineRule="auto"/>
        <w:ind w:firstLineChars="200" w:firstLine="480"/>
        <w:rPr>
          <w:sz w:val="24"/>
        </w:rPr>
      </w:pPr>
    </w:p>
    <w:p w:rsidR="00475650" w:rsidRDefault="00475650">
      <w:pPr>
        <w:snapToGrid w:val="0"/>
        <w:spacing w:line="360" w:lineRule="auto"/>
        <w:ind w:firstLineChars="200" w:firstLine="480"/>
        <w:rPr>
          <w:sz w:val="24"/>
        </w:rPr>
      </w:pPr>
    </w:p>
    <w:p w:rsidR="00475650" w:rsidRDefault="00475650">
      <w:pPr>
        <w:snapToGrid w:val="0"/>
        <w:spacing w:line="360" w:lineRule="auto"/>
        <w:ind w:firstLineChars="200" w:firstLine="480"/>
        <w:rPr>
          <w:sz w:val="24"/>
        </w:rPr>
      </w:pPr>
    </w:p>
    <w:p w:rsidR="00475650" w:rsidRDefault="00475650">
      <w:pPr>
        <w:snapToGrid w:val="0"/>
        <w:spacing w:line="360" w:lineRule="auto"/>
        <w:ind w:firstLineChars="200" w:firstLine="480"/>
        <w:rPr>
          <w:sz w:val="24"/>
        </w:rPr>
      </w:pPr>
    </w:p>
    <w:p w:rsidR="00475650" w:rsidRDefault="00475650">
      <w:pPr>
        <w:snapToGrid w:val="0"/>
        <w:spacing w:line="360" w:lineRule="auto"/>
        <w:ind w:firstLineChars="200" w:firstLine="480"/>
        <w:rPr>
          <w:sz w:val="24"/>
        </w:rPr>
      </w:pPr>
    </w:p>
    <w:p w:rsidR="00475650" w:rsidRDefault="00475650">
      <w:pPr>
        <w:snapToGrid w:val="0"/>
        <w:spacing w:line="360" w:lineRule="auto"/>
        <w:ind w:firstLineChars="200" w:firstLine="480"/>
        <w:rPr>
          <w:sz w:val="24"/>
        </w:rPr>
      </w:pPr>
    </w:p>
    <w:p w:rsidR="00475650" w:rsidRDefault="00475650">
      <w:pPr>
        <w:snapToGrid w:val="0"/>
        <w:spacing w:line="360" w:lineRule="auto"/>
        <w:ind w:firstLineChars="200" w:firstLine="480"/>
        <w:rPr>
          <w:sz w:val="24"/>
        </w:rPr>
      </w:pPr>
    </w:p>
    <w:p w:rsidR="00475650" w:rsidRDefault="00475650">
      <w:pPr>
        <w:snapToGrid w:val="0"/>
        <w:spacing w:line="360" w:lineRule="auto"/>
        <w:ind w:firstLineChars="200" w:firstLine="480"/>
        <w:rPr>
          <w:sz w:val="24"/>
        </w:rPr>
      </w:pPr>
    </w:p>
    <w:p w:rsidR="00475650" w:rsidRDefault="00475650">
      <w:pPr>
        <w:snapToGrid w:val="0"/>
        <w:spacing w:line="360" w:lineRule="auto"/>
        <w:ind w:firstLineChars="200" w:firstLine="480"/>
        <w:jc w:val="center"/>
        <w:rPr>
          <w:sz w:val="24"/>
        </w:rPr>
      </w:pPr>
      <w:r>
        <w:rPr>
          <w:rFonts w:hAnsi="宋体"/>
          <w:sz w:val="24"/>
        </w:rPr>
        <w:t>图</w:t>
      </w:r>
      <w:r>
        <w:rPr>
          <w:sz w:val="24"/>
        </w:rPr>
        <w:t xml:space="preserve">3-10  </w:t>
      </w:r>
      <w:r>
        <w:rPr>
          <w:rFonts w:hAnsi="宋体"/>
          <w:sz w:val="24"/>
        </w:rPr>
        <w:t>工程水平衡图</w:t>
      </w:r>
      <w:r>
        <w:rPr>
          <w:sz w:val="24"/>
        </w:rPr>
        <w:t xml:space="preserve">  </w:t>
      </w:r>
      <w:r>
        <w:rPr>
          <w:rFonts w:hAnsi="宋体"/>
          <w:sz w:val="24"/>
        </w:rPr>
        <w:t>单位：</w:t>
      </w:r>
      <w:r>
        <w:rPr>
          <w:sz w:val="24"/>
        </w:rPr>
        <w:t>t/d</w:t>
      </w:r>
    </w:p>
    <w:p w:rsidR="00475650" w:rsidRDefault="00475650">
      <w:pPr>
        <w:snapToGrid w:val="0"/>
        <w:spacing w:line="360" w:lineRule="auto"/>
        <w:ind w:firstLineChars="200" w:firstLine="420"/>
        <w:jc w:val="center"/>
        <w:rPr>
          <w:szCs w:val="21"/>
        </w:rPr>
      </w:pPr>
      <w:r>
        <w:rPr>
          <w:rFonts w:hint="eastAsia"/>
          <w:szCs w:val="21"/>
        </w:rPr>
        <w:t>（由于本图中废水水量不包含污染组成，因此本图中废水水量与生产废水水量有一定的出入）</w:t>
      </w:r>
    </w:p>
    <w:p w:rsidR="00475650" w:rsidRDefault="00475650">
      <w:pPr>
        <w:pStyle w:val="h"/>
        <w:spacing w:before="0" w:after="0" w:line="348" w:lineRule="auto"/>
        <w:ind w:firstLine="0"/>
        <w:outlineLvl w:val="2"/>
        <w:rPr>
          <w:rStyle w:val="2Char1Char"/>
          <w:rFonts w:ascii="Times New Roman" w:eastAsia="宋体" w:hAnsi="Times New Roman" w:cs="Times New Roman"/>
          <w:b w:val="0"/>
          <w:sz w:val="24"/>
          <w:szCs w:val="24"/>
        </w:rPr>
      </w:pPr>
      <w:bookmarkStart w:id="610" w:name="_Toc334014163"/>
      <w:bookmarkStart w:id="611" w:name="_Toc334080805"/>
      <w:bookmarkStart w:id="612" w:name="_Toc333229990"/>
      <w:bookmarkStart w:id="613" w:name="_Toc448999101"/>
      <w:bookmarkStart w:id="614" w:name="_Toc465676997"/>
      <w:bookmarkStart w:id="615" w:name="_Toc3899"/>
      <w:r>
        <w:rPr>
          <w:rStyle w:val="2Char1Char"/>
          <w:rFonts w:ascii="Times New Roman" w:eastAsia="宋体" w:hAnsi="Times New Roman" w:cs="Times New Roman"/>
          <w:b w:val="0"/>
          <w:sz w:val="24"/>
          <w:szCs w:val="24"/>
        </w:rPr>
        <w:t xml:space="preserve">3.3.6.2 </w:t>
      </w:r>
      <w:r>
        <w:rPr>
          <w:rStyle w:val="2Char1Char"/>
          <w:rFonts w:ascii="Times New Roman" w:eastAsia="宋体" w:hAnsi="Times New Roman" w:cs="Times New Roman"/>
          <w:b w:val="0"/>
          <w:sz w:val="24"/>
          <w:szCs w:val="24"/>
        </w:rPr>
        <w:t>废气污染防治措施分析</w:t>
      </w:r>
      <w:bookmarkEnd w:id="610"/>
      <w:bookmarkEnd w:id="611"/>
      <w:bookmarkEnd w:id="612"/>
      <w:bookmarkEnd w:id="613"/>
      <w:bookmarkEnd w:id="614"/>
      <w:bookmarkEnd w:id="615"/>
    </w:p>
    <w:p w:rsidR="00475650" w:rsidRDefault="00475650">
      <w:pPr>
        <w:snapToGrid w:val="0"/>
        <w:spacing w:line="360" w:lineRule="auto"/>
        <w:ind w:firstLineChars="200" w:firstLine="480"/>
        <w:rPr>
          <w:rFonts w:hAnsi="宋体"/>
          <w:sz w:val="24"/>
        </w:rPr>
      </w:pPr>
      <w:r>
        <w:rPr>
          <w:rFonts w:hAnsi="宋体"/>
          <w:sz w:val="24"/>
        </w:rPr>
        <w:t>通过污染源分析章节可知，初步可研</w:t>
      </w:r>
      <w:r>
        <w:rPr>
          <w:rFonts w:hAnsi="宋体" w:hint="eastAsia"/>
          <w:sz w:val="24"/>
        </w:rPr>
        <w:t>拟对破碎及包装车间废气采取布袋除尘措施，</w:t>
      </w:r>
      <w:r>
        <w:rPr>
          <w:rFonts w:hAnsi="宋体" w:hint="eastAsia"/>
          <w:sz w:val="24"/>
        </w:rPr>
        <w:lastRenderedPageBreak/>
        <w:t>未涉及其他废气的处理方式，环评根据工艺流程及业主提供的其他相关资料，对可研提出的废气污染防治措施进行了补充及优化。</w:t>
      </w:r>
    </w:p>
    <w:p w:rsidR="00475650" w:rsidRDefault="00475650">
      <w:pPr>
        <w:snapToGrid w:val="0"/>
        <w:spacing w:line="360" w:lineRule="auto"/>
        <w:ind w:firstLineChars="200" w:firstLine="480"/>
        <w:rPr>
          <w:rFonts w:hAnsi="宋体"/>
          <w:sz w:val="24"/>
        </w:rPr>
      </w:pPr>
      <w:r>
        <w:rPr>
          <w:rFonts w:hAnsi="宋体" w:hint="eastAsia"/>
          <w:sz w:val="24"/>
        </w:rPr>
        <w:t>生产车间产生废气根据其种类分为酸碱废气、含尘废气、洁净气体及恶臭气体，其中洁净气体为酰化反应产生的二氧化碳气体；酸碱废气为重氮、偶合反应废气及烘干废气，主要污染成分为氯化氢及氨；含尘废气来自破碎及包装工序，主要成分与产品组成相同，恶臭气体来自隔膜压滤车间及污水处理站。根据废气性质采用的污染措施为：设置一套碱液喷淋塔及一个高度</w:t>
      </w:r>
      <w:r>
        <w:rPr>
          <w:rFonts w:hAnsi="宋体" w:hint="eastAsia"/>
          <w:sz w:val="24"/>
        </w:rPr>
        <w:t>15m</w:t>
      </w:r>
      <w:r>
        <w:rPr>
          <w:rFonts w:hAnsi="宋体" w:hint="eastAsia"/>
          <w:sz w:val="24"/>
        </w:rPr>
        <w:t>以上的防腐排气筒，酸碱废气负压收集后经喷淋塔碱液喷淋后由排气筒外排；隔膜压滤车间产生的恶臭主要为有机物特有异味，采用负压集气设施负压收集后经喷淋塔碱液喷淋后由排气筒外排；污水处理恶臭因子为氨，对污水处理站采用密封加盖，并对生化池及污泥暂存间采用负压集气收集后送喷淋塔集中处理。含尘废气经负压收集送布袋收尘处理后由排气筒外排。</w:t>
      </w:r>
    </w:p>
    <w:p w:rsidR="00475650" w:rsidRDefault="00475650">
      <w:pPr>
        <w:snapToGrid w:val="0"/>
        <w:spacing w:line="360" w:lineRule="auto"/>
        <w:ind w:firstLineChars="200" w:firstLine="464"/>
        <w:rPr>
          <w:rFonts w:hAnsi="宋体"/>
          <w:spacing w:val="-4"/>
          <w:sz w:val="24"/>
        </w:rPr>
      </w:pPr>
      <w:r>
        <w:rPr>
          <w:rFonts w:hAnsi="宋体" w:hint="eastAsia"/>
          <w:spacing w:val="-4"/>
          <w:sz w:val="24"/>
        </w:rPr>
        <w:t>按照</w:t>
      </w:r>
      <w:r>
        <w:rPr>
          <w:rFonts w:hAnsi="宋体" w:hint="eastAsia"/>
          <w:spacing w:val="-4"/>
          <w:sz w:val="24"/>
        </w:rPr>
        <w:t>5%</w:t>
      </w:r>
      <w:r>
        <w:rPr>
          <w:rFonts w:hAnsi="宋体" w:hint="eastAsia"/>
          <w:spacing w:val="-4"/>
          <w:sz w:val="24"/>
        </w:rPr>
        <w:t>考虑设备及输送管道连接处的气体泄露</w:t>
      </w:r>
      <w:r>
        <w:rPr>
          <w:rFonts w:hAnsi="宋体"/>
          <w:spacing w:val="-4"/>
          <w:sz w:val="24"/>
        </w:rPr>
        <w:t>，</w:t>
      </w:r>
      <w:r>
        <w:rPr>
          <w:rFonts w:hAnsi="宋体" w:hint="eastAsia"/>
          <w:spacing w:val="-4"/>
          <w:sz w:val="24"/>
        </w:rPr>
        <w:t>喷淋对氯化氢的去除效率按照</w:t>
      </w:r>
      <w:r>
        <w:rPr>
          <w:rFonts w:hAnsi="宋体" w:hint="eastAsia"/>
          <w:spacing w:val="-4"/>
          <w:sz w:val="24"/>
        </w:rPr>
        <w:t>90%</w:t>
      </w:r>
      <w:r>
        <w:rPr>
          <w:rFonts w:hAnsi="宋体" w:hint="eastAsia"/>
          <w:spacing w:val="-4"/>
          <w:sz w:val="24"/>
        </w:rPr>
        <w:t>核算，</w:t>
      </w:r>
      <w:r>
        <w:rPr>
          <w:rFonts w:hAnsi="宋体"/>
          <w:spacing w:val="-4"/>
          <w:sz w:val="24"/>
        </w:rPr>
        <w:t>布袋收尘器收尘效率按照</w:t>
      </w:r>
      <w:r>
        <w:rPr>
          <w:spacing w:val="-4"/>
          <w:sz w:val="24"/>
        </w:rPr>
        <w:t>99.5%</w:t>
      </w:r>
      <w:r>
        <w:rPr>
          <w:rFonts w:hAnsi="宋体"/>
          <w:spacing w:val="-4"/>
          <w:sz w:val="24"/>
        </w:rPr>
        <w:t>核算，</w:t>
      </w:r>
      <w:r>
        <w:rPr>
          <w:rFonts w:hAnsi="宋体" w:hint="eastAsia"/>
          <w:spacing w:val="-4"/>
          <w:sz w:val="24"/>
        </w:rPr>
        <w:t>在采取可研及环评补充的措施后，本项目车间无组织外排污染物的量为：氯化氢</w:t>
      </w:r>
      <w:r>
        <w:rPr>
          <w:rFonts w:hAnsi="宋体" w:hint="eastAsia"/>
          <w:spacing w:val="-4"/>
          <w:sz w:val="24"/>
        </w:rPr>
        <w:t>0.25t/a</w:t>
      </w:r>
      <w:r>
        <w:rPr>
          <w:rFonts w:hAnsi="宋体" w:hint="eastAsia"/>
          <w:spacing w:val="-4"/>
          <w:sz w:val="24"/>
        </w:rPr>
        <w:t>，氨</w:t>
      </w:r>
      <w:r>
        <w:rPr>
          <w:rFonts w:hAnsi="宋体" w:hint="eastAsia"/>
          <w:spacing w:val="-4"/>
          <w:sz w:val="24"/>
        </w:rPr>
        <w:t>0.014t/a</w:t>
      </w:r>
      <w:r>
        <w:rPr>
          <w:rFonts w:hAnsi="宋体" w:hint="eastAsia"/>
          <w:spacing w:val="-4"/>
          <w:sz w:val="24"/>
        </w:rPr>
        <w:t>，粉尘</w:t>
      </w:r>
      <w:r>
        <w:rPr>
          <w:rFonts w:hAnsi="宋体" w:hint="eastAsia"/>
          <w:spacing w:val="-4"/>
          <w:sz w:val="24"/>
        </w:rPr>
        <w:t>0.71t/a</w:t>
      </w:r>
      <w:r>
        <w:rPr>
          <w:rFonts w:hAnsi="宋体" w:hint="eastAsia"/>
          <w:spacing w:val="-4"/>
          <w:sz w:val="24"/>
        </w:rPr>
        <w:t>；通过高点有组织外排污染物的量为：氯化氢</w:t>
      </w:r>
      <w:r>
        <w:rPr>
          <w:rFonts w:hAnsi="宋体" w:hint="eastAsia"/>
          <w:spacing w:val="-4"/>
          <w:sz w:val="24"/>
        </w:rPr>
        <w:t>0.101kg/h</w:t>
      </w:r>
      <w:r>
        <w:rPr>
          <w:rFonts w:hAnsi="宋体" w:hint="eastAsia"/>
          <w:spacing w:val="-4"/>
          <w:sz w:val="24"/>
        </w:rPr>
        <w:t>（</w:t>
      </w:r>
      <w:r>
        <w:rPr>
          <w:rFonts w:hAnsi="宋体" w:hint="eastAsia"/>
          <w:spacing w:val="-4"/>
          <w:sz w:val="24"/>
        </w:rPr>
        <w:t>6.733 mg/m</w:t>
      </w:r>
      <w:r>
        <w:rPr>
          <w:rFonts w:hAnsi="宋体" w:hint="eastAsia"/>
          <w:spacing w:val="-4"/>
          <w:sz w:val="24"/>
          <w:vertAlign w:val="superscript"/>
        </w:rPr>
        <w:t>3</w:t>
      </w:r>
      <w:r>
        <w:rPr>
          <w:rFonts w:hAnsi="宋体" w:hint="eastAsia"/>
          <w:spacing w:val="-4"/>
          <w:sz w:val="24"/>
        </w:rPr>
        <w:t>），氨</w:t>
      </w:r>
      <w:r>
        <w:rPr>
          <w:rFonts w:hAnsi="宋体" w:hint="eastAsia"/>
          <w:spacing w:val="-4"/>
          <w:sz w:val="24"/>
        </w:rPr>
        <w:t>0.036 kg/h</w:t>
      </w:r>
      <w:r>
        <w:rPr>
          <w:rFonts w:hAnsi="宋体" w:hint="eastAsia"/>
          <w:spacing w:val="-4"/>
          <w:sz w:val="24"/>
        </w:rPr>
        <w:t>（</w:t>
      </w:r>
      <w:r>
        <w:rPr>
          <w:rFonts w:hAnsi="宋体" w:hint="eastAsia"/>
          <w:spacing w:val="-4"/>
          <w:sz w:val="24"/>
        </w:rPr>
        <w:t>2.4 mg/m</w:t>
      </w:r>
      <w:r>
        <w:rPr>
          <w:rFonts w:hAnsi="宋体" w:hint="eastAsia"/>
          <w:spacing w:val="-4"/>
          <w:sz w:val="24"/>
          <w:vertAlign w:val="superscript"/>
        </w:rPr>
        <w:t>3</w:t>
      </w:r>
      <w:r>
        <w:rPr>
          <w:rFonts w:hAnsi="宋体" w:hint="eastAsia"/>
          <w:spacing w:val="-4"/>
          <w:sz w:val="24"/>
        </w:rPr>
        <w:t>），粉尘</w:t>
      </w:r>
      <w:r>
        <w:rPr>
          <w:rFonts w:hAnsi="宋体" w:hint="eastAsia"/>
          <w:spacing w:val="-4"/>
          <w:sz w:val="24"/>
        </w:rPr>
        <w:t>0.158 kg/h</w:t>
      </w:r>
      <w:r>
        <w:rPr>
          <w:rFonts w:hAnsi="宋体" w:hint="eastAsia"/>
          <w:spacing w:val="-4"/>
          <w:sz w:val="24"/>
        </w:rPr>
        <w:t>（</w:t>
      </w:r>
      <w:r>
        <w:rPr>
          <w:rFonts w:hAnsi="宋体" w:hint="eastAsia"/>
          <w:spacing w:val="-4"/>
          <w:sz w:val="24"/>
        </w:rPr>
        <w:t>10.533mg/m</w:t>
      </w:r>
      <w:r>
        <w:rPr>
          <w:rFonts w:hAnsi="宋体" w:hint="eastAsia"/>
          <w:spacing w:val="-4"/>
          <w:sz w:val="24"/>
          <w:vertAlign w:val="superscript"/>
        </w:rPr>
        <w:t>3</w:t>
      </w:r>
      <w:r>
        <w:rPr>
          <w:rFonts w:hAnsi="宋体" w:hint="eastAsia"/>
          <w:spacing w:val="-4"/>
          <w:sz w:val="24"/>
        </w:rPr>
        <w:t>）；排气筒按照最低标准要求需设置在</w:t>
      </w:r>
      <w:r>
        <w:rPr>
          <w:rFonts w:hAnsi="宋体" w:hint="eastAsia"/>
          <w:spacing w:val="-4"/>
          <w:sz w:val="24"/>
        </w:rPr>
        <w:t>15m</w:t>
      </w:r>
      <w:r>
        <w:rPr>
          <w:rFonts w:hAnsi="宋体" w:hint="eastAsia"/>
          <w:spacing w:val="-4"/>
          <w:sz w:val="24"/>
        </w:rPr>
        <w:t>以上，内径设为</w:t>
      </w:r>
      <w:r>
        <w:rPr>
          <w:rFonts w:hAnsi="宋体" w:hint="eastAsia"/>
          <w:spacing w:val="-4"/>
          <w:sz w:val="24"/>
        </w:rPr>
        <w:t>0.6m</w:t>
      </w:r>
      <w:r>
        <w:rPr>
          <w:rFonts w:hAnsi="宋体" w:hint="eastAsia"/>
          <w:spacing w:val="-4"/>
          <w:sz w:val="24"/>
        </w:rPr>
        <w:t>，采用防腐材质，烟气量约为每小时</w:t>
      </w:r>
      <w:r>
        <w:rPr>
          <w:rFonts w:hAnsi="宋体" w:hint="eastAsia"/>
          <w:spacing w:val="-4"/>
          <w:sz w:val="24"/>
        </w:rPr>
        <w:t>15000</w:t>
      </w:r>
      <w:r>
        <w:rPr>
          <w:rFonts w:hAnsi="宋体" w:hint="eastAsia"/>
          <w:spacing w:val="-4"/>
          <w:sz w:val="24"/>
        </w:rPr>
        <w:t>立方米，外排烟气的温度约为</w:t>
      </w:r>
      <w:r>
        <w:rPr>
          <w:rFonts w:hAnsi="宋体" w:hint="eastAsia"/>
          <w:spacing w:val="-4"/>
          <w:sz w:val="24"/>
        </w:rPr>
        <w:t>25</w:t>
      </w:r>
      <w:r>
        <w:rPr>
          <w:rFonts w:hAnsi="宋体" w:hint="eastAsia"/>
          <w:spacing w:val="-4"/>
          <w:sz w:val="24"/>
        </w:rPr>
        <w:t>℃。</w:t>
      </w:r>
    </w:p>
    <w:p w:rsidR="00475650" w:rsidRDefault="00475650">
      <w:pPr>
        <w:snapToGrid w:val="0"/>
        <w:spacing w:line="360" w:lineRule="auto"/>
        <w:ind w:firstLineChars="200" w:firstLine="464"/>
        <w:rPr>
          <w:rFonts w:hAnsi="宋体"/>
          <w:spacing w:val="-4"/>
          <w:sz w:val="24"/>
        </w:rPr>
      </w:pPr>
      <w:r>
        <w:rPr>
          <w:rFonts w:hAnsi="宋体" w:hint="eastAsia"/>
          <w:spacing w:val="-4"/>
          <w:sz w:val="24"/>
        </w:rPr>
        <w:t>根据《大气污染物综合排放标准》（</w:t>
      </w:r>
      <w:r>
        <w:rPr>
          <w:rFonts w:hAnsi="宋体" w:hint="eastAsia"/>
          <w:spacing w:val="-4"/>
          <w:sz w:val="24"/>
        </w:rPr>
        <w:t>GB16297-1996</w:t>
      </w:r>
      <w:r>
        <w:rPr>
          <w:rFonts w:hAnsi="宋体" w:hint="eastAsia"/>
          <w:spacing w:val="-4"/>
          <w:sz w:val="24"/>
        </w:rPr>
        <w:t>），</w:t>
      </w:r>
      <w:r>
        <w:rPr>
          <w:rFonts w:hAnsi="宋体" w:hint="eastAsia"/>
          <w:spacing w:val="-4"/>
          <w:sz w:val="24"/>
        </w:rPr>
        <w:t xml:space="preserve">15m </w:t>
      </w:r>
      <w:r>
        <w:rPr>
          <w:rFonts w:hAnsi="宋体" w:hint="eastAsia"/>
          <w:spacing w:val="-4"/>
          <w:sz w:val="24"/>
        </w:rPr>
        <w:t>高排气筒污染物排放限值为：颗粒物</w:t>
      </w:r>
      <w:r>
        <w:rPr>
          <w:rFonts w:hAnsi="宋体" w:hint="eastAsia"/>
          <w:spacing w:val="-4"/>
          <w:sz w:val="24"/>
        </w:rPr>
        <w:t>0.51kg/h</w:t>
      </w:r>
      <w:r>
        <w:rPr>
          <w:rFonts w:hAnsi="宋体" w:hint="eastAsia"/>
          <w:spacing w:val="-4"/>
          <w:sz w:val="24"/>
        </w:rPr>
        <w:t>（浓度为</w:t>
      </w:r>
      <w:r>
        <w:rPr>
          <w:rFonts w:hAnsi="宋体" w:hint="eastAsia"/>
          <w:spacing w:val="-4"/>
          <w:sz w:val="24"/>
        </w:rPr>
        <w:t>18mg/m</w:t>
      </w:r>
      <w:r>
        <w:rPr>
          <w:rFonts w:hAnsi="宋体" w:hint="eastAsia"/>
          <w:spacing w:val="-4"/>
          <w:sz w:val="24"/>
          <w:vertAlign w:val="superscript"/>
        </w:rPr>
        <w:t>3</w:t>
      </w:r>
      <w:r>
        <w:rPr>
          <w:rFonts w:hAnsi="宋体" w:hint="eastAsia"/>
          <w:spacing w:val="-4"/>
          <w:sz w:val="24"/>
        </w:rPr>
        <w:t>），氯化氢</w:t>
      </w:r>
      <w:r>
        <w:rPr>
          <w:rFonts w:hAnsi="宋体" w:hint="eastAsia"/>
          <w:spacing w:val="-4"/>
          <w:sz w:val="24"/>
        </w:rPr>
        <w:t>0.26 kg/h</w:t>
      </w:r>
      <w:r>
        <w:rPr>
          <w:rFonts w:hAnsi="宋体" w:hint="eastAsia"/>
          <w:spacing w:val="-4"/>
          <w:sz w:val="24"/>
        </w:rPr>
        <w:t>（浓度为</w:t>
      </w:r>
      <w:r>
        <w:rPr>
          <w:rFonts w:hAnsi="宋体" w:hint="eastAsia"/>
          <w:spacing w:val="-4"/>
          <w:sz w:val="24"/>
        </w:rPr>
        <w:t>100mg/m</w:t>
      </w:r>
      <w:r>
        <w:rPr>
          <w:rFonts w:hAnsi="宋体" w:hint="eastAsia"/>
          <w:spacing w:val="-4"/>
          <w:sz w:val="24"/>
          <w:vertAlign w:val="superscript"/>
        </w:rPr>
        <w:t>3</w:t>
      </w:r>
      <w:r>
        <w:rPr>
          <w:rFonts w:hAnsi="宋体" w:hint="eastAsia"/>
          <w:spacing w:val="-4"/>
          <w:sz w:val="24"/>
        </w:rPr>
        <w:t>）；根据《恶臭污染物排放标准》（</w:t>
      </w:r>
      <w:r>
        <w:rPr>
          <w:rFonts w:hAnsi="宋体" w:hint="eastAsia"/>
          <w:spacing w:val="-4"/>
          <w:sz w:val="24"/>
        </w:rPr>
        <w:t>GB14554-93</w:t>
      </w:r>
      <w:r>
        <w:rPr>
          <w:rFonts w:hAnsi="宋体" w:hint="eastAsia"/>
          <w:spacing w:val="-4"/>
          <w:sz w:val="24"/>
        </w:rPr>
        <w:t>），</w:t>
      </w:r>
      <w:r>
        <w:rPr>
          <w:rFonts w:hAnsi="宋体" w:hint="eastAsia"/>
          <w:spacing w:val="-4"/>
          <w:sz w:val="24"/>
        </w:rPr>
        <w:t xml:space="preserve">15m </w:t>
      </w:r>
      <w:r>
        <w:rPr>
          <w:rFonts w:hAnsi="宋体" w:hint="eastAsia"/>
          <w:spacing w:val="-4"/>
          <w:sz w:val="24"/>
        </w:rPr>
        <w:t>高排气筒污染物排放限值为：氨</w:t>
      </w:r>
      <w:r>
        <w:rPr>
          <w:rFonts w:hAnsi="宋体" w:hint="eastAsia"/>
          <w:spacing w:val="-4"/>
          <w:sz w:val="24"/>
        </w:rPr>
        <w:t>4.9 kg/h</w:t>
      </w:r>
      <w:r>
        <w:rPr>
          <w:rFonts w:hAnsi="宋体" w:hint="eastAsia"/>
          <w:spacing w:val="-4"/>
          <w:sz w:val="24"/>
        </w:rPr>
        <w:t>。对比分析，本项目各污染组分外排速度及浓度低于标准限值。</w:t>
      </w:r>
    </w:p>
    <w:p w:rsidR="00475650" w:rsidRDefault="00475650">
      <w:pPr>
        <w:pStyle w:val="h"/>
        <w:spacing w:before="0" w:after="0" w:line="360" w:lineRule="auto"/>
        <w:ind w:firstLine="0"/>
        <w:outlineLvl w:val="2"/>
        <w:rPr>
          <w:rStyle w:val="2Char1Char"/>
          <w:rFonts w:ascii="Times New Roman" w:eastAsia="宋体" w:hAnsi="Times New Roman" w:cs="Times New Roman"/>
          <w:b w:val="0"/>
          <w:sz w:val="24"/>
          <w:szCs w:val="24"/>
        </w:rPr>
      </w:pPr>
      <w:r>
        <w:rPr>
          <w:rStyle w:val="2Char1Char"/>
          <w:rFonts w:ascii="Times New Roman" w:eastAsia="宋体" w:hAnsi="Times New Roman" w:cs="Times New Roman"/>
          <w:b w:val="0"/>
          <w:sz w:val="24"/>
          <w:szCs w:val="24"/>
        </w:rPr>
        <w:t>3.3.6.3</w:t>
      </w:r>
      <w:r>
        <w:rPr>
          <w:rStyle w:val="2Char1Char"/>
          <w:rFonts w:ascii="Times New Roman" w:eastAsia="宋体" w:hAnsi="宋体" w:cs="Times New Roman"/>
          <w:b w:val="0"/>
          <w:sz w:val="24"/>
          <w:szCs w:val="24"/>
        </w:rPr>
        <w:t>固体废物污染防治措施分析</w:t>
      </w:r>
    </w:p>
    <w:p w:rsidR="00475650" w:rsidRDefault="00475650">
      <w:pPr>
        <w:snapToGrid w:val="0"/>
        <w:spacing w:line="360" w:lineRule="auto"/>
        <w:ind w:firstLineChars="200" w:firstLine="480"/>
        <w:rPr>
          <w:rFonts w:hAnsi="宋体"/>
          <w:sz w:val="24"/>
        </w:rPr>
      </w:pPr>
      <w:r>
        <w:rPr>
          <w:rFonts w:hAnsi="宋体"/>
          <w:sz w:val="24"/>
        </w:rPr>
        <w:t>根据工程分析污染源有关分析数据，本项目装置产生的固体废物为废包装袋和废包装桶、污水预处理装置污泥、生活垃圾。废包装袋和包装桶属于一般工业固废，由生产厂家回收再利用；污水处理站污泥属于</w:t>
      </w:r>
      <w:r>
        <w:rPr>
          <w:sz w:val="24"/>
        </w:rPr>
        <w:t>HW12</w:t>
      </w:r>
      <w:r>
        <w:rPr>
          <w:rFonts w:hAnsi="宋体"/>
          <w:sz w:val="24"/>
        </w:rPr>
        <w:t>危险固废，</w:t>
      </w:r>
      <w:r>
        <w:rPr>
          <w:rFonts w:hAnsi="宋体" w:hint="eastAsia"/>
          <w:sz w:val="24"/>
        </w:rPr>
        <w:t>送湖南德泽环保科技有限公司安全处理处置；</w:t>
      </w:r>
      <w:r>
        <w:rPr>
          <w:rFonts w:hAnsi="宋体"/>
          <w:sz w:val="24"/>
        </w:rPr>
        <w:t>厂内不设生活区，工作人员产生的生活垃圾较少，年产生量约</w:t>
      </w:r>
      <w:r>
        <w:rPr>
          <w:sz w:val="24"/>
        </w:rPr>
        <w:t>1.8</w:t>
      </w:r>
      <w:r>
        <w:rPr>
          <w:rFonts w:hAnsi="宋体"/>
          <w:sz w:val="24"/>
        </w:rPr>
        <w:t>吨，由园区环卫部门统一清运。此外，设计新增的三效蒸发措施将产生约</w:t>
      </w:r>
      <w:r>
        <w:rPr>
          <w:sz w:val="24"/>
        </w:rPr>
        <w:t>3320t/a</w:t>
      </w:r>
      <w:r>
        <w:rPr>
          <w:rFonts w:hAnsi="宋体"/>
          <w:sz w:val="24"/>
        </w:rPr>
        <w:t>的钠盐，主要成分为氯化钠和乙酸钠，</w:t>
      </w:r>
      <w:r>
        <w:rPr>
          <w:rFonts w:hAnsi="宋体" w:hint="eastAsia"/>
          <w:sz w:val="24"/>
        </w:rPr>
        <w:t>同类工程目前的做法是将其</w:t>
      </w:r>
      <w:r>
        <w:rPr>
          <w:rFonts w:hAnsi="宋体"/>
          <w:sz w:val="24"/>
        </w:rPr>
        <w:t>作为副产品工业用盐外售。</w:t>
      </w:r>
    </w:p>
    <w:p w:rsidR="00475650" w:rsidRDefault="00475650">
      <w:pPr>
        <w:snapToGrid w:val="0"/>
        <w:spacing w:line="360" w:lineRule="auto"/>
        <w:ind w:firstLineChars="200" w:firstLine="480"/>
        <w:rPr>
          <w:rFonts w:hAnsi="宋体"/>
          <w:sz w:val="24"/>
          <w:u w:val="single"/>
        </w:rPr>
      </w:pPr>
      <w:r>
        <w:rPr>
          <w:rFonts w:hAnsi="宋体" w:hint="eastAsia"/>
          <w:sz w:val="24"/>
          <w:u w:val="single"/>
        </w:rPr>
        <w:t>三效蒸发产生的盐中可能含有少量本项目所使用的原辅材料及产品等有机污染物成</w:t>
      </w:r>
      <w:r>
        <w:rPr>
          <w:rFonts w:hAnsi="宋体" w:hint="eastAsia"/>
          <w:sz w:val="24"/>
          <w:u w:val="single"/>
        </w:rPr>
        <w:lastRenderedPageBreak/>
        <w:t>分，据了解，污水处理产生的盐作为副产品的销量并不乐观，环评要求在本项目竣工验收期间对三效蒸发产生的盐进行危险性质鉴别，按照其所属性质分质处理，如鉴定结果属于危险废物，应按照《危险废物贮存污染控制标准》（</w:t>
      </w:r>
      <w:r>
        <w:rPr>
          <w:rFonts w:hAnsi="宋体" w:hint="eastAsia"/>
          <w:sz w:val="24"/>
          <w:u w:val="single"/>
        </w:rPr>
        <w:t>GB 18597-2001</w:t>
      </w:r>
      <w:r>
        <w:rPr>
          <w:rFonts w:hAnsi="宋体" w:hint="eastAsia"/>
          <w:sz w:val="24"/>
          <w:u w:val="single"/>
        </w:rPr>
        <w:t>）对该物质进行处理处置，外委有相应处理资质的单位处理；如业主意向作为副产品外售，则需有相关管理部门出具的关于本项目符合市场流通产品质量标准的认定材料及接收单位与本公司签订的购买协议，确保本项目污水处理产生的盐有合理合法的去向。</w:t>
      </w:r>
    </w:p>
    <w:p w:rsidR="00475650" w:rsidRDefault="00475650">
      <w:pPr>
        <w:snapToGrid w:val="0"/>
        <w:spacing w:line="360" w:lineRule="auto"/>
        <w:ind w:firstLineChars="200" w:firstLine="480"/>
        <w:rPr>
          <w:sz w:val="24"/>
          <w:u w:val="single"/>
        </w:rPr>
      </w:pPr>
      <w:r>
        <w:rPr>
          <w:rFonts w:hAnsi="宋体" w:hint="eastAsia"/>
          <w:sz w:val="24"/>
          <w:u w:val="single"/>
        </w:rPr>
        <w:t>针对本项目固体废物的特征，环评要求本项目设危险废物暂存库，库房的建设及管理应满足《危险废物贮存污染控制标准》（</w:t>
      </w:r>
      <w:r>
        <w:rPr>
          <w:rFonts w:hAnsi="宋体" w:hint="eastAsia"/>
          <w:sz w:val="24"/>
          <w:u w:val="single"/>
        </w:rPr>
        <w:t>GB 18597-2001</w:t>
      </w:r>
      <w:r>
        <w:rPr>
          <w:rFonts w:hAnsi="宋体" w:hint="eastAsia"/>
          <w:sz w:val="24"/>
          <w:u w:val="single"/>
        </w:rPr>
        <w:t>），危险废物应分类暂存。一般固体废物为</w:t>
      </w:r>
      <w:r>
        <w:rPr>
          <w:rFonts w:hAnsi="宋体"/>
          <w:sz w:val="24"/>
          <w:u w:val="single"/>
        </w:rPr>
        <w:t>废包装袋和包装桶</w:t>
      </w:r>
      <w:r>
        <w:rPr>
          <w:rFonts w:hAnsi="宋体" w:hint="eastAsia"/>
          <w:sz w:val="24"/>
          <w:u w:val="single"/>
        </w:rPr>
        <w:t>，为原料包装材料，暂存于原料间，并由厂家回收综合利用的方式可行。</w:t>
      </w:r>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r>
        <w:rPr>
          <w:rFonts w:ascii="Times New Roman" w:eastAsia="宋体" w:hAnsi="Times New Roman" w:cs="Times New Roman"/>
          <w:bCs/>
          <w:spacing w:val="4"/>
          <w:sz w:val="24"/>
        </w:rPr>
        <w:t xml:space="preserve"> </w:t>
      </w:r>
      <w:bookmarkStart w:id="616" w:name="_Toc334080809"/>
      <w:bookmarkStart w:id="617" w:name="_Toc333229994"/>
      <w:bookmarkStart w:id="618" w:name="_Toc334014167"/>
      <w:bookmarkStart w:id="619" w:name="_Toc448999102"/>
      <w:bookmarkStart w:id="620" w:name="_Toc465676998"/>
      <w:bookmarkStart w:id="621" w:name="_Toc12536"/>
      <w:r>
        <w:rPr>
          <w:rStyle w:val="2Char1Char"/>
          <w:rFonts w:ascii="Times New Roman" w:eastAsia="宋体" w:hAnsi="Times New Roman" w:cs="Times New Roman"/>
          <w:b w:val="0"/>
          <w:sz w:val="24"/>
          <w:szCs w:val="24"/>
        </w:rPr>
        <w:t xml:space="preserve">3.3.6.4 </w:t>
      </w:r>
      <w:r>
        <w:rPr>
          <w:rStyle w:val="2Char1Char"/>
          <w:rFonts w:ascii="Times New Roman" w:eastAsia="宋体" w:hAnsi="宋体" w:cs="Times New Roman"/>
          <w:b w:val="0"/>
          <w:sz w:val="24"/>
          <w:szCs w:val="24"/>
        </w:rPr>
        <w:t>噪声防治措施分析</w:t>
      </w:r>
      <w:bookmarkEnd w:id="616"/>
      <w:bookmarkEnd w:id="617"/>
      <w:bookmarkEnd w:id="618"/>
      <w:bookmarkEnd w:id="619"/>
      <w:bookmarkEnd w:id="620"/>
      <w:bookmarkEnd w:id="621"/>
    </w:p>
    <w:p w:rsidR="00475650" w:rsidRDefault="00475650">
      <w:pPr>
        <w:autoSpaceDE w:val="0"/>
        <w:autoSpaceDN w:val="0"/>
        <w:adjustRightInd w:val="0"/>
        <w:snapToGrid w:val="0"/>
        <w:spacing w:line="360" w:lineRule="auto"/>
        <w:ind w:firstLineChars="200" w:firstLine="480"/>
        <w:rPr>
          <w:sz w:val="24"/>
        </w:rPr>
      </w:pPr>
      <w:r>
        <w:rPr>
          <w:rFonts w:hAnsi="宋体"/>
          <w:sz w:val="24"/>
        </w:rPr>
        <w:t>本装置噪声源主要是泵、风机、压滤机等，初步可研采取的防噪措施主要为：选择低噪声设备、基础减震、加装消声器等，采用的降噪措施为同类工程常用降噪措施；在采取有效的降噪措施后，本项目各噪声源可降低</w:t>
      </w:r>
      <w:r>
        <w:rPr>
          <w:sz w:val="24"/>
        </w:rPr>
        <w:t>15-20dB</w:t>
      </w:r>
      <w:r>
        <w:rPr>
          <w:rFonts w:hAnsi="宋体"/>
          <w:sz w:val="24"/>
        </w:rPr>
        <w:t>，满足噪声设备降噪要求。</w:t>
      </w:r>
    </w:p>
    <w:p w:rsidR="00475650" w:rsidRDefault="00475650">
      <w:pPr>
        <w:pStyle w:val="h"/>
        <w:spacing w:before="0" w:after="0" w:line="360" w:lineRule="auto"/>
        <w:ind w:firstLine="0"/>
        <w:outlineLvl w:val="2"/>
        <w:rPr>
          <w:rStyle w:val="2Char1Char"/>
          <w:rFonts w:ascii="Times New Roman" w:eastAsia="宋体" w:hAnsi="Times New Roman" w:cs="Times New Roman"/>
          <w:b w:val="0"/>
          <w:sz w:val="24"/>
          <w:szCs w:val="24"/>
        </w:rPr>
      </w:pPr>
      <w:r>
        <w:rPr>
          <w:rStyle w:val="2Char1Char"/>
          <w:rFonts w:ascii="Times New Roman" w:eastAsia="宋体" w:hAnsi="Times New Roman" w:cs="Times New Roman"/>
          <w:b w:val="0"/>
          <w:sz w:val="24"/>
          <w:szCs w:val="24"/>
        </w:rPr>
        <w:t>3.3.6.5</w:t>
      </w:r>
      <w:r>
        <w:rPr>
          <w:rStyle w:val="2Char1Char"/>
          <w:rFonts w:ascii="Times New Roman" w:eastAsia="宋体" w:hAnsi="宋体" w:cs="Times New Roman"/>
          <w:b w:val="0"/>
          <w:sz w:val="24"/>
          <w:szCs w:val="24"/>
        </w:rPr>
        <w:t>绿化措施分析</w:t>
      </w:r>
    </w:p>
    <w:p w:rsidR="00475650" w:rsidRDefault="00475650">
      <w:pPr>
        <w:autoSpaceDE w:val="0"/>
        <w:autoSpaceDN w:val="0"/>
        <w:adjustRightInd w:val="0"/>
        <w:snapToGrid w:val="0"/>
        <w:spacing w:line="360" w:lineRule="auto"/>
        <w:ind w:firstLineChars="200" w:firstLine="480"/>
        <w:rPr>
          <w:sz w:val="24"/>
        </w:rPr>
      </w:pPr>
      <w:r>
        <w:rPr>
          <w:rFonts w:hAnsi="宋体"/>
          <w:sz w:val="24"/>
        </w:rPr>
        <w:t>本项目选址厂区预留地内，项目建设对区域的生态影响较小。项目建成后在装置区域外围的过道等处会栽种一定的草本植物，对无组织废气有一定的吸收过滤作用，同时可以起到降噪和增加公司整体绿化率的效果，本工程新增绿化面积为</w:t>
      </w:r>
      <w:r>
        <w:rPr>
          <w:sz w:val="24"/>
        </w:rPr>
        <w:t>14000</w:t>
      </w:r>
      <w:r>
        <w:rPr>
          <w:rFonts w:hAnsi="宋体"/>
          <w:sz w:val="24"/>
        </w:rPr>
        <w:t>平方米，绿地率约为为</w:t>
      </w:r>
      <w:r>
        <w:rPr>
          <w:sz w:val="24"/>
        </w:rPr>
        <w:t>10%</w:t>
      </w:r>
      <w:r>
        <w:rPr>
          <w:rFonts w:hAnsi="宋体"/>
          <w:sz w:val="24"/>
        </w:rPr>
        <w:t>。</w:t>
      </w:r>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622" w:name="_Toc333229995"/>
      <w:bookmarkStart w:id="623" w:name="_Toc334080810"/>
      <w:bookmarkStart w:id="624" w:name="_Toc334014168"/>
      <w:bookmarkStart w:id="625" w:name="_Toc448999103"/>
      <w:bookmarkStart w:id="626" w:name="_Toc465676999"/>
      <w:bookmarkStart w:id="627" w:name="_Toc16073"/>
      <w:r>
        <w:rPr>
          <w:rStyle w:val="2Char1Char"/>
          <w:rFonts w:ascii="Times New Roman" w:eastAsia="宋体" w:hAnsi="Times New Roman" w:cs="Times New Roman"/>
          <w:b w:val="0"/>
          <w:sz w:val="24"/>
          <w:szCs w:val="24"/>
        </w:rPr>
        <w:t xml:space="preserve">3.3.6.6 </w:t>
      </w:r>
      <w:r>
        <w:rPr>
          <w:rStyle w:val="2Char1Char"/>
          <w:rFonts w:ascii="Times New Roman" w:eastAsia="宋体" w:hAnsi="宋体" w:cs="Times New Roman"/>
          <w:b w:val="0"/>
          <w:sz w:val="24"/>
          <w:szCs w:val="24"/>
        </w:rPr>
        <w:t>本项目</w:t>
      </w:r>
      <w:r>
        <w:rPr>
          <w:rStyle w:val="2Char1Char"/>
          <w:rFonts w:ascii="Times New Roman" w:eastAsia="宋体" w:hAnsi="Times New Roman" w:cs="Times New Roman"/>
          <w:b w:val="0"/>
          <w:sz w:val="24"/>
          <w:szCs w:val="24"/>
        </w:rPr>
        <w:t>“</w:t>
      </w:r>
      <w:r>
        <w:rPr>
          <w:rStyle w:val="2Char1Char"/>
          <w:rFonts w:ascii="Times New Roman" w:eastAsia="宋体" w:hAnsi="宋体" w:cs="Times New Roman"/>
          <w:b w:val="0"/>
          <w:sz w:val="24"/>
          <w:szCs w:val="24"/>
        </w:rPr>
        <w:t>三废</w:t>
      </w:r>
      <w:r>
        <w:rPr>
          <w:rStyle w:val="2Char1Char"/>
          <w:rFonts w:ascii="Times New Roman" w:eastAsia="宋体" w:hAnsi="Times New Roman" w:cs="Times New Roman"/>
          <w:b w:val="0"/>
          <w:sz w:val="24"/>
          <w:szCs w:val="24"/>
        </w:rPr>
        <w:t>”</w:t>
      </w:r>
      <w:r>
        <w:rPr>
          <w:rStyle w:val="2Char1Char"/>
          <w:rFonts w:ascii="Times New Roman" w:eastAsia="宋体" w:hAnsi="宋体" w:cs="Times New Roman"/>
          <w:b w:val="0"/>
          <w:sz w:val="24"/>
          <w:szCs w:val="24"/>
        </w:rPr>
        <w:t>排放情况汇总</w:t>
      </w:r>
      <w:bookmarkEnd w:id="622"/>
      <w:bookmarkEnd w:id="623"/>
      <w:bookmarkEnd w:id="624"/>
      <w:bookmarkEnd w:id="625"/>
      <w:bookmarkEnd w:id="626"/>
      <w:bookmarkEnd w:id="627"/>
    </w:p>
    <w:p w:rsidR="00475650" w:rsidRDefault="00475650">
      <w:pPr>
        <w:autoSpaceDE w:val="0"/>
        <w:autoSpaceDN w:val="0"/>
        <w:adjustRightInd w:val="0"/>
        <w:snapToGrid w:val="0"/>
        <w:spacing w:line="360" w:lineRule="auto"/>
        <w:ind w:firstLineChars="200" w:firstLine="480"/>
        <w:rPr>
          <w:sz w:val="24"/>
        </w:rPr>
      </w:pPr>
      <w:r>
        <w:rPr>
          <w:rFonts w:hAnsi="宋体"/>
          <w:sz w:val="24"/>
        </w:rPr>
        <w:t>在实施本项目初步可研设计和本评价新增的污染防治措施后，本项目污染物排放汇总情况见表</w:t>
      </w:r>
      <w:r>
        <w:rPr>
          <w:sz w:val="24"/>
        </w:rPr>
        <w:t>3.3-15</w:t>
      </w:r>
      <w:r>
        <w:rPr>
          <w:rFonts w:hAnsi="宋体"/>
          <w:sz w:val="24"/>
        </w:rPr>
        <w:t>。</w:t>
      </w:r>
    </w:p>
    <w:p w:rsidR="00475650" w:rsidRDefault="00475650">
      <w:pPr>
        <w:adjustRightInd w:val="0"/>
        <w:snapToGrid w:val="0"/>
        <w:spacing w:line="360" w:lineRule="auto"/>
        <w:jc w:val="center"/>
        <w:rPr>
          <w:bCs/>
          <w:spacing w:val="4"/>
          <w:sz w:val="24"/>
        </w:rPr>
      </w:pPr>
      <w:r>
        <w:rPr>
          <w:rFonts w:hAnsi="宋体"/>
          <w:bCs/>
          <w:spacing w:val="4"/>
          <w:sz w:val="24"/>
        </w:rPr>
        <w:t>表</w:t>
      </w:r>
      <w:r>
        <w:rPr>
          <w:bCs/>
          <w:spacing w:val="4"/>
          <w:sz w:val="24"/>
        </w:rPr>
        <w:t>3.3-15  “</w:t>
      </w:r>
      <w:r>
        <w:rPr>
          <w:rFonts w:hAnsi="宋体"/>
          <w:bCs/>
          <w:spacing w:val="4"/>
          <w:sz w:val="24"/>
        </w:rPr>
        <w:t>三废</w:t>
      </w:r>
      <w:r>
        <w:rPr>
          <w:bCs/>
          <w:spacing w:val="4"/>
          <w:sz w:val="24"/>
        </w:rPr>
        <w:t>”</w:t>
      </w:r>
      <w:r>
        <w:rPr>
          <w:rFonts w:hAnsi="宋体"/>
          <w:bCs/>
          <w:spacing w:val="4"/>
          <w:sz w:val="24"/>
        </w:rPr>
        <w:t>污染源汇总表</w:t>
      </w:r>
    </w:p>
    <w:tbl>
      <w:tblPr>
        <w:tblW w:w="0" w:type="auto"/>
        <w:tblInd w:w="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693"/>
        <w:gridCol w:w="509"/>
        <w:gridCol w:w="490"/>
        <w:gridCol w:w="888"/>
        <w:gridCol w:w="793"/>
        <w:gridCol w:w="1181"/>
        <w:gridCol w:w="899"/>
        <w:gridCol w:w="792"/>
        <w:gridCol w:w="1013"/>
        <w:gridCol w:w="2100"/>
      </w:tblGrid>
      <w:tr w:rsidR="00475650">
        <w:tc>
          <w:tcPr>
            <w:tcW w:w="693" w:type="dxa"/>
            <w:vAlign w:val="center"/>
          </w:tcPr>
          <w:p w:rsidR="00475650" w:rsidRDefault="00475650">
            <w:pPr>
              <w:snapToGrid w:val="0"/>
              <w:spacing w:line="240" w:lineRule="exact"/>
              <w:ind w:leftChars="-50" w:left="-105" w:rightChars="-50" w:right="-105"/>
              <w:jc w:val="center"/>
              <w:rPr>
                <w:szCs w:val="21"/>
              </w:rPr>
            </w:pPr>
            <w:r>
              <w:rPr>
                <w:rFonts w:hAnsi="宋体"/>
                <w:szCs w:val="21"/>
              </w:rPr>
              <w:t>项目</w:t>
            </w:r>
          </w:p>
        </w:tc>
        <w:tc>
          <w:tcPr>
            <w:tcW w:w="1887" w:type="dxa"/>
            <w:gridSpan w:val="3"/>
            <w:vAlign w:val="center"/>
          </w:tcPr>
          <w:p w:rsidR="00475650" w:rsidRDefault="00475650">
            <w:pPr>
              <w:snapToGrid w:val="0"/>
              <w:spacing w:line="240" w:lineRule="exact"/>
              <w:ind w:leftChars="-50" w:left="-105" w:rightChars="-50" w:right="-105"/>
              <w:jc w:val="center"/>
              <w:rPr>
                <w:szCs w:val="21"/>
              </w:rPr>
            </w:pPr>
            <w:r>
              <w:rPr>
                <w:rFonts w:hAnsi="宋体"/>
                <w:szCs w:val="21"/>
              </w:rPr>
              <w:t>污染物</w:t>
            </w:r>
          </w:p>
        </w:tc>
        <w:tc>
          <w:tcPr>
            <w:tcW w:w="793" w:type="dxa"/>
            <w:vAlign w:val="center"/>
          </w:tcPr>
          <w:p w:rsidR="00475650" w:rsidRDefault="00475650">
            <w:pPr>
              <w:snapToGrid w:val="0"/>
              <w:spacing w:line="240" w:lineRule="exact"/>
              <w:ind w:leftChars="-50" w:left="-105" w:rightChars="-50" w:right="-105"/>
              <w:jc w:val="center"/>
              <w:rPr>
                <w:szCs w:val="21"/>
              </w:rPr>
            </w:pPr>
            <w:r>
              <w:rPr>
                <w:rFonts w:hAnsi="宋体"/>
                <w:szCs w:val="21"/>
              </w:rPr>
              <w:t>产生量</w:t>
            </w:r>
            <w:r>
              <w:rPr>
                <w:szCs w:val="21"/>
              </w:rPr>
              <w:t>t/a</w:t>
            </w:r>
          </w:p>
        </w:tc>
        <w:tc>
          <w:tcPr>
            <w:tcW w:w="1181" w:type="dxa"/>
            <w:vAlign w:val="center"/>
          </w:tcPr>
          <w:p w:rsidR="00475650" w:rsidRDefault="00475650">
            <w:pPr>
              <w:snapToGrid w:val="0"/>
              <w:spacing w:line="240" w:lineRule="exact"/>
              <w:jc w:val="center"/>
              <w:rPr>
                <w:szCs w:val="21"/>
              </w:rPr>
            </w:pPr>
            <w:r>
              <w:rPr>
                <w:rFonts w:hAnsi="宋体"/>
                <w:szCs w:val="21"/>
              </w:rPr>
              <w:t>产生浓度</w:t>
            </w:r>
          </w:p>
          <w:p w:rsidR="00475650" w:rsidRDefault="00475650">
            <w:pPr>
              <w:snapToGrid w:val="0"/>
              <w:spacing w:line="240" w:lineRule="exact"/>
              <w:jc w:val="center"/>
              <w:rPr>
                <w:szCs w:val="21"/>
              </w:rPr>
            </w:pPr>
            <w:r>
              <w:rPr>
                <w:szCs w:val="21"/>
              </w:rPr>
              <w:t>Mg/m</w:t>
            </w:r>
            <w:r>
              <w:rPr>
                <w:szCs w:val="21"/>
                <w:vertAlign w:val="superscript"/>
              </w:rPr>
              <w:t>3</w:t>
            </w:r>
          </w:p>
        </w:tc>
        <w:tc>
          <w:tcPr>
            <w:tcW w:w="899" w:type="dxa"/>
            <w:vAlign w:val="center"/>
          </w:tcPr>
          <w:p w:rsidR="00475650" w:rsidRDefault="00475650">
            <w:pPr>
              <w:snapToGrid w:val="0"/>
              <w:spacing w:line="240" w:lineRule="exact"/>
              <w:jc w:val="center"/>
              <w:rPr>
                <w:szCs w:val="21"/>
              </w:rPr>
            </w:pPr>
            <w:r>
              <w:rPr>
                <w:rFonts w:hAnsi="宋体"/>
                <w:szCs w:val="21"/>
              </w:rPr>
              <w:t>消减量</w:t>
            </w:r>
            <w:r>
              <w:rPr>
                <w:szCs w:val="21"/>
              </w:rPr>
              <w:t>t/a</w:t>
            </w:r>
          </w:p>
        </w:tc>
        <w:tc>
          <w:tcPr>
            <w:tcW w:w="792" w:type="dxa"/>
            <w:tcMar>
              <w:top w:w="28" w:type="dxa"/>
              <w:left w:w="28" w:type="dxa"/>
              <w:bottom w:w="28" w:type="dxa"/>
              <w:right w:w="28" w:type="dxa"/>
            </w:tcMar>
            <w:vAlign w:val="center"/>
          </w:tcPr>
          <w:p w:rsidR="00475650" w:rsidRDefault="00475650">
            <w:pPr>
              <w:snapToGrid w:val="0"/>
              <w:spacing w:line="240" w:lineRule="exact"/>
              <w:jc w:val="center"/>
              <w:rPr>
                <w:szCs w:val="21"/>
              </w:rPr>
            </w:pPr>
            <w:r>
              <w:rPr>
                <w:rFonts w:hAnsi="宋体"/>
                <w:szCs w:val="21"/>
              </w:rPr>
              <w:t>排放量</w:t>
            </w:r>
            <w:r>
              <w:rPr>
                <w:szCs w:val="21"/>
              </w:rPr>
              <w:t>t/a</w:t>
            </w:r>
          </w:p>
        </w:tc>
        <w:tc>
          <w:tcPr>
            <w:tcW w:w="1013" w:type="dxa"/>
            <w:tcMar>
              <w:top w:w="28" w:type="dxa"/>
              <w:left w:w="28" w:type="dxa"/>
              <w:bottom w:w="28" w:type="dxa"/>
              <w:right w:w="28" w:type="dxa"/>
            </w:tcMar>
            <w:vAlign w:val="center"/>
          </w:tcPr>
          <w:p w:rsidR="00475650" w:rsidRDefault="00475650">
            <w:pPr>
              <w:snapToGrid w:val="0"/>
              <w:spacing w:line="240" w:lineRule="exact"/>
              <w:jc w:val="center"/>
              <w:rPr>
                <w:szCs w:val="21"/>
              </w:rPr>
            </w:pPr>
            <w:r>
              <w:rPr>
                <w:rFonts w:hAnsi="宋体"/>
                <w:szCs w:val="21"/>
              </w:rPr>
              <w:t>排放浓度</w:t>
            </w:r>
          </w:p>
          <w:p w:rsidR="00475650" w:rsidRDefault="00475650">
            <w:pPr>
              <w:snapToGrid w:val="0"/>
              <w:spacing w:line="240" w:lineRule="exact"/>
              <w:jc w:val="center"/>
              <w:rPr>
                <w:szCs w:val="21"/>
              </w:rPr>
            </w:pPr>
            <w:r>
              <w:rPr>
                <w:szCs w:val="21"/>
              </w:rPr>
              <w:t>Mg/m</w:t>
            </w:r>
            <w:r>
              <w:rPr>
                <w:szCs w:val="21"/>
                <w:vertAlign w:val="superscript"/>
              </w:rPr>
              <w:t>3</w:t>
            </w:r>
          </w:p>
        </w:tc>
        <w:tc>
          <w:tcPr>
            <w:tcW w:w="2100" w:type="dxa"/>
            <w:vAlign w:val="center"/>
          </w:tcPr>
          <w:p w:rsidR="00475650" w:rsidRDefault="00475650">
            <w:pPr>
              <w:snapToGrid w:val="0"/>
              <w:spacing w:line="240" w:lineRule="exact"/>
              <w:jc w:val="center"/>
              <w:rPr>
                <w:szCs w:val="21"/>
              </w:rPr>
            </w:pPr>
            <w:r>
              <w:rPr>
                <w:rFonts w:hAnsi="宋体"/>
                <w:szCs w:val="21"/>
              </w:rPr>
              <w:t>备注</w:t>
            </w:r>
          </w:p>
        </w:tc>
      </w:tr>
      <w:tr w:rsidR="00475650">
        <w:tc>
          <w:tcPr>
            <w:tcW w:w="693" w:type="dxa"/>
            <w:vMerge w:val="restart"/>
            <w:vAlign w:val="center"/>
          </w:tcPr>
          <w:p w:rsidR="00475650" w:rsidRDefault="00475650">
            <w:pPr>
              <w:snapToGrid w:val="0"/>
              <w:spacing w:line="240" w:lineRule="exact"/>
              <w:ind w:leftChars="-50" w:left="-105" w:rightChars="-50" w:right="-105"/>
              <w:jc w:val="center"/>
              <w:rPr>
                <w:szCs w:val="21"/>
              </w:rPr>
            </w:pPr>
            <w:r>
              <w:rPr>
                <w:rFonts w:hAnsi="宋体"/>
                <w:szCs w:val="21"/>
              </w:rPr>
              <w:t>废气</w:t>
            </w:r>
          </w:p>
        </w:tc>
        <w:tc>
          <w:tcPr>
            <w:tcW w:w="509" w:type="dxa"/>
            <w:vMerge w:val="restart"/>
            <w:tcBorders>
              <w:right w:val="single" w:sz="4" w:space="0" w:color="auto"/>
            </w:tcBorders>
            <w:vAlign w:val="center"/>
          </w:tcPr>
          <w:p w:rsidR="00475650" w:rsidRDefault="00475650">
            <w:pPr>
              <w:snapToGrid w:val="0"/>
              <w:spacing w:line="240" w:lineRule="exact"/>
              <w:ind w:leftChars="-50" w:left="-105" w:rightChars="-50" w:right="-105"/>
              <w:jc w:val="center"/>
              <w:rPr>
                <w:szCs w:val="21"/>
              </w:rPr>
            </w:pPr>
            <w:r>
              <w:rPr>
                <w:rFonts w:hAnsi="宋体"/>
                <w:szCs w:val="21"/>
              </w:rPr>
              <w:t>有组织</w:t>
            </w:r>
          </w:p>
        </w:tc>
        <w:tc>
          <w:tcPr>
            <w:tcW w:w="1378" w:type="dxa"/>
            <w:gridSpan w:val="2"/>
            <w:tcBorders>
              <w:left w:val="single" w:sz="4" w:space="0" w:color="auto"/>
            </w:tcBorders>
            <w:vAlign w:val="center"/>
          </w:tcPr>
          <w:p w:rsidR="00475650" w:rsidRDefault="00475650">
            <w:pPr>
              <w:snapToGrid w:val="0"/>
              <w:spacing w:line="240" w:lineRule="exact"/>
              <w:ind w:leftChars="-50" w:left="-105" w:rightChars="-50" w:right="-105"/>
              <w:jc w:val="center"/>
              <w:rPr>
                <w:szCs w:val="21"/>
              </w:rPr>
            </w:pPr>
            <w:r>
              <w:rPr>
                <w:rFonts w:hAnsi="宋体" w:hint="eastAsia"/>
                <w:szCs w:val="21"/>
              </w:rPr>
              <w:t>粉尘</w:t>
            </w:r>
          </w:p>
        </w:tc>
        <w:tc>
          <w:tcPr>
            <w:tcW w:w="793" w:type="dxa"/>
            <w:vAlign w:val="center"/>
          </w:tcPr>
          <w:p w:rsidR="00475650" w:rsidRDefault="00475650">
            <w:pPr>
              <w:snapToGrid w:val="0"/>
              <w:spacing w:line="240" w:lineRule="exact"/>
              <w:ind w:leftChars="-50" w:left="-105" w:rightChars="-50" w:right="-105"/>
              <w:jc w:val="center"/>
              <w:rPr>
                <w:szCs w:val="21"/>
              </w:rPr>
            </w:pPr>
            <w:r>
              <w:rPr>
                <w:rFonts w:hint="eastAsia"/>
                <w:szCs w:val="21"/>
              </w:rPr>
              <w:t>14.15</w:t>
            </w:r>
          </w:p>
        </w:tc>
        <w:tc>
          <w:tcPr>
            <w:tcW w:w="1181" w:type="dxa"/>
            <w:vAlign w:val="center"/>
          </w:tcPr>
          <w:p w:rsidR="00475650" w:rsidRDefault="00475650">
            <w:pPr>
              <w:snapToGrid w:val="0"/>
              <w:spacing w:line="240" w:lineRule="exact"/>
              <w:jc w:val="center"/>
              <w:rPr>
                <w:szCs w:val="21"/>
              </w:rPr>
            </w:pPr>
            <w:r>
              <w:rPr>
                <w:rFonts w:hint="eastAsia"/>
                <w:szCs w:val="21"/>
              </w:rPr>
              <w:t>/</w:t>
            </w:r>
          </w:p>
        </w:tc>
        <w:tc>
          <w:tcPr>
            <w:tcW w:w="899" w:type="dxa"/>
            <w:vAlign w:val="center"/>
          </w:tcPr>
          <w:p w:rsidR="00475650" w:rsidRDefault="00475650">
            <w:pPr>
              <w:snapToGrid w:val="0"/>
              <w:spacing w:line="240" w:lineRule="exact"/>
              <w:jc w:val="center"/>
              <w:rPr>
                <w:szCs w:val="21"/>
              </w:rPr>
            </w:pPr>
            <w:r>
              <w:rPr>
                <w:rFonts w:hint="eastAsia"/>
                <w:szCs w:val="21"/>
              </w:rPr>
              <w:t>12.3</w:t>
            </w:r>
          </w:p>
        </w:tc>
        <w:tc>
          <w:tcPr>
            <w:tcW w:w="792" w:type="dxa"/>
            <w:tcMar>
              <w:top w:w="28" w:type="dxa"/>
              <w:left w:w="28" w:type="dxa"/>
              <w:bottom w:w="28" w:type="dxa"/>
              <w:right w:w="28" w:type="dxa"/>
            </w:tcMar>
            <w:vAlign w:val="center"/>
          </w:tcPr>
          <w:p w:rsidR="00475650" w:rsidRDefault="00475650">
            <w:pPr>
              <w:snapToGrid w:val="0"/>
              <w:spacing w:line="240" w:lineRule="exact"/>
              <w:jc w:val="center"/>
              <w:rPr>
                <w:szCs w:val="21"/>
              </w:rPr>
            </w:pPr>
            <w:r>
              <w:rPr>
                <w:rFonts w:hint="eastAsia"/>
                <w:szCs w:val="21"/>
              </w:rPr>
              <w:t>1.14</w:t>
            </w:r>
          </w:p>
        </w:tc>
        <w:tc>
          <w:tcPr>
            <w:tcW w:w="1013" w:type="dxa"/>
            <w:tcMar>
              <w:top w:w="28" w:type="dxa"/>
              <w:left w:w="28" w:type="dxa"/>
              <w:bottom w:w="28" w:type="dxa"/>
              <w:right w:w="28" w:type="dxa"/>
            </w:tcMar>
            <w:vAlign w:val="center"/>
          </w:tcPr>
          <w:p w:rsidR="00475650" w:rsidRDefault="00475650">
            <w:pPr>
              <w:snapToGrid w:val="0"/>
              <w:spacing w:line="240" w:lineRule="exact"/>
              <w:jc w:val="center"/>
              <w:rPr>
                <w:szCs w:val="21"/>
              </w:rPr>
            </w:pPr>
            <w:r>
              <w:rPr>
                <w:rFonts w:hint="eastAsia"/>
                <w:szCs w:val="21"/>
              </w:rPr>
              <w:t>10.533</w:t>
            </w:r>
          </w:p>
        </w:tc>
        <w:tc>
          <w:tcPr>
            <w:tcW w:w="2100" w:type="dxa"/>
            <w:vAlign w:val="center"/>
          </w:tcPr>
          <w:p w:rsidR="00475650" w:rsidRDefault="00475650">
            <w:pPr>
              <w:snapToGrid w:val="0"/>
              <w:spacing w:line="240" w:lineRule="exact"/>
              <w:jc w:val="center"/>
              <w:rPr>
                <w:szCs w:val="21"/>
              </w:rPr>
            </w:pPr>
            <w:r>
              <w:rPr>
                <w:rFonts w:hAnsi="宋体" w:hint="eastAsia"/>
                <w:szCs w:val="21"/>
              </w:rPr>
              <w:t>负压收集</w:t>
            </w:r>
            <w:r>
              <w:rPr>
                <w:rFonts w:hAnsi="宋体" w:hint="eastAsia"/>
                <w:szCs w:val="21"/>
              </w:rPr>
              <w:t>+</w:t>
            </w:r>
            <w:r>
              <w:rPr>
                <w:rFonts w:hAnsi="宋体"/>
                <w:szCs w:val="21"/>
              </w:rPr>
              <w:t>布袋收尘</w:t>
            </w:r>
            <w:r>
              <w:rPr>
                <w:rFonts w:hAnsi="宋体" w:hint="eastAsia"/>
                <w:szCs w:val="21"/>
              </w:rPr>
              <w:t>+ 1</w:t>
            </w:r>
            <w:r>
              <w:rPr>
                <w:szCs w:val="21"/>
              </w:rPr>
              <w:t xml:space="preserve">5m </w:t>
            </w:r>
            <w:r>
              <w:rPr>
                <w:rFonts w:hAnsi="宋体"/>
                <w:szCs w:val="21"/>
              </w:rPr>
              <w:t>高排气筒外排</w:t>
            </w:r>
          </w:p>
        </w:tc>
      </w:tr>
      <w:tr w:rsidR="00475650">
        <w:tc>
          <w:tcPr>
            <w:tcW w:w="693" w:type="dxa"/>
            <w:vMerge/>
            <w:vAlign w:val="center"/>
          </w:tcPr>
          <w:p w:rsidR="00475650" w:rsidRDefault="00475650">
            <w:pPr>
              <w:snapToGrid w:val="0"/>
              <w:spacing w:line="240" w:lineRule="exact"/>
              <w:ind w:leftChars="-50" w:left="-105" w:rightChars="-50" w:right="-105"/>
              <w:jc w:val="center"/>
              <w:rPr>
                <w:szCs w:val="21"/>
              </w:rPr>
            </w:pPr>
          </w:p>
        </w:tc>
        <w:tc>
          <w:tcPr>
            <w:tcW w:w="509" w:type="dxa"/>
            <w:vMerge/>
            <w:tcBorders>
              <w:right w:val="single" w:sz="4" w:space="0" w:color="auto"/>
            </w:tcBorders>
            <w:vAlign w:val="center"/>
          </w:tcPr>
          <w:p w:rsidR="00475650" w:rsidRDefault="00475650">
            <w:pPr>
              <w:snapToGrid w:val="0"/>
              <w:spacing w:line="240" w:lineRule="exact"/>
              <w:ind w:leftChars="-50" w:left="-105" w:rightChars="-50" w:right="-105"/>
              <w:jc w:val="center"/>
              <w:rPr>
                <w:szCs w:val="21"/>
              </w:rPr>
            </w:pPr>
          </w:p>
        </w:tc>
        <w:tc>
          <w:tcPr>
            <w:tcW w:w="1378" w:type="dxa"/>
            <w:gridSpan w:val="2"/>
            <w:tcBorders>
              <w:left w:val="single" w:sz="4" w:space="0" w:color="auto"/>
            </w:tcBorders>
            <w:vAlign w:val="center"/>
          </w:tcPr>
          <w:p w:rsidR="00475650" w:rsidRDefault="00475650">
            <w:pPr>
              <w:snapToGrid w:val="0"/>
              <w:spacing w:line="240" w:lineRule="exact"/>
              <w:ind w:leftChars="-50" w:left="-105" w:rightChars="-50" w:right="-105"/>
              <w:jc w:val="center"/>
              <w:rPr>
                <w:szCs w:val="21"/>
              </w:rPr>
            </w:pPr>
            <w:r>
              <w:rPr>
                <w:rFonts w:hAnsi="宋体" w:hint="eastAsia"/>
                <w:szCs w:val="21"/>
              </w:rPr>
              <w:t>氯化氢</w:t>
            </w:r>
          </w:p>
        </w:tc>
        <w:tc>
          <w:tcPr>
            <w:tcW w:w="793" w:type="dxa"/>
            <w:vAlign w:val="center"/>
          </w:tcPr>
          <w:p w:rsidR="00475650" w:rsidRDefault="00475650">
            <w:pPr>
              <w:snapToGrid w:val="0"/>
              <w:spacing w:line="240" w:lineRule="exact"/>
              <w:ind w:leftChars="-50" w:left="-105" w:rightChars="-50" w:right="-105"/>
              <w:jc w:val="center"/>
              <w:rPr>
                <w:szCs w:val="21"/>
              </w:rPr>
            </w:pPr>
            <w:r>
              <w:rPr>
                <w:rFonts w:hint="eastAsia"/>
                <w:szCs w:val="21"/>
              </w:rPr>
              <w:t>5</w:t>
            </w:r>
          </w:p>
        </w:tc>
        <w:tc>
          <w:tcPr>
            <w:tcW w:w="1181" w:type="dxa"/>
            <w:vAlign w:val="center"/>
          </w:tcPr>
          <w:p w:rsidR="00475650" w:rsidRDefault="00475650">
            <w:pPr>
              <w:snapToGrid w:val="0"/>
              <w:spacing w:line="240" w:lineRule="exact"/>
              <w:jc w:val="center"/>
              <w:rPr>
                <w:szCs w:val="21"/>
              </w:rPr>
            </w:pPr>
            <w:r>
              <w:rPr>
                <w:rFonts w:hint="eastAsia"/>
                <w:szCs w:val="21"/>
              </w:rPr>
              <w:t>/</w:t>
            </w:r>
          </w:p>
        </w:tc>
        <w:tc>
          <w:tcPr>
            <w:tcW w:w="899" w:type="dxa"/>
            <w:vAlign w:val="center"/>
          </w:tcPr>
          <w:p w:rsidR="00475650" w:rsidRDefault="00475650">
            <w:pPr>
              <w:snapToGrid w:val="0"/>
              <w:spacing w:line="240" w:lineRule="exact"/>
              <w:jc w:val="center"/>
              <w:rPr>
                <w:szCs w:val="21"/>
              </w:rPr>
            </w:pPr>
            <w:r>
              <w:rPr>
                <w:rFonts w:hint="eastAsia"/>
                <w:szCs w:val="21"/>
              </w:rPr>
              <w:t>4.025</w:t>
            </w:r>
          </w:p>
        </w:tc>
        <w:tc>
          <w:tcPr>
            <w:tcW w:w="792" w:type="dxa"/>
            <w:tcMar>
              <w:top w:w="28" w:type="dxa"/>
              <w:left w:w="28" w:type="dxa"/>
              <w:bottom w:w="28" w:type="dxa"/>
              <w:right w:w="28" w:type="dxa"/>
            </w:tcMar>
            <w:vAlign w:val="center"/>
          </w:tcPr>
          <w:p w:rsidR="00475650" w:rsidRDefault="00475650">
            <w:pPr>
              <w:snapToGrid w:val="0"/>
              <w:spacing w:line="240" w:lineRule="exact"/>
              <w:jc w:val="center"/>
              <w:rPr>
                <w:szCs w:val="21"/>
              </w:rPr>
            </w:pPr>
            <w:r>
              <w:rPr>
                <w:rFonts w:hint="eastAsia"/>
                <w:szCs w:val="21"/>
              </w:rPr>
              <w:t>0.725</w:t>
            </w:r>
          </w:p>
        </w:tc>
        <w:tc>
          <w:tcPr>
            <w:tcW w:w="1013" w:type="dxa"/>
            <w:tcMar>
              <w:top w:w="28" w:type="dxa"/>
              <w:left w:w="28" w:type="dxa"/>
              <w:bottom w:w="28" w:type="dxa"/>
              <w:right w:w="28" w:type="dxa"/>
            </w:tcMar>
            <w:vAlign w:val="center"/>
          </w:tcPr>
          <w:p w:rsidR="00475650" w:rsidRDefault="00475650">
            <w:pPr>
              <w:snapToGrid w:val="0"/>
              <w:spacing w:line="240" w:lineRule="exact"/>
              <w:jc w:val="center"/>
              <w:rPr>
                <w:szCs w:val="21"/>
              </w:rPr>
            </w:pPr>
            <w:r>
              <w:rPr>
                <w:rFonts w:hint="eastAsia"/>
                <w:szCs w:val="21"/>
              </w:rPr>
              <w:t>6.733</w:t>
            </w:r>
          </w:p>
        </w:tc>
        <w:tc>
          <w:tcPr>
            <w:tcW w:w="2100" w:type="dxa"/>
            <w:vMerge w:val="restart"/>
            <w:vAlign w:val="center"/>
          </w:tcPr>
          <w:p w:rsidR="00475650" w:rsidRDefault="00475650">
            <w:pPr>
              <w:snapToGrid w:val="0"/>
              <w:spacing w:line="240" w:lineRule="exact"/>
              <w:jc w:val="center"/>
              <w:rPr>
                <w:szCs w:val="21"/>
              </w:rPr>
            </w:pPr>
            <w:r>
              <w:rPr>
                <w:rFonts w:hAnsi="宋体" w:hint="eastAsia"/>
                <w:szCs w:val="21"/>
              </w:rPr>
              <w:t>负压收集</w:t>
            </w:r>
            <w:r>
              <w:rPr>
                <w:rFonts w:hAnsi="宋体" w:hint="eastAsia"/>
                <w:szCs w:val="21"/>
              </w:rPr>
              <w:t>+</w:t>
            </w:r>
            <w:r>
              <w:rPr>
                <w:rFonts w:hAnsi="宋体" w:hint="eastAsia"/>
                <w:szCs w:val="21"/>
              </w:rPr>
              <w:t>喷淋塔碱液喷淋吸收</w:t>
            </w:r>
            <w:r>
              <w:rPr>
                <w:rFonts w:hAnsi="宋体" w:hint="eastAsia"/>
                <w:szCs w:val="21"/>
              </w:rPr>
              <w:t>+ 1</w:t>
            </w:r>
            <w:r>
              <w:rPr>
                <w:szCs w:val="21"/>
              </w:rPr>
              <w:t xml:space="preserve">5m </w:t>
            </w:r>
            <w:r>
              <w:rPr>
                <w:rFonts w:hAnsi="宋体"/>
                <w:szCs w:val="21"/>
              </w:rPr>
              <w:t>高排气筒外排</w:t>
            </w:r>
          </w:p>
        </w:tc>
      </w:tr>
      <w:tr w:rsidR="00475650">
        <w:tc>
          <w:tcPr>
            <w:tcW w:w="693" w:type="dxa"/>
            <w:vMerge/>
            <w:vAlign w:val="center"/>
          </w:tcPr>
          <w:p w:rsidR="00475650" w:rsidRDefault="00475650">
            <w:pPr>
              <w:snapToGrid w:val="0"/>
              <w:spacing w:line="240" w:lineRule="exact"/>
              <w:ind w:leftChars="-50" w:left="-105" w:rightChars="-50" w:right="-105"/>
              <w:jc w:val="center"/>
              <w:rPr>
                <w:szCs w:val="21"/>
              </w:rPr>
            </w:pPr>
          </w:p>
        </w:tc>
        <w:tc>
          <w:tcPr>
            <w:tcW w:w="509" w:type="dxa"/>
            <w:vMerge/>
            <w:tcBorders>
              <w:right w:val="single" w:sz="4" w:space="0" w:color="auto"/>
            </w:tcBorders>
            <w:vAlign w:val="center"/>
          </w:tcPr>
          <w:p w:rsidR="00475650" w:rsidRDefault="00475650">
            <w:pPr>
              <w:snapToGrid w:val="0"/>
              <w:spacing w:line="240" w:lineRule="exact"/>
              <w:ind w:leftChars="-50" w:left="-105" w:rightChars="-50" w:right="-105"/>
              <w:jc w:val="center"/>
              <w:rPr>
                <w:szCs w:val="21"/>
              </w:rPr>
            </w:pPr>
          </w:p>
        </w:tc>
        <w:tc>
          <w:tcPr>
            <w:tcW w:w="1378" w:type="dxa"/>
            <w:gridSpan w:val="2"/>
            <w:tcBorders>
              <w:left w:val="single" w:sz="4" w:space="0" w:color="auto"/>
            </w:tcBorders>
            <w:vAlign w:val="center"/>
          </w:tcPr>
          <w:p w:rsidR="00475650" w:rsidRDefault="00475650">
            <w:pPr>
              <w:snapToGrid w:val="0"/>
              <w:spacing w:line="240" w:lineRule="exact"/>
              <w:ind w:leftChars="-50" w:left="-105" w:rightChars="-50" w:right="-105"/>
              <w:jc w:val="center"/>
              <w:rPr>
                <w:rFonts w:hAnsi="宋体"/>
                <w:szCs w:val="21"/>
              </w:rPr>
            </w:pPr>
            <w:r>
              <w:rPr>
                <w:rFonts w:hAnsi="宋体" w:hint="eastAsia"/>
                <w:szCs w:val="21"/>
              </w:rPr>
              <w:t>氨</w:t>
            </w:r>
          </w:p>
        </w:tc>
        <w:tc>
          <w:tcPr>
            <w:tcW w:w="793" w:type="dxa"/>
            <w:vAlign w:val="center"/>
          </w:tcPr>
          <w:p w:rsidR="00475650" w:rsidRDefault="00475650">
            <w:pPr>
              <w:snapToGrid w:val="0"/>
              <w:spacing w:line="240" w:lineRule="exact"/>
              <w:ind w:leftChars="-50" w:left="-105" w:rightChars="-50" w:right="-105"/>
              <w:jc w:val="center"/>
              <w:rPr>
                <w:szCs w:val="21"/>
              </w:rPr>
            </w:pPr>
            <w:r>
              <w:rPr>
                <w:rFonts w:hint="eastAsia"/>
                <w:szCs w:val="21"/>
              </w:rPr>
              <w:t>0.27</w:t>
            </w:r>
          </w:p>
        </w:tc>
        <w:tc>
          <w:tcPr>
            <w:tcW w:w="1181" w:type="dxa"/>
            <w:vAlign w:val="center"/>
          </w:tcPr>
          <w:p w:rsidR="00475650" w:rsidRDefault="00475650">
            <w:pPr>
              <w:snapToGrid w:val="0"/>
              <w:spacing w:line="240" w:lineRule="exact"/>
              <w:jc w:val="center"/>
              <w:rPr>
                <w:szCs w:val="21"/>
              </w:rPr>
            </w:pPr>
          </w:p>
        </w:tc>
        <w:tc>
          <w:tcPr>
            <w:tcW w:w="899" w:type="dxa"/>
            <w:vAlign w:val="center"/>
          </w:tcPr>
          <w:p w:rsidR="00475650" w:rsidRDefault="00475650">
            <w:pPr>
              <w:snapToGrid w:val="0"/>
              <w:spacing w:line="240" w:lineRule="exact"/>
              <w:jc w:val="center"/>
              <w:rPr>
                <w:szCs w:val="21"/>
              </w:rPr>
            </w:pPr>
            <w:r>
              <w:rPr>
                <w:rFonts w:hint="eastAsia"/>
                <w:szCs w:val="21"/>
              </w:rPr>
              <w:t>/</w:t>
            </w:r>
          </w:p>
        </w:tc>
        <w:tc>
          <w:tcPr>
            <w:tcW w:w="792" w:type="dxa"/>
            <w:tcMar>
              <w:top w:w="28" w:type="dxa"/>
              <w:left w:w="28" w:type="dxa"/>
              <w:bottom w:w="28" w:type="dxa"/>
              <w:right w:w="28" w:type="dxa"/>
            </w:tcMar>
            <w:vAlign w:val="center"/>
          </w:tcPr>
          <w:p w:rsidR="00475650" w:rsidRDefault="00475650">
            <w:pPr>
              <w:snapToGrid w:val="0"/>
              <w:spacing w:line="240" w:lineRule="exact"/>
              <w:jc w:val="center"/>
              <w:rPr>
                <w:szCs w:val="21"/>
              </w:rPr>
            </w:pPr>
            <w:r>
              <w:rPr>
                <w:rFonts w:hint="eastAsia"/>
                <w:szCs w:val="21"/>
              </w:rPr>
              <w:t>0.256</w:t>
            </w:r>
          </w:p>
        </w:tc>
        <w:tc>
          <w:tcPr>
            <w:tcW w:w="1013" w:type="dxa"/>
            <w:tcMar>
              <w:top w:w="28" w:type="dxa"/>
              <w:left w:w="28" w:type="dxa"/>
              <w:bottom w:w="28" w:type="dxa"/>
              <w:right w:w="28" w:type="dxa"/>
            </w:tcMar>
            <w:vAlign w:val="center"/>
          </w:tcPr>
          <w:p w:rsidR="00475650" w:rsidRDefault="00475650">
            <w:pPr>
              <w:snapToGrid w:val="0"/>
              <w:spacing w:line="240" w:lineRule="exact"/>
              <w:jc w:val="center"/>
              <w:rPr>
                <w:szCs w:val="21"/>
              </w:rPr>
            </w:pPr>
            <w:r>
              <w:rPr>
                <w:rFonts w:hint="eastAsia"/>
                <w:szCs w:val="21"/>
              </w:rPr>
              <w:t>2.4</w:t>
            </w:r>
          </w:p>
        </w:tc>
        <w:tc>
          <w:tcPr>
            <w:tcW w:w="2100" w:type="dxa"/>
            <w:vMerge/>
            <w:vAlign w:val="center"/>
          </w:tcPr>
          <w:p w:rsidR="00475650" w:rsidRDefault="00475650">
            <w:pPr>
              <w:snapToGrid w:val="0"/>
              <w:spacing w:line="240" w:lineRule="exact"/>
              <w:jc w:val="center"/>
              <w:rPr>
                <w:rFonts w:hAnsi="宋体"/>
                <w:szCs w:val="21"/>
              </w:rPr>
            </w:pPr>
          </w:p>
        </w:tc>
      </w:tr>
      <w:tr w:rsidR="00475650">
        <w:tc>
          <w:tcPr>
            <w:tcW w:w="693" w:type="dxa"/>
            <w:vMerge/>
            <w:vAlign w:val="center"/>
          </w:tcPr>
          <w:p w:rsidR="00475650" w:rsidRDefault="00475650">
            <w:pPr>
              <w:snapToGrid w:val="0"/>
              <w:spacing w:line="240" w:lineRule="exact"/>
              <w:ind w:leftChars="-50" w:left="-105" w:rightChars="-50" w:right="-105"/>
              <w:jc w:val="center"/>
              <w:rPr>
                <w:szCs w:val="21"/>
              </w:rPr>
            </w:pPr>
          </w:p>
        </w:tc>
        <w:tc>
          <w:tcPr>
            <w:tcW w:w="509" w:type="dxa"/>
            <w:vMerge w:val="restart"/>
            <w:tcBorders>
              <w:right w:val="single" w:sz="4" w:space="0" w:color="auto"/>
            </w:tcBorders>
            <w:vAlign w:val="center"/>
          </w:tcPr>
          <w:p w:rsidR="00475650" w:rsidRDefault="00475650">
            <w:pPr>
              <w:snapToGrid w:val="0"/>
              <w:spacing w:line="240" w:lineRule="exact"/>
              <w:ind w:leftChars="-50" w:left="-105" w:rightChars="-50" w:right="-105"/>
              <w:jc w:val="center"/>
              <w:rPr>
                <w:szCs w:val="21"/>
              </w:rPr>
            </w:pPr>
            <w:r>
              <w:rPr>
                <w:rFonts w:hAnsi="宋体"/>
                <w:szCs w:val="21"/>
              </w:rPr>
              <w:t>无组织</w:t>
            </w:r>
          </w:p>
        </w:tc>
        <w:tc>
          <w:tcPr>
            <w:tcW w:w="1378" w:type="dxa"/>
            <w:gridSpan w:val="2"/>
            <w:tcBorders>
              <w:left w:val="single" w:sz="4" w:space="0" w:color="auto"/>
            </w:tcBorders>
            <w:vAlign w:val="center"/>
          </w:tcPr>
          <w:p w:rsidR="00475650" w:rsidRDefault="00475650">
            <w:pPr>
              <w:snapToGrid w:val="0"/>
              <w:spacing w:line="240" w:lineRule="exact"/>
              <w:ind w:leftChars="-50" w:left="-105" w:rightChars="-50" w:right="-105"/>
              <w:jc w:val="center"/>
              <w:rPr>
                <w:szCs w:val="21"/>
              </w:rPr>
            </w:pPr>
            <w:r>
              <w:rPr>
                <w:rFonts w:hAnsi="宋体"/>
                <w:szCs w:val="21"/>
              </w:rPr>
              <w:t>粉尘</w:t>
            </w:r>
          </w:p>
        </w:tc>
        <w:tc>
          <w:tcPr>
            <w:tcW w:w="793" w:type="dxa"/>
            <w:vAlign w:val="center"/>
          </w:tcPr>
          <w:p w:rsidR="00475650" w:rsidRDefault="00475650">
            <w:pPr>
              <w:snapToGrid w:val="0"/>
              <w:spacing w:line="240" w:lineRule="exact"/>
              <w:ind w:leftChars="-50" w:left="-105" w:rightChars="-50" w:right="-105"/>
              <w:jc w:val="center"/>
              <w:rPr>
                <w:szCs w:val="21"/>
              </w:rPr>
            </w:pPr>
            <w:r>
              <w:rPr>
                <w:rFonts w:hint="eastAsia"/>
                <w:szCs w:val="21"/>
              </w:rPr>
              <w:t>0.71</w:t>
            </w:r>
          </w:p>
        </w:tc>
        <w:tc>
          <w:tcPr>
            <w:tcW w:w="1181" w:type="dxa"/>
            <w:vAlign w:val="center"/>
          </w:tcPr>
          <w:p w:rsidR="00475650" w:rsidRDefault="00475650">
            <w:pPr>
              <w:snapToGrid w:val="0"/>
              <w:spacing w:line="240" w:lineRule="exact"/>
              <w:jc w:val="center"/>
              <w:rPr>
                <w:szCs w:val="21"/>
              </w:rPr>
            </w:pPr>
            <w:r>
              <w:rPr>
                <w:szCs w:val="21"/>
              </w:rPr>
              <w:t>/</w:t>
            </w:r>
          </w:p>
        </w:tc>
        <w:tc>
          <w:tcPr>
            <w:tcW w:w="899" w:type="dxa"/>
            <w:vAlign w:val="center"/>
          </w:tcPr>
          <w:p w:rsidR="00475650" w:rsidRDefault="00475650">
            <w:pPr>
              <w:snapToGrid w:val="0"/>
              <w:spacing w:line="240" w:lineRule="exact"/>
              <w:jc w:val="center"/>
              <w:rPr>
                <w:szCs w:val="21"/>
              </w:rPr>
            </w:pPr>
            <w:r>
              <w:rPr>
                <w:szCs w:val="21"/>
              </w:rPr>
              <w:t>/</w:t>
            </w:r>
          </w:p>
        </w:tc>
        <w:tc>
          <w:tcPr>
            <w:tcW w:w="792" w:type="dxa"/>
            <w:tcMar>
              <w:top w:w="28" w:type="dxa"/>
              <w:left w:w="28" w:type="dxa"/>
              <w:bottom w:w="28" w:type="dxa"/>
              <w:right w:w="28" w:type="dxa"/>
            </w:tcMar>
            <w:vAlign w:val="center"/>
          </w:tcPr>
          <w:p w:rsidR="00475650" w:rsidRDefault="00475650">
            <w:pPr>
              <w:snapToGrid w:val="0"/>
              <w:spacing w:line="240" w:lineRule="exact"/>
              <w:ind w:leftChars="-50" w:left="-105" w:rightChars="-50" w:right="-105"/>
              <w:jc w:val="center"/>
              <w:rPr>
                <w:szCs w:val="21"/>
              </w:rPr>
            </w:pPr>
            <w:r>
              <w:rPr>
                <w:rFonts w:hint="eastAsia"/>
                <w:szCs w:val="21"/>
              </w:rPr>
              <w:t>0.71</w:t>
            </w:r>
          </w:p>
        </w:tc>
        <w:tc>
          <w:tcPr>
            <w:tcW w:w="1013" w:type="dxa"/>
            <w:tcMar>
              <w:top w:w="28" w:type="dxa"/>
              <w:left w:w="28" w:type="dxa"/>
              <w:bottom w:w="28" w:type="dxa"/>
              <w:right w:w="28" w:type="dxa"/>
            </w:tcMar>
            <w:vAlign w:val="center"/>
          </w:tcPr>
          <w:p w:rsidR="00475650" w:rsidRDefault="00475650">
            <w:pPr>
              <w:snapToGrid w:val="0"/>
              <w:spacing w:line="240" w:lineRule="exact"/>
              <w:jc w:val="center"/>
              <w:rPr>
                <w:szCs w:val="21"/>
              </w:rPr>
            </w:pPr>
            <w:r>
              <w:rPr>
                <w:szCs w:val="21"/>
              </w:rPr>
              <w:t>/</w:t>
            </w:r>
          </w:p>
        </w:tc>
        <w:tc>
          <w:tcPr>
            <w:tcW w:w="2100" w:type="dxa"/>
            <w:vMerge w:val="restart"/>
            <w:vAlign w:val="center"/>
          </w:tcPr>
          <w:p w:rsidR="00475650" w:rsidRDefault="00475650">
            <w:pPr>
              <w:snapToGrid w:val="0"/>
              <w:spacing w:line="240" w:lineRule="exact"/>
              <w:jc w:val="center"/>
              <w:rPr>
                <w:szCs w:val="21"/>
              </w:rPr>
            </w:pPr>
            <w:r>
              <w:rPr>
                <w:rFonts w:hAnsi="宋体"/>
                <w:szCs w:val="21"/>
              </w:rPr>
              <w:t>车间通风，设大气环境防护距离</w:t>
            </w:r>
          </w:p>
        </w:tc>
      </w:tr>
      <w:tr w:rsidR="00475650">
        <w:tc>
          <w:tcPr>
            <w:tcW w:w="693" w:type="dxa"/>
            <w:vMerge/>
            <w:vAlign w:val="center"/>
          </w:tcPr>
          <w:p w:rsidR="00475650" w:rsidRDefault="00475650">
            <w:pPr>
              <w:snapToGrid w:val="0"/>
              <w:spacing w:line="240" w:lineRule="exact"/>
              <w:ind w:leftChars="-50" w:left="-105" w:rightChars="-50" w:right="-105"/>
              <w:jc w:val="center"/>
              <w:rPr>
                <w:szCs w:val="21"/>
              </w:rPr>
            </w:pPr>
          </w:p>
        </w:tc>
        <w:tc>
          <w:tcPr>
            <w:tcW w:w="509" w:type="dxa"/>
            <w:vMerge/>
            <w:tcBorders>
              <w:right w:val="single" w:sz="4" w:space="0" w:color="auto"/>
            </w:tcBorders>
            <w:vAlign w:val="center"/>
          </w:tcPr>
          <w:p w:rsidR="00475650" w:rsidRDefault="00475650">
            <w:pPr>
              <w:snapToGrid w:val="0"/>
              <w:spacing w:line="240" w:lineRule="exact"/>
              <w:ind w:leftChars="-50" w:left="-105" w:rightChars="-50" w:right="-105"/>
              <w:jc w:val="center"/>
              <w:rPr>
                <w:szCs w:val="21"/>
              </w:rPr>
            </w:pPr>
          </w:p>
        </w:tc>
        <w:tc>
          <w:tcPr>
            <w:tcW w:w="1378" w:type="dxa"/>
            <w:gridSpan w:val="2"/>
            <w:tcBorders>
              <w:left w:val="single" w:sz="4" w:space="0" w:color="auto"/>
            </w:tcBorders>
            <w:vAlign w:val="center"/>
          </w:tcPr>
          <w:p w:rsidR="00475650" w:rsidRDefault="00475650">
            <w:pPr>
              <w:snapToGrid w:val="0"/>
              <w:spacing w:line="240" w:lineRule="exact"/>
              <w:ind w:leftChars="-50" w:left="-105" w:rightChars="-50" w:right="-105"/>
              <w:jc w:val="center"/>
              <w:rPr>
                <w:szCs w:val="21"/>
              </w:rPr>
            </w:pPr>
            <w:r>
              <w:rPr>
                <w:rFonts w:hAnsi="宋体" w:hint="eastAsia"/>
                <w:szCs w:val="21"/>
              </w:rPr>
              <w:t>氯化氢</w:t>
            </w:r>
          </w:p>
        </w:tc>
        <w:tc>
          <w:tcPr>
            <w:tcW w:w="793" w:type="dxa"/>
            <w:vAlign w:val="center"/>
          </w:tcPr>
          <w:p w:rsidR="00475650" w:rsidRDefault="00475650">
            <w:pPr>
              <w:snapToGrid w:val="0"/>
              <w:spacing w:line="240" w:lineRule="exact"/>
              <w:ind w:leftChars="-50" w:left="-105" w:rightChars="-50" w:right="-105"/>
              <w:jc w:val="center"/>
              <w:rPr>
                <w:szCs w:val="21"/>
              </w:rPr>
            </w:pPr>
            <w:r>
              <w:rPr>
                <w:rFonts w:hint="eastAsia"/>
                <w:szCs w:val="21"/>
              </w:rPr>
              <w:t>0.25</w:t>
            </w:r>
          </w:p>
        </w:tc>
        <w:tc>
          <w:tcPr>
            <w:tcW w:w="1181" w:type="dxa"/>
            <w:vAlign w:val="center"/>
          </w:tcPr>
          <w:p w:rsidR="00475650" w:rsidRDefault="00475650">
            <w:pPr>
              <w:snapToGrid w:val="0"/>
              <w:spacing w:line="240" w:lineRule="exact"/>
              <w:jc w:val="center"/>
              <w:rPr>
                <w:szCs w:val="21"/>
              </w:rPr>
            </w:pPr>
            <w:r>
              <w:rPr>
                <w:szCs w:val="21"/>
              </w:rPr>
              <w:t>/</w:t>
            </w:r>
          </w:p>
        </w:tc>
        <w:tc>
          <w:tcPr>
            <w:tcW w:w="899" w:type="dxa"/>
            <w:vAlign w:val="center"/>
          </w:tcPr>
          <w:p w:rsidR="00475650" w:rsidRDefault="00475650">
            <w:pPr>
              <w:snapToGrid w:val="0"/>
              <w:spacing w:line="240" w:lineRule="exact"/>
              <w:jc w:val="center"/>
              <w:rPr>
                <w:szCs w:val="21"/>
              </w:rPr>
            </w:pPr>
            <w:r>
              <w:rPr>
                <w:szCs w:val="21"/>
              </w:rPr>
              <w:t>/</w:t>
            </w:r>
          </w:p>
        </w:tc>
        <w:tc>
          <w:tcPr>
            <w:tcW w:w="792" w:type="dxa"/>
            <w:tcMar>
              <w:top w:w="28" w:type="dxa"/>
              <w:left w:w="28" w:type="dxa"/>
              <w:bottom w:w="28" w:type="dxa"/>
              <w:right w:w="28" w:type="dxa"/>
            </w:tcMar>
            <w:vAlign w:val="center"/>
          </w:tcPr>
          <w:p w:rsidR="00475650" w:rsidRDefault="00475650">
            <w:pPr>
              <w:snapToGrid w:val="0"/>
              <w:spacing w:line="240" w:lineRule="exact"/>
              <w:ind w:leftChars="-50" w:left="-105" w:rightChars="-50" w:right="-105"/>
              <w:jc w:val="center"/>
              <w:rPr>
                <w:szCs w:val="21"/>
              </w:rPr>
            </w:pPr>
            <w:r>
              <w:rPr>
                <w:rFonts w:hint="eastAsia"/>
                <w:szCs w:val="21"/>
              </w:rPr>
              <w:t>0.25</w:t>
            </w:r>
          </w:p>
        </w:tc>
        <w:tc>
          <w:tcPr>
            <w:tcW w:w="1013" w:type="dxa"/>
            <w:tcMar>
              <w:top w:w="28" w:type="dxa"/>
              <w:left w:w="28" w:type="dxa"/>
              <w:bottom w:w="28" w:type="dxa"/>
              <w:right w:w="28" w:type="dxa"/>
            </w:tcMar>
            <w:vAlign w:val="center"/>
          </w:tcPr>
          <w:p w:rsidR="00475650" w:rsidRDefault="00475650">
            <w:pPr>
              <w:snapToGrid w:val="0"/>
              <w:spacing w:line="240" w:lineRule="exact"/>
              <w:jc w:val="center"/>
              <w:rPr>
                <w:szCs w:val="21"/>
              </w:rPr>
            </w:pPr>
            <w:r>
              <w:rPr>
                <w:szCs w:val="21"/>
              </w:rPr>
              <w:t>/</w:t>
            </w:r>
          </w:p>
        </w:tc>
        <w:tc>
          <w:tcPr>
            <w:tcW w:w="2100" w:type="dxa"/>
            <w:vMerge/>
            <w:vAlign w:val="center"/>
          </w:tcPr>
          <w:p w:rsidR="00475650" w:rsidRDefault="00475650">
            <w:pPr>
              <w:snapToGrid w:val="0"/>
              <w:spacing w:line="240" w:lineRule="exact"/>
              <w:jc w:val="center"/>
              <w:rPr>
                <w:szCs w:val="21"/>
              </w:rPr>
            </w:pPr>
          </w:p>
        </w:tc>
      </w:tr>
      <w:tr w:rsidR="00475650">
        <w:tc>
          <w:tcPr>
            <w:tcW w:w="693" w:type="dxa"/>
            <w:vMerge/>
            <w:vAlign w:val="center"/>
          </w:tcPr>
          <w:p w:rsidR="00475650" w:rsidRDefault="00475650">
            <w:pPr>
              <w:snapToGrid w:val="0"/>
              <w:spacing w:line="240" w:lineRule="exact"/>
              <w:ind w:leftChars="-50" w:left="-105" w:rightChars="-50" w:right="-105"/>
              <w:jc w:val="center"/>
              <w:rPr>
                <w:szCs w:val="21"/>
              </w:rPr>
            </w:pPr>
          </w:p>
        </w:tc>
        <w:tc>
          <w:tcPr>
            <w:tcW w:w="509" w:type="dxa"/>
            <w:vMerge/>
            <w:tcBorders>
              <w:right w:val="single" w:sz="4" w:space="0" w:color="auto"/>
            </w:tcBorders>
            <w:vAlign w:val="center"/>
          </w:tcPr>
          <w:p w:rsidR="00475650" w:rsidRDefault="00475650">
            <w:pPr>
              <w:snapToGrid w:val="0"/>
              <w:spacing w:line="240" w:lineRule="exact"/>
              <w:ind w:leftChars="-50" w:left="-105" w:rightChars="-50" w:right="-105"/>
              <w:jc w:val="center"/>
              <w:rPr>
                <w:szCs w:val="21"/>
              </w:rPr>
            </w:pPr>
          </w:p>
        </w:tc>
        <w:tc>
          <w:tcPr>
            <w:tcW w:w="1378" w:type="dxa"/>
            <w:gridSpan w:val="2"/>
            <w:tcBorders>
              <w:left w:val="single" w:sz="4" w:space="0" w:color="auto"/>
            </w:tcBorders>
            <w:vAlign w:val="center"/>
          </w:tcPr>
          <w:p w:rsidR="00475650" w:rsidRDefault="00475650">
            <w:pPr>
              <w:snapToGrid w:val="0"/>
              <w:spacing w:line="240" w:lineRule="exact"/>
              <w:ind w:leftChars="-50" w:left="-105" w:rightChars="-50" w:right="-105"/>
              <w:jc w:val="center"/>
              <w:rPr>
                <w:szCs w:val="21"/>
              </w:rPr>
            </w:pPr>
            <w:r>
              <w:rPr>
                <w:rFonts w:hAnsi="宋体"/>
                <w:szCs w:val="21"/>
              </w:rPr>
              <w:t>氨气</w:t>
            </w:r>
          </w:p>
        </w:tc>
        <w:tc>
          <w:tcPr>
            <w:tcW w:w="793" w:type="dxa"/>
            <w:vAlign w:val="center"/>
          </w:tcPr>
          <w:p w:rsidR="00475650" w:rsidRDefault="00475650">
            <w:pPr>
              <w:snapToGrid w:val="0"/>
              <w:spacing w:line="240" w:lineRule="exact"/>
              <w:ind w:leftChars="-50" w:left="-105" w:rightChars="-50" w:right="-105"/>
              <w:jc w:val="center"/>
              <w:rPr>
                <w:szCs w:val="21"/>
              </w:rPr>
            </w:pPr>
            <w:r>
              <w:rPr>
                <w:szCs w:val="21"/>
              </w:rPr>
              <w:t>0.</w:t>
            </w:r>
            <w:r>
              <w:rPr>
                <w:rFonts w:hint="eastAsia"/>
                <w:szCs w:val="21"/>
              </w:rPr>
              <w:t>014</w:t>
            </w:r>
          </w:p>
        </w:tc>
        <w:tc>
          <w:tcPr>
            <w:tcW w:w="1181" w:type="dxa"/>
            <w:vAlign w:val="center"/>
          </w:tcPr>
          <w:p w:rsidR="00475650" w:rsidRDefault="00475650">
            <w:pPr>
              <w:snapToGrid w:val="0"/>
              <w:spacing w:line="240" w:lineRule="exact"/>
              <w:jc w:val="center"/>
              <w:rPr>
                <w:szCs w:val="21"/>
              </w:rPr>
            </w:pPr>
            <w:r>
              <w:rPr>
                <w:szCs w:val="21"/>
              </w:rPr>
              <w:t>/</w:t>
            </w:r>
          </w:p>
        </w:tc>
        <w:tc>
          <w:tcPr>
            <w:tcW w:w="899" w:type="dxa"/>
            <w:vAlign w:val="center"/>
          </w:tcPr>
          <w:p w:rsidR="00475650" w:rsidRDefault="00475650">
            <w:pPr>
              <w:snapToGrid w:val="0"/>
              <w:spacing w:line="240" w:lineRule="exact"/>
              <w:jc w:val="center"/>
              <w:rPr>
                <w:szCs w:val="21"/>
              </w:rPr>
            </w:pPr>
            <w:r>
              <w:rPr>
                <w:szCs w:val="21"/>
              </w:rPr>
              <w:t>/</w:t>
            </w:r>
          </w:p>
        </w:tc>
        <w:tc>
          <w:tcPr>
            <w:tcW w:w="792" w:type="dxa"/>
            <w:tcMar>
              <w:top w:w="28" w:type="dxa"/>
              <w:left w:w="28" w:type="dxa"/>
              <w:bottom w:w="28" w:type="dxa"/>
              <w:right w:w="28" w:type="dxa"/>
            </w:tcMar>
            <w:vAlign w:val="center"/>
          </w:tcPr>
          <w:p w:rsidR="00475650" w:rsidRDefault="00475650">
            <w:pPr>
              <w:snapToGrid w:val="0"/>
              <w:spacing w:line="240" w:lineRule="exact"/>
              <w:ind w:leftChars="-50" w:left="-105" w:rightChars="-50" w:right="-105"/>
              <w:jc w:val="center"/>
              <w:rPr>
                <w:szCs w:val="21"/>
              </w:rPr>
            </w:pPr>
            <w:r>
              <w:rPr>
                <w:szCs w:val="21"/>
              </w:rPr>
              <w:t>0.</w:t>
            </w:r>
            <w:r>
              <w:rPr>
                <w:rFonts w:hint="eastAsia"/>
                <w:szCs w:val="21"/>
              </w:rPr>
              <w:t>014</w:t>
            </w:r>
          </w:p>
        </w:tc>
        <w:tc>
          <w:tcPr>
            <w:tcW w:w="1013" w:type="dxa"/>
            <w:tcMar>
              <w:top w:w="28" w:type="dxa"/>
              <w:left w:w="28" w:type="dxa"/>
              <w:bottom w:w="28" w:type="dxa"/>
              <w:right w:w="28" w:type="dxa"/>
            </w:tcMar>
            <w:vAlign w:val="center"/>
          </w:tcPr>
          <w:p w:rsidR="00475650" w:rsidRDefault="00475650">
            <w:pPr>
              <w:snapToGrid w:val="0"/>
              <w:spacing w:line="240" w:lineRule="exact"/>
              <w:jc w:val="center"/>
              <w:rPr>
                <w:szCs w:val="21"/>
              </w:rPr>
            </w:pPr>
            <w:r>
              <w:rPr>
                <w:szCs w:val="21"/>
              </w:rPr>
              <w:t>/</w:t>
            </w:r>
          </w:p>
        </w:tc>
        <w:tc>
          <w:tcPr>
            <w:tcW w:w="2100" w:type="dxa"/>
            <w:vMerge/>
            <w:vAlign w:val="center"/>
          </w:tcPr>
          <w:p w:rsidR="00475650" w:rsidRDefault="00475650">
            <w:pPr>
              <w:snapToGrid w:val="0"/>
              <w:spacing w:line="240" w:lineRule="exact"/>
              <w:jc w:val="center"/>
              <w:rPr>
                <w:szCs w:val="21"/>
              </w:rPr>
            </w:pPr>
          </w:p>
        </w:tc>
      </w:tr>
      <w:tr w:rsidR="00475650">
        <w:tc>
          <w:tcPr>
            <w:tcW w:w="693" w:type="dxa"/>
            <w:vMerge w:val="restart"/>
            <w:vAlign w:val="center"/>
          </w:tcPr>
          <w:p w:rsidR="00475650" w:rsidRDefault="00475650">
            <w:pPr>
              <w:snapToGrid w:val="0"/>
              <w:spacing w:line="240" w:lineRule="exact"/>
              <w:ind w:leftChars="-50" w:left="-105" w:rightChars="-50" w:right="-105"/>
              <w:jc w:val="center"/>
              <w:rPr>
                <w:szCs w:val="21"/>
              </w:rPr>
            </w:pPr>
            <w:r>
              <w:rPr>
                <w:rFonts w:hAnsi="宋体"/>
                <w:szCs w:val="21"/>
              </w:rPr>
              <w:t>废水</w:t>
            </w:r>
          </w:p>
        </w:tc>
        <w:tc>
          <w:tcPr>
            <w:tcW w:w="1887" w:type="dxa"/>
            <w:gridSpan w:val="3"/>
            <w:vAlign w:val="center"/>
          </w:tcPr>
          <w:p w:rsidR="00475650" w:rsidRDefault="00475650">
            <w:pPr>
              <w:snapToGrid w:val="0"/>
              <w:spacing w:line="240" w:lineRule="exact"/>
              <w:ind w:leftChars="-50" w:left="-105" w:rightChars="-50" w:right="-105"/>
              <w:jc w:val="center"/>
              <w:rPr>
                <w:szCs w:val="21"/>
              </w:rPr>
            </w:pPr>
            <w:r>
              <w:rPr>
                <w:rFonts w:hAnsi="宋体"/>
                <w:szCs w:val="21"/>
              </w:rPr>
              <w:t>生产废水量（万</w:t>
            </w:r>
            <w:r>
              <w:rPr>
                <w:szCs w:val="21"/>
              </w:rPr>
              <w:t>t/a</w:t>
            </w:r>
            <w:r>
              <w:rPr>
                <w:rFonts w:hAnsi="宋体"/>
                <w:szCs w:val="21"/>
              </w:rPr>
              <w:t>）</w:t>
            </w:r>
          </w:p>
        </w:tc>
        <w:tc>
          <w:tcPr>
            <w:tcW w:w="793" w:type="dxa"/>
            <w:vAlign w:val="center"/>
          </w:tcPr>
          <w:p w:rsidR="00475650" w:rsidRDefault="00475650">
            <w:pPr>
              <w:snapToGrid w:val="0"/>
              <w:spacing w:line="240" w:lineRule="exact"/>
              <w:ind w:leftChars="-50" w:left="-105" w:rightChars="-50" w:right="-105"/>
              <w:jc w:val="center"/>
              <w:rPr>
                <w:szCs w:val="21"/>
              </w:rPr>
            </w:pPr>
            <w:r>
              <w:rPr>
                <w:rFonts w:hint="eastAsia"/>
                <w:szCs w:val="21"/>
              </w:rPr>
              <w:t>18.6325</w:t>
            </w:r>
          </w:p>
        </w:tc>
        <w:tc>
          <w:tcPr>
            <w:tcW w:w="1181" w:type="dxa"/>
            <w:vAlign w:val="center"/>
          </w:tcPr>
          <w:p w:rsidR="00475650" w:rsidRDefault="00475650">
            <w:pPr>
              <w:snapToGrid w:val="0"/>
              <w:spacing w:line="240" w:lineRule="exact"/>
              <w:jc w:val="center"/>
              <w:rPr>
                <w:szCs w:val="21"/>
              </w:rPr>
            </w:pPr>
            <w:r>
              <w:rPr>
                <w:szCs w:val="21"/>
              </w:rPr>
              <w:t>/</w:t>
            </w:r>
          </w:p>
        </w:tc>
        <w:tc>
          <w:tcPr>
            <w:tcW w:w="899" w:type="dxa"/>
            <w:vAlign w:val="center"/>
          </w:tcPr>
          <w:p w:rsidR="00475650" w:rsidRDefault="00475650">
            <w:pPr>
              <w:snapToGrid w:val="0"/>
              <w:spacing w:line="240" w:lineRule="exact"/>
              <w:jc w:val="center"/>
              <w:rPr>
                <w:szCs w:val="21"/>
              </w:rPr>
            </w:pPr>
            <w:r>
              <w:rPr>
                <w:szCs w:val="21"/>
              </w:rPr>
              <w:t>/</w:t>
            </w:r>
          </w:p>
        </w:tc>
        <w:tc>
          <w:tcPr>
            <w:tcW w:w="792" w:type="dxa"/>
            <w:tcMar>
              <w:top w:w="28" w:type="dxa"/>
              <w:left w:w="28" w:type="dxa"/>
              <w:bottom w:w="28" w:type="dxa"/>
              <w:right w:w="28" w:type="dxa"/>
            </w:tcMar>
            <w:vAlign w:val="center"/>
          </w:tcPr>
          <w:p w:rsidR="00475650" w:rsidRDefault="00475650">
            <w:pPr>
              <w:snapToGrid w:val="0"/>
              <w:spacing w:line="240" w:lineRule="exact"/>
              <w:jc w:val="center"/>
              <w:rPr>
                <w:szCs w:val="21"/>
              </w:rPr>
            </w:pPr>
            <w:r>
              <w:rPr>
                <w:rFonts w:hint="eastAsia"/>
                <w:szCs w:val="21"/>
              </w:rPr>
              <w:t>18.6325</w:t>
            </w:r>
          </w:p>
        </w:tc>
        <w:tc>
          <w:tcPr>
            <w:tcW w:w="1013" w:type="dxa"/>
            <w:tcMar>
              <w:top w:w="28" w:type="dxa"/>
              <w:left w:w="28" w:type="dxa"/>
              <w:bottom w:w="28" w:type="dxa"/>
              <w:right w:w="28" w:type="dxa"/>
            </w:tcMar>
            <w:vAlign w:val="center"/>
          </w:tcPr>
          <w:p w:rsidR="00475650" w:rsidRDefault="00475650">
            <w:pPr>
              <w:snapToGrid w:val="0"/>
              <w:spacing w:line="240" w:lineRule="exact"/>
              <w:jc w:val="center"/>
              <w:rPr>
                <w:szCs w:val="21"/>
              </w:rPr>
            </w:pPr>
            <w:r>
              <w:rPr>
                <w:szCs w:val="21"/>
              </w:rPr>
              <w:t>/</w:t>
            </w:r>
          </w:p>
        </w:tc>
        <w:tc>
          <w:tcPr>
            <w:tcW w:w="2100" w:type="dxa"/>
            <w:vMerge w:val="restart"/>
            <w:vAlign w:val="center"/>
          </w:tcPr>
          <w:p w:rsidR="00475650" w:rsidRDefault="00475650">
            <w:pPr>
              <w:snapToGrid w:val="0"/>
              <w:spacing w:line="240" w:lineRule="exact"/>
              <w:jc w:val="center"/>
              <w:rPr>
                <w:szCs w:val="21"/>
              </w:rPr>
            </w:pPr>
            <w:r>
              <w:rPr>
                <w:rFonts w:hAnsi="宋体"/>
                <w:szCs w:val="21"/>
              </w:rPr>
              <w:t>经公司污水处理站处理后送园区污水处理厂处理</w:t>
            </w:r>
          </w:p>
        </w:tc>
      </w:tr>
      <w:tr w:rsidR="00475650">
        <w:tc>
          <w:tcPr>
            <w:tcW w:w="693" w:type="dxa"/>
            <w:vMerge/>
            <w:vAlign w:val="center"/>
          </w:tcPr>
          <w:p w:rsidR="00475650" w:rsidRDefault="00475650">
            <w:pPr>
              <w:snapToGrid w:val="0"/>
              <w:spacing w:line="240" w:lineRule="exact"/>
              <w:ind w:leftChars="-50" w:left="-105" w:rightChars="-50" w:right="-105"/>
              <w:jc w:val="center"/>
              <w:rPr>
                <w:szCs w:val="21"/>
              </w:rPr>
            </w:pPr>
          </w:p>
        </w:tc>
        <w:tc>
          <w:tcPr>
            <w:tcW w:w="1887" w:type="dxa"/>
            <w:gridSpan w:val="3"/>
            <w:vAlign w:val="center"/>
          </w:tcPr>
          <w:p w:rsidR="00475650" w:rsidRDefault="00475650">
            <w:pPr>
              <w:snapToGrid w:val="0"/>
              <w:spacing w:line="240" w:lineRule="exact"/>
              <w:ind w:leftChars="-50" w:left="-105" w:rightChars="-50" w:right="-105"/>
              <w:jc w:val="center"/>
              <w:rPr>
                <w:szCs w:val="21"/>
              </w:rPr>
            </w:pPr>
            <w:r>
              <w:rPr>
                <w:szCs w:val="21"/>
              </w:rPr>
              <w:t>COD</w:t>
            </w:r>
          </w:p>
        </w:tc>
        <w:tc>
          <w:tcPr>
            <w:tcW w:w="793" w:type="dxa"/>
            <w:vAlign w:val="center"/>
          </w:tcPr>
          <w:p w:rsidR="00475650" w:rsidRDefault="00475650">
            <w:pPr>
              <w:snapToGrid w:val="0"/>
              <w:spacing w:line="240" w:lineRule="exact"/>
              <w:ind w:leftChars="-50" w:left="-105" w:rightChars="-50" w:right="-105"/>
              <w:jc w:val="center"/>
              <w:rPr>
                <w:szCs w:val="21"/>
              </w:rPr>
            </w:pPr>
            <w:r>
              <w:rPr>
                <w:rFonts w:hint="eastAsia"/>
                <w:szCs w:val="21"/>
              </w:rPr>
              <w:t>1863.25</w:t>
            </w:r>
          </w:p>
        </w:tc>
        <w:tc>
          <w:tcPr>
            <w:tcW w:w="1181" w:type="dxa"/>
            <w:vAlign w:val="center"/>
          </w:tcPr>
          <w:p w:rsidR="00475650" w:rsidRDefault="00475650">
            <w:pPr>
              <w:jc w:val="center"/>
            </w:pPr>
            <w:r>
              <w:rPr>
                <w:rFonts w:hint="eastAsia"/>
                <w:szCs w:val="21"/>
              </w:rPr>
              <w:t>10000</w:t>
            </w:r>
            <w:r>
              <w:rPr>
                <w:szCs w:val="21"/>
              </w:rPr>
              <w:t xml:space="preserve"> mg/l</w:t>
            </w:r>
          </w:p>
        </w:tc>
        <w:tc>
          <w:tcPr>
            <w:tcW w:w="899" w:type="dxa"/>
            <w:vAlign w:val="center"/>
          </w:tcPr>
          <w:p w:rsidR="00475650" w:rsidRDefault="00475650">
            <w:pPr>
              <w:snapToGrid w:val="0"/>
              <w:spacing w:line="240" w:lineRule="exact"/>
              <w:jc w:val="center"/>
              <w:rPr>
                <w:szCs w:val="21"/>
              </w:rPr>
            </w:pPr>
            <w:r>
              <w:rPr>
                <w:rFonts w:hint="eastAsia"/>
                <w:szCs w:val="21"/>
              </w:rPr>
              <w:t>1821.44</w:t>
            </w:r>
          </w:p>
        </w:tc>
        <w:tc>
          <w:tcPr>
            <w:tcW w:w="792" w:type="dxa"/>
            <w:tcMar>
              <w:top w:w="28" w:type="dxa"/>
              <w:left w:w="28" w:type="dxa"/>
              <w:bottom w:w="28" w:type="dxa"/>
              <w:right w:w="28" w:type="dxa"/>
            </w:tcMar>
            <w:vAlign w:val="center"/>
          </w:tcPr>
          <w:p w:rsidR="00475650" w:rsidRDefault="00475650">
            <w:pPr>
              <w:snapToGrid w:val="0"/>
              <w:spacing w:line="240" w:lineRule="exact"/>
              <w:jc w:val="center"/>
              <w:rPr>
                <w:szCs w:val="21"/>
              </w:rPr>
            </w:pPr>
            <w:r>
              <w:rPr>
                <w:rFonts w:hint="eastAsia"/>
                <w:szCs w:val="21"/>
              </w:rPr>
              <w:t>41.81</w:t>
            </w:r>
          </w:p>
        </w:tc>
        <w:tc>
          <w:tcPr>
            <w:tcW w:w="1013" w:type="dxa"/>
            <w:tcMar>
              <w:top w:w="28" w:type="dxa"/>
              <w:left w:w="28" w:type="dxa"/>
              <w:bottom w:w="28" w:type="dxa"/>
              <w:right w:w="28" w:type="dxa"/>
            </w:tcMar>
            <w:vAlign w:val="center"/>
          </w:tcPr>
          <w:p w:rsidR="00475650" w:rsidRDefault="00475650">
            <w:pPr>
              <w:snapToGrid w:val="0"/>
              <w:spacing w:line="240" w:lineRule="exact"/>
              <w:jc w:val="center"/>
              <w:rPr>
                <w:szCs w:val="21"/>
              </w:rPr>
            </w:pPr>
            <w:r>
              <w:rPr>
                <w:rFonts w:hint="eastAsia"/>
                <w:szCs w:val="21"/>
              </w:rPr>
              <w:t>224.4</w:t>
            </w:r>
            <w:r>
              <w:rPr>
                <w:szCs w:val="21"/>
              </w:rPr>
              <w:t xml:space="preserve">mg/l </w:t>
            </w:r>
          </w:p>
        </w:tc>
        <w:tc>
          <w:tcPr>
            <w:tcW w:w="2100" w:type="dxa"/>
            <w:vMerge/>
            <w:vAlign w:val="center"/>
          </w:tcPr>
          <w:p w:rsidR="00475650" w:rsidRDefault="00475650">
            <w:pPr>
              <w:snapToGrid w:val="0"/>
              <w:spacing w:line="240" w:lineRule="exact"/>
              <w:jc w:val="center"/>
              <w:rPr>
                <w:szCs w:val="21"/>
              </w:rPr>
            </w:pPr>
          </w:p>
        </w:tc>
      </w:tr>
      <w:tr w:rsidR="00475650">
        <w:tc>
          <w:tcPr>
            <w:tcW w:w="693" w:type="dxa"/>
            <w:vMerge/>
            <w:vAlign w:val="center"/>
          </w:tcPr>
          <w:p w:rsidR="00475650" w:rsidRDefault="00475650">
            <w:pPr>
              <w:snapToGrid w:val="0"/>
              <w:spacing w:line="240" w:lineRule="exact"/>
              <w:ind w:leftChars="-50" w:left="-105" w:rightChars="-50" w:right="-105"/>
              <w:jc w:val="center"/>
              <w:rPr>
                <w:szCs w:val="21"/>
              </w:rPr>
            </w:pPr>
          </w:p>
        </w:tc>
        <w:tc>
          <w:tcPr>
            <w:tcW w:w="1887" w:type="dxa"/>
            <w:gridSpan w:val="3"/>
            <w:vAlign w:val="center"/>
          </w:tcPr>
          <w:p w:rsidR="00475650" w:rsidRDefault="00475650">
            <w:pPr>
              <w:snapToGrid w:val="0"/>
              <w:spacing w:line="240" w:lineRule="exact"/>
              <w:ind w:leftChars="-50" w:left="-105" w:rightChars="-50" w:right="-105"/>
              <w:jc w:val="center"/>
              <w:rPr>
                <w:szCs w:val="21"/>
              </w:rPr>
            </w:pPr>
            <w:r>
              <w:rPr>
                <w:rFonts w:hint="eastAsia"/>
                <w:szCs w:val="21"/>
              </w:rPr>
              <w:t>盐分</w:t>
            </w:r>
          </w:p>
        </w:tc>
        <w:tc>
          <w:tcPr>
            <w:tcW w:w="793" w:type="dxa"/>
            <w:vAlign w:val="center"/>
          </w:tcPr>
          <w:p w:rsidR="00475650" w:rsidRDefault="00475650">
            <w:pPr>
              <w:snapToGrid w:val="0"/>
              <w:spacing w:line="240" w:lineRule="exact"/>
              <w:ind w:leftChars="-50" w:left="-105" w:rightChars="-50" w:right="-105"/>
              <w:jc w:val="center"/>
              <w:rPr>
                <w:szCs w:val="21"/>
              </w:rPr>
            </w:pPr>
            <w:r>
              <w:rPr>
                <w:rFonts w:hint="eastAsia"/>
                <w:szCs w:val="21"/>
              </w:rPr>
              <w:t>3726.5</w:t>
            </w:r>
          </w:p>
        </w:tc>
        <w:tc>
          <w:tcPr>
            <w:tcW w:w="1181" w:type="dxa"/>
            <w:vAlign w:val="center"/>
          </w:tcPr>
          <w:p w:rsidR="00475650" w:rsidRDefault="00475650">
            <w:pPr>
              <w:jc w:val="center"/>
              <w:rPr>
                <w:szCs w:val="21"/>
              </w:rPr>
            </w:pPr>
            <w:r>
              <w:rPr>
                <w:rFonts w:hint="eastAsia"/>
                <w:szCs w:val="21"/>
              </w:rPr>
              <w:t>2%</w:t>
            </w:r>
          </w:p>
        </w:tc>
        <w:tc>
          <w:tcPr>
            <w:tcW w:w="899" w:type="dxa"/>
            <w:vAlign w:val="center"/>
          </w:tcPr>
          <w:p w:rsidR="00475650" w:rsidRDefault="00475650">
            <w:pPr>
              <w:snapToGrid w:val="0"/>
              <w:spacing w:line="240" w:lineRule="exact"/>
              <w:jc w:val="center"/>
              <w:rPr>
                <w:szCs w:val="21"/>
              </w:rPr>
            </w:pPr>
            <w:r>
              <w:rPr>
                <w:rFonts w:hint="eastAsia"/>
                <w:szCs w:val="21"/>
              </w:rPr>
              <w:t>3577.44</w:t>
            </w:r>
          </w:p>
        </w:tc>
        <w:tc>
          <w:tcPr>
            <w:tcW w:w="792" w:type="dxa"/>
            <w:tcMar>
              <w:top w:w="28" w:type="dxa"/>
              <w:left w:w="28" w:type="dxa"/>
              <w:bottom w:w="28" w:type="dxa"/>
              <w:right w:w="28" w:type="dxa"/>
            </w:tcMar>
            <w:vAlign w:val="center"/>
          </w:tcPr>
          <w:p w:rsidR="00475650" w:rsidRDefault="00475650">
            <w:pPr>
              <w:snapToGrid w:val="0"/>
              <w:spacing w:line="240" w:lineRule="exact"/>
              <w:jc w:val="center"/>
              <w:rPr>
                <w:szCs w:val="21"/>
              </w:rPr>
            </w:pPr>
            <w:r>
              <w:rPr>
                <w:rFonts w:hint="eastAsia"/>
                <w:szCs w:val="21"/>
              </w:rPr>
              <w:t>149.06</w:t>
            </w:r>
          </w:p>
        </w:tc>
        <w:tc>
          <w:tcPr>
            <w:tcW w:w="1013" w:type="dxa"/>
            <w:tcMar>
              <w:top w:w="28" w:type="dxa"/>
              <w:left w:w="28" w:type="dxa"/>
              <w:bottom w:w="28" w:type="dxa"/>
              <w:right w:w="28" w:type="dxa"/>
            </w:tcMar>
            <w:vAlign w:val="center"/>
          </w:tcPr>
          <w:p w:rsidR="00475650" w:rsidRDefault="00475650">
            <w:pPr>
              <w:snapToGrid w:val="0"/>
              <w:spacing w:line="240" w:lineRule="exact"/>
              <w:jc w:val="center"/>
              <w:rPr>
                <w:szCs w:val="21"/>
              </w:rPr>
            </w:pPr>
            <w:r>
              <w:rPr>
                <w:rFonts w:hint="eastAsia"/>
                <w:szCs w:val="21"/>
              </w:rPr>
              <w:t>0.08%</w:t>
            </w:r>
          </w:p>
        </w:tc>
        <w:tc>
          <w:tcPr>
            <w:tcW w:w="2100" w:type="dxa"/>
            <w:vMerge/>
            <w:vAlign w:val="center"/>
          </w:tcPr>
          <w:p w:rsidR="00475650" w:rsidRDefault="00475650">
            <w:pPr>
              <w:snapToGrid w:val="0"/>
              <w:spacing w:line="240" w:lineRule="exact"/>
              <w:jc w:val="center"/>
              <w:rPr>
                <w:szCs w:val="21"/>
              </w:rPr>
            </w:pPr>
          </w:p>
        </w:tc>
      </w:tr>
      <w:tr w:rsidR="00475650">
        <w:tc>
          <w:tcPr>
            <w:tcW w:w="693" w:type="dxa"/>
            <w:vMerge/>
            <w:vAlign w:val="center"/>
          </w:tcPr>
          <w:p w:rsidR="00475650" w:rsidRDefault="00475650">
            <w:pPr>
              <w:snapToGrid w:val="0"/>
              <w:spacing w:line="240" w:lineRule="exact"/>
              <w:ind w:leftChars="-50" w:left="-105" w:rightChars="-50" w:right="-105"/>
              <w:jc w:val="center"/>
              <w:rPr>
                <w:szCs w:val="21"/>
              </w:rPr>
            </w:pPr>
          </w:p>
        </w:tc>
        <w:tc>
          <w:tcPr>
            <w:tcW w:w="1887" w:type="dxa"/>
            <w:gridSpan w:val="3"/>
            <w:vAlign w:val="center"/>
          </w:tcPr>
          <w:p w:rsidR="00475650" w:rsidRDefault="00475650">
            <w:pPr>
              <w:snapToGrid w:val="0"/>
              <w:spacing w:line="240" w:lineRule="exact"/>
              <w:ind w:leftChars="-50" w:left="-105" w:rightChars="-50" w:right="-105"/>
              <w:jc w:val="center"/>
              <w:rPr>
                <w:szCs w:val="21"/>
              </w:rPr>
            </w:pPr>
            <w:r>
              <w:rPr>
                <w:rFonts w:hAnsi="宋体"/>
                <w:szCs w:val="21"/>
              </w:rPr>
              <w:t>氨氮</w:t>
            </w:r>
          </w:p>
        </w:tc>
        <w:tc>
          <w:tcPr>
            <w:tcW w:w="793" w:type="dxa"/>
            <w:vAlign w:val="center"/>
          </w:tcPr>
          <w:p w:rsidR="00475650" w:rsidRDefault="00475650">
            <w:pPr>
              <w:snapToGrid w:val="0"/>
              <w:spacing w:line="240" w:lineRule="exact"/>
              <w:ind w:leftChars="-50" w:left="-105" w:rightChars="-50" w:right="-105"/>
              <w:jc w:val="center"/>
              <w:rPr>
                <w:szCs w:val="21"/>
              </w:rPr>
            </w:pPr>
            <w:r>
              <w:rPr>
                <w:rFonts w:hint="eastAsia"/>
                <w:szCs w:val="21"/>
              </w:rPr>
              <w:t>19.94</w:t>
            </w:r>
          </w:p>
        </w:tc>
        <w:tc>
          <w:tcPr>
            <w:tcW w:w="1181" w:type="dxa"/>
            <w:vAlign w:val="center"/>
          </w:tcPr>
          <w:p w:rsidR="00475650" w:rsidRDefault="00475650">
            <w:pPr>
              <w:jc w:val="center"/>
            </w:pPr>
            <w:r>
              <w:rPr>
                <w:rFonts w:hint="eastAsia"/>
                <w:szCs w:val="21"/>
              </w:rPr>
              <w:t>107</w:t>
            </w:r>
            <w:r>
              <w:rPr>
                <w:szCs w:val="21"/>
              </w:rPr>
              <w:t xml:space="preserve"> mg/l </w:t>
            </w:r>
          </w:p>
        </w:tc>
        <w:tc>
          <w:tcPr>
            <w:tcW w:w="899" w:type="dxa"/>
            <w:vAlign w:val="center"/>
          </w:tcPr>
          <w:p w:rsidR="00475650" w:rsidRDefault="00475650">
            <w:pPr>
              <w:snapToGrid w:val="0"/>
              <w:spacing w:line="240" w:lineRule="exact"/>
              <w:jc w:val="center"/>
              <w:rPr>
                <w:szCs w:val="21"/>
              </w:rPr>
            </w:pPr>
            <w:r>
              <w:rPr>
                <w:rFonts w:hint="eastAsia"/>
                <w:szCs w:val="21"/>
              </w:rPr>
              <w:t>15.207</w:t>
            </w:r>
          </w:p>
        </w:tc>
        <w:tc>
          <w:tcPr>
            <w:tcW w:w="792" w:type="dxa"/>
            <w:tcMar>
              <w:top w:w="28" w:type="dxa"/>
              <w:left w:w="28" w:type="dxa"/>
              <w:bottom w:w="28" w:type="dxa"/>
              <w:right w:w="28" w:type="dxa"/>
            </w:tcMar>
            <w:vAlign w:val="center"/>
          </w:tcPr>
          <w:p w:rsidR="00475650" w:rsidRDefault="00475650">
            <w:pPr>
              <w:snapToGrid w:val="0"/>
              <w:spacing w:line="240" w:lineRule="exact"/>
              <w:jc w:val="center"/>
              <w:rPr>
                <w:szCs w:val="21"/>
              </w:rPr>
            </w:pPr>
            <w:r>
              <w:rPr>
                <w:rFonts w:hint="eastAsia"/>
                <w:szCs w:val="21"/>
              </w:rPr>
              <w:t>4.733</w:t>
            </w:r>
          </w:p>
        </w:tc>
        <w:tc>
          <w:tcPr>
            <w:tcW w:w="1013" w:type="dxa"/>
            <w:tcMar>
              <w:top w:w="28" w:type="dxa"/>
              <w:left w:w="28" w:type="dxa"/>
              <w:bottom w:w="28" w:type="dxa"/>
              <w:right w:w="28" w:type="dxa"/>
            </w:tcMar>
            <w:vAlign w:val="center"/>
          </w:tcPr>
          <w:p w:rsidR="00475650" w:rsidRDefault="00475650">
            <w:pPr>
              <w:snapToGrid w:val="0"/>
              <w:spacing w:line="240" w:lineRule="exact"/>
              <w:jc w:val="center"/>
              <w:rPr>
                <w:szCs w:val="21"/>
              </w:rPr>
            </w:pPr>
            <w:r>
              <w:rPr>
                <w:rFonts w:hint="eastAsia"/>
                <w:szCs w:val="21"/>
              </w:rPr>
              <w:t>25.4</w:t>
            </w:r>
            <w:r>
              <w:rPr>
                <w:szCs w:val="21"/>
              </w:rPr>
              <w:t xml:space="preserve">mg/l </w:t>
            </w:r>
          </w:p>
        </w:tc>
        <w:tc>
          <w:tcPr>
            <w:tcW w:w="2100" w:type="dxa"/>
            <w:vMerge/>
            <w:vAlign w:val="center"/>
          </w:tcPr>
          <w:p w:rsidR="00475650" w:rsidRDefault="00475650">
            <w:pPr>
              <w:snapToGrid w:val="0"/>
              <w:spacing w:line="240" w:lineRule="exact"/>
              <w:jc w:val="center"/>
              <w:rPr>
                <w:szCs w:val="21"/>
              </w:rPr>
            </w:pPr>
          </w:p>
        </w:tc>
      </w:tr>
      <w:tr w:rsidR="00475650">
        <w:trPr>
          <w:trHeight w:val="246"/>
        </w:trPr>
        <w:tc>
          <w:tcPr>
            <w:tcW w:w="693" w:type="dxa"/>
            <w:vMerge/>
            <w:vAlign w:val="center"/>
          </w:tcPr>
          <w:p w:rsidR="00475650" w:rsidRDefault="00475650">
            <w:pPr>
              <w:snapToGrid w:val="0"/>
              <w:spacing w:line="240" w:lineRule="exact"/>
              <w:ind w:leftChars="-50" w:left="-105" w:rightChars="-50" w:right="-105"/>
              <w:jc w:val="center"/>
              <w:rPr>
                <w:szCs w:val="21"/>
              </w:rPr>
            </w:pPr>
          </w:p>
        </w:tc>
        <w:tc>
          <w:tcPr>
            <w:tcW w:w="1887" w:type="dxa"/>
            <w:gridSpan w:val="3"/>
            <w:vAlign w:val="center"/>
          </w:tcPr>
          <w:p w:rsidR="00475650" w:rsidRDefault="00475650">
            <w:pPr>
              <w:snapToGrid w:val="0"/>
              <w:spacing w:line="240" w:lineRule="exact"/>
              <w:ind w:leftChars="-50" w:left="-105" w:rightChars="-50" w:right="-105"/>
              <w:jc w:val="center"/>
              <w:rPr>
                <w:szCs w:val="21"/>
              </w:rPr>
            </w:pPr>
            <w:r>
              <w:rPr>
                <w:rFonts w:hint="eastAsia"/>
                <w:szCs w:val="21"/>
              </w:rPr>
              <w:t>挥发酚</w:t>
            </w:r>
          </w:p>
        </w:tc>
        <w:tc>
          <w:tcPr>
            <w:tcW w:w="793" w:type="dxa"/>
            <w:vAlign w:val="center"/>
          </w:tcPr>
          <w:p w:rsidR="00475650" w:rsidRDefault="00475650">
            <w:pPr>
              <w:snapToGrid w:val="0"/>
              <w:spacing w:line="240" w:lineRule="exact"/>
              <w:ind w:leftChars="-50" w:left="-105" w:rightChars="-50" w:right="-105"/>
              <w:jc w:val="center"/>
              <w:rPr>
                <w:szCs w:val="21"/>
              </w:rPr>
            </w:pPr>
            <w:r>
              <w:rPr>
                <w:rFonts w:hint="eastAsia"/>
                <w:szCs w:val="21"/>
              </w:rPr>
              <w:t>21.8</w:t>
            </w:r>
          </w:p>
        </w:tc>
        <w:tc>
          <w:tcPr>
            <w:tcW w:w="1181" w:type="dxa"/>
            <w:vAlign w:val="center"/>
          </w:tcPr>
          <w:p w:rsidR="00475650" w:rsidRDefault="00475650">
            <w:pPr>
              <w:jc w:val="center"/>
            </w:pPr>
            <w:r>
              <w:rPr>
                <w:rFonts w:hint="eastAsia"/>
              </w:rPr>
              <w:t>117</w:t>
            </w:r>
            <w:r>
              <w:rPr>
                <w:szCs w:val="21"/>
              </w:rPr>
              <w:t xml:space="preserve"> mg/l</w:t>
            </w:r>
          </w:p>
        </w:tc>
        <w:tc>
          <w:tcPr>
            <w:tcW w:w="899" w:type="dxa"/>
            <w:vAlign w:val="center"/>
          </w:tcPr>
          <w:p w:rsidR="00475650" w:rsidRDefault="00475650">
            <w:pPr>
              <w:snapToGrid w:val="0"/>
              <w:spacing w:line="240" w:lineRule="exact"/>
              <w:jc w:val="center"/>
              <w:rPr>
                <w:szCs w:val="21"/>
              </w:rPr>
            </w:pPr>
            <w:r>
              <w:rPr>
                <w:rFonts w:hint="eastAsia"/>
                <w:szCs w:val="21"/>
              </w:rPr>
              <w:t>20.738</w:t>
            </w:r>
          </w:p>
        </w:tc>
        <w:tc>
          <w:tcPr>
            <w:tcW w:w="792" w:type="dxa"/>
            <w:tcMar>
              <w:top w:w="28" w:type="dxa"/>
              <w:left w:w="28" w:type="dxa"/>
              <w:bottom w:w="28" w:type="dxa"/>
              <w:right w:w="28" w:type="dxa"/>
            </w:tcMar>
            <w:vAlign w:val="center"/>
          </w:tcPr>
          <w:p w:rsidR="00475650" w:rsidRDefault="00475650">
            <w:pPr>
              <w:snapToGrid w:val="0"/>
              <w:spacing w:line="240" w:lineRule="exact"/>
              <w:jc w:val="center"/>
              <w:rPr>
                <w:szCs w:val="21"/>
              </w:rPr>
            </w:pPr>
            <w:r>
              <w:rPr>
                <w:rFonts w:hint="eastAsia"/>
                <w:szCs w:val="21"/>
              </w:rPr>
              <w:t>1.062</w:t>
            </w:r>
          </w:p>
        </w:tc>
        <w:tc>
          <w:tcPr>
            <w:tcW w:w="1013" w:type="dxa"/>
            <w:tcMar>
              <w:top w:w="28" w:type="dxa"/>
              <w:left w:w="28" w:type="dxa"/>
              <w:bottom w:w="28" w:type="dxa"/>
              <w:right w:w="28" w:type="dxa"/>
            </w:tcMar>
            <w:vAlign w:val="center"/>
          </w:tcPr>
          <w:p w:rsidR="00475650" w:rsidRDefault="00475650">
            <w:pPr>
              <w:snapToGrid w:val="0"/>
              <w:spacing w:line="240" w:lineRule="exact"/>
              <w:jc w:val="center"/>
              <w:rPr>
                <w:szCs w:val="21"/>
              </w:rPr>
            </w:pPr>
            <w:r>
              <w:rPr>
                <w:rFonts w:hint="eastAsia"/>
                <w:szCs w:val="21"/>
              </w:rPr>
              <w:t>5.7</w:t>
            </w:r>
            <w:r>
              <w:rPr>
                <w:szCs w:val="21"/>
              </w:rPr>
              <w:t xml:space="preserve"> mg/l</w:t>
            </w:r>
          </w:p>
        </w:tc>
        <w:tc>
          <w:tcPr>
            <w:tcW w:w="2100" w:type="dxa"/>
            <w:vMerge/>
            <w:vAlign w:val="center"/>
          </w:tcPr>
          <w:p w:rsidR="00475650" w:rsidRDefault="00475650">
            <w:pPr>
              <w:snapToGrid w:val="0"/>
              <w:spacing w:line="240" w:lineRule="exact"/>
              <w:jc w:val="center"/>
              <w:rPr>
                <w:szCs w:val="21"/>
              </w:rPr>
            </w:pPr>
          </w:p>
        </w:tc>
      </w:tr>
      <w:tr w:rsidR="00475650">
        <w:trPr>
          <w:trHeight w:val="246"/>
        </w:trPr>
        <w:tc>
          <w:tcPr>
            <w:tcW w:w="693" w:type="dxa"/>
            <w:vMerge/>
            <w:vAlign w:val="center"/>
          </w:tcPr>
          <w:p w:rsidR="00475650" w:rsidRDefault="00475650">
            <w:pPr>
              <w:snapToGrid w:val="0"/>
              <w:spacing w:line="240" w:lineRule="exact"/>
              <w:ind w:leftChars="-50" w:left="-105" w:rightChars="-50" w:right="-105"/>
              <w:jc w:val="center"/>
              <w:rPr>
                <w:szCs w:val="21"/>
              </w:rPr>
            </w:pPr>
          </w:p>
        </w:tc>
        <w:tc>
          <w:tcPr>
            <w:tcW w:w="1887" w:type="dxa"/>
            <w:gridSpan w:val="3"/>
            <w:vAlign w:val="center"/>
          </w:tcPr>
          <w:p w:rsidR="00475650" w:rsidRDefault="00475650">
            <w:pPr>
              <w:snapToGrid w:val="0"/>
              <w:spacing w:line="240" w:lineRule="exact"/>
              <w:ind w:leftChars="-50" w:left="-105" w:rightChars="-50" w:right="-105"/>
              <w:jc w:val="center"/>
              <w:rPr>
                <w:szCs w:val="21"/>
              </w:rPr>
            </w:pPr>
            <w:r>
              <w:rPr>
                <w:rFonts w:hint="eastAsia"/>
                <w:szCs w:val="21"/>
              </w:rPr>
              <w:t>色度</w:t>
            </w:r>
          </w:p>
        </w:tc>
        <w:tc>
          <w:tcPr>
            <w:tcW w:w="793" w:type="dxa"/>
            <w:vAlign w:val="center"/>
          </w:tcPr>
          <w:p w:rsidR="00475650" w:rsidRDefault="00475650">
            <w:pPr>
              <w:snapToGrid w:val="0"/>
              <w:spacing w:line="240" w:lineRule="exact"/>
              <w:ind w:leftChars="-50" w:left="-105" w:rightChars="-50" w:right="-105"/>
              <w:jc w:val="center"/>
              <w:rPr>
                <w:szCs w:val="21"/>
              </w:rPr>
            </w:pPr>
            <w:r>
              <w:rPr>
                <w:rFonts w:hint="eastAsia"/>
                <w:szCs w:val="21"/>
              </w:rPr>
              <w:t>/</w:t>
            </w:r>
          </w:p>
        </w:tc>
        <w:tc>
          <w:tcPr>
            <w:tcW w:w="1181" w:type="dxa"/>
            <w:vAlign w:val="center"/>
          </w:tcPr>
          <w:p w:rsidR="00475650" w:rsidRDefault="00475650">
            <w:pPr>
              <w:jc w:val="center"/>
            </w:pPr>
            <w:r>
              <w:rPr>
                <w:rFonts w:hint="eastAsia"/>
              </w:rPr>
              <w:t>25000</w:t>
            </w:r>
            <w:r>
              <w:rPr>
                <w:rFonts w:hint="eastAsia"/>
              </w:rPr>
              <w:t>倍</w:t>
            </w:r>
          </w:p>
        </w:tc>
        <w:tc>
          <w:tcPr>
            <w:tcW w:w="899" w:type="dxa"/>
            <w:vAlign w:val="center"/>
          </w:tcPr>
          <w:p w:rsidR="00475650" w:rsidRDefault="00475650">
            <w:pPr>
              <w:snapToGrid w:val="0"/>
              <w:spacing w:line="240" w:lineRule="exact"/>
              <w:jc w:val="center"/>
              <w:rPr>
                <w:szCs w:val="21"/>
              </w:rPr>
            </w:pPr>
            <w:r>
              <w:rPr>
                <w:rFonts w:hint="eastAsia"/>
                <w:szCs w:val="21"/>
              </w:rPr>
              <w:t>/</w:t>
            </w:r>
          </w:p>
        </w:tc>
        <w:tc>
          <w:tcPr>
            <w:tcW w:w="792" w:type="dxa"/>
            <w:tcMar>
              <w:top w:w="28" w:type="dxa"/>
              <w:left w:w="28" w:type="dxa"/>
              <w:bottom w:w="28" w:type="dxa"/>
              <w:right w:w="28" w:type="dxa"/>
            </w:tcMar>
            <w:vAlign w:val="center"/>
          </w:tcPr>
          <w:p w:rsidR="00475650" w:rsidRDefault="00475650">
            <w:pPr>
              <w:snapToGrid w:val="0"/>
              <w:spacing w:line="240" w:lineRule="exact"/>
              <w:jc w:val="center"/>
              <w:rPr>
                <w:szCs w:val="21"/>
              </w:rPr>
            </w:pPr>
            <w:r>
              <w:rPr>
                <w:rFonts w:hint="eastAsia"/>
                <w:szCs w:val="21"/>
              </w:rPr>
              <w:t>/</w:t>
            </w:r>
          </w:p>
        </w:tc>
        <w:tc>
          <w:tcPr>
            <w:tcW w:w="1013" w:type="dxa"/>
            <w:tcMar>
              <w:top w:w="28" w:type="dxa"/>
              <w:left w:w="28" w:type="dxa"/>
              <w:bottom w:w="28" w:type="dxa"/>
              <w:right w:w="28" w:type="dxa"/>
            </w:tcMar>
            <w:vAlign w:val="center"/>
          </w:tcPr>
          <w:p w:rsidR="00475650" w:rsidRDefault="00475650">
            <w:pPr>
              <w:snapToGrid w:val="0"/>
              <w:spacing w:line="240" w:lineRule="exact"/>
              <w:jc w:val="center"/>
              <w:rPr>
                <w:szCs w:val="21"/>
              </w:rPr>
            </w:pPr>
            <w:r>
              <w:rPr>
                <w:rFonts w:hint="eastAsia"/>
                <w:szCs w:val="21"/>
              </w:rPr>
              <w:t>106</w:t>
            </w:r>
            <w:r>
              <w:rPr>
                <w:rFonts w:hint="eastAsia"/>
                <w:szCs w:val="21"/>
              </w:rPr>
              <w:t>倍</w:t>
            </w:r>
          </w:p>
        </w:tc>
        <w:tc>
          <w:tcPr>
            <w:tcW w:w="2100" w:type="dxa"/>
            <w:vMerge/>
            <w:vAlign w:val="center"/>
          </w:tcPr>
          <w:p w:rsidR="00475650" w:rsidRDefault="00475650">
            <w:pPr>
              <w:snapToGrid w:val="0"/>
              <w:spacing w:line="240" w:lineRule="exact"/>
              <w:jc w:val="center"/>
              <w:rPr>
                <w:szCs w:val="21"/>
              </w:rPr>
            </w:pPr>
          </w:p>
        </w:tc>
      </w:tr>
      <w:tr w:rsidR="00475650">
        <w:tc>
          <w:tcPr>
            <w:tcW w:w="693" w:type="dxa"/>
            <w:vMerge/>
            <w:vAlign w:val="center"/>
          </w:tcPr>
          <w:p w:rsidR="00475650" w:rsidRDefault="00475650">
            <w:pPr>
              <w:snapToGrid w:val="0"/>
              <w:spacing w:line="240" w:lineRule="exact"/>
              <w:ind w:leftChars="-50" w:left="-105" w:rightChars="-50" w:right="-105"/>
              <w:jc w:val="center"/>
              <w:rPr>
                <w:szCs w:val="21"/>
              </w:rPr>
            </w:pPr>
          </w:p>
        </w:tc>
        <w:tc>
          <w:tcPr>
            <w:tcW w:w="1887" w:type="dxa"/>
            <w:gridSpan w:val="3"/>
            <w:vAlign w:val="center"/>
          </w:tcPr>
          <w:p w:rsidR="00475650" w:rsidRDefault="00475650">
            <w:pPr>
              <w:snapToGrid w:val="0"/>
              <w:spacing w:line="240" w:lineRule="exact"/>
              <w:ind w:leftChars="-50" w:left="-105" w:rightChars="-50" w:right="-105"/>
              <w:jc w:val="center"/>
              <w:rPr>
                <w:szCs w:val="21"/>
              </w:rPr>
            </w:pPr>
            <w:r>
              <w:rPr>
                <w:szCs w:val="21"/>
              </w:rPr>
              <w:t>SS</w:t>
            </w:r>
          </w:p>
        </w:tc>
        <w:tc>
          <w:tcPr>
            <w:tcW w:w="793" w:type="dxa"/>
            <w:vAlign w:val="center"/>
          </w:tcPr>
          <w:p w:rsidR="00475650" w:rsidRDefault="00475650">
            <w:pPr>
              <w:snapToGrid w:val="0"/>
              <w:spacing w:line="240" w:lineRule="exact"/>
              <w:ind w:leftChars="-50" w:left="-105" w:rightChars="-50" w:right="-105"/>
              <w:jc w:val="center"/>
              <w:rPr>
                <w:szCs w:val="21"/>
              </w:rPr>
            </w:pPr>
            <w:r>
              <w:rPr>
                <w:rFonts w:hint="eastAsia"/>
                <w:szCs w:val="21"/>
              </w:rPr>
              <w:t>93.2</w:t>
            </w:r>
          </w:p>
        </w:tc>
        <w:tc>
          <w:tcPr>
            <w:tcW w:w="1181" w:type="dxa"/>
            <w:vAlign w:val="center"/>
          </w:tcPr>
          <w:p w:rsidR="00475650" w:rsidRDefault="00475650">
            <w:pPr>
              <w:jc w:val="center"/>
            </w:pPr>
            <w:r>
              <w:rPr>
                <w:rFonts w:hint="eastAsia"/>
                <w:szCs w:val="21"/>
              </w:rPr>
              <w:t>500</w:t>
            </w:r>
            <w:r>
              <w:rPr>
                <w:szCs w:val="21"/>
              </w:rPr>
              <w:t xml:space="preserve">mg/l </w:t>
            </w:r>
          </w:p>
        </w:tc>
        <w:tc>
          <w:tcPr>
            <w:tcW w:w="899" w:type="dxa"/>
            <w:vAlign w:val="center"/>
          </w:tcPr>
          <w:p w:rsidR="00475650" w:rsidRDefault="00475650">
            <w:pPr>
              <w:snapToGrid w:val="0"/>
              <w:spacing w:line="240" w:lineRule="exact"/>
              <w:jc w:val="center"/>
              <w:rPr>
                <w:szCs w:val="21"/>
              </w:rPr>
            </w:pPr>
          </w:p>
        </w:tc>
        <w:tc>
          <w:tcPr>
            <w:tcW w:w="792" w:type="dxa"/>
            <w:tcMar>
              <w:top w:w="28" w:type="dxa"/>
              <w:left w:w="28" w:type="dxa"/>
              <w:bottom w:w="28" w:type="dxa"/>
              <w:right w:w="28" w:type="dxa"/>
            </w:tcMar>
            <w:vAlign w:val="center"/>
          </w:tcPr>
          <w:p w:rsidR="00475650" w:rsidRDefault="00475650">
            <w:pPr>
              <w:snapToGrid w:val="0"/>
              <w:spacing w:line="240" w:lineRule="exact"/>
              <w:jc w:val="center"/>
              <w:rPr>
                <w:szCs w:val="21"/>
              </w:rPr>
            </w:pPr>
            <w:r>
              <w:rPr>
                <w:rFonts w:hint="eastAsia"/>
                <w:szCs w:val="21"/>
              </w:rPr>
              <w:t>4.84</w:t>
            </w:r>
          </w:p>
        </w:tc>
        <w:tc>
          <w:tcPr>
            <w:tcW w:w="1013" w:type="dxa"/>
            <w:tcMar>
              <w:top w:w="28" w:type="dxa"/>
              <w:left w:w="28" w:type="dxa"/>
              <w:bottom w:w="28" w:type="dxa"/>
              <w:right w:w="28" w:type="dxa"/>
            </w:tcMar>
            <w:vAlign w:val="center"/>
          </w:tcPr>
          <w:p w:rsidR="00475650" w:rsidRDefault="00475650">
            <w:pPr>
              <w:snapToGrid w:val="0"/>
              <w:spacing w:line="240" w:lineRule="exact"/>
              <w:jc w:val="center"/>
              <w:rPr>
                <w:szCs w:val="21"/>
              </w:rPr>
            </w:pPr>
            <w:r>
              <w:rPr>
                <w:rFonts w:hint="eastAsia"/>
                <w:szCs w:val="21"/>
              </w:rPr>
              <w:t>26</w:t>
            </w:r>
            <w:r>
              <w:rPr>
                <w:szCs w:val="21"/>
              </w:rPr>
              <w:t xml:space="preserve"> mg/l </w:t>
            </w:r>
          </w:p>
        </w:tc>
        <w:tc>
          <w:tcPr>
            <w:tcW w:w="2100" w:type="dxa"/>
            <w:vMerge/>
            <w:vAlign w:val="center"/>
          </w:tcPr>
          <w:p w:rsidR="00475650" w:rsidRDefault="00475650">
            <w:pPr>
              <w:snapToGrid w:val="0"/>
              <w:spacing w:line="240" w:lineRule="exact"/>
              <w:jc w:val="center"/>
              <w:rPr>
                <w:szCs w:val="21"/>
              </w:rPr>
            </w:pPr>
          </w:p>
        </w:tc>
      </w:tr>
      <w:tr w:rsidR="00475650">
        <w:tc>
          <w:tcPr>
            <w:tcW w:w="693" w:type="dxa"/>
            <w:vMerge/>
            <w:vAlign w:val="center"/>
          </w:tcPr>
          <w:p w:rsidR="00475650" w:rsidRDefault="00475650">
            <w:pPr>
              <w:snapToGrid w:val="0"/>
              <w:spacing w:line="240" w:lineRule="exact"/>
              <w:ind w:leftChars="-50" w:left="-105" w:rightChars="-50" w:right="-105"/>
              <w:jc w:val="center"/>
              <w:rPr>
                <w:szCs w:val="21"/>
              </w:rPr>
            </w:pPr>
          </w:p>
        </w:tc>
        <w:tc>
          <w:tcPr>
            <w:tcW w:w="1887" w:type="dxa"/>
            <w:gridSpan w:val="3"/>
            <w:vAlign w:val="center"/>
          </w:tcPr>
          <w:p w:rsidR="00475650" w:rsidRDefault="00475650">
            <w:pPr>
              <w:snapToGrid w:val="0"/>
              <w:spacing w:line="240" w:lineRule="exact"/>
              <w:ind w:leftChars="-50" w:left="-105" w:rightChars="-50" w:right="-105"/>
              <w:jc w:val="center"/>
              <w:rPr>
                <w:szCs w:val="21"/>
              </w:rPr>
            </w:pPr>
            <w:r>
              <w:rPr>
                <w:rFonts w:hAnsi="宋体"/>
                <w:szCs w:val="21"/>
              </w:rPr>
              <w:t>生活废水量（万</w:t>
            </w:r>
            <w:r>
              <w:rPr>
                <w:szCs w:val="21"/>
              </w:rPr>
              <w:t>t/a</w:t>
            </w:r>
            <w:r>
              <w:rPr>
                <w:rFonts w:hAnsi="宋体"/>
                <w:szCs w:val="21"/>
              </w:rPr>
              <w:t>）</w:t>
            </w:r>
          </w:p>
        </w:tc>
        <w:tc>
          <w:tcPr>
            <w:tcW w:w="793" w:type="dxa"/>
            <w:vAlign w:val="center"/>
          </w:tcPr>
          <w:p w:rsidR="00475650" w:rsidRDefault="00475650">
            <w:pPr>
              <w:snapToGrid w:val="0"/>
              <w:spacing w:line="240" w:lineRule="exact"/>
              <w:ind w:leftChars="-50" w:left="-105" w:rightChars="-50" w:right="-105"/>
              <w:jc w:val="center"/>
              <w:rPr>
                <w:szCs w:val="21"/>
              </w:rPr>
            </w:pPr>
            <w:r>
              <w:rPr>
                <w:szCs w:val="21"/>
              </w:rPr>
              <w:t>0.06</w:t>
            </w:r>
          </w:p>
        </w:tc>
        <w:tc>
          <w:tcPr>
            <w:tcW w:w="1181" w:type="dxa"/>
            <w:vAlign w:val="center"/>
          </w:tcPr>
          <w:p w:rsidR="00475650" w:rsidRDefault="00475650">
            <w:pPr>
              <w:snapToGrid w:val="0"/>
              <w:spacing w:line="240" w:lineRule="exact"/>
              <w:jc w:val="center"/>
              <w:rPr>
                <w:szCs w:val="21"/>
              </w:rPr>
            </w:pPr>
            <w:r>
              <w:rPr>
                <w:szCs w:val="21"/>
              </w:rPr>
              <w:t>/</w:t>
            </w:r>
          </w:p>
        </w:tc>
        <w:tc>
          <w:tcPr>
            <w:tcW w:w="899" w:type="dxa"/>
            <w:vAlign w:val="center"/>
          </w:tcPr>
          <w:p w:rsidR="00475650" w:rsidRDefault="00475650">
            <w:pPr>
              <w:snapToGrid w:val="0"/>
              <w:spacing w:line="240" w:lineRule="exact"/>
              <w:jc w:val="center"/>
              <w:rPr>
                <w:szCs w:val="21"/>
              </w:rPr>
            </w:pPr>
            <w:r>
              <w:rPr>
                <w:szCs w:val="21"/>
              </w:rPr>
              <w:t>/</w:t>
            </w:r>
          </w:p>
        </w:tc>
        <w:tc>
          <w:tcPr>
            <w:tcW w:w="792" w:type="dxa"/>
            <w:tcMar>
              <w:top w:w="28" w:type="dxa"/>
              <w:left w:w="28" w:type="dxa"/>
              <w:bottom w:w="28" w:type="dxa"/>
              <w:right w:w="28" w:type="dxa"/>
            </w:tcMar>
            <w:vAlign w:val="center"/>
          </w:tcPr>
          <w:p w:rsidR="00475650" w:rsidRDefault="00475650">
            <w:pPr>
              <w:snapToGrid w:val="0"/>
              <w:spacing w:line="240" w:lineRule="exact"/>
              <w:jc w:val="center"/>
              <w:rPr>
                <w:szCs w:val="21"/>
              </w:rPr>
            </w:pPr>
            <w:r>
              <w:rPr>
                <w:szCs w:val="21"/>
              </w:rPr>
              <w:t>0.06</w:t>
            </w:r>
          </w:p>
        </w:tc>
        <w:tc>
          <w:tcPr>
            <w:tcW w:w="1013" w:type="dxa"/>
            <w:tcMar>
              <w:top w:w="28" w:type="dxa"/>
              <w:left w:w="28" w:type="dxa"/>
              <w:bottom w:w="28" w:type="dxa"/>
              <w:right w:w="28" w:type="dxa"/>
            </w:tcMar>
            <w:vAlign w:val="center"/>
          </w:tcPr>
          <w:p w:rsidR="00475650" w:rsidRDefault="00475650">
            <w:pPr>
              <w:snapToGrid w:val="0"/>
              <w:spacing w:line="240" w:lineRule="exact"/>
              <w:jc w:val="center"/>
              <w:rPr>
                <w:szCs w:val="21"/>
              </w:rPr>
            </w:pPr>
            <w:r>
              <w:rPr>
                <w:szCs w:val="21"/>
              </w:rPr>
              <w:t>/</w:t>
            </w:r>
          </w:p>
        </w:tc>
        <w:tc>
          <w:tcPr>
            <w:tcW w:w="2100" w:type="dxa"/>
            <w:vMerge w:val="restart"/>
            <w:vAlign w:val="center"/>
          </w:tcPr>
          <w:p w:rsidR="00475650" w:rsidRDefault="00475650">
            <w:pPr>
              <w:snapToGrid w:val="0"/>
              <w:spacing w:line="240" w:lineRule="exact"/>
              <w:jc w:val="center"/>
              <w:rPr>
                <w:rFonts w:hAnsi="宋体"/>
                <w:szCs w:val="21"/>
              </w:rPr>
            </w:pPr>
            <w:r>
              <w:rPr>
                <w:rFonts w:hAnsi="宋体"/>
                <w:szCs w:val="21"/>
              </w:rPr>
              <w:t>送园区污水处理厂处理</w:t>
            </w:r>
          </w:p>
        </w:tc>
      </w:tr>
      <w:tr w:rsidR="00475650">
        <w:tc>
          <w:tcPr>
            <w:tcW w:w="693" w:type="dxa"/>
            <w:vMerge/>
            <w:vAlign w:val="center"/>
          </w:tcPr>
          <w:p w:rsidR="00475650" w:rsidRDefault="00475650">
            <w:pPr>
              <w:snapToGrid w:val="0"/>
              <w:spacing w:line="240" w:lineRule="exact"/>
              <w:ind w:leftChars="-50" w:left="-105" w:rightChars="-50" w:right="-105"/>
              <w:jc w:val="center"/>
              <w:rPr>
                <w:szCs w:val="21"/>
              </w:rPr>
            </w:pPr>
          </w:p>
        </w:tc>
        <w:tc>
          <w:tcPr>
            <w:tcW w:w="1887" w:type="dxa"/>
            <w:gridSpan w:val="3"/>
            <w:vAlign w:val="center"/>
          </w:tcPr>
          <w:p w:rsidR="00475650" w:rsidRDefault="00475650">
            <w:pPr>
              <w:snapToGrid w:val="0"/>
              <w:spacing w:line="240" w:lineRule="exact"/>
              <w:ind w:leftChars="-50" w:left="-105" w:rightChars="-50" w:right="-105"/>
              <w:jc w:val="center"/>
              <w:rPr>
                <w:szCs w:val="21"/>
              </w:rPr>
            </w:pPr>
            <w:r>
              <w:rPr>
                <w:szCs w:val="21"/>
              </w:rPr>
              <w:t>COD</w:t>
            </w:r>
          </w:p>
        </w:tc>
        <w:tc>
          <w:tcPr>
            <w:tcW w:w="793" w:type="dxa"/>
            <w:vAlign w:val="center"/>
          </w:tcPr>
          <w:p w:rsidR="00475650" w:rsidRDefault="00475650">
            <w:pPr>
              <w:snapToGrid w:val="0"/>
              <w:spacing w:line="240" w:lineRule="exact"/>
              <w:ind w:leftChars="-50" w:left="-105" w:rightChars="-50" w:right="-105"/>
              <w:jc w:val="center"/>
              <w:rPr>
                <w:szCs w:val="21"/>
              </w:rPr>
            </w:pPr>
            <w:r>
              <w:rPr>
                <w:rFonts w:hint="eastAsia"/>
                <w:szCs w:val="21"/>
              </w:rPr>
              <w:t>0.18</w:t>
            </w:r>
          </w:p>
        </w:tc>
        <w:tc>
          <w:tcPr>
            <w:tcW w:w="1181" w:type="dxa"/>
            <w:vAlign w:val="center"/>
          </w:tcPr>
          <w:p w:rsidR="00475650" w:rsidRDefault="00475650">
            <w:pPr>
              <w:jc w:val="center"/>
            </w:pPr>
            <w:r>
              <w:rPr>
                <w:rFonts w:hint="eastAsia"/>
                <w:szCs w:val="21"/>
              </w:rPr>
              <w:t>300</w:t>
            </w:r>
            <w:r>
              <w:rPr>
                <w:szCs w:val="21"/>
              </w:rPr>
              <w:t xml:space="preserve"> mg/l </w:t>
            </w:r>
          </w:p>
        </w:tc>
        <w:tc>
          <w:tcPr>
            <w:tcW w:w="899" w:type="dxa"/>
            <w:vAlign w:val="center"/>
          </w:tcPr>
          <w:p w:rsidR="00475650" w:rsidRDefault="00475650">
            <w:pPr>
              <w:snapToGrid w:val="0"/>
              <w:spacing w:line="240" w:lineRule="exact"/>
              <w:jc w:val="center"/>
              <w:rPr>
                <w:szCs w:val="21"/>
              </w:rPr>
            </w:pPr>
            <w:r>
              <w:rPr>
                <w:szCs w:val="21"/>
              </w:rPr>
              <w:t>/</w:t>
            </w:r>
          </w:p>
        </w:tc>
        <w:tc>
          <w:tcPr>
            <w:tcW w:w="792" w:type="dxa"/>
            <w:tcMar>
              <w:top w:w="28" w:type="dxa"/>
              <w:left w:w="28" w:type="dxa"/>
              <w:bottom w:w="28" w:type="dxa"/>
              <w:right w:w="28" w:type="dxa"/>
            </w:tcMar>
            <w:vAlign w:val="center"/>
          </w:tcPr>
          <w:p w:rsidR="00475650" w:rsidRDefault="00475650">
            <w:pPr>
              <w:snapToGrid w:val="0"/>
              <w:spacing w:line="240" w:lineRule="exact"/>
              <w:ind w:leftChars="-50" w:left="-105" w:rightChars="-50" w:right="-105"/>
              <w:jc w:val="center"/>
              <w:rPr>
                <w:szCs w:val="21"/>
              </w:rPr>
            </w:pPr>
            <w:r>
              <w:rPr>
                <w:rFonts w:hint="eastAsia"/>
                <w:szCs w:val="21"/>
              </w:rPr>
              <w:t>0.18</w:t>
            </w:r>
          </w:p>
        </w:tc>
        <w:tc>
          <w:tcPr>
            <w:tcW w:w="1013" w:type="dxa"/>
            <w:tcMar>
              <w:top w:w="28" w:type="dxa"/>
              <w:left w:w="28" w:type="dxa"/>
              <w:bottom w:w="28" w:type="dxa"/>
              <w:right w:w="28" w:type="dxa"/>
            </w:tcMar>
            <w:vAlign w:val="center"/>
          </w:tcPr>
          <w:p w:rsidR="00475650" w:rsidRDefault="00475650">
            <w:pPr>
              <w:jc w:val="center"/>
            </w:pPr>
            <w:r>
              <w:rPr>
                <w:rFonts w:hint="eastAsia"/>
                <w:szCs w:val="21"/>
              </w:rPr>
              <w:t>300</w:t>
            </w:r>
            <w:r>
              <w:rPr>
                <w:szCs w:val="21"/>
              </w:rPr>
              <w:t xml:space="preserve"> mg/l </w:t>
            </w:r>
          </w:p>
        </w:tc>
        <w:tc>
          <w:tcPr>
            <w:tcW w:w="2100" w:type="dxa"/>
            <w:vMerge/>
            <w:vAlign w:val="center"/>
          </w:tcPr>
          <w:p w:rsidR="00475650" w:rsidRDefault="00475650">
            <w:pPr>
              <w:snapToGrid w:val="0"/>
              <w:spacing w:line="240" w:lineRule="exact"/>
              <w:jc w:val="center"/>
              <w:rPr>
                <w:rFonts w:hAnsi="宋体"/>
                <w:szCs w:val="21"/>
              </w:rPr>
            </w:pPr>
          </w:p>
        </w:tc>
      </w:tr>
      <w:tr w:rsidR="00475650">
        <w:tc>
          <w:tcPr>
            <w:tcW w:w="693" w:type="dxa"/>
            <w:vMerge/>
            <w:vAlign w:val="center"/>
          </w:tcPr>
          <w:p w:rsidR="00475650" w:rsidRDefault="00475650">
            <w:pPr>
              <w:snapToGrid w:val="0"/>
              <w:spacing w:line="240" w:lineRule="exact"/>
              <w:ind w:leftChars="-50" w:left="-105" w:rightChars="-50" w:right="-105"/>
              <w:jc w:val="center"/>
              <w:rPr>
                <w:szCs w:val="21"/>
              </w:rPr>
            </w:pPr>
          </w:p>
        </w:tc>
        <w:tc>
          <w:tcPr>
            <w:tcW w:w="1887" w:type="dxa"/>
            <w:gridSpan w:val="3"/>
            <w:vAlign w:val="center"/>
          </w:tcPr>
          <w:p w:rsidR="00475650" w:rsidRDefault="00475650">
            <w:pPr>
              <w:snapToGrid w:val="0"/>
              <w:spacing w:line="240" w:lineRule="exact"/>
              <w:ind w:leftChars="-50" w:left="-105" w:rightChars="-50" w:right="-105"/>
              <w:jc w:val="center"/>
              <w:rPr>
                <w:szCs w:val="21"/>
              </w:rPr>
            </w:pPr>
            <w:r>
              <w:rPr>
                <w:rFonts w:hAnsi="宋体"/>
                <w:szCs w:val="21"/>
              </w:rPr>
              <w:t>氨氮</w:t>
            </w:r>
          </w:p>
        </w:tc>
        <w:tc>
          <w:tcPr>
            <w:tcW w:w="793" w:type="dxa"/>
            <w:vAlign w:val="center"/>
          </w:tcPr>
          <w:p w:rsidR="00475650" w:rsidRDefault="00475650">
            <w:pPr>
              <w:snapToGrid w:val="0"/>
              <w:spacing w:line="240" w:lineRule="exact"/>
              <w:ind w:leftChars="-50" w:left="-105" w:rightChars="-50" w:right="-105"/>
              <w:jc w:val="center"/>
              <w:rPr>
                <w:szCs w:val="21"/>
              </w:rPr>
            </w:pPr>
            <w:r>
              <w:rPr>
                <w:szCs w:val="21"/>
              </w:rPr>
              <w:t>0.0</w:t>
            </w:r>
            <w:r>
              <w:rPr>
                <w:rFonts w:hint="eastAsia"/>
                <w:szCs w:val="21"/>
              </w:rPr>
              <w:t>12</w:t>
            </w:r>
          </w:p>
        </w:tc>
        <w:tc>
          <w:tcPr>
            <w:tcW w:w="1181" w:type="dxa"/>
            <w:vAlign w:val="center"/>
          </w:tcPr>
          <w:p w:rsidR="00475650" w:rsidRDefault="00475650">
            <w:pPr>
              <w:jc w:val="center"/>
            </w:pPr>
            <w:r>
              <w:rPr>
                <w:rFonts w:hint="eastAsia"/>
                <w:szCs w:val="21"/>
              </w:rPr>
              <w:t>20</w:t>
            </w:r>
            <w:r>
              <w:rPr>
                <w:szCs w:val="21"/>
              </w:rPr>
              <w:t xml:space="preserve"> mg/l</w:t>
            </w:r>
          </w:p>
        </w:tc>
        <w:tc>
          <w:tcPr>
            <w:tcW w:w="899" w:type="dxa"/>
            <w:vAlign w:val="center"/>
          </w:tcPr>
          <w:p w:rsidR="00475650" w:rsidRDefault="00475650">
            <w:pPr>
              <w:snapToGrid w:val="0"/>
              <w:spacing w:line="240" w:lineRule="exact"/>
              <w:jc w:val="center"/>
              <w:rPr>
                <w:szCs w:val="21"/>
              </w:rPr>
            </w:pPr>
            <w:r>
              <w:rPr>
                <w:szCs w:val="21"/>
              </w:rPr>
              <w:t>/</w:t>
            </w:r>
          </w:p>
        </w:tc>
        <w:tc>
          <w:tcPr>
            <w:tcW w:w="792" w:type="dxa"/>
            <w:tcMar>
              <w:top w:w="28" w:type="dxa"/>
              <w:left w:w="28" w:type="dxa"/>
              <w:bottom w:w="28" w:type="dxa"/>
              <w:right w:w="28" w:type="dxa"/>
            </w:tcMar>
            <w:vAlign w:val="center"/>
          </w:tcPr>
          <w:p w:rsidR="00475650" w:rsidRDefault="00475650">
            <w:pPr>
              <w:snapToGrid w:val="0"/>
              <w:spacing w:line="240" w:lineRule="exact"/>
              <w:ind w:leftChars="-50" w:left="-105" w:rightChars="-50" w:right="-105"/>
              <w:jc w:val="center"/>
              <w:rPr>
                <w:szCs w:val="21"/>
              </w:rPr>
            </w:pPr>
            <w:r>
              <w:rPr>
                <w:szCs w:val="21"/>
              </w:rPr>
              <w:t>0.0</w:t>
            </w:r>
            <w:r>
              <w:rPr>
                <w:rFonts w:hint="eastAsia"/>
                <w:szCs w:val="21"/>
              </w:rPr>
              <w:t>12</w:t>
            </w:r>
          </w:p>
        </w:tc>
        <w:tc>
          <w:tcPr>
            <w:tcW w:w="1013" w:type="dxa"/>
            <w:tcMar>
              <w:top w:w="28" w:type="dxa"/>
              <w:left w:w="28" w:type="dxa"/>
              <w:bottom w:w="28" w:type="dxa"/>
              <w:right w:w="28" w:type="dxa"/>
            </w:tcMar>
            <w:vAlign w:val="center"/>
          </w:tcPr>
          <w:p w:rsidR="00475650" w:rsidRDefault="00475650">
            <w:pPr>
              <w:jc w:val="center"/>
            </w:pPr>
            <w:r>
              <w:rPr>
                <w:rFonts w:hint="eastAsia"/>
                <w:szCs w:val="21"/>
              </w:rPr>
              <w:t>20</w:t>
            </w:r>
            <w:r>
              <w:rPr>
                <w:szCs w:val="21"/>
              </w:rPr>
              <w:t xml:space="preserve"> mg/l</w:t>
            </w:r>
          </w:p>
        </w:tc>
        <w:tc>
          <w:tcPr>
            <w:tcW w:w="2100" w:type="dxa"/>
            <w:vMerge/>
            <w:vAlign w:val="center"/>
          </w:tcPr>
          <w:p w:rsidR="00475650" w:rsidRDefault="00475650">
            <w:pPr>
              <w:snapToGrid w:val="0"/>
              <w:spacing w:line="240" w:lineRule="exact"/>
              <w:jc w:val="center"/>
              <w:rPr>
                <w:rFonts w:hAnsi="宋体"/>
                <w:szCs w:val="21"/>
              </w:rPr>
            </w:pPr>
          </w:p>
        </w:tc>
      </w:tr>
      <w:tr w:rsidR="00475650">
        <w:tc>
          <w:tcPr>
            <w:tcW w:w="693" w:type="dxa"/>
            <w:vMerge/>
            <w:vAlign w:val="center"/>
          </w:tcPr>
          <w:p w:rsidR="00475650" w:rsidRDefault="00475650">
            <w:pPr>
              <w:snapToGrid w:val="0"/>
              <w:spacing w:line="240" w:lineRule="exact"/>
              <w:ind w:leftChars="-50" w:left="-105" w:rightChars="-50" w:right="-105"/>
              <w:jc w:val="center"/>
              <w:rPr>
                <w:szCs w:val="21"/>
              </w:rPr>
            </w:pPr>
          </w:p>
        </w:tc>
        <w:tc>
          <w:tcPr>
            <w:tcW w:w="1887" w:type="dxa"/>
            <w:gridSpan w:val="3"/>
            <w:vAlign w:val="center"/>
          </w:tcPr>
          <w:p w:rsidR="00475650" w:rsidRDefault="00475650">
            <w:pPr>
              <w:snapToGrid w:val="0"/>
              <w:spacing w:line="240" w:lineRule="exact"/>
              <w:ind w:leftChars="-50" w:left="-105" w:rightChars="-50" w:right="-105"/>
              <w:jc w:val="center"/>
              <w:rPr>
                <w:szCs w:val="21"/>
              </w:rPr>
            </w:pPr>
            <w:r>
              <w:rPr>
                <w:szCs w:val="21"/>
              </w:rPr>
              <w:t>SS</w:t>
            </w:r>
          </w:p>
        </w:tc>
        <w:tc>
          <w:tcPr>
            <w:tcW w:w="793" w:type="dxa"/>
            <w:vAlign w:val="center"/>
          </w:tcPr>
          <w:p w:rsidR="00475650" w:rsidRDefault="00475650">
            <w:pPr>
              <w:snapToGrid w:val="0"/>
              <w:spacing w:line="240" w:lineRule="exact"/>
              <w:ind w:leftChars="-50" w:left="-105" w:rightChars="-50" w:right="-105"/>
              <w:jc w:val="center"/>
              <w:rPr>
                <w:szCs w:val="21"/>
              </w:rPr>
            </w:pPr>
            <w:r>
              <w:rPr>
                <w:szCs w:val="21"/>
              </w:rPr>
              <w:t>0.</w:t>
            </w:r>
            <w:r>
              <w:rPr>
                <w:rFonts w:hint="eastAsia"/>
                <w:szCs w:val="21"/>
              </w:rPr>
              <w:t>12</w:t>
            </w:r>
          </w:p>
        </w:tc>
        <w:tc>
          <w:tcPr>
            <w:tcW w:w="1181" w:type="dxa"/>
            <w:vAlign w:val="center"/>
          </w:tcPr>
          <w:p w:rsidR="00475650" w:rsidRDefault="00475650">
            <w:pPr>
              <w:jc w:val="center"/>
            </w:pPr>
            <w:r>
              <w:rPr>
                <w:rFonts w:hint="eastAsia"/>
                <w:szCs w:val="21"/>
              </w:rPr>
              <w:t>200</w:t>
            </w:r>
            <w:r>
              <w:rPr>
                <w:szCs w:val="21"/>
              </w:rPr>
              <w:t xml:space="preserve"> mg/l</w:t>
            </w:r>
          </w:p>
        </w:tc>
        <w:tc>
          <w:tcPr>
            <w:tcW w:w="899" w:type="dxa"/>
            <w:vAlign w:val="center"/>
          </w:tcPr>
          <w:p w:rsidR="00475650" w:rsidRDefault="00475650">
            <w:pPr>
              <w:snapToGrid w:val="0"/>
              <w:spacing w:line="240" w:lineRule="exact"/>
              <w:jc w:val="center"/>
              <w:rPr>
                <w:szCs w:val="21"/>
              </w:rPr>
            </w:pPr>
            <w:r>
              <w:rPr>
                <w:szCs w:val="21"/>
              </w:rPr>
              <w:t>/</w:t>
            </w:r>
          </w:p>
        </w:tc>
        <w:tc>
          <w:tcPr>
            <w:tcW w:w="792" w:type="dxa"/>
            <w:tcMar>
              <w:top w:w="28" w:type="dxa"/>
              <w:left w:w="28" w:type="dxa"/>
              <w:bottom w:w="28" w:type="dxa"/>
              <w:right w:w="28" w:type="dxa"/>
            </w:tcMar>
            <w:vAlign w:val="center"/>
          </w:tcPr>
          <w:p w:rsidR="00475650" w:rsidRDefault="00475650">
            <w:pPr>
              <w:snapToGrid w:val="0"/>
              <w:spacing w:line="240" w:lineRule="exact"/>
              <w:ind w:leftChars="-50" w:left="-105" w:rightChars="-50" w:right="-105"/>
              <w:jc w:val="center"/>
              <w:rPr>
                <w:szCs w:val="21"/>
              </w:rPr>
            </w:pPr>
            <w:r>
              <w:rPr>
                <w:szCs w:val="21"/>
              </w:rPr>
              <w:t>0.</w:t>
            </w:r>
            <w:r>
              <w:rPr>
                <w:rFonts w:hint="eastAsia"/>
                <w:szCs w:val="21"/>
              </w:rPr>
              <w:t>12</w:t>
            </w:r>
          </w:p>
        </w:tc>
        <w:tc>
          <w:tcPr>
            <w:tcW w:w="1013" w:type="dxa"/>
            <w:tcMar>
              <w:top w:w="28" w:type="dxa"/>
              <w:left w:w="28" w:type="dxa"/>
              <w:bottom w:w="28" w:type="dxa"/>
              <w:right w:w="28" w:type="dxa"/>
            </w:tcMar>
            <w:vAlign w:val="center"/>
          </w:tcPr>
          <w:p w:rsidR="00475650" w:rsidRDefault="00475650">
            <w:pPr>
              <w:jc w:val="center"/>
            </w:pPr>
            <w:r>
              <w:rPr>
                <w:rFonts w:hint="eastAsia"/>
                <w:szCs w:val="21"/>
              </w:rPr>
              <w:t>200</w:t>
            </w:r>
            <w:r>
              <w:rPr>
                <w:szCs w:val="21"/>
              </w:rPr>
              <w:t xml:space="preserve"> mg/l</w:t>
            </w:r>
          </w:p>
        </w:tc>
        <w:tc>
          <w:tcPr>
            <w:tcW w:w="2100" w:type="dxa"/>
            <w:vMerge/>
            <w:vAlign w:val="center"/>
          </w:tcPr>
          <w:p w:rsidR="00475650" w:rsidRDefault="00475650">
            <w:pPr>
              <w:snapToGrid w:val="0"/>
              <w:spacing w:line="240" w:lineRule="exact"/>
              <w:jc w:val="center"/>
              <w:rPr>
                <w:rFonts w:hAnsi="宋体"/>
                <w:szCs w:val="21"/>
              </w:rPr>
            </w:pPr>
          </w:p>
        </w:tc>
      </w:tr>
      <w:tr w:rsidR="00475650">
        <w:tc>
          <w:tcPr>
            <w:tcW w:w="693" w:type="dxa"/>
            <w:vMerge w:val="restart"/>
            <w:vAlign w:val="center"/>
          </w:tcPr>
          <w:p w:rsidR="00475650" w:rsidRDefault="00475650">
            <w:pPr>
              <w:snapToGrid w:val="0"/>
              <w:spacing w:line="240" w:lineRule="exact"/>
              <w:ind w:leftChars="-50" w:left="-105" w:rightChars="-50" w:right="-105"/>
              <w:jc w:val="center"/>
              <w:rPr>
                <w:szCs w:val="21"/>
              </w:rPr>
            </w:pPr>
            <w:r>
              <w:rPr>
                <w:rFonts w:hAnsi="宋体"/>
                <w:szCs w:val="21"/>
              </w:rPr>
              <w:t>固体废物产生量</w:t>
            </w:r>
          </w:p>
        </w:tc>
        <w:tc>
          <w:tcPr>
            <w:tcW w:w="999" w:type="dxa"/>
            <w:gridSpan w:val="2"/>
            <w:vAlign w:val="center"/>
          </w:tcPr>
          <w:p w:rsidR="00475650" w:rsidRDefault="00475650">
            <w:pPr>
              <w:snapToGrid w:val="0"/>
              <w:spacing w:line="240" w:lineRule="exact"/>
              <w:ind w:leftChars="-50" w:left="-105" w:rightChars="-50" w:right="-105"/>
              <w:jc w:val="center"/>
              <w:rPr>
                <w:szCs w:val="21"/>
              </w:rPr>
            </w:pPr>
            <w:r>
              <w:rPr>
                <w:rFonts w:hAnsi="宋体"/>
                <w:szCs w:val="21"/>
              </w:rPr>
              <w:t>污水处理站污泥</w:t>
            </w:r>
          </w:p>
        </w:tc>
        <w:tc>
          <w:tcPr>
            <w:tcW w:w="888" w:type="dxa"/>
            <w:vAlign w:val="center"/>
          </w:tcPr>
          <w:p w:rsidR="00475650" w:rsidRDefault="00475650">
            <w:pPr>
              <w:snapToGrid w:val="0"/>
              <w:spacing w:line="240" w:lineRule="exact"/>
              <w:ind w:leftChars="-50" w:left="-105" w:rightChars="-50" w:right="-105"/>
              <w:jc w:val="center"/>
              <w:rPr>
                <w:szCs w:val="21"/>
              </w:rPr>
            </w:pPr>
            <w:r>
              <w:rPr>
                <w:rFonts w:hAnsi="宋体"/>
                <w:szCs w:val="21"/>
              </w:rPr>
              <w:t>危废</w:t>
            </w:r>
            <w:r>
              <w:rPr>
                <w:szCs w:val="21"/>
              </w:rPr>
              <w:t>HW12</w:t>
            </w:r>
          </w:p>
        </w:tc>
        <w:tc>
          <w:tcPr>
            <w:tcW w:w="793" w:type="dxa"/>
            <w:vAlign w:val="center"/>
          </w:tcPr>
          <w:p w:rsidR="00475650" w:rsidRDefault="00475650">
            <w:pPr>
              <w:snapToGrid w:val="0"/>
              <w:spacing w:line="240" w:lineRule="exact"/>
              <w:ind w:leftChars="-50" w:left="-105" w:rightChars="-50" w:right="-105"/>
              <w:jc w:val="center"/>
              <w:rPr>
                <w:szCs w:val="21"/>
              </w:rPr>
            </w:pPr>
            <w:r>
              <w:rPr>
                <w:rFonts w:hint="eastAsia"/>
                <w:szCs w:val="21"/>
              </w:rPr>
              <w:t>400</w:t>
            </w:r>
          </w:p>
        </w:tc>
        <w:tc>
          <w:tcPr>
            <w:tcW w:w="1181" w:type="dxa"/>
            <w:vAlign w:val="center"/>
          </w:tcPr>
          <w:p w:rsidR="00475650" w:rsidRDefault="00475650">
            <w:pPr>
              <w:jc w:val="center"/>
            </w:pPr>
            <w:r>
              <w:rPr>
                <w:szCs w:val="21"/>
              </w:rPr>
              <w:t>/</w:t>
            </w:r>
          </w:p>
        </w:tc>
        <w:tc>
          <w:tcPr>
            <w:tcW w:w="899" w:type="dxa"/>
            <w:vAlign w:val="center"/>
          </w:tcPr>
          <w:p w:rsidR="00475650" w:rsidRDefault="00475650">
            <w:pPr>
              <w:snapToGrid w:val="0"/>
              <w:spacing w:line="240" w:lineRule="exact"/>
              <w:jc w:val="center"/>
              <w:rPr>
                <w:szCs w:val="21"/>
              </w:rPr>
            </w:pPr>
            <w:r>
              <w:rPr>
                <w:rFonts w:hint="eastAsia"/>
                <w:szCs w:val="21"/>
              </w:rPr>
              <w:t>400</w:t>
            </w:r>
          </w:p>
        </w:tc>
        <w:tc>
          <w:tcPr>
            <w:tcW w:w="792" w:type="dxa"/>
            <w:tcMar>
              <w:top w:w="28" w:type="dxa"/>
              <w:left w:w="28" w:type="dxa"/>
              <w:bottom w:w="28" w:type="dxa"/>
              <w:right w:w="28" w:type="dxa"/>
            </w:tcMar>
            <w:vAlign w:val="center"/>
          </w:tcPr>
          <w:p w:rsidR="00475650" w:rsidRDefault="00475650">
            <w:pPr>
              <w:snapToGrid w:val="0"/>
              <w:spacing w:line="240" w:lineRule="exact"/>
              <w:jc w:val="center"/>
              <w:rPr>
                <w:szCs w:val="21"/>
              </w:rPr>
            </w:pPr>
            <w:r>
              <w:rPr>
                <w:szCs w:val="21"/>
              </w:rPr>
              <w:t>0</w:t>
            </w:r>
          </w:p>
        </w:tc>
        <w:tc>
          <w:tcPr>
            <w:tcW w:w="1013" w:type="dxa"/>
            <w:tcMar>
              <w:top w:w="28" w:type="dxa"/>
              <w:left w:w="28" w:type="dxa"/>
              <w:bottom w:w="28" w:type="dxa"/>
              <w:right w:w="28" w:type="dxa"/>
            </w:tcMar>
            <w:vAlign w:val="center"/>
          </w:tcPr>
          <w:p w:rsidR="00475650" w:rsidRDefault="00475650">
            <w:pPr>
              <w:jc w:val="center"/>
            </w:pPr>
            <w:r>
              <w:rPr>
                <w:szCs w:val="21"/>
              </w:rPr>
              <w:t>/</w:t>
            </w:r>
          </w:p>
        </w:tc>
        <w:tc>
          <w:tcPr>
            <w:tcW w:w="2100" w:type="dxa"/>
            <w:vAlign w:val="center"/>
          </w:tcPr>
          <w:p w:rsidR="00475650" w:rsidRDefault="00475650">
            <w:pPr>
              <w:snapToGrid w:val="0"/>
              <w:spacing w:line="240" w:lineRule="exact"/>
              <w:jc w:val="center"/>
              <w:rPr>
                <w:rFonts w:hAnsi="宋体"/>
                <w:szCs w:val="21"/>
              </w:rPr>
            </w:pPr>
            <w:r>
              <w:rPr>
                <w:rFonts w:hAnsi="宋体" w:hint="eastAsia"/>
                <w:szCs w:val="21"/>
              </w:rPr>
              <w:t>送湖南德泽环保科技有限公司安全处理处置</w:t>
            </w:r>
          </w:p>
        </w:tc>
      </w:tr>
      <w:tr w:rsidR="00475650">
        <w:tc>
          <w:tcPr>
            <w:tcW w:w="693" w:type="dxa"/>
            <w:vMerge/>
            <w:vAlign w:val="center"/>
          </w:tcPr>
          <w:p w:rsidR="00475650" w:rsidRDefault="00475650">
            <w:pPr>
              <w:snapToGrid w:val="0"/>
              <w:spacing w:line="240" w:lineRule="exact"/>
              <w:ind w:leftChars="-50" w:left="-105" w:rightChars="-50" w:right="-105"/>
              <w:jc w:val="center"/>
              <w:rPr>
                <w:szCs w:val="21"/>
              </w:rPr>
            </w:pPr>
          </w:p>
        </w:tc>
        <w:tc>
          <w:tcPr>
            <w:tcW w:w="999" w:type="dxa"/>
            <w:gridSpan w:val="2"/>
            <w:vAlign w:val="center"/>
          </w:tcPr>
          <w:p w:rsidR="00475650" w:rsidRDefault="00475650">
            <w:pPr>
              <w:snapToGrid w:val="0"/>
              <w:spacing w:line="240" w:lineRule="exact"/>
              <w:ind w:leftChars="-50" w:left="-105" w:rightChars="-50" w:right="-105"/>
              <w:jc w:val="center"/>
              <w:rPr>
                <w:szCs w:val="21"/>
              </w:rPr>
            </w:pPr>
            <w:r>
              <w:rPr>
                <w:rFonts w:hAnsi="宋体"/>
                <w:szCs w:val="21"/>
              </w:rPr>
              <w:t>污水处理站析出盐</w:t>
            </w:r>
          </w:p>
        </w:tc>
        <w:tc>
          <w:tcPr>
            <w:tcW w:w="888" w:type="dxa"/>
            <w:vAlign w:val="center"/>
          </w:tcPr>
          <w:p w:rsidR="00475650" w:rsidRDefault="00475650">
            <w:pPr>
              <w:snapToGrid w:val="0"/>
              <w:spacing w:line="240" w:lineRule="exact"/>
              <w:ind w:leftChars="-50" w:left="-105" w:rightChars="-50" w:right="-105"/>
              <w:jc w:val="center"/>
              <w:rPr>
                <w:szCs w:val="21"/>
              </w:rPr>
            </w:pPr>
            <w:r>
              <w:rPr>
                <w:rFonts w:hAnsi="宋体"/>
                <w:szCs w:val="21"/>
              </w:rPr>
              <w:t>一般固废</w:t>
            </w:r>
          </w:p>
        </w:tc>
        <w:tc>
          <w:tcPr>
            <w:tcW w:w="793" w:type="dxa"/>
            <w:vAlign w:val="center"/>
          </w:tcPr>
          <w:p w:rsidR="00475650" w:rsidRDefault="00475650">
            <w:pPr>
              <w:snapToGrid w:val="0"/>
              <w:spacing w:line="240" w:lineRule="exact"/>
              <w:ind w:leftChars="-50" w:left="-105" w:rightChars="-50" w:right="-105"/>
              <w:jc w:val="center"/>
              <w:rPr>
                <w:szCs w:val="21"/>
              </w:rPr>
            </w:pPr>
            <w:r>
              <w:rPr>
                <w:szCs w:val="21"/>
              </w:rPr>
              <w:t>3320</w:t>
            </w:r>
          </w:p>
        </w:tc>
        <w:tc>
          <w:tcPr>
            <w:tcW w:w="1181" w:type="dxa"/>
            <w:vAlign w:val="center"/>
          </w:tcPr>
          <w:p w:rsidR="00475650" w:rsidRDefault="00475650">
            <w:pPr>
              <w:jc w:val="center"/>
              <w:rPr>
                <w:szCs w:val="21"/>
              </w:rPr>
            </w:pPr>
          </w:p>
        </w:tc>
        <w:tc>
          <w:tcPr>
            <w:tcW w:w="899" w:type="dxa"/>
            <w:vAlign w:val="center"/>
          </w:tcPr>
          <w:p w:rsidR="00475650" w:rsidRDefault="00475650">
            <w:pPr>
              <w:snapToGrid w:val="0"/>
              <w:spacing w:line="240" w:lineRule="exact"/>
              <w:jc w:val="center"/>
              <w:rPr>
                <w:szCs w:val="21"/>
              </w:rPr>
            </w:pPr>
            <w:r>
              <w:rPr>
                <w:szCs w:val="21"/>
              </w:rPr>
              <w:t>3320</w:t>
            </w:r>
          </w:p>
        </w:tc>
        <w:tc>
          <w:tcPr>
            <w:tcW w:w="792" w:type="dxa"/>
            <w:tcMar>
              <w:top w:w="28" w:type="dxa"/>
              <w:left w:w="28" w:type="dxa"/>
              <w:bottom w:w="28" w:type="dxa"/>
              <w:right w:w="28" w:type="dxa"/>
            </w:tcMar>
            <w:vAlign w:val="center"/>
          </w:tcPr>
          <w:p w:rsidR="00475650" w:rsidRDefault="00475650">
            <w:pPr>
              <w:snapToGrid w:val="0"/>
              <w:spacing w:line="240" w:lineRule="exact"/>
              <w:jc w:val="center"/>
              <w:rPr>
                <w:szCs w:val="21"/>
              </w:rPr>
            </w:pPr>
            <w:r>
              <w:rPr>
                <w:szCs w:val="21"/>
              </w:rPr>
              <w:t>0</w:t>
            </w:r>
          </w:p>
        </w:tc>
        <w:tc>
          <w:tcPr>
            <w:tcW w:w="1013" w:type="dxa"/>
            <w:tcMar>
              <w:top w:w="28" w:type="dxa"/>
              <w:left w:w="28" w:type="dxa"/>
              <w:bottom w:w="28" w:type="dxa"/>
              <w:right w:w="28" w:type="dxa"/>
            </w:tcMar>
            <w:vAlign w:val="center"/>
          </w:tcPr>
          <w:p w:rsidR="00475650" w:rsidRDefault="00475650">
            <w:pPr>
              <w:jc w:val="center"/>
              <w:rPr>
                <w:szCs w:val="21"/>
              </w:rPr>
            </w:pPr>
          </w:p>
        </w:tc>
        <w:tc>
          <w:tcPr>
            <w:tcW w:w="2100" w:type="dxa"/>
            <w:vAlign w:val="center"/>
          </w:tcPr>
          <w:p w:rsidR="00475650" w:rsidRDefault="00475650">
            <w:pPr>
              <w:snapToGrid w:val="0"/>
              <w:spacing w:line="240" w:lineRule="exact"/>
              <w:jc w:val="center"/>
              <w:rPr>
                <w:szCs w:val="21"/>
              </w:rPr>
            </w:pPr>
            <w:r>
              <w:rPr>
                <w:rFonts w:hAnsi="宋体" w:hint="eastAsia"/>
                <w:szCs w:val="21"/>
              </w:rPr>
              <w:t>按照危险性质鉴定结果采取相应的处置措施</w:t>
            </w:r>
          </w:p>
        </w:tc>
      </w:tr>
      <w:tr w:rsidR="00475650">
        <w:tc>
          <w:tcPr>
            <w:tcW w:w="693" w:type="dxa"/>
            <w:vMerge/>
            <w:vAlign w:val="center"/>
          </w:tcPr>
          <w:p w:rsidR="00475650" w:rsidRDefault="00475650">
            <w:pPr>
              <w:snapToGrid w:val="0"/>
              <w:spacing w:line="240" w:lineRule="exact"/>
              <w:ind w:leftChars="-50" w:left="-105" w:rightChars="-50" w:right="-105"/>
              <w:jc w:val="center"/>
              <w:rPr>
                <w:szCs w:val="21"/>
              </w:rPr>
            </w:pPr>
          </w:p>
        </w:tc>
        <w:tc>
          <w:tcPr>
            <w:tcW w:w="999" w:type="dxa"/>
            <w:gridSpan w:val="2"/>
            <w:vAlign w:val="center"/>
          </w:tcPr>
          <w:p w:rsidR="00475650" w:rsidRDefault="00475650">
            <w:pPr>
              <w:snapToGrid w:val="0"/>
              <w:spacing w:line="240" w:lineRule="exact"/>
              <w:ind w:leftChars="-50" w:left="-105" w:rightChars="-50" w:right="-105"/>
              <w:jc w:val="center"/>
              <w:rPr>
                <w:szCs w:val="21"/>
              </w:rPr>
            </w:pPr>
            <w:r>
              <w:rPr>
                <w:rFonts w:hAnsi="宋体"/>
                <w:szCs w:val="21"/>
              </w:rPr>
              <w:t>废包装桶及废包装袋</w:t>
            </w:r>
          </w:p>
        </w:tc>
        <w:tc>
          <w:tcPr>
            <w:tcW w:w="888" w:type="dxa"/>
            <w:vAlign w:val="center"/>
          </w:tcPr>
          <w:p w:rsidR="00475650" w:rsidRDefault="00475650">
            <w:pPr>
              <w:snapToGrid w:val="0"/>
              <w:spacing w:line="240" w:lineRule="exact"/>
              <w:ind w:leftChars="-50" w:left="-105" w:rightChars="-50" w:right="-105"/>
              <w:jc w:val="center"/>
              <w:rPr>
                <w:szCs w:val="21"/>
              </w:rPr>
            </w:pPr>
            <w:r>
              <w:rPr>
                <w:rFonts w:hAnsi="宋体"/>
                <w:szCs w:val="21"/>
              </w:rPr>
              <w:t>一般固废</w:t>
            </w:r>
          </w:p>
        </w:tc>
        <w:tc>
          <w:tcPr>
            <w:tcW w:w="793" w:type="dxa"/>
            <w:vAlign w:val="center"/>
          </w:tcPr>
          <w:p w:rsidR="00475650" w:rsidRDefault="00475650">
            <w:pPr>
              <w:snapToGrid w:val="0"/>
              <w:spacing w:line="240" w:lineRule="exact"/>
              <w:ind w:leftChars="-50" w:left="-105" w:rightChars="-50" w:right="-105"/>
              <w:jc w:val="center"/>
              <w:rPr>
                <w:szCs w:val="21"/>
              </w:rPr>
            </w:pPr>
            <w:r>
              <w:rPr>
                <w:szCs w:val="21"/>
              </w:rPr>
              <w:t>10</w:t>
            </w:r>
          </w:p>
        </w:tc>
        <w:tc>
          <w:tcPr>
            <w:tcW w:w="1181" w:type="dxa"/>
            <w:vAlign w:val="center"/>
          </w:tcPr>
          <w:p w:rsidR="00475650" w:rsidRDefault="00475650">
            <w:pPr>
              <w:jc w:val="center"/>
              <w:rPr>
                <w:szCs w:val="21"/>
              </w:rPr>
            </w:pPr>
            <w:r>
              <w:rPr>
                <w:szCs w:val="21"/>
              </w:rPr>
              <w:t>/</w:t>
            </w:r>
          </w:p>
        </w:tc>
        <w:tc>
          <w:tcPr>
            <w:tcW w:w="899" w:type="dxa"/>
            <w:vAlign w:val="center"/>
          </w:tcPr>
          <w:p w:rsidR="00475650" w:rsidRDefault="00475650">
            <w:pPr>
              <w:snapToGrid w:val="0"/>
              <w:spacing w:line="240" w:lineRule="exact"/>
              <w:jc w:val="center"/>
              <w:rPr>
                <w:szCs w:val="21"/>
              </w:rPr>
            </w:pPr>
            <w:r>
              <w:rPr>
                <w:szCs w:val="21"/>
              </w:rPr>
              <w:t>10</w:t>
            </w:r>
          </w:p>
        </w:tc>
        <w:tc>
          <w:tcPr>
            <w:tcW w:w="792" w:type="dxa"/>
            <w:tcMar>
              <w:top w:w="28" w:type="dxa"/>
              <w:left w:w="28" w:type="dxa"/>
              <w:bottom w:w="28" w:type="dxa"/>
              <w:right w:w="28" w:type="dxa"/>
            </w:tcMar>
            <w:vAlign w:val="center"/>
          </w:tcPr>
          <w:p w:rsidR="00475650" w:rsidRDefault="00475650">
            <w:pPr>
              <w:snapToGrid w:val="0"/>
              <w:spacing w:line="240" w:lineRule="exact"/>
              <w:jc w:val="center"/>
              <w:rPr>
                <w:szCs w:val="21"/>
              </w:rPr>
            </w:pPr>
            <w:r>
              <w:rPr>
                <w:szCs w:val="21"/>
              </w:rPr>
              <w:t>0</w:t>
            </w:r>
          </w:p>
        </w:tc>
        <w:tc>
          <w:tcPr>
            <w:tcW w:w="1013" w:type="dxa"/>
            <w:tcMar>
              <w:top w:w="28" w:type="dxa"/>
              <w:left w:w="28" w:type="dxa"/>
              <w:bottom w:w="28" w:type="dxa"/>
              <w:right w:w="28" w:type="dxa"/>
            </w:tcMar>
            <w:vAlign w:val="center"/>
          </w:tcPr>
          <w:p w:rsidR="00475650" w:rsidRDefault="00475650">
            <w:pPr>
              <w:jc w:val="center"/>
              <w:rPr>
                <w:szCs w:val="21"/>
              </w:rPr>
            </w:pPr>
            <w:r>
              <w:rPr>
                <w:szCs w:val="21"/>
              </w:rPr>
              <w:t>/</w:t>
            </w:r>
          </w:p>
        </w:tc>
        <w:tc>
          <w:tcPr>
            <w:tcW w:w="2100" w:type="dxa"/>
            <w:vAlign w:val="center"/>
          </w:tcPr>
          <w:p w:rsidR="00475650" w:rsidRDefault="00475650">
            <w:pPr>
              <w:snapToGrid w:val="0"/>
              <w:spacing w:line="240" w:lineRule="exact"/>
              <w:jc w:val="center"/>
              <w:rPr>
                <w:szCs w:val="21"/>
              </w:rPr>
            </w:pPr>
            <w:r>
              <w:rPr>
                <w:rFonts w:hAnsi="宋体"/>
                <w:szCs w:val="21"/>
              </w:rPr>
              <w:t>厂家回收</w:t>
            </w:r>
          </w:p>
        </w:tc>
      </w:tr>
      <w:tr w:rsidR="00475650">
        <w:tc>
          <w:tcPr>
            <w:tcW w:w="693" w:type="dxa"/>
            <w:vMerge/>
            <w:vAlign w:val="center"/>
          </w:tcPr>
          <w:p w:rsidR="00475650" w:rsidRDefault="00475650">
            <w:pPr>
              <w:snapToGrid w:val="0"/>
              <w:spacing w:line="240" w:lineRule="exact"/>
              <w:ind w:leftChars="-50" w:left="-105" w:rightChars="-50" w:right="-105"/>
              <w:jc w:val="center"/>
              <w:rPr>
                <w:szCs w:val="21"/>
              </w:rPr>
            </w:pPr>
          </w:p>
        </w:tc>
        <w:tc>
          <w:tcPr>
            <w:tcW w:w="1887" w:type="dxa"/>
            <w:gridSpan w:val="3"/>
            <w:vAlign w:val="center"/>
          </w:tcPr>
          <w:p w:rsidR="00475650" w:rsidRDefault="00475650">
            <w:pPr>
              <w:snapToGrid w:val="0"/>
              <w:spacing w:line="240" w:lineRule="exact"/>
              <w:ind w:leftChars="-50" w:left="-105" w:rightChars="-50" w:right="-105"/>
              <w:jc w:val="center"/>
              <w:rPr>
                <w:szCs w:val="21"/>
              </w:rPr>
            </w:pPr>
          </w:p>
          <w:p w:rsidR="00475650" w:rsidRDefault="00475650">
            <w:pPr>
              <w:snapToGrid w:val="0"/>
              <w:spacing w:line="240" w:lineRule="exact"/>
              <w:ind w:leftChars="-50" w:left="-105" w:rightChars="-50" w:right="-105"/>
              <w:jc w:val="center"/>
              <w:rPr>
                <w:szCs w:val="21"/>
              </w:rPr>
            </w:pPr>
            <w:r>
              <w:rPr>
                <w:rFonts w:hAnsi="宋体"/>
                <w:szCs w:val="21"/>
              </w:rPr>
              <w:t>生活垃圾</w:t>
            </w:r>
          </w:p>
        </w:tc>
        <w:tc>
          <w:tcPr>
            <w:tcW w:w="793" w:type="dxa"/>
            <w:vAlign w:val="center"/>
          </w:tcPr>
          <w:p w:rsidR="00475650" w:rsidRDefault="00475650">
            <w:pPr>
              <w:snapToGrid w:val="0"/>
              <w:spacing w:line="240" w:lineRule="exact"/>
              <w:ind w:leftChars="-50" w:left="-105" w:rightChars="-50" w:right="-105"/>
              <w:jc w:val="center"/>
              <w:rPr>
                <w:szCs w:val="21"/>
              </w:rPr>
            </w:pPr>
            <w:r>
              <w:rPr>
                <w:szCs w:val="21"/>
              </w:rPr>
              <w:t>1.8</w:t>
            </w:r>
          </w:p>
        </w:tc>
        <w:tc>
          <w:tcPr>
            <w:tcW w:w="1181" w:type="dxa"/>
            <w:vAlign w:val="center"/>
          </w:tcPr>
          <w:p w:rsidR="00475650" w:rsidRDefault="00475650">
            <w:pPr>
              <w:jc w:val="center"/>
            </w:pPr>
            <w:r>
              <w:rPr>
                <w:szCs w:val="21"/>
              </w:rPr>
              <w:t>/</w:t>
            </w:r>
          </w:p>
        </w:tc>
        <w:tc>
          <w:tcPr>
            <w:tcW w:w="899" w:type="dxa"/>
            <w:vAlign w:val="center"/>
          </w:tcPr>
          <w:p w:rsidR="00475650" w:rsidRDefault="00475650">
            <w:pPr>
              <w:snapToGrid w:val="0"/>
              <w:spacing w:line="240" w:lineRule="exact"/>
              <w:jc w:val="center"/>
              <w:rPr>
                <w:szCs w:val="21"/>
              </w:rPr>
            </w:pPr>
            <w:r>
              <w:rPr>
                <w:szCs w:val="21"/>
              </w:rPr>
              <w:t>1.8</w:t>
            </w:r>
          </w:p>
        </w:tc>
        <w:tc>
          <w:tcPr>
            <w:tcW w:w="792" w:type="dxa"/>
            <w:tcMar>
              <w:top w:w="28" w:type="dxa"/>
              <w:left w:w="28" w:type="dxa"/>
              <w:bottom w:w="28" w:type="dxa"/>
              <w:right w:w="28" w:type="dxa"/>
            </w:tcMar>
            <w:vAlign w:val="center"/>
          </w:tcPr>
          <w:p w:rsidR="00475650" w:rsidRDefault="00475650">
            <w:pPr>
              <w:snapToGrid w:val="0"/>
              <w:spacing w:line="240" w:lineRule="exact"/>
              <w:jc w:val="center"/>
              <w:rPr>
                <w:szCs w:val="21"/>
              </w:rPr>
            </w:pPr>
            <w:r>
              <w:rPr>
                <w:szCs w:val="21"/>
              </w:rPr>
              <w:t>0</w:t>
            </w:r>
          </w:p>
        </w:tc>
        <w:tc>
          <w:tcPr>
            <w:tcW w:w="1013" w:type="dxa"/>
            <w:tcMar>
              <w:top w:w="28" w:type="dxa"/>
              <w:left w:w="28" w:type="dxa"/>
              <w:bottom w:w="28" w:type="dxa"/>
              <w:right w:w="28" w:type="dxa"/>
            </w:tcMar>
            <w:vAlign w:val="center"/>
          </w:tcPr>
          <w:p w:rsidR="00475650" w:rsidRDefault="00475650">
            <w:pPr>
              <w:jc w:val="center"/>
            </w:pPr>
            <w:r>
              <w:rPr>
                <w:szCs w:val="21"/>
              </w:rPr>
              <w:t>/</w:t>
            </w:r>
          </w:p>
        </w:tc>
        <w:tc>
          <w:tcPr>
            <w:tcW w:w="2100" w:type="dxa"/>
            <w:vAlign w:val="center"/>
          </w:tcPr>
          <w:p w:rsidR="00475650" w:rsidRDefault="00475650">
            <w:pPr>
              <w:snapToGrid w:val="0"/>
              <w:spacing w:line="240" w:lineRule="exact"/>
              <w:jc w:val="center"/>
              <w:rPr>
                <w:szCs w:val="21"/>
              </w:rPr>
            </w:pPr>
            <w:r>
              <w:rPr>
                <w:rFonts w:hAnsi="宋体"/>
                <w:szCs w:val="21"/>
              </w:rPr>
              <w:t>园区环卫部门统一处理</w:t>
            </w:r>
          </w:p>
        </w:tc>
      </w:tr>
    </w:tbl>
    <w:p w:rsidR="00475650" w:rsidRDefault="00475650">
      <w:pPr>
        <w:adjustRightInd w:val="0"/>
        <w:snapToGrid w:val="0"/>
        <w:spacing w:line="360" w:lineRule="auto"/>
        <w:jc w:val="center"/>
        <w:rPr>
          <w:bCs/>
          <w:spacing w:val="4"/>
          <w:sz w:val="24"/>
        </w:rPr>
      </w:pPr>
    </w:p>
    <w:p w:rsidR="00475650" w:rsidRDefault="00475650">
      <w:pPr>
        <w:adjustRightInd w:val="0"/>
        <w:snapToGrid w:val="0"/>
        <w:spacing w:line="360" w:lineRule="auto"/>
        <w:jc w:val="center"/>
        <w:rPr>
          <w:bCs/>
          <w:spacing w:val="4"/>
          <w:sz w:val="24"/>
        </w:rPr>
      </w:pPr>
    </w:p>
    <w:p w:rsidR="00475650" w:rsidRDefault="00475650">
      <w:pPr>
        <w:snapToGrid w:val="0"/>
        <w:spacing w:line="360" w:lineRule="auto"/>
        <w:ind w:firstLineChars="200" w:firstLine="480"/>
        <w:rPr>
          <w:sz w:val="24"/>
        </w:rPr>
      </w:pPr>
    </w:p>
    <w:p w:rsidR="00475650" w:rsidRDefault="00475650">
      <w:pPr>
        <w:snapToGrid w:val="0"/>
        <w:spacing w:line="360" w:lineRule="auto"/>
        <w:ind w:firstLineChars="200" w:firstLine="480"/>
        <w:rPr>
          <w:sz w:val="24"/>
        </w:rPr>
        <w:sectPr w:rsidR="00475650">
          <w:pgSz w:w="11906" w:h="16838"/>
          <w:pgMar w:top="1588" w:right="1120" w:bottom="1588" w:left="1588" w:header="851" w:footer="992" w:gutter="0"/>
          <w:paperSrc w:first="7" w:other="7"/>
          <w:cols w:space="720"/>
          <w:docGrid w:linePitch="312"/>
        </w:sectPr>
      </w:pPr>
    </w:p>
    <w:p w:rsidR="00475650" w:rsidRDefault="00475650">
      <w:pPr>
        <w:pStyle w:val="13"/>
        <w:spacing w:before="100" w:beforeAutospacing="1" w:after="100" w:afterAutospacing="1" w:line="360" w:lineRule="auto"/>
        <w:rPr>
          <w:rFonts w:eastAsia="宋体"/>
          <w:b w:val="0"/>
          <w:sz w:val="32"/>
          <w:szCs w:val="32"/>
        </w:rPr>
      </w:pPr>
      <w:bookmarkStart w:id="628" w:name="_Toc332292998"/>
      <w:bookmarkStart w:id="629" w:name="_Toc27628"/>
      <w:bookmarkStart w:id="630" w:name="_Toc269809131"/>
      <w:bookmarkStart w:id="631" w:name="_Toc268676046"/>
      <w:bookmarkStart w:id="632" w:name="_Toc270867009"/>
      <w:bookmarkStart w:id="633" w:name="_Toc270622570"/>
      <w:r>
        <w:rPr>
          <w:rFonts w:eastAsia="宋体"/>
          <w:b w:val="0"/>
          <w:sz w:val="32"/>
          <w:szCs w:val="32"/>
        </w:rPr>
        <w:lastRenderedPageBreak/>
        <w:t>4</w:t>
      </w:r>
      <w:r>
        <w:rPr>
          <w:rFonts w:eastAsia="宋体" w:hAnsi="宋体"/>
          <w:b w:val="0"/>
          <w:sz w:val="32"/>
          <w:szCs w:val="32"/>
        </w:rPr>
        <w:t>环境质量现状调查与评价</w:t>
      </w:r>
      <w:bookmarkEnd w:id="628"/>
      <w:bookmarkEnd w:id="629"/>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634" w:name="_Toc4524"/>
      <w:bookmarkStart w:id="635" w:name="_Toc332292999"/>
      <w:r>
        <w:rPr>
          <w:rStyle w:val="2Char1Char"/>
          <w:rFonts w:ascii="Times New Roman" w:eastAsia="宋体" w:hAnsi="Times New Roman" w:cs="Times New Roman"/>
          <w:b w:val="0"/>
          <w:sz w:val="28"/>
          <w:szCs w:val="28"/>
        </w:rPr>
        <w:t>4.1</w:t>
      </w:r>
      <w:r>
        <w:rPr>
          <w:rStyle w:val="2Char1Char"/>
          <w:rFonts w:ascii="Times New Roman" w:eastAsia="宋体" w:hAnsi="宋体" w:cs="Times New Roman"/>
          <w:b w:val="0"/>
          <w:sz w:val="28"/>
          <w:szCs w:val="28"/>
        </w:rPr>
        <w:t>自然环境概况</w:t>
      </w:r>
      <w:bookmarkEnd w:id="634"/>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636" w:name="_Toc465677002"/>
      <w:bookmarkStart w:id="637" w:name="_Toc17952"/>
      <w:r>
        <w:rPr>
          <w:rStyle w:val="2Char1Char"/>
          <w:rFonts w:ascii="Times New Roman" w:eastAsia="宋体" w:hAnsi="Times New Roman" w:cs="Times New Roman"/>
          <w:b w:val="0"/>
          <w:sz w:val="24"/>
          <w:szCs w:val="24"/>
        </w:rPr>
        <w:t xml:space="preserve">4.1.1 </w:t>
      </w:r>
      <w:r>
        <w:rPr>
          <w:rStyle w:val="2Char1Char"/>
          <w:rFonts w:ascii="Times New Roman" w:eastAsia="宋体" w:hAnsi="宋体" w:cs="Times New Roman"/>
          <w:b w:val="0"/>
          <w:sz w:val="24"/>
          <w:szCs w:val="24"/>
        </w:rPr>
        <w:t>地理位置</w:t>
      </w:r>
      <w:bookmarkEnd w:id="636"/>
      <w:bookmarkEnd w:id="637"/>
    </w:p>
    <w:p w:rsidR="00475650" w:rsidRDefault="00475650">
      <w:pPr>
        <w:autoSpaceDE w:val="0"/>
        <w:autoSpaceDN w:val="0"/>
        <w:adjustRightInd w:val="0"/>
        <w:snapToGrid w:val="0"/>
        <w:spacing w:line="360" w:lineRule="auto"/>
        <w:ind w:firstLineChars="200" w:firstLine="480"/>
        <w:rPr>
          <w:sz w:val="24"/>
        </w:rPr>
      </w:pPr>
      <w:r>
        <w:rPr>
          <w:rFonts w:hAnsi="宋体"/>
          <w:sz w:val="24"/>
        </w:rPr>
        <w:t>临湘市地处湘北、洞庭湖东缘。介于东经</w:t>
      </w:r>
      <w:r>
        <w:rPr>
          <w:sz w:val="24"/>
        </w:rPr>
        <w:t>113°18′45″~113°45′04″</w:t>
      </w:r>
      <w:r>
        <w:rPr>
          <w:rFonts w:hAnsi="宋体"/>
          <w:sz w:val="24"/>
        </w:rPr>
        <w:t>，北纬</w:t>
      </w:r>
      <w:r>
        <w:rPr>
          <w:sz w:val="24"/>
        </w:rPr>
        <w:t>29°12′00″~29°5l′06″</w:t>
      </w:r>
      <w:r>
        <w:rPr>
          <w:rFonts w:hAnsi="宋体"/>
          <w:sz w:val="24"/>
        </w:rPr>
        <w:t>之间。北临长江，南接岳阳，东与湖北赤壁、崇阳、通城毗邻，西与岳阳市云溪区接壤，素有</w:t>
      </w:r>
      <w:r>
        <w:rPr>
          <w:sz w:val="24"/>
        </w:rPr>
        <w:t>“</w:t>
      </w:r>
      <w:r>
        <w:rPr>
          <w:rFonts w:hAnsi="宋体"/>
          <w:sz w:val="24"/>
        </w:rPr>
        <w:t>湘北门户</w:t>
      </w:r>
      <w:r>
        <w:rPr>
          <w:sz w:val="24"/>
        </w:rPr>
        <w:t>”</w:t>
      </w:r>
      <w:r>
        <w:rPr>
          <w:rFonts w:hAnsi="宋体"/>
          <w:sz w:val="24"/>
        </w:rPr>
        <w:t>之称。京广铁路、</w:t>
      </w:r>
      <w:r>
        <w:rPr>
          <w:sz w:val="24"/>
        </w:rPr>
        <w:t>107</w:t>
      </w:r>
      <w:r>
        <w:rPr>
          <w:rFonts w:hAnsi="宋体"/>
          <w:sz w:val="24"/>
        </w:rPr>
        <w:t>国道、京珠高速公路穿境而过，临湘与周边县市公路也相继拉通，得天独厚的交通条件和区域优势十分显著。全市东西横跨</w:t>
      </w:r>
      <w:r>
        <w:rPr>
          <w:sz w:val="24"/>
        </w:rPr>
        <w:t>42</w:t>
      </w:r>
      <w:r>
        <w:rPr>
          <w:rFonts w:hAnsi="宋体"/>
          <w:sz w:val="24"/>
        </w:rPr>
        <w:t>公里，南北纵长</w:t>
      </w:r>
      <w:r>
        <w:rPr>
          <w:sz w:val="24"/>
        </w:rPr>
        <w:t>71</w:t>
      </w:r>
      <w:r>
        <w:rPr>
          <w:rFonts w:hAnsi="宋体"/>
          <w:sz w:val="24"/>
        </w:rPr>
        <w:t>公里，总面积</w:t>
      </w:r>
      <w:r>
        <w:rPr>
          <w:sz w:val="24"/>
        </w:rPr>
        <w:t>173963</w:t>
      </w:r>
      <w:r>
        <w:rPr>
          <w:rFonts w:hAnsi="宋体"/>
          <w:sz w:val="24"/>
        </w:rPr>
        <w:t>公顷。</w:t>
      </w:r>
    </w:p>
    <w:p w:rsidR="00475650" w:rsidRDefault="00475650">
      <w:pPr>
        <w:autoSpaceDE w:val="0"/>
        <w:autoSpaceDN w:val="0"/>
        <w:adjustRightInd w:val="0"/>
        <w:snapToGrid w:val="0"/>
        <w:spacing w:line="360" w:lineRule="auto"/>
        <w:ind w:firstLineChars="200" w:firstLine="480"/>
        <w:rPr>
          <w:sz w:val="24"/>
        </w:rPr>
      </w:pPr>
      <w:r>
        <w:rPr>
          <w:rFonts w:hAnsi="宋体"/>
          <w:sz w:val="24"/>
        </w:rPr>
        <w:t>拟建项目位于临湘市儒溪镇北面，临湘市城区西北</w:t>
      </w:r>
      <w:r>
        <w:rPr>
          <w:sz w:val="24"/>
        </w:rPr>
        <w:t>27</w:t>
      </w:r>
      <w:r>
        <w:rPr>
          <w:rFonts w:hAnsi="宋体"/>
          <w:sz w:val="24"/>
        </w:rPr>
        <w:t>公里处，现属滨江产业区，由临湘市政府管辖，并成立基地管委会，因基地</w:t>
      </w:r>
      <w:r>
        <w:rPr>
          <w:sz w:val="24"/>
        </w:rPr>
        <w:t>2008</w:t>
      </w:r>
      <w:r>
        <w:rPr>
          <w:rFonts w:hAnsi="宋体"/>
          <w:sz w:val="24"/>
        </w:rPr>
        <w:t>年建立，目前已入园项目仅</w:t>
      </w:r>
      <w:r>
        <w:rPr>
          <w:sz w:val="24"/>
        </w:rPr>
        <w:t>6</w:t>
      </w:r>
      <w:r>
        <w:rPr>
          <w:rFonts w:hAnsi="宋体"/>
          <w:sz w:val="24"/>
        </w:rPr>
        <w:t>家，园区北至鸭栏居委会、南至儒溪镇与陆城镇交界处，西靠长江、东临洋溪湖并与云溪区交界处，规划用地</w:t>
      </w:r>
      <w:r>
        <w:rPr>
          <w:sz w:val="24"/>
        </w:rPr>
        <w:t>7.1</w:t>
      </w:r>
      <w:r>
        <w:rPr>
          <w:rFonts w:hAnsi="宋体"/>
          <w:sz w:val="24"/>
        </w:rPr>
        <w:t>平方公里。本项目东面为长兴公司拟建地，南面为正在建设的比德生化科技有限公司</w:t>
      </w:r>
      <w:r>
        <w:rPr>
          <w:sz w:val="24"/>
        </w:rPr>
        <w:t>1000</w:t>
      </w:r>
      <w:r>
        <w:rPr>
          <w:rFonts w:hAnsi="宋体"/>
          <w:sz w:val="24"/>
        </w:rPr>
        <w:t>吨</w:t>
      </w:r>
      <w:r>
        <w:rPr>
          <w:sz w:val="24"/>
        </w:rPr>
        <w:t>/</w:t>
      </w:r>
      <w:r>
        <w:rPr>
          <w:rFonts w:hAnsi="宋体"/>
          <w:sz w:val="24"/>
        </w:rPr>
        <w:t>年三氯吡氧乙酸厂，北为儒溪村居民区，西靠长江防护堤坝。项目地理位置详见附图</w:t>
      </w:r>
      <w:r>
        <w:rPr>
          <w:sz w:val="24"/>
        </w:rPr>
        <w:t>1</w:t>
      </w:r>
      <w:r>
        <w:rPr>
          <w:rFonts w:hAnsi="宋体"/>
          <w:sz w:val="24"/>
        </w:rPr>
        <w:t>。</w:t>
      </w:r>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638" w:name="_Toc28698"/>
      <w:bookmarkStart w:id="639" w:name="_Toc465677003"/>
      <w:r>
        <w:rPr>
          <w:rStyle w:val="2Char1Char"/>
          <w:rFonts w:ascii="Times New Roman" w:eastAsia="宋体" w:hAnsi="Times New Roman" w:cs="Times New Roman"/>
          <w:b w:val="0"/>
          <w:sz w:val="24"/>
          <w:szCs w:val="24"/>
        </w:rPr>
        <w:t>4.1.2</w:t>
      </w:r>
      <w:r>
        <w:rPr>
          <w:rStyle w:val="2Char1Char"/>
          <w:rFonts w:ascii="Times New Roman" w:eastAsia="宋体" w:hAnsi="宋体" w:cs="Times New Roman"/>
          <w:b w:val="0"/>
          <w:sz w:val="24"/>
          <w:szCs w:val="24"/>
        </w:rPr>
        <w:t>地形地貌</w:t>
      </w:r>
      <w:bookmarkEnd w:id="638"/>
      <w:bookmarkEnd w:id="639"/>
    </w:p>
    <w:p w:rsidR="00475650" w:rsidRDefault="00475650">
      <w:pPr>
        <w:pStyle w:val="G"/>
        <w:tabs>
          <w:tab w:val="left" w:pos="1021"/>
        </w:tabs>
        <w:rPr>
          <w:rFonts w:ascii="Times New Roman" w:hAnsi="Times New Roman"/>
          <w:color w:val="auto"/>
          <w:szCs w:val="30"/>
        </w:rPr>
      </w:pPr>
      <w:r>
        <w:rPr>
          <w:rFonts w:hAnsi="宋体"/>
          <w:color w:val="auto"/>
        </w:rPr>
        <w:t>临湘市地处幕阜山余脉东北角，属湘北丘陵向江汉平原过渡地区，整个地势自东南向西北按低山、丘陵、岗地、平原逐级倾斜，地貌类型以丘陵为主，海拔</w:t>
      </w:r>
      <w:r>
        <w:rPr>
          <w:color w:val="auto"/>
        </w:rPr>
        <w:t>23</w:t>
      </w:r>
      <w:r>
        <w:rPr>
          <w:rFonts w:hAnsi="宋体"/>
          <w:color w:val="auto"/>
        </w:rPr>
        <w:t>～</w:t>
      </w:r>
      <w:r>
        <w:rPr>
          <w:color w:val="auto"/>
        </w:rPr>
        <w:t>1261m</w:t>
      </w:r>
      <w:r>
        <w:rPr>
          <w:rFonts w:hAnsi="宋体"/>
          <w:color w:val="auto"/>
        </w:rPr>
        <w:t>。东南部为低山区，最高峰为药菇山，海拔</w:t>
      </w:r>
      <w:r>
        <w:rPr>
          <w:color w:val="auto"/>
        </w:rPr>
        <w:t>1261m</w:t>
      </w:r>
      <w:r>
        <w:rPr>
          <w:rFonts w:hAnsi="宋体"/>
          <w:color w:val="auto"/>
        </w:rPr>
        <w:t>，中部为丘陵区，西北部地形平缓；海拔都在</w:t>
      </w:r>
      <w:r>
        <w:rPr>
          <w:color w:val="auto"/>
        </w:rPr>
        <w:t>100</w:t>
      </w:r>
      <w:r>
        <w:rPr>
          <w:rFonts w:hAnsi="宋体"/>
          <w:color w:val="auto"/>
        </w:rPr>
        <w:t>米以下，以沿长江一带最低：海拔仅</w:t>
      </w:r>
      <w:r>
        <w:rPr>
          <w:color w:val="auto"/>
        </w:rPr>
        <w:t>21.7</w:t>
      </w:r>
      <w:r>
        <w:rPr>
          <w:rFonts w:hAnsi="宋体"/>
          <w:color w:val="auto"/>
        </w:rPr>
        <w:t>米。从东部的药菇山到北部的长江，相对高差</w:t>
      </w:r>
      <w:r>
        <w:rPr>
          <w:color w:val="auto"/>
        </w:rPr>
        <w:t>1239.3</w:t>
      </w:r>
      <w:r>
        <w:rPr>
          <w:rFonts w:hAnsi="宋体"/>
          <w:color w:val="auto"/>
        </w:rPr>
        <w:t>米，比降为</w:t>
      </w:r>
      <w:r>
        <w:rPr>
          <w:color w:val="auto"/>
        </w:rPr>
        <w:t>2.65%</w:t>
      </w:r>
      <w:r>
        <w:rPr>
          <w:rFonts w:hAnsi="宋体"/>
          <w:color w:val="auto"/>
        </w:rPr>
        <w:t>，各类地貌占全市总面积的比重为：低山</w:t>
      </w:r>
      <w:r>
        <w:rPr>
          <w:color w:val="auto"/>
        </w:rPr>
        <w:t>18</w:t>
      </w:r>
      <w:r>
        <w:rPr>
          <w:rFonts w:hAnsi="宋体"/>
          <w:color w:val="auto"/>
        </w:rPr>
        <w:t>％，丘陵</w:t>
      </w:r>
      <w:r>
        <w:rPr>
          <w:color w:val="auto"/>
        </w:rPr>
        <w:t>60</w:t>
      </w:r>
      <w:r>
        <w:rPr>
          <w:rFonts w:hAnsi="宋体"/>
          <w:color w:val="auto"/>
        </w:rPr>
        <w:t>％，平原</w:t>
      </w:r>
      <w:r>
        <w:rPr>
          <w:color w:val="auto"/>
        </w:rPr>
        <w:t>18.5</w:t>
      </w:r>
      <w:r>
        <w:rPr>
          <w:rFonts w:hAnsi="宋体"/>
          <w:color w:val="auto"/>
        </w:rPr>
        <w:t>％，湖泊</w:t>
      </w:r>
      <w:r>
        <w:rPr>
          <w:color w:val="auto"/>
        </w:rPr>
        <w:t>3.5</w:t>
      </w:r>
      <w:r>
        <w:rPr>
          <w:rFonts w:hAnsi="宋体"/>
          <w:color w:val="auto"/>
        </w:rPr>
        <w:t>％。</w:t>
      </w:r>
    </w:p>
    <w:p w:rsidR="00475650" w:rsidRDefault="00475650">
      <w:pPr>
        <w:autoSpaceDE w:val="0"/>
        <w:autoSpaceDN w:val="0"/>
        <w:adjustRightInd w:val="0"/>
        <w:snapToGrid w:val="0"/>
        <w:spacing w:line="360" w:lineRule="auto"/>
        <w:ind w:firstLineChars="200" w:firstLine="480"/>
        <w:rPr>
          <w:sz w:val="24"/>
        </w:rPr>
      </w:pPr>
      <w:r>
        <w:rPr>
          <w:rFonts w:ascii="Arial" w:hAnsi="宋体"/>
          <w:kern w:val="24"/>
          <w:sz w:val="24"/>
          <w:lang w:val="zh-CN"/>
        </w:rPr>
        <w:t>本项目位于园区内，地段属于山岗、丘陵地带，以低矮岗为主，区内未发现有利用价值的矿产，工厂建设不会造成压矿现象。园区内地质环境优良，地质构造不太发育，尚未发现岩浆岩，无火山、地震现象，工程地质良好，不存在滑坡、地面沉</w:t>
      </w:r>
      <w:r>
        <w:rPr>
          <w:rFonts w:hAnsi="宋体"/>
          <w:sz w:val="24"/>
        </w:rPr>
        <w:t>降、泥石流等不良地质现象。根据《中国地震动参数区划图》</w:t>
      </w:r>
      <w:r>
        <w:rPr>
          <w:sz w:val="24"/>
        </w:rPr>
        <w:t>GBl8306-2001</w:t>
      </w:r>
      <w:r>
        <w:rPr>
          <w:rFonts w:hAnsi="宋体"/>
          <w:sz w:val="24"/>
        </w:rPr>
        <w:t>，项目地震动峰值加速度为</w:t>
      </w:r>
      <w:r>
        <w:rPr>
          <w:sz w:val="24"/>
        </w:rPr>
        <w:t>0.1g</w:t>
      </w:r>
      <w:r>
        <w:rPr>
          <w:rFonts w:hAnsi="宋体"/>
          <w:sz w:val="24"/>
        </w:rPr>
        <w:t>，地震动反应谱特性周期为</w:t>
      </w:r>
      <w:r>
        <w:rPr>
          <w:sz w:val="24"/>
        </w:rPr>
        <w:t>0.35s</w:t>
      </w:r>
      <w:r>
        <w:rPr>
          <w:rFonts w:hAnsi="宋体"/>
          <w:sz w:val="24"/>
        </w:rPr>
        <w:t>，地震基本烈度为</w:t>
      </w:r>
      <w:r>
        <w:rPr>
          <w:sz w:val="24"/>
        </w:rPr>
        <w:t>7</w:t>
      </w:r>
      <w:r>
        <w:rPr>
          <w:rFonts w:hAnsi="宋体"/>
          <w:sz w:val="24"/>
        </w:rPr>
        <w:t>度。</w:t>
      </w:r>
    </w:p>
    <w:p w:rsidR="00475650" w:rsidRDefault="00475650">
      <w:pPr>
        <w:autoSpaceDE w:val="0"/>
        <w:autoSpaceDN w:val="0"/>
        <w:adjustRightInd w:val="0"/>
        <w:snapToGrid w:val="0"/>
        <w:spacing w:line="360" w:lineRule="auto"/>
        <w:ind w:firstLineChars="200" w:firstLine="480"/>
        <w:rPr>
          <w:rFonts w:hAnsi="宋体"/>
          <w:sz w:val="24"/>
        </w:rPr>
      </w:pPr>
      <w:r>
        <w:rPr>
          <w:rFonts w:hAnsi="宋体"/>
          <w:sz w:val="24"/>
        </w:rPr>
        <w:t>厂址及周围无需特殊保护的地质景观和地貌特征。</w:t>
      </w:r>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640" w:name="_Toc465677004"/>
      <w:bookmarkStart w:id="641" w:name="_Toc13019"/>
      <w:r>
        <w:rPr>
          <w:rStyle w:val="2Char1Char"/>
          <w:rFonts w:ascii="Times New Roman" w:eastAsia="宋体" w:hAnsi="Times New Roman" w:cs="Times New Roman"/>
          <w:b w:val="0"/>
          <w:sz w:val="24"/>
          <w:szCs w:val="24"/>
        </w:rPr>
        <w:lastRenderedPageBreak/>
        <w:t>4.1.</w:t>
      </w:r>
      <w:r>
        <w:rPr>
          <w:rStyle w:val="2Char1Char"/>
          <w:rFonts w:ascii="Times New Roman" w:eastAsia="宋体" w:hAnsi="Times New Roman" w:cs="Times New Roman" w:hint="eastAsia"/>
          <w:b w:val="0"/>
          <w:sz w:val="24"/>
          <w:szCs w:val="24"/>
        </w:rPr>
        <w:t>3</w:t>
      </w:r>
      <w:r>
        <w:rPr>
          <w:rStyle w:val="2Char1Char"/>
          <w:rFonts w:ascii="Times New Roman" w:eastAsia="宋体" w:hAnsi="Times New Roman" w:cs="Times New Roman" w:hint="eastAsia"/>
          <w:b w:val="0"/>
          <w:sz w:val="24"/>
          <w:szCs w:val="24"/>
        </w:rPr>
        <w:t>地质构造</w:t>
      </w:r>
      <w:bookmarkEnd w:id="640"/>
      <w:bookmarkEnd w:id="641"/>
    </w:p>
    <w:p w:rsidR="00475650" w:rsidRDefault="00475650">
      <w:pPr>
        <w:autoSpaceDE w:val="0"/>
        <w:autoSpaceDN w:val="0"/>
        <w:adjustRightInd w:val="0"/>
        <w:snapToGrid w:val="0"/>
        <w:spacing w:line="360" w:lineRule="auto"/>
        <w:ind w:firstLineChars="200" w:firstLine="480"/>
        <w:rPr>
          <w:rFonts w:hAnsi="宋体"/>
          <w:sz w:val="24"/>
        </w:rPr>
      </w:pPr>
      <w:r>
        <w:rPr>
          <w:rFonts w:hAnsi="宋体"/>
          <w:sz w:val="24"/>
        </w:rPr>
        <w:t>本区域构造背景是以北西向构造构成基底，东西向构造横贯全区，北东向构造纵贯南北，构成本区主要格架。</w:t>
      </w:r>
    </w:p>
    <w:p w:rsidR="00475650" w:rsidRDefault="00475650">
      <w:pPr>
        <w:autoSpaceDE w:val="0"/>
        <w:autoSpaceDN w:val="0"/>
        <w:adjustRightInd w:val="0"/>
        <w:snapToGrid w:val="0"/>
        <w:spacing w:line="360" w:lineRule="auto"/>
        <w:ind w:firstLineChars="200" w:firstLine="480"/>
        <w:rPr>
          <w:rFonts w:hAnsi="宋体"/>
          <w:sz w:val="24"/>
        </w:rPr>
      </w:pPr>
      <w:r>
        <w:rPr>
          <w:rFonts w:hAnsi="宋体"/>
          <w:sz w:val="24"/>
        </w:rPr>
        <w:t>岳阳处于石门—华容—临湘东西构造带与新华厦构造体系构造复合部位，基底构造为北西——北西西向分布的土马坳扇形背斜，盖层构造有临湘东西向向斜和北西向新开——郭镇向斜。北东向断裂构造有湘阴——洪湖大断裂（湘江断裂）。</w:t>
      </w:r>
    </w:p>
    <w:p w:rsidR="00475650" w:rsidRDefault="00475650">
      <w:pPr>
        <w:autoSpaceDE w:val="0"/>
        <w:autoSpaceDN w:val="0"/>
        <w:adjustRightInd w:val="0"/>
        <w:snapToGrid w:val="0"/>
        <w:spacing w:line="360" w:lineRule="auto"/>
        <w:ind w:firstLineChars="200" w:firstLine="480"/>
        <w:rPr>
          <w:rFonts w:hAnsi="宋体"/>
          <w:sz w:val="24"/>
        </w:rPr>
      </w:pPr>
      <w:r>
        <w:rPr>
          <w:rFonts w:hAnsi="宋体"/>
          <w:sz w:val="24"/>
        </w:rPr>
        <w:t>（</w:t>
      </w:r>
      <w:r>
        <w:rPr>
          <w:rFonts w:hAnsi="宋体"/>
          <w:sz w:val="24"/>
        </w:rPr>
        <w:t>1</w:t>
      </w:r>
      <w:r>
        <w:rPr>
          <w:rFonts w:hAnsi="宋体"/>
          <w:sz w:val="24"/>
        </w:rPr>
        <w:t>）土马坳倒转扇形背斜</w:t>
      </w:r>
    </w:p>
    <w:p w:rsidR="00475650" w:rsidRDefault="00475650">
      <w:pPr>
        <w:autoSpaceDE w:val="0"/>
        <w:autoSpaceDN w:val="0"/>
        <w:adjustRightInd w:val="0"/>
        <w:snapToGrid w:val="0"/>
        <w:spacing w:line="360" w:lineRule="auto"/>
        <w:ind w:firstLineChars="200" w:firstLine="480"/>
        <w:rPr>
          <w:rFonts w:hAnsi="宋体"/>
          <w:sz w:val="24"/>
        </w:rPr>
      </w:pPr>
      <w:r>
        <w:rPr>
          <w:rFonts w:hAnsi="宋体"/>
          <w:sz w:val="24"/>
        </w:rPr>
        <w:t>土马坳扇形背斜：为区内主要褶皱构造，其轴部见于土马坳——大云山一带，西起长江边的芭蕉湖一带，向东南经土马坳至桃林附近被上白垩下第三系“红层”覆盖，再往东南至方山岭被花岗岩吞没，背斜核部由冷家溪群第二岩组的灰绿色粉砂质板岩夹泥质板岩组成，岩性较软，易于风化，地貌上形成丘陵，两翼由变质砂岩、板岩组成，北翼岩层产状向南东倾，倾角</w:t>
      </w:r>
      <w:r>
        <w:rPr>
          <w:rFonts w:hAnsi="宋体"/>
          <w:sz w:val="24"/>
        </w:rPr>
        <w:t>50-84</w:t>
      </w:r>
      <w:r>
        <w:rPr>
          <w:rFonts w:hAnsi="宋体"/>
          <w:sz w:val="24"/>
        </w:rPr>
        <w:t>度，南翼产状由于倒转倾向北东，倾角</w:t>
      </w:r>
      <w:r>
        <w:rPr>
          <w:rFonts w:hAnsi="宋体"/>
          <w:sz w:val="24"/>
        </w:rPr>
        <w:t>30-86</w:t>
      </w:r>
      <w:r>
        <w:rPr>
          <w:rFonts w:hAnsi="宋体"/>
          <w:sz w:val="24"/>
        </w:rPr>
        <w:t>度，倾向</w:t>
      </w:r>
      <w:r>
        <w:rPr>
          <w:rFonts w:hAnsi="宋体"/>
          <w:sz w:val="24"/>
        </w:rPr>
        <w:t>30-75</w:t>
      </w:r>
      <w:r>
        <w:rPr>
          <w:rFonts w:hAnsi="宋体"/>
          <w:sz w:val="24"/>
        </w:rPr>
        <w:t>度。</w:t>
      </w:r>
    </w:p>
    <w:p w:rsidR="00475650" w:rsidRDefault="00475650">
      <w:pPr>
        <w:autoSpaceDE w:val="0"/>
        <w:autoSpaceDN w:val="0"/>
        <w:adjustRightInd w:val="0"/>
        <w:snapToGrid w:val="0"/>
        <w:spacing w:line="360" w:lineRule="auto"/>
        <w:ind w:firstLineChars="200" w:firstLine="480"/>
        <w:rPr>
          <w:rFonts w:hAnsi="宋体"/>
          <w:sz w:val="24"/>
        </w:rPr>
      </w:pPr>
      <w:r>
        <w:rPr>
          <w:rFonts w:hAnsi="宋体"/>
          <w:sz w:val="24"/>
        </w:rPr>
        <w:t>（</w:t>
      </w:r>
      <w:r>
        <w:rPr>
          <w:rFonts w:hAnsi="宋体"/>
          <w:sz w:val="24"/>
        </w:rPr>
        <w:t>2</w:t>
      </w:r>
      <w:r>
        <w:rPr>
          <w:rFonts w:hAnsi="宋体"/>
          <w:sz w:val="24"/>
        </w:rPr>
        <w:t>）湘阴——洪湖大断裂（湘江断裂）</w:t>
      </w:r>
    </w:p>
    <w:p w:rsidR="00475650" w:rsidRDefault="00475650">
      <w:pPr>
        <w:autoSpaceDE w:val="0"/>
        <w:autoSpaceDN w:val="0"/>
        <w:adjustRightInd w:val="0"/>
        <w:snapToGrid w:val="0"/>
        <w:spacing w:line="360" w:lineRule="auto"/>
        <w:ind w:firstLineChars="200" w:firstLine="480"/>
        <w:rPr>
          <w:rFonts w:hAnsi="宋体"/>
          <w:sz w:val="24"/>
        </w:rPr>
      </w:pPr>
      <w:r>
        <w:rPr>
          <w:rFonts w:hAnsi="宋体"/>
          <w:sz w:val="24"/>
        </w:rPr>
        <w:t>由湘阴基本循湘江呈北东</w:t>
      </w:r>
      <w:r>
        <w:rPr>
          <w:rFonts w:hAnsi="宋体"/>
          <w:sz w:val="24"/>
        </w:rPr>
        <w:t>30</w:t>
      </w:r>
      <w:r>
        <w:rPr>
          <w:rFonts w:hAnsi="宋体"/>
          <w:sz w:val="24"/>
        </w:rPr>
        <w:t>度走向直达湖北洪湖，重磁异常为线状异常，卫星照片清晰，断层切断了冷家溪群到侏罗系的全部地层和老构造线，断裂两盘地形对照反差明显，西盘大幅度沉降，堆积了厚度较大的第四系地层（厚度达</w:t>
      </w:r>
      <w:r>
        <w:rPr>
          <w:rFonts w:hAnsi="宋体"/>
          <w:sz w:val="24"/>
        </w:rPr>
        <w:t>280</w:t>
      </w:r>
      <w:r>
        <w:rPr>
          <w:rFonts w:hAnsi="宋体"/>
          <w:sz w:val="24"/>
        </w:rPr>
        <w:t>米），断层东侧低山丘陵，岩石出露，为老的构造线，但挽近期有新的活动迹象。</w:t>
      </w:r>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642" w:name="_Toc465677005"/>
      <w:bookmarkStart w:id="643" w:name="_Toc9339"/>
      <w:r>
        <w:rPr>
          <w:rStyle w:val="2Char1Char"/>
          <w:rFonts w:ascii="Times New Roman" w:eastAsia="宋体" w:hAnsi="Times New Roman" w:cs="Times New Roman"/>
          <w:b w:val="0"/>
          <w:sz w:val="24"/>
          <w:szCs w:val="24"/>
        </w:rPr>
        <w:t>4.1.</w:t>
      </w:r>
      <w:r>
        <w:rPr>
          <w:rStyle w:val="2Char1Char"/>
          <w:rFonts w:ascii="Times New Roman" w:eastAsia="宋体" w:hAnsi="Times New Roman" w:cs="Times New Roman" w:hint="eastAsia"/>
          <w:b w:val="0"/>
          <w:sz w:val="24"/>
          <w:szCs w:val="24"/>
        </w:rPr>
        <w:t>4</w:t>
      </w:r>
      <w:r>
        <w:rPr>
          <w:rStyle w:val="2Char1Char"/>
          <w:rFonts w:ascii="Times New Roman" w:eastAsia="宋体" w:hAnsi="宋体" w:cs="Times New Roman"/>
          <w:b w:val="0"/>
          <w:sz w:val="24"/>
          <w:szCs w:val="24"/>
        </w:rPr>
        <w:t>气象</w:t>
      </w:r>
      <w:bookmarkEnd w:id="642"/>
      <w:bookmarkEnd w:id="643"/>
    </w:p>
    <w:p w:rsidR="00475650" w:rsidRDefault="00475650">
      <w:pPr>
        <w:autoSpaceDE w:val="0"/>
        <w:autoSpaceDN w:val="0"/>
        <w:adjustRightInd w:val="0"/>
        <w:snapToGrid w:val="0"/>
        <w:spacing w:line="360" w:lineRule="auto"/>
        <w:ind w:firstLineChars="200" w:firstLine="480"/>
        <w:rPr>
          <w:sz w:val="24"/>
        </w:rPr>
      </w:pPr>
      <w:r>
        <w:rPr>
          <w:rFonts w:hAnsi="宋体"/>
          <w:sz w:val="24"/>
        </w:rPr>
        <w:t>临湘市属北亚热带季风湿润气候区，气候湿润，根据临湘市气象站</w:t>
      </w:r>
      <w:r>
        <w:rPr>
          <w:sz w:val="24"/>
        </w:rPr>
        <w:t>1971</w:t>
      </w:r>
      <w:r>
        <w:rPr>
          <w:rFonts w:hAnsi="宋体"/>
          <w:sz w:val="24"/>
        </w:rPr>
        <w:t>－</w:t>
      </w:r>
      <w:r>
        <w:rPr>
          <w:sz w:val="24"/>
        </w:rPr>
        <w:t>2000</w:t>
      </w:r>
      <w:r>
        <w:rPr>
          <w:rFonts w:hAnsi="宋体"/>
          <w:sz w:val="24"/>
        </w:rPr>
        <w:t>三十年的气象资料统计，年平均气温</w:t>
      </w:r>
      <w:r>
        <w:rPr>
          <w:sz w:val="24"/>
        </w:rPr>
        <w:t>16.5</w:t>
      </w:r>
      <w:r>
        <w:rPr>
          <w:rFonts w:ascii="宋体" w:hAnsi="宋体"/>
          <w:sz w:val="24"/>
        </w:rPr>
        <w:t>℃</w:t>
      </w:r>
      <w:r>
        <w:rPr>
          <w:rFonts w:hAnsi="宋体"/>
          <w:sz w:val="24"/>
        </w:rPr>
        <w:t>，年平均降雨量</w:t>
      </w:r>
      <w:r>
        <w:rPr>
          <w:sz w:val="24"/>
        </w:rPr>
        <w:t>1556.2mm</w:t>
      </w:r>
      <w:r>
        <w:rPr>
          <w:rFonts w:hAnsi="宋体"/>
          <w:sz w:val="24"/>
        </w:rPr>
        <w:t>，年平均相对湿度为</w:t>
      </w:r>
      <w:r>
        <w:rPr>
          <w:sz w:val="24"/>
        </w:rPr>
        <w:t>80%</w:t>
      </w:r>
      <w:r>
        <w:rPr>
          <w:rFonts w:hAnsi="宋体"/>
          <w:sz w:val="24"/>
        </w:rPr>
        <w:t>，全年无霜期为</w:t>
      </w:r>
      <w:r>
        <w:rPr>
          <w:sz w:val="24"/>
        </w:rPr>
        <w:t>317</w:t>
      </w:r>
      <w:r>
        <w:rPr>
          <w:rFonts w:hAnsi="宋体"/>
          <w:sz w:val="24"/>
        </w:rPr>
        <w:t>天，年日照时数为</w:t>
      </w:r>
      <w:r>
        <w:rPr>
          <w:sz w:val="24"/>
        </w:rPr>
        <w:t>1722.1~1816.5h</w:t>
      </w:r>
      <w:r>
        <w:rPr>
          <w:rFonts w:hAnsi="宋体"/>
          <w:sz w:val="24"/>
        </w:rPr>
        <w:t>，是湖南日照时数最多的地区之一。气候特点是：温暖期长，严寒期短，四季分明，雨量充沛。</w:t>
      </w:r>
    </w:p>
    <w:p w:rsidR="00475650" w:rsidRDefault="00475650">
      <w:pPr>
        <w:autoSpaceDE w:val="0"/>
        <w:autoSpaceDN w:val="0"/>
        <w:adjustRightInd w:val="0"/>
        <w:snapToGrid w:val="0"/>
        <w:spacing w:line="360" w:lineRule="auto"/>
        <w:ind w:firstLineChars="200" w:firstLine="480"/>
        <w:rPr>
          <w:sz w:val="24"/>
        </w:rPr>
      </w:pPr>
      <w:r>
        <w:rPr>
          <w:rFonts w:hAnsi="宋体"/>
          <w:sz w:val="24"/>
        </w:rPr>
        <w:t>常年主导风向为</w:t>
      </w:r>
      <w:r>
        <w:rPr>
          <w:sz w:val="24"/>
        </w:rPr>
        <w:t>NEN</w:t>
      </w:r>
      <w:r>
        <w:rPr>
          <w:rFonts w:hAnsi="宋体"/>
          <w:sz w:val="24"/>
        </w:rPr>
        <w:t>，夏季主导风为</w:t>
      </w:r>
      <w:r>
        <w:rPr>
          <w:sz w:val="24"/>
        </w:rPr>
        <w:t>SWS</w:t>
      </w:r>
      <w:r>
        <w:rPr>
          <w:rFonts w:hAnsi="宋体"/>
          <w:sz w:val="24"/>
        </w:rPr>
        <w:t>，冬季主导风向为</w:t>
      </w:r>
      <w:r>
        <w:rPr>
          <w:sz w:val="24"/>
        </w:rPr>
        <w:t>NEN</w:t>
      </w:r>
      <w:r>
        <w:rPr>
          <w:rFonts w:hAnsi="宋体"/>
          <w:sz w:val="24"/>
        </w:rPr>
        <w:t>，主要气象资料如下：</w:t>
      </w:r>
    </w:p>
    <w:p w:rsidR="00475650" w:rsidRDefault="00475650">
      <w:pPr>
        <w:autoSpaceDE w:val="0"/>
        <w:autoSpaceDN w:val="0"/>
        <w:adjustRightInd w:val="0"/>
        <w:snapToGrid w:val="0"/>
        <w:spacing w:line="360" w:lineRule="auto"/>
        <w:ind w:firstLineChars="200" w:firstLine="480"/>
        <w:rPr>
          <w:sz w:val="24"/>
        </w:rPr>
      </w:pPr>
      <w:r>
        <w:rPr>
          <w:rFonts w:hAnsi="宋体"/>
          <w:sz w:val="24"/>
        </w:rPr>
        <w:t>其主要气象参数为：</w:t>
      </w:r>
    </w:p>
    <w:p w:rsidR="00475650" w:rsidRDefault="00475650">
      <w:pPr>
        <w:autoSpaceDE w:val="0"/>
        <w:autoSpaceDN w:val="0"/>
        <w:adjustRightInd w:val="0"/>
        <w:snapToGrid w:val="0"/>
        <w:spacing w:line="360" w:lineRule="auto"/>
        <w:ind w:firstLineChars="200" w:firstLine="480"/>
        <w:rPr>
          <w:sz w:val="24"/>
        </w:rPr>
      </w:pPr>
      <w:r>
        <w:rPr>
          <w:rFonts w:hAnsi="宋体"/>
          <w:sz w:val="24"/>
        </w:rPr>
        <w:t>年平均气温</w:t>
      </w:r>
      <w:r>
        <w:rPr>
          <w:sz w:val="24"/>
        </w:rPr>
        <w:t xml:space="preserve">                   16.5</w:t>
      </w:r>
      <w:r>
        <w:rPr>
          <w:rFonts w:ascii="宋体" w:hAnsi="宋体"/>
          <w:sz w:val="24"/>
        </w:rPr>
        <w:t>℃</w:t>
      </w:r>
    </w:p>
    <w:p w:rsidR="00475650" w:rsidRDefault="00475650">
      <w:pPr>
        <w:autoSpaceDE w:val="0"/>
        <w:autoSpaceDN w:val="0"/>
        <w:adjustRightInd w:val="0"/>
        <w:snapToGrid w:val="0"/>
        <w:spacing w:line="360" w:lineRule="auto"/>
        <w:ind w:firstLineChars="200" w:firstLine="480"/>
        <w:rPr>
          <w:sz w:val="24"/>
        </w:rPr>
      </w:pPr>
      <w:r>
        <w:rPr>
          <w:rFonts w:hAnsi="宋体"/>
          <w:sz w:val="24"/>
        </w:rPr>
        <w:t>极端最低温度</w:t>
      </w:r>
      <w:r>
        <w:rPr>
          <w:sz w:val="24"/>
        </w:rPr>
        <w:t xml:space="preserve">                 -18.0</w:t>
      </w:r>
      <w:r>
        <w:rPr>
          <w:rFonts w:ascii="宋体" w:hAnsi="宋体"/>
          <w:sz w:val="24"/>
        </w:rPr>
        <w:t>℃</w:t>
      </w:r>
    </w:p>
    <w:p w:rsidR="00475650" w:rsidRDefault="00475650">
      <w:pPr>
        <w:autoSpaceDE w:val="0"/>
        <w:autoSpaceDN w:val="0"/>
        <w:adjustRightInd w:val="0"/>
        <w:snapToGrid w:val="0"/>
        <w:spacing w:line="360" w:lineRule="auto"/>
        <w:ind w:firstLineChars="200" w:firstLine="480"/>
        <w:rPr>
          <w:sz w:val="24"/>
        </w:rPr>
      </w:pPr>
      <w:r>
        <w:rPr>
          <w:rFonts w:hAnsi="宋体"/>
          <w:sz w:val="24"/>
        </w:rPr>
        <w:t>极端最高温度</w:t>
      </w:r>
      <w:r>
        <w:rPr>
          <w:sz w:val="24"/>
        </w:rPr>
        <w:t xml:space="preserve">                 39.3</w:t>
      </w:r>
      <w:r>
        <w:rPr>
          <w:rFonts w:ascii="宋体" w:hAnsi="宋体"/>
          <w:sz w:val="24"/>
        </w:rPr>
        <w:t>℃</w:t>
      </w:r>
    </w:p>
    <w:p w:rsidR="00475650" w:rsidRDefault="00475650">
      <w:pPr>
        <w:autoSpaceDE w:val="0"/>
        <w:autoSpaceDN w:val="0"/>
        <w:adjustRightInd w:val="0"/>
        <w:snapToGrid w:val="0"/>
        <w:spacing w:line="360" w:lineRule="auto"/>
        <w:ind w:firstLineChars="200" w:firstLine="480"/>
        <w:rPr>
          <w:sz w:val="24"/>
        </w:rPr>
      </w:pPr>
      <w:r>
        <w:rPr>
          <w:rFonts w:hAnsi="宋体"/>
          <w:sz w:val="24"/>
        </w:rPr>
        <w:lastRenderedPageBreak/>
        <w:t>最高月平均气温</w:t>
      </w:r>
      <w:r>
        <w:rPr>
          <w:sz w:val="24"/>
        </w:rPr>
        <w:t xml:space="preserve">               29.2</w:t>
      </w:r>
      <w:r>
        <w:rPr>
          <w:rFonts w:ascii="宋体" w:hAnsi="宋体"/>
          <w:sz w:val="24"/>
        </w:rPr>
        <w:t>℃</w:t>
      </w:r>
      <w:r>
        <w:rPr>
          <w:sz w:val="24"/>
        </w:rPr>
        <w:t xml:space="preserve"> (7</w:t>
      </w:r>
      <w:r>
        <w:rPr>
          <w:rFonts w:hAnsi="宋体"/>
          <w:sz w:val="24"/>
        </w:rPr>
        <w:t>月</w:t>
      </w:r>
      <w:r>
        <w:rPr>
          <w:sz w:val="24"/>
        </w:rPr>
        <w:t>)</w:t>
      </w:r>
    </w:p>
    <w:p w:rsidR="00475650" w:rsidRDefault="00475650">
      <w:pPr>
        <w:autoSpaceDE w:val="0"/>
        <w:autoSpaceDN w:val="0"/>
        <w:adjustRightInd w:val="0"/>
        <w:snapToGrid w:val="0"/>
        <w:spacing w:line="360" w:lineRule="auto"/>
        <w:ind w:firstLineChars="200" w:firstLine="480"/>
        <w:rPr>
          <w:sz w:val="24"/>
        </w:rPr>
      </w:pPr>
      <w:r>
        <w:rPr>
          <w:rFonts w:hAnsi="宋体"/>
          <w:sz w:val="24"/>
        </w:rPr>
        <w:t>最低月平均气温</w:t>
      </w:r>
      <w:r>
        <w:rPr>
          <w:sz w:val="24"/>
        </w:rPr>
        <w:t xml:space="preserve">               4.4</w:t>
      </w:r>
      <w:r>
        <w:rPr>
          <w:rFonts w:ascii="宋体" w:hAnsi="宋体"/>
          <w:sz w:val="24"/>
        </w:rPr>
        <w:t>℃</w:t>
      </w:r>
      <w:r>
        <w:rPr>
          <w:sz w:val="24"/>
        </w:rPr>
        <w:t xml:space="preserve"> (1</w:t>
      </w:r>
      <w:r>
        <w:rPr>
          <w:rFonts w:hAnsi="宋体"/>
          <w:sz w:val="24"/>
        </w:rPr>
        <w:t>月</w:t>
      </w:r>
      <w:r>
        <w:rPr>
          <w:sz w:val="24"/>
        </w:rPr>
        <w:t>)</w:t>
      </w:r>
    </w:p>
    <w:p w:rsidR="00475650" w:rsidRDefault="00475650">
      <w:pPr>
        <w:autoSpaceDE w:val="0"/>
        <w:autoSpaceDN w:val="0"/>
        <w:adjustRightInd w:val="0"/>
        <w:snapToGrid w:val="0"/>
        <w:spacing w:line="360" w:lineRule="auto"/>
        <w:ind w:firstLineChars="200" w:firstLine="480"/>
        <w:rPr>
          <w:sz w:val="24"/>
        </w:rPr>
      </w:pPr>
      <w:r>
        <w:rPr>
          <w:rFonts w:hAnsi="宋体"/>
          <w:sz w:val="24"/>
        </w:rPr>
        <w:t>年平均湿度</w:t>
      </w:r>
      <w:r>
        <w:rPr>
          <w:sz w:val="24"/>
        </w:rPr>
        <w:t xml:space="preserve">                   80%</w:t>
      </w:r>
    </w:p>
    <w:p w:rsidR="00475650" w:rsidRDefault="00475650">
      <w:pPr>
        <w:autoSpaceDE w:val="0"/>
        <w:autoSpaceDN w:val="0"/>
        <w:adjustRightInd w:val="0"/>
        <w:snapToGrid w:val="0"/>
        <w:spacing w:line="360" w:lineRule="auto"/>
        <w:ind w:firstLineChars="200" w:firstLine="480"/>
        <w:rPr>
          <w:sz w:val="24"/>
        </w:rPr>
      </w:pPr>
      <w:r>
        <w:rPr>
          <w:rFonts w:hAnsi="宋体"/>
          <w:sz w:val="24"/>
        </w:rPr>
        <w:t>年平均气压</w:t>
      </w:r>
      <w:r>
        <w:rPr>
          <w:sz w:val="24"/>
        </w:rPr>
        <w:t xml:space="preserve">                   100880Pa</w:t>
      </w:r>
    </w:p>
    <w:p w:rsidR="00475650" w:rsidRDefault="00475650">
      <w:pPr>
        <w:autoSpaceDE w:val="0"/>
        <w:autoSpaceDN w:val="0"/>
        <w:adjustRightInd w:val="0"/>
        <w:snapToGrid w:val="0"/>
        <w:spacing w:line="360" w:lineRule="auto"/>
        <w:ind w:firstLineChars="200" w:firstLine="480"/>
        <w:rPr>
          <w:sz w:val="24"/>
        </w:rPr>
      </w:pPr>
      <w:r>
        <w:rPr>
          <w:rFonts w:hAnsi="宋体"/>
          <w:sz w:val="24"/>
        </w:rPr>
        <w:t>年主导风向</w:t>
      </w:r>
      <w:r>
        <w:rPr>
          <w:sz w:val="24"/>
        </w:rPr>
        <w:t xml:space="preserve">                   NEN</w:t>
      </w:r>
    </w:p>
    <w:p w:rsidR="00475650" w:rsidRDefault="00475650">
      <w:pPr>
        <w:autoSpaceDE w:val="0"/>
        <w:autoSpaceDN w:val="0"/>
        <w:adjustRightInd w:val="0"/>
        <w:snapToGrid w:val="0"/>
        <w:spacing w:line="360" w:lineRule="auto"/>
        <w:ind w:firstLineChars="200" w:firstLine="480"/>
        <w:rPr>
          <w:sz w:val="24"/>
        </w:rPr>
      </w:pPr>
      <w:r>
        <w:rPr>
          <w:rFonts w:hAnsi="宋体"/>
          <w:sz w:val="24"/>
        </w:rPr>
        <w:t>冬季主导风向</w:t>
      </w:r>
      <w:r>
        <w:rPr>
          <w:sz w:val="24"/>
        </w:rPr>
        <w:t xml:space="preserve">                 </w:t>
      </w:r>
      <w:r>
        <w:rPr>
          <w:rFonts w:hAnsi="宋体"/>
          <w:sz w:val="24"/>
        </w:rPr>
        <w:t>东北偏北风</w:t>
      </w:r>
      <w:r>
        <w:rPr>
          <w:sz w:val="24"/>
        </w:rPr>
        <w:t>(12</w:t>
      </w:r>
      <w:r>
        <w:rPr>
          <w:rFonts w:hAnsi="宋体"/>
          <w:sz w:val="24"/>
        </w:rPr>
        <w:t>、</w:t>
      </w:r>
      <w:r>
        <w:rPr>
          <w:sz w:val="24"/>
        </w:rPr>
        <w:t>1</w:t>
      </w:r>
      <w:r>
        <w:rPr>
          <w:rFonts w:hAnsi="宋体"/>
          <w:sz w:val="24"/>
        </w:rPr>
        <w:t>、</w:t>
      </w:r>
      <w:r>
        <w:rPr>
          <w:sz w:val="24"/>
        </w:rPr>
        <w:t>2</w:t>
      </w:r>
      <w:r>
        <w:rPr>
          <w:rFonts w:hAnsi="宋体"/>
          <w:sz w:val="24"/>
        </w:rPr>
        <w:t>月</w:t>
      </w:r>
      <w:r>
        <w:rPr>
          <w:sz w:val="24"/>
        </w:rPr>
        <w:t>)</w:t>
      </w:r>
    </w:p>
    <w:p w:rsidR="00475650" w:rsidRDefault="00475650">
      <w:pPr>
        <w:autoSpaceDE w:val="0"/>
        <w:autoSpaceDN w:val="0"/>
        <w:adjustRightInd w:val="0"/>
        <w:snapToGrid w:val="0"/>
        <w:spacing w:line="360" w:lineRule="auto"/>
        <w:ind w:firstLineChars="200" w:firstLine="480"/>
        <w:rPr>
          <w:sz w:val="24"/>
        </w:rPr>
      </w:pPr>
      <w:r>
        <w:rPr>
          <w:rFonts w:hAnsi="宋体"/>
          <w:sz w:val="24"/>
        </w:rPr>
        <w:t>夏季主导风向</w:t>
      </w:r>
      <w:r>
        <w:rPr>
          <w:sz w:val="24"/>
        </w:rPr>
        <w:t xml:space="preserve">                 6</w:t>
      </w:r>
      <w:r>
        <w:rPr>
          <w:rFonts w:hAnsi="宋体"/>
          <w:sz w:val="24"/>
        </w:rPr>
        <w:t>、</w:t>
      </w:r>
      <w:r>
        <w:rPr>
          <w:sz w:val="24"/>
        </w:rPr>
        <w:t>7</w:t>
      </w:r>
      <w:r>
        <w:rPr>
          <w:rFonts w:hAnsi="宋体"/>
          <w:sz w:val="24"/>
        </w:rPr>
        <w:t>月西南偏南风，</w:t>
      </w:r>
      <w:r>
        <w:rPr>
          <w:sz w:val="24"/>
        </w:rPr>
        <w:t>8</w:t>
      </w:r>
      <w:r>
        <w:rPr>
          <w:rFonts w:hAnsi="宋体"/>
          <w:sz w:val="24"/>
        </w:rPr>
        <w:t>月东北偏北风</w:t>
      </w:r>
    </w:p>
    <w:p w:rsidR="00475650" w:rsidRDefault="00475650">
      <w:pPr>
        <w:autoSpaceDE w:val="0"/>
        <w:autoSpaceDN w:val="0"/>
        <w:adjustRightInd w:val="0"/>
        <w:snapToGrid w:val="0"/>
        <w:spacing w:line="360" w:lineRule="auto"/>
        <w:ind w:firstLineChars="200" w:firstLine="480"/>
        <w:rPr>
          <w:sz w:val="24"/>
        </w:rPr>
      </w:pPr>
      <w:r>
        <w:rPr>
          <w:rFonts w:hAnsi="宋体"/>
          <w:sz w:val="24"/>
        </w:rPr>
        <w:t>冬季最大风速</w:t>
      </w:r>
      <w:r>
        <w:rPr>
          <w:sz w:val="24"/>
        </w:rPr>
        <w:t xml:space="preserve">                 20.3m/s</w:t>
      </w:r>
    </w:p>
    <w:p w:rsidR="00475650" w:rsidRDefault="00475650">
      <w:pPr>
        <w:autoSpaceDE w:val="0"/>
        <w:autoSpaceDN w:val="0"/>
        <w:adjustRightInd w:val="0"/>
        <w:snapToGrid w:val="0"/>
        <w:spacing w:line="360" w:lineRule="auto"/>
        <w:ind w:firstLineChars="200" w:firstLine="480"/>
        <w:rPr>
          <w:sz w:val="24"/>
        </w:rPr>
      </w:pPr>
      <w:r>
        <w:rPr>
          <w:rFonts w:hAnsi="宋体"/>
          <w:sz w:val="24"/>
        </w:rPr>
        <w:t>年平均风速</w:t>
      </w:r>
      <w:r>
        <w:rPr>
          <w:sz w:val="24"/>
        </w:rPr>
        <w:t xml:space="preserve">                   2.2m/s(</w:t>
      </w:r>
      <w:r>
        <w:rPr>
          <w:rFonts w:hAnsi="宋体"/>
          <w:sz w:val="24"/>
        </w:rPr>
        <w:t>最大风速</w:t>
      </w:r>
      <w:r>
        <w:rPr>
          <w:sz w:val="24"/>
        </w:rPr>
        <w:t>20.3m/s)</w:t>
      </w:r>
    </w:p>
    <w:p w:rsidR="00475650" w:rsidRDefault="00475650">
      <w:pPr>
        <w:autoSpaceDE w:val="0"/>
        <w:autoSpaceDN w:val="0"/>
        <w:adjustRightInd w:val="0"/>
        <w:snapToGrid w:val="0"/>
        <w:spacing w:line="360" w:lineRule="auto"/>
        <w:ind w:firstLineChars="200" w:firstLine="480"/>
        <w:rPr>
          <w:sz w:val="24"/>
        </w:rPr>
      </w:pPr>
      <w:r>
        <w:rPr>
          <w:rFonts w:hAnsi="宋体"/>
          <w:sz w:val="24"/>
        </w:rPr>
        <w:t>八级以上大风日数</w:t>
      </w:r>
      <w:r>
        <w:rPr>
          <w:sz w:val="24"/>
        </w:rPr>
        <w:t xml:space="preserve">             </w:t>
      </w:r>
      <w:r>
        <w:rPr>
          <w:rFonts w:hAnsi="宋体"/>
          <w:sz w:val="24"/>
        </w:rPr>
        <w:t>年平均</w:t>
      </w:r>
      <w:r>
        <w:rPr>
          <w:sz w:val="24"/>
        </w:rPr>
        <w:t>21</w:t>
      </w:r>
      <w:r>
        <w:rPr>
          <w:rFonts w:hAnsi="宋体"/>
          <w:sz w:val="24"/>
        </w:rPr>
        <w:t>天</w:t>
      </w:r>
    </w:p>
    <w:p w:rsidR="00475650" w:rsidRDefault="00475650">
      <w:pPr>
        <w:autoSpaceDE w:val="0"/>
        <w:autoSpaceDN w:val="0"/>
        <w:adjustRightInd w:val="0"/>
        <w:snapToGrid w:val="0"/>
        <w:spacing w:line="360" w:lineRule="auto"/>
        <w:ind w:firstLineChars="200" w:firstLine="480"/>
        <w:rPr>
          <w:sz w:val="24"/>
        </w:rPr>
      </w:pPr>
      <w:r>
        <w:rPr>
          <w:rFonts w:hAnsi="宋体"/>
          <w:sz w:val="24"/>
        </w:rPr>
        <w:t>静风频率</w:t>
      </w:r>
      <w:r>
        <w:rPr>
          <w:sz w:val="24"/>
        </w:rPr>
        <w:t xml:space="preserve">                     27%</w:t>
      </w:r>
    </w:p>
    <w:p w:rsidR="00475650" w:rsidRDefault="00475650">
      <w:pPr>
        <w:autoSpaceDE w:val="0"/>
        <w:autoSpaceDN w:val="0"/>
        <w:adjustRightInd w:val="0"/>
        <w:snapToGrid w:val="0"/>
        <w:spacing w:line="360" w:lineRule="auto"/>
        <w:ind w:firstLineChars="200" w:firstLine="480"/>
        <w:rPr>
          <w:sz w:val="24"/>
        </w:rPr>
      </w:pPr>
      <w:r>
        <w:rPr>
          <w:rFonts w:hAnsi="宋体"/>
          <w:sz w:val="24"/>
        </w:rPr>
        <w:t>年降雨量</w:t>
      </w:r>
      <w:r>
        <w:rPr>
          <w:sz w:val="24"/>
        </w:rPr>
        <w:t xml:space="preserve">                     906.6~2714.5mm</w:t>
      </w:r>
    </w:p>
    <w:p w:rsidR="00475650" w:rsidRDefault="00475650">
      <w:pPr>
        <w:autoSpaceDE w:val="0"/>
        <w:autoSpaceDN w:val="0"/>
        <w:adjustRightInd w:val="0"/>
        <w:snapToGrid w:val="0"/>
        <w:spacing w:line="360" w:lineRule="auto"/>
        <w:ind w:firstLineChars="200" w:firstLine="480"/>
        <w:rPr>
          <w:sz w:val="24"/>
        </w:rPr>
      </w:pPr>
      <w:r>
        <w:rPr>
          <w:rFonts w:hAnsi="宋体"/>
          <w:sz w:val="24"/>
        </w:rPr>
        <w:t>年最大降雨量</w:t>
      </w:r>
      <w:r>
        <w:rPr>
          <w:sz w:val="24"/>
        </w:rPr>
        <w:t xml:space="preserve">                 2714.5mm</w:t>
      </w:r>
    </w:p>
    <w:p w:rsidR="00475650" w:rsidRDefault="00475650">
      <w:pPr>
        <w:autoSpaceDE w:val="0"/>
        <w:autoSpaceDN w:val="0"/>
        <w:adjustRightInd w:val="0"/>
        <w:snapToGrid w:val="0"/>
        <w:spacing w:line="360" w:lineRule="auto"/>
        <w:ind w:firstLineChars="200" w:firstLine="480"/>
        <w:rPr>
          <w:sz w:val="24"/>
        </w:rPr>
      </w:pPr>
      <w:r>
        <w:rPr>
          <w:rFonts w:hAnsi="宋体"/>
          <w:sz w:val="24"/>
        </w:rPr>
        <w:t>日最大降雨量</w:t>
      </w:r>
      <w:r>
        <w:rPr>
          <w:sz w:val="24"/>
        </w:rPr>
        <w:t xml:space="preserve">                 214.1mm</w:t>
      </w:r>
    </w:p>
    <w:p w:rsidR="00475650" w:rsidRDefault="00475650">
      <w:pPr>
        <w:autoSpaceDE w:val="0"/>
        <w:autoSpaceDN w:val="0"/>
        <w:adjustRightInd w:val="0"/>
        <w:snapToGrid w:val="0"/>
        <w:spacing w:line="360" w:lineRule="auto"/>
        <w:ind w:firstLineChars="200" w:firstLine="480"/>
        <w:rPr>
          <w:sz w:val="24"/>
        </w:rPr>
      </w:pPr>
      <w:r>
        <w:rPr>
          <w:rFonts w:hAnsi="宋体"/>
          <w:sz w:val="24"/>
        </w:rPr>
        <w:t>年蒸发量</w:t>
      </w:r>
      <w:r>
        <w:rPr>
          <w:sz w:val="24"/>
        </w:rPr>
        <w:t xml:space="preserve">                     460~2336mm</w:t>
      </w:r>
    </w:p>
    <w:p w:rsidR="00475650" w:rsidRDefault="00475650">
      <w:pPr>
        <w:autoSpaceDE w:val="0"/>
        <w:autoSpaceDN w:val="0"/>
        <w:adjustRightInd w:val="0"/>
        <w:snapToGrid w:val="0"/>
        <w:spacing w:line="360" w:lineRule="auto"/>
        <w:ind w:firstLineChars="200" w:firstLine="480"/>
        <w:rPr>
          <w:sz w:val="24"/>
        </w:rPr>
      </w:pPr>
      <w:r>
        <w:rPr>
          <w:rFonts w:hAnsi="宋体"/>
          <w:sz w:val="24"/>
        </w:rPr>
        <w:t>年平均蒸发量</w:t>
      </w:r>
      <w:r>
        <w:rPr>
          <w:sz w:val="24"/>
        </w:rPr>
        <w:t xml:space="preserve">                 1396.3mm</w:t>
      </w:r>
    </w:p>
    <w:p w:rsidR="00475650" w:rsidRDefault="00475650">
      <w:pPr>
        <w:autoSpaceDE w:val="0"/>
        <w:autoSpaceDN w:val="0"/>
        <w:adjustRightInd w:val="0"/>
        <w:snapToGrid w:val="0"/>
        <w:spacing w:line="360" w:lineRule="auto"/>
        <w:ind w:firstLineChars="200" w:firstLine="480"/>
        <w:rPr>
          <w:sz w:val="24"/>
        </w:rPr>
      </w:pPr>
      <w:r>
        <w:rPr>
          <w:rFonts w:hAnsi="宋体"/>
          <w:sz w:val="24"/>
        </w:rPr>
        <w:t>最大积雪深度</w:t>
      </w:r>
      <w:r>
        <w:rPr>
          <w:sz w:val="24"/>
        </w:rPr>
        <w:t xml:space="preserve">                 30mm</w:t>
      </w:r>
    </w:p>
    <w:p w:rsidR="00475650" w:rsidRDefault="00475650">
      <w:pPr>
        <w:autoSpaceDE w:val="0"/>
        <w:autoSpaceDN w:val="0"/>
        <w:adjustRightInd w:val="0"/>
        <w:snapToGrid w:val="0"/>
        <w:spacing w:line="360" w:lineRule="auto"/>
        <w:ind w:firstLineChars="200" w:firstLine="480"/>
        <w:rPr>
          <w:sz w:val="24"/>
        </w:rPr>
      </w:pPr>
      <w:r>
        <w:rPr>
          <w:rFonts w:hAnsi="宋体"/>
          <w:sz w:val="24"/>
        </w:rPr>
        <w:t>最大冻土深度</w:t>
      </w:r>
      <w:r>
        <w:rPr>
          <w:sz w:val="24"/>
        </w:rPr>
        <w:t xml:space="preserve">                 50mm</w:t>
      </w:r>
    </w:p>
    <w:p w:rsidR="00475650" w:rsidRDefault="00475650">
      <w:pPr>
        <w:autoSpaceDE w:val="0"/>
        <w:autoSpaceDN w:val="0"/>
        <w:adjustRightInd w:val="0"/>
        <w:snapToGrid w:val="0"/>
        <w:spacing w:line="360" w:lineRule="auto"/>
        <w:ind w:firstLineChars="200" w:firstLine="480"/>
        <w:rPr>
          <w:sz w:val="24"/>
        </w:rPr>
      </w:pPr>
      <w:r>
        <w:rPr>
          <w:rFonts w:hAnsi="宋体"/>
          <w:sz w:val="24"/>
        </w:rPr>
        <w:t>无霜期</w:t>
      </w:r>
      <w:r>
        <w:rPr>
          <w:sz w:val="24"/>
        </w:rPr>
        <w:t xml:space="preserve">                       317</w:t>
      </w:r>
      <w:r>
        <w:rPr>
          <w:rFonts w:hAnsi="宋体"/>
          <w:sz w:val="24"/>
        </w:rPr>
        <w:t>天</w:t>
      </w:r>
    </w:p>
    <w:p w:rsidR="00475650" w:rsidRDefault="00475650">
      <w:pPr>
        <w:autoSpaceDE w:val="0"/>
        <w:autoSpaceDN w:val="0"/>
        <w:adjustRightInd w:val="0"/>
        <w:snapToGrid w:val="0"/>
        <w:spacing w:line="360" w:lineRule="auto"/>
        <w:ind w:firstLineChars="200" w:firstLine="480"/>
        <w:rPr>
          <w:sz w:val="24"/>
        </w:rPr>
      </w:pPr>
      <w:r>
        <w:rPr>
          <w:rFonts w:hAnsi="宋体"/>
          <w:sz w:val="24"/>
        </w:rPr>
        <w:t>日照时数</w:t>
      </w:r>
      <w:r>
        <w:rPr>
          <w:sz w:val="24"/>
        </w:rPr>
        <w:t xml:space="preserve">                     1813.8</w:t>
      </w:r>
      <w:r>
        <w:rPr>
          <w:rFonts w:hAnsi="宋体"/>
          <w:sz w:val="24"/>
        </w:rPr>
        <w:t>小时</w:t>
      </w:r>
      <w:r>
        <w:rPr>
          <w:sz w:val="24"/>
        </w:rPr>
        <w:t>/</w:t>
      </w:r>
      <w:r>
        <w:rPr>
          <w:rFonts w:hAnsi="宋体"/>
          <w:sz w:val="24"/>
        </w:rPr>
        <w:t>年</w:t>
      </w:r>
    </w:p>
    <w:p w:rsidR="00475650" w:rsidRDefault="00475650">
      <w:pPr>
        <w:autoSpaceDE w:val="0"/>
        <w:autoSpaceDN w:val="0"/>
        <w:adjustRightInd w:val="0"/>
        <w:snapToGrid w:val="0"/>
        <w:spacing w:line="360" w:lineRule="auto"/>
        <w:ind w:firstLineChars="200" w:firstLine="480"/>
        <w:rPr>
          <w:sz w:val="24"/>
        </w:rPr>
      </w:pPr>
      <w:r>
        <w:rPr>
          <w:rFonts w:hAnsi="宋体"/>
          <w:sz w:val="24"/>
        </w:rPr>
        <w:t>地震基本烈度（相当于修正后的麦卡里烈度）</w:t>
      </w:r>
      <w:r>
        <w:rPr>
          <w:sz w:val="24"/>
        </w:rPr>
        <w:t>7</w:t>
      </w:r>
      <w:r>
        <w:rPr>
          <w:rFonts w:hAnsi="宋体"/>
          <w:sz w:val="24"/>
        </w:rPr>
        <w:t>度</w:t>
      </w:r>
    </w:p>
    <w:p w:rsidR="00475650" w:rsidRDefault="00475650">
      <w:pPr>
        <w:autoSpaceDE w:val="0"/>
        <w:autoSpaceDN w:val="0"/>
        <w:adjustRightInd w:val="0"/>
        <w:snapToGrid w:val="0"/>
        <w:spacing w:line="360" w:lineRule="auto"/>
        <w:ind w:firstLineChars="200" w:firstLine="480"/>
        <w:rPr>
          <w:sz w:val="24"/>
        </w:rPr>
      </w:pPr>
      <w:r>
        <w:rPr>
          <w:rFonts w:hAnsi="宋体"/>
          <w:sz w:val="24"/>
        </w:rPr>
        <w:t>临湘全年风向玫瑰见图</w:t>
      </w:r>
      <w:r>
        <w:rPr>
          <w:sz w:val="24"/>
        </w:rPr>
        <w:t>4-1</w:t>
      </w:r>
      <w:r>
        <w:rPr>
          <w:rFonts w:hAnsi="宋体"/>
          <w:sz w:val="24"/>
        </w:rPr>
        <w:t>。</w:t>
      </w:r>
    </w:p>
    <w:p w:rsidR="00475650" w:rsidRDefault="007C19B0">
      <w:pPr>
        <w:pStyle w:val="aff7"/>
        <w:ind w:firstLine="240"/>
        <w:rPr>
          <w:kern w:val="24"/>
        </w:rPr>
      </w:pPr>
      <w:r>
        <w:rPr>
          <w:noProof/>
          <w:kern w:val="24"/>
        </w:rPr>
        <w:drawing>
          <wp:anchor distT="0" distB="0" distL="114300" distR="114300" simplePos="0" relativeHeight="251648000" behindDoc="0" locked="0" layoutInCell="1" allowOverlap="1">
            <wp:simplePos x="0" y="0"/>
            <wp:positionH relativeFrom="column">
              <wp:posOffset>1485900</wp:posOffset>
            </wp:positionH>
            <wp:positionV relativeFrom="paragraph">
              <wp:posOffset>6350</wp:posOffset>
            </wp:positionV>
            <wp:extent cx="1950720" cy="1882140"/>
            <wp:effectExtent l="0" t="0" r="0" b="0"/>
            <wp:wrapNone/>
            <wp:docPr id="20214" name="图片 19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 name="图片 19859"/>
                    <pic:cNvPicPr>
                      <a:picLocks noChangeAspect="1" noChangeArrowheads="1"/>
                    </pic:cNvPicPr>
                  </pic:nvPicPr>
                  <pic:blipFill>
                    <a:blip r:embed="rId42" cstate="print"/>
                    <a:srcRect l="2296" t="80582" r="67857" b="2066"/>
                    <a:stretch>
                      <a:fillRect/>
                    </a:stretch>
                  </pic:blipFill>
                  <pic:spPr>
                    <a:xfrm>
                      <a:off x="0" y="0"/>
                      <a:ext cx="1950720" cy="1882140"/>
                    </a:xfrm>
                    <a:prstGeom prst="rect">
                      <a:avLst/>
                    </a:prstGeom>
                    <a:noFill/>
                    <a:ln w="9525">
                      <a:noFill/>
                      <a:miter lim="800000"/>
                      <a:headEnd/>
                      <a:tailEnd/>
                    </a:ln>
                  </pic:spPr>
                </pic:pic>
              </a:graphicData>
            </a:graphic>
          </wp:anchor>
        </w:drawing>
      </w:r>
    </w:p>
    <w:p w:rsidR="00475650" w:rsidRDefault="00475650">
      <w:pPr>
        <w:pStyle w:val="aff7"/>
        <w:ind w:firstLine="240"/>
        <w:rPr>
          <w:kern w:val="24"/>
        </w:rPr>
      </w:pPr>
    </w:p>
    <w:p w:rsidR="00475650" w:rsidRDefault="00475650" w:rsidP="00475650">
      <w:pPr>
        <w:pStyle w:val="aff7"/>
        <w:ind w:firstLineChars="1074" w:firstLine="3019"/>
        <w:rPr>
          <w:b/>
          <w:bCs/>
          <w:kern w:val="24"/>
        </w:rPr>
      </w:pPr>
    </w:p>
    <w:p w:rsidR="00475650" w:rsidRDefault="00475650" w:rsidP="00475650">
      <w:pPr>
        <w:pStyle w:val="aff7"/>
        <w:ind w:firstLineChars="1074" w:firstLine="3019"/>
        <w:rPr>
          <w:b/>
          <w:bCs/>
          <w:kern w:val="24"/>
        </w:rPr>
      </w:pPr>
    </w:p>
    <w:p w:rsidR="00475650" w:rsidRDefault="00475650" w:rsidP="00475650">
      <w:pPr>
        <w:pStyle w:val="aff7"/>
        <w:ind w:firstLineChars="1074" w:firstLine="3019"/>
        <w:rPr>
          <w:b/>
          <w:bCs/>
          <w:kern w:val="24"/>
        </w:rPr>
      </w:pPr>
    </w:p>
    <w:p w:rsidR="00475650" w:rsidRDefault="00475650" w:rsidP="00475650">
      <w:pPr>
        <w:pStyle w:val="aff7"/>
        <w:ind w:firstLineChars="1074" w:firstLine="3019"/>
        <w:rPr>
          <w:b/>
          <w:bCs/>
          <w:kern w:val="24"/>
        </w:rPr>
      </w:pPr>
    </w:p>
    <w:p w:rsidR="00475650" w:rsidRDefault="00475650">
      <w:pPr>
        <w:jc w:val="center"/>
        <w:rPr>
          <w:sz w:val="24"/>
        </w:rPr>
      </w:pPr>
      <w:r>
        <w:rPr>
          <w:rFonts w:hAnsi="宋体"/>
          <w:sz w:val="24"/>
        </w:rPr>
        <w:t>图</w:t>
      </w:r>
      <w:r>
        <w:rPr>
          <w:sz w:val="24"/>
        </w:rPr>
        <w:t xml:space="preserve">4-1   </w:t>
      </w:r>
      <w:r>
        <w:rPr>
          <w:rFonts w:hAnsi="宋体"/>
          <w:sz w:val="24"/>
        </w:rPr>
        <w:t>全年风向玫瑰图（</w:t>
      </w:r>
      <w:r>
        <w:rPr>
          <w:sz w:val="24"/>
        </w:rPr>
        <w:t>C=27%</w:t>
      </w:r>
      <w:r>
        <w:rPr>
          <w:rFonts w:hAnsi="宋体"/>
          <w:sz w:val="24"/>
        </w:rPr>
        <w:t>）</w:t>
      </w:r>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644" w:name="_Toc28187"/>
      <w:bookmarkStart w:id="645" w:name="_Toc465677006"/>
      <w:r>
        <w:rPr>
          <w:rStyle w:val="2Char1Char"/>
          <w:rFonts w:ascii="Times New Roman" w:eastAsia="宋体" w:hAnsi="Times New Roman" w:cs="Times New Roman"/>
          <w:b w:val="0"/>
          <w:sz w:val="24"/>
          <w:szCs w:val="24"/>
        </w:rPr>
        <w:lastRenderedPageBreak/>
        <w:t>4.1.</w:t>
      </w:r>
      <w:r>
        <w:rPr>
          <w:rStyle w:val="2Char1Char"/>
          <w:rFonts w:ascii="Times New Roman" w:eastAsia="宋体" w:hAnsi="Times New Roman" w:cs="Times New Roman" w:hint="eastAsia"/>
          <w:b w:val="0"/>
          <w:sz w:val="24"/>
          <w:szCs w:val="24"/>
        </w:rPr>
        <w:t>5</w:t>
      </w:r>
      <w:r>
        <w:rPr>
          <w:rStyle w:val="2Char1Char"/>
          <w:rFonts w:ascii="Times New Roman" w:eastAsia="宋体" w:hAnsi="宋体" w:cs="Times New Roman"/>
          <w:b w:val="0"/>
          <w:sz w:val="24"/>
          <w:szCs w:val="24"/>
        </w:rPr>
        <w:t>水文</w:t>
      </w:r>
      <w:bookmarkEnd w:id="644"/>
      <w:bookmarkEnd w:id="645"/>
    </w:p>
    <w:p w:rsidR="00475650" w:rsidRDefault="00475650">
      <w:pPr>
        <w:autoSpaceDE w:val="0"/>
        <w:autoSpaceDN w:val="0"/>
        <w:adjustRightInd w:val="0"/>
        <w:snapToGrid w:val="0"/>
        <w:spacing w:line="360" w:lineRule="auto"/>
        <w:ind w:firstLineChars="200" w:firstLine="480"/>
        <w:rPr>
          <w:sz w:val="24"/>
        </w:rPr>
      </w:pPr>
      <w:r>
        <w:rPr>
          <w:sz w:val="24"/>
        </w:rPr>
        <w:t>1</w:t>
      </w:r>
      <w:r>
        <w:rPr>
          <w:rFonts w:hAnsi="宋体"/>
          <w:sz w:val="24"/>
        </w:rPr>
        <w:t>、地表水</w:t>
      </w:r>
    </w:p>
    <w:p w:rsidR="00475650" w:rsidRDefault="00475650">
      <w:pPr>
        <w:autoSpaceDE w:val="0"/>
        <w:autoSpaceDN w:val="0"/>
        <w:adjustRightInd w:val="0"/>
        <w:snapToGrid w:val="0"/>
        <w:spacing w:line="360" w:lineRule="auto"/>
        <w:ind w:firstLineChars="200" w:firstLine="480"/>
        <w:rPr>
          <w:sz w:val="24"/>
        </w:rPr>
      </w:pPr>
      <w:r>
        <w:rPr>
          <w:rFonts w:hAnsi="宋体"/>
          <w:sz w:val="24"/>
        </w:rPr>
        <w:t>项目生产用水由基地水厂供给，基地水厂水源和本工程纳污水体均为</w:t>
      </w:r>
      <w:bookmarkStart w:id="646" w:name="_Hlt202257406"/>
      <w:r>
        <w:rPr>
          <w:rFonts w:hAnsi="宋体"/>
          <w:sz w:val="24"/>
        </w:rPr>
        <w:t>长江</w:t>
      </w:r>
      <w:r>
        <w:rPr>
          <w:sz w:val="24"/>
        </w:rPr>
        <w:t>“</w:t>
      </w:r>
      <w:r>
        <w:rPr>
          <w:rFonts w:hAnsi="宋体"/>
          <w:sz w:val="24"/>
        </w:rPr>
        <w:t>陆城</w:t>
      </w:r>
      <w:r>
        <w:rPr>
          <w:sz w:val="24"/>
        </w:rPr>
        <w:t>-</w:t>
      </w:r>
      <w:r>
        <w:rPr>
          <w:rFonts w:hAnsi="宋体"/>
          <w:sz w:val="24"/>
        </w:rPr>
        <w:t>洪湖</w:t>
      </w:r>
      <w:r>
        <w:rPr>
          <w:sz w:val="24"/>
        </w:rPr>
        <w:t>”</w:t>
      </w:r>
      <w:r>
        <w:rPr>
          <w:rFonts w:hAnsi="宋体"/>
          <w:sz w:val="24"/>
        </w:rPr>
        <w:t>江段</w:t>
      </w:r>
      <w:bookmarkEnd w:id="646"/>
      <w:r>
        <w:rPr>
          <w:rFonts w:hAnsi="宋体"/>
          <w:sz w:val="24"/>
        </w:rPr>
        <w:t>，根据长江螺山水文站水文数据，该长江江段多年平均流量为</w:t>
      </w:r>
      <w:r>
        <w:rPr>
          <w:sz w:val="24"/>
        </w:rPr>
        <w:t>20300m</w:t>
      </w:r>
      <w:r>
        <w:rPr>
          <w:sz w:val="24"/>
          <w:vertAlign w:val="superscript"/>
        </w:rPr>
        <w:t>3</w:t>
      </w:r>
      <w:r>
        <w:rPr>
          <w:sz w:val="24"/>
        </w:rPr>
        <w:t>/s</w:t>
      </w:r>
      <w:r>
        <w:rPr>
          <w:rFonts w:hAnsi="宋体"/>
          <w:sz w:val="24"/>
        </w:rPr>
        <w:t>，最大流量为</w:t>
      </w:r>
      <w:r>
        <w:rPr>
          <w:sz w:val="24"/>
        </w:rPr>
        <w:t>61200m</w:t>
      </w:r>
      <w:r>
        <w:rPr>
          <w:sz w:val="24"/>
          <w:vertAlign w:val="superscript"/>
        </w:rPr>
        <w:t>3</w:t>
      </w:r>
      <w:r>
        <w:rPr>
          <w:sz w:val="24"/>
        </w:rPr>
        <w:t>/s</w:t>
      </w:r>
      <w:r>
        <w:rPr>
          <w:rFonts w:hAnsi="宋体"/>
          <w:sz w:val="24"/>
        </w:rPr>
        <w:t>，最小流量为</w:t>
      </w:r>
      <w:r>
        <w:rPr>
          <w:sz w:val="24"/>
        </w:rPr>
        <w:t>4160m</w:t>
      </w:r>
      <w:r>
        <w:rPr>
          <w:sz w:val="24"/>
          <w:vertAlign w:val="superscript"/>
        </w:rPr>
        <w:t>3</w:t>
      </w:r>
      <w:r>
        <w:rPr>
          <w:sz w:val="24"/>
        </w:rPr>
        <w:t>/s</w:t>
      </w:r>
      <w:r>
        <w:rPr>
          <w:rFonts w:hAnsi="宋体"/>
          <w:sz w:val="24"/>
        </w:rPr>
        <w:t>。</w:t>
      </w:r>
    </w:p>
    <w:p w:rsidR="00475650" w:rsidRDefault="00475650">
      <w:pPr>
        <w:autoSpaceDE w:val="0"/>
        <w:autoSpaceDN w:val="0"/>
        <w:adjustRightInd w:val="0"/>
        <w:snapToGrid w:val="0"/>
        <w:spacing w:line="360" w:lineRule="auto"/>
        <w:ind w:firstLineChars="200" w:firstLine="480"/>
        <w:rPr>
          <w:sz w:val="24"/>
        </w:rPr>
      </w:pPr>
      <w:r>
        <w:rPr>
          <w:rFonts w:hAnsi="宋体"/>
          <w:sz w:val="24"/>
        </w:rPr>
        <w:t>根据长江</w:t>
      </w:r>
      <w:r>
        <w:rPr>
          <w:sz w:val="24"/>
        </w:rPr>
        <w:t>“</w:t>
      </w:r>
      <w:r>
        <w:rPr>
          <w:rFonts w:hAnsi="宋体"/>
          <w:sz w:val="24"/>
        </w:rPr>
        <w:t>陆城</w:t>
      </w:r>
      <w:r>
        <w:rPr>
          <w:sz w:val="24"/>
        </w:rPr>
        <w:t>-</w:t>
      </w:r>
      <w:r>
        <w:rPr>
          <w:rFonts w:hAnsi="宋体"/>
          <w:sz w:val="24"/>
        </w:rPr>
        <w:t>洪湖</w:t>
      </w:r>
      <w:r>
        <w:rPr>
          <w:sz w:val="24"/>
        </w:rPr>
        <w:t>”</w:t>
      </w:r>
      <w:r>
        <w:rPr>
          <w:rFonts w:hAnsi="宋体"/>
          <w:sz w:val="24"/>
        </w:rPr>
        <w:t>江段多年枯水期水文资料，及实测结果分析计算，评价江段</w:t>
      </w:r>
      <w:r>
        <w:rPr>
          <w:sz w:val="24"/>
        </w:rPr>
        <w:t>1994-2003</w:t>
      </w:r>
      <w:r>
        <w:rPr>
          <w:rFonts w:hAnsi="宋体"/>
          <w:sz w:val="24"/>
        </w:rPr>
        <w:t>年最枯月平均水文参数见表</w:t>
      </w:r>
      <w:r>
        <w:rPr>
          <w:sz w:val="24"/>
        </w:rPr>
        <w:t>4.1-1</w:t>
      </w:r>
      <w:r>
        <w:rPr>
          <w:rFonts w:hAnsi="宋体"/>
          <w:sz w:val="24"/>
        </w:rPr>
        <w:t>。</w:t>
      </w:r>
    </w:p>
    <w:p w:rsidR="00475650" w:rsidRDefault="00475650">
      <w:pPr>
        <w:autoSpaceDE w:val="0"/>
        <w:autoSpaceDN w:val="0"/>
        <w:adjustRightInd w:val="0"/>
        <w:snapToGrid w:val="0"/>
        <w:spacing w:line="360" w:lineRule="auto"/>
        <w:ind w:firstLineChars="200" w:firstLine="480"/>
        <w:rPr>
          <w:sz w:val="24"/>
        </w:rPr>
      </w:pPr>
      <w:r>
        <w:rPr>
          <w:rFonts w:hAnsi="宋体"/>
          <w:sz w:val="24"/>
        </w:rPr>
        <w:t>洋溪湖为基地雨水受纳水体，洋溪湖水域面积约</w:t>
      </w:r>
      <w:r>
        <w:rPr>
          <w:sz w:val="24"/>
        </w:rPr>
        <w:t>5000</w:t>
      </w:r>
      <w:r>
        <w:rPr>
          <w:rFonts w:hAnsi="宋体"/>
          <w:sz w:val="24"/>
        </w:rPr>
        <w:t>亩，湖面最长处约</w:t>
      </w:r>
      <w:r>
        <w:rPr>
          <w:sz w:val="24"/>
        </w:rPr>
        <w:t>3.79km</w:t>
      </w:r>
      <w:r>
        <w:rPr>
          <w:rFonts w:hAnsi="宋体"/>
          <w:sz w:val="24"/>
        </w:rPr>
        <w:t>，湖面最宽处约</w:t>
      </w:r>
      <w:r>
        <w:rPr>
          <w:sz w:val="24"/>
        </w:rPr>
        <w:t>1.54km</w:t>
      </w:r>
      <w:r>
        <w:rPr>
          <w:rFonts w:hAnsi="宋体"/>
          <w:sz w:val="24"/>
        </w:rPr>
        <w:t>，洋溪湖最高控制水位</w:t>
      </w:r>
      <w:r>
        <w:rPr>
          <w:sz w:val="24"/>
        </w:rPr>
        <w:t>25.06m</w:t>
      </w:r>
      <w:r>
        <w:rPr>
          <w:rFonts w:hAnsi="宋体"/>
          <w:sz w:val="24"/>
        </w:rPr>
        <w:t>，最低控制水位</w:t>
      </w:r>
      <w:r>
        <w:rPr>
          <w:sz w:val="24"/>
        </w:rPr>
        <w:t>23.06m</w:t>
      </w:r>
      <w:r>
        <w:rPr>
          <w:rFonts w:hAnsi="宋体"/>
          <w:sz w:val="24"/>
        </w:rPr>
        <w:t>。</w:t>
      </w:r>
    </w:p>
    <w:p w:rsidR="00475650" w:rsidRDefault="00475650">
      <w:pPr>
        <w:adjustRightInd w:val="0"/>
        <w:snapToGrid w:val="0"/>
        <w:spacing w:line="360" w:lineRule="auto"/>
        <w:jc w:val="center"/>
        <w:rPr>
          <w:sz w:val="24"/>
        </w:rPr>
      </w:pPr>
      <w:r>
        <w:rPr>
          <w:rFonts w:hAnsi="宋体"/>
          <w:sz w:val="24"/>
        </w:rPr>
        <w:t>表</w:t>
      </w:r>
      <w:r>
        <w:rPr>
          <w:sz w:val="24"/>
        </w:rPr>
        <w:t xml:space="preserve">4.1-1   </w:t>
      </w:r>
      <w:r>
        <w:rPr>
          <w:rFonts w:hAnsi="宋体"/>
          <w:sz w:val="24"/>
        </w:rPr>
        <w:t>长江评价江段水文参数</w:t>
      </w:r>
      <w:r>
        <w:rPr>
          <w:rFonts w:hAnsi="宋体" w:hint="eastAsia"/>
          <w:sz w:val="24"/>
        </w:rPr>
        <w:t>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263"/>
        <w:gridCol w:w="1539"/>
        <w:gridCol w:w="1415"/>
        <w:gridCol w:w="1514"/>
        <w:gridCol w:w="1496"/>
        <w:gridCol w:w="1719"/>
      </w:tblGrid>
      <w:tr w:rsidR="00475650">
        <w:trPr>
          <w:trHeight w:val="276"/>
          <w:jc w:val="center"/>
        </w:trPr>
        <w:tc>
          <w:tcPr>
            <w:tcW w:w="1263" w:type="dxa"/>
            <w:vMerge w:val="restart"/>
            <w:tcMar>
              <w:top w:w="28" w:type="dxa"/>
              <w:bottom w:w="28" w:type="dxa"/>
            </w:tcMar>
            <w:vAlign w:val="center"/>
          </w:tcPr>
          <w:p w:rsidR="00475650" w:rsidRDefault="00475650">
            <w:pPr>
              <w:pStyle w:val="afff7"/>
              <w:snapToGrid w:val="0"/>
              <w:spacing w:line="240" w:lineRule="auto"/>
              <w:rPr>
                <w:sz w:val="21"/>
                <w:szCs w:val="21"/>
              </w:rPr>
            </w:pPr>
            <w:r>
              <w:rPr>
                <w:rFonts w:hAnsi="宋体"/>
                <w:sz w:val="21"/>
                <w:szCs w:val="21"/>
              </w:rPr>
              <w:t>水期</w:t>
            </w:r>
          </w:p>
        </w:tc>
        <w:tc>
          <w:tcPr>
            <w:tcW w:w="1539" w:type="dxa"/>
            <w:vMerge w:val="restart"/>
            <w:tcMar>
              <w:top w:w="28" w:type="dxa"/>
              <w:bottom w:w="28" w:type="dxa"/>
            </w:tcMar>
            <w:vAlign w:val="center"/>
          </w:tcPr>
          <w:p w:rsidR="00475650" w:rsidRDefault="00475650">
            <w:pPr>
              <w:pStyle w:val="afff7"/>
              <w:snapToGrid w:val="0"/>
              <w:spacing w:line="240" w:lineRule="auto"/>
              <w:rPr>
                <w:sz w:val="21"/>
                <w:szCs w:val="21"/>
              </w:rPr>
            </w:pPr>
            <w:r>
              <w:rPr>
                <w:rFonts w:hAnsi="宋体"/>
                <w:sz w:val="21"/>
                <w:szCs w:val="21"/>
              </w:rPr>
              <w:t>流量</w:t>
            </w:r>
          </w:p>
          <w:p w:rsidR="00475650" w:rsidRDefault="00475650">
            <w:pPr>
              <w:pStyle w:val="afff7"/>
              <w:snapToGrid w:val="0"/>
              <w:spacing w:line="240" w:lineRule="auto"/>
              <w:rPr>
                <w:sz w:val="21"/>
                <w:szCs w:val="21"/>
              </w:rPr>
            </w:pPr>
            <w:r>
              <w:rPr>
                <w:sz w:val="21"/>
                <w:szCs w:val="21"/>
              </w:rPr>
              <w:t>(m</w:t>
            </w:r>
            <w:r>
              <w:rPr>
                <w:sz w:val="21"/>
                <w:szCs w:val="21"/>
                <w:vertAlign w:val="superscript"/>
              </w:rPr>
              <w:t>3</w:t>
            </w:r>
            <w:r>
              <w:rPr>
                <w:sz w:val="21"/>
                <w:szCs w:val="21"/>
              </w:rPr>
              <w:t>/s)</w:t>
            </w:r>
          </w:p>
        </w:tc>
        <w:tc>
          <w:tcPr>
            <w:tcW w:w="1415" w:type="dxa"/>
            <w:vMerge w:val="restart"/>
            <w:tcMar>
              <w:top w:w="28" w:type="dxa"/>
              <w:bottom w:w="28" w:type="dxa"/>
            </w:tcMar>
            <w:vAlign w:val="center"/>
          </w:tcPr>
          <w:p w:rsidR="00475650" w:rsidRDefault="00475650">
            <w:pPr>
              <w:pStyle w:val="afff7"/>
              <w:snapToGrid w:val="0"/>
              <w:spacing w:line="240" w:lineRule="auto"/>
              <w:rPr>
                <w:sz w:val="21"/>
                <w:szCs w:val="21"/>
              </w:rPr>
            </w:pPr>
            <w:r>
              <w:rPr>
                <w:rFonts w:hAnsi="宋体"/>
                <w:sz w:val="21"/>
                <w:szCs w:val="21"/>
              </w:rPr>
              <w:t>河宽</w:t>
            </w:r>
          </w:p>
          <w:p w:rsidR="00475650" w:rsidRDefault="00475650">
            <w:pPr>
              <w:pStyle w:val="afff7"/>
              <w:snapToGrid w:val="0"/>
              <w:spacing w:line="240" w:lineRule="auto"/>
              <w:rPr>
                <w:sz w:val="21"/>
                <w:szCs w:val="21"/>
              </w:rPr>
            </w:pPr>
            <w:r>
              <w:rPr>
                <w:sz w:val="21"/>
                <w:szCs w:val="21"/>
              </w:rPr>
              <w:t>(m)</w:t>
            </w:r>
          </w:p>
        </w:tc>
        <w:tc>
          <w:tcPr>
            <w:tcW w:w="1514" w:type="dxa"/>
            <w:vMerge w:val="restart"/>
            <w:tcMar>
              <w:top w:w="28" w:type="dxa"/>
              <w:bottom w:w="28" w:type="dxa"/>
            </w:tcMar>
            <w:vAlign w:val="center"/>
          </w:tcPr>
          <w:p w:rsidR="00475650" w:rsidRDefault="00475650">
            <w:pPr>
              <w:pStyle w:val="afff7"/>
              <w:snapToGrid w:val="0"/>
              <w:spacing w:line="240" w:lineRule="auto"/>
              <w:rPr>
                <w:sz w:val="21"/>
                <w:szCs w:val="21"/>
              </w:rPr>
            </w:pPr>
            <w:r>
              <w:rPr>
                <w:rFonts w:hAnsi="宋体"/>
                <w:sz w:val="21"/>
                <w:szCs w:val="21"/>
              </w:rPr>
              <w:t>平均水深</w:t>
            </w:r>
          </w:p>
          <w:p w:rsidR="00475650" w:rsidRDefault="00475650">
            <w:pPr>
              <w:pStyle w:val="afff7"/>
              <w:snapToGrid w:val="0"/>
              <w:spacing w:line="240" w:lineRule="auto"/>
              <w:rPr>
                <w:sz w:val="21"/>
                <w:szCs w:val="21"/>
              </w:rPr>
            </w:pPr>
            <w:r>
              <w:rPr>
                <w:sz w:val="21"/>
                <w:szCs w:val="21"/>
              </w:rPr>
              <w:t>(m)</w:t>
            </w:r>
          </w:p>
        </w:tc>
        <w:tc>
          <w:tcPr>
            <w:tcW w:w="1496" w:type="dxa"/>
            <w:vMerge w:val="restart"/>
            <w:tcMar>
              <w:top w:w="28" w:type="dxa"/>
              <w:bottom w:w="28" w:type="dxa"/>
            </w:tcMar>
            <w:vAlign w:val="center"/>
          </w:tcPr>
          <w:p w:rsidR="00475650" w:rsidRDefault="00475650">
            <w:pPr>
              <w:pStyle w:val="afff7"/>
              <w:snapToGrid w:val="0"/>
              <w:spacing w:line="240" w:lineRule="auto"/>
              <w:rPr>
                <w:sz w:val="21"/>
                <w:szCs w:val="21"/>
              </w:rPr>
            </w:pPr>
            <w:r>
              <w:rPr>
                <w:rFonts w:hAnsi="宋体"/>
                <w:sz w:val="21"/>
                <w:szCs w:val="21"/>
              </w:rPr>
              <w:t>平均流速</w:t>
            </w:r>
          </w:p>
          <w:p w:rsidR="00475650" w:rsidRDefault="00475650">
            <w:pPr>
              <w:pStyle w:val="afff7"/>
              <w:snapToGrid w:val="0"/>
              <w:spacing w:line="240" w:lineRule="auto"/>
              <w:rPr>
                <w:sz w:val="21"/>
                <w:szCs w:val="21"/>
              </w:rPr>
            </w:pPr>
            <w:r>
              <w:rPr>
                <w:sz w:val="21"/>
                <w:szCs w:val="21"/>
              </w:rPr>
              <w:t>(m/s)</w:t>
            </w:r>
          </w:p>
        </w:tc>
        <w:tc>
          <w:tcPr>
            <w:tcW w:w="1719" w:type="dxa"/>
            <w:vMerge w:val="restart"/>
            <w:tcMar>
              <w:top w:w="28" w:type="dxa"/>
              <w:bottom w:w="28" w:type="dxa"/>
            </w:tcMar>
            <w:vAlign w:val="center"/>
          </w:tcPr>
          <w:p w:rsidR="00475650" w:rsidRDefault="00475650">
            <w:pPr>
              <w:pStyle w:val="afff7"/>
              <w:snapToGrid w:val="0"/>
              <w:spacing w:line="240" w:lineRule="auto"/>
              <w:rPr>
                <w:sz w:val="21"/>
                <w:szCs w:val="21"/>
              </w:rPr>
            </w:pPr>
            <w:r>
              <w:rPr>
                <w:rFonts w:hAnsi="宋体"/>
                <w:sz w:val="21"/>
                <w:szCs w:val="21"/>
              </w:rPr>
              <w:t>横向混合系数</w:t>
            </w:r>
            <w:r>
              <w:rPr>
                <w:sz w:val="21"/>
                <w:szCs w:val="21"/>
              </w:rPr>
              <w:t>(m</w:t>
            </w:r>
            <w:r>
              <w:rPr>
                <w:sz w:val="21"/>
                <w:szCs w:val="21"/>
                <w:vertAlign w:val="superscript"/>
              </w:rPr>
              <w:t>2</w:t>
            </w:r>
            <w:r>
              <w:rPr>
                <w:sz w:val="21"/>
                <w:szCs w:val="21"/>
              </w:rPr>
              <w:t>/s)</w:t>
            </w:r>
          </w:p>
        </w:tc>
      </w:tr>
      <w:tr w:rsidR="00475650">
        <w:trPr>
          <w:trHeight w:val="276"/>
          <w:jc w:val="center"/>
        </w:trPr>
        <w:tc>
          <w:tcPr>
            <w:tcW w:w="1263" w:type="dxa"/>
            <w:vMerge/>
            <w:tcMar>
              <w:top w:w="28" w:type="dxa"/>
              <w:bottom w:w="28" w:type="dxa"/>
            </w:tcMar>
            <w:vAlign w:val="center"/>
          </w:tcPr>
          <w:p w:rsidR="00475650" w:rsidRDefault="00475650">
            <w:pPr>
              <w:pStyle w:val="afff7"/>
              <w:snapToGrid w:val="0"/>
              <w:spacing w:line="240" w:lineRule="auto"/>
              <w:rPr>
                <w:sz w:val="21"/>
                <w:szCs w:val="21"/>
              </w:rPr>
            </w:pPr>
          </w:p>
        </w:tc>
        <w:tc>
          <w:tcPr>
            <w:tcW w:w="1539" w:type="dxa"/>
            <w:vMerge/>
            <w:tcMar>
              <w:top w:w="28" w:type="dxa"/>
              <w:bottom w:w="28" w:type="dxa"/>
            </w:tcMar>
            <w:vAlign w:val="center"/>
          </w:tcPr>
          <w:p w:rsidR="00475650" w:rsidRDefault="00475650">
            <w:pPr>
              <w:pStyle w:val="afff7"/>
              <w:snapToGrid w:val="0"/>
              <w:spacing w:line="240" w:lineRule="auto"/>
              <w:rPr>
                <w:sz w:val="21"/>
                <w:szCs w:val="21"/>
              </w:rPr>
            </w:pPr>
          </w:p>
        </w:tc>
        <w:tc>
          <w:tcPr>
            <w:tcW w:w="1415" w:type="dxa"/>
            <w:vMerge/>
            <w:tcMar>
              <w:top w:w="28" w:type="dxa"/>
              <w:bottom w:w="28" w:type="dxa"/>
            </w:tcMar>
            <w:vAlign w:val="center"/>
          </w:tcPr>
          <w:p w:rsidR="00475650" w:rsidRDefault="00475650">
            <w:pPr>
              <w:pStyle w:val="afff7"/>
              <w:snapToGrid w:val="0"/>
              <w:spacing w:line="240" w:lineRule="auto"/>
              <w:rPr>
                <w:sz w:val="21"/>
                <w:szCs w:val="21"/>
              </w:rPr>
            </w:pPr>
          </w:p>
        </w:tc>
        <w:tc>
          <w:tcPr>
            <w:tcW w:w="1514" w:type="dxa"/>
            <w:vMerge/>
            <w:tcMar>
              <w:top w:w="28" w:type="dxa"/>
              <w:bottom w:w="28" w:type="dxa"/>
            </w:tcMar>
            <w:vAlign w:val="center"/>
          </w:tcPr>
          <w:p w:rsidR="00475650" w:rsidRDefault="00475650">
            <w:pPr>
              <w:pStyle w:val="afff7"/>
              <w:snapToGrid w:val="0"/>
              <w:spacing w:line="240" w:lineRule="auto"/>
              <w:rPr>
                <w:sz w:val="21"/>
                <w:szCs w:val="21"/>
              </w:rPr>
            </w:pPr>
          </w:p>
        </w:tc>
        <w:tc>
          <w:tcPr>
            <w:tcW w:w="1496" w:type="dxa"/>
            <w:vMerge/>
            <w:tcMar>
              <w:top w:w="28" w:type="dxa"/>
              <w:bottom w:w="28" w:type="dxa"/>
            </w:tcMar>
            <w:vAlign w:val="center"/>
          </w:tcPr>
          <w:p w:rsidR="00475650" w:rsidRDefault="00475650">
            <w:pPr>
              <w:pStyle w:val="afff7"/>
              <w:snapToGrid w:val="0"/>
              <w:spacing w:line="240" w:lineRule="auto"/>
              <w:rPr>
                <w:sz w:val="21"/>
                <w:szCs w:val="21"/>
              </w:rPr>
            </w:pPr>
          </w:p>
        </w:tc>
        <w:tc>
          <w:tcPr>
            <w:tcW w:w="1719" w:type="dxa"/>
            <w:vMerge/>
            <w:tcMar>
              <w:top w:w="28" w:type="dxa"/>
              <w:bottom w:w="28" w:type="dxa"/>
            </w:tcMar>
            <w:vAlign w:val="center"/>
          </w:tcPr>
          <w:p w:rsidR="00475650" w:rsidRDefault="00475650">
            <w:pPr>
              <w:pStyle w:val="afff7"/>
              <w:snapToGrid w:val="0"/>
              <w:spacing w:line="240" w:lineRule="auto"/>
              <w:rPr>
                <w:sz w:val="21"/>
                <w:szCs w:val="21"/>
              </w:rPr>
            </w:pPr>
          </w:p>
        </w:tc>
      </w:tr>
      <w:tr w:rsidR="00475650">
        <w:trPr>
          <w:jc w:val="center"/>
        </w:trPr>
        <w:tc>
          <w:tcPr>
            <w:tcW w:w="1263" w:type="dxa"/>
            <w:tcMar>
              <w:top w:w="28" w:type="dxa"/>
              <w:bottom w:w="28" w:type="dxa"/>
            </w:tcMar>
            <w:vAlign w:val="center"/>
          </w:tcPr>
          <w:p w:rsidR="00475650" w:rsidRDefault="00475650">
            <w:pPr>
              <w:pStyle w:val="afff7"/>
              <w:snapToGrid w:val="0"/>
              <w:spacing w:line="240" w:lineRule="auto"/>
              <w:rPr>
                <w:sz w:val="21"/>
                <w:szCs w:val="21"/>
              </w:rPr>
            </w:pPr>
            <w:r>
              <w:rPr>
                <w:rFonts w:hAnsi="宋体"/>
                <w:sz w:val="21"/>
                <w:szCs w:val="21"/>
              </w:rPr>
              <w:t>枯水期</w:t>
            </w:r>
          </w:p>
        </w:tc>
        <w:tc>
          <w:tcPr>
            <w:tcW w:w="1539" w:type="dxa"/>
            <w:tcMar>
              <w:top w:w="28" w:type="dxa"/>
              <w:bottom w:w="28" w:type="dxa"/>
            </w:tcMar>
            <w:vAlign w:val="center"/>
          </w:tcPr>
          <w:p w:rsidR="00475650" w:rsidRDefault="00475650">
            <w:pPr>
              <w:pStyle w:val="afff7"/>
              <w:snapToGrid w:val="0"/>
              <w:spacing w:line="240" w:lineRule="auto"/>
              <w:rPr>
                <w:sz w:val="21"/>
                <w:szCs w:val="21"/>
              </w:rPr>
            </w:pPr>
            <w:r>
              <w:rPr>
                <w:sz w:val="21"/>
                <w:szCs w:val="21"/>
              </w:rPr>
              <w:t>6132</w:t>
            </w:r>
          </w:p>
        </w:tc>
        <w:tc>
          <w:tcPr>
            <w:tcW w:w="1415" w:type="dxa"/>
            <w:tcMar>
              <w:top w:w="28" w:type="dxa"/>
              <w:bottom w:w="28" w:type="dxa"/>
            </w:tcMar>
            <w:vAlign w:val="center"/>
          </w:tcPr>
          <w:p w:rsidR="00475650" w:rsidRDefault="00475650">
            <w:pPr>
              <w:pStyle w:val="afff7"/>
              <w:snapToGrid w:val="0"/>
              <w:spacing w:line="240" w:lineRule="auto"/>
              <w:rPr>
                <w:sz w:val="21"/>
                <w:szCs w:val="21"/>
              </w:rPr>
            </w:pPr>
            <w:r>
              <w:rPr>
                <w:sz w:val="21"/>
                <w:szCs w:val="21"/>
              </w:rPr>
              <w:t>1120</w:t>
            </w:r>
          </w:p>
        </w:tc>
        <w:tc>
          <w:tcPr>
            <w:tcW w:w="1514" w:type="dxa"/>
            <w:tcMar>
              <w:top w:w="28" w:type="dxa"/>
              <w:bottom w:w="28" w:type="dxa"/>
            </w:tcMar>
            <w:vAlign w:val="center"/>
          </w:tcPr>
          <w:p w:rsidR="00475650" w:rsidRDefault="00475650">
            <w:pPr>
              <w:pStyle w:val="afff7"/>
              <w:snapToGrid w:val="0"/>
              <w:spacing w:line="240" w:lineRule="auto"/>
              <w:rPr>
                <w:sz w:val="21"/>
                <w:szCs w:val="21"/>
              </w:rPr>
            </w:pPr>
            <w:r>
              <w:rPr>
                <w:sz w:val="21"/>
                <w:szCs w:val="21"/>
              </w:rPr>
              <w:t>7.11</w:t>
            </w:r>
          </w:p>
        </w:tc>
        <w:tc>
          <w:tcPr>
            <w:tcW w:w="1496" w:type="dxa"/>
            <w:tcMar>
              <w:top w:w="28" w:type="dxa"/>
              <w:bottom w:w="28" w:type="dxa"/>
            </w:tcMar>
            <w:vAlign w:val="center"/>
          </w:tcPr>
          <w:p w:rsidR="00475650" w:rsidRDefault="00475650">
            <w:pPr>
              <w:pStyle w:val="afff7"/>
              <w:snapToGrid w:val="0"/>
              <w:spacing w:line="240" w:lineRule="auto"/>
              <w:rPr>
                <w:sz w:val="21"/>
                <w:szCs w:val="21"/>
              </w:rPr>
            </w:pPr>
            <w:r>
              <w:rPr>
                <w:sz w:val="21"/>
                <w:szCs w:val="21"/>
              </w:rPr>
              <w:t>0.77</w:t>
            </w:r>
          </w:p>
        </w:tc>
        <w:tc>
          <w:tcPr>
            <w:tcW w:w="1719" w:type="dxa"/>
            <w:tcMar>
              <w:top w:w="28" w:type="dxa"/>
              <w:bottom w:w="28" w:type="dxa"/>
            </w:tcMar>
            <w:vAlign w:val="center"/>
          </w:tcPr>
          <w:p w:rsidR="00475650" w:rsidRDefault="00475650">
            <w:pPr>
              <w:pStyle w:val="afff7"/>
              <w:snapToGrid w:val="0"/>
              <w:spacing w:line="240" w:lineRule="auto"/>
              <w:rPr>
                <w:sz w:val="21"/>
                <w:szCs w:val="21"/>
              </w:rPr>
            </w:pPr>
            <w:r>
              <w:rPr>
                <w:sz w:val="21"/>
                <w:szCs w:val="21"/>
              </w:rPr>
              <w:t>0.41</w:t>
            </w:r>
          </w:p>
        </w:tc>
      </w:tr>
    </w:tbl>
    <w:p w:rsidR="00475650" w:rsidRDefault="00475650">
      <w:pPr>
        <w:pStyle w:val="23"/>
        <w:spacing w:afterLines="0" w:line="360" w:lineRule="auto"/>
        <w:ind w:firstLine="480"/>
        <w:rPr>
          <w:color w:val="auto"/>
        </w:rPr>
      </w:pPr>
    </w:p>
    <w:p w:rsidR="00475650" w:rsidRDefault="00475650">
      <w:pPr>
        <w:autoSpaceDE w:val="0"/>
        <w:autoSpaceDN w:val="0"/>
        <w:adjustRightInd w:val="0"/>
        <w:snapToGrid w:val="0"/>
        <w:spacing w:line="360" w:lineRule="auto"/>
        <w:ind w:firstLineChars="200" w:firstLine="480"/>
        <w:rPr>
          <w:sz w:val="24"/>
        </w:rPr>
      </w:pPr>
      <w:r>
        <w:rPr>
          <w:sz w:val="24"/>
        </w:rPr>
        <w:t>2</w:t>
      </w:r>
      <w:r>
        <w:rPr>
          <w:rFonts w:hAnsi="宋体"/>
          <w:sz w:val="24"/>
        </w:rPr>
        <w:t>、地下水</w:t>
      </w:r>
    </w:p>
    <w:p w:rsidR="00475650" w:rsidRDefault="00475650">
      <w:pPr>
        <w:autoSpaceDE w:val="0"/>
        <w:autoSpaceDN w:val="0"/>
        <w:adjustRightInd w:val="0"/>
        <w:snapToGrid w:val="0"/>
        <w:spacing w:line="360" w:lineRule="auto"/>
        <w:ind w:firstLineChars="200" w:firstLine="480"/>
        <w:rPr>
          <w:rFonts w:hAnsi="宋体"/>
          <w:sz w:val="24"/>
        </w:rPr>
      </w:pPr>
      <w:r>
        <w:rPr>
          <w:rFonts w:hAnsi="宋体"/>
          <w:sz w:val="24"/>
        </w:rPr>
        <w:t>厂址地区地下水类型为上层滞水，赋存于上部填实层中，主要来源于天然降水；粉质粘土为相对隔水层；底部基岩为裂隙水，水量较贫乏。</w:t>
      </w:r>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647" w:name="_Toc465677007"/>
      <w:bookmarkStart w:id="648" w:name="_Toc4395"/>
      <w:r>
        <w:rPr>
          <w:rStyle w:val="2Char1Char"/>
          <w:rFonts w:ascii="Times New Roman" w:eastAsia="宋体" w:hAnsi="Times New Roman" w:cs="Times New Roman"/>
          <w:b w:val="0"/>
          <w:sz w:val="24"/>
          <w:szCs w:val="24"/>
        </w:rPr>
        <w:t>4.1.</w:t>
      </w:r>
      <w:r>
        <w:rPr>
          <w:rStyle w:val="2Char1Char"/>
          <w:rFonts w:ascii="Times New Roman" w:eastAsia="宋体" w:hAnsi="Times New Roman" w:cs="Times New Roman" w:hint="eastAsia"/>
          <w:b w:val="0"/>
          <w:sz w:val="24"/>
          <w:szCs w:val="24"/>
        </w:rPr>
        <w:t>6</w:t>
      </w:r>
      <w:r>
        <w:rPr>
          <w:rStyle w:val="2Char1Char"/>
          <w:rFonts w:ascii="Times New Roman" w:eastAsia="宋体" w:hAnsi="Times New Roman" w:cs="Times New Roman" w:hint="eastAsia"/>
          <w:b w:val="0"/>
          <w:sz w:val="24"/>
          <w:szCs w:val="24"/>
        </w:rPr>
        <w:t>水文地质</w:t>
      </w:r>
      <w:bookmarkEnd w:id="647"/>
      <w:bookmarkEnd w:id="648"/>
    </w:p>
    <w:p w:rsidR="00475650" w:rsidRDefault="00475650">
      <w:pPr>
        <w:pStyle w:val="G"/>
        <w:tabs>
          <w:tab w:val="left" w:pos="1021"/>
        </w:tabs>
        <w:rPr>
          <w:rFonts w:ascii="Times New Roman" w:hAnsi="Times New Roman"/>
          <w:color w:val="auto"/>
        </w:rPr>
      </w:pPr>
      <w:r>
        <w:rPr>
          <w:rFonts w:ascii="Times New Roman" w:hAnsi="Times New Roman"/>
          <w:color w:val="auto"/>
        </w:rPr>
        <w:t>1</w:t>
      </w:r>
      <w:r>
        <w:rPr>
          <w:rFonts w:ascii="Times New Roman" w:hAnsi="Times New Roman"/>
          <w:color w:val="auto"/>
        </w:rPr>
        <w:t>、地下水类型</w:t>
      </w:r>
    </w:p>
    <w:p w:rsidR="00475650" w:rsidRDefault="00475650">
      <w:pPr>
        <w:pStyle w:val="G"/>
        <w:tabs>
          <w:tab w:val="left" w:pos="1021"/>
        </w:tabs>
        <w:rPr>
          <w:rFonts w:ascii="Times New Roman" w:hAnsi="Times New Roman"/>
          <w:color w:val="auto"/>
          <w:szCs w:val="30"/>
        </w:rPr>
      </w:pPr>
      <w:r>
        <w:rPr>
          <w:rFonts w:ascii="Times New Roman" w:hAnsi="Times New Roman"/>
          <w:color w:val="auto"/>
        </w:rPr>
        <w:t>根据地下水赋存条件和水力特征，项目区地下水划分为松散岩类孔隙水、基岩裂隙水、红层孔隙裂隙水、碳酸盐岩岩溶水四类。</w:t>
      </w:r>
    </w:p>
    <w:p w:rsidR="00475650" w:rsidRDefault="00475650">
      <w:pPr>
        <w:pStyle w:val="G"/>
        <w:tabs>
          <w:tab w:val="left" w:pos="1021"/>
        </w:tabs>
        <w:rPr>
          <w:rFonts w:ascii="Times New Roman" w:hAnsi="Times New Roman"/>
          <w:color w:val="auto"/>
        </w:rPr>
      </w:pPr>
      <w:r>
        <w:rPr>
          <w:rFonts w:ascii="Times New Roman" w:hAnsi="Times New Roman"/>
          <w:color w:val="auto"/>
        </w:rPr>
        <w:t>（</w:t>
      </w:r>
      <w:r>
        <w:rPr>
          <w:rFonts w:ascii="Times New Roman" w:hAnsi="Times New Roman"/>
          <w:color w:val="auto"/>
        </w:rPr>
        <w:t>1</w:t>
      </w:r>
      <w:r>
        <w:rPr>
          <w:rFonts w:ascii="Times New Roman" w:hAnsi="Times New Roman"/>
          <w:color w:val="auto"/>
        </w:rPr>
        <w:t>）松散岩类孔隙水</w:t>
      </w:r>
    </w:p>
    <w:p w:rsidR="00475650" w:rsidRDefault="00475650">
      <w:pPr>
        <w:pStyle w:val="G"/>
        <w:tabs>
          <w:tab w:val="left" w:pos="1021"/>
        </w:tabs>
        <w:rPr>
          <w:rFonts w:ascii="Times New Roman" w:hAnsi="Times New Roman"/>
          <w:color w:val="auto"/>
        </w:rPr>
      </w:pPr>
      <w:r>
        <w:rPr>
          <w:rFonts w:ascii="Times New Roman" w:hAnsi="Times New Roman"/>
          <w:color w:val="auto"/>
        </w:rPr>
        <w:t>水量丰富的孔隙潜水：主要分布于长江沿岸地带，含水岩组由第四系全新统和更新统冲积砂、砾石层组成，含水层厚＞</w:t>
      </w:r>
      <w:r>
        <w:rPr>
          <w:rFonts w:ascii="Times New Roman" w:hAnsi="Times New Roman"/>
          <w:color w:val="auto"/>
        </w:rPr>
        <w:t>10m</w:t>
      </w:r>
      <w:r>
        <w:rPr>
          <w:rFonts w:ascii="Times New Roman" w:hAnsi="Times New Roman"/>
          <w:color w:val="auto"/>
        </w:rPr>
        <w:t>，含孔隙潜水。</w:t>
      </w:r>
    </w:p>
    <w:p w:rsidR="00475650" w:rsidRDefault="00475650">
      <w:pPr>
        <w:pStyle w:val="G"/>
        <w:tabs>
          <w:tab w:val="left" w:pos="1021"/>
        </w:tabs>
        <w:rPr>
          <w:rFonts w:ascii="Times New Roman" w:hAnsi="Times New Roman"/>
          <w:color w:val="auto"/>
        </w:rPr>
      </w:pPr>
      <w:r>
        <w:rPr>
          <w:rFonts w:ascii="Times New Roman" w:hAnsi="Times New Roman"/>
          <w:color w:val="auto"/>
        </w:rPr>
        <w:t>水量中等的孔隙潜隙水：主要分布于河流两岸的二、三、四级河谷阶地及中上游之河漫滩一级阶地。因含水层的时代、成因类型及岩性、厚度不同，其富水程度略有差异。</w:t>
      </w:r>
    </w:p>
    <w:p w:rsidR="00475650" w:rsidRDefault="00475650">
      <w:pPr>
        <w:pStyle w:val="G"/>
        <w:tabs>
          <w:tab w:val="left" w:pos="1021"/>
        </w:tabs>
        <w:rPr>
          <w:rFonts w:ascii="Times New Roman" w:hAnsi="Times New Roman"/>
          <w:color w:val="auto"/>
        </w:rPr>
      </w:pPr>
      <w:r>
        <w:rPr>
          <w:rFonts w:ascii="Times New Roman" w:hAnsi="Times New Roman"/>
          <w:color w:val="auto"/>
        </w:rPr>
        <w:t>水量贫乏的孔隙潜隙水：主要分布于小溪河谷、山间河谷平原，含水层厚度不稳定，呈透镜体状。</w:t>
      </w:r>
    </w:p>
    <w:p w:rsidR="00475650" w:rsidRDefault="00475650">
      <w:pPr>
        <w:pStyle w:val="G"/>
        <w:tabs>
          <w:tab w:val="left" w:pos="1021"/>
        </w:tabs>
        <w:rPr>
          <w:rFonts w:ascii="Times New Roman" w:hAnsi="Times New Roman"/>
          <w:color w:val="auto"/>
        </w:rPr>
      </w:pPr>
      <w:r>
        <w:rPr>
          <w:rFonts w:ascii="Times New Roman" w:hAnsi="Times New Roman"/>
          <w:color w:val="auto"/>
        </w:rPr>
        <w:t>（</w:t>
      </w:r>
      <w:r>
        <w:rPr>
          <w:rFonts w:ascii="Times New Roman" w:hAnsi="Times New Roman"/>
          <w:color w:val="auto"/>
        </w:rPr>
        <w:t>2</w:t>
      </w:r>
      <w:r>
        <w:rPr>
          <w:rFonts w:ascii="Times New Roman" w:hAnsi="Times New Roman"/>
          <w:color w:val="auto"/>
        </w:rPr>
        <w:t>）基岩裂隙水</w:t>
      </w:r>
    </w:p>
    <w:p w:rsidR="00475650" w:rsidRDefault="00475650">
      <w:pPr>
        <w:pStyle w:val="G"/>
        <w:tabs>
          <w:tab w:val="left" w:pos="1021"/>
        </w:tabs>
        <w:rPr>
          <w:rFonts w:ascii="Times New Roman" w:hAnsi="Times New Roman"/>
          <w:color w:val="auto"/>
        </w:rPr>
      </w:pPr>
      <w:r>
        <w:rPr>
          <w:rFonts w:ascii="Times New Roman" w:hAnsi="Times New Roman"/>
          <w:color w:val="auto"/>
        </w:rPr>
        <w:lastRenderedPageBreak/>
        <w:t>碎屑岩裂隙水零星分布于区内北部，含水岩组主要由志留系和侏罗系组成，岩性有粉砂质页岩、粉砂岩及细砂岩等。</w:t>
      </w:r>
    </w:p>
    <w:p w:rsidR="00475650" w:rsidRDefault="00475650">
      <w:pPr>
        <w:pStyle w:val="G"/>
        <w:tabs>
          <w:tab w:val="left" w:pos="1021"/>
        </w:tabs>
        <w:rPr>
          <w:rFonts w:ascii="Times New Roman" w:hAnsi="Times New Roman"/>
          <w:color w:val="auto"/>
        </w:rPr>
      </w:pPr>
      <w:r>
        <w:rPr>
          <w:rFonts w:ascii="Times New Roman" w:hAnsi="Times New Roman"/>
          <w:color w:val="auto"/>
        </w:rPr>
        <w:t>浅变质岩裂隙水分布于境内南部和幕阜山花岗岩体外接触带，含水岩组包括冷家溪群、震旦系和寒武系，其岩性主要有浅变质砂岩、杂砂岩、长石石英砂岩、含砾板岩等。</w:t>
      </w:r>
    </w:p>
    <w:p w:rsidR="00475650" w:rsidRDefault="00475650">
      <w:pPr>
        <w:pStyle w:val="G"/>
        <w:tabs>
          <w:tab w:val="left" w:pos="1021"/>
        </w:tabs>
        <w:rPr>
          <w:rFonts w:ascii="Times New Roman" w:hAnsi="Times New Roman"/>
          <w:color w:val="auto"/>
        </w:rPr>
      </w:pPr>
      <w:r>
        <w:rPr>
          <w:rFonts w:ascii="Times New Roman" w:hAnsi="Times New Roman"/>
          <w:color w:val="auto"/>
        </w:rPr>
        <w:t>花岗岩风化裂隙水分布于境内南部幕阜山地区，主要岩性有花岗闪长岩、黑云母二长花岗岩等组成。</w:t>
      </w:r>
    </w:p>
    <w:p w:rsidR="00475650" w:rsidRDefault="00475650">
      <w:pPr>
        <w:pStyle w:val="G"/>
        <w:tabs>
          <w:tab w:val="left" w:pos="1021"/>
        </w:tabs>
        <w:rPr>
          <w:rFonts w:ascii="Times New Roman" w:hAnsi="Times New Roman"/>
          <w:color w:val="auto"/>
          <w:szCs w:val="30"/>
        </w:rPr>
      </w:pPr>
      <w:r>
        <w:rPr>
          <w:rFonts w:ascii="Times New Roman" w:hAnsi="Times New Roman"/>
          <w:color w:val="auto"/>
        </w:rPr>
        <w:t>红层孔隙裂隙水分布于境内南部忠防及北部洪山一带，含水岩组由白垩系上统罗镜滩组组成。其岩性有紫红色厚至块状砾岩、长石石英砂岩及泥质砂岩等。</w:t>
      </w:r>
    </w:p>
    <w:p w:rsidR="00475650" w:rsidRDefault="00475650">
      <w:pPr>
        <w:pStyle w:val="G"/>
        <w:tabs>
          <w:tab w:val="left" w:pos="1021"/>
        </w:tabs>
        <w:rPr>
          <w:rFonts w:ascii="Times New Roman" w:hAnsi="Times New Roman"/>
          <w:color w:val="auto"/>
          <w:szCs w:val="30"/>
        </w:rPr>
      </w:pPr>
      <w:r>
        <w:rPr>
          <w:rFonts w:ascii="Times New Roman" w:hAnsi="Times New Roman"/>
          <w:color w:val="auto"/>
          <w:szCs w:val="30"/>
        </w:rPr>
        <w:t>2</w:t>
      </w:r>
      <w:r>
        <w:rPr>
          <w:rFonts w:ascii="Times New Roman" w:hAnsi="Times New Roman"/>
          <w:color w:val="auto"/>
          <w:szCs w:val="30"/>
        </w:rPr>
        <w:t>、地下水的补给、径流、排泄特征</w:t>
      </w:r>
    </w:p>
    <w:p w:rsidR="00475650" w:rsidRDefault="00475650">
      <w:pPr>
        <w:pStyle w:val="G"/>
        <w:tabs>
          <w:tab w:val="left" w:pos="1021"/>
        </w:tabs>
        <w:rPr>
          <w:rFonts w:ascii="Times New Roman" w:hAnsi="Times New Roman"/>
          <w:color w:val="auto"/>
          <w:szCs w:val="30"/>
        </w:rPr>
      </w:pPr>
      <w:r>
        <w:rPr>
          <w:rFonts w:ascii="Times New Roman" w:hAnsi="Times New Roman"/>
          <w:color w:val="auto"/>
          <w:szCs w:val="30"/>
        </w:rPr>
        <w:t>区域地下水主要补给源为大气降水，其次是地表水。降水量的变化是地下水动态变化的主要原因。</w:t>
      </w:r>
      <w:r>
        <w:rPr>
          <w:rFonts w:ascii="Times New Roman" w:hAnsi="Times New Roman"/>
          <w:color w:val="auto"/>
          <w:szCs w:val="30"/>
        </w:rPr>
        <w:t>4~7</w:t>
      </w:r>
      <w:r>
        <w:rPr>
          <w:rFonts w:ascii="Times New Roman" w:hAnsi="Times New Roman"/>
          <w:color w:val="auto"/>
          <w:szCs w:val="30"/>
        </w:rPr>
        <w:t>月降雨量最大，为雨季，地下水丰富，为丰水期；</w:t>
      </w:r>
      <w:r>
        <w:rPr>
          <w:rFonts w:ascii="Times New Roman" w:hAnsi="Times New Roman"/>
          <w:color w:val="auto"/>
          <w:szCs w:val="30"/>
        </w:rPr>
        <w:t>2~3</w:t>
      </w:r>
      <w:r>
        <w:rPr>
          <w:rFonts w:ascii="Times New Roman" w:hAnsi="Times New Roman"/>
          <w:color w:val="auto"/>
          <w:szCs w:val="30"/>
        </w:rPr>
        <w:t>月、</w:t>
      </w:r>
      <w:r>
        <w:rPr>
          <w:rFonts w:ascii="Times New Roman" w:hAnsi="Times New Roman"/>
          <w:color w:val="auto"/>
          <w:szCs w:val="30"/>
        </w:rPr>
        <w:t>8~11</w:t>
      </w:r>
      <w:r>
        <w:rPr>
          <w:rFonts w:ascii="Times New Roman" w:hAnsi="Times New Roman"/>
          <w:color w:val="auto"/>
          <w:szCs w:val="30"/>
        </w:rPr>
        <w:t>月常有干旱，为枯水期。区内地下水一般以泉水和地下隐伏流形式排泄，地表水系为主要排泄地带。</w:t>
      </w:r>
    </w:p>
    <w:p w:rsidR="00475650" w:rsidRDefault="00475650">
      <w:pPr>
        <w:pStyle w:val="G"/>
        <w:tabs>
          <w:tab w:val="left" w:pos="1021"/>
        </w:tabs>
        <w:rPr>
          <w:rFonts w:ascii="Times New Roman" w:hAnsi="Times New Roman"/>
          <w:color w:val="auto"/>
          <w:szCs w:val="30"/>
        </w:rPr>
      </w:pPr>
      <w:r>
        <w:rPr>
          <w:rFonts w:ascii="Times New Roman" w:hAnsi="Times New Roman"/>
          <w:color w:val="auto"/>
          <w:szCs w:val="32"/>
        </w:rPr>
        <w:t>根据地下水赋存条件，地下水类型可划分为松散岩类孔隙水和基岩裂隙水。</w:t>
      </w:r>
    </w:p>
    <w:p w:rsidR="00475650" w:rsidRDefault="00475650">
      <w:pPr>
        <w:pStyle w:val="G"/>
        <w:tabs>
          <w:tab w:val="left" w:pos="1021"/>
        </w:tabs>
        <w:rPr>
          <w:rFonts w:ascii="Times New Roman" w:hAnsi="Times New Roman"/>
          <w:color w:val="auto"/>
          <w:szCs w:val="30"/>
        </w:rPr>
      </w:pPr>
      <w:r>
        <w:rPr>
          <w:rFonts w:ascii="Times New Roman" w:hAnsi="Times New Roman"/>
          <w:color w:val="auto"/>
          <w:szCs w:val="30"/>
        </w:rPr>
        <w:t>（</w:t>
      </w:r>
      <w:r>
        <w:rPr>
          <w:rFonts w:ascii="Times New Roman" w:hAnsi="Times New Roman"/>
          <w:color w:val="auto"/>
          <w:szCs w:val="30"/>
        </w:rPr>
        <w:t>1</w:t>
      </w:r>
      <w:r>
        <w:rPr>
          <w:rFonts w:ascii="Times New Roman" w:hAnsi="Times New Roman"/>
          <w:color w:val="auto"/>
          <w:szCs w:val="30"/>
        </w:rPr>
        <w:t>）松散盐类孔隙水</w:t>
      </w:r>
    </w:p>
    <w:p w:rsidR="00475650" w:rsidRDefault="00475650">
      <w:pPr>
        <w:pStyle w:val="G"/>
        <w:tabs>
          <w:tab w:val="left" w:pos="1021"/>
        </w:tabs>
        <w:rPr>
          <w:rFonts w:ascii="Times New Roman" w:hAnsi="Times New Roman"/>
          <w:color w:val="auto"/>
          <w:szCs w:val="30"/>
        </w:rPr>
      </w:pPr>
      <w:r>
        <w:rPr>
          <w:rFonts w:ascii="Times New Roman" w:hAnsi="Times New Roman"/>
          <w:color w:val="auto"/>
          <w:szCs w:val="30"/>
        </w:rPr>
        <w:t>补给：松散类岩类孔隙水的补给源主要是大气降水，其次是地表水。</w:t>
      </w:r>
    </w:p>
    <w:p w:rsidR="00475650" w:rsidRDefault="00475650">
      <w:pPr>
        <w:pStyle w:val="G"/>
        <w:tabs>
          <w:tab w:val="left" w:pos="1021"/>
        </w:tabs>
        <w:rPr>
          <w:rFonts w:ascii="Times New Roman" w:hAnsi="Times New Roman"/>
          <w:color w:val="auto"/>
          <w:szCs w:val="30"/>
        </w:rPr>
      </w:pPr>
      <w:r>
        <w:rPr>
          <w:rFonts w:ascii="Times New Roman" w:hAnsi="Times New Roman"/>
          <w:color w:val="auto"/>
          <w:szCs w:val="30"/>
        </w:rPr>
        <w:t>径流：枯、平季节阶地内孔隙水水位高于长江水位或洋溪湖水位，流向斜交长江或洋溪湖，以渗流形式补给长江或洋溪湖。</w:t>
      </w:r>
    </w:p>
    <w:p w:rsidR="00475650" w:rsidRDefault="00475650">
      <w:pPr>
        <w:pStyle w:val="G"/>
        <w:tabs>
          <w:tab w:val="left" w:pos="1021"/>
        </w:tabs>
        <w:rPr>
          <w:rFonts w:ascii="Times New Roman" w:hAnsi="Times New Roman"/>
          <w:color w:val="auto"/>
          <w:szCs w:val="30"/>
        </w:rPr>
      </w:pPr>
      <w:r>
        <w:rPr>
          <w:rFonts w:ascii="Times New Roman" w:hAnsi="Times New Roman"/>
          <w:color w:val="auto"/>
          <w:szCs w:val="30"/>
        </w:rPr>
        <w:t>排泄：孔隙水在枯、平季节多以渗流形式排泄至长江或洋溪湖中。</w:t>
      </w:r>
    </w:p>
    <w:p w:rsidR="00475650" w:rsidRDefault="00475650">
      <w:pPr>
        <w:pStyle w:val="G"/>
        <w:tabs>
          <w:tab w:val="left" w:pos="1021"/>
        </w:tabs>
        <w:rPr>
          <w:rFonts w:ascii="Times New Roman" w:hAnsi="Times New Roman"/>
          <w:color w:val="auto"/>
          <w:szCs w:val="30"/>
        </w:rPr>
      </w:pPr>
      <w:r>
        <w:rPr>
          <w:rFonts w:ascii="Times New Roman" w:hAnsi="Times New Roman"/>
          <w:color w:val="auto"/>
          <w:szCs w:val="30"/>
        </w:rPr>
        <w:t>（</w:t>
      </w:r>
      <w:r>
        <w:rPr>
          <w:rFonts w:ascii="Times New Roman" w:hAnsi="Times New Roman"/>
          <w:color w:val="auto"/>
          <w:szCs w:val="30"/>
        </w:rPr>
        <w:t>2</w:t>
      </w:r>
      <w:r>
        <w:rPr>
          <w:rFonts w:ascii="Times New Roman" w:hAnsi="Times New Roman"/>
          <w:color w:val="auto"/>
          <w:szCs w:val="30"/>
        </w:rPr>
        <w:t>）基岩裂隙水</w:t>
      </w:r>
    </w:p>
    <w:p w:rsidR="00475650" w:rsidRDefault="00475650">
      <w:pPr>
        <w:pStyle w:val="G"/>
        <w:tabs>
          <w:tab w:val="left" w:pos="1021"/>
        </w:tabs>
        <w:rPr>
          <w:rFonts w:ascii="Times New Roman" w:hAnsi="Times New Roman"/>
          <w:color w:val="auto"/>
          <w:szCs w:val="30"/>
        </w:rPr>
      </w:pPr>
      <w:r>
        <w:rPr>
          <w:rFonts w:ascii="Times New Roman" w:hAnsi="Times New Roman"/>
          <w:color w:val="auto"/>
          <w:szCs w:val="30"/>
        </w:rPr>
        <w:t>补给：基岩裂隙水多分布于丘陵地带，最大降雨量可达</w:t>
      </w:r>
      <w:r>
        <w:rPr>
          <w:rFonts w:ascii="Times New Roman" w:hAnsi="Times New Roman"/>
          <w:color w:val="auto"/>
          <w:szCs w:val="30"/>
        </w:rPr>
        <w:t>1446mm</w:t>
      </w:r>
      <w:r>
        <w:rPr>
          <w:rFonts w:ascii="Times New Roman" w:hAnsi="Times New Roman"/>
          <w:color w:val="auto"/>
          <w:szCs w:val="30"/>
        </w:rPr>
        <w:t>以上，降水是基岩裂隙水的主要补给源，补给强度取决于降雨量，频率和形式、地貌、岩性、构造及岩石的风化状况诸因素。</w:t>
      </w:r>
    </w:p>
    <w:p w:rsidR="00475650" w:rsidRDefault="00475650">
      <w:pPr>
        <w:pStyle w:val="G"/>
        <w:tabs>
          <w:tab w:val="left" w:pos="1021"/>
        </w:tabs>
        <w:rPr>
          <w:rFonts w:ascii="Times New Roman" w:hAnsi="Times New Roman"/>
          <w:color w:val="auto"/>
          <w:szCs w:val="30"/>
        </w:rPr>
      </w:pPr>
      <w:r>
        <w:rPr>
          <w:rFonts w:ascii="Times New Roman" w:hAnsi="Times New Roman"/>
          <w:color w:val="auto"/>
          <w:szCs w:val="30"/>
        </w:rPr>
        <w:t>径流：基岩裂隙水径流条件与地貌和岩性关系密切。水位埋深与地形起伏大体呈正相关。基岩裂隙水分布的丘陵地带，地形较缓，水力坡度较小径流速度慢，强度弱。</w:t>
      </w:r>
    </w:p>
    <w:p w:rsidR="00475650" w:rsidRDefault="00475650">
      <w:pPr>
        <w:pStyle w:val="G"/>
        <w:tabs>
          <w:tab w:val="left" w:pos="1021"/>
        </w:tabs>
        <w:rPr>
          <w:rFonts w:ascii="Times New Roman" w:hAnsi="Times New Roman"/>
          <w:color w:val="auto"/>
          <w:szCs w:val="30"/>
        </w:rPr>
      </w:pPr>
      <w:r>
        <w:rPr>
          <w:rFonts w:ascii="Times New Roman" w:hAnsi="Times New Roman"/>
          <w:color w:val="auto"/>
          <w:szCs w:val="30"/>
        </w:rPr>
        <w:t>排泄：基岩裂隙水在斜坡或谷底以下降泉的形式排泄于地表。场区基岩均为相对隔水层，渗透性较差，因此通过接触带的补给性较弱。</w:t>
      </w:r>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649" w:name="_Toc465677008"/>
      <w:bookmarkStart w:id="650" w:name="_Toc21981"/>
      <w:r>
        <w:rPr>
          <w:rStyle w:val="2Char1Char"/>
          <w:rFonts w:ascii="Times New Roman" w:eastAsia="宋体" w:hAnsi="Times New Roman" w:cs="Times New Roman"/>
          <w:b w:val="0"/>
          <w:sz w:val="24"/>
          <w:szCs w:val="24"/>
        </w:rPr>
        <w:lastRenderedPageBreak/>
        <w:t>4.1.</w:t>
      </w:r>
      <w:r>
        <w:rPr>
          <w:rStyle w:val="2Char1Char"/>
          <w:rFonts w:ascii="Times New Roman" w:eastAsia="宋体" w:hAnsi="Times New Roman" w:cs="Times New Roman" w:hint="eastAsia"/>
          <w:b w:val="0"/>
          <w:sz w:val="24"/>
          <w:szCs w:val="24"/>
        </w:rPr>
        <w:t>6</w:t>
      </w:r>
      <w:r>
        <w:rPr>
          <w:rStyle w:val="2Char1Char"/>
          <w:rFonts w:ascii="Times New Roman" w:eastAsia="宋体" w:hAnsi="Times New Roman" w:cs="Times New Roman"/>
          <w:b w:val="0"/>
          <w:sz w:val="24"/>
          <w:szCs w:val="24"/>
        </w:rPr>
        <w:t xml:space="preserve"> </w:t>
      </w:r>
      <w:r>
        <w:rPr>
          <w:rStyle w:val="2Char1Char"/>
          <w:rFonts w:ascii="Times New Roman" w:eastAsia="宋体" w:hAnsi="宋体" w:cs="Times New Roman"/>
          <w:b w:val="0"/>
          <w:sz w:val="24"/>
          <w:szCs w:val="24"/>
        </w:rPr>
        <w:t>动物、植被</w:t>
      </w:r>
      <w:bookmarkEnd w:id="649"/>
      <w:bookmarkEnd w:id="650"/>
    </w:p>
    <w:p w:rsidR="00475650" w:rsidRDefault="00475650">
      <w:pPr>
        <w:autoSpaceDE w:val="0"/>
        <w:autoSpaceDN w:val="0"/>
        <w:adjustRightInd w:val="0"/>
        <w:snapToGrid w:val="0"/>
        <w:spacing w:line="360" w:lineRule="auto"/>
        <w:ind w:firstLineChars="200" w:firstLine="480"/>
        <w:rPr>
          <w:sz w:val="24"/>
        </w:rPr>
      </w:pPr>
      <w:r>
        <w:rPr>
          <w:rFonts w:hAnsi="宋体"/>
          <w:sz w:val="24"/>
        </w:rPr>
        <w:t>（一）陆生动植物</w:t>
      </w:r>
    </w:p>
    <w:p w:rsidR="00475650" w:rsidRDefault="00475650">
      <w:pPr>
        <w:autoSpaceDE w:val="0"/>
        <w:autoSpaceDN w:val="0"/>
        <w:adjustRightInd w:val="0"/>
        <w:snapToGrid w:val="0"/>
        <w:spacing w:line="360" w:lineRule="auto"/>
        <w:ind w:firstLineChars="200" w:firstLine="480"/>
        <w:rPr>
          <w:sz w:val="24"/>
        </w:rPr>
      </w:pPr>
      <w:r>
        <w:rPr>
          <w:rFonts w:hAnsi="宋体"/>
          <w:sz w:val="24"/>
        </w:rPr>
        <w:t>本项目所在区域内由于人类多年的开发活动，天然植被已大部分转化为人工植被。土地除住宅、工业和道路用地外，主要是农业用地，种植稻麦和蔬菜等。此外，家前屋后和道路、河道两旁种植有各种林木和花卉。本地区无原始森林，陆生野生动物有鸟、鼠、蛇、蛙、昆虫等小动物，无大型野生哺乳动物，无珍稀物种。</w:t>
      </w:r>
    </w:p>
    <w:p w:rsidR="00475650" w:rsidRDefault="00475650">
      <w:pPr>
        <w:autoSpaceDE w:val="0"/>
        <w:autoSpaceDN w:val="0"/>
        <w:adjustRightInd w:val="0"/>
        <w:snapToGrid w:val="0"/>
        <w:spacing w:line="360" w:lineRule="auto"/>
        <w:ind w:firstLineChars="200" w:firstLine="480"/>
        <w:rPr>
          <w:sz w:val="24"/>
        </w:rPr>
      </w:pPr>
      <w:r>
        <w:rPr>
          <w:rFonts w:hAnsi="宋体"/>
          <w:sz w:val="24"/>
        </w:rPr>
        <w:t>（二）水生生物</w:t>
      </w:r>
    </w:p>
    <w:p w:rsidR="00475650" w:rsidRDefault="00475650">
      <w:pPr>
        <w:autoSpaceDE w:val="0"/>
        <w:autoSpaceDN w:val="0"/>
        <w:adjustRightInd w:val="0"/>
        <w:snapToGrid w:val="0"/>
        <w:spacing w:line="360" w:lineRule="auto"/>
        <w:ind w:firstLineChars="200" w:firstLine="480"/>
        <w:rPr>
          <w:sz w:val="24"/>
        </w:rPr>
      </w:pPr>
      <w:r>
        <w:rPr>
          <w:rFonts w:hAnsi="宋体"/>
          <w:sz w:val="24"/>
        </w:rPr>
        <w:t>根据上海水产大学李学军等人对长江岳阳段调查，该处水生生物种类主要浮游植物有蓝藻、硅藻、绿藻，主要浮游动物有原生动物、轮虫、枝角类、桡足类，主要底栖动物有环节动物、摇蚊幼虫、腹足类、瓣鳃类，主要水生维管束植物有沉水植物。</w:t>
      </w:r>
    </w:p>
    <w:p w:rsidR="00475650" w:rsidRDefault="00475650">
      <w:pPr>
        <w:autoSpaceDE w:val="0"/>
        <w:autoSpaceDN w:val="0"/>
        <w:adjustRightInd w:val="0"/>
        <w:snapToGrid w:val="0"/>
        <w:spacing w:line="360" w:lineRule="auto"/>
        <w:ind w:firstLineChars="200" w:firstLine="480"/>
        <w:rPr>
          <w:sz w:val="24"/>
        </w:rPr>
      </w:pPr>
      <w:r>
        <w:rPr>
          <w:rFonts w:hAnsi="宋体"/>
          <w:sz w:val="24"/>
        </w:rPr>
        <w:t>长江是我国水生生物资源宝库，项目所在道仁矶江段的主要鱼类为中国江河平原区系鱼类青、草、鲢、鳙、鳊、鲂等，第三纪区系钱类鲤、鲫、鲶、鳜鱼等，区内水产主要有鱼类、珍珠、螃蟹等。</w:t>
      </w:r>
    </w:p>
    <w:p w:rsidR="00475650" w:rsidRDefault="00475650">
      <w:pPr>
        <w:autoSpaceDE w:val="0"/>
        <w:autoSpaceDN w:val="0"/>
        <w:adjustRightInd w:val="0"/>
        <w:snapToGrid w:val="0"/>
        <w:spacing w:line="360" w:lineRule="auto"/>
        <w:ind w:firstLineChars="200" w:firstLine="480"/>
        <w:rPr>
          <w:rFonts w:hAnsi="宋体"/>
          <w:sz w:val="24"/>
        </w:rPr>
      </w:pPr>
      <w:r>
        <w:rPr>
          <w:rFonts w:hAnsi="宋体" w:hint="eastAsia"/>
          <w:sz w:val="24"/>
        </w:rPr>
        <w:t>长江监利段国家级四大家鱼水产种质资源保护区：长江监利段四大家鱼国家级水产种质资源保护区总面积</w:t>
      </w:r>
      <w:r>
        <w:rPr>
          <w:rFonts w:hAnsi="宋体" w:hint="eastAsia"/>
          <w:sz w:val="24"/>
        </w:rPr>
        <w:t>15996</w:t>
      </w:r>
      <w:r>
        <w:rPr>
          <w:rFonts w:hAnsi="宋体" w:hint="eastAsia"/>
          <w:sz w:val="24"/>
        </w:rPr>
        <w:t>公顷，其中核心区面积</w:t>
      </w:r>
      <w:r>
        <w:rPr>
          <w:rFonts w:hAnsi="宋体" w:hint="eastAsia"/>
          <w:sz w:val="24"/>
        </w:rPr>
        <w:t>6294</w:t>
      </w:r>
      <w:r>
        <w:rPr>
          <w:rFonts w:hAnsi="宋体" w:hint="eastAsia"/>
          <w:sz w:val="24"/>
        </w:rPr>
        <w:t>公顷，实验区</w:t>
      </w:r>
      <w:r>
        <w:rPr>
          <w:rFonts w:hAnsi="宋体" w:hint="eastAsia"/>
          <w:sz w:val="24"/>
        </w:rPr>
        <w:t>9702</w:t>
      </w:r>
      <w:r>
        <w:rPr>
          <w:rFonts w:hAnsi="宋体" w:hint="eastAsia"/>
          <w:sz w:val="24"/>
        </w:rPr>
        <w:t>公顷。特别保护期为</w:t>
      </w:r>
      <w:r>
        <w:rPr>
          <w:rFonts w:hAnsi="宋体" w:hint="eastAsia"/>
          <w:sz w:val="24"/>
        </w:rPr>
        <w:t>4</w:t>
      </w:r>
      <w:r>
        <w:rPr>
          <w:rFonts w:hAnsi="宋体" w:hint="eastAsia"/>
          <w:sz w:val="24"/>
        </w:rPr>
        <w:t>月</w:t>
      </w:r>
      <w:r>
        <w:rPr>
          <w:rFonts w:hAnsi="宋体" w:hint="eastAsia"/>
          <w:sz w:val="24"/>
        </w:rPr>
        <w:t>1</w:t>
      </w:r>
      <w:r>
        <w:rPr>
          <w:rFonts w:hAnsi="宋体" w:hint="eastAsia"/>
          <w:sz w:val="24"/>
        </w:rPr>
        <w:t>日</w:t>
      </w:r>
      <w:r>
        <w:rPr>
          <w:rFonts w:hAnsi="宋体" w:hint="eastAsia"/>
          <w:sz w:val="24"/>
        </w:rPr>
        <w:t>-6</w:t>
      </w:r>
      <w:r>
        <w:rPr>
          <w:rFonts w:hAnsi="宋体" w:hint="eastAsia"/>
          <w:sz w:val="24"/>
        </w:rPr>
        <w:t>月</w:t>
      </w:r>
      <w:r>
        <w:rPr>
          <w:rFonts w:hAnsi="宋体" w:hint="eastAsia"/>
          <w:sz w:val="24"/>
        </w:rPr>
        <w:t>30</w:t>
      </w:r>
      <w:r>
        <w:rPr>
          <w:rFonts w:hAnsi="宋体" w:hint="eastAsia"/>
          <w:sz w:val="24"/>
        </w:rPr>
        <w:t>日。保护区位于湖北省监利县长江江段，范围在东经</w:t>
      </w:r>
      <w:r>
        <w:rPr>
          <w:rFonts w:hAnsi="宋体" w:hint="eastAsia"/>
          <w:sz w:val="24"/>
        </w:rPr>
        <w:t>112</w:t>
      </w:r>
      <w:r>
        <w:rPr>
          <w:rFonts w:hAnsi="宋体" w:hint="eastAsia"/>
          <w:sz w:val="24"/>
        </w:rPr>
        <w:t>°</w:t>
      </w:r>
      <w:r>
        <w:rPr>
          <w:rFonts w:hAnsi="宋体" w:hint="eastAsia"/>
          <w:sz w:val="24"/>
        </w:rPr>
        <w:t>42</w:t>
      </w:r>
      <w:r>
        <w:rPr>
          <w:rFonts w:hAnsi="宋体" w:hint="eastAsia"/>
          <w:sz w:val="24"/>
        </w:rPr>
        <w:t>′</w:t>
      </w:r>
      <w:r>
        <w:rPr>
          <w:rFonts w:hAnsi="宋体" w:hint="eastAsia"/>
          <w:sz w:val="24"/>
        </w:rPr>
        <w:t>47"-113</w:t>
      </w:r>
      <w:r>
        <w:rPr>
          <w:rFonts w:hAnsi="宋体" w:hint="eastAsia"/>
          <w:sz w:val="24"/>
        </w:rPr>
        <w:t>°</w:t>
      </w:r>
      <w:r>
        <w:rPr>
          <w:rFonts w:hAnsi="宋体" w:hint="eastAsia"/>
          <w:sz w:val="24"/>
        </w:rPr>
        <w:t>18</w:t>
      </w:r>
      <w:r>
        <w:rPr>
          <w:rFonts w:hAnsi="宋体" w:hint="eastAsia"/>
          <w:sz w:val="24"/>
        </w:rPr>
        <w:t>′</w:t>
      </w:r>
      <w:r>
        <w:rPr>
          <w:rFonts w:hAnsi="宋体" w:hint="eastAsia"/>
          <w:sz w:val="24"/>
        </w:rPr>
        <w:t>11"</w:t>
      </w:r>
      <w:r>
        <w:rPr>
          <w:rFonts w:hAnsi="宋体" w:hint="eastAsia"/>
          <w:sz w:val="24"/>
        </w:rPr>
        <w:t>，北纬</w:t>
      </w:r>
      <w:r>
        <w:rPr>
          <w:rFonts w:hAnsi="宋体" w:hint="eastAsia"/>
          <w:sz w:val="24"/>
        </w:rPr>
        <w:t>29</w:t>
      </w:r>
      <w:r>
        <w:rPr>
          <w:rFonts w:hAnsi="宋体" w:hint="eastAsia"/>
          <w:sz w:val="24"/>
        </w:rPr>
        <w:t>°</w:t>
      </w:r>
      <w:r>
        <w:rPr>
          <w:rFonts w:hAnsi="宋体" w:hint="eastAsia"/>
          <w:sz w:val="24"/>
        </w:rPr>
        <w:t>27</w:t>
      </w:r>
      <w:r>
        <w:rPr>
          <w:rFonts w:hAnsi="宋体" w:hint="eastAsia"/>
          <w:sz w:val="24"/>
        </w:rPr>
        <w:t>′</w:t>
      </w:r>
      <w:r>
        <w:rPr>
          <w:rFonts w:hAnsi="宋体" w:hint="eastAsia"/>
          <w:sz w:val="24"/>
        </w:rPr>
        <w:t>46"-29</w:t>
      </w:r>
      <w:r>
        <w:rPr>
          <w:rFonts w:hAnsi="宋体" w:hint="eastAsia"/>
          <w:sz w:val="24"/>
        </w:rPr>
        <w:t>°</w:t>
      </w:r>
      <w:r>
        <w:rPr>
          <w:rFonts w:hAnsi="宋体" w:hint="eastAsia"/>
          <w:sz w:val="24"/>
        </w:rPr>
        <w:t>48</w:t>
      </w:r>
      <w:r>
        <w:rPr>
          <w:rFonts w:hAnsi="宋体" w:hint="eastAsia"/>
          <w:sz w:val="24"/>
        </w:rPr>
        <w:t>′</w:t>
      </w:r>
      <w:r>
        <w:rPr>
          <w:rFonts w:hAnsi="宋体" w:hint="eastAsia"/>
          <w:sz w:val="24"/>
        </w:rPr>
        <w:t>31"</w:t>
      </w:r>
      <w:r>
        <w:rPr>
          <w:rFonts w:hAnsi="宋体" w:hint="eastAsia"/>
          <w:sz w:val="24"/>
        </w:rPr>
        <w:t>之间，由老江河长江故道长</w:t>
      </w:r>
      <w:r>
        <w:rPr>
          <w:rFonts w:hAnsi="宋体" w:hint="eastAsia"/>
          <w:sz w:val="24"/>
        </w:rPr>
        <w:t>20.0</w:t>
      </w:r>
      <w:r>
        <w:rPr>
          <w:rFonts w:hAnsi="宋体" w:hint="eastAsia"/>
          <w:sz w:val="24"/>
        </w:rPr>
        <w:t>千米和长江干流</w:t>
      </w:r>
      <w:r>
        <w:rPr>
          <w:rFonts w:hAnsi="宋体" w:hint="eastAsia"/>
          <w:sz w:val="24"/>
        </w:rPr>
        <w:t>78.48</w:t>
      </w:r>
      <w:r>
        <w:rPr>
          <w:rFonts w:hAnsi="宋体" w:hint="eastAsia"/>
          <w:sz w:val="24"/>
        </w:rPr>
        <w:t>千米江段水域组成，全长</w:t>
      </w:r>
      <w:r>
        <w:rPr>
          <w:rFonts w:hAnsi="宋体" w:hint="eastAsia"/>
          <w:sz w:val="24"/>
        </w:rPr>
        <w:t>98.48</w:t>
      </w:r>
      <w:r>
        <w:rPr>
          <w:rFonts w:hAnsi="宋体" w:hint="eastAsia"/>
          <w:sz w:val="24"/>
        </w:rPr>
        <w:t>千米。保护区江段上起监利县大垸柳口闸，下至监利县白螺镇韩家埠，流经杨家湾、沙咀、左家滩、盐船、上沙村、老江河长江故道、孙梁洲、白螺矶、韩家埠。其中长江干流保护区由</w:t>
      </w:r>
      <w:r>
        <w:rPr>
          <w:rFonts w:hAnsi="宋体" w:hint="eastAsia"/>
          <w:sz w:val="24"/>
        </w:rPr>
        <w:t>3</w:t>
      </w:r>
      <w:r>
        <w:rPr>
          <w:rFonts w:hAnsi="宋体" w:hint="eastAsia"/>
          <w:sz w:val="24"/>
        </w:rPr>
        <w:t>段水域构成，保护区上段由监利县大垸农场管理区柳口至容城镇新洲沙咀轮渡码头，中段由三</w:t>
      </w:r>
      <w:r>
        <w:rPr>
          <w:rFonts w:hAnsi="宋体"/>
          <w:sz w:val="24"/>
        </w:rPr>
        <w:t>洲镇左家滩经老江河故道至柘木乡孙梁洲，下段由白螺镇白螺矶至韩家埠。主要保护对象为青鱼、草鱼、鲢、鳙“四大家鱼”，其他保护对象为保护区内的其它水生生物。</w:t>
      </w:r>
      <w:r>
        <w:rPr>
          <w:rFonts w:hAnsi="宋体" w:hint="eastAsia"/>
          <w:sz w:val="24"/>
        </w:rPr>
        <w:t>园区污水处理厂排污口位于保护区下游，未纳入保护范围内。</w:t>
      </w:r>
    </w:p>
    <w:p w:rsidR="00475650" w:rsidRDefault="00475650">
      <w:pPr>
        <w:autoSpaceDE w:val="0"/>
        <w:autoSpaceDN w:val="0"/>
        <w:adjustRightInd w:val="0"/>
        <w:snapToGrid w:val="0"/>
        <w:spacing w:line="360" w:lineRule="auto"/>
        <w:ind w:firstLineChars="200" w:firstLine="480"/>
        <w:rPr>
          <w:rFonts w:hAnsi="宋体"/>
          <w:sz w:val="24"/>
        </w:rPr>
      </w:pPr>
      <w:r>
        <w:rPr>
          <w:rFonts w:hAnsi="宋体" w:hint="eastAsia"/>
          <w:sz w:val="24"/>
        </w:rPr>
        <w:t>湖北长江新螺段白鱀豚国家级自然保护区：位于湖北省洪湖市、赤壁市、嘉鱼县和湖南省临湘市</w:t>
      </w:r>
      <w:r>
        <w:rPr>
          <w:rFonts w:hAnsi="宋体" w:hint="eastAsia"/>
          <w:sz w:val="24"/>
        </w:rPr>
        <w:t>4</w:t>
      </w:r>
      <w:r>
        <w:rPr>
          <w:rFonts w:hAnsi="宋体" w:hint="eastAsia"/>
          <w:sz w:val="24"/>
        </w:rPr>
        <w:t>市县的交界处。地理位置为东经</w:t>
      </w:r>
      <w:r>
        <w:rPr>
          <w:rFonts w:hAnsi="宋体" w:hint="eastAsia"/>
          <w:sz w:val="24"/>
        </w:rPr>
        <w:t>113</w:t>
      </w:r>
      <w:r>
        <w:rPr>
          <w:rFonts w:hAnsi="宋体" w:hint="eastAsia"/>
          <w:sz w:val="24"/>
        </w:rPr>
        <w:t>°</w:t>
      </w:r>
      <w:r>
        <w:rPr>
          <w:rFonts w:hAnsi="宋体" w:hint="eastAsia"/>
          <w:sz w:val="24"/>
        </w:rPr>
        <w:t>07</w:t>
      </w:r>
      <w:r>
        <w:rPr>
          <w:rFonts w:hAnsi="宋体" w:hint="eastAsia"/>
          <w:sz w:val="24"/>
        </w:rPr>
        <w:t>ˊ</w:t>
      </w:r>
      <w:r>
        <w:rPr>
          <w:rFonts w:hAnsi="宋体" w:hint="eastAsia"/>
          <w:sz w:val="24"/>
        </w:rPr>
        <w:t>19</w:t>
      </w:r>
      <w:r>
        <w:rPr>
          <w:rFonts w:hAnsi="宋体" w:hint="eastAsia"/>
          <w:sz w:val="24"/>
        </w:rPr>
        <w:t>″</w:t>
      </w:r>
      <w:r>
        <w:rPr>
          <w:rFonts w:hAnsi="宋体" w:hint="eastAsia"/>
          <w:sz w:val="24"/>
        </w:rPr>
        <w:t>~114</w:t>
      </w:r>
      <w:r>
        <w:rPr>
          <w:rFonts w:hAnsi="宋体" w:hint="eastAsia"/>
          <w:sz w:val="24"/>
        </w:rPr>
        <w:t>°</w:t>
      </w:r>
      <w:r>
        <w:rPr>
          <w:rFonts w:hAnsi="宋体" w:hint="eastAsia"/>
          <w:sz w:val="24"/>
        </w:rPr>
        <w:t>05</w:t>
      </w:r>
      <w:r>
        <w:rPr>
          <w:rFonts w:hAnsi="宋体" w:hint="eastAsia"/>
          <w:sz w:val="24"/>
        </w:rPr>
        <w:t>′</w:t>
      </w:r>
      <w:r>
        <w:rPr>
          <w:rFonts w:hAnsi="宋体" w:hint="eastAsia"/>
          <w:sz w:val="24"/>
        </w:rPr>
        <w:t>12</w:t>
      </w:r>
      <w:r>
        <w:rPr>
          <w:rFonts w:hAnsi="宋体" w:hint="eastAsia"/>
          <w:sz w:val="24"/>
        </w:rPr>
        <w:t>″，北纬</w:t>
      </w:r>
      <w:r>
        <w:rPr>
          <w:rFonts w:hAnsi="宋体" w:hint="eastAsia"/>
          <w:sz w:val="24"/>
        </w:rPr>
        <w:t>29</w:t>
      </w:r>
      <w:r>
        <w:rPr>
          <w:rFonts w:hAnsi="宋体" w:hint="eastAsia"/>
          <w:sz w:val="24"/>
        </w:rPr>
        <w:t>°</w:t>
      </w:r>
      <w:r>
        <w:rPr>
          <w:rFonts w:hAnsi="宋体" w:hint="eastAsia"/>
          <w:sz w:val="24"/>
        </w:rPr>
        <w:t>38</w:t>
      </w:r>
      <w:r>
        <w:rPr>
          <w:rFonts w:hAnsi="宋体" w:hint="eastAsia"/>
          <w:sz w:val="24"/>
        </w:rPr>
        <w:t>′</w:t>
      </w:r>
      <w:r>
        <w:rPr>
          <w:rFonts w:hAnsi="宋体" w:hint="eastAsia"/>
          <w:sz w:val="24"/>
        </w:rPr>
        <w:t>39</w:t>
      </w:r>
      <w:r>
        <w:rPr>
          <w:rFonts w:hAnsi="宋体" w:hint="eastAsia"/>
          <w:sz w:val="24"/>
        </w:rPr>
        <w:t>″</w:t>
      </w:r>
      <w:r>
        <w:rPr>
          <w:rFonts w:hAnsi="宋体" w:hint="eastAsia"/>
          <w:sz w:val="24"/>
        </w:rPr>
        <w:t>~30</w:t>
      </w:r>
      <w:r>
        <w:rPr>
          <w:rFonts w:hAnsi="宋体" w:hint="eastAsia"/>
          <w:sz w:val="24"/>
        </w:rPr>
        <w:t>°</w:t>
      </w:r>
      <w:r>
        <w:rPr>
          <w:rFonts w:hAnsi="宋体" w:hint="eastAsia"/>
          <w:sz w:val="24"/>
        </w:rPr>
        <w:t>05</w:t>
      </w:r>
      <w:r>
        <w:rPr>
          <w:rFonts w:hAnsi="宋体" w:hint="eastAsia"/>
          <w:sz w:val="24"/>
        </w:rPr>
        <w:t>ˊ</w:t>
      </w:r>
      <w:r>
        <w:rPr>
          <w:rFonts w:hAnsi="宋体" w:hint="eastAsia"/>
          <w:sz w:val="24"/>
        </w:rPr>
        <w:t>12</w:t>
      </w:r>
      <w:r>
        <w:rPr>
          <w:rFonts w:hAnsi="宋体" w:hint="eastAsia"/>
          <w:sz w:val="24"/>
        </w:rPr>
        <w:t>″。该区范围长</w:t>
      </w:r>
      <w:r>
        <w:rPr>
          <w:rFonts w:hAnsi="宋体" w:hint="eastAsia"/>
          <w:sz w:val="24"/>
        </w:rPr>
        <w:t>135.5km</w:t>
      </w:r>
      <w:r>
        <w:rPr>
          <w:rFonts w:hAnsi="宋体" w:hint="eastAsia"/>
          <w:sz w:val="24"/>
        </w:rPr>
        <w:t>，宽</w:t>
      </w:r>
      <w:r>
        <w:rPr>
          <w:rFonts w:hAnsi="宋体" w:hint="eastAsia"/>
          <w:sz w:val="24"/>
        </w:rPr>
        <w:t>1000~2500m</w:t>
      </w:r>
      <w:r>
        <w:rPr>
          <w:rFonts w:hAnsi="宋体" w:hint="eastAsia"/>
          <w:sz w:val="24"/>
        </w:rPr>
        <w:t>，其中湖南境内临湘段长</w:t>
      </w:r>
      <w:r>
        <w:rPr>
          <w:rFonts w:hAnsi="宋体" w:hint="eastAsia"/>
          <w:sz w:val="24"/>
        </w:rPr>
        <w:t>33.3km</w:t>
      </w:r>
      <w:r>
        <w:rPr>
          <w:rFonts w:hAnsi="宋体" w:hint="eastAsia"/>
          <w:sz w:val="24"/>
        </w:rPr>
        <w:t>。</w:t>
      </w:r>
      <w:r>
        <w:rPr>
          <w:rFonts w:hAnsi="宋体" w:hint="eastAsia"/>
          <w:sz w:val="24"/>
        </w:rPr>
        <w:t>1987</w:t>
      </w:r>
      <w:r>
        <w:rPr>
          <w:rFonts w:hAnsi="宋体" w:hint="eastAsia"/>
          <w:sz w:val="24"/>
        </w:rPr>
        <w:t>年湖北省人民政府就批准筹建保护区，</w:t>
      </w:r>
      <w:r>
        <w:rPr>
          <w:rFonts w:hAnsi="宋体" w:hint="eastAsia"/>
          <w:sz w:val="24"/>
        </w:rPr>
        <w:t>1992</w:t>
      </w:r>
      <w:r>
        <w:rPr>
          <w:rFonts w:hAnsi="宋体" w:hint="eastAsia"/>
          <w:sz w:val="24"/>
        </w:rPr>
        <w:t>年</w:t>
      </w:r>
      <w:r>
        <w:rPr>
          <w:rFonts w:hAnsi="宋体" w:hint="eastAsia"/>
          <w:sz w:val="24"/>
        </w:rPr>
        <w:t>10</w:t>
      </w:r>
      <w:r>
        <w:rPr>
          <w:rFonts w:hAnsi="宋体" w:hint="eastAsia"/>
          <w:sz w:val="24"/>
        </w:rPr>
        <w:t>月</w:t>
      </w:r>
      <w:r>
        <w:rPr>
          <w:rFonts w:hAnsi="宋体" w:hint="eastAsia"/>
          <w:sz w:val="24"/>
        </w:rPr>
        <w:t>27</w:t>
      </w:r>
      <w:r>
        <w:rPr>
          <w:rFonts w:hAnsi="宋体" w:hint="eastAsia"/>
          <w:sz w:val="24"/>
        </w:rPr>
        <w:t>日</w:t>
      </w:r>
      <w:r>
        <w:rPr>
          <w:rFonts w:hAnsi="宋体" w:hint="eastAsia"/>
          <w:sz w:val="24"/>
        </w:rPr>
        <w:lastRenderedPageBreak/>
        <w:t>晋升为国家级自然保护区，根据《关于同意湖北长江天鹅洲白鱀豚自然保护区、湖北长江新螺段白鱀豚自然保护区划界确权范围的批复》（国家农业部，农渔函</w:t>
      </w:r>
      <w:r>
        <w:rPr>
          <w:rFonts w:hAnsi="宋体" w:hint="eastAsia"/>
          <w:sz w:val="24"/>
        </w:rPr>
        <w:t>[1996]68</w:t>
      </w:r>
      <w:r>
        <w:rPr>
          <w:rFonts w:hAnsi="宋体" w:hint="eastAsia"/>
          <w:sz w:val="24"/>
        </w:rPr>
        <w:t>号）和《关于湖北长江天鹅洲白鱀豚自然保护区、湖北长江新螺段白鱀豚自然保护区划界确权范围的请示》（湖北省水产局，鄂渔管</w:t>
      </w:r>
      <w:r>
        <w:rPr>
          <w:rFonts w:hAnsi="宋体" w:hint="eastAsia"/>
          <w:sz w:val="24"/>
        </w:rPr>
        <w:t>[1996]10</w:t>
      </w:r>
      <w:r>
        <w:rPr>
          <w:rFonts w:hAnsi="宋体" w:hint="eastAsia"/>
          <w:sz w:val="24"/>
        </w:rPr>
        <w:t>号）文件内容，本项目所在区域污水处理厂排污口位于实验区内。</w:t>
      </w:r>
      <w:r>
        <w:rPr>
          <w:rFonts w:hAnsi="宋体" w:hint="eastAsia"/>
          <w:sz w:val="24"/>
        </w:rPr>
        <w:t>2013</w:t>
      </w:r>
      <w:r>
        <w:rPr>
          <w:rFonts w:hAnsi="宋体" w:hint="eastAsia"/>
          <w:sz w:val="24"/>
        </w:rPr>
        <w:t>年为把湖北长江新螺段白鱀豚国家级自然保护区变更为湖北长江新螺段豚类国家级自然保护区，中国地质大学（武汉）生态环境研究所对其进行了重新规划，编制《湖北长江新螺段豚类国家级自然保护区总体规划》，拟将该规划纳入湖北十三五范畴内，该规划已编写完成，根据该规划，本园区排污口在其保护区的核心区内，但该规划至今尚未进行审批，且尚未征求湖南省相关部门的意见。本项目位于园区内，废水至园区污水处理厂处理，水量在园区污水处理厂的处理量范围内，园区污水处理厂已建成并投产运行，其废水外排对长江水生生态的影响已纳入园区建设中一并考虑，单个建设项目不再重复考虑废水外排对长江水体水生生态的影响。</w:t>
      </w:r>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651" w:name="_Toc465677009"/>
      <w:bookmarkStart w:id="652" w:name="_Toc13588"/>
      <w:r>
        <w:rPr>
          <w:rStyle w:val="2Char1Char"/>
          <w:rFonts w:ascii="Times New Roman" w:eastAsia="宋体" w:hAnsi="Times New Roman" w:cs="Times New Roman"/>
          <w:b w:val="0"/>
          <w:sz w:val="24"/>
          <w:szCs w:val="24"/>
        </w:rPr>
        <w:t>4.1.</w:t>
      </w:r>
      <w:r>
        <w:rPr>
          <w:rStyle w:val="2Char1Char"/>
          <w:rFonts w:ascii="Times New Roman" w:eastAsia="宋体" w:hAnsi="Times New Roman" w:cs="Times New Roman" w:hint="eastAsia"/>
          <w:b w:val="0"/>
          <w:sz w:val="24"/>
          <w:szCs w:val="24"/>
        </w:rPr>
        <w:t>7</w:t>
      </w:r>
      <w:r>
        <w:rPr>
          <w:rStyle w:val="2Char1Char"/>
          <w:rFonts w:ascii="Times New Roman" w:eastAsia="宋体" w:hAnsi="宋体" w:cs="Times New Roman"/>
          <w:b w:val="0"/>
          <w:sz w:val="24"/>
          <w:szCs w:val="24"/>
        </w:rPr>
        <w:t>矿产资源</w:t>
      </w:r>
      <w:bookmarkEnd w:id="651"/>
      <w:bookmarkEnd w:id="652"/>
    </w:p>
    <w:p w:rsidR="00475650" w:rsidRDefault="00475650">
      <w:pPr>
        <w:autoSpaceDE w:val="0"/>
        <w:autoSpaceDN w:val="0"/>
        <w:adjustRightInd w:val="0"/>
        <w:snapToGrid w:val="0"/>
        <w:spacing w:line="360" w:lineRule="auto"/>
        <w:ind w:firstLineChars="200" w:firstLine="480"/>
        <w:rPr>
          <w:sz w:val="24"/>
        </w:rPr>
      </w:pPr>
      <w:r>
        <w:rPr>
          <w:rFonts w:hAnsi="宋体"/>
          <w:sz w:val="24"/>
        </w:rPr>
        <w:t>临湘市矿产资源十分丰富。市内己探明的矿藏有</w:t>
      </w:r>
      <w:r>
        <w:rPr>
          <w:sz w:val="24"/>
        </w:rPr>
        <w:t>30</w:t>
      </w:r>
      <w:r>
        <w:rPr>
          <w:rFonts w:hAnsi="宋体"/>
          <w:sz w:val="24"/>
        </w:rPr>
        <w:t>多种。金属矿种主要有铅、锌、褐铁、赤铁、黄铁、锰、钒、钨、铌、钽、锂、铍、铜等</w:t>
      </w:r>
      <w:r>
        <w:rPr>
          <w:sz w:val="24"/>
        </w:rPr>
        <w:t>10</w:t>
      </w:r>
      <w:r>
        <w:rPr>
          <w:rFonts w:hAnsi="宋体"/>
          <w:sz w:val="24"/>
        </w:rPr>
        <w:t>余种。非金属矿种主要有烟煤、石煤、石灰石、白云石、钾长石、石英、独居室、绿柱石、高岭土、萤石、重晶石、白云母、芙蓉石、磷等</w:t>
      </w:r>
      <w:r>
        <w:rPr>
          <w:sz w:val="24"/>
        </w:rPr>
        <w:t>14</w:t>
      </w:r>
      <w:r>
        <w:rPr>
          <w:rFonts w:hAnsi="宋体"/>
          <w:sz w:val="24"/>
        </w:rPr>
        <w:t>种。境内有矿床、矿点及矿化物</w:t>
      </w:r>
      <w:r>
        <w:rPr>
          <w:sz w:val="24"/>
        </w:rPr>
        <w:t>56</w:t>
      </w:r>
      <w:r>
        <w:rPr>
          <w:rFonts w:hAnsi="宋体"/>
          <w:sz w:val="24"/>
        </w:rPr>
        <w:t>处，其中大型矿床</w:t>
      </w:r>
      <w:r>
        <w:rPr>
          <w:sz w:val="24"/>
        </w:rPr>
        <w:t>2</w:t>
      </w:r>
      <w:r>
        <w:rPr>
          <w:rFonts w:hAnsi="宋体"/>
          <w:sz w:val="24"/>
        </w:rPr>
        <w:t>处，中型矿床</w:t>
      </w:r>
      <w:r>
        <w:rPr>
          <w:sz w:val="24"/>
        </w:rPr>
        <w:t>2</w:t>
      </w:r>
      <w:r>
        <w:rPr>
          <w:rFonts w:hAnsi="宋体"/>
          <w:sz w:val="24"/>
        </w:rPr>
        <w:t>处，小型矿床</w:t>
      </w:r>
      <w:r>
        <w:rPr>
          <w:sz w:val="24"/>
        </w:rPr>
        <w:t>3</w:t>
      </w:r>
      <w:r>
        <w:rPr>
          <w:rFonts w:hAnsi="宋体"/>
          <w:sz w:val="24"/>
        </w:rPr>
        <w:t>处。其中桃林铅锌矿储量达</w:t>
      </w:r>
      <w:r>
        <w:rPr>
          <w:sz w:val="24"/>
        </w:rPr>
        <w:t>2000</w:t>
      </w:r>
      <w:r>
        <w:rPr>
          <w:rFonts w:hAnsi="宋体"/>
          <w:sz w:val="24"/>
        </w:rPr>
        <w:t>万吨。</w:t>
      </w:r>
    </w:p>
    <w:p w:rsidR="00475650" w:rsidRDefault="00475650">
      <w:pPr>
        <w:autoSpaceDE w:val="0"/>
        <w:autoSpaceDN w:val="0"/>
        <w:adjustRightInd w:val="0"/>
        <w:snapToGrid w:val="0"/>
        <w:spacing w:line="360" w:lineRule="auto"/>
        <w:ind w:firstLineChars="200" w:firstLine="480"/>
        <w:rPr>
          <w:sz w:val="24"/>
        </w:rPr>
      </w:pPr>
      <w:r>
        <w:rPr>
          <w:rFonts w:hAnsi="宋体"/>
          <w:sz w:val="24"/>
        </w:rPr>
        <w:t>陆城－儒溪境内目前尚未发现具有开采价值的矿产资源</w:t>
      </w:r>
      <w:r>
        <w:rPr>
          <w:sz w:val="24"/>
        </w:rPr>
        <w:t>,</w:t>
      </w:r>
      <w:r>
        <w:rPr>
          <w:rFonts w:hAnsi="宋体"/>
          <w:sz w:val="24"/>
        </w:rPr>
        <w:t>本项目建设不影响临湘境内的矿产资源开发。</w:t>
      </w:r>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653" w:name="_Toc465677010"/>
      <w:bookmarkStart w:id="654" w:name="_Toc10936"/>
      <w:r>
        <w:rPr>
          <w:rStyle w:val="2Char1Char"/>
          <w:rFonts w:ascii="Times New Roman" w:eastAsia="宋体" w:hAnsi="Times New Roman" w:cs="Times New Roman"/>
          <w:b w:val="0"/>
          <w:sz w:val="24"/>
          <w:szCs w:val="24"/>
        </w:rPr>
        <w:t>4.1.</w:t>
      </w:r>
      <w:r>
        <w:rPr>
          <w:rStyle w:val="2Char1Char"/>
          <w:rFonts w:ascii="Times New Roman" w:eastAsia="宋体" w:hAnsi="Times New Roman" w:cs="Times New Roman" w:hint="eastAsia"/>
          <w:b w:val="0"/>
          <w:sz w:val="24"/>
          <w:szCs w:val="24"/>
        </w:rPr>
        <w:t>8</w:t>
      </w:r>
      <w:r>
        <w:rPr>
          <w:rStyle w:val="2Char1Char"/>
          <w:rFonts w:ascii="Times New Roman" w:eastAsia="宋体" w:hAnsi="宋体" w:cs="Times New Roman"/>
          <w:b w:val="0"/>
          <w:sz w:val="24"/>
          <w:szCs w:val="24"/>
        </w:rPr>
        <w:t>文物与景观</w:t>
      </w:r>
      <w:bookmarkEnd w:id="653"/>
      <w:bookmarkEnd w:id="654"/>
    </w:p>
    <w:p w:rsidR="00475650" w:rsidRDefault="00475650">
      <w:pPr>
        <w:autoSpaceDE w:val="0"/>
        <w:autoSpaceDN w:val="0"/>
        <w:adjustRightInd w:val="0"/>
        <w:snapToGrid w:val="0"/>
        <w:spacing w:line="360" w:lineRule="auto"/>
        <w:ind w:firstLineChars="200" w:firstLine="480"/>
        <w:rPr>
          <w:sz w:val="24"/>
        </w:rPr>
      </w:pPr>
      <w:r>
        <w:rPr>
          <w:rFonts w:hAnsi="宋体"/>
          <w:sz w:val="24"/>
        </w:rPr>
        <w:t>临湘市境内有</w:t>
      </w:r>
      <w:r>
        <w:rPr>
          <w:sz w:val="24"/>
        </w:rPr>
        <w:t>6501</w:t>
      </w:r>
      <w:r>
        <w:rPr>
          <w:rFonts w:hAnsi="宋体"/>
          <w:sz w:val="24"/>
        </w:rPr>
        <w:t>洞、白云湖、黄盖湖、五尖山、龙窖山、大云山、天池山</w:t>
      </w:r>
      <w:r>
        <w:rPr>
          <w:sz w:val="24"/>
        </w:rPr>
        <w:t>(</w:t>
      </w:r>
      <w:r>
        <w:rPr>
          <w:rFonts w:hAnsi="宋体"/>
          <w:sz w:val="24"/>
        </w:rPr>
        <w:t>棋子山</w:t>
      </w:r>
      <w:r>
        <w:rPr>
          <w:sz w:val="24"/>
        </w:rPr>
        <w:t>)</w:t>
      </w:r>
      <w:r>
        <w:rPr>
          <w:rFonts w:hAnsi="宋体"/>
          <w:sz w:val="24"/>
        </w:rPr>
        <w:t>等旅游资源。</w:t>
      </w:r>
    </w:p>
    <w:p w:rsidR="00475650" w:rsidRDefault="00475650">
      <w:pPr>
        <w:autoSpaceDE w:val="0"/>
        <w:autoSpaceDN w:val="0"/>
        <w:adjustRightInd w:val="0"/>
        <w:snapToGrid w:val="0"/>
        <w:spacing w:line="360" w:lineRule="auto"/>
        <w:ind w:firstLineChars="200" w:firstLine="480"/>
        <w:rPr>
          <w:sz w:val="24"/>
        </w:rPr>
      </w:pPr>
      <w:r>
        <w:rPr>
          <w:rFonts w:hAnsi="宋体"/>
          <w:sz w:val="24"/>
        </w:rPr>
        <w:t>本项目所在地景区主要是由白马矶、临湘塔和沿江风光带组成。</w:t>
      </w:r>
    </w:p>
    <w:p w:rsidR="00475650" w:rsidRDefault="00475650">
      <w:pPr>
        <w:autoSpaceDE w:val="0"/>
        <w:autoSpaceDN w:val="0"/>
        <w:adjustRightInd w:val="0"/>
        <w:snapToGrid w:val="0"/>
        <w:spacing w:line="360" w:lineRule="auto"/>
        <w:ind w:firstLineChars="200" w:firstLine="480"/>
        <w:rPr>
          <w:sz w:val="24"/>
        </w:rPr>
      </w:pPr>
      <w:r>
        <w:rPr>
          <w:rFonts w:hAnsi="宋体"/>
          <w:sz w:val="24"/>
        </w:rPr>
        <w:t>临湘塔又名儒矶塔，座落在长江南岸儒溪镇儒溪村境内，距离拟建项目厂址约为</w:t>
      </w:r>
      <w:r>
        <w:rPr>
          <w:rFonts w:hint="eastAsia"/>
          <w:sz w:val="24"/>
        </w:rPr>
        <w:t>8</w:t>
      </w:r>
      <w:r>
        <w:rPr>
          <w:sz w:val="24"/>
        </w:rPr>
        <w:t>00m</w:t>
      </w:r>
      <w:r>
        <w:rPr>
          <w:rFonts w:hAnsi="宋体"/>
          <w:sz w:val="24"/>
        </w:rPr>
        <w:t>。于清光绪七年（</w:t>
      </w:r>
      <w:r>
        <w:rPr>
          <w:sz w:val="24"/>
        </w:rPr>
        <w:t>1881</w:t>
      </w:r>
      <w:r>
        <w:rPr>
          <w:rFonts w:hAnsi="宋体"/>
          <w:sz w:val="24"/>
        </w:rPr>
        <w:t>年）由清末临湘籍著名将领、台湾兵备道刘璈捐资建成。</w:t>
      </w:r>
      <w:r>
        <w:rPr>
          <w:sz w:val="24"/>
        </w:rPr>
        <w:t xml:space="preserve"> </w:t>
      </w:r>
      <w:r>
        <w:rPr>
          <w:rFonts w:hAnsi="宋体"/>
          <w:sz w:val="24"/>
        </w:rPr>
        <w:t>临湘塔占地</w:t>
      </w:r>
      <w:r>
        <w:rPr>
          <w:sz w:val="24"/>
        </w:rPr>
        <w:t>68</w:t>
      </w:r>
      <w:r>
        <w:rPr>
          <w:rFonts w:hAnsi="宋体"/>
          <w:sz w:val="24"/>
        </w:rPr>
        <w:t>平方米，共</w:t>
      </w:r>
      <w:r>
        <w:rPr>
          <w:sz w:val="24"/>
        </w:rPr>
        <w:t>7</w:t>
      </w:r>
      <w:r>
        <w:rPr>
          <w:rFonts w:hAnsi="宋体"/>
          <w:sz w:val="24"/>
        </w:rPr>
        <w:t>层高</w:t>
      </w:r>
      <w:r>
        <w:rPr>
          <w:sz w:val="24"/>
        </w:rPr>
        <w:t>33</w:t>
      </w:r>
      <w:r>
        <w:rPr>
          <w:rFonts w:hAnsi="宋体"/>
          <w:sz w:val="24"/>
        </w:rPr>
        <w:t>米，实心塔。</w:t>
      </w:r>
      <w:r>
        <w:rPr>
          <w:sz w:val="24"/>
        </w:rPr>
        <w:t>1987</w:t>
      </w:r>
      <w:r>
        <w:rPr>
          <w:rFonts w:hAnsi="宋体"/>
          <w:sz w:val="24"/>
        </w:rPr>
        <w:t>年临湘县人民政府将临湘塔批准为县级文物保护单位，并于</w:t>
      </w:r>
      <w:r>
        <w:rPr>
          <w:sz w:val="24"/>
        </w:rPr>
        <w:t>1993</w:t>
      </w:r>
      <w:r>
        <w:rPr>
          <w:rFonts w:hAnsi="宋体"/>
          <w:sz w:val="24"/>
        </w:rPr>
        <w:t>年</w:t>
      </w:r>
      <w:r>
        <w:rPr>
          <w:sz w:val="24"/>
        </w:rPr>
        <w:t>7</w:t>
      </w:r>
      <w:r>
        <w:rPr>
          <w:rFonts w:hAnsi="宋体"/>
          <w:sz w:val="24"/>
        </w:rPr>
        <w:t>月</w:t>
      </w:r>
      <w:r>
        <w:rPr>
          <w:sz w:val="24"/>
        </w:rPr>
        <w:t>20</w:t>
      </w:r>
      <w:r>
        <w:rPr>
          <w:rFonts w:hAnsi="宋体"/>
          <w:sz w:val="24"/>
        </w:rPr>
        <w:t>日正式立牌；</w:t>
      </w:r>
      <w:r>
        <w:rPr>
          <w:sz w:val="24"/>
        </w:rPr>
        <w:t>2005</w:t>
      </w:r>
      <w:r>
        <w:rPr>
          <w:rFonts w:hAnsi="宋体"/>
          <w:sz w:val="24"/>
        </w:rPr>
        <w:t>年又由岳阳市人民</w:t>
      </w:r>
      <w:r>
        <w:rPr>
          <w:rFonts w:hAnsi="宋体"/>
          <w:sz w:val="24"/>
        </w:rPr>
        <w:lastRenderedPageBreak/>
        <w:t>政府批准为市级文物保护单位，并纳入岳阳市区旅游景点。</w:t>
      </w:r>
      <w:r>
        <w:rPr>
          <w:rFonts w:hAnsi="宋体" w:hint="eastAsia"/>
          <w:sz w:val="24"/>
        </w:rPr>
        <w:t>本项目外排有组织废气为粉尘，无组织废气为氯化氢、氨和粉尘，根据本项目环境影响分析章节内容，本项目废气影响范围集中在</w:t>
      </w:r>
      <w:r>
        <w:rPr>
          <w:rFonts w:hAnsi="宋体" w:hint="eastAsia"/>
          <w:sz w:val="24"/>
        </w:rPr>
        <w:t xml:space="preserve">500m </w:t>
      </w:r>
      <w:r>
        <w:rPr>
          <w:rFonts w:hAnsi="宋体" w:hint="eastAsia"/>
          <w:sz w:val="24"/>
        </w:rPr>
        <w:t>的近距离范围内，正常生产情况下，本项目废气外排对临湘塔的影响极小。</w:t>
      </w:r>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655" w:name="_Toc301861235"/>
      <w:bookmarkStart w:id="656" w:name="_Toc32355"/>
      <w:r>
        <w:rPr>
          <w:rStyle w:val="2Char1Char"/>
          <w:rFonts w:ascii="Times New Roman" w:eastAsia="宋体" w:hAnsi="Times New Roman" w:cs="Times New Roman"/>
          <w:b w:val="0"/>
          <w:sz w:val="28"/>
          <w:szCs w:val="28"/>
        </w:rPr>
        <w:t xml:space="preserve">4.2 </w:t>
      </w:r>
      <w:r>
        <w:rPr>
          <w:rStyle w:val="2Char1Char"/>
          <w:rFonts w:ascii="Times New Roman" w:eastAsia="宋体" w:hAnsi="宋体" w:cs="Times New Roman"/>
          <w:b w:val="0"/>
          <w:sz w:val="28"/>
          <w:szCs w:val="28"/>
        </w:rPr>
        <w:t>社会环境</w:t>
      </w:r>
      <w:bookmarkEnd w:id="655"/>
      <w:bookmarkEnd w:id="656"/>
    </w:p>
    <w:p w:rsidR="00475650" w:rsidRDefault="00475650">
      <w:pPr>
        <w:autoSpaceDE w:val="0"/>
        <w:autoSpaceDN w:val="0"/>
        <w:adjustRightInd w:val="0"/>
        <w:snapToGrid w:val="0"/>
        <w:spacing w:line="360" w:lineRule="auto"/>
        <w:ind w:firstLineChars="200" w:firstLine="480"/>
        <w:rPr>
          <w:sz w:val="24"/>
        </w:rPr>
      </w:pPr>
      <w:r>
        <w:rPr>
          <w:rFonts w:hAnsi="宋体"/>
          <w:sz w:val="24"/>
        </w:rPr>
        <w:t>全市辖</w:t>
      </w:r>
      <w:r>
        <w:rPr>
          <w:sz w:val="24"/>
        </w:rPr>
        <w:t>23</w:t>
      </w:r>
      <w:r>
        <w:rPr>
          <w:rFonts w:hAnsi="宋体"/>
          <w:sz w:val="24"/>
        </w:rPr>
        <w:t>个乡</w:t>
      </w:r>
      <w:r>
        <w:rPr>
          <w:sz w:val="24"/>
        </w:rPr>
        <w:t>(</w:t>
      </w:r>
      <w:r>
        <w:rPr>
          <w:rFonts w:hAnsi="宋体"/>
          <w:sz w:val="24"/>
        </w:rPr>
        <w:t>镇</w:t>
      </w:r>
      <w:r>
        <w:rPr>
          <w:sz w:val="24"/>
        </w:rPr>
        <w:t>)4</w:t>
      </w:r>
      <w:r>
        <w:rPr>
          <w:rFonts w:hAnsi="宋体"/>
          <w:sz w:val="24"/>
        </w:rPr>
        <w:t>个国有林场，</w:t>
      </w:r>
      <w:r>
        <w:rPr>
          <w:sz w:val="24"/>
        </w:rPr>
        <w:t>1</w:t>
      </w:r>
      <w:r>
        <w:rPr>
          <w:rFonts w:hAnsi="宋体"/>
          <w:sz w:val="24"/>
        </w:rPr>
        <w:t>个苗圃，</w:t>
      </w:r>
      <w:r>
        <w:rPr>
          <w:sz w:val="24"/>
        </w:rPr>
        <w:t>1</w:t>
      </w:r>
      <w:r>
        <w:rPr>
          <w:rFonts w:hAnsi="宋体"/>
          <w:sz w:val="24"/>
        </w:rPr>
        <w:t>个种蓄场，</w:t>
      </w:r>
      <w:r>
        <w:rPr>
          <w:sz w:val="24"/>
        </w:rPr>
        <w:t>264</w:t>
      </w:r>
      <w:r>
        <w:rPr>
          <w:rFonts w:hAnsi="宋体"/>
          <w:sz w:val="24"/>
        </w:rPr>
        <w:t>个行政村，</w:t>
      </w:r>
      <w:r>
        <w:rPr>
          <w:sz w:val="24"/>
        </w:rPr>
        <w:t>15</w:t>
      </w:r>
      <w:r>
        <w:rPr>
          <w:rFonts w:hAnsi="宋体"/>
          <w:sz w:val="24"/>
        </w:rPr>
        <w:t>个居委会，</w:t>
      </w:r>
      <w:r>
        <w:rPr>
          <w:sz w:val="24"/>
        </w:rPr>
        <w:t>15</w:t>
      </w:r>
      <w:r>
        <w:rPr>
          <w:rFonts w:hAnsi="宋体"/>
          <w:sz w:val="24"/>
        </w:rPr>
        <w:t>个乡林场，</w:t>
      </w:r>
      <w:r>
        <w:rPr>
          <w:sz w:val="24"/>
        </w:rPr>
        <w:t>2265</w:t>
      </w:r>
      <w:r>
        <w:rPr>
          <w:rFonts w:hAnsi="宋体"/>
          <w:sz w:val="24"/>
        </w:rPr>
        <w:t>个村民小组。全市总人口</w:t>
      </w:r>
      <w:r>
        <w:rPr>
          <w:sz w:val="24"/>
        </w:rPr>
        <w:t>53</w:t>
      </w:r>
      <w:r>
        <w:rPr>
          <w:rFonts w:hAnsi="宋体"/>
          <w:sz w:val="24"/>
        </w:rPr>
        <w:t>万，其中农业人口</w:t>
      </w:r>
      <w:r>
        <w:rPr>
          <w:sz w:val="24"/>
        </w:rPr>
        <w:t>38</w:t>
      </w:r>
      <w:r>
        <w:rPr>
          <w:rFonts w:hAnsi="宋体"/>
          <w:sz w:val="24"/>
        </w:rPr>
        <w:t>万，非农业人口</w:t>
      </w:r>
      <w:r>
        <w:rPr>
          <w:sz w:val="24"/>
        </w:rPr>
        <w:t>15</w:t>
      </w:r>
      <w:r>
        <w:rPr>
          <w:rFonts w:hAnsi="宋体"/>
          <w:sz w:val="24"/>
        </w:rPr>
        <w:t>万。全市土地总面积</w:t>
      </w:r>
      <w:r>
        <w:rPr>
          <w:sz w:val="24"/>
        </w:rPr>
        <w:t>173963</w:t>
      </w:r>
      <w:r>
        <w:rPr>
          <w:rFonts w:hAnsi="宋体"/>
          <w:sz w:val="24"/>
        </w:rPr>
        <w:t>公顷，其中林业用地</w:t>
      </w:r>
      <w:r>
        <w:rPr>
          <w:sz w:val="24"/>
        </w:rPr>
        <w:t>88044.3</w:t>
      </w:r>
      <w:r>
        <w:rPr>
          <w:rFonts w:hAnsi="宋体"/>
          <w:sz w:val="24"/>
        </w:rPr>
        <w:t>公顷，占</w:t>
      </w:r>
      <w:r>
        <w:rPr>
          <w:sz w:val="24"/>
        </w:rPr>
        <w:t>50.6</w:t>
      </w:r>
      <w:r>
        <w:rPr>
          <w:rFonts w:hAnsi="宋体"/>
          <w:sz w:val="24"/>
        </w:rPr>
        <w:t>％；非林业用地面积</w:t>
      </w:r>
      <w:r>
        <w:rPr>
          <w:sz w:val="24"/>
        </w:rPr>
        <w:t>85918.7</w:t>
      </w:r>
      <w:r>
        <w:rPr>
          <w:rFonts w:hAnsi="宋体"/>
          <w:sz w:val="24"/>
        </w:rPr>
        <w:t>公顷，占</w:t>
      </w:r>
      <w:r>
        <w:rPr>
          <w:sz w:val="24"/>
        </w:rPr>
        <w:t>49.4</w:t>
      </w:r>
      <w:r>
        <w:rPr>
          <w:rFonts w:hAnsi="宋体"/>
          <w:sz w:val="24"/>
        </w:rPr>
        <w:t>％。临湘市水陆交通十分发达，西北濒长江</w:t>
      </w:r>
      <w:r>
        <w:rPr>
          <w:sz w:val="24"/>
        </w:rPr>
        <w:t>(</w:t>
      </w:r>
      <w:r>
        <w:rPr>
          <w:rFonts w:hAnsi="宋体"/>
          <w:sz w:val="24"/>
        </w:rPr>
        <w:t>境内长</w:t>
      </w:r>
      <w:r>
        <w:rPr>
          <w:sz w:val="24"/>
        </w:rPr>
        <w:t>45</w:t>
      </w:r>
      <w:r>
        <w:rPr>
          <w:rFonts w:hAnsi="宋体"/>
          <w:sz w:val="24"/>
        </w:rPr>
        <w:t>公里</w:t>
      </w:r>
      <w:r>
        <w:rPr>
          <w:sz w:val="24"/>
        </w:rPr>
        <w:t>)</w:t>
      </w:r>
      <w:r>
        <w:rPr>
          <w:rFonts w:hAnsi="宋体"/>
          <w:sz w:val="24"/>
        </w:rPr>
        <w:t>，中部</w:t>
      </w:r>
      <w:r>
        <w:rPr>
          <w:sz w:val="24"/>
        </w:rPr>
        <w:t>107</w:t>
      </w:r>
      <w:r>
        <w:rPr>
          <w:rFonts w:hAnsi="宋体"/>
          <w:sz w:val="24"/>
        </w:rPr>
        <w:t>国道，京广复线横贯东西，东南京珠高速公路，省道</w:t>
      </w:r>
      <w:r>
        <w:rPr>
          <w:sz w:val="24"/>
        </w:rPr>
        <w:t>S30l</w:t>
      </w:r>
      <w:r>
        <w:rPr>
          <w:rFonts w:hAnsi="宋体"/>
          <w:sz w:val="24"/>
        </w:rPr>
        <w:t>线穿境而过，市内乡村公路纵横交错，乡乡通客车，村村通公路。此外，新修的武昌</w:t>
      </w:r>
      <w:r>
        <w:rPr>
          <w:sz w:val="24"/>
        </w:rPr>
        <w:t>—</w:t>
      </w:r>
      <w:r>
        <w:rPr>
          <w:rFonts w:hAnsi="宋体"/>
          <w:sz w:val="24"/>
        </w:rPr>
        <w:t>广州高速铁路穿市而过，从而构成了临湘市十分便捷的水陆交通运输网络。</w:t>
      </w:r>
    </w:p>
    <w:p w:rsidR="00475650" w:rsidRDefault="00475650">
      <w:pPr>
        <w:autoSpaceDE w:val="0"/>
        <w:autoSpaceDN w:val="0"/>
        <w:adjustRightInd w:val="0"/>
        <w:snapToGrid w:val="0"/>
        <w:spacing w:line="360" w:lineRule="auto"/>
        <w:ind w:firstLineChars="200" w:firstLine="480"/>
        <w:rPr>
          <w:sz w:val="24"/>
        </w:rPr>
      </w:pPr>
      <w:r>
        <w:rPr>
          <w:rFonts w:hAnsi="宋体"/>
          <w:sz w:val="24"/>
        </w:rPr>
        <w:t>本项目位于滨江产业区三类工业用地内，选址为临湘市鹏程化工有限公司预留地内。西面及北面为鹏程化工绿化石蜡装置，东面及南面均为工业园内其他化工企业生产装置区。</w:t>
      </w:r>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657" w:name="_Toc332293006"/>
      <w:bookmarkStart w:id="658" w:name="_Toc23121"/>
      <w:bookmarkEnd w:id="635"/>
      <w:r>
        <w:rPr>
          <w:rFonts w:ascii="Times New Roman" w:eastAsia="宋体" w:hAnsi="Times New Roman" w:cs="Times New Roman"/>
          <w:sz w:val="24"/>
        </w:rPr>
        <w:t>4.3</w:t>
      </w:r>
      <w:r>
        <w:rPr>
          <w:rStyle w:val="2Char1Char"/>
          <w:rFonts w:ascii="Times New Roman" w:eastAsia="宋体" w:hAnsi="Times New Roman" w:cs="Times New Roman"/>
          <w:b w:val="0"/>
          <w:sz w:val="28"/>
          <w:szCs w:val="28"/>
        </w:rPr>
        <w:t xml:space="preserve">  </w:t>
      </w:r>
      <w:r>
        <w:rPr>
          <w:rStyle w:val="2Char1Char"/>
          <w:rFonts w:ascii="Times New Roman" w:eastAsia="宋体" w:hAnsi="宋体" w:cs="Times New Roman"/>
          <w:b w:val="0"/>
          <w:sz w:val="28"/>
          <w:szCs w:val="28"/>
        </w:rPr>
        <w:t>环境质量现状调查与评价</w:t>
      </w:r>
      <w:bookmarkEnd w:id="657"/>
      <w:bookmarkEnd w:id="658"/>
    </w:p>
    <w:p w:rsidR="00475650" w:rsidRDefault="00475650">
      <w:pPr>
        <w:autoSpaceDE w:val="0"/>
        <w:autoSpaceDN w:val="0"/>
        <w:adjustRightInd w:val="0"/>
        <w:snapToGrid w:val="0"/>
        <w:spacing w:line="360" w:lineRule="auto"/>
        <w:ind w:firstLineChars="200" w:firstLine="480"/>
        <w:rPr>
          <w:rFonts w:hAnsi="宋体"/>
          <w:sz w:val="24"/>
        </w:rPr>
      </w:pPr>
      <w:r>
        <w:rPr>
          <w:rFonts w:hAnsi="宋体"/>
          <w:sz w:val="24"/>
        </w:rPr>
        <w:t>我单位在开展《湖南国发精细化工科技有限公司年产</w:t>
      </w:r>
      <w:r>
        <w:rPr>
          <w:sz w:val="24"/>
        </w:rPr>
        <w:t>2000</w:t>
      </w:r>
      <w:r>
        <w:rPr>
          <w:rFonts w:hAnsi="宋体"/>
          <w:sz w:val="24"/>
        </w:rPr>
        <w:t>吨杀螟丹原药及配套项目环境影响报告书》期间于项目区实施了一期现状监测，监测时间为</w:t>
      </w:r>
      <w:r>
        <w:rPr>
          <w:sz w:val="24"/>
        </w:rPr>
        <w:t>2014</w:t>
      </w:r>
      <w:r>
        <w:rPr>
          <w:rFonts w:hAnsi="宋体"/>
          <w:sz w:val="24"/>
        </w:rPr>
        <w:t>年</w:t>
      </w:r>
      <w:r>
        <w:rPr>
          <w:sz w:val="24"/>
        </w:rPr>
        <w:t>4</w:t>
      </w:r>
      <w:r>
        <w:rPr>
          <w:rFonts w:hAnsi="宋体"/>
          <w:sz w:val="24"/>
        </w:rPr>
        <w:t>月</w:t>
      </w:r>
      <w:r>
        <w:rPr>
          <w:sz w:val="24"/>
        </w:rPr>
        <w:t>8</w:t>
      </w:r>
      <w:r>
        <w:rPr>
          <w:rFonts w:hAnsi="宋体"/>
          <w:sz w:val="24"/>
        </w:rPr>
        <w:t>日至</w:t>
      </w:r>
      <w:r>
        <w:rPr>
          <w:sz w:val="24"/>
        </w:rPr>
        <w:t>2014</w:t>
      </w:r>
      <w:r>
        <w:rPr>
          <w:rFonts w:hAnsi="宋体"/>
          <w:sz w:val="24"/>
        </w:rPr>
        <w:t>年</w:t>
      </w:r>
      <w:r>
        <w:rPr>
          <w:sz w:val="24"/>
        </w:rPr>
        <w:t>4</w:t>
      </w:r>
      <w:r>
        <w:rPr>
          <w:rFonts w:hAnsi="宋体"/>
          <w:sz w:val="24"/>
        </w:rPr>
        <w:t>月</w:t>
      </w:r>
      <w:r>
        <w:rPr>
          <w:sz w:val="24"/>
        </w:rPr>
        <w:t>14</w:t>
      </w:r>
      <w:r>
        <w:rPr>
          <w:rFonts w:hAnsi="宋体"/>
          <w:sz w:val="24"/>
        </w:rPr>
        <w:t>日</w:t>
      </w:r>
      <w:r>
        <w:rPr>
          <w:rFonts w:hAnsi="宋体" w:hint="eastAsia"/>
          <w:sz w:val="24"/>
        </w:rPr>
        <w:t>，监测单位为深圳市宇驰检测技术有限公司；</w:t>
      </w:r>
      <w:r>
        <w:rPr>
          <w:rFonts w:hAnsi="宋体"/>
          <w:sz w:val="24"/>
        </w:rPr>
        <w:t>广州市环境保护工程设计院</w:t>
      </w:r>
      <w:r>
        <w:rPr>
          <w:rFonts w:hAnsi="宋体" w:hint="eastAsia"/>
          <w:sz w:val="24"/>
        </w:rPr>
        <w:t>在开展</w:t>
      </w:r>
      <w:r>
        <w:rPr>
          <w:rFonts w:hAnsi="宋体"/>
          <w:sz w:val="24"/>
        </w:rPr>
        <w:t>《</w:t>
      </w:r>
      <w:r>
        <w:rPr>
          <w:rFonts w:hAnsi="宋体" w:hint="eastAsia"/>
          <w:sz w:val="24"/>
        </w:rPr>
        <w:t>临湘工业园滨江产业园规划环境影响报告书</w:t>
      </w:r>
      <w:r>
        <w:rPr>
          <w:rFonts w:hAnsi="宋体"/>
          <w:sz w:val="24"/>
        </w:rPr>
        <w:t>》</w:t>
      </w:r>
      <w:r>
        <w:rPr>
          <w:rFonts w:hAnsi="宋体" w:hint="eastAsia"/>
          <w:sz w:val="24"/>
        </w:rPr>
        <w:t>期间于项目区实施了一期现状监测，监测时间为</w:t>
      </w:r>
      <w:r>
        <w:rPr>
          <w:rFonts w:hAnsi="宋体" w:hint="eastAsia"/>
          <w:sz w:val="24"/>
        </w:rPr>
        <w:t>2015</w:t>
      </w:r>
      <w:r>
        <w:rPr>
          <w:rFonts w:hAnsi="宋体" w:hint="eastAsia"/>
          <w:sz w:val="24"/>
        </w:rPr>
        <w:t>年</w:t>
      </w:r>
      <w:r>
        <w:rPr>
          <w:rFonts w:hAnsi="宋体" w:hint="eastAsia"/>
          <w:sz w:val="24"/>
        </w:rPr>
        <w:t>11</w:t>
      </w:r>
      <w:r>
        <w:rPr>
          <w:rFonts w:hAnsi="宋体" w:hint="eastAsia"/>
          <w:sz w:val="24"/>
        </w:rPr>
        <w:t>月，监测单位为湖南中诚环境监测技术有限公司，我单位在开展</w:t>
      </w:r>
      <w:r>
        <w:rPr>
          <w:rFonts w:hAnsi="宋体"/>
          <w:sz w:val="24"/>
        </w:rPr>
        <w:t>《</w:t>
      </w:r>
      <w:r>
        <w:rPr>
          <w:rFonts w:hAnsi="宋体" w:hint="eastAsia"/>
          <w:sz w:val="24"/>
        </w:rPr>
        <w:t>岳阳市城市生活垃圾焚烧发电项目环境影响报告书</w:t>
      </w:r>
      <w:r>
        <w:rPr>
          <w:rFonts w:hAnsi="宋体"/>
          <w:sz w:val="24"/>
        </w:rPr>
        <w:t>》</w:t>
      </w:r>
      <w:r>
        <w:rPr>
          <w:rFonts w:hAnsi="宋体" w:hint="eastAsia"/>
          <w:sz w:val="24"/>
        </w:rPr>
        <w:t>期间于评价范围内实施了一期现状监测，监测时间为</w:t>
      </w:r>
      <w:r>
        <w:rPr>
          <w:rFonts w:hAnsi="宋体" w:hint="eastAsia"/>
          <w:sz w:val="24"/>
        </w:rPr>
        <w:t>2015</w:t>
      </w:r>
      <w:r>
        <w:rPr>
          <w:rFonts w:hAnsi="宋体" w:hint="eastAsia"/>
          <w:sz w:val="24"/>
        </w:rPr>
        <w:t>年</w:t>
      </w:r>
      <w:r>
        <w:rPr>
          <w:rFonts w:hAnsi="宋体" w:hint="eastAsia"/>
          <w:sz w:val="24"/>
        </w:rPr>
        <w:t>12</w:t>
      </w:r>
      <w:r>
        <w:rPr>
          <w:rFonts w:hAnsi="宋体" w:hint="eastAsia"/>
          <w:sz w:val="24"/>
        </w:rPr>
        <w:t>月，监测单位为岳阳市环境保护监测站。</w:t>
      </w:r>
    </w:p>
    <w:p w:rsidR="00475650" w:rsidRDefault="00475650">
      <w:pPr>
        <w:autoSpaceDE w:val="0"/>
        <w:autoSpaceDN w:val="0"/>
        <w:adjustRightInd w:val="0"/>
        <w:snapToGrid w:val="0"/>
        <w:spacing w:line="360" w:lineRule="auto"/>
        <w:ind w:firstLineChars="200" w:firstLine="480"/>
        <w:rPr>
          <w:sz w:val="24"/>
        </w:rPr>
      </w:pPr>
      <w:r>
        <w:rPr>
          <w:rFonts w:hAnsi="宋体"/>
          <w:sz w:val="24"/>
        </w:rPr>
        <w:t>对比分析，历史监测资料监测时间、点位布设及监测因子均能满足本评价对项目区的质量现状调查要求，因此，本次环境现状调查采用收集历史监测资料的方式</w:t>
      </w:r>
      <w:r>
        <w:rPr>
          <w:rFonts w:hAnsi="宋体"/>
          <w:sz w:val="24"/>
        </w:rPr>
        <w:lastRenderedPageBreak/>
        <w:t>进行。</w:t>
      </w:r>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659" w:name="_Toc334014184"/>
      <w:bookmarkStart w:id="660" w:name="_Toc333230011"/>
      <w:bookmarkStart w:id="661" w:name="_Toc334080826"/>
      <w:bookmarkStart w:id="662" w:name="_Toc332293007"/>
      <w:bookmarkStart w:id="663" w:name="_Toc465677013"/>
      <w:bookmarkStart w:id="664" w:name="_Toc9127"/>
      <w:r>
        <w:rPr>
          <w:rStyle w:val="2Char1Char"/>
          <w:rFonts w:ascii="Times New Roman" w:eastAsia="宋体" w:hAnsi="Times New Roman" w:cs="Times New Roman"/>
          <w:b w:val="0"/>
          <w:sz w:val="24"/>
          <w:szCs w:val="24"/>
        </w:rPr>
        <w:t>4.3.1</w:t>
      </w:r>
      <w:r>
        <w:rPr>
          <w:rStyle w:val="2Char1Char"/>
          <w:rFonts w:ascii="Times New Roman" w:eastAsia="宋体" w:hAnsi="宋体" w:cs="Times New Roman"/>
          <w:b w:val="0"/>
          <w:sz w:val="24"/>
          <w:szCs w:val="24"/>
        </w:rPr>
        <w:t>环境大气质量调查与评价</w:t>
      </w:r>
      <w:bookmarkEnd w:id="659"/>
      <w:bookmarkEnd w:id="660"/>
      <w:bookmarkEnd w:id="661"/>
      <w:bookmarkEnd w:id="662"/>
      <w:bookmarkEnd w:id="663"/>
      <w:bookmarkEnd w:id="664"/>
    </w:p>
    <w:p w:rsidR="00475650" w:rsidRDefault="00475650">
      <w:pPr>
        <w:tabs>
          <w:tab w:val="left" w:pos="484"/>
        </w:tabs>
        <w:autoSpaceDE w:val="0"/>
        <w:autoSpaceDN w:val="0"/>
        <w:adjustRightInd w:val="0"/>
        <w:snapToGrid w:val="0"/>
        <w:spacing w:line="360" w:lineRule="auto"/>
        <w:ind w:firstLineChars="200" w:firstLine="480"/>
        <w:outlineLvl w:val="0"/>
        <w:rPr>
          <w:rFonts w:hAnsi="宋体"/>
          <w:sz w:val="24"/>
        </w:rPr>
      </w:pPr>
      <w:bookmarkStart w:id="665" w:name="_Toc465677014"/>
      <w:bookmarkStart w:id="666" w:name="_Toc19059"/>
      <w:bookmarkStart w:id="667" w:name="_Toc333230012"/>
      <w:bookmarkStart w:id="668" w:name="_Toc448999116"/>
      <w:bookmarkStart w:id="669" w:name="_Toc334080827"/>
      <w:bookmarkStart w:id="670" w:name="_Toc334014185"/>
      <w:bookmarkStart w:id="671" w:name="_Toc302936713"/>
      <w:bookmarkStart w:id="672" w:name="_Toc332293008"/>
      <w:r>
        <w:rPr>
          <w:rFonts w:hAnsi="宋体" w:hint="eastAsia"/>
          <w:sz w:val="24"/>
        </w:rPr>
        <w:t xml:space="preserve">4.3.1.1 </w:t>
      </w:r>
      <w:r>
        <w:rPr>
          <w:rFonts w:hAnsi="宋体" w:hint="eastAsia"/>
          <w:sz w:val="24"/>
        </w:rPr>
        <w:t>国发杀螟单项目历史监测数据</w:t>
      </w:r>
      <w:bookmarkEnd w:id="665"/>
      <w:bookmarkEnd w:id="666"/>
    </w:p>
    <w:p w:rsidR="00475650" w:rsidRDefault="00475650">
      <w:pPr>
        <w:tabs>
          <w:tab w:val="left" w:pos="484"/>
        </w:tabs>
        <w:autoSpaceDE w:val="0"/>
        <w:autoSpaceDN w:val="0"/>
        <w:adjustRightInd w:val="0"/>
        <w:snapToGrid w:val="0"/>
        <w:spacing w:line="360" w:lineRule="auto"/>
        <w:ind w:firstLineChars="200" w:firstLine="480"/>
        <w:rPr>
          <w:rFonts w:hAnsi="宋体"/>
          <w:sz w:val="24"/>
        </w:rPr>
      </w:pPr>
      <w:bookmarkStart w:id="673" w:name="_Toc16149"/>
      <w:bookmarkStart w:id="674" w:name="_Toc465677015"/>
      <w:r>
        <w:rPr>
          <w:rFonts w:hAnsi="宋体"/>
          <w:sz w:val="24"/>
        </w:rPr>
        <w:t>一、监测布点</w:t>
      </w:r>
      <w:bookmarkEnd w:id="667"/>
      <w:bookmarkEnd w:id="668"/>
      <w:bookmarkEnd w:id="669"/>
      <w:bookmarkEnd w:id="670"/>
      <w:bookmarkEnd w:id="673"/>
      <w:bookmarkEnd w:id="674"/>
    </w:p>
    <w:p w:rsidR="00475650" w:rsidRDefault="00475650">
      <w:pPr>
        <w:tabs>
          <w:tab w:val="left" w:pos="484"/>
        </w:tabs>
        <w:autoSpaceDE w:val="0"/>
        <w:autoSpaceDN w:val="0"/>
        <w:adjustRightInd w:val="0"/>
        <w:snapToGrid w:val="0"/>
        <w:spacing w:line="360" w:lineRule="auto"/>
        <w:ind w:firstLineChars="200" w:firstLine="480"/>
        <w:rPr>
          <w:sz w:val="24"/>
        </w:rPr>
      </w:pPr>
      <w:r>
        <w:rPr>
          <w:rFonts w:hAnsi="宋体"/>
          <w:sz w:val="24"/>
        </w:rPr>
        <w:t>历史监测点位分布情况见表</w:t>
      </w:r>
      <w:r>
        <w:rPr>
          <w:sz w:val="24"/>
        </w:rPr>
        <w:t>4.3-1</w:t>
      </w:r>
      <w:r>
        <w:rPr>
          <w:rFonts w:hAnsi="宋体"/>
          <w:sz w:val="24"/>
        </w:rPr>
        <w:t>和附图</w:t>
      </w:r>
      <w:r>
        <w:rPr>
          <w:sz w:val="24"/>
        </w:rPr>
        <w:t>3</w:t>
      </w:r>
      <w:r>
        <w:rPr>
          <w:rFonts w:hAnsi="宋体"/>
          <w:sz w:val="24"/>
        </w:rPr>
        <w:t>。</w:t>
      </w:r>
    </w:p>
    <w:p w:rsidR="00475650" w:rsidRDefault="00475650">
      <w:pPr>
        <w:snapToGrid w:val="0"/>
        <w:spacing w:line="360" w:lineRule="auto"/>
        <w:jc w:val="center"/>
        <w:rPr>
          <w:sz w:val="24"/>
        </w:rPr>
      </w:pPr>
      <w:r>
        <w:rPr>
          <w:rFonts w:hAnsi="宋体"/>
          <w:sz w:val="24"/>
        </w:rPr>
        <w:t>表</w:t>
      </w:r>
      <w:r>
        <w:rPr>
          <w:sz w:val="24"/>
        </w:rPr>
        <w:t xml:space="preserve">4.3-1   </w:t>
      </w:r>
      <w:r>
        <w:rPr>
          <w:rFonts w:hAnsi="宋体"/>
          <w:sz w:val="24"/>
        </w:rPr>
        <w:t>环境现状监测布点一览表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714"/>
        <w:gridCol w:w="2469"/>
        <w:gridCol w:w="2122"/>
        <w:gridCol w:w="2047"/>
        <w:gridCol w:w="1594"/>
      </w:tblGrid>
      <w:tr w:rsidR="00475650">
        <w:trPr>
          <w:cantSplit/>
          <w:trHeight w:val="160"/>
          <w:jc w:val="center"/>
        </w:trPr>
        <w:tc>
          <w:tcPr>
            <w:tcW w:w="3183" w:type="dxa"/>
            <w:gridSpan w:val="2"/>
            <w:vMerge w:val="restart"/>
            <w:vAlign w:val="center"/>
          </w:tcPr>
          <w:p w:rsidR="00475650" w:rsidRDefault="00475650">
            <w:pPr>
              <w:jc w:val="center"/>
              <w:rPr>
                <w:szCs w:val="21"/>
              </w:rPr>
            </w:pPr>
            <w:r>
              <w:rPr>
                <w:rFonts w:hAnsi="宋体"/>
                <w:szCs w:val="21"/>
              </w:rPr>
              <w:t>监测点名称</w:t>
            </w:r>
          </w:p>
        </w:tc>
        <w:tc>
          <w:tcPr>
            <w:tcW w:w="2122" w:type="dxa"/>
            <w:vMerge w:val="restart"/>
            <w:vAlign w:val="center"/>
          </w:tcPr>
          <w:p w:rsidR="00475650" w:rsidRDefault="00475650">
            <w:pPr>
              <w:jc w:val="center"/>
              <w:rPr>
                <w:szCs w:val="21"/>
              </w:rPr>
            </w:pPr>
            <w:r>
              <w:rPr>
                <w:rFonts w:hAnsi="宋体"/>
                <w:szCs w:val="21"/>
              </w:rPr>
              <w:t>目标环境功能</w:t>
            </w:r>
          </w:p>
        </w:tc>
        <w:tc>
          <w:tcPr>
            <w:tcW w:w="3641" w:type="dxa"/>
            <w:gridSpan w:val="2"/>
          </w:tcPr>
          <w:p w:rsidR="00475650" w:rsidRDefault="00475650">
            <w:pPr>
              <w:jc w:val="center"/>
              <w:rPr>
                <w:szCs w:val="21"/>
              </w:rPr>
            </w:pPr>
            <w:r>
              <w:rPr>
                <w:rFonts w:hAnsi="宋体"/>
                <w:szCs w:val="21"/>
              </w:rPr>
              <w:t>相对拟建厂址方位及距离</w:t>
            </w:r>
          </w:p>
        </w:tc>
      </w:tr>
      <w:tr w:rsidR="00475650">
        <w:trPr>
          <w:cantSplit/>
          <w:trHeight w:val="160"/>
          <w:jc w:val="center"/>
        </w:trPr>
        <w:tc>
          <w:tcPr>
            <w:tcW w:w="3183" w:type="dxa"/>
            <w:gridSpan w:val="2"/>
            <w:vMerge/>
          </w:tcPr>
          <w:p w:rsidR="00475650" w:rsidRDefault="00475650">
            <w:pPr>
              <w:rPr>
                <w:szCs w:val="21"/>
              </w:rPr>
            </w:pPr>
          </w:p>
        </w:tc>
        <w:tc>
          <w:tcPr>
            <w:tcW w:w="2122" w:type="dxa"/>
            <w:vMerge/>
          </w:tcPr>
          <w:p w:rsidR="00475650" w:rsidRDefault="00475650">
            <w:pPr>
              <w:rPr>
                <w:szCs w:val="21"/>
              </w:rPr>
            </w:pPr>
          </w:p>
        </w:tc>
        <w:tc>
          <w:tcPr>
            <w:tcW w:w="2047" w:type="dxa"/>
          </w:tcPr>
          <w:p w:rsidR="00475650" w:rsidRDefault="00475650">
            <w:pPr>
              <w:jc w:val="center"/>
              <w:rPr>
                <w:szCs w:val="21"/>
              </w:rPr>
            </w:pPr>
            <w:r>
              <w:rPr>
                <w:rFonts w:hAnsi="宋体"/>
                <w:szCs w:val="21"/>
              </w:rPr>
              <w:t>方位</w:t>
            </w:r>
          </w:p>
        </w:tc>
        <w:tc>
          <w:tcPr>
            <w:tcW w:w="1594" w:type="dxa"/>
          </w:tcPr>
          <w:p w:rsidR="00475650" w:rsidRDefault="00475650">
            <w:pPr>
              <w:jc w:val="center"/>
              <w:rPr>
                <w:szCs w:val="21"/>
              </w:rPr>
            </w:pPr>
            <w:r>
              <w:rPr>
                <w:rFonts w:hAnsi="宋体"/>
                <w:szCs w:val="21"/>
              </w:rPr>
              <w:t>距离</w:t>
            </w:r>
            <w:r>
              <w:rPr>
                <w:szCs w:val="21"/>
              </w:rPr>
              <w:t>(km)</w:t>
            </w:r>
          </w:p>
        </w:tc>
      </w:tr>
      <w:tr w:rsidR="00475650">
        <w:trPr>
          <w:cantSplit/>
          <w:trHeight w:val="160"/>
          <w:jc w:val="center"/>
        </w:trPr>
        <w:tc>
          <w:tcPr>
            <w:tcW w:w="714" w:type="dxa"/>
            <w:vAlign w:val="center"/>
          </w:tcPr>
          <w:p w:rsidR="00475650" w:rsidRDefault="00475650">
            <w:pPr>
              <w:pStyle w:val="afff7"/>
            </w:pPr>
            <w:r>
              <w:t>A1</w:t>
            </w:r>
          </w:p>
        </w:tc>
        <w:tc>
          <w:tcPr>
            <w:tcW w:w="2469" w:type="dxa"/>
            <w:vAlign w:val="center"/>
          </w:tcPr>
          <w:p w:rsidR="00475650" w:rsidRDefault="00475650">
            <w:pPr>
              <w:jc w:val="center"/>
              <w:rPr>
                <w:szCs w:val="21"/>
              </w:rPr>
            </w:pPr>
            <w:r>
              <w:rPr>
                <w:rFonts w:hAnsi="宋体"/>
                <w:szCs w:val="21"/>
              </w:rPr>
              <w:t>白马矶居民点</w:t>
            </w:r>
          </w:p>
        </w:tc>
        <w:tc>
          <w:tcPr>
            <w:tcW w:w="2122" w:type="dxa"/>
            <w:vAlign w:val="center"/>
          </w:tcPr>
          <w:p w:rsidR="00475650" w:rsidRDefault="00475650">
            <w:pPr>
              <w:jc w:val="center"/>
              <w:rPr>
                <w:szCs w:val="21"/>
              </w:rPr>
            </w:pPr>
            <w:r>
              <w:rPr>
                <w:rFonts w:hAnsi="宋体"/>
                <w:szCs w:val="21"/>
              </w:rPr>
              <w:t>居民区</w:t>
            </w:r>
          </w:p>
        </w:tc>
        <w:tc>
          <w:tcPr>
            <w:tcW w:w="2047" w:type="dxa"/>
            <w:vAlign w:val="center"/>
          </w:tcPr>
          <w:p w:rsidR="00475650" w:rsidRDefault="00475650">
            <w:pPr>
              <w:pStyle w:val="afff7"/>
            </w:pPr>
            <w:r>
              <w:rPr>
                <w:rFonts w:hAnsi="宋体"/>
              </w:rPr>
              <w:t>东北</w:t>
            </w:r>
          </w:p>
        </w:tc>
        <w:tc>
          <w:tcPr>
            <w:tcW w:w="1594" w:type="dxa"/>
            <w:vAlign w:val="center"/>
          </w:tcPr>
          <w:p w:rsidR="00475650" w:rsidRDefault="00475650">
            <w:pPr>
              <w:jc w:val="center"/>
              <w:rPr>
                <w:szCs w:val="21"/>
              </w:rPr>
            </w:pPr>
            <w:r>
              <w:rPr>
                <w:szCs w:val="21"/>
              </w:rPr>
              <w:t>1.6</w:t>
            </w:r>
          </w:p>
        </w:tc>
      </w:tr>
      <w:tr w:rsidR="00475650">
        <w:trPr>
          <w:cantSplit/>
          <w:trHeight w:val="160"/>
          <w:jc w:val="center"/>
        </w:trPr>
        <w:tc>
          <w:tcPr>
            <w:tcW w:w="714" w:type="dxa"/>
            <w:vAlign w:val="center"/>
          </w:tcPr>
          <w:p w:rsidR="00475650" w:rsidRDefault="00475650">
            <w:pPr>
              <w:pStyle w:val="afff7"/>
            </w:pPr>
            <w:r>
              <w:t>A2</w:t>
            </w:r>
          </w:p>
        </w:tc>
        <w:tc>
          <w:tcPr>
            <w:tcW w:w="2469" w:type="dxa"/>
            <w:vAlign w:val="center"/>
          </w:tcPr>
          <w:p w:rsidR="00475650" w:rsidRDefault="00475650">
            <w:pPr>
              <w:jc w:val="center"/>
              <w:rPr>
                <w:szCs w:val="21"/>
              </w:rPr>
            </w:pPr>
            <w:r>
              <w:rPr>
                <w:rFonts w:hAnsi="宋体"/>
                <w:szCs w:val="21"/>
              </w:rPr>
              <w:t>儒溪村散户</w:t>
            </w:r>
          </w:p>
        </w:tc>
        <w:tc>
          <w:tcPr>
            <w:tcW w:w="2122" w:type="dxa"/>
            <w:vAlign w:val="center"/>
          </w:tcPr>
          <w:p w:rsidR="00475650" w:rsidRDefault="00475650">
            <w:pPr>
              <w:jc w:val="center"/>
              <w:rPr>
                <w:szCs w:val="21"/>
              </w:rPr>
            </w:pPr>
            <w:r>
              <w:rPr>
                <w:rFonts w:hAnsi="宋体"/>
                <w:szCs w:val="21"/>
              </w:rPr>
              <w:t>居民区</w:t>
            </w:r>
          </w:p>
        </w:tc>
        <w:tc>
          <w:tcPr>
            <w:tcW w:w="2047" w:type="dxa"/>
            <w:vAlign w:val="center"/>
          </w:tcPr>
          <w:p w:rsidR="00475650" w:rsidRDefault="00475650">
            <w:pPr>
              <w:pStyle w:val="afff7"/>
            </w:pPr>
            <w:r>
              <w:rPr>
                <w:rFonts w:hAnsi="宋体" w:hint="eastAsia"/>
              </w:rPr>
              <w:t>东北</w:t>
            </w:r>
          </w:p>
        </w:tc>
        <w:tc>
          <w:tcPr>
            <w:tcW w:w="1594" w:type="dxa"/>
            <w:vAlign w:val="center"/>
          </w:tcPr>
          <w:p w:rsidR="00475650" w:rsidRDefault="00475650">
            <w:pPr>
              <w:jc w:val="center"/>
              <w:rPr>
                <w:szCs w:val="21"/>
              </w:rPr>
            </w:pPr>
            <w:r>
              <w:rPr>
                <w:rFonts w:hint="eastAsia"/>
                <w:szCs w:val="21"/>
              </w:rPr>
              <w:t>0.93</w:t>
            </w:r>
          </w:p>
        </w:tc>
      </w:tr>
      <w:tr w:rsidR="00475650">
        <w:trPr>
          <w:cantSplit/>
          <w:trHeight w:val="160"/>
          <w:jc w:val="center"/>
        </w:trPr>
        <w:tc>
          <w:tcPr>
            <w:tcW w:w="714" w:type="dxa"/>
            <w:vAlign w:val="center"/>
          </w:tcPr>
          <w:p w:rsidR="00475650" w:rsidRDefault="00475650">
            <w:pPr>
              <w:pStyle w:val="afff7"/>
            </w:pPr>
            <w:r>
              <w:t>A3</w:t>
            </w:r>
          </w:p>
        </w:tc>
        <w:tc>
          <w:tcPr>
            <w:tcW w:w="2469" w:type="dxa"/>
            <w:vAlign w:val="center"/>
          </w:tcPr>
          <w:p w:rsidR="00475650" w:rsidRDefault="00475650">
            <w:pPr>
              <w:jc w:val="center"/>
              <w:rPr>
                <w:szCs w:val="21"/>
              </w:rPr>
            </w:pPr>
            <w:r>
              <w:rPr>
                <w:rFonts w:hAnsi="宋体"/>
                <w:szCs w:val="21"/>
              </w:rPr>
              <w:t>儒溪镇政府旧址</w:t>
            </w:r>
          </w:p>
        </w:tc>
        <w:tc>
          <w:tcPr>
            <w:tcW w:w="2122" w:type="dxa"/>
            <w:vAlign w:val="center"/>
          </w:tcPr>
          <w:p w:rsidR="00475650" w:rsidRDefault="00475650">
            <w:pPr>
              <w:jc w:val="center"/>
              <w:rPr>
                <w:szCs w:val="21"/>
              </w:rPr>
            </w:pPr>
            <w:r>
              <w:rPr>
                <w:rFonts w:hAnsi="宋体"/>
                <w:szCs w:val="21"/>
              </w:rPr>
              <w:t>居民区</w:t>
            </w:r>
          </w:p>
        </w:tc>
        <w:tc>
          <w:tcPr>
            <w:tcW w:w="2047" w:type="dxa"/>
            <w:vAlign w:val="center"/>
          </w:tcPr>
          <w:p w:rsidR="00475650" w:rsidRDefault="00475650">
            <w:pPr>
              <w:pStyle w:val="afff7"/>
            </w:pPr>
            <w:r>
              <w:rPr>
                <w:rFonts w:hAnsi="宋体" w:hint="eastAsia"/>
              </w:rPr>
              <w:t>南</w:t>
            </w:r>
          </w:p>
        </w:tc>
        <w:tc>
          <w:tcPr>
            <w:tcW w:w="1594" w:type="dxa"/>
            <w:vAlign w:val="center"/>
          </w:tcPr>
          <w:p w:rsidR="00475650" w:rsidRDefault="00475650">
            <w:pPr>
              <w:jc w:val="center"/>
              <w:rPr>
                <w:szCs w:val="21"/>
              </w:rPr>
            </w:pPr>
            <w:r>
              <w:rPr>
                <w:rFonts w:hint="eastAsia"/>
                <w:szCs w:val="21"/>
              </w:rPr>
              <w:t>0.943</w:t>
            </w:r>
          </w:p>
        </w:tc>
      </w:tr>
    </w:tbl>
    <w:p w:rsidR="00475650" w:rsidRDefault="00475650">
      <w:pPr>
        <w:snapToGrid w:val="0"/>
        <w:spacing w:line="360" w:lineRule="auto"/>
        <w:jc w:val="center"/>
        <w:rPr>
          <w:sz w:val="24"/>
        </w:rPr>
      </w:pPr>
    </w:p>
    <w:p w:rsidR="00475650" w:rsidRDefault="00475650">
      <w:pPr>
        <w:tabs>
          <w:tab w:val="left" w:pos="484"/>
        </w:tabs>
        <w:autoSpaceDE w:val="0"/>
        <w:autoSpaceDN w:val="0"/>
        <w:adjustRightInd w:val="0"/>
        <w:snapToGrid w:val="0"/>
        <w:spacing w:line="360" w:lineRule="auto"/>
        <w:ind w:firstLineChars="200" w:firstLine="480"/>
        <w:rPr>
          <w:sz w:val="24"/>
        </w:rPr>
      </w:pPr>
      <w:r>
        <w:rPr>
          <w:rFonts w:hAnsi="宋体"/>
          <w:sz w:val="24"/>
        </w:rPr>
        <w:t>二、监测项目</w:t>
      </w:r>
    </w:p>
    <w:p w:rsidR="00475650" w:rsidRDefault="00475650">
      <w:pPr>
        <w:spacing w:line="360" w:lineRule="auto"/>
        <w:ind w:firstLineChars="200" w:firstLine="480"/>
        <w:rPr>
          <w:sz w:val="24"/>
          <w:szCs w:val="20"/>
        </w:rPr>
      </w:pPr>
      <w:r>
        <w:rPr>
          <w:sz w:val="24"/>
          <w:szCs w:val="20"/>
        </w:rPr>
        <w:t>A1</w:t>
      </w:r>
      <w:r>
        <w:rPr>
          <w:rFonts w:hAnsi="宋体"/>
          <w:sz w:val="24"/>
          <w:szCs w:val="20"/>
        </w:rPr>
        <w:t>、</w:t>
      </w:r>
      <w:r>
        <w:rPr>
          <w:sz w:val="24"/>
          <w:szCs w:val="20"/>
        </w:rPr>
        <w:t>A2</w:t>
      </w:r>
      <w:r>
        <w:rPr>
          <w:rFonts w:hAnsi="宋体"/>
          <w:sz w:val="24"/>
          <w:szCs w:val="20"/>
        </w:rPr>
        <w:t>监测点位的监测项目为：</w:t>
      </w:r>
      <w:r>
        <w:rPr>
          <w:sz w:val="24"/>
          <w:szCs w:val="20"/>
        </w:rPr>
        <w:t>SO</w:t>
      </w:r>
      <w:r>
        <w:rPr>
          <w:sz w:val="24"/>
          <w:szCs w:val="20"/>
          <w:vertAlign w:val="subscript"/>
        </w:rPr>
        <w:t>2</w:t>
      </w:r>
      <w:r>
        <w:rPr>
          <w:rFonts w:hAnsi="宋体"/>
          <w:sz w:val="24"/>
          <w:szCs w:val="20"/>
        </w:rPr>
        <w:t>、</w:t>
      </w:r>
      <w:r>
        <w:rPr>
          <w:sz w:val="24"/>
          <w:szCs w:val="20"/>
        </w:rPr>
        <w:t>NO</w:t>
      </w:r>
      <w:r>
        <w:rPr>
          <w:sz w:val="24"/>
          <w:szCs w:val="20"/>
          <w:vertAlign w:val="subscript"/>
        </w:rPr>
        <w:t>2</w:t>
      </w:r>
      <w:r>
        <w:rPr>
          <w:rFonts w:hAnsi="宋体"/>
          <w:sz w:val="24"/>
          <w:szCs w:val="20"/>
        </w:rPr>
        <w:t>、</w:t>
      </w:r>
      <w:r>
        <w:rPr>
          <w:sz w:val="24"/>
          <w:szCs w:val="20"/>
        </w:rPr>
        <w:t>PM</w:t>
      </w:r>
      <w:r>
        <w:rPr>
          <w:sz w:val="24"/>
          <w:szCs w:val="20"/>
          <w:vertAlign w:val="subscript"/>
        </w:rPr>
        <w:t>10</w:t>
      </w:r>
      <w:r>
        <w:rPr>
          <w:rFonts w:hAnsi="宋体"/>
          <w:sz w:val="24"/>
          <w:szCs w:val="20"/>
        </w:rPr>
        <w:t>、氯化氢、氨。其中</w:t>
      </w:r>
      <w:r>
        <w:rPr>
          <w:sz w:val="24"/>
          <w:szCs w:val="20"/>
        </w:rPr>
        <w:t>PM</w:t>
      </w:r>
      <w:r>
        <w:rPr>
          <w:sz w:val="24"/>
          <w:szCs w:val="20"/>
          <w:vertAlign w:val="subscript"/>
        </w:rPr>
        <w:t>10</w:t>
      </w:r>
      <w:r>
        <w:rPr>
          <w:rFonts w:hAnsi="宋体"/>
          <w:sz w:val="24"/>
          <w:szCs w:val="20"/>
        </w:rPr>
        <w:t>测日平均浓度，其余因子均测</w:t>
      </w:r>
      <w:r>
        <w:rPr>
          <w:sz w:val="24"/>
          <w:szCs w:val="20"/>
        </w:rPr>
        <w:t>1</w:t>
      </w:r>
      <w:r>
        <w:rPr>
          <w:rFonts w:hAnsi="宋体"/>
          <w:sz w:val="24"/>
          <w:szCs w:val="20"/>
        </w:rPr>
        <w:t>小时平均浓度和日平均浓度。</w:t>
      </w:r>
    </w:p>
    <w:p w:rsidR="00475650" w:rsidRDefault="00475650">
      <w:pPr>
        <w:spacing w:line="360" w:lineRule="auto"/>
        <w:ind w:firstLineChars="200" w:firstLine="480"/>
        <w:rPr>
          <w:sz w:val="24"/>
          <w:szCs w:val="20"/>
        </w:rPr>
      </w:pPr>
      <w:r>
        <w:rPr>
          <w:sz w:val="24"/>
          <w:szCs w:val="20"/>
        </w:rPr>
        <w:t>A3</w:t>
      </w:r>
      <w:r>
        <w:rPr>
          <w:rFonts w:hAnsi="宋体"/>
          <w:sz w:val="24"/>
          <w:szCs w:val="20"/>
        </w:rPr>
        <w:t>监测点位的监测项目为：</w:t>
      </w:r>
      <w:r>
        <w:rPr>
          <w:sz w:val="24"/>
          <w:szCs w:val="20"/>
        </w:rPr>
        <w:t>SO</w:t>
      </w:r>
      <w:r>
        <w:rPr>
          <w:sz w:val="24"/>
          <w:szCs w:val="20"/>
          <w:vertAlign w:val="subscript"/>
        </w:rPr>
        <w:t>2</w:t>
      </w:r>
      <w:r>
        <w:rPr>
          <w:rFonts w:hAnsi="宋体"/>
          <w:sz w:val="24"/>
          <w:szCs w:val="20"/>
        </w:rPr>
        <w:t>、</w:t>
      </w:r>
      <w:r>
        <w:rPr>
          <w:sz w:val="24"/>
          <w:szCs w:val="20"/>
        </w:rPr>
        <w:t>NO</w:t>
      </w:r>
      <w:r>
        <w:rPr>
          <w:sz w:val="24"/>
          <w:szCs w:val="20"/>
          <w:vertAlign w:val="subscript"/>
        </w:rPr>
        <w:t>2</w:t>
      </w:r>
      <w:r>
        <w:rPr>
          <w:rFonts w:hAnsi="宋体"/>
          <w:sz w:val="24"/>
          <w:szCs w:val="20"/>
        </w:rPr>
        <w:t>、氯化氢、氨。其中</w:t>
      </w:r>
      <w:r>
        <w:rPr>
          <w:sz w:val="24"/>
          <w:szCs w:val="20"/>
        </w:rPr>
        <w:t>SO</w:t>
      </w:r>
      <w:r>
        <w:rPr>
          <w:sz w:val="24"/>
          <w:szCs w:val="20"/>
          <w:vertAlign w:val="subscript"/>
        </w:rPr>
        <w:t>2</w:t>
      </w:r>
      <w:r>
        <w:rPr>
          <w:rFonts w:hAnsi="宋体"/>
          <w:sz w:val="24"/>
          <w:szCs w:val="20"/>
        </w:rPr>
        <w:t>、</w:t>
      </w:r>
      <w:r>
        <w:rPr>
          <w:sz w:val="24"/>
          <w:szCs w:val="20"/>
        </w:rPr>
        <w:t>NO</w:t>
      </w:r>
      <w:r>
        <w:rPr>
          <w:sz w:val="24"/>
          <w:szCs w:val="20"/>
          <w:vertAlign w:val="subscript"/>
        </w:rPr>
        <w:t>2</w:t>
      </w:r>
      <w:r>
        <w:rPr>
          <w:rFonts w:hAnsi="宋体"/>
          <w:sz w:val="24"/>
          <w:szCs w:val="20"/>
        </w:rPr>
        <w:t>测日平均浓度，其它因子测</w:t>
      </w:r>
      <w:r>
        <w:rPr>
          <w:sz w:val="24"/>
          <w:szCs w:val="20"/>
        </w:rPr>
        <w:t>1</w:t>
      </w:r>
      <w:r>
        <w:rPr>
          <w:rFonts w:hAnsi="宋体"/>
          <w:sz w:val="24"/>
          <w:szCs w:val="20"/>
        </w:rPr>
        <w:t>小时平均浓度。</w:t>
      </w:r>
    </w:p>
    <w:p w:rsidR="00475650" w:rsidRDefault="00475650">
      <w:pPr>
        <w:tabs>
          <w:tab w:val="left" w:pos="484"/>
        </w:tabs>
        <w:autoSpaceDE w:val="0"/>
        <w:autoSpaceDN w:val="0"/>
        <w:adjustRightInd w:val="0"/>
        <w:snapToGrid w:val="0"/>
        <w:spacing w:line="360" w:lineRule="auto"/>
        <w:ind w:firstLineChars="200" w:firstLine="480"/>
        <w:rPr>
          <w:sz w:val="24"/>
        </w:rPr>
      </w:pPr>
      <w:bookmarkStart w:id="675" w:name="_Toc334014186"/>
      <w:bookmarkStart w:id="676" w:name="_Toc333230013"/>
      <w:bookmarkStart w:id="677" w:name="_Toc334080828"/>
      <w:r>
        <w:rPr>
          <w:rFonts w:hAnsi="宋体"/>
          <w:sz w:val="24"/>
        </w:rPr>
        <w:t>三、监测时间、周期</w:t>
      </w:r>
      <w:bookmarkEnd w:id="675"/>
      <w:bookmarkEnd w:id="676"/>
      <w:bookmarkEnd w:id="677"/>
    </w:p>
    <w:p w:rsidR="00475650" w:rsidRDefault="00475650">
      <w:pPr>
        <w:tabs>
          <w:tab w:val="left" w:pos="484"/>
        </w:tabs>
        <w:autoSpaceDE w:val="0"/>
        <w:autoSpaceDN w:val="0"/>
        <w:adjustRightInd w:val="0"/>
        <w:snapToGrid w:val="0"/>
        <w:spacing w:line="360" w:lineRule="auto"/>
        <w:ind w:firstLineChars="200" w:firstLine="480"/>
        <w:rPr>
          <w:sz w:val="24"/>
        </w:rPr>
      </w:pPr>
      <w:r>
        <w:rPr>
          <w:sz w:val="24"/>
        </w:rPr>
        <w:t>2014</w:t>
      </w:r>
      <w:r>
        <w:rPr>
          <w:rFonts w:hAnsi="宋体"/>
          <w:sz w:val="24"/>
        </w:rPr>
        <w:t>年</w:t>
      </w:r>
      <w:r>
        <w:rPr>
          <w:sz w:val="24"/>
        </w:rPr>
        <w:t>4</w:t>
      </w:r>
      <w:r>
        <w:rPr>
          <w:rFonts w:hAnsi="宋体"/>
          <w:sz w:val="24"/>
        </w:rPr>
        <w:t>月</w:t>
      </w:r>
      <w:r>
        <w:rPr>
          <w:sz w:val="24"/>
        </w:rPr>
        <w:t>8</w:t>
      </w:r>
      <w:r>
        <w:rPr>
          <w:rFonts w:hAnsi="宋体"/>
          <w:sz w:val="24"/>
        </w:rPr>
        <w:t>日至</w:t>
      </w:r>
      <w:r>
        <w:rPr>
          <w:sz w:val="24"/>
        </w:rPr>
        <w:t>2014</w:t>
      </w:r>
      <w:r>
        <w:rPr>
          <w:rFonts w:hAnsi="宋体"/>
          <w:sz w:val="24"/>
        </w:rPr>
        <w:t>年</w:t>
      </w:r>
      <w:r>
        <w:rPr>
          <w:sz w:val="24"/>
        </w:rPr>
        <w:t>4</w:t>
      </w:r>
      <w:r>
        <w:rPr>
          <w:rFonts w:hAnsi="宋体"/>
          <w:sz w:val="24"/>
        </w:rPr>
        <w:t>月</w:t>
      </w:r>
      <w:r>
        <w:rPr>
          <w:sz w:val="24"/>
        </w:rPr>
        <w:t>14</w:t>
      </w:r>
      <w:r>
        <w:rPr>
          <w:rFonts w:hAnsi="宋体"/>
          <w:sz w:val="24"/>
        </w:rPr>
        <w:t>日，连续监测</w:t>
      </w:r>
      <w:r>
        <w:rPr>
          <w:sz w:val="24"/>
        </w:rPr>
        <w:t>7</w:t>
      </w:r>
      <w:r>
        <w:rPr>
          <w:rFonts w:hAnsi="宋体"/>
          <w:sz w:val="24"/>
        </w:rPr>
        <w:t>天，小时平均浓度每天监测</w:t>
      </w:r>
      <w:r>
        <w:rPr>
          <w:sz w:val="24"/>
        </w:rPr>
        <w:t>4</w:t>
      </w:r>
      <w:r>
        <w:rPr>
          <w:rFonts w:hAnsi="宋体"/>
          <w:sz w:val="24"/>
        </w:rPr>
        <w:t>次，日平均浓度每天</w:t>
      </w:r>
      <w:r>
        <w:rPr>
          <w:sz w:val="24"/>
        </w:rPr>
        <w:t>1</w:t>
      </w:r>
      <w:r>
        <w:rPr>
          <w:rFonts w:hAnsi="宋体"/>
          <w:sz w:val="24"/>
        </w:rPr>
        <w:t>次。</w:t>
      </w:r>
    </w:p>
    <w:p w:rsidR="00475650" w:rsidRDefault="00475650">
      <w:pPr>
        <w:tabs>
          <w:tab w:val="left" w:pos="484"/>
        </w:tabs>
        <w:autoSpaceDE w:val="0"/>
        <w:autoSpaceDN w:val="0"/>
        <w:adjustRightInd w:val="0"/>
        <w:snapToGrid w:val="0"/>
        <w:spacing w:line="360" w:lineRule="auto"/>
        <w:ind w:firstLineChars="200" w:firstLine="480"/>
        <w:rPr>
          <w:sz w:val="24"/>
        </w:rPr>
      </w:pPr>
      <w:bookmarkStart w:id="678" w:name="_Toc334080829"/>
      <w:bookmarkStart w:id="679" w:name="_Toc333230014"/>
      <w:bookmarkStart w:id="680" w:name="_Toc334014187"/>
      <w:r>
        <w:rPr>
          <w:rFonts w:hAnsi="宋体"/>
          <w:sz w:val="24"/>
        </w:rPr>
        <w:t>四、监测期间气象参数</w:t>
      </w:r>
    </w:p>
    <w:p w:rsidR="00475650" w:rsidRDefault="00475650">
      <w:pPr>
        <w:overflowPunct w:val="0"/>
        <w:autoSpaceDE w:val="0"/>
        <w:autoSpaceDN w:val="0"/>
        <w:adjustRightInd w:val="0"/>
        <w:spacing w:line="300" w:lineRule="auto"/>
        <w:ind w:firstLineChars="200" w:firstLine="480"/>
        <w:textAlignment w:val="baseline"/>
        <w:rPr>
          <w:sz w:val="24"/>
        </w:rPr>
      </w:pPr>
      <w:r>
        <w:rPr>
          <w:rFonts w:hAnsi="宋体"/>
          <w:sz w:val="24"/>
        </w:rPr>
        <w:t>监测期间的气象条件见表</w:t>
      </w:r>
      <w:r>
        <w:rPr>
          <w:sz w:val="24"/>
        </w:rPr>
        <w:t>4.3-2</w:t>
      </w:r>
      <w:r>
        <w:rPr>
          <w:rFonts w:hAnsi="宋体"/>
          <w:sz w:val="24"/>
        </w:rPr>
        <w:t>。</w:t>
      </w:r>
    </w:p>
    <w:p w:rsidR="00475650" w:rsidRDefault="00475650">
      <w:pPr>
        <w:jc w:val="center"/>
        <w:rPr>
          <w:b/>
          <w:sz w:val="24"/>
        </w:rPr>
      </w:pPr>
      <w:r>
        <w:rPr>
          <w:rFonts w:hAnsi="宋体"/>
          <w:b/>
          <w:sz w:val="24"/>
        </w:rPr>
        <w:t>表</w:t>
      </w:r>
      <w:r>
        <w:rPr>
          <w:b/>
          <w:sz w:val="24"/>
        </w:rPr>
        <w:t xml:space="preserve">4.3-2  </w:t>
      </w:r>
      <w:r>
        <w:rPr>
          <w:rFonts w:hAnsi="宋体"/>
          <w:b/>
          <w:sz w:val="24"/>
        </w:rPr>
        <w:t>监测期间气象条件表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618"/>
        <w:gridCol w:w="1080"/>
        <w:gridCol w:w="1428"/>
        <w:gridCol w:w="1068"/>
        <w:gridCol w:w="1069"/>
        <w:gridCol w:w="1068"/>
        <w:gridCol w:w="1068"/>
        <w:gridCol w:w="1069"/>
      </w:tblGrid>
      <w:tr w:rsidR="00475650">
        <w:trPr>
          <w:trHeight w:hRule="exact" w:val="737"/>
          <w:jc w:val="center"/>
        </w:trPr>
        <w:tc>
          <w:tcPr>
            <w:tcW w:w="618" w:type="dxa"/>
            <w:vAlign w:val="center"/>
          </w:tcPr>
          <w:p w:rsidR="00475650" w:rsidRDefault="00475650">
            <w:pPr>
              <w:jc w:val="center"/>
              <w:rPr>
                <w:b/>
                <w:szCs w:val="21"/>
              </w:rPr>
            </w:pPr>
            <w:r>
              <w:rPr>
                <w:rFonts w:hAnsi="宋体"/>
                <w:b/>
                <w:szCs w:val="21"/>
              </w:rPr>
              <w:t>点位</w:t>
            </w:r>
          </w:p>
        </w:tc>
        <w:tc>
          <w:tcPr>
            <w:tcW w:w="1080" w:type="dxa"/>
            <w:vAlign w:val="center"/>
          </w:tcPr>
          <w:p w:rsidR="00475650" w:rsidRDefault="00475650">
            <w:pPr>
              <w:jc w:val="center"/>
              <w:rPr>
                <w:b/>
                <w:szCs w:val="21"/>
              </w:rPr>
            </w:pPr>
            <w:r>
              <w:rPr>
                <w:rFonts w:hAnsi="宋体"/>
                <w:b/>
                <w:szCs w:val="21"/>
              </w:rPr>
              <w:t>时</w:t>
            </w:r>
            <w:r>
              <w:rPr>
                <w:b/>
                <w:szCs w:val="21"/>
              </w:rPr>
              <w:t xml:space="preserve"> </w:t>
            </w:r>
            <w:r>
              <w:rPr>
                <w:rFonts w:hAnsi="宋体"/>
                <w:b/>
                <w:szCs w:val="21"/>
              </w:rPr>
              <w:t>间</w:t>
            </w:r>
          </w:p>
        </w:tc>
        <w:tc>
          <w:tcPr>
            <w:tcW w:w="1428" w:type="dxa"/>
            <w:vAlign w:val="center"/>
          </w:tcPr>
          <w:p w:rsidR="00475650" w:rsidRDefault="00475650">
            <w:pPr>
              <w:jc w:val="center"/>
              <w:rPr>
                <w:b/>
                <w:szCs w:val="21"/>
              </w:rPr>
            </w:pPr>
            <w:r>
              <w:rPr>
                <w:rFonts w:hAnsi="宋体"/>
                <w:b/>
                <w:szCs w:val="21"/>
              </w:rPr>
              <w:t>监测时段</w:t>
            </w:r>
          </w:p>
        </w:tc>
        <w:tc>
          <w:tcPr>
            <w:tcW w:w="1068" w:type="dxa"/>
            <w:vAlign w:val="center"/>
          </w:tcPr>
          <w:p w:rsidR="00475650" w:rsidRDefault="00475650">
            <w:pPr>
              <w:jc w:val="center"/>
              <w:rPr>
                <w:b/>
                <w:szCs w:val="21"/>
              </w:rPr>
            </w:pPr>
            <w:r>
              <w:rPr>
                <w:rFonts w:hAnsi="宋体"/>
                <w:b/>
                <w:szCs w:val="21"/>
              </w:rPr>
              <w:t>气</w:t>
            </w:r>
            <w:r>
              <w:rPr>
                <w:b/>
                <w:szCs w:val="21"/>
              </w:rPr>
              <w:t xml:space="preserve"> </w:t>
            </w:r>
            <w:r>
              <w:rPr>
                <w:rFonts w:hAnsi="宋体"/>
                <w:b/>
                <w:szCs w:val="21"/>
              </w:rPr>
              <w:t>温</w:t>
            </w:r>
          </w:p>
          <w:p w:rsidR="00475650" w:rsidRDefault="00475650">
            <w:pPr>
              <w:jc w:val="center"/>
              <w:rPr>
                <w:b/>
                <w:szCs w:val="21"/>
              </w:rPr>
            </w:pPr>
            <w:r>
              <w:rPr>
                <w:rFonts w:hAnsi="宋体"/>
                <w:b/>
                <w:szCs w:val="21"/>
              </w:rPr>
              <w:t>℃</w:t>
            </w:r>
          </w:p>
        </w:tc>
        <w:tc>
          <w:tcPr>
            <w:tcW w:w="1069" w:type="dxa"/>
            <w:vAlign w:val="center"/>
          </w:tcPr>
          <w:p w:rsidR="00475650" w:rsidRDefault="00475650">
            <w:pPr>
              <w:jc w:val="center"/>
              <w:rPr>
                <w:b/>
                <w:szCs w:val="21"/>
              </w:rPr>
            </w:pPr>
            <w:r>
              <w:rPr>
                <w:rFonts w:hAnsi="宋体"/>
                <w:b/>
                <w:szCs w:val="21"/>
              </w:rPr>
              <w:t>气</w:t>
            </w:r>
            <w:r>
              <w:rPr>
                <w:b/>
                <w:szCs w:val="21"/>
              </w:rPr>
              <w:t xml:space="preserve"> </w:t>
            </w:r>
            <w:r>
              <w:rPr>
                <w:rFonts w:hAnsi="宋体"/>
                <w:b/>
                <w:szCs w:val="21"/>
              </w:rPr>
              <w:t>压</w:t>
            </w:r>
          </w:p>
          <w:p w:rsidR="00475650" w:rsidRDefault="00475650">
            <w:pPr>
              <w:jc w:val="center"/>
              <w:rPr>
                <w:b/>
                <w:szCs w:val="21"/>
              </w:rPr>
            </w:pPr>
            <w:r>
              <w:rPr>
                <w:b/>
                <w:szCs w:val="21"/>
              </w:rPr>
              <w:t>KPa</w:t>
            </w:r>
          </w:p>
        </w:tc>
        <w:tc>
          <w:tcPr>
            <w:tcW w:w="1068" w:type="dxa"/>
            <w:vAlign w:val="center"/>
          </w:tcPr>
          <w:p w:rsidR="00475650" w:rsidRDefault="00475650">
            <w:pPr>
              <w:jc w:val="center"/>
              <w:rPr>
                <w:b/>
                <w:szCs w:val="21"/>
              </w:rPr>
            </w:pPr>
            <w:r>
              <w:rPr>
                <w:rFonts w:hAnsi="宋体"/>
                <w:b/>
                <w:szCs w:val="21"/>
              </w:rPr>
              <w:t>相对湿度</w:t>
            </w:r>
          </w:p>
          <w:p w:rsidR="00475650" w:rsidRDefault="00475650">
            <w:pPr>
              <w:jc w:val="center"/>
              <w:rPr>
                <w:b/>
                <w:szCs w:val="21"/>
              </w:rPr>
            </w:pPr>
            <w:r>
              <w:rPr>
                <w:b/>
                <w:szCs w:val="21"/>
              </w:rPr>
              <w:t>%</w:t>
            </w:r>
          </w:p>
        </w:tc>
        <w:tc>
          <w:tcPr>
            <w:tcW w:w="1068" w:type="dxa"/>
            <w:vAlign w:val="center"/>
          </w:tcPr>
          <w:p w:rsidR="00475650" w:rsidRDefault="00475650">
            <w:pPr>
              <w:jc w:val="center"/>
              <w:rPr>
                <w:b/>
                <w:szCs w:val="21"/>
              </w:rPr>
            </w:pPr>
            <w:r>
              <w:rPr>
                <w:rFonts w:hAnsi="宋体"/>
                <w:b/>
                <w:szCs w:val="21"/>
              </w:rPr>
              <w:t>风</w:t>
            </w:r>
            <w:r>
              <w:rPr>
                <w:b/>
                <w:szCs w:val="21"/>
              </w:rPr>
              <w:t xml:space="preserve"> </w:t>
            </w:r>
            <w:r>
              <w:rPr>
                <w:rFonts w:hAnsi="宋体"/>
                <w:b/>
                <w:szCs w:val="21"/>
              </w:rPr>
              <w:t>速</w:t>
            </w:r>
          </w:p>
          <w:p w:rsidR="00475650" w:rsidRDefault="00475650">
            <w:pPr>
              <w:jc w:val="center"/>
              <w:rPr>
                <w:b/>
                <w:szCs w:val="21"/>
              </w:rPr>
            </w:pPr>
            <w:r>
              <w:rPr>
                <w:b/>
                <w:szCs w:val="21"/>
              </w:rPr>
              <w:t>m/s</w:t>
            </w:r>
          </w:p>
        </w:tc>
        <w:tc>
          <w:tcPr>
            <w:tcW w:w="1069" w:type="dxa"/>
            <w:vAlign w:val="center"/>
          </w:tcPr>
          <w:p w:rsidR="00475650" w:rsidRDefault="00475650">
            <w:pPr>
              <w:jc w:val="center"/>
              <w:rPr>
                <w:b/>
                <w:szCs w:val="21"/>
              </w:rPr>
            </w:pPr>
            <w:r>
              <w:rPr>
                <w:rFonts w:hAnsi="宋体"/>
                <w:b/>
                <w:szCs w:val="21"/>
              </w:rPr>
              <w:t>风</w:t>
            </w:r>
            <w:r>
              <w:rPr>
                <w:b/>
                <w:szCs w:val="21"/>
              </w:rPr>
              <w:t xml:space="preserve"> </w:t>
            </w:r>
            <w:r>
              <w:rPr>
                <w:rFonts w:hAnsi="宋体"/>
                <w:b/>
                <w:szCs w:val="21"/>
              </w:rPr>
              <w:t>向</w:t>
            </w:r>
          </w:p>
        </w:tc>
      </w:tr>
      <w:tr w:rsidR="00475650">
        <w:trPr>
          <w:trHeight w:hRule="exact" w:val="312"/>
          <w:jc w:val="center"/>
        </w:trPr>
        <w:tc>
          <w:tcPr>
            <w:tcW w:w="618" w:type="dxa"/>
            <w:vMerge w:val="restart"/>
            <w:vAlign w:val="center"/>
          </w:tcPr>
          <w:p w:rsidR="00475650" w:rsidRDefault="00475650">
            <w:pPr>
              <w:jc w:val="center"/>
              <w:rPr>
                <w:b/>
                <w:szCs w:val="21"/>
              </w:rPr>
            </w:pPr>
            <w:r>
              <w:rPr>
                <w:szCs w:val="21"/>
              </w:rPr>
              <w:t>A1</w:t>
            </w:r>
            <w:r>
              <w:rPr>
                <w:b/>
                <w:szCs w:val="21"/>
              </w:rPr>
              <w:t>-</w:t>
            </w:r>
          </w:p>
          <w:p w:rsidR="00475650" w:rsidRDefault="00475650">
            <w:pPr>
              <w:jc w:val="center"/>
              <w:rPr>
                <w:szCs w:val="21"/>
              </w:rPr>
            </w:pPr>
            <w:r>
              <w:rPr>
                <w:rFonts w:hAnsi="宋体"/>
                <w:szCs w:val="21"/>
              </w:rPr>
              <w:t>白马矶居民点</w:t>
            </w:r>
          </w:p>
        </w:tc>
        <w:tc>
          <w:tcPr>
            <w:tcW w:w="1080" w:type="dxa"/>
            <w:vMerge w:val="restart"/>
            <w:vAlign w:val="center"/>
          </w:tcPr>
          <w:p w:rsidR="00475650" w:rsidRDefault="00475650">
            <w:pPr>
              <w:spacing w:line="240" w:lineRule="atLeast"/>
              <w:jc w:val="center"/>
              <w:rPr>
                <w:szCs w:val="21"/>
              </w:rPr>
            </w:pPr>
            <w:r>
              <w:rPr>
                <w:szCs w:val="21"/>
              </w:rPr>
              <w:t>2014.4.8</w:t>
            </w:r>
          </w:p>
        </w:tc>
        <w:tc>
          <w:tcPr>
            <w:tcW w:w="1428" w:type="dxa"/>
            <w:vAlign w:val="center"/>
          </w:tcPr>
          <w:p w:rsidR="00475650" w:rsidRDefault="00475650">
            <w:pPr>
              <w:jc w:val="center"/>
              <w:rPr>
                <w:kern w:val="0"/>
                <w:szCs w:val="21"/>
              </w:rPr>
            </w:pPr>
            <w:r>
              <w:rPr>
                <w:kern w:val="0"/>
                <w:szCs w:val="21"/>
              </w:rPr>
              <w:t>02:00-02:45</w:t>
            </w:r>
          </w:p>
        </w:tc>
        <w:tc>
          <w:tcPr>
            <w:tcW w:w="1068" w:type="dxa"/>
            <w:vAlign w:val="center"/>
          </w:tcPr>
          <w:p w:rsidR="00475650" w:rsidRDefault="00475650">
            <w:pPr>
              <w:jc w:val="center"/>
              <w:rPr>
                <w:szCs w:val="21"/>
              </w:rPr>
            </w:pPr>
            <w:r>
              <w:rPr>
                <w:szCs w:val="21"/>
              </w:rPr>
              <w:t>17.3</w:t>
            </w:r>
          </w:p>
        </w:tc>
        <w:tc>
          <w:tcPr>
            <w:tcW w:w="1069" w:type="dxa"/>
            <w:vAlign w:val="center"/>
          </w:tcPr>
          <w:p w:rsidR="00475650" w:rsidRDefault="00475650">
            <w:pPr>
              <w:jc w:val="center"/>
              <w:rPr>
                <w:szCs w:val="21"/>
              </w:rPr>
            </w:pPr>
            <w:r>
              <w:rPr>
                <w:szCs w:val="21"/>
              </w:rPr>
              <w:t>101.1</w:t>
            </w:r>
          </w:p>
        </w:tc>
        <w:tc>
          <w:tcPr>
            <w:tcW w:w="1068" w:type="dxa"/>
            <w:vAlign w:val="center"/>
          </w:tcPr>
          <w:p w:rsidR="00475650" w:rsidRDefault="00475650">
            <w:pPr>
              <w:jc w:val="center"/>
              <w:rPr>
                <w:szCs w:val="21"/>
              </w:rPr>
            </w:pPr>
            <w:r>
              <w:rPr>
                <w:szCs w:val="21"/>
              </w:rPr>
              <w:t>80</w:t>
            </w:r>
          </w:p>
        </w:tc>
        <w:tc>
          <w:tcPr>
            <w:tcW w:w="1068" w:type="dxa"/>
            <w:vAlign w:val="center"/>
          </w:tcPr>
          <w:p w:rsidR="00475650" w:rsidRDefault="00475650">
            <w:pPr>
              <w:jc w:val="center"/>
              <w:rPr>
                <w:szCs w:val="21"/>
              </w:rPr>
            </w:pPr>
            <w:r>
              <w:rPr>
                <w:szCs w:val="21"/>
              </w:rPr>
              <w:t>0.964</w:t>
            </w:r>
          </w:p>
        </w:tc>
        <w:tc>
          <w:tcPr>
            <w:tcW w:w="1069" w:type="dxa"/>
            <w:vAlign w:val="center"/>
          </w:tcPr>
          <w:p w:rsidR="00475650" w:rsidRDefault="00475650">
            <w:pPr>
              <w:jc w:val="center"/>
              <w:rPr>
                <w:szCs w:val="21"/>
              </w:rPr>
            </w:pPr>
            <w:r>
              <w:rPr>
                <w:szCs w:val="21"/>
              </w:rPr>
              <w:t>NE</w:t>
            </w:r>
          </w:p>
        </w:tc>
      </w:tr>
      <w:tr w:rsidR="00475650">
        <w:trPr>
          <w:trHeight w:hRule="exact" w:val="312"/>
          <w:jc w:val="center"/>
        </w:trPr>
        <w:tc>
          <w:tcPr>
            <w:tcW w:w="618" w:type="dxa"/>
            <w:vMerge/>
            <w:vAlign w:val="center"/>
          </w:tcPr>
          <w:p w:rsidR="00475650" w:rsidRDefault="00475650">
            <w:pPr>
              <w:jc w:val="center"/>
              <w:rPr>
                <w:szCs w:val="21"/>
              </w:rPr>
            </w:pPr>
          </w:p>
        </w:tc>
        <w:tc>
          <w:tcPr>
            <w:tcW w:w="1080" w:type="dxa"/>
            <w:vMerge/>
            <w:vAlign w:val="center"/>
          </w:tcPr>
          <w:p w:rsidR="00475650" w:rsidRDefault="00475650">
            <w:pPr>
              <w:spacing w:line="240" w:lineRule="atLeast"/>
              <w:jc w:val="center"/>
              <w:rPr>
                <w:b/>
                <w:szCs w:val="21"/>
              </w:rPr>
            </w:pPr>
          </w:p>
        </w:tc>
        <w:tc>
          <w:tcPr>
            <w:tcW w:w="1428" w:type="dxa"/>
            <w:vAlign w:val="center"/>
          </w:tcPr>
          <w:p w:rsidR="00475650" w:rsidRDefault="00475650">
            <w:pPr>
              <w:jc w:val="center"/>
              <w:rPr>
                <w:kern w:val="0"/>
                <w:szCs w:val="21"/>
              </w:rPr>
            </w:pPr>
            <w:r>
              <w:rPr>
                <w:kern w:val="0"/>
                <w:szCs w:val="21"/>
              </w:rPr>
              <w:t>08:00-08:45</w:t>
            </w:r>
          </w:p>
        </w:tc>
        <w:tc>
          <w:tcPr>
            <w:tcW w:w="1068" w:type="dxa"/>
            <w:vAlign w:val="center"/>
          </w:tcPr>
          <w:p w:rsidR="00475650" w:rsidRDefault="00475650">
            <w:pPr>
              <w:jc w:val="center"/>
              <w:rPr>
                <w:kern w:val="0"/>
                <w:szCs w:val="21"/>
              </w:rPr>
            </w:pPr>
            <w:r>
              <w:rPr>
                <w:kern w:val="0"/>
                <w:szCs w:val="21"/>
              </w:rPr>
              <w:t>18.9</w:t>
            </w:r>
          </w:p>
        </w:tc>
        <w:tc>
          <w:tcPr>
            <w:tcW w:w="1069" w:type="dxa"/>
            <w:vAlign w:val="center"/>
          </w:tcPr>
          <w:p w:rsidR="00475650" w:rsidRDefault="00475650">
            <w:pPr>
              <w:jc w:val="center"/>
              <w:rPr>
                <w:kern w:val="0"/>
                <w:szCs w:val="21"/>
              </w:rPr>
            </w:pPr>
            <w:r>
              <w:rPr>
                <w:kern w:val="0"/>
                <w:szCs w:val="21"/>
              </w:rPr>
              <w:t>99.8</w:t>
            </w:r>
          </w:p>
        </w:tc>
        <w:tc>
          <w:tcPr>
            <w:tcW w:w="1068" w:type="dxa"/>
            <w:vAlign w:val="center"/>
          </w:tcPr>
          <w:p w:rsidR="00475650" w:rsidRDefault="00475650">
            <w:pPr>
              <w:jc w:val="center"/>
              <w:rPr>
                <w:kern w:val="0"/>
                <w:szCs w:val="21"/>
              </w:rPr>
            </w:pPr>
            <w:r>
              <w:rPr>
                <w:kern w:val="0"/>
                <w:szCs w:val="21"/>
              </w:rPr>
              <w:t>75.3</w:t>
            </w:r>
          </w:p>
        </w:tc>
        <w:tc>
          <w:tcPr>
            <w:tcW w:w="1068" w:type="dxa"/>
            <w:vAlign w:val="center"/>
          </w:tcPr>
          <w:p w:rsidR="00475650" w:rsidRDefault="00475650">
            <w:pPr>
              <w:jc w:val="center"/>
              <w:rPr>
                <w:szCs w:val="21"/>
              </w:rPr>
            </w:pPr>
            <w:r>
              <w:rPr>
                <w:szCs w:val="21"/>
              </w:rPr>
              <w:t>0.956</w:t>
            </w:r>
          </w:p>
        </w:tc>
        <w:tc>
          <w:tcPr>
            <w:tcW w:w="1069" w:type="dxa"/>
            <w:vAlign w:val="center"/>
          </w:tcPr>
          <w:p w:rsidR="00475650" w:rsidRDefault="00475650">
            <w:pPr>
              <w:jc w:val="center"/>
              <w:rPr>
                <w:szCs w:val="21"/>
              </w:rPr>
            </w:pPr>
            <w:r>
              <w:rPr>
                <w:szCs w:val="21"/>
              </w:rPr>
              <w:t>NE</w:t>
            </w:r>
          </w:p>
        </w:tc>
      </w:tr>
      <w:tr w:rsidR="00475650">
        <w:trPr>
          <w:trHeight w:hRule="exact" w:val="312"/>
          <w:jc w:val="center"/>
        </w:trPr>
        <w:tc>
          <w:tcPr>
            <w:tcW w:w="618" w:type="dxa"/>
            <w:vMerge/>
            <w:vAlign w:val="center"/>
          </w:tcPr>
          <w:p w:rsidR="00475650" w:rsidRDefault="00475650">
            <w:pPr>
              <w:jc w:val="center"/>
              <w:rPr>
                <w:szCs w:val="21"/>
              </w:rPr>
            </w:pPr>
          </w:p>
        </w:tc>
        <w:tc>
          <w:tcPr>
            <w:tcW w:w="1080" w:type="dxa"/>
            <w:vMerge/>
            <w:vAlign w:val="center"/>
          </w:tcPr>
          <w:p w:rsidR="00475650" w:rsidRDefault="00475650">
            <w:pPr>
              <w:spacing w:line="240" w:lineRule="atLeast"/>
              <w:jc w:val="center"/>
              <w:rPr>
                <w:b/>
                <w:szCs w:val="21"/>
              </w:rPr>
            </w:pPr>
          </w:p>
        </w:tc>
        <w:tc>
          <w:tcPr>
            <w:tcW w:w="1428" w:type="dxa"/>
            <w:vAlign w:val="center"/>
          </w:tcPr>
          <w:p w:rsidR="00475650" w:rsidRDefault="00475650">
            <w:pPr>
              <w:jc w:val="center"/>
              <w:rPr>
                <w:kern w:val="0"/>
                <w:szCs w:val="21"/>
              </w:rPr>
            </w:pPr>
            <w:r>
              <w:rPr>
                <w:kern w:val="0"/>
                <w:szCs w:val="21"/>
              </w:rPr>
              <w:t>14:00-14:45</w:t>
            </w:r>
            <w:r>
              <w:rPr>
                <w:szCs w:val="20"/>
              </w:rPr>
              <w:t xml:space="preserve"> </w:t>
            </w:r>
            <w:r>
              <w:rPr>
                <w:kern w:val="0"/>
                <w:szCs w:val="21"/>
              </w:rPr>
              <w:t>20:00-20:45</w:t>
            </w:r>
          </w:p>
        </w:tc>
        <w:tc>
          <w:tcPr>
            <w:tcW w:w="1068" w:type="dxa"/>
            <w:vAlign w:val="center"/>
          </w:tcPr>
          <w:p w:rsidR="00475650" w:rsidRDefault="00475650">
            <w:pPr>
              <w:jc w:val="center"/>
              <w:rPr>
                <w:kern w:val="0"/>
                <w:szCs w:val="21"/>
              </w:rPr>
            </w:pPr>
            <w:r>
              <w:rPr>
                <w:kern w:val="0"/>
                <w:szCs w:val="21"/>
              </w:rPr>
              <w:t>24.3</w:t>
            </w:r>
          </w:p>
        </w:tc>
        <w:tc>
          <w:tcPr>
            <w:tcW w:w="1069" w:type="dxa"/>
            <w:vAlign w:val="center"/>
          </w:tcPr>
          <w:p w:rsidR="00475650" w:rsidRDefault="00475650">
            <w:pPr>
              <w:jc w:val="center"/>
              <w:rPr>
                <w:kern w:val="0"/>
                <w:szCs w:val="21"/>
              </w:rPr>
            </w:pPr>
            <w:r>
              <w:rPr>
                <w:kern w:val="0"/>
                <w:szCs w:val="21"/>
              </w:rPr>
              <w:t>99.5</w:t>
            </w:r>
          </w:p>
        </w:tc>
        <w:tc>
          <w:tcPr>
            <w:tcW w:w="1068" w:type="dxa"/>
            <w:vAlign w:val="center"/>
          </w:tcPr>
          <w:p w:rsidR="00475650" w:rsidRDefault="00475650">
            <w:pPr>
              <w:jc w:val="center"/>
              <w:rPr>
                <w:kern w:val="0"/>
                <w:szCs w:val="21"/>
              </w:rPr>
            </w:pPr>
            <w:r>
              <w:rPr>
                <w:kern w:val="0"/>
                <w:szCs w:val="21"/>
              </w:rPr>
              <w:t>74.9</w:t>
            </w:r>
          </w:p>
        </w:tc>
        <w:tc>
          <w:tcPr>
            <w:tcW w:w="1068" w:type="dxa"/>
            <w:vAlign w:val="center"/>
          </w:tcPr>
          <w:p w:rsidR="00475650" w:rsidRDefault="00475650">
            <w:pPr>
              <w:jc w:val="center"/>
              <w:rPr>
                <w:szCs w:val="21"/>
              </w:rPr>
            </w:pPr>
            <w:r>
              <w:rPr>
                <w:szCs w:val="21"/>
              </w:rPr>
              <w:t>0.734</w:t>
            </w:r>
          </w:p>
        </w:tc>
        <w:tc>
          <w:tcPr>
            <w:tcW w:w="1069" w:type="dxa"/>
            <w:vAlign w:val="center"/>
          </w:tcPr>
          <w:p w:rsidR="00475650" w:rsidRDefault="00475650">
            <w:pPr>
              <w:jc w:val="center"/>
              <w:rPr>
                <w:szCs w:val="21"/>
              </w:rPr>
            </w:pPr>
            <w:r>
              <w:rPr>
                <w:szCs w:val="21"/>
              </w:rPr>
              <w:t>NNE</w:t>
            </w:r>
          </w:p>
        </w:tc>
      </w:tr>
      <w:tr w:rsidR="00475650">
        <w:trPr>
          <w:trHeight w:hRule="exact" w:val="312"/>
          <w:jc w:val="center"/>
        </w:trPr>
        <w:tc>
          <w:tcPr>
            <w:tcW w:w="618" w:type="dxa"/>
            <w:vMerge/>
            <w:vAlign w:val="center"/>
          </w:tcPr>
          <w:p w:rsidR="00475650" w:rsidRDefault="00475650">
            <w:pPr>
              <w:jc w:val="center"/>
              <w:rPr>
                <w:szCs w:val="21"/>
              </w:rPr>
            </w:pPr>
          </w:p>
        </w:tc>
        <w:tc>
          <w:tcPr>
            <w:tcW w:w="1080" w:type="dxa"/>
            <w:vMerge/>
            <w:vAlign w:val="center"/>
          </w:tcPr>
          <w:p w:rsidR="00475650" w:rsidRDefault="00475650">
            <w:pPr>
              <w:spacing w:line="240" w:lineRule="atLeast"/>
              <w:jc w:val="center"/>
              <w:rPr>
                <w:b/>
                <w:szCs w:val="21"/>
              </w:rPr>
            </w:pPr>
          </w:p>
        </w:tc>
        <w:tc>
          <w:tcPr>
            <w:tcW w:w="1428" w:type="dxa"/>
            <w:vAlign w:val="center"/>
          </w:tcPr>
          <w:p w:rsidR="00475650" w:rsidRDefault="00475650">
            <w:pPr>
              <w:jc w:val="center"/>
              <w:rPr>
                <w:szCs w:val="21"/>
              </w:rPr>
            </w:pPr>
            <w:r>
              <w:rPr>
                <w:szCs w:val="21"/>
              </w:rPr>
              <w:t>20:00-20:45</w:t>
            </w:r>
          </w:p>
        </w:tc>
        <w:tc>
          <w:tcPr>
            <w:tcW w:w="1068" w:type="dxa"/>
            <w:vAlign w:val="center"/>
          </w:tcPr>
          <w:p w:rsidR="00475650" w:rsidRDefault="00475650">
            <w:pPr>
              <w:jc w:val="center"/>
              <w:rPr>
                <w:kern w:val="0"/>
                <w:szCs w:val="21"/>
              </w:rPr>
            </w:pPr>
            <w:r>
              <w:rPr>
                <w:kern w:val="0"/>
                <w:szCs w:val="21"/>
              </w:rPr>
              <w:t>21.5</w:t>
            </w:r>
          </w:p>
        </w:tc>
        <w:tc>
          <w:tcPr>
            <w:tcW w:w="1069" w:type="dxa"/>
            <w:vAlign w:val="center"/>
          </w:tcPr>
          <w:p w:rsidR="00475650" w:rsidRDefault="00475650">
            <w:pPr>
              <w:jc w:val="center"/>
              <w:rPr>
                <w:kern w:val="0"/>
                <w:szCs w:val="21"/>
              </w:rPr>
            </w:pPr>
            <w:r>
              <w:rPr>
                <w:kern w:val="0"/>
                <w:szCs w:val="21"/>
              </w:rPr>
              <w:t>100.1</w:t>
            </w:r>
          </w:p>
        </w:tc>
        <w:tc>
          <w:tcPr>
            <w:tcW w:w="1068" w:type="dxa"/>
            <w:vAlign w:val="center"/>
          </w:tcPr>
          <w:p w:rsidR="00475650" w:rsidRDefault="00475650">
            <w:pPr>
              <w:jc w:val="center"/>
              <w:rPr>
                <w:kern w:val="0"/>
                <w:szCs w:val="21"/>
              </w:rPr>
            </w:pPr>
            <w:r>
              <w:rPr>
                <w:kern w:val="0"/>
                <w:szCs w:val="21"/>
              </w:rPr>
              <w:t>79.2</w:t>
            </w:r>
          </w:p>
        </w:tc>
        <w:tc>
          <w:tcPr>
            <w:tcW w:w="1068" w:type="dxa"/>
            <w:vAlign w:val="center"/>
          </w:tcPr>
          <w:p w:rsidR="00475650" w:rsidRDefault="00475650">
            <w:pPr>
              <w:jc w:val="center"/>
              <w:rPr>
                <w:szCs w:val="21"/>
              </w:rPr>
            </w:pPr>
            <w:r>
              <w:rPr>
                <w:kern w:val="0"/>
                <w:szCs w:val="21"/>
              </w:rPr>
              <w:t>0.894</w:t>
            </w:r>
          </w:p>
        </w:tc>
        <w:tc>
          <w:tcPr>
            <w:tcW w:w="1069" w:type="dxa"/>
            <w:vAlign w:val="center"/>
          </w:tcPr>
          <w:p w:rsidR="00475650" w:rsidRDefault="00475650">
            <w:pPr>
              <w:jc w:val="center"/>
              <w:rPr>
                <w:szCs w:val="21"/>
              </w:rPr>
            </w:pPr>
            <w:r>
              <w:rPr>
                <w:szCs w:val="21"/>
              </w:rPr>
              <w:t>NNE</w:t>
            </w:r>
          </w:p>
        </w:tc>
      </w:tr>
      <w:tr w:rsidR="00475650">
        <w:trPr>
          <w:trHeight w:hRule="exact" w:val="312"/>
          <w:jc w:val="center"/>
        </w:trPr>
        <w:tc>
          <w:tcPr>
            <w:tcW w:w="618" w:type="dxa"/>
            <w:vMerge/>
            <w:vAlign w:val="center"/>
          </w:tcPr>
          <w:p w:rsidR="00475650" w:rsidRDefault="00475650">
            <w:pPr>
              <w:jc w:val="center"/>
              <w:rPr>
                <w:szCs w:val="21"/>
              </w:rPr>
            </w:pPr>
          </w:p>
        </w:tc>
        <w:tc>
          <w:tcPr>
            <w:tcW w:w="1080" w:type="dxa"/>
            <w:vMerge w:val="restart"/>
            <w:vAlign w:val="center"/>
          </w:tcPr>
          <w:p w:rsidR="00475650" w:rsidRDefault="00475650">
            <w:pPr>
              <w:spacing w:line="240" w:lineRule="atLeast"/>
              <w:jc w:val="center"/>
              <w:rPr>
                <w:szCs w:val="21"/>
              </w:rPr>
            </w:pPr>
            <w:r>
              <w:rPr>
                <w:szCs w:val="21"/>
              </w:rPr>
              <w:t>2014.4.9</w:t>
            </w:r>
          </w:p>
        </w:tc>
        <w:tc>
          <w:tcPr>
            <w:tcW w:w="1428" w:type="dxa"/>
            <w:vAlign w:val="center"/>
          </w:tcPr>
          <w:p w:rsidR="00475650" w:rsidRDefault="00475650">
            <w:pPr>
              <w:jc w:val="center"/>
              <w:rPr>
                <w:kern w:val="0"/>
                <w:szCs w:val="21"/>
              </w:rPr>
            </w:pPr>
            <w:r>
              <w:rPr>
                <w:kern w:val="0"/>
                <w:szCs w:val="21"/>
              </w:rPr>
              <w:t>02:00-02:45</w:t>
            </w:r>
          </w:p>
        </w:tc>
        <w:tc>
          <w:tcPr>
            <w:tcW w:w="1068" w:type="dxa"/>
            <w:vAlign w:val="center"/>
          </w:tcPr>
          <w:p w:rsidR="00475650" w:rsidRDefault="00475650">
            <w:pPr>
              <w:jc w:val="center"/>
              <w:rPr>
                <w:kern w:val="0"/>
                <w:szCs w:val="21"/>
              </w:rPr>
            </w:pPr>
            <w:r>
              <w:rPr>
                <w:kern w:val="0"/>
                <w:szCs w:val="21"/>
              </w:rPr>
              <w:t>17.5</w:t>
            </w:r>
          </w:p>
        </w:tc>
        <w:tc>
          <w:tcPr>
            <w:tcW w:w="1069" w:type="dxa"/>
            <w:vAlign w:val="center"/>
          </w:tcPr>
          <w:p w:rsidR="00475650" w:rsidRDefault="00475650">
            <w:pPr>
              <w:jc w:val="center"/>
              <w:rPr>
                <w:kern w:val="0"/>
                <w:szCs w:val="21"/>
              </w:rPr>
            </w:pPr>
            <w:r>
              <w:rPr>
                <w:kern w:val="0"/>
                <w:szCs w:val="21"/>
              </w:rPr>
              <w:t>100.9</w:t>
            </w:r>
          </w:p>
        </w:tc>
        <w:tc>
          <w:tcPr>
            <w:tcW w:w="1068" w:type="dxa"/>
            <w:vAlign w:val="center"/>
          </w:tcPr>
          <w:p w:rsidR="00475650" w:rsidRDefault="00475650">
            <w:pPr>
              <w:jc w:val="center"/>
              <w:rPr>
                <w:kern w:val="0"/>
                <w:szCs w:val="21"/>
              </w:rPr>
            </w:pPr>
            <w:r>
              <w:rPr>
                <w:kern w:val="0"/>
                <w:szCs w:val="21"/>
              </w:rPr>
              <w:t>80.9</w:t>
            </w:r>
          </w:p>
        </w:tc>
        <w:tc>
          <w:tcPr>
            <w:tcW w:w="1068" w:type="dxa"/>
            <w:vAlign w:val="center"/>
          </w:tcPr>
          <w:p w:rsidR="00475650" w:rsidRDefault="00475650">
            <w:pPr>
              <w:jc w:val="center"/>
              <w:rPr>
                <w:szCs w:val="21"/>
              </w:rPr>
            </w:pPr>
            <w:r>
              <w:rPr>
                <w:szCs w:val="21"/>
              </w:rPr>
              <w:t>1.134</w:t>
            </w:r>
          </w:p>
        </w:tc>
        <w:tc>
          <w:tcPr>
            <w:tcW w:w="1069" w:type="dxa"/>
            <w:vAlign w:val="center"/>
          </w:tcPr>
          <w:p w:rsidR="00475650" w:rsidRDefault="00475650">
            <w:pPr>
              <w:jc w:val="center"/>
              <w:rPr>
                <w:szCs w:val="21"/>
              </w:rPr>
            </w:pPr>
            <w:r>
              <w:rPr>
                <w:szCs w:val="21"/>
              </w:rPr>
              <w:t>NNE</w:t>
            </w:r>
          </w:p>
        </w:tc>
      </w:tr>
      <w:tr w:rsidR="00475650">
        <w:trPr>
          <w:trHeight w:hRule="exact" w:val="312"/>
          <w:jc w:val="center"/>
        </w:trPr>
        <w:tc>
          <w:tcPr>
            <w:tcW w:w="618" w:type="dxa"/>
            <w:vMerge/>
            <w:vAlign w:val="center"/>
          </w:tcPr>
          <w:p w:rsidR="00475650" w:rsidRDefault="00475650">
            <w:pPr>
              <w:jc w:val="center"/>
              <w:rPr>
                <w:szCs w:val="21"/>
              </w:rPr>
            </w:pPr>
          </w:p>
        </w:tc>
        <w:tc>
          <w:tcPr>
            <w:tcW w:w="1080" w:type="dxa"/>
            <w:vMerge/>
            <w:vAlign w:val="center"/>
          </w:tcPr>
          <w:p w:rsidR="00475650" w:rsidRDefault="00475650">
            <w:pPr>
              <w:spacing w:line="240" w:lineRule="atLeast"/>
              <w:jc w:val="center"/>
              <w:rPr>
                <w:b/>
                <w:szCs w:val="21"/>
              </w:rPr>
            </w:pPr>
          </w:p>
        </w:tc>
        <w:tc>
          <w:tcPr>
            <w:tcW w:w="1428" w:type="dxa"/>
            <w:vAlign w:val="center"/>
          </w:tcPr>
          <w:p w:rsidR="00475650" w:rsidRDefault="00475650">
            <w:pPr>
              <w:jc w:val="center"/>
              <w:rPr>
                <w:kern w:val="0"/>
                <w:szCs w:val="21"/>
              </w:rPr>
            </w:pPr>
            <w:r>
              <w:rPr>
                <w:kern w:val="0"/>
                <w:szCs w:val="21"/>
              </w:rPr>
              <w:t>08:00-08:45</w:t>
            </w:r>
          </w:p>
        </w:tc>
        <w:tc>
          <w:tcPr>
            <w:tcW w:w="1068" w:type="dxa"/>
            <w:vAlign w:val="center"/>
          </w:tcPr>
          <w:p w:rsidR="00475650" w:rsidRDefault="00475650">
            <w:pPr>
              <w:jc w:val="center"/>
              <w:rPr>
                <w:kern w:val="0"/>
                <w:szCs w:val="21"/>
              </w:rPr>
            </w:pPr>
            <w:r>
              <w:rPr>
                <w:kern w:val="0"/>
                <w:szCs w:val="21"/>
              </w:rPr>
              <w:t>19.1</w:t>
            </w:r>
          </w:p>
        </w:tc>
        <w:tc>
          <w:tcPr>
            <w:tcW w:w="1069" w:type="dxa"/>
            <w:vAlign w:val="center"/>
          </w:tcPr>
          <w:p w:rsidR="00475650" w:rsidRDefault="00475650">
            <w:pPr>
              <w:jc w:val="center"/>
              <w:rPr>
                <w:kern w:val="0"/>
                <w:szCs w:val="21"/>
              </w:rPr>
            </w:pPr>
            <w:r>
              <w:rPr>
                <w:kern w:val="0"/>
                <w:szCs w:val="21"/>
              </w:rPr>
              <w:t>99.5</w:t>
            </w:r>
          </w:p>
        </w:tc>
        <w:tc>
          <w:tcPr>
            <w:tcW w:w="1068" w:type="dxa"/>
            <w:vAlign w:val="center"/>
          </w:tcPr>
          <w:p w:rsidR="00475650" w:rsidRDefault="00475650">
            <w:pPr>
              <w:jc w:val="center"/>
              <w:rPr>
                <w:kern w:val="0"/>
                <w:szCs w:val="21"/>
              </w:rPr>
            </w:pPr>
            <w:r>
              <w:rPr>
                <w:kern w:val="0"/>
                <w:szCs w:val="21"/>
              </w:rPr>
              <w:t>78.5</w:t>
            </w:r>
          </w:p>
        </w:tc>
        <w:tc>
          <w:tcPr>
            <w:tcW w:w="1068" w:type="dxa"/>
            <w:vAlign w:val="center"/>
          </w:tcPr>
          <w:p w:rsidR="00475650" w:rsidRDefault="00475650">
            <w:pPr>
              <w:jc w:val="center"/>
              <w:rPr>
                <w:szCs w:val="21"/>
              </w:rPr>
            </w:pPr>
            <w:r>
              <w:rPr>
                <w:kern w:val="0"/>
                <w:szCs w:val="21"/>
              </w:rPr>
              <w:t>0.817</w:t>
            </w:r>
          </w:p>
        </w:tc>
        <w:tc>
          <w:tcPr>
            <w:tcW w:w="1069" w:type="dxa"/>
            <w:vAlign w:val="center"/>
          </w:tcPr>
          <w:p w:rsidR="00475650" w:rsidRDefault="00475650">
            <w:pPr>
              <w:jc w:val="center"/>
              <w:rPr>
                <w:szCs w:val="21"/>
              </w:rPr>
            </w:pPr>
            <w:r>
              <w:rPr>
                <w:szCs w:val="21"/>
              </w:rPr>
              <w:t>NNE</w:t>
            </w:r>
          </w:p>
        </w:tc>
      </w:tr>
      <w:tr w:rsidR="00475650">
        <w:trPr>
          <w:trHeight w:hRule="exact" w:val="312"/>
          <w:jc w:val="center"/>
        </w:trPr>
        <w:tc>
          <w:tcPr>
            <w:tcW w:w="618" w:type="dxa"/>
            <w:vMerge/>
            <w:vAlign w:val="center"/>
          </w:tcPr>
          <w:p w:rsidR="00475650" w:rsidRDefault="00475650">
            <w:pPr>
              <w:jc w:val="center"/>
              <w:rPr>
                <w:szCs w:val="21"/>
              </w:rPr>
            </w:pPr>
          </w:p>
        </w:tc>
        <w:tc>
          <w:tcPr>
            <w:tcW w:w="1080" w:type="dxa"/>
            <w:vMerge/>
            <w:vAlign w:val="center"/>
          </w:tcPr>
          <w:p w:rsidR="00475650" w:rsidRDefault="00475650">
            <w:pPr>
              <w:spacing w:line="240" w:lineRule="atLeast"/>
              <w:jc w:val="center"/>
              <w:rPr>
                <w:b/>
                <w:szCs w:val="21"/>
              </w:rPr>
            </w:pPr>
          </w:p>
        </w:tc>
        <w:tc>
          <w:tcPr>
            <w:tcW w:w="1428" w:type="dxa"/>
            <w:vAlign w:val="center"/>
          </w:tcPr>
          <w:p w:rsidR="00475650" w:rsidRDefault="00475650">
            <w:pPr>
              <w:jc w:val="center"/>
              <w:rPr>
                <w:kern w:val="0"/>
                <w:szCs w:val="21"/>
              </w:rPr>
            </w:pPr>
            <w:r>
              <w:rPr>
                <w:kern w:val="0"/>
                <w:szCs w:val="21"/>
              </w:rPr>
              <w:t>14:00-14:45</w:t>
            </w:r>
            <w:r>
              <w:rPr>
                <w:szCs w:val="20"/>
              </w:rPr>
              <w:t xml:space="preserve"> </w:t>
            </w:r>
            <w:r>
              <w:rPr>
                <w:kern w:val="0"/>
                <w:szCs w:val="21"/>
              </w:rPr>
              <w:t>20:00-20:45</w:t>
            </w:r>
          </w:p>
        </w:tc>
        <w:tc>
          <w:tcPr>
            <w:tcW w:w="1068" w:type="dxa"/>
            <w:vAlign w:val="center"/>
          </w:tcPr>
          <w:p w:rsidR="00475650" w:rsidRDefault="00475650">
            <w:pPr>
              <w:jc w:val="center"/>
              <w:rPr>
                <w:kern w:val="0"/>
                <w:szCs w:val="21"/>
              </w:rPr>
            </w:pPr>
            <w:r>
              <w:rPr>
                <w:kern w:val="0"/>
                <w:szCs w:val="21"/>
              </w:rPr>
              <w:t>23.9</w:t>
            </w:r>
          </w:p>
        </w:tc>
        <w:tc>
          <w:tcPr>
            <w:tcW w:w="1069" w:type="dxa"/>
            <w:vAlign w:val="center"/>
          </w:tcPr>
          <w:p w:rsidR="00475650" w:rsidRDefault="00475650">
            <w:pPr>
              <w:jc w:val="center"/>
              <w:rPr>
                <w:kern w:val="0"/>
                <w:szCs w:val="21"/>
              </w:rPr>
            </w:pPr>
            <w:r>
              <w:rPr>
                <w:kern w:val="0"/>
                <w:szCs w:val="21"/>
              </w:rPr>
              <w:t>99.4</w:t>
            </w:r>
          </w:p>
        </w:tc>
        <w:tc>
          <w:tcPr>
            <w:tcW w:w="1068" w:type="dxa"/>
            <w:vAlign w:val="center"/>
          </w:tcPr>
          <w:p w:rsidR="00475650" w:rsidRDefault="00475650">
            <w:pPr>
              <w:jc w:val="center"/>
              <w:rPr>
                <w:kern w:val="0"/>
                <w:szCs w:val="21"/>
              </w:rPr>
            </w:pPr>
            <w:r>
              <w:rPr>
                <w:kern w:val="0"/>
                <w:szCs w:val="21"/>
              </w:rPr>
              <w:t>76.9</w:t>
            </w:r>
          </w:p>
        </w:tc>
        <w:tc>
          <w:tcPr>
            <w:tcW w:w="1068" w:type="dxa"/>
            <w:vAlign w:val="center"/>
          </w:tcPr>
          <w:p w:rsidR="00475650" w:rsidRDefault="00475650">
            <w:pPr>
              <w:jc w:val="center"/>
              <w:rPr>
                <w:szCs w:val="21"/>
              </w:rPr>
            </w:pPr>
            <w:r>
              <w:rPr>
                <w:szCs w:val="21"/>
              </w:rPr>
              <w:t>0.594</w:t>
            </w:r>
          </w:p>
        </w:tc>
        <w:tc>
          <w:tcPr>
            <w:tcW w:w="1069" w:type="dxa"/>
            <w:vAlign w:val="center"/>
          </w:tcPr>
          <w:p w:rsidR="00475650" w:rsidRDefault="00475650">
            <w:pPr>
              <w:jc w:val="center"/>
              <w:rPr>
                <w:szCs w:val="21"/>
              </w:rPr>
            </w:pPr>
            <w:r>
              <w:rPr>
                <w:szCs w:val="21"/>
              </w:rPr>
              <w:t>NE</w:t>
            </w:r>
          </w:p>
        </w:tc>
      </w:tr>
      <w:tr w:rsidR="00475650">
        <w:trPr>
          <w:trHeight w:hRule="exact" w:val="312"/>
          <w:jc w:val="center"/>
        </w:trPr>
        <w:tc>
          <w:tcPr>
            <w:tcW w:w="618" w:type="dxa"/>
            <w:vMerge/>
            <w:vAlign w:val="center"/>
          </w:tcPr>
          <w:p w:rsidR="00475650" w:rsidRDefault="00475650">
            <w:pPr>
              <w:jc w:val="center"/>
              <w:rPr>
                <w:szCs w:val="21"/>
              </w:rPr>
            </w:pPr>
          </w:p>
        </w:tc>
        <w:tc>
          <w:tcPr>
            <w:tcW w:w="1080" w:type="dxa"/>
            <w:vMerge/>
            <w:vAlign w:val="center"/>
          </w:tcPr>
          <w:p w:rsidR="00475650" w:rsidRDefault="00475650">
            <w:pPr>
              <w:spacing w:line="240" w:lineRule="atLeast"/>
              <w:jc w:val="center"/>
              <w:rPr>
                <w:b/>
                <w:szCs w:val="21"/>
              </w:rPr>
            </w:pPr>
          </w:p>
        </w:tc>
        <w:tc>
          <w:tcPr>
            <w:tcW w:w="1428" w:type="dxa"/>
            <w:vAlign w:val="center"/>
          </w:tcPr>
          <w:p w:rsidR="00475650" w:rsidRDefault="00475650">
            <w:pPr>
              <w:jc w:val="center"/>
              <w:rPr>
                <w:szCs w:val="21"/>
              </w:rPr>
            </w:pPr>
            <w:r>
              <w:rPr>
                <w:szCs w:val="21"/>
              </w:rPr>
              <w:t>20:00-20:45</w:t>
            </w:r>
          </w:p>
        </w:tc>
        <w:tc>
          <w:tcPr>
            <w:tcW w:w="1068" w:type="dxa"/>
            <w:vAlign w:val="center"/>
          </w:tcPr>
          <w:p w:rsidR="00475650" w:rsidRDefault="00475650">
            <w:pPr>
              <w:jc w:val="center"/>
              <w:rPr>
                <w:kern w:val="0"/>
                <w:szCs w:val="21"/>
              </w:rPr>
            </w:pPr>
            <w:r>
              <w:rPr>
                <w:kern w:val="0"/>
                <w:szCs w:val="21"/>
              </w:rPr>
              <w:t>20.9</w:t>
            </w:r>
          </w:p>
        </w:tc>
        <w:tc>
          <w:tcPr>
            <w:tcW w:w="1069" w:type="dxa"/>
            <w:vAlign w:val="center"/>
          </w:tcPr>
          <w:p w:rsidR="00475650" w:rsidRDefault="00475650">
            <w:pPr>
              <w:jc w:val="center"/>
              <w:rPr>
                <w:kern w:val="0"/>
                <w:szCs w:val="21"/>
              </w:rPr>
            </w:pPr>
            <w:r>
              <w:rPr>
                <w:kern w:val="0"/>
                <w:szCs w:val="21"/>
              </w:rPr>
              <w:t>99.9</w:t>
            </w:r>
          </w:p>
        </w:tc>
        <w:tc>
          <w:tcPr>
            <w:tcW w:w="1068" w:type="dxa"/>
            <w:vAlign w:val="center"/>
          </w:tcPr>
          <w:p w:rsidR="00475650" w:rsidRDefault="00475650">
            <w:pPr>
              <w:jc w:val="center"/>
              <w:rPr>
                <w:kern w:val="0"/>
                <w:szCs w:val="21"/>
              </w:rPr>
            </w:pPr>
            <w:r>
              <w:rPr>
                <w:kern w:val="0"/>
                <w:szCs w:val="21"/>
              </w:rPr>
              <w:t>81.2</w:t>
            </w:r>
          </w:p>
        </w:tc>
        <w:tc>
          <w:tcPr>
            <w:tcW w:w="1068" w:type="dxa"/>
            <w:vAlign w:val="center"/>
          </w:tcPr>
          <w:p w:rsidR="00475650" w:rsidRDefault="00475650">
            <w:pPr>
              <w:jc w:val="center"/>
              <w:rPr>
                <w:szCs w:val="21"/>
              </w:rPr>
            </w:pPr>
            <w:r>
              <w:rPr>
                <w:szCs w:val="21"/>
              </w:rPr>
              <w:t>0.945</w:t>
            </w:r>
          </w:p>
        </w:tc>
        <w:tc>
          <w:tcPr>
            <w:tcW w:w="1069" w:type="dxa"/>
            <w:vAlign w:val="center"/>
          </w:tcPr>
          <w:p w:rsidR="00475650" w:rsidRDefault="00475650">
            <w:pPr>
              <w:jc w:val="center"/>
              <w:rPr>
                <w:szCs w:val="21"/>
              </w:rPr>
            </w:pPr>
            <w:r>
              <w:rPr>
                <w:szCs w:val="21"/>
              </w:rPr>
              <w:t>NNW</w:t>
            </w:r>
          </w:p>
        </w:tc>
      </w:tr>
      <w:tr w:rsidR="00475650">
        <w:trPr>
          <w:trHeight w:hRule="exact" w:val="312"/>
          <w:jc w:val="center"/>
        </w:trPr>
        <w:tc>
          <w:tcPr>
            <w:tcW w:w="618" w:type="dxa"/>
            <w:vMerge/>
            <w:vAlign w:val="center"/>
          </w:tcPr>
          <w:p w:rsidR="00475650" w:rsidRDefault="00475650">
            <w:pPr>
              <w:jc w:val="center"/>
              <w:rPr>
                <w:szCs w:val="21"/>
              </w:rPr>
            </w:pPr>
          </w:p>
        </w:tc>
        <w:tc>
          <w:tcPr>
            <w:tcW w:w="1080" w:type="dxa"/>
            <w:vMerge w:val="restart"/>
            <w:vAlign w:val="center"/>
          </w:tcPr>
          <w:p w:rsidR="00475650" w:rsidRDefault="00475650">
            <w:pPr>
              <w:spacing w:line="240" w:lineRule="atLeast"/>
              <w:jc w:val="center"/>
              <w:rPr>
                <w:szCs w:val="21"/>
              </w:rPr>
            </w:pPr>
            <w:r>
              <w:rPr>
                <w:szCs w:val="21"/>
              </w:rPr>
              <w:t>2014.4.10</w:t>
            </w:r>
          </w:p>
        </w:tc>
        <w:tc>
          <w:tcPr>
            <w:tcW w:w="1428" w:type="dxa"/>
            <w:vAlign w:val="center"/>
          </w:tcPr>
          <w:p w:rsidR="00475650" w:rsidRDefault="00475650">
            <w:pPr>
              <w:jc w:val="center"/>
              <w:rPr>
                <w:kern w:val="0"/>
                <w:szCs w:val="21"/>
              </w:rPr>
            </w:pPr>
            <w:r>
              <w:rPr>
                <w:kern w:val="0"/>
                <w:szCs w:val="21"/>
              </w:rPr>
              <w:t>02:00-02:45</w:t>
            </w:r>
          </w:p>
        </w:tc>
        <w:tc>
          <w:tcPr>
            <w:tcW w:w="1068" w:type="dxa"/>
            <w:vAlign w:val="center"/>
          </w:tcPr>
          <w:p w:rsidR="00475650" w:rsidRDefault="00475650">
            <w:pPr>
              <w:jc w:val="center"/>
              <w:rPr>
                <w:kern w:val="0"/>
                <w:szCs w:val="21"/>
              </w:rPr>
            </w:pPr>
            <w:r>
              <w:rPr>
                <w:kern w:val="0"/>
                <w:szCs w:val="21"/>
              </w:rPr>
              <w:t>17.9</w:t>
            </w:r>
          </w:p>
        </w:tc>
        <w:tc>
          <w:tcPr>
            <w:tcW w:w="1069" w:type="dxa"/>
            <w:vAlign w:val="center"/>
          </w:tcPr>
          <w:p w:rsidR="00475650" w:rsidRDefault="00475650">
            <w:pPr>
              <w:jc w:val="center"/>
              <w:rPr>
                <w:kern w:val="0"/>
                <w:szCs w:val="21"/>
              </w:rPr>
            </w:pPr>
            <w:r>
              <w:rPr>
                <w:kern w:val="0"/>
                <w:szCs w:val="21"/>
              </w:rPr>
              <w:t>100.3</w:t>
            </w:r>
          </w:p>
        </w:tc>
        <w:tc>
          <w:tcPr>
            <w:tcW w:w="1068" w:type="dxa"/>
            <w:vAlign w:val="center"/>
          </w:tcPr>
          <w:p w:rsidR="00475650" w:rsidRDefault="00475650">
            <w:pPr>
              <w:jc w:val="center"/>
              <w:rPr>
                <w:kern w:val="0"/>
                <w:szCs w:val="21"/>
              </w:rPr>
            </w:pPr>
            <w:r>
              <w:rPr>
                <w:kern w:val="0"/>
                <w:szCs w:val="21"/>
              </w:rPr>
              <w:t>79.1</w:t>
            </w:r>
          </w:p>
        </w:tc>
        <w:tc>
          <w:tcPr>
            <w:tcW w:w="1068" w:type="dxa"/>
            <w:vAlign w:val="center"/>
          </w:tcPr>
          <w:p w:rsidR="00475650" w:rsidRDefault="00475650">
            <w:pPr>
              <w:jc w:val="center"/>
              <w:rPr>
                <w:szCs w:val="21"/>
              </w:rPr>
            </w:pPr>
            <w:r>
              <w:rPr>
                <w:szCs w:val="21"/>
              </w:rPr>
              <w:t>1.215</w:t>
            </w:r>
          </w:p>
        </w:tc>
        <w:tc>
          <w:tcPr>
            <w:tcW w:w="1069" w:type="dxa"/>
            <w:vAlign w:val="center"/>
          </w:tcPr>
          <w:p w:rsidR="00475650" w:rsidRDefault="00475650">
            <w:pPr>
              <w:jc w:val="center"/>
              <w:rPr>
                <w:szCs w:val="21"/>
              </w:rPr>
            </w:pPr>
            <w:r>
              <w:rPr>
                <w:szCs w:val="21"/>
              </w:rPr>
              <w:t>NNW</w:t>
            </w:r>
          </w:p>
        </w:tc>
      </w:tr>
      <w:tr w:rsidR="00475650">
        <w:trPr>
          <w:trHeight w:hRule="exact" w:val="312"/>
          <w:jc w:val="center"/>
        </w:trPr>
        <w:tc>
          <w:tcPr>
            <w:tcW w:w="618" w:type="dxa"/>
            <w:vMerge/>
            <w:vAlign w:val="center"/>
          </w:tcPr>
          <w:p w:rsidR="00475650" w:rsidRDefault="00475650">
            <w:pPr>
              <w:jc w:val="center"/>
              <w:rPr>
                <w:szCs w:val="21"/>
              </w:rPr>
            </w:pPr>
          </w:p>
        </w:tc>
        <w:tc>
          <w:tcPr>
            <w:tcW w:w="1080" w:type="dxa"/>
            <w:vMerge/>
            <w:vAlign w:val="center"/>
          </w:tcPr>
          <w:p w:rsidR="00475650" w:rsidRDefault="00475650">
            <w:pPr>
              <w:spacing w:line="240" w:lineRule="atLeast"/>
              <w:jc w:val="center"/>
              <w:rPr>
                <w:b/>
                <w:szCs w:val="21"/>
              </w:rPr>
            </w:pPr>
          </w:p>
        </w:tc>
        <w:tc>
          <w:tcPr>
            <w:tcW w:w="1428" w:type="dxa"/>
            <w:vAlign w:val="center"/>
          </w:tcPr>
          <w:p w:rsidR="00475650" w:rsidRDefault="00475650">
            <w:pPr>
              <w:jc w:val="center"/>
              <w:rPr>
                <w:kern w:val="0"/>
                <w:szCs w:val="21"/>
              </w:rPr>
            </w:pPr>
            <w:r>
              <w:rPr>
                <w:kern w:val="0"/>
                <w:szCs w:val="21"/>
              </w:rPr>
              <w:t>08:00-08:45</w:t>
            </w:r>
          </w:p>
        </w:tc>
        <w:tc>
          <w:tcPr>
            <w:tcW w:w="1068" w:type="dxa"/>
            <w:vAlign w:val="center"/>
          </w:tcPr>
          <w:p w:rsidR="00475650" w:rsidRDefault="00475650">
            <w:pPr>
              <w:jc w:val="center"/>
              <w:rPr>
                <w:kern w:val="0"/>
                <w:szCs w:val="21"/>
              </w:rPr>
            </w:pPr>
            <w:r>
              <w:rPr>
                <w:kern w:val="0"/>
                <w:szCs w:val="21"/>
              </w:rPr>
              <w:t>20.1</w:t>
            </w:r>
          </w:p>
        </w:tc>
        <w:tc>
          <w:tcPr>
            <w:tcW w:w="1069" w:type="dxa"/>
            <w:vAlign w:val="center"/>
          </w:tcPr>
          <w:p w:rsidR="00475650" w:rsidRDefault="00475650">
            <w:pPr>
              <w:jc w:val="center"/>
              <w:rPr>
                <w:kern w:val="0"/>
                <w:szCs w:val="21"/>
              </w:rPr>
            </w:pPr>
            <w:r>
              <w:rPr>
                <w:kern w:val="0"/>
                <w:szCs w:val="21"/>
              </w:rPr>
              <w:t>99.6</w:t>
            </w:r>
          </w:p>
        </w:tc>
        <w:tc>
          <w:tcPr>
            <w:tcW w:w="1068" w:type="dxa"/>
            <w:vAlign w:val="center"/>
          </w:tcPr>
          <w:p w:rsidR="00475650" w:rsidRDefault="00475650">
            <w:pPr>
              <w:jc w:val="center"/>
              <w:rPr>
                <w:kern w:val="0"/>
                <w:szCs w:val="21"/>
              </w:rPr>
            </w:pPr>
            <w:r>
              <w:rPr>
                <w:kern w:val="0"/>
                <w:szCs w:val="21"/>
              </w:rPr>
              <w:t>77.3</w:t>
            </w:r>
          </w:p>
        </w:tc>
        <w:tc>
          <w:tcPr>
            <w:tcW w:w="1068" w:type="dxa"/>
            <w:vAlign w:val="center"/>
          </w:tcPr>
          <w:p w:rsidR="00475650" w:rsidRDefault="00475650">
            <w:pPr>
              <w:jc w:val="center"/>
              <w:rPr>
                <w:szCs w:val="21"/>
              </w:rPr>
            </w:pPr>
            <w:r>
              <w:rPr>
                <w:szCs w:val="21"/>
              </w:rPr>
              <w:t>0.923</w:t>
            </w:r>
          </w:p>
        </w:tc>
        <w:tc>
          <w:tcPr>
            <w:tcW w:w="1069" w:type="dxa"/>
            <w:vAlign w:val="center"/>
          </w:tcPr>
          <w:p w:rsidR="00475650" w:rsidRDefault="00475650">
            <w:pPr>
              <w:jc w:val="center"/>
              <w:rPr>
                <w:szCs w:val="21"/>
              </w:rPr>
            </w:pPr>
            <w:r>
              <w:rPr>
                <w:szCs w:val="21"/>
              </w:rPr>
              <w:t>NW</w:t>
            </w:r>
          </w:p>
        </w:tc>
      </w:tr>
      <w:tr w:rsidR="00475650">
        <w:trPr>
          <w:trHeight w:hRule="exact" w:val="312"/>
          <w:jc w:val="center"/>
        </w:trPr>
        <w:tc>
          <w:tcPr>
            <w:tcW w:w="618" w:type="dxa"/>
            <w:vMerge/>
            <w:vAlign w:val="center"/>
          </w:tcPr>
          <w:p w:rsidR="00475650" w:rsidRDefault="00475650">
            <w:pPr>
              <w:jc w:val="center"/>
              <w:rPr>
                <w:szCs w:val="21"/>
              </w:rPr>
            </w:pPr>
          </w:p>
        </w:tc>
        <w:tc>
          <w:tcPr>
            <w:tcW w:w="1080" w:type="dxa"/>
            <w:vMerge/>
            <w:vAlign w:val="center"/>
          </w:tcPr>
          <w:p w:rsidR="00475650" w:rsidRDefault="00475650">
            <w:pPr>
              <w:spacing w:line="240" w:lineRule="atLeast"/>
              <w:jc w:val="center"/>
              <w:rPr>
                <w:b/>
                <w:szCs w:val="21"/>
              </w:rPr>
            </w:pPr>
          </w:p>
        </w:tc>
        <w:tc>
          <w:tcPr>
            <w:tcW w:w="1428" w:type="dxa"/>
            <w:vAlign w:val="center"/>
          </w:tcPr>
          <w:p w:rsidR="00475650" w:rsidRDefault="00475650">
            <w:pPr>
              <w:jc w:val="center"/>
              <w:rPr>
                <w:kern w:val="0"/>
                <w:szCs w:val="21"/>
              </w:rPr>
            </w:pPr>
            <w:r>
              <w:rPr>
                <w:kern w:val="0"/>
                <w:szCs w:val="21"/>
              </w:rPr>
              <w:t>14:00-14:45</w:t>
            </w:r>
            <w:r>
              <w:rPr>
                <w:szCs w:val="20"/>
              </w:rPr>
              <w:t xml:space="preserve"> </w:t>
            </w:r>
            <w:r>
              <w:rPr>
                <w:kern w:val="0"/>
                <w:szCs w:val="21"/>
              </w:rPr>
              <w:t>20:00-20:45</w:t>
            </w:r>
          </w:p>
        </w:tc>
        <w:tc>
          <w:tcPr>
            <w:tcW w:w="1068" w:type="dxa"/>
            <w:vAlign w:val="center"/>
          </w:tcPr>
          <w:p w:rsidR="00475650" w:rsidRDefault="00475650">
            <w:pPr>
              <w:jc w:val="center"/>
              <w:rPr>
                <w:kern w:val="0"/>
                <w:szCs w:val="21"/>
              </w:rPr>
            </w:pPr>
            <w:r>
              <w:rPr>
                <w:kern w:val="0"/>
                <w:szCs w:val="21"/>
              </w:rPr>
              <w:t>21.9</w:t>
            </w:r>
          </w:p>
        </w:tc>
        <w:tc>
          <w:tcPr>
            <w:tcW w:w="1069" w:type="dxa"/>
            <w:vAlign w:val="center"/>
          </w:tcPr>
          <w:p w:rsidR="00475650" w:rsidRDefault="00475650">
            <w:pPr>
              <w:jc w:val="center"/>
              <w:rPr>
                <w:kern w:val="0"/>
                <w:szCs w:val="21"/>
              </w:rPr>
            </w:pPr>
            <w:r>
              <w:rPr>
                <w:kern w:val="0"/>
                <w:szCs w:val="21"/>
              </w:rPr>
              <w:t>99.3</w:t>
            </w:r>
          </w:p>
        </w:tc>
        <w:tc>
          <w:tcPr>
            <w:tcW w:w="1068" w:type="dxa"/>
            <w:vAlign w:val="center"/>
          </w:tcPr>
          <w:p w:rsidR="00475650" w:rsidRDefault="00475650">
            <w:pPr>
              <w:jc w:val="center"/>
              <w:rPr>
                <w:kern w:val="0"/>
                <w:szCs w:val="21"/>
              </w:rPr>
            </w:pPr>
            <w:r>
              <w:rPr>
                <w:kern w:val="0"/>
                <w:szCs w:val="21"/>
              </w:rPr>
              <w:t>75.9</w:t>
            </w:r>
          </w:p>
        </w:tc>
        <w:tc>
          <w:tcPr>
            <w:tcW w:w="1068" w:type="dxa"/>
            <w:vAlign w:val="center"/>
          </w:tcPr>
          <w:p w:rsidR="00475650" w:rsidRDefault="00475650">
            <w:pPr>
              <w:jc w:val="center"/>
              <w:rPr>
                <w:szCs w:val="21"/>
              </w:rPr>
            </w:pPr>
            <w:r>
              <w:rPr>
                <w:szCs w:val="21"/>
              </w:rPr>
              <w:t>0.875</w:t>
            </w:r>
          </w:p>
        </w:tc>
        <w:tc>
          <w:tcPr>
            <w:tcW w:w="1069" w:type="dxa"/>
            <w:vAlign w:val="center"/>
          </w:tcPr>
          <w:p w:rsidR="00475650" w:rsidRDefault="00475650">
            <w:pPr>
              <w:jc w:val="center"/>
              <w:rPr>
                <w:szCs w:val="21"/>
              </w:rPr>
            </w:pPr>
            <w:r>
              <w:rPr>
                <w:szCs w:val="21"/>
              </w:rPr>
              <w:t>NE</w:t>
            </w:r>
          </w:p>
        </w:tc>
      </w:tr>
      <w:tr w:rsidR="00475650">
        <w:trPr>
          <w:trHeight w:hRule="exact" w:val="312"/>
          <w:jc w:val="center"/>
        </w:trPr>
        <w:tc>
          <w:tcPr>
            <w:tcW w:w="618" w:type="dxa"/>
            <w:vMerge/>
            <w:vAlign w:val="center"/>
          </w:tcPr>
          <w:p w:rsidR="00475650" w:rsidRDefault="00475650">
            <w:pPr>
              <w:jc w:val="center"/>
              <w:rPr>
                <w:szCs w:val="21"/>
              </w:rPr>
            </w:pPr>
          </w:p>
        </w:tc>
        <w:tc>
          <w:tcPr>
            <w:tcW w:w="1080" w:type="dxa"/>
            <w:vMerge/>
            <w:vAlign w:val="center"/>
          </w:tcPr>
          <w:p w:rsidR="00475650" w:rsidRDefault="00475650">
            <w:pPr>
              <w:spacing w:line="240" w:lineRule="atLeast"/>
              <w:jc w:val="center"/>
              <w:rPr>
                <w:b/>
                <w:szCs w:val="21"/>
              </w:rPr>
            </w:pPr>
          </w:p>
        </w:tc>
        <w:tc>
          <w:tcPr>
            <w:tcW w:w="1428" w:type="dxa"/>
            <w:vAlign w:val="center"/>
          </w:tcPr>
          <w:p w:rsidR="00475650" w:rsidRDefault="00475650">
            <w:pPr>
              <w:jc w:val="center"/>
              <w:rPr>
                <w:szCs w:val="21"/>
              </w:rPr>
            </w:pPr>
            <w:r>
              <w:rPr>
                <w:szCs w:val="21"/>
              </w:rPr>
              <w:t>20:00-20:45</w:t>
            </w:r>
          </w:p>
        </w:tc>
        <w:tc>
          <w:tcPr>
            <w:tcW w:w="1068" w:type="dxa"/>
            <w:vAlign w:val="center"/>
          </w:tcPr>
          <w:p w:rsidR="00475650" w:rsidRDefault="00475650">
            <w:pPr>
              <w:jc w:val="center"/>
              <w:rPr>
                <w:kern w:val="0"/>
                <w:szCs w:val="21"/>
              </w:rPr>
            </w:pPr>
            <w:r>
              <w:rPr>
                <w:kern w:val="0"/>
                <w:szCs w:val="21"/>
              </w:rPr>
              <w:t>18.3</w:t>
            </w:r>
          </w:p>
        </w:tc>
        <w:tc>
          <w:tcPr>
            <w:tcW w:w="1069" w:type="dxa"/>
            <w:vAlign w:val="center"/>
          </w:tcPr>
          <w:p w:rsidR="00475650" w:rsidRDefault="00475650">
            <w:pPr>
              <w:jc w:val="center"/>
              <w:rPr>
                <w:kern w:val="0"/>
                <w:szCs w:val="21"/>
              </w:rPr>
            </w:pPr>
            <w:r>
              <w:rPr>
                <w:kern w:val="0"/>
                <w:szCs w:val="21"/>
              </w:rPr>
              <w:t>99.8</w:t>
            </w:r>
          </w:p>
        </w:tc>
        <w:tc>
          <w:tcPr>
            <w:tcW w:w="1068" w:type="dxa"/>
            <w:vAlign w:val="center"/>
          </w:tcPr>
          <w:p w:rsidR="00475650" w:rsidRDefault="00475650">
            <w:pPr>
              <w:jc w:val="center"/>
              <w:rPr>
                <w:kern w:val="0"/>
                <w:szCs w:val="21"/>
              </w:rPr>
            </w:pPr>
            <w:r>
              <w:rPr>
                <w:kern w:val="0"/>
                <w:szCs w:val="21"/>
              </w:rPr>
              <w:t>78.7</w:t>
            </w:r>
          </w:p>
        </w:tc>
        <w:tc>
          <w:tcPr>
            <w:tcW w:w="1068" w:type="dxa"/>
            <w:vAlign w:val="center"/>
          </w:tcPr>
          <w:p w:rsidR="00475650" w:rsidRDefault="00475650">
            <w:pPr>
              <w:jc w:val="center"/>
              <w:rPr>
                <w:szCs w:val="21"/>
              </w:rPr>
            </w:pPr>
            <w:r>
              <w:rPr>
                <w:szCs w:val="21"/>
              </w:rPr>
              <w:t>0.988</w:t>
            </w:r>
          </w:p>
        </w:tc>
        <w:tc>
          <w:tcPr>
            <w:tcW w:w="1069" w:type="dxa"/>
            <w:vAlign w:val="center"/>
          </w:tcPr>
          <w:p w:rsidR="00475650" w:rsidRDefault="00475650">
            <w:pPr>
              <w:jc w:val="center"/>
              <w:rPr>
                <w:szCs w:val="21"/>
              </w:rPr>
            </w:pPr>
            <w:r>
              <w:rPr>
                <w:szCs w:val="21"/>
              </w:rPr>
              <w:t>NE</w:t>
            </w:r>
          </w:p>
        </w:tc>
      </w:tr>
      <w:tr w:rsidR="00475650">
        <w:trPr>
          <w:trHeight w:hRule="exact" w:val="312"/>
          <w:jc w:val="center"/>
        </w:trPr>
        <w:tc>
          <w:tcPr>
            <w:tcW w:w="618" w:type="dxa"/>
            <w:vMerge/>
            <w:vAlign w:val="center"/>
          </w:tcPr>
          <w:p w:rsidR="00475650" w:rsidRDefault="00475650">
            <w:pPr>
              <w:jc w:val="center"/>
              <w:rPr>
                <w:szCs w:val="21"/>
              </w:rPr>
            </w:pPr>
          </w:p>
        </w:tc>
        <w:tc>
          <w:tcPr>
            <w:tcW w:w="1080" w:type="dxa"/>
            <w:vMerge w:val="restart"/>
            <w:vAlign w:val="center"/>
          </w:tcPr>
          <w:p w:rsidR="00475650" w:rsidRDefault="00475650">
            <w:pPr>
              <w:spacing w:line="240" w:lineRule="atLeast"/>
              <w:jc w:val="center"/>
              <w:rPr>
                <w:szCs w:val="21"/>
              </w:rPr>
            </w:pPr>
            <w:r>
              <w:rPr>
                <w:szCs w:val="21"/>
              </w:rPr>
              <w:t>2014.4.11</w:t>
            </w:r>
          </w:p>
        </w:tc>
        <w:tc>
          <w:tcPr>
            <w:tcW w:w="1428" w:type="dxa"/>
            <w:vAlign w:val="center"/>
          </w:tcPr>
          <w:p w:rsidR="00475650" w:rsidRDefault="00475650">
            <w:pPr>
              <w:jc w:val="center"/>
              <w:rPr>
                <w:kern w:val="0"/>
                <w:szCs w:val="21"/>
              </w:rPr>
            </w:pPr>
            <w:r>
              <w:rPr>
                <w:kern w:val="0"/>
                <w:szCs w:val="21"/>
              </w:rPr>
              <w:t>02:00-02:45</w:t>
            </w:r>
          </w:p>
        </w:tc>
        <w:tc>
          <w:tcPr>
            <w:tcW w:w="1068" w:type="dxa"/>
            <w:vAlign w:val="center"/>
          </w:tcPr>
          <w:p w:rsidR="00475650" w:rsidRDefault="00475650">
            <w:pPr>
              <w:jc w:val="center"/>
              <w:rPr>
                <w:kern w:val="0"/>
                <w:szCs w:val="21"/>
              </w:rPr>
            </w:pPr>
            <w:r>
              <w:rPr>
                <w:kern w:val="0"/>
                <w:szCs w:val="21"/>
              </w:rPr>
              <w:t>16.9</w:t>
            </w:r>
          </w:p>
        </w:tc>
        <w:tc>
          <w:tcPr>
            <w:tcW w:w="1069" w:type="dxa"/>
            <w:vAlign w:val="center"/>
          </w:tcPr>
          <w:p w:rsidR="00475650" w:rsidRDefault="00475650">
            <w:pPr>
              <w:jc w:val="center"/>
              <w:rPr>
                <w:kern w:val="0"/>
                <w:szCs w:val="21"/>
              </w:rPr>
            </w:pPr>
            <w:r>
              <w:rPr>
                <w:kern w:val="0"/>
                <w:szCs w:val="21"/>
              </w:rPr>
              <w:t>100.4</w:t>
            </w:r>
          </w:p>
        </w:tc>
        <w:tc>
          <w:tcPr>
            <w:tcW w:w="1068" w:type="dxa"/>
            <w:vAlign w:val="center"/>
          </w:tcPr>
          <w:p w:rsidR="00475650" w:rsidRDefault="00475650">
            <w:pPr>
              <w:jc w:val="center"/>
              <w:rPr>
                <w:kern w:val="0"/>
                <w:szCs w:val="21"/>
              </w:rPr>
            </w:pPr>
            <w:r>
              <w:rPr>
                <w:kern w:val="0"/>
                <w:szCs w:val="21"/>
              </w:rPr>
              <w:t>79.6</w:t>
            </w:r>
          </w:p>
        </w:tc>
        <w:tc>
          <w:tcPr>
            <w:tcW w:w="1068" w:type="dxa"/>
            <w:vAlign w:val="center"/>
          </w:tcPr>
          <w:p w:rsidR="00475650" w:rsidRDefault="00475650">
            <w:pPr>
              <w:jc w:val="center"/>
              <w:rPr>
                <w:szCs w:val="21"/>
              </w:rPr>
            </w:pPr>
            <w:r>
              <w:rPr>
                <w:szCs w:val="21"/>
              </w:rPr>
              <w:t>0.946</w:t>
            </w:r>
          </w:p>
        </w:tc>
        <w:tc>
          <w:tcPr>
            <w:tcW w:w="1069" w:type="dxa"/>
            <w:vAlign w:val="center"/>
          </w:tcPr>
          <w:p w:rsidR="00475650" w:rsidRDefault="00475650">
            <w:pPr>
              <w:jc w:val="center"/>
              <w:rPr>
                <w:szCs w:val="21"/>
              </w:rPr>
            </w:pPr>
            <w:r>
              <w:rPr>
                <w:szCs w:val="21"/>
              </w:rPr>
              <w:t>NNE</w:t>
            </w:r>
          </w:p>
        </w:tc>
      </w:tr>
      <w:tr w:rsidR="00475650">
        <w:trPr>
          <w:trHeight w:hRule="exact" w:val="312"/>
          <w:jc w:val="center"/>
        </w:trPr>
        <w:tc>
          <w:tcPr>
            <w:tcW w:w="618" w:type="dxa"/>
            <w:vMerge/>
            <w:vAlign w:val="center"/>
          </w:tcPr>
          <w:p w:rsidR="00475650" w:rsidRDefault="00475650">
            <w:pPr>
              <w:jc w:val="center"/>
              <w:rPr>
                <w:szCs w:val="21"/>
              </w:rPr>
            </w:pPr>
          </w:p>
        </w:tc>
        <w:tc>
          <w:tcPr>
            <w:tcW w:w="1080" w:type="dxa"/>
            <w:vMerge/>
            <w:vAlign w:val="center"/>
          </w:tcPr>
          <w:p w:rsidR="00475650" w:rsidRDefault="00475650">
            <w:pPr>
              <w:spacing w:line="240" w:lineRule="atLeast"/>
              <w:jc w:val="center"/>
              <w:rPr>
                <w:b/>
                <w:szCs w:val="21"/>
              </w:rPr>
            </w:pPr>
          </w:p>
        </w:tc>
        <w:tc>
          <w:tcPr>
            <w:tcW w:w="1428" w:type="dxa"/>
            <w:vAlign w:val="center"/>
          </w:tcPr>
          <w:p w:rsidR="00475650" w:rsidRDefault="00475650">
            <w:pPr>
              <w:jc w:val="center"/>
              <w:rPr>
                <w:kern w:val="0"/>
                <w:szCs w:val="21"/>
              </w:rPr>
            </w:pPr>
            <w:r>
              <w:rPr>
                <w:kern w:val="0"/>
                <w:szCs w:val="21"/>
              </w:rPr>
              <w:t>08:00-08:45</w:t>
            </w:r>
          </w:p>
        </w:tc>
        <w:tc>
          <w:tcPr>
            <w:tcW w:w="1068" w:type="dxa"/>
            <w:vAlign w:val="center"/>
          </w:tcPr>
          <w:p w:rsidR="00475650" w:rsidRDefault="00475650">
            <w:pPr>
              <w:jc w:val="center"/>
              <w:rPr>
                <w:kern w:val="0"/>
                <w:szCs w:val="21"/>
              </w:rPr>
            </w:pPr>
            <w:r>
              <w:rPr>
                <w:kern w:val="0"/>
                <w:szCs w:val="21"/>
              </w:rPr>
              <w:t>18.6</w:t>
            </w:r>
          </w:p>
        </w:tc>
        <w:tc>
          <w:tcPr>
            <w:tcW w:w="1069" w:type="dxa"/>
            <w:vAlign w:val="center"/>
          </w:tcPr>
          <w:p w:rsidR="00475650" w:rsidRDefault="00475650">
            <w:pPr>
              <w:jc w:val="center"/>
              <w:rPr>
                <w:kern w:val="0"/>
                <w:szCs w:val="21"/>
              </w:rPr>
            </w:pPr>
            <w:r>
              <w:rPr>
                <w:kern w:val="0"/>
                <w:szCs w:val="21"/>
              </w:rPr>
              <w:t>99.8</w:t>
            </w:r>
          </w:p>
        </w:tc>
        <w:tc>
          <w:tcPr>
            <w:tcW w:w="1068" w:type="dxa"/>
            <w:vAlign w:val="center"/>
          </w:tcPr>
          <w:p w:rsidR="00475650" w:rsidRDefault="00475650">
            <w:pPr>
              <w:jc w:val="center"/>
              <w:rPr>
                <w:kern w:val="0"/>
                <w:szCs w:val="21"/>
              </w:rPr>
            </w:pPr>
            <w:r>
              <w:rPr>
                <w:kern w:val="0"/>
                <w:szCs w:val="21"/>
              </w:rPr>
              <w:t>78.5</w:t>
            </w:r>
          </w:p>
        </w:tc>
        <w:tc>
          <w:tcPr>
            <w:tcW w:w="1068" w:type="dxa"/>
            <w:vAlign w:val="center"/>
          </w:tcPr>
          <w:p w:rsidR="00475650" w:rsidRDefault="00475650">
            <w:pPr>
              <w:jc w:val="center"/>
              <w:rPr>
                <w:szCs w:val="21"/>
              </w:rPr>
            </w:pPr>
            <w:r>
              <w:rPr>
                <w:szCs w:val="21"/>
              </w:rPr>
              <w:t>0.847</w:t>
            </w:r>
          </w:p>
        </w:tc>
        <w:tc>
          <w:tcPr>
            <w:tcW w:w="1069" w:type="dxa"/>
            <w:vAlign w:val="center"/>
          </w:tcPr>
          <w:p w:rsidR="00475650" w:rsidRDefault="00475650">
            <w:pPr>
              <w:jc w:val="center"/>
              <w:rPr>
                <w:szCs w:val="21"/>
              </w:rPr>
            </w:pPr>
            <w:r>
              <w:rPr>
                <w:szCs w:val="21"/>
              </w:rPr>
              <w:t>NNE</w:t>
            </w:r>
          </w:p>
        </w:tc>
      </w:tr>
      <w:tr w:rsidR="00475650">
        <w:trPr>
          <w:trHeight w:hRule="exact" w:val="312"/>
          <w:jc w:val="center"/>
        </w:trPr>
        <w:tc>
          <w:tcPr>
            <w:tcW w:w="618" w:type="dxa"/>
            <w:vMerge/>
            <w:vAlign w:val="center"/>
          </w:tcPr>
          <w:p w:rsidR="00475650" w:rsidRDefault="00475650">
            <w:pPr>
              <w:jc w:val="center"/>
              <w:rPr>
                <w:szCs w:val="21"/>
              </w:rPr>
            </w:pPr>
          </w:p>
        </w:tc>
        <w:tc>
          <w:tcPr>
            <w:tcW w:w="1080" w:type="dxa"/>
            <w:vMerge/>
            <w:vAlign w:val="center"/>
          </w:tcPr>
          <w:p w:rsidR="00475650" w:rsidRDefault="00475650">
            <w:pPr>
              <w:spacing w:line="240" w:lineRule="atLeast"/>
              <w:jc w:val="center"/>
              <w:rPr>
                <w:b/>
                <w:szCs w:val="21"/>
              </w:rPr>
            </w:pPr>
          </w:p>
        </w:tc>
        <w:tc>
          <w:tcPr>
            <w:tcW w:w="1428" w:type="dxa"/>
            <w:vAlign w:val="center"/>
          </w:tcPr>
          <w:p w:rsidR="00475650" w:rsidRDefault="00475650">
            <w:pPr>
              <w:jc w:val="center"/>
              <w:rPr>
                <w:kern w:val="0"/>
                <w:szCs w:val="21"/>
              </w:rPr>
            </w:pPr>
            <w:r>
              <w:rPr>
                <w:kern w:val="0"/>
                <w:szCs w:val="21"/>
              </w:rPr>
              <w:t>14:00-14:45</w:t>
            </w:r>
            <w:r>
              <w:rPr>
                <w:szCs w:val="20"/>
              </w:rPr>
              <w:t xml:space="preserve"> </w:t>
            </w:r>
            <w:r>
              <w:rPr>
                <w:kern w:val="0"/>
                <w:szCs w:val="21"/>
              </w:rPr>
              <w:t>20:00-20:45</w:t>
            </w:r>
          </w:p>
        </w:tc>
        <w:tc>
          <w:tcPr>
            <w:tcW w:w="1068" w:type="dxa"/>
            <w:vAlign w:val="center"/>
          </w:tcPr>
          <w:p w:rsidR="00475650" w:rsidRDefault="00475650">
            <w:pPr>
              <w:jc w:val="center"/>
              <w:rPr>
                <w:kern w:val="0"/>
                <w:szCs w:val="21"/>
              </w:rPr>
            </w:pPr>
            <w:r>
              <w:rPr>
                <w:kern w:val="0"/>
                <w:szCs w:val="21"/>
              </w:rPr>
              <w:t>25.4</w:t>
            </w:r>
          </w:p>
        </w:tc>
        <w:tc>
          <w:tcPr>
            <w:tcW w:w="1069" w:type="dxa"/>
            <w:vAlign w:val="center"/>
          </w:tcPr>
          <w:p w:rsidR="00475650" w:rsidRDefault="00475650">
            <w:pPr>
              <w:jc w:val="center"/>
              <w:rPr>
                <w:kern w:val="0"/>
                <w:szCs w:val="21"/>
              </w:rPr>
            </w:pPr>
            <w:r>
              <w:rPr>
                <w:kern w:val="0"/>
                <w:szCs w:val="21"/>
              </w:rPr>
              <w:t>99.6</w:t>
            </w:r>
          </w:p>
        </w:tc>
        <w:tc>
          <w:tcPr>
            <w:tcW w:w="1068" w:type="dxa"/>
            <w:vAlign w:val="center"/>
          </w:tcPr>
          <w:p w:rsidR="00475650" w:rsidRDefault="00475650">
            <w:pPr>
              <w:jc w:val="center"/>
              <w:rPr>
                <w:kern w:val="0"/>
                <w:szCs w:val="21"/>
              </w:rPr>
            </w:pPr>
            <w:r>
              <w:rPr>
                <w:kern w:val="0"/>
                <w:szCs w:val="21"/>
              </w:rPr>
              <w:t>75.1</w:t>
            </w:r>
          </w:p>
        </w:tc>
        <w:tc>
          <w:tcPr>
            <w:tcW w:w="1068" w:type="dxa"/>
            <w:vAlign w:val="center"/>
          </w:tcPr>
          <w:p w:rsidR="00475650" w:rsidRDefault="00475650">
            <w:pPr>
              <w:jc w:val="center"/>
              <w:rPr>
                <w:szCs w:val="21"/>
              </w:rPr>
            </w:pPr>
            <w:r>
              <w:rPr>
                <w:szCs w:val="21"/>
              </w:rPr>
              <w:t>0.953</w:t>
            </w:r>
          </w:p>
        </w:tc>
        <w:tc>
          <w:tcPr>
            <w:tcW w:w="1069" w:type="dxa"/>
            <w:vAlign w:val="center"/>
          </w:tcPr>
          <w:p w:rsidR="00475650" w:rsidRDefault="00475650">
            <w:pPr>
              <w:jc w:val="center"/>
              <w:rPr>
                <w:szCs w:val="21"/>
              </w:rPr>
            </w:pPr>
            <w:r>
              <w:rPr>
                <w:szCs w:val="21"/>
              </w:rPr>
              <w:t>NNE</w:t>
            </w:r>
          </w:p>
        </w:tc>
      </w:tr>
      <w:tr w:rsidR="00475650">
        <w:trPr>
          <w:trHeight w:hRule="exact" w:val="312"/>
          <w:jc w:val="center"/>
        </w:trPr>
        <w:tc>
          <w:tcPr>
            <w:tcW w:w="618" w:type="dxa"/>
            <w:vMerge/>
            <w:vAlign w:val="center"/>
          </w:tcPr>
          <w:p w:rsidR="00475650" w:rsidRDefault="00475650">
            <w:pPr>
              <w:jc w:val="center"/>
              <w:rPr>
                <w:szCs w:val="21"/>
              </w:rPr>
            </w:pPr>
          </w:p>
        </w:tc>
        <w:tc>
          <w:tcPr>
            <w:tcW w:w="1080" w:type="dxa"/>
            <w:vMerge/>
            <w:vAlign w:val="center"/>
          </w:tcPr>
          <w:p w:rsidR="00475650" w:rsidRDefault="00475650">
            <w:pPr>
              <w:spacing w:line="240" w:lineRule="atLeast"/>
              <w:jc w:val="center"/>
              <w:rPr>
                <w:b/>
                <w:szCs w:val="21"/>
              </w:rPr>
            </w:pPr>
          </w:p>
        </w:tc>
        <w:tc>
          <w:tcPr>
            <w:tcW w:w="1428" w:type="dxa"/>
            <w:vAlign w:val="center"/>
          </w:tcPr>
          <w:p w:rsidR="00475650" w:rsidRDefault="00475650">
            <w:pPr>
              <w:jc w:val="center"/>
              <w:rPr>
                <w:szCs w:val="21"/>
              </w:rPr>
            </w:pPr>
            <w:r>
              <w:rPr>
                <w:szCs w:val="21"/>
              </w:rPr>
              <w:t>20:00-20:45</w:t>
            </w:r>
          </w:p>
        </w:tc>
        <w:tc>
          <w:tcPr>
            <w:tcW w:w="1068" w:type="dxa"/>
            <w:vAlign w:val="center"/>
          </w:tcPr>
          <w:p w:rsidR="00475650" w:rsidRDefault="00475650">
            <w:pPr>
              <w:jc w:val="center"/>
              <w:rPr>
                <w:kern w:val="0"/>
                <w:szCs w:val="21"/>
              </w:rPr>
            </w:pPr>
            <w:r>
              <w:rPr>
                <w:kern w:val="0"/>
                <w:szCs w:val="21"/>
              </w:rPr>
              <w:t>20.1</w:t>
            </w:r>
          </w:p>
        </w:tc>
        <w:tc>
          <w:tcPr>
            <w:tcW w:w="1069" w:type="dxa"/>
            <w:vAlign w:val="center"/>
          </w:tcPr>
          <w:p w:rsidR="00475650" w:rsidRDefault="00475650">
            <w:pPr>
              <w:jc w:val="center"/>
              <w:rPr>
                <w:kern w:val="0"/>
                <w:szCs w:val="21"/>
              </w:rPr>
            </w:pPr>
            <w:r>
              <w:rPr>
                <w:kern w:val="0"/>
                <w:szCs w:val="21"/>
              </w:rPr>
              <w:t>100.1</w:t>
            </w:r>
          </w:p>
        </w:tc>
        <w:tc>
          <w:tcPr>
            <w:tcW w:w="1068" w:type="dxa"/>
            <w:vAlign w:val="center"/>
          </w:tcPr>
          <w:p w:rsidR="00475650" w:rsidRDefault="00475650">
            <w:pPr>
              <w:jc w:val="center"/>
              <w:rPr>
                <w:kern w:val="0"/>
                <w:szCs w:val="21"/>
              </w:rPr>
            </w:pPr>
            <w:r>
              <w:rPr>
                <w:kern w:val="0"/>
                <w:szCs w:val="21"/>
              </w:rPr>
              <w:t>78.2</w:t>
            </w:r>
          </w:p>
        </w:tc>
        <w:tc>
          <w:tcPr>
            <w:tcW w:w="1068" w:type="dxa"/>
            <w:vAlign w:val="center"/>
          </w:tcPr>
          <w:p w:rsidR="00475650" w:rsidRDefault="00475650">
            <w:pPr>
              <w:jc w:val="center"/>
              <w:rPr>
                <w:szCs w:val="21"/>
              </w:rPr>
            </w:pPr>
            <w:r>
              <w:rPr>
                <w:szCs w:val="21"/>
              </w:rPr>
              <w:t>0.915</w:t>
            </w:r>
          </w:p>
        </w:tc>
        <w:tc>
          <w:tcPr>
            <w:tcW w:w="1069" w:type="dxa"/>
            <w:vAlign w:val="center"/>
          </w:tcPr>
          <w:p w:rsidR="00475650" w:rsidRDefault="00475650">
            <w:pPr>
              <w:jc w:val="center"/>
              <w:rPr>
                <w:szCs w:val="21"/>
              </w:rPr>
            </w:pPr>
            <w:r>
              <w:rPr>
                <w:szCs w:val="21"/>
              </w:rPr>
              <w:t>NNW</w:t>
            </w:r>
          </w:p>
        </w:tc>
      </w:tr>
      <w:tr w:rsidR="00475650">
        <w:trPr>
          <w:trHeight w:hRule="exact" w:val="312"/>
          <w:jc w:val="center"/>
        </w:trPr>
        <w:tc>
          <w:tcPr>
            <w:tcW w:w="618" w:type="dxa"/>
            <w:vMerge/>
            <w:vAlign w:val="center"/>
          </w:tcPr>
          <w:p w:rsidR="00475650" w:rsidRDefault="00475650">
            <w:pPr>
              <w:jc w:val="center"/>
              <w:rPr>
                <w:szCs w:val="21"/>
              </w:rPr>
            </w:pPr>
          </w:p>
        </w:tc>
        <w:tc>
          <w:tcPr>
            <w:tcW w:w="1080" w:type="dxa"/>
            <w:vMerge w:val="restart"/>
            <w:vAlign w:val="center"/>
          </w:tcPr>
          <w:p w:rsidR="00475650" w:rsidRDefault="00475650">
            <w:pPr>
              <w:spacing w:line="240" w:lineRule="atLeast"/>
              <w:jc w:val="center"/>
              <w:rPr>
                <w:szCs w:val="21"/>
              </w:rPr>
            </w:pPr>
            <w:r>
              <w:rPr>
                <w:szCs w:val="21"/>
              </w:rPr>
              <w:t>2014.4.12</w:t>
            </w:r>
          </w:p>
        </w:tc>
        <w:tc>
          <w:tcPr>
            <w:tcW w:w="1428" w:type="dxa"/>
            <w:vAlign w:val="center"/>
          </w:tcPr>
          <w:p w:rsidR="00475650" w:rsidRDefault="00475650">
            <w:pPr>
              <w:jc w:val="center"/>
              <w:rPr>
                <w:kern w:val="0"/>
                <w:szCs w:val="21"/>
              </w:rPr>
            </w:pPr>
            <w:r>
              <w:rPr>
                <w:kern w:val="0"/>
                <w:szCs w:val="21"/>
              </w:rPr>
              <w:t>02:00-02:45</w:t>
            </w:r>
          </w:p>
        </w:tc>
        <w:tc>
          <w:tcPr>
            <w:tcW w:w="1068" w:type="dxa"/>
            <w:vAlign w:val="center"/>
          </w:tcPr>
          <w:p w:rsidR="00475650" w:rsidRDefault="00475650">
            <w:pPr>
              <w:jc w:val="center"/>
              <w:rPr>
                <w:kern w:val="0"/>
                <w:szCs w:val="21"/>
              </w:rPr>
            </w:pPr>
            <w:r>
              <w:rPr>
                <w:kern w:val="0"/>
                <w:szCs w:val="21"/>
              </w:rPr>
              <w:t>17.2</w:t>
            </w:r>
          </w:p>
        </w:tc>
        <w:tc>
          <w:tcPr>
            <w:tcW w:w="1069" w:type="dxa"/>
            <w:vAlign w:val="center"/>
          </w:tcPr>
          <w:p w:rsidR="00475650" w:rsidRDefault="00475650">
            <w:pPr>
              <w:jc w:val="center"/>
              <w:rPr>
                <w:kern w:val="0"/>
                <w:szCs w:val="21"/>
              </w:rPr>
            </w:pPr>
            <w:r>
              <w:rPr>
                <w:kern w:val="0"/>
                <w:szCs w:val="21"/>
              </w:rPr>
              <w:t>99.8</w:t>
            </w:r>
          </w:p>
        </w:tc>
        <w:tc>
          <w:tcPr>
            <w:tcW w:w="1068" w:type="dxa"/>
            <w:vAlign w:val="center"/>
          </w:tcPr>
          <w:p w:rsidR="00475650" w:rsidRDefault="00475650">
            <w:pPr>
              <w:jc w:val="center"/>
              <w:rPr>
                <w:kern w:val="0"/>
                <w:szCs w:val="21"/>
              </w:rPr>
            </w:pPr>
            <w:r>
              <w:rPr>
                <w:kern w:val="0"/>
                <w:szCs w:val="21"/>
              </w:rPr>
              <w:t>80.1</w:t>
            </w:r>
          </w:p>
        </w:tc>
        <w:tc>
          <w:tcPr>
            <w:tcW w:w="1068" w:type="dxa"/>
            <w:vAlign w:val="center"/>
          </w:tcPr>
          <w:p w:rsidR="00475650" w:rsidRDefault="00475650">
            <w:pPr>
              <w:jc w:val="center"/>
              <w:rPr>
                <w:szCs w:val="21"/>
              </w:rPr>
            </w:pPr>
            <w:r>
              <w:rPr>
                <w:szCs w:val="21"/>
              </w:rPr>
              <w:t>0.823</w:t>
            </w:r>
          </w:p>
        </w:tc>
        <w:tc>
          <w:tcPr>
            <w:tcW w:w="1069" w:type="dxa"/>
            <w:vAlign w:val="center"/>
          </w:tcPr>
          <w:p w:rsidR="00475650" w:rsidRDefault="00475650">
            <w:pPr>
              <w:jc w:val="center"/>
              <w:rPr>
                <w:szCs w:val="21"/>
              </w:rPr>
            </w:pPr>
            <w:r>
              <w:rPr>
                <w:szCs w:val="21"/>
              </w:rPr>
              <w:t>NNE</w:t>
            </w:r>
          </w:p>
        </w:tc>
      </w:tr>
      <w:tr w:rsidR="00475650">
        <w:trPr>
          <w:trHeight w:hRule="exact" w:val="312"/>
          <w:jc w:val="center"/>
        </w:trPr>
        <w:tc>
          <w:tcPr>
            <w:tcW w:w="618" w:type="dxa"/>
            <w:vMerge/>
            <w:vAlign w:val="center"/>
          </w:tcPr>
          <w:p w:rsidR="00475650" w:rsidRDefault="00475650">
            <w:pPr>
              <w:jc w:val="center"/>
              <w:rPr>
                <w:szCs w:val="21"/>
              </w:rPr>
            </w:pPr>
          </w:p>
        </w:tc>
        <w:tc>
          <w:tcPr>
            <w:tcW w:w="1080" w:type="dxa"/>
            <w:vMerge/>
            <w:vAlign w:val="center"/>
          </w:tcPr>
          <w:p w:rsidR="00475650" w:rsidRDefault="00475650">
            <w:pPr>
              <w:spacing w:line="240" w:lineRule="atLeast"/>
              <w:jc w:val="center"/>
              <w:rPr>
                <w:b/>
                <w:szCs w:val="21"/>
              </w:rPr>
            </w:pPr>
          </w:p>
        </w:tc>
        <w:tc>
          <w:tcPr>
            <w:tcW w:w="1428" w:type="dxa"/>
            <w:vAlign w:val="center"/>
          </w:tcPr>
          <w:p w:rsidR="00475650" w:rsidRDefault="00475650">
            <w:pPr>
              <w:jc w:val="center"/>
              <w:rPr>
                <w:kern w:val="0"/>
                <w:szCs w:val="21"/>
              </w:rPr>
            </w:pPr>
            <w:r>
              <w:rPr>
                <w:kern w:val="0"/>
                <w:szCs w:val="21"/>
              </w:rPr>
              <w:t>08:00-08:45</w:t>
            </w:r>
          </w:p>
        </w:tc>
        <w:tc>
          <w:tcPr>
            <w:tcW w:w="1068" w:type="dxa"/>
            <w:vAlign w:val="center"/>
          </w:tcPr>
          <w:p w:rsidR="00475650" w:rsidRDefault="00475650">
            <w:pPr>
              <w:jc w:val="center"/>
              <w:rPr>
                <w:kern w:val="0"/>
                <w:szCs w:val="21"/>
              </w:rPr>
            </w:pPr>
            <w:r>
              <w:rPr>
                <w:kern w:val="0"/>
                <w:szCs w:val="21"/>
              </w:rPr>
              <w:t>19.3</w:t>
            </w:r>
          </w:p>
        </w:tc>
        <w:tc>
          <w:tcPr>
            <w:tcW w:w="1069" w:type="dxa"/>
            <w:vAlign w:val="center"/>
          </w:tcPr>
          <w:p w:rsidR="00475650" w:rsidRDefault="00475650">
            <w:pPr>
              <w:jc w:val="center"/>
              <w:rPr>
                <w:kern w:val="0"/>
                <w:szCs w:val="21"/>
              </w:rPr>
            </w:pPr>
            <w:r>
              <w:rPr>
                <w:kern w:val="0"/>
                <w:szCs w:val="21"/>
              </w:rPr>
              <w:t>99.7</w:t>
            </w:r>
          </w:p>
        </w:tc>
        <w:tc>
          <w:tcPr>
            <w:tcW w:w="1068" w:type="dxa"/>
            <w:vAlign w:val="center"/>
          </w:tcPr>
          <w:p w:rsidR="00475650" w:rsidRDefault="00475650">
            <w:pPr>
              <w:jc w:val="center"/>
              <w:rPr>
                <w:kern w:val="0"/>
                <w:szCs w:val="21"/>
              </w:rPr>
            </w:pPr>
            <w:r>
              <w:rPr>
                <w:kern w:val="0"/>
                <w:szCs w:val="21"/>
              </w:rPr>
              <w:t>79.1</w:t>
            </w:r>
          </w:p>
        </w:tc>
        <w:tc>
          <w:tcPr>
            <w:tcW w:w="1068" w:type="dxa"/>
            <w:vAlign w:val="center"/>
          </w:tcPr>
          <w:p w:rsidR="00475650" w:rsidRDefault="00475650">
            <w:pPr>
              <w:jc w:val="center"/>
              <w:rPr>
                <w:szCs w:val="21"/>
              </w:rPr>
            </w:pPr>
            <w:r>
              <w:rPr>
                <w:szCs w:val="21"/>
              </w:rPr>
              <w:t>0.756</w:t>
            </w:r>
          </w:p>
        </w:tc>
        <w:tc>
          <w:tcPr>
            <w:tcW w:w="1069" w:type="dxa"/>
            <w:vAlign w:val="center"/>
          </w:tcPr>
          <w:p w:rsidR="00475650" w:rsidRDefault="00475650">
            <w:pPr>
              <w:jc w:val="center"/>
              <w:rPr>
                <w:szCs w:val="21"/>
              </w:rPr>
            </w:pPr>
            <w:r>
              <w:rPr>
                <w:szCs w:val="21"/>
              </w:rPr>
              <w:t>NNW</w:t>
            </w:r>
          </w:p>
        </w:tc>
      </w:tr>
      <w:tr w:rsidR="00475650">
        <w:trPr>
          <w:trHeight w:hRule="exact" w:val="312"/>
          <w:jc w:val="center"/>
        </w:trPr>
        <w:tc>
          <w:tcPr>
            <w:tcW w:w="618" w:type="dxa"/>
            <w:vMerge/>
            <w:vAlign w:val="center"/>
          </w:tcPr>
          <w:p w:rsidR="00475650" w:rsidRDefault="00475650">
            <w:pPr>
              <w:jc w:val="center"/>
              <w:rPr>
                <w:szCs w:val="21"/>
              </w:rPr>
            </w:pPr>
          </w:p>
        </w:tc>
        <w:tc>
          <w:tcPr>
            <w:tcW w:w="1080" w:type="dxa"/>
            <w:vMerge/>
            <w:vAlign w:val="center"/>
          </w:tcPr>
          <w:p w:rsidR="00475650" w:rsidRDefault="00475650">
            <w:pPr>
              <w:spacing w:line="240" w:lineRule="atLeast"/>
              <w:jc w:val="center"/>
              <w:rPr>
                <w:b/>
                <w:szCs w:val="21"/>
              </w:rPr>
            </w:pPr>
          </w:p>
        </w:tc>
        <w:tc>
          <w:tcPr>
            <w:tcW w:w="1428" w:type="dxa"/>
            <w:vAlign w:val="center"/>
          </w:tcPr>
          <w:p w:rsidR="00475650" w:rsidRDefault="00475650">
            <w:pPr>
              <w:jc w:val="center"/>
              <w:rPr>
                <w:kern w:val="0"/>
                <w:szCs w:val="21"/>
              </w:rPr>
            </w:pPr>
            <w:r>
              <w:rPr>
                <w:kern w:val="0"/>
                <w:szCs w:val="21"/>
              </w:rPr>
              <w:t>14:00-14:45</w:t>
            </w:r>
            <w:r>
              <w:rPr>
                <w:szCs w:val="20"/>
              </w:rPr>
              <w:t xml:space="preserve"> </w:t>
            </w:r>
            <w:r>
              <w:rPr>
                <w:kern w:val="0"/>
                <w:szCs w:val="21"/>
              </w:rPr>
              <w:t>20:00-20:45</w:t>
            </w:r>
          </w:p>
        </w:tc>
        <w:tc>
          <w:tcPr>
            <w:tcW w:w="1068" w:type="dxa"/>
            <w:vAlign w:val="center"/>
          </w:tcPr>
          <w:p w:rsidR="00475650" w:rsidRDefault="00475650">
            <w:pPr>
              <w:jc w:val="center"/>
              <w:rPr>
                <w:kern w:val="0"/>
                <w:szCs w:val="21"/>
              </w:rPr>
            </w:pPr>
            <w:r>
              <w:rPr>
                <w:kern w:val="0"/>
                <w:szCs w:val="21"/>
              </w:rPr>
              <w:t>25.9</w:t>
            </w:r>
          </w:p>
        </w:tc>
        <w:tc>
          <w:tcPr>
            <w:tcW w:w="1069" w:type="dxa"/>
            <w:vAlign w:val="center"/>
          </w:tcPr>
          <w:p w:rsidR="00475650" w:rsidRDefault="00475650">
            <w:pPr>
              <w:jc w:val="center"/>
              <w:rPr>
                <w:kern w:val="0"/>
                <w:szCs w:val="21"/>
              </w:rPr>
            </w:pPr>
            <w:r>
              <w:rPr>
                <w:kern w:val="0"/>
                <w:szCs w:val="21"/>
              </w:rPr>
              <w:t>99.2</w:t>
            </w:r>
          </w:p>
        </w:tc>
        <w:tc>
          <w:tcPr>
            <w:tcW w:w="1068" w:type="dxa"/>
            <w:vAlign w:val="center"/>
          </w:tcPr>
          <w:p w:rsidR="00475650" w:rsidRDefault="00475650">
            <w:pPr>
              <w:jc w:val="center"/>
              <w:rPr>
                <w:kern w:val="0"/>
                <w:szCs w:val="21"/>
              </w:rPr>
            </w:pPr>
            <w:r>
              <w:rPr>
                <w:kern w:val="0"/>
                <w:szCs w:val="21"/>
              </w:rPr>
              <w:t>77.5</w:t>
            </w:r>
          </w:p>
        </w:tc>
        <w:tc>
          <w:tcPr>
            <w:tcW w:w="1068" w:type="dxa"/>
            <w:vAlign w:val="center"/>
          </w:tcPr>
          <w:p w:rsidR="00475650" w:rsidRDefault="00475650">
            <w:pPr>
              <w:jc w:val="center"/>
              <w:rPr>
                <w:szCs w:val="21"/>
              </w:rPr>
            </w:pPr>
            <w:r>
              <w:rPr>
                <w:szCs w:val="21"/>
              </w:rPr>
              <w:t>0.453</w:t>
            </w:r>
          </w:p>
        </w:tc>
        <w:tc>
          <w:tcPr>
            <w:tcW w:w="1069" w:type="dxa"/>
            <w:vAlign w:val="center"/>
          </w:tcPr>
          <w:p w:rsidR="00475650" w:rsidRDefault="00475650">
            <w:pPr>
              <w:jc w:val="center"/>
              <w:rPr>
                <w:szCs w:val="21"/>
              </w:rPr>
            </w:pPr>
            <w:r>
              <w:rPr>
                <w:szCs w:val="21"/>
              </w:rPr>
              <w:t>NNE</w:t>
            </w:r>
          </w:p>
        </w:tc>
      </w:tr>
      <w:tr w:rsidR="00475650">
        <w:trPr>
          <w:trHeight w:hRule="exact" w:val="312"/>
          <w:jc w:val="center"/>
        </w:trPr>
        <w:tc>
          <w:tcPr>
            <w:tcW w:w="618" w:type="dxa"/>
            <w:vMerge/>
            <w:vAlign w:val="center"/>
          </w:tcPr>
          <w:p w:rsidR="00475650" w:rsidRDefault="00475650">
            <w:pPr>
              <w:jc w:val="center"/>
              <w:rPr>
                <w:szCs w:val="21"/>
              </w:rPr>
            </w:pPr>
          </w:p>
        </w:tc>
        <w:tc>
          <w:tcPr>
            <w:tcW w:w="1080" w:type="dxa"/>
            <w:vMerge/>
            <w:vAlign w:val="center"/>
          </w:tcPr>
          <w:p w:rsidR="00475650" w:rsidRDefault="00475650">
            <w:pPr>
              <w:spacing w:line="240" w:lineRule="atLeast"/>
              <w:jc w:val="center"/>
              <w:rPr>
                <w:b/>
                <w:szCs w:val="21"/>
              </w:rPr>
            </w:pPr>
          </w:p>
        </w:tc>
        <w:tc>
          <w:tcPr>
            <w:tcW w:w="1428" w:type="dxa"/>
            <w:vAlign w:val="center"/>
          </w:tcPr>
          <w:p w:rsidR="00475650" w:rsidRDefault="00475650">
            <w:pPr>
              <w:jc w:val="center"/>
              <w:rPr>
                <w:szCs w:val="21"/>
              </w:rPr>
            </w:pPr>
            <w:r>
              <w:rPr>
                <w:szCs w:val="21"/>
              </w:rPr>
              <w:t>20:00-20:45</w:t>
            </w:r>
          </w:p>
        </w:tc>
        <w:tc>
          <w:tcPr>
            <w:tcW w:w="1068" w:type="dxa"/>
            <w:vAlign w:val="center"/>
          </w:tcPr>
          <w:p w:rsidR="00475650" w:rsidRDefault="00475650">
            <w:pPr>
              <w:jc w:val="center"/>
              <w:rPr>
                <w:kern w:val="0"/>
                <w:szCs w:val="21"/>
              </w:rPr>
            </w:pPr>
            <w:r>
              <w:rPr>
                <w:kern w:val="0"/>
                <w:szCs w:val="21"/>
              </w:rPr>
              <w:t>20.5</w:t>
            </w:r>
          </w:p>
        </w:tc>
        <w:tc>
          <w:tcPr>
            <w:tcW w:w="1069" w:type="dxa"/>
            <w:vAlign w:val="center"/>
          </w:tcPr>
          <w:p w:rsidR="00475650" w:rsidRDefault="00475650">
            <w:pPr>
              <w:jc w:val="center"/>
              <w:rPr>
                <w:kern w:val="0"/>
                <w:szCs w:val="21"/>
              </w:rPr>
            </w:pPr>
            <w:r>
              <w:rPr>
                <w:kern w:val="0"/>
                <w:szCs w:val="21"/>
              </w:rPr>
              <w:t>100.2</w:t>
            </w:r>
          </w:p>
        </w:tc>
        <w:tc>
          <w:tcPr>
            <w:tcW w:w="1068" w:type="dxa"/>
            <w:vAlign w:val="center"/>
          </w:tcPr>
          <w:p w:rsidR="00475650" w:rsidRDefault="00475650">
            <w:pPr>
              <w:jc w:val="center"/>
              <w:rPr>
                <w:kern w:val="0"/>
                <w:szCs w:val="21"/>
              </w:rPr>
            </w:pPr>
            <w:r>
              <w:rPr>
                <w:kern w:val="0"/>
                <w:szCs w:val="21"/>
              </w:rPr>
              <w:t>79.5</w:t>
            </w:r>
          </w:p>
        </w:tc>
        <w:tc>
          <w:tcPr>
            <w:tcW w:w="1068" w:type="dxa"/>
            <w:vAlign w:val="center"/>
          </w:tcPr>
          <w:p w:rsidR="00475650" w:rsidRDefault="00475650">
            <w:pPr>
              <w:jc w:val="center"/>
              <w:rPr>
                <w:szCs w:val="21"/>
              </w:rPr>
            </w:pPr>
            <w:r>
              <w:rPr>
                <w:szCs w:val="21"/>
              </w:rPr>
              <w:t>0.782</w:t>
            </w:r>
          </w:p>
        </w:tc>
        <w:tc>
          <w:tcPr>
            <w:tcW w:w="1069" w:type="dxa"/>
            <w:vAlign w:val="center"/>
          </w:tcPr>
          <w:p w:rsidR="00475650" w:rsidRDefault="00475650">
            <w:pPr>
              <w:jc w:val="center"/>
              <w:rPr>
                <w:szCs w:val="21"/>
              </w:rPr>
            </w:pPr>
            <w:r>
              <w:rPr>
                <w:szCs w:val="21"/>
              </w:rPr>
              <w:t>NE</w:t>
            </w:r>
          </w:p>
        </w:tc>
      </w:tr>
      <w:tr w:rsidR="00475650">
        <w:trPr>
          <w:trHeight w:hRule="exact" w:val="312"/>
          <w:jc w:val="center"/>
        </w:trPr>
        <w:tc>
          <w:tcPr>
            <w:tcW w:w="618" w:type="dxa"/>
            <w:vMerge/>
            <w:vAlign w:val="center"/>
          </w:tcPr>
          <w:p w:rsidR="00475650" w:rsidRDefault="00475650">
            <w:pPr>
              <w:jc w:val="center"/>
              <w:rPr>
                <w:szCs w:val="21"/>
              </w:rPr>
            </w:pPr>
          </w:p>
        </w:tc>
        <w:tc>
          <w:tcPr>
            <w:tcW w:w="1080" w:type="dxa"/>
            <w:vMerge w:val="restart"/>
            <w:vAlign w:val="center"/>
          </w:tcPr>
          <w:p w:rsidR="00475650" w:rsidRDefault="00475650">
            <w:pPr>
              <w:spacing w:line="240" w:lineRule="atLeast"/>
              <w:jc w:val="center"/>
              <w:rPr>
                <w:b/>
                <w:szCs w:val="21"/>
              </w:rPr>
            </w:pPr>
            <w:r>
              <w:rPr>
                <w:szCs w:val="21"/>
              </w:rPr>
              <w:t>2014.4.13</w:t>
            </w:r>
          </w:p>
        </w:tc>
        <w:tc>
          <w:tcPr>
            <w:tcW w:w="1428" w:type="dxa"/>
            <w:vAlign w:val="center"/>
          </w:tcPr>
          <w:p w:rsidR="00475650" w:rsidRDefault="00475650">
            <w:pPr>
              <w:jc w:val="center"/>
              <w:rPr>
                <w:kern w:val="0"/>
                <w:szCs w:val="21"/>
              </w:rPr>
            </w:pPr>
            <w:r>
              <w:rPr>
                <w:kern w:val="0"/>
                <w:szCs w:val="21"/>
              </w:rPr>
              <w:t>02:00-02:45</w:t>
            </w:r>
          </w:p>
        </w:tc>
        <w:tc>
          <w:tcPr>
            <w:tcW w:w="1068" w:type="dxa"/>
            <w:vAlign w:val="center"/>
          </w:tcPr>
          <w:p w:rsidR="00475650" w:rsidRDefault="00475650">
            <w:pPr>
              <w:jc w:val="center"/>
              <w:rPr>
                <w:kern w:val="0"/>
                <w:szCs w:val="21"/>
              </w:rPr>
            </w:pPr>
            <w:r>
              <w:rPr>
                <w:kern w:val="0"/>
                <w:szCs w:val="21"/>
              </w:rPr>
              <w:t>16.6</w:t>
            </w:r>
          </w:p>
        </w:tc>
        <w:tc>
          <w:tcPr>
            <w:tcW w:w="1069" w:type="dxa"/>
            <w:vAlign w:val="center"/>
          </w:tcPr>
          <w:p w:rsidR="00475650" w:rsidRDefault="00475650">
            <w:pPr>
              <w:jc w:val="center"/>
              <w:rPr>
                <w:kern w:val="0"/>
                <w:szCs w:val="21"/>
              </w:rPr>
            </w:pPr>
            <w:r>
              <w:rPr>
                <w:kern w:val="0"/>
                <w:szCs w:val="21"/>
              </w:rPr>
              <w:t>100.1</w:t>
            </w:r>
          </w:p>
        </w:tc>
        <w:tc>
          <w:tcPr>
            <w:tcW w:w="1068" w:type="dxa"/>
            <w:vAlign w:val="center"/>
          </w:tcPr>
          <w:p w:rsidR="00475650" w:rsidRDefault="00475650">
            <w:pPr>
              <w:jc w:val="center"/>
              <w:rPr>
                <w:kern w:val="0"/>
                <w:szCs w:val="21"/>
              </w:rPr>
            </w:pPr>
            <w:r>
              <w:rPr>
                <w:szCs w:val="21"/>
              </w:rPr>
              <w:t>79.6</w:t>
            </w:r>
          </w:p>
        </w:tc>
        <w:tc>
          <w:tcPr>
            <w:tcW w:w="1068" w:type="dxa"/>
            <w:vAlign w:val="center"/>
          </w:tcPr>
          <w:p w:rsidR="00475650" w:rsidRDefault="00475650">
            <w:pPr>
              <w:jc w:val="center"/>
              <w:rPr>
                <w:szCs w:val="21"/>
              </w:rPr>
            </w:pPr>
            <w:r>
              <w:rPr>
                <w:kern w:val="0"/>
                <w:szCs w:val="21"/>
              </w:rPr>
              <w:t>1.211</w:t>
            </w:r>
          </w:p>
        </w:tc>
        <w:tc>
          <w:tcPr>
            <w:tcW w:w="1069" w:type="dxa"/>
            <w:vAlign w:val="center"/>
          </w:tcPr>
          <w:p w:rsidR="00475650" w:rsidRDefault="00475650">
            <w:pPr>
              <w:jc w:val="center"/>
              <w:rPr>
                <w:szCs w:val="21"/>
              </w:rPr>
            </w:pPr>
            <w:r>
              <w:rPr>
                <w:szCs w:val="21"/>
              </w:rPr>
              <w:t>NNE</w:t>
            </w:r>
          </w:p>
        </w:tc>
      </w:tr>
      <w:tr w:rsidR="00475650">
        <w:trPr>
          <w:trHeight w:hRule="exact" w:val="312"/>
          <w:jc w:val="center"/>
        </w:trPr>
        <w:tc>
          <w:tcPr>
            <w:tcW w:w="618" w:type="dxa"/>
            <w:vMerge/>
            <w:vAlign w:val="center"/>
          </w:tcPr>
          <w:p w:rsidR="00475650" w:rsidRDefault="00475650">
            <w:pPr>
              <w:jc w:val="center"/>
              <w:rPr>
                <w:szCs w:val="21"/>
              </w:rPr>
            </w:pPr>
          </w:p>
        </w:tc>
        <w:tc>
          <w:tcPr>
            <w:tcW w:w="1080" w:type="dxa"/>
            <w:vMerge/>
            <w:vAlign w:val="center"/>
          </w:tcPr>
          <w:p w:rsidR="00475650" w:rsidRDefault="00475650">
            <w:pPr>
              <w:spacing w:line="240" w:lineRule="atLeast"/>
              <w:jc w:val="center"/>
              <w:rPr>
                <w:b/>
                <w:szCs w:val="21"/>
              </w:rPr>
            </w:pPr>
          </w:p>
        </w:tc>
        <w:tc>
          <w:tcPr>
            <w:tcW w:w="1428" w:type="dxa"/>
            <w:vAlign w:val="center"/>
          </w:tcPr>
          <w:p w:rsidR="00475650" w:rsidRDefault="00475650">
            <w:pPr>
              <w:jc w:val="center"/>
              <w:rPr>
                <w:kern w:val="0"/>
                <w:szCs w:val="21"/>
              </w:rPr>
            </w:pPr>
            <w:r>
              <w:rPr>
                <w:kern w:val="0"/>
                <w:szCs w:val="21"/>
              </w:rPr>
              <w:t>08:00-08:45</w:t>
            </w:r>
          </w:p>
        </w:tc>
        <w:tc>
          <w:tcPr>
            <w:tcW w:w="1068" w:type="dxa"/>
            <w:vAlign w:val="center"/>
          </w:tcPr>
          <w:p w:rsidR="00475650" w:rsidRDefault="00475650">
            <w:pPr>
              <w:jc w:val="center"/>
              <w:rPr>
                <w:kern w:val="0"/>
                <w:szCs w:val="21"/>
              </w:rPr>
            </w:pPr>
            <w:r>
              <w:rPr>
                <w:kern w:val="0"/>
                <w:szCs w:val="21"/>
              </w:rPr>
              <w:t>18.9</w:t>
            </w:r>
          </w:p>
        </w:tc>
        <w:tc>
          <w:tcPr>
            <w:tcW w:w="1069" w:type="dxa"/>
            <w:vAlign w:val="center"/>
          </w:tcPr>
          <w:p w:rsidR="00475650" w:rsidRDefault="00475650">
            <w:pPr>
              <w:jc w:val="center"/>
              <w:rPr>
                <w:kern w:val="0"/>
                <w:szCs w:val="21"/>
              </w:rPr>
            </w:pPr>
            <w:r>
              <w:rPr>
                <w:kern w:val="0"/>
                <w:szCs w:val="21"/>
              </w:rPr>
              <w:t>99.9</w:t>
            </w:r>
          </w:p>
        </w:tc>
        <w:tc>
          <w:tcPr>
            <w:tcW w:w="1068" w:type="dxa"/>
            <w:vAlign w:val="center"/>
          </w:tcPr>
          <w:p w:rsidR="00475650" w:rsidRDefault="00475650">
            <w:pPr>
              <w:jc w:val="center"/>
              <w:rPr>
                <w:kern w:val="0"/>
                <w:szCs w:val="21"/>
              </w:rPr>
            </w:pPr>
            <w:r>
              <w:rPr>
                <w:kern w:val="0"/>
                <w:szCs w:val="21"/>
              </w:rPr>
              <w:t>78.5</w:t>
            </w:r>
          </w:p>
        </w:tc>
        <w:tc>
          <w:tcPr>
            <w:tcW w:w="1068" w:type="dxa"/>
            <w:vAlign w:val="center"/>
          </w:tcPr>
          <w:p w:rsidR="00475650" w:rsidRDefault="00475650">
            <w:pPr>
              <w:jc w:val="center"/>
              <w:rPr>
                <w:szCs w:val="21"/>
              </w:rPr>
            </w:pPr>
            <w:r>
              <w:rPr>
                <w:szCs w:val="21"/>
              </w:rPr>
              <w:t>0.838</w:t>
            </w:r>
          </w:p>
        </w:tc>
        <w:tc>
          <w:tcPr>
            <w:tcW w:w="1069" w:type="dxa"/>
            <w:vAlign w:val="center"/>
          </w:tcPr>
          <w:p w:rsidR="00475650" w:rsidRDefault="00475650">
            <w:pPr>
              <w:jc w:val="center"/>
              <w:rPr>
                <w:szCs w:val="21"/>
              </w:rPr>
            </w:pPr>
            <w:r>
              <w:rPr>
                <w:szCs w:val="21"/>
              </w:rPr>
              <w:t>NNW</w:t>
            </w:r>
          </w:p>
        </w:tc>
      </w:tr>
      <w:tr w:rsidR="00475650">
        <w:trPr>
          <w:trHeight w:hRule="exact" w:val="409"/>
          <w:jc w:val="center"/>
        </w:trPr>
        <w:tc>
          <w:tcPr>
            <w:tcW w:w="618" w:type="dxa"/>
            <w:vMerge/>
            <w:vAlign w:val="center"/>
          </w:tcPr>
          <w:p w:rsidR="00475650" w:rsidRDefault="00475650">
            <w:pPr>
              <w:jc w:val="center"/>
              <w:rPr>
                <w:szCs w:val="21"/>
              </w:rPr>
            </w:pPr>
          </w:p>
        </w:tc>
        <w:tc>
          <w:tcPr>
            <w:tcW w:w="1080" w:type="dxa"/>
            <w:vMerge/>
            <w:vAlign w:val="center"/>
          </w:tcPr>
          <w:p w:rsidR="00475650" w:rsidRDefault="00475650">
            <w:pPr>
              <w:spacing w:line="240" w:lineRule="atLeast"/>
              <w:jc w:val="center"/>
              <w:rPr>
                <w:b/>
                <w:szCs w:val="21"/>
              </w:rPr>
            </w:pPr>
          </w:p>
        </w:tc>
        <w:tc>
          <w:tcPr>
            <w:tcW w:w="1428" w:type="dxa"/>
            <w:vAlign w:val="center"/>
          </w:tcPr>
          <w:p w:rsidR="00475650" w:rsidRDefault="00475650">
            <w:pPr>
              <w:jc w:val="center"/>
              <w:rPr>
                <w:kern w:val="0"/>
                <w:szCs w:val="21"/>
              </w:rPr>
            </w:pPr>
            <w:r>
              <w:rPr>
                <w:kern w:val="0"/>
                <w:szCs w:val="21"/>
              </w:rPr>
              <w:t>14:00-14:45</w:t>
            </w:r>
            <w:r>
              <w:rPr>
                <w:szCs w:val="20"/>
              </w:rPr>
              <w:t xml:space="preserve"> </w:t>
            </w:r>
            <w:r>
              <w:rPr>
                <w:kern w:val="0"/>
                <w:szCs w:val="21"/>
              </w:rPr>
              <w:t>20:00-20:45</w:t>
            </w:r>
          </w:p>
        </w:tc>
        <w:tc>
          <w:tcPr>
            <w:tcW w:w="1068" w:type="dxa"/>
            <w:vAlign w:val="center"/>
          </w:tcPr>
          <w:p w:rsidR="00475650" w:rsidRDefault="00475650">
            <w:pPr>
              <w:jc w:val="center"/>
              <w:rPr>
                <w:kern w:val="0"/>
                <w:szCs w:val="21"/>
              </w:rPr>
            </w:pPr>
            <w:r>
              <w:rPr>
                <w:kern w:val="0"/>
                <w:szCs w:val="21"/>
              </w:rPr>
              <w:t>25.7</w:t>
            </w:r>
          </w:p>
        </w:tc>
        <w:tc>
          <w:tcPr>
            <w:tcW w:w="1069" w:type="dxa"/>
            <w:vAlign w:val="center"/>
          </w:tcPr>
          <w:p w:rsidR="00475650" w:rsidRDefault="00475650">
            <w:pPr>
              <w:jc w:val="center"/>
              <w:rPr>
                <w:kern w:val="0"/>
                <w:szCs w:val="21"/>
              </w:rPr>
            </w:pPr>
            <w:r>
              <w:rPr>
                <w:kern w:val="0"/>
                <w:szCs w:val="21"/>
              </w:rPr>
              <w:t>99.1</w:t>
            </w:r>
          </w:p>
        </w:tc>
        <w:tc>
          <w:tcPr>
            <w:tcW w:w="1068" w:type="dxa"/>
            <w:vAlign w:val="center"/>
          </w:tcPr>
          <w:p w:rsidR="00475650" w:rsidRDefault="00475650">
            <w:pPr>
              <w:jc w:val="center"/>
              <w:rPr>
                <w:kern w:val="0"/>
                <w:szCs w:val="21"/>
              </w:rPr>
            </w:pPr>
            <w:r>
              <w:rPr>
                <w:kern w:val="0"/>
                <w:szCs w:val="21"/>
              </w:rPr>
              <w:t>75.1</w:t>
            </w:r>
          </w:p>
        </w:tc>
        <w:tc>
          <w:tcPr>
            <w:tcW w:w="1068" w:type="dxa"/>
            <w:vAlign w:val="center"/>
          </w:tcPr>
          <w:p w:rsidR="00475650" w:rsidRDefault="00475650">
            <w:pPr>
              <w:jc w:val="center"/>
              <w:rPr>
                <w:szCs w:val="21"/>
              </w:rPr>
            </w:pPr>
            <w:r>
              <w:rPr>
                <w:szCs w:val="21"/>
              </w:rPr>
              <w:t>0.926</w:t>
            </w:r>
          </w:p>
        </w:tc>
        <w:tc>
          <w:tcPr>
            <w:tcW w:w="1069" w:type="dxa"/>
            <w:vAlign w:val="center"/>
          </w:tcPr>
          <w:p w:rsidR="00475650" w:rsidRDefault="00475650">
            <w:pPr>
              <w:jc w:val="center"/>
              <w:rPr>
                <w:szCs w:val="21"/>
              </w:rPr>
            </w:pPr>
            <w:r>
              <w:rPr>
                <w:szCs w:val="21"/>
              </w:rPr>
              <w:t>NNW</w:t>
            </w:r>
          </w:p>
        </w:tc>
      </w:tr>
      <w:tr w:rsidR="00475650">
        <w:trPr>
          <w:trHeight w:hRule="exact" w:val="312"/>
          <w:jc w:val="center"/>
        </w:trPr>
        <w:tc>
          <w:tcPr>
            <w:tcW w:w="618" w:type="dxa"/>
            <w:vMerge/>
            <w:vAlign w:val="center"/>
          </w:tcPr>
          <w:p w:rsidR="00475650" w:rsidRDefault="00475650">
            <w:pPr>
              <w:jc w:val="center"/>
              <w:rPr>
                <w:szCs w:val="21"/>
              </w:rPr>
            </w:pPr>
          </w:p>
        </w:tc>
        <w:tc>
          <w:tcPr>
            <w:tcW w:w="1080" w:type="dxa"/>
            <w:vMerge/>
            <w:vAlign w:val="center"/>
          </w:tcPr>
          <w:p w:rsidR="00475650" w:rsidRDefault="00475650">
            <w:pPr>
              <w:spacing w:line="240" w:lineRule="atLeast"/>
              <w:jc w:val="center"/>
              <w:rPr>
                <w:b/>
                <w:szCs w:val="21"/>
              </w:rPr>
            </w:pPr>
          </w:p>
        </w:tc>
        <w:tc>
          <w:tcPr>
            <w:tcW w:w="1428" w:type="dxa"/>
            <w:vAlign w:val="center"/>
          </w:tcPr>
          <w:p w:rsidR="00475650" w:rsidRDefault="00475650">
            <w:pPr>
              <w:jc w:val="center"/>
              <w:rPr>
                <w:szCs w:val="21"/>
              </w:rPr>
            </w:pPr>
            <w:r>
              <w:rPr>
                <w:szCs w:val="21"/>
              </w:rPr>
              <w:t>20:00-20:45</w:t>
            </w:r>
          </w:p>
        </w:tc>
        <w:tc>
          <w:tcPr>
            <w:tcW w:w="1068" w:type="dxa"/>
            <w:vAlign w:val="center"/>
          </w:tcPr>
          <w:p w:rsidR="00475650" w:rsidRDefault="00475650">
            <w:pPr>
              <w:jc w:val="center"/>
              <w:rPr>
                <w:kern w:val="0"/>
                <w:szCs w:val="21"/>
              </w:rPr>
            </w:pPr>
            <w:r>
              <w:rPr>
                <w:kern w:val="0"/>
                <w:szCs w:val="21"/>
              </w:rPr>
              <w:t>20.3</w:t>
            </w:r>
          </w:p>
        </w:tc>
        <w:tc>
          <w:tcPr>
            <w:tcW w:w="1069" w:type="dxa"/>
            <w:vAlign w:val="center"/>
          </w:tcPr>
          <w:p w:rsidR="00475650" w:rsidRDefault="00475650">
            <w:pPr>
              <w:jc w:val="center"/>
              <w:rPr>
                <w:kern w:val="0"/>
                <w:szCs w:val="21"/>
              </w:rPr>
            </w:pPr>
            <w:r>
              <w:rPr>
                <w:kern w:val="0"/>
                <w:szCs w:val="21"/>
              </w:rPr>
              <w:t>100.3</w:t>
            </w:r>
          </w:p>
        </w:tc>
        <w:tc>
          <w:tcPr>
            <w:tcW w:w="1068" w:type="dxa"/>
            <w:vAlign w:val="center"/>
          </w:tcPr>
          <w:p w:rsidR="00475650" w:rsidRDefault="00475650">
            <w:pPr>
              <w:jc w:val="center"/>
              <w:rPr>
                <w:kern w:val="0"/>
                <w:szCs w:val="21"/>
              </w:rPr>
            </w:pPr>
            <w:r>
              <w:rPr>
                <w:kern w:val="0"/>
                <w:szCs w:val="21"/>
              </w:rPr>
              <w:t>78.2</w:t>
            </w:r>
          </w:p>
        </w:tc>
        <w:tc>
          <w:tcPr>
            <w:tcW w:w="1068" w:type="dxa"/>
            <w:vAlign w:val="center"/>
          </w:tcPr>
          <w:p w:rsidR="00475650" w:rsidRDefault="00475650">
            <w:pPr>
              <w:jc w:val="center"/>
              <w:rPr>
                <w:szCs w:val="21"/>
              </w:rPr>
            </w:pPr>
            <w:r>
              <w:rPr>
                <w:szCs w:val="21"/>
              </w:rPr>
              <w:t>0.915</w:t>
            </w:r>
          </w:p>
        </w:tc>
        <w:tc>
          <w:tcPr>
            <w:tcW w:w="1069" w:type="dxa"/>
            <w:vAlign w:val="center"/>
          </w:tcPr>
          <w:p w:rsidR="00475650" w:rsidRDefault="00475650">
            <w:pPr>
              <w:jc w:val="center"/>
              <w:rPr>
                <w:szCs w:val="21"/>
              </w:rPr>
            </w:pPr>
            <w:r>
              <w:rPr>
                <w:szCs w:val="21"/>
              </w:rPr>
              <w:t>NNE</w:t>
            </w:r>
          </w:p>
        </w:tc>
      </w:tr>
      <w:tr w:rsidR="00475650">
        <w:trPr>
          <w:trHeight w:hRule="exact" w:val="312"/>
          <w:jc w:val="center"/>
        </w:trPr>
        <w:tc>
          <w:tcPr>
            <w:tcW w:w="618" w:type="dxa"/>
            <w:vMerge/>
            <w:vAlign w:val="center"/>
          </w:tcPr>
          <w:p w:rsidR="00475650" w:rsidRDefault="00475650">
            <w:pPr>
              <w:jc w:val="center"/>
              <w:rPr>
                <w:szCs w:val="21"/>
              </w:rPr>
            </w:pPr>
          </w:p>
        </w:tc>
        <w:tc>
          <w:tcPr>
            <w:tcW w:w="1080" w:type="dxa"/>
            <w:vMerge w:val="restart"/>
            <w:vAlign w:val="center"/>
          </w:tcPr>
          <w:p w:rsidR="00475650" w:rsidRDefault="00475650">
            <w:pPr>
              <w:spacing w:line="240" w:lineRule="atLeast"/>
              <w:jc w:val="center"/>
              <w:rPr>
                <w:b/>
                <w:szCs w:val="21"/>
              </w:rPr>
            </w:pPr>
            <w:r>
              <w:rPr>
                <w:szCs w:val="21"/>
              </w:rPr>
              <w:t>2014.4.14</w:t>
            </w:r>
          </w:p>
        </w:tc>
        <w:tc>
          <w:tcPr>
            <w:tcW w:w="1428" w:type="dxa"/>
            <w:vAlign w:val="center"/>
          </w:tcPr>
          <w:p w:rsidR="00475650" w:rsidRDefault="00475650">
            <w:pPr>
              <w:jc w:val="center"/>
              <w:rPr>
                <w:kern w:val="0"/>
                <w:szCs w:val="21"/>
              </w:rPr>
            </w:pPr>
            <w:r>
              <w:rPr>
                <w:kern w:val="0"/>
                <w:szCs w:val="21"/>
              </w:rPr>
              <w:t>02:00-02:45</w:t>
            </w:r>
          </w:p>
        </w:tc>
        <w:tc>
          <w:tcPr>
            <w:tcW w:w="1068" w:type="dxa"/>
            <w:vAlign w:val="center"/>
          </w:tcPr>
          <w:p w:rsidR="00475650" w:rsidRDefault="00475650">
            <w:pPr>
              <w:jc w:val="center"/>
              <w:rPr>
                <w:kern w:val="0"/>
                <w:szCs w:val="21"/>
              </w:rPr>
            </w:pPr>
            <w:r>
              <w:rPr>
                <w:kern w:val="0"/>
                <w:szCs w:val="21"/>
              </w:rPr>
              <w:t>16.7</w:t>
            </w:r>
          </w:p>
        </w:tc>
        <w:tc>
          <w:tcPr>
            <w:tcW w:w="1069" w:type="dxa"/>
            <w:vAlign w:val="center"/>
          </w:tcPr>
          <w:p w:rsidR="00475650" w:rsidRDefault="00475650">
            <w:pPr>
              <w:jc w:val="center"/>
              <w:rPr>
                <w:kern w:val="0"/>
                <w:szCs w:val="21"/>
              </w:rPr>
            </w:pPr>
            <w:r>
              <w:rPr>
                <w:kern w:val="0"/>
                <w:szCs w:val="21"/>
              </w:rPr>
              <w:t>100.8</w:t>
            </w:r>
          </w:p>
        </w:tc>
        <w:tc>
          <w:tcPr>
            <w:tcW w:w="1068" w:type="dxa"/>
            <w:vAlign w:val="center"/>
          </w:tcPr>
          <w:p w:rsidR="00475650" w:rsidRDefault="00475650">
            <w:pPr>
              <w:jc w:val="center"/>
              <w:rPr>
                <w:kern w:val="0"/>
                <w:szCs w:val="21"/>
              </w:rPr>
            </w:pPr>
            <w:r>
              <w:rPr>
                <w:kern w:val="0"/>
                <w:szCs w:val="21"/>
              </w:rPr>
              <w:t>80.4</w:t>
            </w:r>
          </w:p>
        </w:tc>
        <w:tc>
          <w:tcPr>
            <w:tcW w:w="1068" w:type="dxa"/>
            <w:vAlign w:val="center"/>
          </w:tcPr>
          <w:p w:rsidR="00475650" w:rsidRDefault="00475650">
            <w:pPr>
              <w:jc w:val="center"/>
              <w:rPr>
                <w:szCs w:val="21"/>
              </w:rPr>
            </w:pPr>
            <w:r>
              <w:rPr>
                <w:szCs w:val="21"/>
              </w:rPr>
              <w:t>0.944</w:t>
            </w:r>
          </w:p>
        </w:tc>
        <w:tc>
          <w:tcPr>
            <w:tcW w:w="1069" w:type="dxa"/>
            <w:vAlign w:val="center"/>
          </w:tcPr>
          <w:p w:rsidR="00475650" w:rsidRDefault="00475650">
            <w:pPr>
              <w:jc w:val="center"/>
              <w:rPr>
                <w:szCs w:val="21"/>
              </w:rPr>
            </w:pPr>
            <w:r>
              <w:rPr>
                <w:szCs w:val="21"/>
              </w:rPr>
              <w:t>NNW</w:t>
            </w:r>
          </w:p>
        </w:tc>
      </w:tr>
      <w:tr w:rsidR="00475650">
        <w:trPr>
          <w:trHeight w:hRule="exact" w:val="312"/>
          <w:jc w:val="center"/>
        </w:trPr>
        <w:tc>
          <w:tcPr>
            <w:tcW w:w="618" w:type="dxa"/>
            <w:vMerge/>
            <w:vAlign w:val="center"/>
          </w:tcPr>
          <w:p w:rsidR="00475650" w:rsidRDefault="00475650">
            <w:pPr>
              <w:jc w:val="center"/>
              <w:rPr>
                <w:szCs w:val="21"/>
              </w:rPr>
            </w:pPr>
          </w:p>
        </w:tc>
        <w:tc>
          <w:tcPr>
            <w:tcW w:w="1080" w:type="dxa"/>
            <w:vMerge/>
            <w:vAlign w:val="center"/>
          </w:tcPr>
          <w:p w:rsidR="00475650" w:rsidRDefault="00475650">
            <w:pPr>
              <w:spacing w:line="240" w:lineRule="atLeast"/>
              <w:jc w:val="center"/>
              <w:rPr>
                <w:b/>
                <w:szCs w:val="21"/>
              </w:rPr>
            </w:pPr>
          </w:p>
        </w:tc>
        <w:tc>
          <w:tcPr>
            <w:tcW w:w="1428" w:type="dxa"/>
            <w:vAlign w:val="center"/>
          </w:tcPr>
          <w:p w:rsidR="00475650" w:rsidRDefault="00475650">
            <w:pPr>
              <w:jc w:val="center"/>
              <w:rPr>
                <w:kern w:val="0"/>
                <w:szCs w:val="21"/>
              </w:rPr>
            </w:pPr>
            <w:r>
              <w:rPr>
                <w:kern w:val="0"/>
                <w:szCs w:val="21"/>
              </w:rPr>
              <w:t>08:00-08:45</w:t>
            </w:r>
          </w:p>
        </w:tc>
        <w:tc>
          <w:tcPr>
            <w:tcW w:w="1068" w:type="dxa"/>
            <w:vAlign w:val="center"/>
          </w:tcPr>
          <w:p w:rsidR="00475650" w:rsidRDefault="00475650">
            <w:pPr>
              <w:jc w:val="center"/>
              <w:rPr>
                <w:kern w:val="0"/>
                <w:szCs w:val="21"/>
              </w:rPr>
            </w:pPr>
            <w:r>
              <w:rPr>
                <w:kern w:val="0"/>
                <w:szCs w:val="21"/>
              </w:rPr>
              <w:t>17.9</w:t>
            </w:r>
          </w:p>
        </w:tc>
        <w:tc>
          <w:tcPr>
            <w:tcW w:w="1069" w:type="dxa"/>
            <w:vAlign w:val="center"/>
          </w:tcPr>
          <w:p w:rsidR="00475650" w:rsidRDefault="00475650">
            <w:pPr>
              <w:jc w:val="center"/>
              <w:rPr>
                <w:kern w:val="0"/>
                <w:szCs w:val="21"/>
              </w:rPr>
            </w:pPr>
            <w:r>
              <w:rPr>
                <w:kern w:val="0"/>
                <w:szCs w:val="21"/>
              </w:rPr>
              <w:t>99.9</w:t>
            </w:r>
          </w:p>
        </w:tc>
        <w:tc>
          <w:tcPr>
            <w:tcW w:w="1068" w:type="dxa"/>
            <w:vAlign w:val="center"/>
          </w:tcPr>
          <w:p w:rsidR="00475650" w:rsidRDefault="00475650">
            <w:pPr>
              <w:jc w:val="center"/>
              <w:rPr>
                <w:kern w:val="0"/>
                <w:szCs w:val="21"/>
              </w:rPr>
            </w:pPr>
            <w:r>
              <w:rPr>
                <w:kern w:val="0"/>
                <w:szCs w:val="21"/>
              </w:rPr>
              <w:t>79.5</w:t>
            </w:r>
          </w:p>
        </w:tc>
        <w:tc>
          <w:tcPr>
            <w:tcW w:w="1068" w:type="dxa"/>
            <w:vAlign w:val="center"/>
          </w:tcPr>
          <w:p w:rsidR="00475650" w:rsidRDefault="00475650">
            <w:pPr>
              <w:jc w:val="center"/>
              <w:rPr>
                <w:szCs w:val="21"/>
              </w:rPr>
            </w:pPr>
            <w:r>
              <w:rPr>
                <w:szCs w:val="21"/>
              </w:rPr>
              <w:t>0.896</w:t>
            </w:r>
          </w:p>
        </w:tc>
        <w:tc>
          <w:tcPr>
            <w:tcW w:w="1069" w:type="dxa"/>
            <w:vAlign w:val="center"/>
          </w:tcPr>
          <w:p w:rsidR="00475650" w:rsidRDefault="00475650">
            <w:pPr>
              <w:jc w:val="center"/>
              <w:rPr>
                <w:szCs w:val="21"/>
              </w:rPr>
            </w:pPr>
            <w:r>
              <w:rPr>
                <w:szCs w:val="21"/>
              </w:rPr>
              <w:t>NNE</w:t>
            </w:r>
          </w:p>
        </w:tc>
      </w:tr>
      <w:tr w:rsidR="00475650">
        <w:trPr>
          <w:trHeight w:hRule="exact" w:val="312"/>
          <w:jc w:val="center"/>
        </w:trPr>
        <w:tc>
          <w:tcPr>
            <w:tcW w:w="618" w:type="dxa"/>
            <w:vMerge/>
            <w:vAlign w:val="center"/>
          </w:tcPr>
          <w:p w:rsidR="00475650" w:rsidRDefault="00475650">
            <w:pPr>
              <w:jc w:val="center"/>
              <w:rPr>
                <w:szCs w:val="21"/>
              </w:rPr>
            </w:pPr>
          </w:p>
        </w:tc>
        <w:tc>
          <w:tcPr>
            <w:tcW w:w="1080" w:type="dxa"/>
            <w:vMerge/>
            <w:vAlign w:val="center"/>
          </w:tcPr>
          <w:p w:rsidR="00475650" w:rsidRDefault="00475650">
            <w:pPr>
              <w:spacing w:line="240" w:lineRule="atLeast"/>
              <w:jc w:val="center"/>
              <w:rPr>
                <w:b/>
                <w:szCs w:val="21"/>
              </w:rPr>
            </w:pPr>
          </w:p>
        </w:tc>
        <w:tc>
          <w:tcPr>
            <w:tcW w:w="1428" w:type="dxa"/>
            <w:vAlign w:val="center"/>
          </w:tcPr>
          <w:p w:rsidR="00475650" w:rsidRDefault="00475650">
            <w:pPr>
              <w:jc w:val="center"/>
              <w:rPr>
                <w:kern w:val="0"/>
                <w:szCs w:val="21"/>
              </w:rPr>
            </w:pPr>
            <w:r>
              <w:rPr>
                <w:kern w:val="0"/>
                <w:szCs w:val="21"/>
              </w:rPr>
              <w:t>14:00-14:45</w:t>
            </w:r>
            <w:r>
              <w:rPr>
                <w:szCs w:val="20"/>
              </w:rPr>
              <w:t xml:space="preserve"> </w:t>
            </w:r>
            <w:r>
              <w:rPr>
                <w:kern w:val="0"/>
                <w:szCs w:val="21"/>
              </w:rPr>
              <w:t>20:00-20:45</w:t>
            </w:r>
          </w:p>
        </w:tc>
        <w:tc>
          <w:tcPr>
            <w:tcW w:w="1068" w:type="dxa"/>
            <w:vAlign w:val="center"/>
          </w:tcPr>
          <w:p w:rsidR="00475650" w:rsidRDefault="00475650">
            <w:pPr>
              <w:jc w:val="center"/>
              <w:rPr>
                <w:kern w:val="0"/>
                <w:szCs w:val="21"/>
              </w:rPr>
            </w:pPr>
            <w:r>
              <w:rPr>
                <w:kern w:val="0"/>
                <w:szCs w:val="21"/>
              </w:rPr>
              <w:t>21.5</w:t>
            </w:r>
          </w:p>
        </w:tc>
        <w:tc>
          <w:tcPr>
            <w:tcW w:w="1069" w:type="dxa"/>
            <w:vAlign w:val="center"/>
          </w:tcPr>
          <w:p w:rsidR="00475650" w:rsidRDefault="00475650">
            <w:pPr>
              <w:jc w:val="center"/>
              <w:rPr>
                <w:kern w:val="0"/>
                <w:szCs w:val="21"/>
              </w:rPr>
            </w:pPr>
            <w:r>
              <w:rPr>
                <w:kern w:val="0"/>
                <w:szCs w:val="21"/>
              </w:rPr>
              <w:t>99.7</w:t>
            </w:r>
          </w:p>
        </w:tc>
        <w:tc>
          <w:tcPr>
            <w:tcW w:w="1068" w:type="dxa"/>
            <w:vAlign w:val="center"/>
          </w:tcPr>
          <w:p w:rsidR="00475650" w:rsidRDefault="00475650">
            <w:pPr>
              <w:jc w:val="center"/>
              <w:rPr>
                <w:kern w:val="0"/>
                <w:szCs w:val="21"/>
              </w:rPr>
            </w:pPr>
            <w:r>
              <w:rPr>
                <w:kern w:val="0"/>
                <w:szCs w:val="21"/>
              </w:rPr>
              <w:t>76.2</w:t>
            </w:r>
          </w:p>
        </w:tc>
        <w:tc>
          <w:tcPr>
            <w:tcW w:w="1068" w:type="dxa"/>
            <w:vAlign w:val="center"/>
          </w:tcPr>
          <w:p w:rsidR="00475650" w:rsidRDefault="00475650">
            <w:pPr>
              <w:jc w:val="center"/>
              <w:rPr>
                <w:szCs w:val="21"/>
              </w:rPr>
            </w:pPr>
            <w:r>
              <w:rPr>
                <w:szCs w:val="21"/>
              </w:rPr>
              <w:t>1.219</w:t>
            </w:r>
          </w:p>
        </w:tc>
        <w:tc>
          <w:tcPr>
            <w:tcW w:w="1069" w:type="dxa"/>
            <w:vAlign w:val="center"/>
          </w:tcPr>
          <w:p w:rsidR="00475650" w:rsidRDefault="00475650">
            <w:pPr>
              <w:jc w:val="center"/>
              <w:rPr>
                <w:szCs w:val="21"/>
              </w:rPr>
            </w:pPr>
            <w:r>
              <w:rPr>
                <w:szCs w:val="21"/>
              </w:rPr>
              <w:t>NE</w:t>
            </w:r>
          </w:p>
        </w:tc>
      </w:tr>
      <w:tr w:rsidR="00475650">
        <w:trPr>
          <w:trHeight w:hRule="exact" w:val="312"/>
          <w:jc w:val="center"/>
        </w:trPr>
        <w:tc>
          <w:tcPr>
            <w:tcW w:w="618" w:type="dxa"/>
            <w:vMerge/>
            <w:vAlign w:val="center"/>
          </w:tcPr>
          <w:p w:rsidR="00475650" w:rsidRDefault="00475650">
            <w:pPr>
              <w:jc w:val="center"/>
              <w:rPr>
                <w:szCs w:val="21"/>
              </w:rPr>
            </w:pPr>
          </w:p>
        </w:tc>
        <w:tc>
          <w:tcPr>
            <w:tcW w:w="1080" w:type="dxa"/>
            <w:vMerge/>
            <w:vAlign w:val="center"/>
          </w:tcPr>
          <w:p w:rsidR="00475650" w:rsidRDefault="00475650">
            <w:pPr>
              <w:spacing w:line="240" w:lineRule="atLeast"/>
              <w:jc w:val="center"/>
              <w:rPr>
                <w:b/>
                <w:szCs w:val="21"/>
              </w:rPr>
            </w:pPr>
          </w:p>
        </w:tc>
        <w:tc>
          <w:tcPr>
            <w:tcW w:w="1428" w:type="dxa"/>
            <w:vAlign w:val="center"/>
          </w:tcPr>
          <w:p w:rsidR="00475650" w:rsidRDefault="00475650">
            <w:pPr>
              <w:jc w:val="center"/>
              <w:rPr>
                <w:szCs w:val="21"/>
              </w:rPr>
            </w:pPr>
            <w:r>
              <w:rPr>
                <w:szCs w:val="21"/>
              </w:rPr>
              <w:t>20:00-20:45</w:t>
            </w:r>
          </w:p>
        </w:tc>
        <w:tc>
          <w:tcPr>
            <w:tcW w:w="1068" w:type="dxa"/>
            <w:vAlign w:val="center"/>
          </w:tcPr>
          <w:p w:rsidR="00475650" w:rsidRDefault="00475650">
            <w:pPr>
              <w:jc w:val="center"/>
              <w:rPr>
                <w:kern w:val="0"/>
                <w:szCs w:val="21"/>
              </w:rPr>
            </w:pPr>
            <w:r>
              <w:rPr>
                <w:kern w:val="0"/>
                <w:szCs w:val="21"/>
              </w:rPr>
              <w:t>19.5</w:t>
            </w:r>
          </w:p>
        </w:tc>
        <w:tc>
          <w:tcPr>
            <w:tcW w:w="1069" w:type="dxa"/>
            <w:vAlign w:val="center"/>
          </w:tcPr>
          <w:p w:rsidR="00475650" w:rsidRDefault="00475650">
            <w:pPr>
              <w:jc w:val="center"/>
              <w:rPr>
                <w:kern w:val="0"/>
                <w:szCs w:val="21"/>
              </w:rPr>
            </w:pPr>
            <w:r>
              <w:rPr>
                <w:kern w:val="0"/>
                <w:szCs w:val="21"/>
              </w:rPr>
              <w:t>100.4</w:t>
            </w:r>
          </w:p>
        </w:tc>
        <w:tc>
          <w:tcPr>
            <w:tcW w:w="1068" w:type="dxa"/>
            <w:vAlign w:val="center"/>
          </w:tcPr>
          <w:p w:rsidR="00475650" w:rsidRDefault="00475650">
            <w:pPr>
              <w:jc w:val="center"/>
              <w:rPr>
                <w:kern w:val="0"/>
                <w:szCs w:val="21"/>
              </w:rPr>
            </w:pPr>
            <w:r>
              <w:rPr>
                <w:kern w:val="0"/>
                <w:szCs w:val="21"/>
              </w:rPr>
              <w:t>79.2</w:t>
            </w:r>
          </w:p>
        </w:tc>
        <w:tc>
          <w:tcPr>
            <w:tcW w:w="1068" w:type="dxa"/>
            <w:vAlign w:val="center"/>
          </w:tcPr>
          <w:p w:rsidR="00475650" w:rsidRDefault="00475650">
            <w:pPr>
              <w:jc w:val="center"/>
              <w:rPr>
                <w:szCs w:val="21"/>
              </w:rPr>
            </w:pPr>
            <w:r>
              <w:rPr>
                <w:szCs w:val="21"/>
              </w:rPr>
              <w:t>1.152</w:t>
            </w:r>
          </w:p>
        </w:tc>
        <w:tc>
          <w:tcPr>
            <w:tcW w:w="1069" w:type="dxa"/>
            <w:vAlign w:val="center"/>
          </w:tcPr>
          <w:p w:rsidR="00475650" w:rsidRDefault="00475650">
            <w:pPr>
              <w:jc w:val="center"/>
              <w:rPr>
                <w:szCs w:val="21"/>
              </w:rPr>
            </w:pPr>
            <w:r>
              <w:rPr>
                <w:szCs w:val="21"/>
              </w:rPr>
              <w:t>NNE</w:t>
            </w:r>
          </w:p>
        </w:tc>
      </w:tr>
    </w:tbl>
    <w:p w:rsidR="00475650" w:rsidRDefault="00475650">
      <w:pPr>
        <w:tabs>
          <w:tab w:val="left" w:pos="484"/>
        </w:tabs>
        <w:autoSpaceDE w:val="0"/>
        <w:autoSpaceDN w:val="0"/>
        <w:adjustRightInd w:val="0"/>
        <w:snapToGrid w:val="0"/>
        <w:spacing w:line="360" w:lineRule="auto"/>
        <w:ind w:firstLineChars="200" w:firstLine="480"/>
        <w:rPr>
          <w:sz w:val="24"/>
        </w:rPr>
      </w:pPr>
    </w:p>
    <w:p w:rsidR="00475650" w:rsidRDefault="00475650">
      <w:pPr>
        <w:tabs>
          <w:tab w:val="left" w:pos="484"/>
        </w:tabs>
        <w:autoSpaceDE w:val="0"/>
        <w:autoSpaceDN w:val="0"/>
        <w:adjustRightInd w:val="0"/>
        <w:snapToGrid w:val="0"/>
        <w:spacing w:line="360" w:lineRule="auto"/>
        <w:ind w:firstLineChars="200" w:firstLine="480"/>
        <w:rPr>
          <w:sz w:val="24"/>
        </w:rPr>
      </w:pPr>
      <w:r>
        <w:rPr>
          <w:rFonts w:hAnsi="宋体"/>
          <w:sz w:val="24"/>
        </w:rPr>
        <w:t>五、监测结果统计</w:t>
      </w:r>
    </w:p>
    <w:p w:rsidR="00475650" w:rsidRDefault="00475650">
      <w:pPr>
        <w:spacing w:line="360" w:lineRule="auto"/>
        <w:ind w:firstLineChars="200" w:firstLine="480"/>
        <w:rPr>
          <w:sz w:val="24"/>
          <w:szCs w:val="20"/>
        </w:rPr>
      </w:pPr>
      <w:r>
        <w:rPr>
          <w:rFonts w:hAnsi="宋体"/>
          <w:sz w:val="24"/>
          <w:szCs w:val="20"/>
        </w:rPr>
        <w:t>环境空气质量现状监测与评价结果见表</w:t>
      </w:r>
      <w:r>
        <w:rPr>
          <w:sz w:val="24"/>
          <w:szCs w:val="20"/>
        </w:rPr>
        <w:t>4.3-3</w:t>
      </w:r>
      <w:r>
        <w:rPr>
          <w:rFonts w:hAnsi="宋体"/>
          <w:sz w:val="24"/>
          <w:szCs w:val="20"/>
        </w:rPr>
        <w:t>。</w:t>
      </w:r>
    </w:p>
    <w:p w:rsidR="00475650" w:rsidRDefault="00475650">
      <w:pPr>
        <w:spacing w:line="360" w:lineRule="auto"/>
        <w:ind w:firstLineChars="200" w:firstLine="480"/>
        <w:rPr>
          <w:sz w:val="24"/>
          <w:szCs w:val="20"/>
        </w:rPr>
      </w:pPr>
      <w:r>
        <w:rPr>
          <w:rFonts w:hAnsi="宋体"/>
          <w:sz w:val="24"/>
          <w:szCs w:val="20"/>
        </w:rPr>
        <w:t>六、监测结论</w:t>
      </w:r>
    </w:p>
    <w:p w:rsidR="00475650" w:rsidRDefault="00475650">
      <w:pPr>
        <w:spacing w:line="360" w:lineRule="auto"/>
        <w:ind w:firstLineChars="200" w:firstLine="480"/>
        <w:rPr>
          <w:sz w:val="24"/>
          <w:szCs w:val="20"/>
        </w:rPr>
        <w:sectPr w:rsidR="00475650">
          <w:headerReference w:type="even" r:id="rId43"/>
          <w:headerReference w:type="default" r:id="rId44"/>
          <w:footerReference w:type="default" r:id="rId45"/>
          <w:headerReference w:type="first" r:id="rId46"/>
          <w:pgSz w:w="11906" w:h="16838"/>
          <w:pgMar w:top="1701" w:right="1588" w:bottom="1418" w:left="1588" w:header="851" w:footer="1021" w:gutter="0"/>
          <w:paperSrc w:first="7" w:other="7"/>
          <w:cols w:space="720"/>
          <w:docGrid w:linePitch="312"/>
        </w:sectPr>
      </w:pPr>
      <w:r>
        <w:rPr>
          <w:rFonts w:hAnsi="宋体"/>
          <w:sz w:val="24"/>
          <w:szCs w:val="20"/>
        </w:rPr>
        <w:t>由表</w:t>
      </w:r>
      <w:r>
        <w:rPr>
          <w:sz w:val="24"/>
          <w:szCs w:val="20"/>
        </w:rPr>
        <w:t>4.3-3</w:t>
      </w:r>
      <w:r>
        <w:rPr>
          <w:rFonts w:hAnsi="宋体"/>
          <w:sz w:val="24"/>
          <w:szCs w:val="20"/>
        </w:rPr>
        <w:t>可见，各监测点位监测因子的浓度值均符合相关评价标准的要求，未有超标现象。本项目特征因子氯化氢均未检出，氨的最大值占标率为</w:t>
      </w:r>
      <w:r>
        <w:rPr>
          <w:sz w:val="24"/>
          <w:szCs w:val="20"/>
        </w:rPr>
        <w:t>65.5%</w:t>
      </w:r>
      <w:r>
        <w:rPr>
          <w:rFonts w:hAnsi="宋体"/>
          <w:sz w:val="24"/>
          <w:szCs w:val="20"/>
        </w:rPr>
        <w:t>，园区空气具有一定的环境容量。</w:t>
      </w:r>
      <w:r>
        <w:rPr>
          <w:sz w:val="24"/>
          <w:szCs w:val="20"/>
        </w:rPr>
        <w:t>PM</w:t>
      </w:r>
      <w:r>
        <w:rPr>
          <w:sz w:val="24"/>
          <w:szCs w:val="20"/>
          <w:vertAlign w:val="subscript"/>
        </w:rPr>
        <w:t>10</w:t>
      </w:r>
      <w:r>
        <w:rPr>
          <w:rFonts w:hAnsi="宋体"/>
          <w:sz w:val="24"/>
          <w:szCs w:val="20"/>
        </w:rPr>
        <w:t>占标率相对较高，根据分析，粉尘浓度受园区建设及道路扬尘贡献较大，园区应加强施工场及运输道路的洒水抑尘措施。</w:t>
      </w:r>
    </w:p>
    <w:p w:rsidR="00475650" w:rsidRDefault="00475650">
      <w:pPr>
        <w:spacing w:line="360" w:lineRule="auto"/>
        <w:jc w:val="center"/>
        <w:rPr>
          <w:b/>
          <w:sz w:val="24"/>
        </w:rPr>
      </w:pPr>
      <w:r>
        <w:rPr>
          <w:rFonts w:hAnsi="宋体"/>
          <w:b/>
          <w:sz w:val="24"/>
        </w:rPr>
        <w:lastRenderedPageBreak/>
        <w:t>表</w:t>
      </w:r>
      <w:r>
        <w:rPr>
          <w:b/>
          <w:sz w:val="24"/>
        </w:rPr>
        <w:t xml:space="preserve">4.3-3  </w:t>
      </w:r>
      <w:r>
        <w:rPr>
          <w:rFonts w:hAnsi="宋体"/>
          <w:b/>
          <w:sz w:val="24"/>
        </w:rPr>
        <w:t>环境空气质量现状监测与评价结果表</w:t>
      </w:r>
      <w:r>
        <w:rPr>
          <w:b/>
          <w:sz w:val="24"/>
        </w:rPr>
        <w:t xml:space="preserve">    </w:t>
      </w:r>
      <w:r>
        <w:rPr>
          <w:rFonts w:hAnsi="宋体"/>
          <w:b/>
          <w:sz w:val="24"/>
        </w:rPr>
        <w:t>单位：</w:t>
      </w:r>
      <w:r>
        <w:rPr>
          <w:b/>
          <w:sz w:val="24"/>
        </w:rPr>
        <w:t>mg/m</w:t>
      </w:r>
      <w:r>
        <w:rPr>
          <w:b/>
          <w:sz w:val="24"/>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tblPr>
      <w:tblGrid>
        <w:gridCol w:w="961"/>
        <w:gridCol w:w="939"/>
        <w:gridCol w:w="3814"/>
        <w:gridCol w:w="2123"/>
        <w:gridCol w:w="2145"/>
        <w:gridCol w:w="2123"/>
        <w:gridCol w:w="1644"/>
      </w:tblGrid>
      <w:tr w:rsidR="00475650">
        <w:trPr>
          <w:trHeight w:val="350"/>
          <w:jc w:val="center"/>
        </w:trPr>
        <w:tc>
          <w:tcPr>
            <w:tcW w:w="961"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监测点</w:t>
            </w:r>
          </w:p>
        </w:tc>
        <w:tc>
          <w:tcPr>
            <w:tcW w:w="939"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频次</w:t>
            </w:r>
          </w:p>
        </w:tc>
        <w:tc>
          <w:tcPr>
            <w:tcW w:w="3814" w:type="dxa"/>
            <w:vAlign w:val="center"/>
          </w:tcPr>
          <w:p w:rsidR="00475650" w:rsidRDefault="00475650">
            <w:pPr>
              <w:autoSpaceDE w:val="0"/>
              <w:autoSpaceDN w:val="0"/>
              <w:adjustRightInd w:val="0"/>
              <w:spacing w:line="240" w:lineRule="atLeast"/>
              <w:jc w:val="center"/>
              <w:textAlignment w:val="baseline"/>
              <w:rPr>
                <w:bCs/>
                <w:kern w:val="0"/>
                <w:szCs w:val="21"/>
              </w:rPr>
            </w:pPr>
            <w:r>
              <w:rPr>
                <w:rFonts w:hAnsi="宋体"/>
                <w:kern w:val="0"/>
                <w:szCs w:val="21"/>
              </w:rPr>
              <w:t>项目</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SO</w:t>
            </w:r>
            <w:r>
              <w:rPr>
                <w:kern w:val="0"/>
                <w:szCs w:val="21"/>
                <w:vertAlign w:val="subscript"/>
              </w:rPr>
              <w:t>2</w:t>
            </w:r>
          </w:p>
        </w:tc>
        <w:tc>
          <w:tcPr>
            <w:tcW w:w="2145"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NO</w:t>
            </w:r>
            <w:r>
              <w:rPr>
                <w:kern w:val="0"/>
                <w:szCs w:val="21"/>
                <w:vertAlign w:val="subscript"/>
              </w:rPr>
              <w:t>2</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PM</w:t>
            </w:r>
            <w:r>
              <w:rPr>
                <w:kern w:val="0"/>
                <w:szCs w:val="21"/>
                <w:vertAlign w:val="subscript"/>
              </w:rPr>
              <w:t>10</w:t>
            </w:r>
          </w:p>
        </w:tc>
        <w:tc>
          <w:tcPr>
            <w:tcW w:w="1644"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氯化氢</w:t>
            </w:r>
          </w:p>
        </w:tc>
      </w:tr>
      <w:tr w:rsidR="00475650">
        <w:trPr>
          <w:trHeight w:val="170"/>
          <w:jc w:val="center"/>
        </w:trPr>
        <w:tc>
          <w:tcPr>
            <w:tcW w:w="961" w:type="dxa"/>
            <w:vMerge w:val="restart"/>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A1</w:t>
            </w:r>
          </w:p>
        </w:tc>
        <w:tc>
          <w:tcPr>
            <w:tcW w:w="939" w:type="dxa"/>
            <w:vMerge w:val="restart"/>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日</w:t>
            </w:r>
          </w:p>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均</w:t>
            </w:r>
          </w:p>
          <w:p w:rsidR="00475650" w:rsidRDefault="00475650">
            <w:pPr>
              <w:autoSpaceDE w:val="0"/>
              <w:autoSpaceDN w:val="0"/>
              <w:adjustRightInd w:val="0"/>
              <w:spacing w:line="240" w:lineRule="atLeast"/>
              <w:jc w:val="center"/>
              <w:textAlignment w:val="baseline"/>
              <w:rPr>
                <w:kern w:val="0"/>
                <w:szCs w:val="21"/>
              </w:rPr>
            </w:pPr>
          </w:p>
        </w:tc>
        <w:tc>
          <w:tcPr>
            <w:tcW w:w="3814"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浓度范围（</w:t>
            </w:r>
            <w:r>
              <w:rPr>
                <w:kern w:val="0"/>
                <w:szCs w:val="21"/>
              </w:rPr>
              <w:t>mg/m</w:t>
            </w:r>
            <w:r>
              <w:rPr>
                <w:kern w:val="0"/>
                <w:szCs w:val="21"/>
                <w:vertAlign w:val="superscript"/>
              </w:rPr>
              <w:t>3</w:t>
            </w:r>
            <w:r>
              <w:rPr>
                <w:rFonts w:hAnsi="宋体"/>
                <w:kern w:val="0"/>
                <w:szCs w:val="21"/>
              </w:rPr>
              <w:t>）</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0.038-0.051</w:t>
            </w:r>
          </w:p>
        </w:tc>
        <w:tc>
          <w:tcPr>
            <w:tcW w:w="2145"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0.027-0.041</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0.092-0.140</w:t>
            </w:r>
          </w:p>
        </w:tc>
        <w:tc>
          <w:tcPr>
            <w:tcW w:w="1644"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0.003L</w:t>
            </w:r>
          </w:p>
        </w:tc>
      </w:tr>
      <w:tr w:rsidR="00475650">
        <w:trPr>
          <w:trHeight w:val="170"/>
          <w:jc w:val="center"/>
        </w:trPr>
        <w:tc>
          <w:tcPr>
            <w:tcW w:w="961"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939"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3814"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最大值占标率（</w:t>
            </w:r>
            <w:r>
              <w:rPr>
                <w:kern w:val="0"/>
                <w:szCs w:val="21"/>
              </w:rPr>
              <w:t>%</w:t>
            </w:r>
            <w:r>
              <w:rPr>
                <w:rFonts w:hAnsi="宋体"/>
                <w:kern w:val="0"/>
                <w:szCs w:val="21"/>
              </w:rPr>
              <w:t>）</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34.0</w:t>
            </w:r>
          </w:p>
        </w:tc>
        <w:tc>
          <w:tcPr>
            <w:tcW w:w="2145"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51.2</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93.3</w:t>
            </w:r>
          </w:p>
        </w:tc>
        <w:tc>
          <w:tcPr>
            <w:tcW w:w="1644"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w:t>
            </w:r>
          </w:p>
        </w:tc>
      </w:tr>
      <w:tr w:rsidR="00475650">
        <w:trPr>
          <w:trHeight w:val="170"/>
          <w:jc w:val="center"/>
        </w:trPr>
        <w:tc>
          <w:tcPr>
            <w:tcW w:w="961"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939"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3814"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超标率（</w:t>
            </w:r>
            <w:r>
              <w:rPr>
                <w:kern w:val="0"/>
                <w:szCs w:val="21"/>
              </w:rPr>
              <w:t>%</w:t>
            </w:r>
            <w:r>
              <w:rPr>
                <w:rFonts w:hAnsi="宋体"/>
                <w:kern w:val="0"/>
                <w:szCs w:val="21"/>
              </w:rPr>
              <w:t>）</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c>
          <w:tcPr>
            <w:tcW w:w="2145"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c>
          <w:tcPr>
            <w:tcW w:w="1644"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r>
      <w:tr w:rsidR="00475650">
        <w:trPr>
          <w:trHeight w:val="170"/>
          <w:jc w:val="center"/>
        </w:trPr>
        <w:tc>
          <w:tcPr>
            <w:tcW w:w="961"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939"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3814"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最大超标倍数</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c>
          <w:tcPr>
            <w:tcW w:w="2145"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c>
          <w:tcPr>
            <w:tcW w:w="1644"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r>
      <w:tr w:rsidR="00475650">
        <w:trPr>
          <w:trHeight w:val="342"/>
          <w:jc w:val="center"/>
        </w:trPr>
        <w:tc>
          <w:tcPr>
            <w:tcW w:w="961" w:type="dxa"/>
            <w:vMerge w:val="restart"/>
            <w:vAlign w:val="center"/>
          </w:tcPr>
          <w:p w:rsidR="00475650" w:rsidRDefault="00475650">
            <w:pPr>
              <w:autoSpaceDE w:val="0"/>
              <w:autoSpaceDN w:val="0"/>
              <w:adjustRightInd w:val="0"/>
              <w:spacing w:line="240" w:lineRule="atLeast"/>
              <w:jc w:val="center"/>
              <w:textAlignment w:val="baseline"/>
              <w:rPr>
                <w:bCs/>
                <w:kern w:val="0"/>
                <w:szCs w:val="21"/>
              </w:rPr>
            </w:pPr>
            <w:r>
              <w:rPr>
                <w:kern w:val="0"/>
                <w:szCs w:val="21"/>
              </w:rPr>
              <w:t>A2</w:t>
            </w:r>
          </w:p>
        </w:tc>
        <w:tc>
          <w:tcPr>
            <w:tcW w:w="939" w:type="dxa"/>
            <w:vMerge w:val="restart"/>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日</w:t>
            </w:r>
          </w:p>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均</w:t>
            </w:r>
          </w:p>
          <w:p w:rsidR="00475650" w:rsidRDefault="00475650">
            <w:pPr>
              <w:autoSpaceDE w:val="0"/>
              <w:autoSpaceDN w:val="0"/>
              <w:adjustRightInd w:val="0"/>
              <w:spacing w:line="240" w:lineRule="atLeast"/>
              <w:jc w:val="center"/>
              <w:textAlignment w:val="baseline"/>
              <w:rPr>
                <w:kern w:val="0"/>
                <w:szCs w:val="21"/>
              </w:rPr>
            </w:pPr>
          </w:p>
        </w:tc>
        <w:tc>
          <w:tcPr>
            <w:tcW w:w="3814" w:type="dxa"/>
            <w:vAlign w:val="center"/>
          </w:tcPr>
          <w:p w:rsidR="00475650" w:rsidRDefault="00475650">
            <w:pPr>
              <w:autoSpaceDE w:val="0"/>
              <w:autoSpaceDN w:val="0"/>
              <w:adjustRightInd w:val="0"/>
              <w:spacing w:line="240" w:lineRule="atLeast"/>
              <w:jc w:val="center"/>
              <w:textAlignment w:val="baseline"/>
              <w:rPr>
                <w:bCs/>
                <w:kern w:val="0"/>
                <w:szCs w:val="21"/>
              </w:rPr>
            </w:pPr>
            <w:r>
              <w:rPr>
                <w:rFonts w:hAnsi="宋体"/>
                <w:kern w:val="0"/>
                <w:szCs w:val="21"/>
              </w:rPr>
              <w:t>浓度范围（</w:t>
            </w:r>
            <w:r>
              <w:rPr>
                <w:kern w:val="0"/>
                <w:szCs w:val="21"/>
              </w:rPr>
              <w:t>mg/m</w:t>
            </w:r>
            <w:r>
              <w:rPr>
                <w:kern w:val="0"/>
                <w:szCs w:val="21"/>
                <w:vertAlign w:val="superscript"/>
              </w:rPr>
              <w:t>3</w:t>
            </w:r>
            <w:r>
              <w:rPr>
                <w:rFonts w:hAnsi="宋体"/>
                <w:kern w:val="0"/>
                <w:szCs w:val="21"/>
              </w:rPr>
              <w:t>）</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0.039-0.054</w:t>
            </w:r>
          </w:p>
        </w:tc>
        <w:tc>
          <w:tcPr>
            <w:tcW w:w="2145"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0.024-0.042</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0.102-0.133</w:t>
            </w:r>
          </w:p>
        </w:tc>
        <w:tc>
          <w:tcPr>
            <w:tcW w:w="1644"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0.003L</w:t>
            </w:r>
          </w:p>
        </w:tc>
      </w:tr>
      <w:tr w:rsidR="00475650">
        <w:trPr>
          <w:trHeight w:val="170"/>
          <w:jc w:val="center"/>
        </w:trPr>
        <w:tc>
          <w:tcPr>
            <w:tcW w:w="961"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939"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3814"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最大值占标率（</w:t>
            </w:r>
            <w:r>
              <w:rPr>
                <w:kern w:val="0"/>
                <w:szCs w:val="21"/>
              </w:rPr>
              <w:t>%</w:t>
            </w:r>
            <w:r>
              <w:rPr>
                <w:rFonts w:hAnsi="宋体"/>
                <w:kern w:val="0"/>
                <w:szCs w:val="21"/>
              </w:rPr>
              <w:t>）</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36.0</w:t>
            </w:r>
          </w:p>
        </w:tc>
        <w:tc>
          <w:tcPr>
            <w:tcW w:w="2145"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52.5</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88.6</w:t>
            </w:r>
          </w:p>
        </w:tc>
        <w:tc>
          <w:tcPr>
            <w:tcW w:w="1644"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w:t>
            </w:r>
          </w:p>
        </w:tc>
      </w:tr>
      <w:tr w:rsidR="00475650">
        <w:trPr>
          <w:trHeight w:val="170"/>
          <w:jc w:val="center"/>
        </w:trPr>
        <w:tc>
          <w:tcPr>
            <w:tcW w:w="961"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939"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3814"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超标率（</w:t>
            </w:r>
            <w:r>
              <w:rPr>
                <w:kern w:val="0"/>
                <w:szCs w:val="21"/>
              </w:rPr>
              <w:t>%</w:t>
            </w:r>
            <w:r>
              <w:rPr>
                <w:rFonts w:hAnsi="宋体"/>
                <w:kern w:val="0"/>
                <w:szCs w:val="21"/>
              </w:rPr>
              <w:t>）</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c>
          <w:tcPr>
            <w:tcW w:w="2145"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c>
          <w:tcPr>
            <w:tcW w:w="1644"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r>
      <w:tr w:rsidR="00475650">
        <w:trPr>
          <w:trHeight w:val="170"/>
          <w:jc w:val="center"/>
        </w:trPr>
        <w:tc>
          <w:tcPr>
            <w:tcW w:w="961"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939"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3814"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最大超标倍数</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c>
          <w:tcPr>
            <w:tcW w:w="2145"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c>
          <w:tcPr>
            <w:tcW w:w="1644"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r>
      <w:tr w:rsidR="00475650">
        <w:trPr>
          <w:trHeight w:val="246"/>
          <w:jc w:val="center"/>
        </w:trPr>
        <w:tc>
          <w:tcPr>
            <w:tcW w:w="961" w:type="dxa"/>
            <w:vMerge w:val="restart"/>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A3</w:t>
            </w:r>
          </w:p>
        </w:tc>
        <w:tc>
          <w:tcPr>
            <w:tcW w:w="939" w:type="dxa"/>
            <w:vMerge w:val="restart"/>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日</w:t>
            </w:r>
          </w:p>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均</w:t>
            </w:r>
          </w:p>
          <w:p w:rsidR="00475650" w:rsidRDefault="00475650">
            <w:pPr>
              <w:autoSpaceDE w:val="0"/>
              <w:autoSpaceDN w:val="0"/>
              <w:adjustRightInd w:val="0"/>
              <w:spacing w:line="240" w:lineRule="atLeast"/>
              <w:jc w:val="center"/>
              <w:textAlignment w:val="baseline"/>
              <w:rPr>
                <w:kern w:val="0"/>
                <w:szCs w:val="21"/>
              </w:rPr>
            </w:pPr>
          </w:p>
        </w:tc>
        <w:tc>
          <w:tcPr>
            <w:tcW w:w="3814" w:type="dxa"/>
            <w:vAlign w:val="center"/>
          </w:tcPr>
          <w:p w:rsidR="00475650" w:rsidRDefault="00475650">
            <w:pPr>
              <w:autoSpaceDE w:val="0"/>
              <w:autoSpaceDN w:val="0"/>
              <w:adjustRightInd w:val="0"/>
              <w:spacing w:line="240" w:lineRule="atLeast"/>
              <w:jc w:val="center"/>
              <w:textAlignment w:val="baseline"/>
              <w:rPr>
                <w:bCs/>
                <w:kern w:val="0"/>
                <w:szCs w:val="21"/>
              </w:rPr>
            </w:pPr>
            <w:r>
              <w:rPr>
                <w:rFonts w:hAnsi="宋体"/>
                <w:kern w:val="0"/>
                <w:szCs w:val="21"/>
              </w:rPr>
              <w:t>浓度范围（</w:t>
            </w:r>
            <w:r>
              <w:rPr>
                <w:kern w:val="0"/>
                <w:szCs w:val="21"/>
              </w:rPr>
              <w:t>mg/m</w:t>
            </w:r>
            <w:r>
              <w:rPr>
                <w:kern w:val="0"/>
                <w:szCs w:val="21"/>
                <w:vertAlign w:val="superscript"/>
              </w:rPr>
              <w:t>3</w:t>
            </w:r>
            <w:r>
              <w:rPr>
                <w:rFonts w:hAnsi="宋体"/>
                <w:kern w:val="0"/>
                <w:szCs w:val="21"/>
              </w:rPr>
              <w:t>）</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0.040-0.056</w:t>
            </w:r>
          </w:p>
        </w:tc>
        <w:tc>
          <w:tcPr>
            <w:tcW w:w="2145"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0.028-0.039</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w:t>
            </w:r>
          </w:p>
        </w:tc>
        <w:tc>
          <w:tcPr>
            <w:tcW w:w="1644"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w:t>
            </w:r>
          </w:p>
        </w:tc>
      </w:tr>
      <w:tr w:rsidR="00475650">
        <w:trPr>
          <w:trHeight w:val="170"/>
          <w:jc w:val="center"/>
        </w:trPr>
        <w:tc>
          <w:tcPr>
            <w:tcW w:w="961"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939"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3814"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最大值占标率（</w:t>
            </w:r>
            <w:r>
              <w:rPr>
                <w:kern w:val="0"/>
                <w:szCs w:val="21"/>
              </w:rPr>
              <w:t>%</w:t>
            </w:r>
            <w:r>
              <w:rPr>
                <w:rFonts w:hAnsi="宋体"/>
                <w:kern w:val="0"/>
                <w:szCs w:val="21"/>
              </w:rPr>
              <w:t>）</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37.3</w:t>
            </w:r>
          </w:p>
        </w:tc>
        <w:tc>
          <w:tcPr>
            <w:tcW w:w="2145"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48.7</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w:t>
            </w:r>
          </w:p>
        </w:tc>
        <w:tc>
          <w:tcPr>
            <w:tcW w:w="1644"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w:t>
            </w:r>
          </w:p>
        </w:tc>
      </w:tr>
      <w:tr w:rsidR="00475650">
        <w:trPr>
          <w:trHeight w:val="170"/>
          <w:jc w:val="center"/>
        </w:trPr>
        <w:tc>
          <w:tcPr>
            <w:tcW w:w="961"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939"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3814"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超标率（</w:t>
            </w:r>
            <w:r>
              <w:rPr>
                <w:kern w:val="0"/>
                <w:szCs w:val="21"/>
              </w:rPr>
              <w:t>%</w:t>
            </w:r>
            <w:r>
              <w:rPr>
                <w:rFonts w:hAnsi="宋体"/>
                <w:kern w:val="0"/>
                <w:szCs w:val="21"/>
              </w:rPr>
              <w:t>）</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c>
          <w:tcPr>
            <w:tcW w:w="2145"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w:t>
            </w:r>
          </w:p>
        </w:tc>
        <w:tc>
          <w:tcPr>
            <w:tcW w:w="1644"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w:t>
            </w:r>
          </w:p>
        </w:tc>
      </w:tr>
      <w:tr w:rsidR="00475650">
        <w:trPr>
          <w:trHeight w:val="170"/>
          <w:jc w:val="center"/>
        </w:trPr>
        <w:tc>
          <w:tcPr>
            <w:tcW w:w="961"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939"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3814"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最大超标倍数</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c>
          <w:tcPr>
            <w:tcW w:w="2145"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w:t>
            </w:r>
          </w:p>
        </w:tc>
        <w:tc>
          <w:tcPr>
            <w:tcW w:w="1644"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w:t>
            </w:r>
          </w:p>
        </w:tc>
      </w:tr>
      <w:tr w:rsidR="00475650">
        <w:trPr>
          <w:trHeight w:val="170"/>
          <w:jc w:val="center"/>
        </w:trPr>
        <w:tc>
          <w:tcPr>
            <w:tcW w:w="5714" w:type="dxa"/>
            <w:gridSpan w:val="3"/>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标准限值（日均）</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0.15</w:t>
            </w:r>
          </w:p>
        </w:tc>
        <w:tc>
          <w:tcPr>
            <w:tcW w:w="2145"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0.08</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0.15</w:t>
            </w:r>
          </w:p>
        </w:tc>
        <w:tc>
          <w:tcPr>
            <w:tcW w:w="1644"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0.015</w:t>
            </w:r>
          </w:p>
        </w:tc>
      </w:tr>
      <w:tr w:rsidR="00475650">
        <w:trPr>
          <w:trHeight w:val="170"/>
          <w:jc w:val="center"/>
        </w:trPr>
        <w:tc>
          <w:tcPr>
            <w:tcW w:w="961" w:type="dxa"/>
            <w:vMerge w:val="restart"/>
          </w:tcPr>
          <w:p w:rsidR="00475650" w:rsidRDefault="00475650">
            <w:pPr>
              <w:rPr>
                <w:szCs w:val="21"/>
              </w:rPr>
            </w:pPr>
          </w:p>
          <w:p w:rsidR="00475650" w:rsidRDefault="00475650">
            <w:pPr>
              <w:rPr>
                <w:szCs w:val="21"/>
              </w:rPr>
            </w:pPr>
          </w:p>
          <w:p w:rsidR="00475650" w:rsidRDefault="00475650">
            <w:pPr>
              <w:jc w:val="center"/>
              <w:rPr>
                <w:szCs w:val="21"/>
              </w:rPr>
            </w:pPr>
            <w:r>
              <w:rPr>
                <w:szCs w:val="21"/>
              </w:rPr>
              <w:t>A1</w:t>
            </w:r>
          </w:p>
          <w:p w:rsidR="00475650" w:rsidRDefault="00475650">
            <w:pPr>
              <w:rPr>
                <w:szCs w:val="21"/>
              </w:rPr>
            </w:pPr>
          </w:p>
        </w:tc>
        <w:tc>
          <w:tcPr>
            <w:tcW w:w="939" w:type="dxa"/>
            <w:vMerge w:val="restart"/>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小</w:t>
            </w:r>
          </w:p>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时</w:t>
            </w:r>
          </w:p>
        </w:tc>
        <w:tc>
          <w:tcPr>
            <w:tcW w:w="3814"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项目</w:t>
            </w:r>
          </w:p>
        </w:tc>
        <w:tc>
          <w:tcPr>
            <w:tcW w:w="2123" w:type="dxa"/>
            <w:vAlign w:val="center"/>
          </w:tcPr>
          <w:p w:rsidR="00475650" w:rsidRDefault="00475650">
            <w:pPr>
              <w:autoSpaceDE w:val="0"/>
              <w:autoSpaceDN w:val="0"/>
              <w:adjustRightInd w:val="0"/>
              <w:spacing w:line="240" w:lineRule="atLeast"/>
              <w:jc w:val="center"/>
              <w:textAlignment w:val="baseline"/>
              <w:rPr>
                <w:bCs/>
                <w:kern w:val="0"/>
                <w:szCs w:val="21"/>
              </w:rPr>
            </w:pPr>
            <w:r>
              <w:rPr>
                <w:kern w:val="0"/>
                <w:szCs w:val="21"/>
              </w:rPr>
              <w:t>SO</w:t>
            </w:r>
            <w:r>
              <w:rPr>
                <w:kern w:val="0"/>
                <w:szCs w:val="21"/>
                <w:vertAlign w:val="subscript"/>
              </w:rPr>
              <w:t>2</w:t>
            </w:r>
          </w:p>
        </w:tc>
        <w:tc>
          <w:tcPr>
            <w:tcW w:w="2145" w:type="dxa"/>
            <w:vAlign w:val="center"/>
          </w:tcPr>
          <w:p w:rsidR="00475650" w:rsidRDefault="00475650">
            <w:pPr>
              <w:autoSpaceDE w:val="0"/>
              <w:autoSpaceDN w:val="0"/>
              <w:adjustRightInd w:val="0"/>
              <w:spacing w:line="240" w:lineRule="atLeast"/>
              <w:jc w:val="center"/>
              <w:textAlignment w:val="baseline"/>
              <w:rPr>
                <w:bCs/>
                <w:kern w:val="0"/>
                <w:szCs w:val="21"/>
              </w:rPr>
            </w:pPr>
            <w:r>
              <w:rPr>
                <w:kern w:val="0"/>
                <w:szCs w:val="21"/>
              </w:rPr>
              <w:t>NO</w:t>
            </w:r>
            <w:r>
              <w:rPr>
                <w:kern w:val="0"/>
                <w:szCs w:val="21"/>
                <w:vertAlign w:val="subscript"/>
              </w:rPr>
              <w:t>2</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氨</w:t>
            </w:r>
          </w:p>
        </w:tc>
        <w:tc>
          <w:tcPr>
            <w:tcW w:w="1644"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氯化氢</w:t>
            </w:r>
          </w:p>
        </w:tc>
      </w:tr>
      <w:tr w:rsidR="00475650">
        <w:trPr>
          <w:trHeight w:val="170"/>
          <w:jc w:val="center"/>
        </w:trPr>
        <w:tc>
          <w:tcPr>
            <w:tcW w:w="961" w:type="dxa"/>
            <w:vMerge/>
          </w:tcPr>
          <w:p w:rsidR="00475650" w:rsidRDefault="00475650">
            <w:pPr>
              <w:rPr>
                <w:szCs w:val="21"/>
              </w:rPr>
            </w:pPr>
          </w:p>
        </w:tc>
        <w:tc>
          <w:tcPr>
            <w:tcW w:w="939"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3814"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浓度范围（</w:t>
            </w:r>
            <w:r>
              <w:rPr>
                <w:kern w:val="0"/>
                <w:szCs w:val="21"/>
              </w:rPr>
              <w:t>mg/m</w:t>
            </w:r>
            <w:r>
              <w:rPr>
                <w:kern w:val="0"/>
                <w:szCs w:val="21"/>
                <w:vertAlign w:val="superscript"/>
              </w:rPr>
              <w:t>3</w:t>
            </w:r>
            <w:r>
              <w:rPr>
                <w:rFonts w:hAnsi="宋体"/>
                <w:kern w:val="0"/>
                <w:szCs w:val="21"/>
              </w:rPr>
              <w:t>）</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0.032-0.060</w:t>
            </w:r>
          </w:p>
        </w:tc>
        <w:tc>
          <w:tcPr>
            <w:tcW w:w="2145"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0.019-0.049</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0.090-0.131</w:t>
            </w:r>
          </w:p>
        </w:tc>
        <w:tc>
          <w:tcPr>
            <w:tcW w:w="1644"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0.003L</w:t>
            </w:r>
          </w:p>
        </w:tc>
      </w:tr>
      <w:tr w:rsidR="00475650">
        <w:trPr>
          <w:trHeight w:val="170"/>
          <w:jc w:val="center"/>
        </w:trPr>
        <w:tc>
          <w:tcPr>
            <w:tcW w:w="961" w:type="dxa"/>
            <w:vMerge/>
          </w:tcPr>
          <w:p w:rsidR="00475650" w:rsidRDefault="00475650">
            <w:pPr>
              <w:rPr>
                <w:szCs w:val="21"/>
              </w:rPr>
            </w:pPr>
          </w:p>
        </w:tc>
        <w:tc>
          <w:tcPr>
            <w:tcW w:w="939"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3814"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最大值占标率（</w:t>
            </w:r>
            <w:r>
              <w:rPr>
                <w:kern w:val="0"/>
                <w:szCs w:val="21"/>
              </w:rPr>
              <w:t>%</w:t>
            </w:r>
            <w:r>
              <w:rPr>
                <w:rFonts w:hAnsi="宋体"/>
                <w:kern w:val="0"/>
                <w:szCs w:val="21"/>
              </w:rPr>
              <w:t>）</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12.0</w:t>
            </w:r>
          </w:p>
        </w:tc>
        <w:tc>
          <w:tcPr>
            <w:tcW w:w="2145"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24.5</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65.5</w:t>
            </w:r>
          </w:p>
        </w:tc>
        <w:tc>
          <w:tcPr>
            <w:tcW w:w="1644"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w:t>
            </w:r>
          </w:p>
        </w:tc>
      </w:tr>
      <w:tr w:rsidR="00475650">
        <w:trPr>
          <w:trHeight w:val="170"/>
          <w:jc w:val="center"/>
        </w:trPr>
        <w:tc>
          <w:tcPr>
            <w:tcW w:w="961" w:type="dxa"/>
            <w:vMerge/>
          </w:tcPr>
          <w:p w:rsidR="00475650" w:rsidRDefault="00475650">
            <w:pPr>
              <w:rPr>
                <w:szCs w:val="21"/>
              </w:rPr>
            </w:pPr>
          </w:p>
        </w:tc>
        <w:tc>
          <w:tcPr>
            <w:tcW w:w="939"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3814"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超标率（</w:t>
            </w:r>
            <w:r>
              <w:rPr>
                <w:kern w:val="0"/>
                <w:szCs w:val="21"/>
              </w:rPr>
              <w:t>%</w:t>
            </w:r>
            <w:r>
              <w:rPr>
                <w:rFonts w:hAnsi="宋体"/>
                <w:kern w:val="0"/>
                <w:szCs w:val="21"/>
              </w:rPr>
              <w:t>）</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c>
          <w:tcPr>
            <w:tcW w:w="2145"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c>
          <w:tcPr>
            <w:tcW w:w="1644"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r>
      <w:tr w:rsidR="00475650">
        <w:trPr>
          <w:trHeight w:val="170"/>
          <w:jc w:val="center"/>
        </w:trPr>
        <w:tc>
          <w:tcPr>
            <w:tcW w:w="961"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939"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3814"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最大超标倍数</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c>
          <w:tcPr>
            <w:tcW w:w="2145"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c>
          <w:tcPr>
            <w:tcW w:w="1644"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r>
      <w:tr w:rsidR="00475650">
        <w:trPr>
          <w:trHeight w:val="170"/>
          <w:jc w:val="center"/>
        </w:trPr>
        <w:tc>
          <w:tcPr>
            <w:tcW w:w="961" w:type="dxa"/>
            <w:vMerge w:val="restart"/>
            <w:vAlign w:val="center"/>
          </w:tcPr>
          <w:p w:rsidR="00475650" w:rsidRDefault="00475650">
            <w:pPr>
              <w:autoSpaceDE w:val="0"/>
              <w:autoSpaceDN w:val="0"/>
              <w:adjustRightInd w:val="0"/>
              <w:spacing w:line="240" w:lineRule="atLeast"/>
              <w:jc w:val="center"/>
              <w:textAlignment w:val="baseline"/>
              <w:rPr>
                <w:bCs/>
                <w:kern w:val="0"/>
                <w:szCs w:val="21"/>
              </w:rPr>
            </w:pPr>
            <w:r>
              <w:rPr>
                <w:kern w:val="0"/>
                <w:szCs w:val="21"/>
              </w:rPr>
              <w:t>A2</w:t>
            </w:r>
          </w:p>
        </w:tc>
        <w:tc>
          <w:tcPr>
            <w:tcW w:w="939" w:type="dxa"/>
            <w:vMerge w:val="restart"/>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小</w:t>
            </w:r>
          </w:p>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时</w:t>
            </w:r>
          </w:p>
        </w:tc>
        <w:tc>
          <w:tcPr>
            <w:tcW w:w="3814"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浓度范围（</w:t>
            </w:r>
            <w:r>
              <w:rPr>
                <w:kern w:val="0"/>
                <w:szCs w:val="21"/>
              </w:rPr>
              <w:t>mg/m</w:t>
            </w:r>
            <w:r>
              <w:rPr>
                <w:kern w:val="0"/>
                <w:szCs w:val="21"/>
                <w:vertAlign w:val="superscript"/>
              </w:rPr>
              <w:t>3</w:t>
            </w:r>
            <w:r>
              <w:rPr>
                <w:rFonts w:hAnsi="宋体"/>
                <w:kern w:val="0"/>
                <w:szCs w:val="21"/>
              </w:rPr>
              <w:t>）</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0.034-0.062</w:t>
            </w:r>
          </w:p>
        </w:tc>
        <w:tc>
          <w:tcPr>
            <w:tcW w:w="2145"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0.015-0.045</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0.093-0.111</w:t>
            </w:r>
          </w:p>
        </w:tc>
        <w:tc>
          <w:tcPr>
            <w:tcW w:w="1644"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0.003L</w:t>
            </w:r>
          </w:p>
        </w:tc>
      </w:tr>
      <w:tr w:rsidR="00475650">
        <w:trPr>
          <w:trHeight w:val="170"/>
          <w:jc w:val="center"/>
        </w:trPr>
        <w:tc>
          <w:tcPr>
            <w:tcW w:w="961"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939"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3814"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最大值占标率（</w:t>
            </w:r>
            <w:r>
              <w:rPr>
                <w:kern w:val="0"/>
                <w:szCs w:val="21"/>
              </w:rPr>
              <w:t>%</w:t>
            </w:r>
            <w:r>
              <w:rPr>
                <w:rFonts w:hAnsi="宋体"/>
                <w:kern w:val="0"/>
                <w:szCs w:val="21"/>
              </w:rPr>
              <w:t>）</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12.4</w:t>
            </w:r>
          </w:p>
        </w:tc>
        <w:tc>
          <w:tcPr>
            <w:tcW w:w="2145"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22.5</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55.5</w:t>
            </w:r>
          </w:p>
        </w:tc>
        <w:tc>
          <w:tcPr>
            <w:tcW w:w="1644"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w:t>
            </w:r>
          </w:p>
        </w:tc>
      </w:tr>
      <w:tr w:rsidR="00475650">
        <w:trPr>
          <w:trHeight w:val="170"/>
          <w:jc w:val="center"/>
        </w:trPr>
        <w:tc>
          <w:tcPr>
            <w:tcW w:w="961"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939"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3814"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超标率（</w:t>
            </w:r>
            <w:r>
              <w:rPr>
                <w:kern w:val="0"/>
                <w:szCs w:val="21"/>
              </w:rPr>
              <w:t>%</w:t>
            </w:r>
            <w:r>
              <w:rPr>
                <w:rFonts w:hAnsi="宋体"/>
                <w:kern w:val="0"/>
                <w:szCs w:val="21"/>
              </w:rPr>
              <w:t>）</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c>
          <w:tcPr>
            <w:tcW w:w="2145"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c>
          <w:tcPr>
            <w:tcW w:w="1644"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r>
      <w:tr w:rsidR="00475650">
        <w:trPr>
          <w:trHeight w:val="170"/>
          <w:jc w:val="center"/>
        </w:trPr>
        <w:tc>
          <w:tcPr>
            <w:tcW w:w="961"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939"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3814"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最大超标倍数</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c>
          <w:tcPr>
            <w:tcW w:w="2145"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c>
          <w:tcPr>
            <w:tcW w:w="1644"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r>
      <w:tr w:rsidR="00475650">
        <w:trPr>
          <w:trHeight w:val="170"/>
          <w:jc w:val="center"/>
        </w:trPr>
        <w:tc>
          <w:tcPr>
            <w:tcW w:w="961" w:type="dxa"/>
            <w:vMerge w:val="restart"/>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A3</w:t>
            </w:r>
          </w:p>
        </w:tc>
        <w:tc>
          <w:tcPr>
            <w:tcW w:w="939" w:type="dxa"/>
            <w:vMerge w:val="restart"/>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小</w:t>
            </w:r>
          </w:p>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时</w:t>
            </w:r>
          </w:p>
        </w:tc>
        <w:tc>
          <w:tcPr>
            <w:tcW w:w="3814"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浓度范围（</w:t>
            </w:r>
            <w:r>
              <w:rPr>
                <w:kern w:val="0"/>
                <w:szCs w:val="21"/>
              </w:rPr>
              <w:t>mg/m</w:t>
            </w:r>
            <w:r>
              <w:rPr>
                <w:kern w:val="0"/>
                <w:szCs w:val="21"/>
                <w:vertAlign w:val="superscript"/>
              </w:rPr>
              <w:t>3</w:t>
            </w:r>
            <w:r>
              <w:rPr>
                <w:rFonts w:hAnsi="宋体"/>
                <w:kern w:val="0"/>
                <w:szCs w:val="21"/>
              </w:rPr>
              <w:t>）</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w:t>
            </w:r>
          </w:p>
        </w:tc>
        <w:tc>
          <w:tcPr>
            <w:tcW w:w="2145"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0.089-0.127</w:t>
            </w:r>
          </w:p>
        </w:tc>
        <w:tc>
          <w:tcPr>
            <w:tcW w:w="1644"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0.003L</w:t>
            </w:r>
          </w:p>
        </w:tc>
      </w:tr>
      <w:tr w:rsidR="00475650">
        <w:trPr>
          <w:trHeight w:val="170"/>
          <w:jc w:val="center"/>
        </w:trPr>
        <w:tc>
          <w:tcPr>
            <w:tcW w:w="961"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939"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3814"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最大值占标率（</w:t>
            </w:r>
            <w:r>
              <w:rPr>
                <w:kern w:val="0"/>
                <w:szCs w:val="21"/>
              </w:rPr>
              <w:t>%</w:t>
            </w:r>
            <w:r>
              <w:rPr>
                <w:rFonts w:hAnsi="宋体"/>
                <w:kern w:val="0"/>
                <w:szCs w:val="21"/>
              </w:rPr>
              <w:t>）</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w:t>
            </w:r>
          </w:p>
        </w:tc>
        <w:tc>
          <w:tcPr>
            <w:tcW w:w="2145"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63.5</w:t>
            </w:r>
          </w:p>
        </w:tc>
        <w:tc>
          <w:tcPr>
            <w:tcW w:w="1644"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w:t>
            </w:r>
          </w:p>
        </w:tc>
      </w:tr>
      <w:tr w:rsidR="00475650">
        <w:trPr>
          <w:trHeight w:val="170"/>
          <w:jc w:val="center"/>
        </w:trPr>
        <w:tc>
          <w:tcPr>
            <w:tcW w:w="961"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939"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3814"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超标率（</w:t>
            </w:r>
            <w:r>
              <w:rPr>
                <w:kern w:val="0"/>
                <w:szCs w:val="21"/>
              </w:rPr>
              <w:t>%</w:t>
            </w:r>
            <w:r>
              <w:rPr>
                <w:rFonts w:hAnsi="宋体"/>
                <w:kern w:val="0"/>
                <w:szCs w:val="21"/>
              </w:rPr>
              <w:t>）</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w:t>
            </w:r>
          </w:p>
        </w:tc>
        <w:tc>
          <w:tcPr>
            <w:tcW w:w="2145"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c>
          <w:tcPr>
            <w:tcW w:w="1644"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r>
      <w:tr w:rsidR="00475650">
        <w:trPr>
          <w:trHeight w:val="170"/>
          <w:jc w:val="center"/>
        </w:trPr>
        <w:tc>
          <w:tcPr>
            <w:tcW w:w="961"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939" w:type="dxa"/>
            <w:vMerge/>
            <w:vAlign w:val="center"/>
          </w:tcPr>
          <w:p w:rsidR="00475650" w:rsidRDefault="00475650">
            <w:pPr>
              <w:autoSpaceDE w:val="0"/>
              <w:autoSpaceDN w:val="0"/>
              <w:adjustRightInd w:val="0"/>
              <w:spacing w:line="240" w:lineRule="atLeast"/>
              <w:jc w:val="center"/>
              <w:textAlignment w:val="baseline"/>
              <w:rPr>
                <w:kern w:val="0"/>
                <w:szCs w:val="21"/>
              </w:rPr>
            </w:pPr>
          </w:p>
        </w:tc>
        <w:tc>
          <w:tcPr>
            <w:tcW w:w="3814"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最大超标倍数</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w:t>
            </w:r>
          </w:p>
        </w:tc>
        <w:tc>
          <w:tcPr>
            <w:tcW w:w="2145"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c>
          <w:tcPr>
            <w:tcW w:w="1644"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w:t>
            </w:r>
          </w:p>
        </w:tc>
      </w:tr>
      <w:tr w:rsidR="00475650">
        <w:trPr>
          <w:trHeight w:val="170"/>
          <w:jc w:val="center"/>
        </w:trPr>
        <w:tc>
          <w:tcPr>
            <w:tcW w:w="5714" w:type="dxa"/>
            <w:gridSpan w:val="3"/>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标准限值（小时）</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0.50</w:t>
            </w:r>
          </w:p>
        </w:tc>
        <w:tc>
          <w:tcPr>
            <w:tcW w:w="2145"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0.20</w:t>
            </w:r>
          </w:p>
        </w:tc>
        <w:tc>
          <w:tcPr>
            <w:tcW w:w="2123"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0.20</w:t>
            </w:r>
          </w:p>
        </w:tc>
        <w:tc>
          <w:tcPr>
            <w:tcW w:w="1644"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0.05</w:t>
            </w:r>
          </w:p>
        </w:tc>
      </w:tr>
    </w:tbl>
    <w:p w:rsidR="00475650" w:rsidRDefault="00475650">
      <w:pPr>
        <w:spacing w:line="360" w:lineRule="auto"/>
        <w:rPr>
          <w:szCs w:val="20"/>
        </w:rPr>
      </w:pPr>
    </w:p>
    <w:p w:rsidR="00475650" w:rsidRDefault="00475650">
      <w:pPr>
        <w:spacing w:line="360" w:lineRule="auto"/>
        <w:rPr>
          <w:sz w:val="24"/>
          <w:szCs w:val="20"/>
        </w:rPr>
        <w:sectPr w:rsidR="00475650">
          <w:pgSz w:w="16838" w:h="11906" w:orient="landscape"/>
          <w:pgMar w:top="1247" w:right="1418" w:bottom="1247" w:left="1701" w:header="851" w:footer="1021" w:gutter="0"/>
          <w:paperSrc w:first="7" w:other="7"/>
          <w:cols w:space="720"/>
          <w:docGrid w:linePitch="312"/>
        </w:sectPr>
      </w:pPr>
    </w:p>
    <w:p w:rsidR="00475650" w:rsidRDefault="00475650">
      <w:pPr>
        <w:tabs>
          <w:tab w:val="left" w:pos="484"/>
        </w:tabs>
        <w:autoSpaceDE w:val="0"/>
        <w:autoSpaceDN w:val="0"/>
        <w:adjustRightInd w:val="0"/>
        <w:snapToGrid w:val="0"/>
        <w:spacing w:line="360" w:lineRule="auto"/>
        <w:ind w:firstLineChars="200" w:firstLine="480"/>
        <w:outlineLvl w:val="0"/>
        <w:rPr>
          <w:rFonts w:hAnsi="宋体"/>
          <w:sz w:val="24"/>
        </w:rPr>
      </w:pPr>
      <w:bookmarkStart w:id="681" w:name="_Toc465677016"/>
      <w:bookmarkStart w:id="682" w:name="_Toc4554"/>
      <w:bookmarkStart w:id="683" w:name="_Toc302936715"/>
      <w:bookmarkStart w:id="684" w:name="_Toc333230015"/>
      <w:bookmarkStart w:id="685" w:name="_Toc334014189"/>
      <w:bookmarkStart w:id="686" w:name="_Toc334080831"/>
      <w:bookmarkEnd w:id="678"/>
      <w:bookmarkEnd w:id="679"/>
      <w:bookmarkEnd w:id="680"/>
      <w:r>
        <w:rPr>
          <w:rFonts w:hAnsi="宋体" w:hint="eastAsia"/>
          <w:sz w:val="24"/>
        </w:rPr>
        <w:lastRenderedPageBreak/>
        <w:t xml:space="preserve">4.3.1.2 </w:t>
      </w:r>
      <w:r>
        <w:rPr>
          <w:rFonts w:hAnsi="宋体" w:hint="eastAsia"/>
          <w:sz w:val="24"/>
        </w:rPr>
        <w:t>产业园规划环评项目历史监测数据</w:t>
      </w:r>
      <w:bookmarkEnd w:id="681"/>
      <w:bookmarkEnd w:id="682"/>
    </w:p>
    <w:p w:rsidR="00475650" w:rsidRDefault="00475650">
      <w:pPr>
        <w:tabs>
          <w:tab w:val="left" w:pos="484"/>
        </w:tabs>
        <w:autoSpaceDE w:val="0"/>
        <w:autoSpaceDN w:val="0"/>
        <w:adjustRightInd w:val="0"/>
        <w:snapToGrid w:val="0"/>
        <w:spacing w:line="360" w:lineRule="auto"/>
        <w:ind w:firstLineChars="200" w:firstLine="480"/>
        <w:rPr>
          <w:rFonts w:hAnsi="宋体"/>
          <w:sz w:val="24"/>
        </w:rPr>
      </w:pPr>
      <w:bookmarkStart w:id="687" w:name="_Toc465677017"/>
      <w:bookmarkStart w:id="688" w:name="_Toc1229"/>
      <w:r>
        <w:rPr>
          <w:rFonts w:hAnsi="宋体"/>
          <w:sz w:val="24"/>
        </w:rPr>
        <w:t>一、监测布点</w:t>
      </w:r>
      <w:bookmarkEnd w:id="687"/>
      <w:bookmarkEnd w:id="688"/>
    </w:p>
    <w:p w:rsidR="00475650" w:rsidRDefault="00475650">
      <w:pPr>
        <w:tabs>
          <w:tab w:val="left" w:pos="484"/>
        </w:tabs>
        <w:autoSpaceDE w:val="0"/>
        <w:autoSpaceDN w:val="0"/>
        <w:adjustRightInd w:val="0"/>
        <w:snapToGrid w:val="0"/>
        <w:spacing w:line="360" w:lineRule="auto"/>
        <w:ind w:firstLineChars="200" w:firstLine="480"/>
        <w:rPr>
          <w:sz w:val="24"/>
        </w:rPr>
      </w:pPr>
      <w:r>
        <w:rPr>
          <w:rFonts w:hAnsi="宋体"/>
          <w:sz w:val="24"/>
        </w:rPr>
        <w:t>历史监测点位分布情况见表</w:t>
      </w:r>
      <w:r>
        <w:rPr>
          <w:sz w:val="24"/>
        </w:rPr>
        <w:t>4.3-</w:t>
      </w:r>
      <w:r>
        <w:rPr>
          <w:rFonts w:hint="eastAsia"/>
          <w:sz w:val="24"/>
        </w:rPr>
        <w:t>4</w:t>
      </w:r>
      <w:r>
        <w:rPr>
          <w:rFonts w:hAnsi="宋体"/>
          <w:sz w:val="24"/>
        </w:rPr>
        <w:t>和附图</w:t>
      </w:r>
      <w:r>
        <w:rPr>
          <w:sz w:val="24"/>
        </w:rPr>
        <w:t>3</w:t>
      </w:r>
      <w:r>
        <w:rPr>
          <w:rFonts w:hAnsi="宋体"/>
          <w:sz w:val="24"/>
        </w:rPr>
        <w:t>。</w:t>
      </w:r>
    </w:p>
    <w:p w:rsidR="00475650" w:rsidRDefault="00475650">
      <w:pPr>
        <w:snapToGrid w:val="0"/>
        <w:spacing w:line="360" w:lineRule="auto"/>
        <w:jc w:val="center"/>
        <w:rPr>
          <w:sz w:val="24"/>
        </w:rPr>
      </w:pPr>
      <w:r>
        <w:rPr>
          <w:rFonts w:hAnsi="宋体"/>
          <w:sz w:val="24"/>
        </w:rPr>
        <w:t>表</w:t>
      </w:r>
      <w:r>
        <w:rPr>
          <w:sz w:val="24"/>
        </w:rPr>
        <w:t>4.3-</w:t>
      </w:r>
      <w:r>
        <w:rPr>
          <w:rFonts w:hint="eastAsia"/>
          <w:sz w:val="24"/>
        </w:rPr>
        <w:t>4</w:t>
      </w:r>
      <w:r>
        <w:rPr>
          <w:sz w:val="24"/>
        </w:rPr>
        <w:t xml:space="preserve">   </w:t>
      </w:r>
      <w:r>
        <w:rPr>
          <w:rFonts w:hAnsi="宋体"/>
          <w:sz w:val="24"/>
        </w:rPr>
        <w:t>环境现状监测布点一览表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714"/>
        <w:gridCol w:w="2469"/>
        <w:gridCol w:w="2122"/>
        <w:gridCol w:w="2047"/>
        <w:gridCol w:w="1594"/>
      </w:tblGrid>
      <w:tr w:rsidR="00475650">
        <w:trPr>
          <w:cantSplit/>
          <w:trHeight w:val="160"/>
          <w:jc w:val="center"/>
        </w:trPr>
        <w:tc>
          <w:tcPr>
            <w:tcW w:w="3183" w:type="dxa"/>
            <w:gridSpan w:val="2"/>
            <w:vMerge w:val="restart"/>
            <w:vAlign w:val="center"/>
          </w:tcPr>
          <w:p w:rsidR="00475650" w:rsidRDefault="00475650">
            <w:pPr>
              <w:snapToGrid w:val="0"/>
              <w:spacing w:line="216" w:lineRule="auto"/>
              <w:jc w:val="center"/>
              <w:rPr>
                <w:szCs w:val="21"/>
              </w:rPr>
            </w:pPr>
            <w:r>
              <w:rPr>
                <w:rFonts w:hAnsi="宋体"/>
                <w:szCs w:val="21"/>
              </w:rPr>
              <w:t>监测点名称</w:t>
            </w:r>
          </w:p>
        </w:tc>
        <w:tc>
          <w:tcPr>
            <w:tcW w:w="2122" w:type="dxa"/>
            <w:vMerge w:val="restart"/>
            <w:vAlign w:val="center"/>
          </w:tcPr>
          <w:p w:rsidR="00475650" w:rsidRDefault="00475650">
            <w:pPr>
              <w:snapToGrid w:val="0"/>
              <w:spacing w:line="216" w:lineRule="auto"/>
              <w:jc w:val="center"/>
              <w:rPr>
                <w:szCs w:val="21"/>
              </w:rPr>
            </w:pPr>
            <w:r>
              <w:rPr>
                <w:rFonts w:hAnsi="宋体"/>
                <w:szCs w:val="21"/>
              </w:rPr>
              <w:t>目标环境功能</w:t>
            </w:r>
          </w:p>
        </w:tc>
        <w:tc>
          <w:tcPr>
            <w:tcW w:w="3641" w:type="dxa"/>
            <w:gridSpan w:val="2"/>
          </w:tcPr>
          <w:p w:rsidR="00475650" w:rsidRDefault="00475650">
            <w:pPr>
              <w:snapToGrid w:val="0"/>
              <w:spacing w:line="216" w:lineRule="auto"/>
              <w:jc w:val="center"/>
              <w:rPr>
                <w:szCs w:val="21"/>
              </w:rPr>
            </w:pPr>
            <w:r>
              <w:rPr>
                <w:rFonts w:hAnsi="宋体"/>
                <w:szCs w:val="21"/>
              </w:rPr>
              <w:t>相对拟建厂址方位及距离</w:t>
            </w:r>
          </w:p>
        </w:tc>
      </w:tr>
      <w:tr w:rsidR="00475650">
        <w:trPr>
          <w:cantSplit/>
          <w:trHeight w:val="160"/>
          <w:jc w:val="center"/>
        </w:trPr>
        <w:tc>
          <w:tcPr>
            <w:tcW w:w="3183" w:type="dxa"/>
            <w:gridSpan w:val="2"/>
            <w:vMerge/>
          </w:tcPr>
          <w:p w:rsidR="00475650" w:rsidRDefault="00475650">
            <w:pPr>
              <w:snapToGrid w:val="0"/>
              <w:spacing w:line="216" w:lineRule="auto"/>
              <w:rPr>
                <w:szCs w:val="21"/>
              </w:rPr>
            </w:pPr>
          </w:p>
        </w:tc>
        <w:tc>
          <w:tcPr>
            <w:tcW w:w="2122" w:type="dxa"/>
            <w:vMerge/>
          </w:tcPr>
          <w:p w:rsidR="00475650" w:rsidRDefault="00475650">
            <w:pPr>
              <w:snapToGrid w:val="0"/>
              <w:spacing w:line="216" w:lineRule="auto"/>
              <w:rPr>
                <w:szCs w:val="21"/>
              </w:rPr>
            </w:pPr>
          </w:p>
        </w:tc>
        <w:tc>
          <w:tcPr>
            <w:tcW w:w="2047" w:type="dxa"/>
          </w:tcPr>
          <w:p w:rsidR="00475650" w:rsidRDefault="00475650">
            <w:pPr>
              <w:snapToGrid w:val="0"/>
              <w:spacing w:line="216" w:lineRule="auto"/>
              <w:jc w:val="center"/>
              <w:rPr>
                <w:szCs w:val="21"/>
              </w:rPr>
            </w:pPr>
            <w:r>
              <w:rPr>
                <w:rFonts w:hAnsi="宋体"/>
                <w:szCs w:val="21"/>
              </w:rPr>
              <w:t>方位</w:t>
            </w:r>
          </w:p>
        </w:tc>
        <w:tc>
          <w:tcPr>
            <w:tcW w:w="1594" w:type="dxa"/>
          </w:tcPr>
          <w:p w:rsidR="00475650" w:rsidRDefault="00475650">
            <w:pPr>
              <w:snapToGrid w:val="0"/>
              <w:spacing w:line="216" w:lineRule="auto"/>
              <w:jc w:val="center"/>
              <w:rPr>
                <w:szCs w:val="21"/>
              </w:rPr>
            </w:pPr>
            <w:r>
              <w:rPr>
                <w:rFonts w:hAnsi="宋体"/>
                <w:szCs w:val="21"/>
              </w:rPr>
              <w:t>距离</w:t>
            </w:r>
            <w:r>
              <w:rPr>
                <w:szCs w:val="21"/>
              </w:rPr>
              <w:t>(km)</w:t>
            </w:r>
          </w:p>
        </w:tc>
      </w:tr>
      <w:tr w:rsidR="00475650">
        <w:trPr>
          <w:cantSplit/>
          <w:trHeight w:val="160"/>
          <w:jc w:val="center"/>
        </w:trPr>
        <w:tc>
          <w:tcPr>
            <w:tcW w:w="714" w:type="dxa"/>
            <w:vAlign w:val="center"/>
          </w:tcPr>
          <w:p w:rsidR="00475650" w:rsidRDefault="00475650">
            <w:pPr>
              <w:pStyle w:val="afff7"/>
              <w:snapToGrid w:val="0"/>
              <w:spacing w:line="216" w:lineRule="auto"/>
            </w:pPr>
            <w:r>
              <w:t>A</w:t>
            </w:r>
            <w:r>
              <w:rPr>
                <w:rFonts w:hint="eastAsia"/>
              </w:rPr>
              <w:t>4</w:t>
            </w:r>
          </w:p>
        </w:tc>
        <w:tc>
          <w:tcPr>
            <w:tcW w:w="2469" w:type="dxa"/>
            <w:vAlign w:val="center"/>
          </w:tcPr>
          <w:p w:rsidR="00475650" w:rsidRDefault="00475650">
            <w:pPr>
              <w:snapToGrid w:val="0"/>
              <w:spacing w:line="216" w:lineRule="auto"/>
              <w:jc w:val="center"/>
              <w:rPr>
                <w:szCs w:val="21"/>
              </w:rPr>
            </w:pPr>
            <w:r>
              <w:rPr>
                <w:rFonts w:hAnsi="宋体" w:hint="eastAsia"/>
                <w:szCs w:val="21"/>
              </w:rPr>
              <w:t>儒溪村八组</w:t>
            </w:r>
          </w:p>
        </w:tc>
        <w:tc>
          <w:tcPr>
            <w:tcW w:w="2122" w:type="dxa"/>
            <w:vAlign w:val="center"/>
          </w:tcPr>
          <w:p w:rsidR="00475650" w:rsidRDefault="00475650">
            <w:pPr>
              <w:snapToGrid w:val="0"/>
              <w:spacing w:line="216" w:lineRule="auto"/>
              <w:jc w:val="center"/>
              <w:rPr>
                <w:szCs w:val="21"/>
              </w:rPr>
            </w:pPr>
            <w:r>
              <w:rPr>
                <w:rFonts w:hAnsi="宋体"/>
                <w:szCs w:val="21"/>
              </w:rPr>
              <w:t>居民区</w:t>
            </w:r>
          </w:p>
        </w:tc>
        <w:tc>
          <w:tcPr>
            <w:tcW w:w="2047" w:type="dxa"/>
            <w:vAlign w:val="center"/>
          </w:tcPr>
          <w:p w:rsidR="00475650" w:rsidRDefault="00475650">
            <w:pPr>
              <w:pStyle w:val="afff7"/>
              <w:snapToGrid w:val="0"/>
              <w:spacing w:line="216" w:lineRule="auto"/>
            </w:pPr>
            <w:r>
              <w:rPr>
                <w:rFonts w:hAnsi="宋体" w:hint="eastAsia"/>
              </w:rPr>
              <w:t>西南</w:t>
            </w:r>
          </w:p>
        </w:tc>
        <w:tc>
          <w:tcPr>
            <w:tcW w:w="1594" w:type="dxa"/>
            <w:vAlign w:val="center"/>
          </w:tcPr>
          <w:p w:rsidR="00475650" w:rsidRDefault="00475650">
            <w:pPr>
              <w:snapToGrid w:val="0"/>
              <w:spacing w:line="216" w:lineRule="auto"/>
              <w:jc w:val="center"/>
              <w:rPr>
                <w:szCs w:val="21"/>
              </w:rPr>
            </w:pPr>
            <w:r>
              <w:rPr>
                <w:rFonts w:hint="eastAsia"/>
                <w:szCs w:val="21"/>
              </w:rPr>
              <w:t>0.8</w:t>
            </w:r>
          </w:p>
        </w:tc>
      </w:tr>
    </w:tbl>
    <w:p w:rsidR="00475650" w:rsidRDefault="00475650">
      <w:pPr>
        <w:tabs>
          <w:tab w:val="left" w:pos="484"/>
        </w:tabs>
        <w:autoSpaceDE w:val="0"/>
        <w:autoSpaceDN w:val="0"/>
        <w:adjustRightInd w:val="0"/>
        <w:snapToGrid w:val="0"/>
        <w:spacing w:line="360" w:lineRule="auto"/>
        <w:ind w:firstLineChars="200" w:firstLine="480"/>
        <w:rPr>
          <w:sz w:val="24"/>
        </w:rPr>
      </w:pPr>
      <w:r>
        <w:rPr>
          <w:rFonts w:hAnsi="宋体"/>
          <w:sz w:val="24"/>
        </w:rPr>
        <w:t>二、监测项目</w:t>
      </w:r>
    </w:p>
    <w:p w:rsidR="00475650" w:rsidRDefault="00475650">
      <w:pPr>
        <w:spacing w:line="360" w:lineRule="auto"/>
        <w:ind w:firstLineChars="200" w:firstLine="480"/>
        <w:rPr>
          <w:sz w:val="24"/>
          <w:szCs w:val="20"/>
        </w:rPr>
      </w:pPr>
      <w:r>
        <w:rPr>
          <w:rFonts w:hint="eastAsia"/>
          <w:sz w:val="24"/>
          <w:szCs w:val="20"/>
        </w:rPr>
        <w:t>SO</w:t>
      </w:r>
      <w:r>
        <w:rPr>
          <w:rFonts w:hint="eastAsia"/>
          <w:sz w:val="24"/>
          <w:szCs w:val="20"/>
          <w:vertAlign w:val="subscript"/>
        </w:rPr>
        <w:t>2</w:t>
      </w:r>
      <w:r>
        <w:rPr>
          <w:rFonts w:hint="eastAsia"/>
          <w:sz w:val="24"/>
          <w:szCs w:val="20"/>
        </w:rPr>
        <w:t>、</w:t>
      </w:r>
      <w:r>
        <w:rPr>
          <w:rFonts w:hint="eastAsia"/>
          <w:sz w:val="24"/>
          <w:szCs w:val="20"/>
        </w:rPr>
        <w:t>NO</w:t>
      </w:r>
      <w:r>
        <w:rPr>
          <w:rFonts w:hint="eastAsia"/>
          <w:sz w:val="24"/>
          <w:szCs w:val="20"/>
          <w:vertAlign w:val="subscript"/>
        </w:rPr>
        <w:t>2</w:t>
      </w:r>
      <w:r>
        <w:rPr>
          <w:rFonts w:hint="eastAsia"/>
          <w:sz w:val="24"/>
          <w:szCs w:val="20"/>
        </w:rPr>
        <w:t>、</w:t>
      </w:r>
      <w:r>
        <w:rPr>
          <w:rFonts w:hint="eastAsia"/>
          <w:sz w:val="24"/>
          <w:szCs w:val="20"/>
        </w:rPr>
        <w:t>TSP</w:t>
      </w:r>
      <w:r>
        <w:rPr>
          <w:rFonts w:hint="eastAsia"/>
          <w:sz w:val="24"/>
          <w:szCs w:val="20"/>
        </w:rPr>
        <w:t>、</w:t>
      </w:r>
      <w:r>
        <w:rPr>
          <w:rFonts w:hint="eastAsia"/>
          <w:sz w:val="24"/>
          <w:szCs w:val="20"/>
        </w:rPr>
        <w:t>PM</w:t>
      </w:r>
      <w:r>
        <w:rPr>
          <w:rFonts w:hint="eastAsia"/>
          <w:sz w:val="24"/>
          <w:szCs w:val="20"/>
          <w:vertAlign w:val="subscript"/>
        </w:rPr>
        <w:t>10</w:t>
      </w:r>
      <w:r>
        <w:rPr>
          <w:rFonts w:hint="eastAsia"/>
          <w:sz w:val="24"/>
          <w:szCs w:val="20"/>
        </w:rPr>
        <w:t>、非甲烷总烃、氨、氯化氢</w:t>
      </w:r>
      <w:r>
        <w:rPr>
          <w:sz w:val="24"/>
          <w:szCs w:val="20"/>
        </w:rPr>
        <w:t>。</w:t>
      </w:r>
    </w:p>
    <w:p w:rsidR="00475650" w:rsidRDefault="00475650">
      <w:pPr>
        <w:tabs>
          <w:tab w:val="left" w:pos="484"/>
        </w:tabs>
        <w:autoSpaceDE w:val="0"/>
        <w:autoSpaceDN w:val="0"/>
        <w:adjustRightInd w:val="0"/>
        <w:snapToGrid w:val="0"/>
        <w:spacing w:line="360" w:lineRule="auto"/>
        <w:ind w:firstLineChars="200" w:firstLine="480"/>
        <w:rPr>
          <w:sz w:val="24"/>
        </w:rPr>
      </w:pPr>
      <w:r>
        <w:rPr>
          <w:rFonts w:hAnsi="宋体"/>
          <w:sz w:val="24"/>
        </w:rPr>
        <w:t>三、监测时间、周期</w:t>
      </w:r>
    </w:p>
    <w:p w:rsidR="00475650" w:rsidRDefault="00475650">
      <w:pPr>
        <w:spacing w:line="360" w:lineRule="auto"/>
        <w:ind w:firstLineChars="200" w:firstLine="480"/>
        <w:rPr>
          <w:sz w:val="24"/>
          <w:szCs w:val="20"/>
        </w:rPr>
      </w:pPr>
      <w:r>
        <w:rPr>
          <w:rFonts w:hint="eastAsia"/>
          <w:sz w:val="24"/>
          <w:szCs w:val="20"/>
        </w:rPr>
        <w:t>2015</w:t>
      </w:r>
      <w:r>
        <w:rPr>
          <w:rFonts w:hint="eastAsia"/>
          <w:sz w:val="24"/>
          <w:szCs w:val="20"/>
        </w:rPr>
        <w:t>年</w:t>
      </w:r>
      <w:r>
        <w:rPr>
          <w:rFonts w:hint="eastAsia"/>
          <w:sz w:val="24"/>
          <w:szCs w:val="20"/>
        </w:rPr>
        <w:t>11</w:t>
      </w:r>
      <w:r>
        <w:rPr>
          <w:rFonts w:hint="eastAsia"/>
          <w:sz w:val="24"/>
          <w:szCs w:val="20"/>
        </w:rPr>
        <w:t>月</w:t>
      </w:r>
      <w:r>
        <w:rPr>
          <w:rFonts w:hint="eastAsia"/>
          <w:sz w:val="24"/>
          <w:szCs w:val="20"/>
        </w:rPr>
        <w:t>10</w:t>
      </w:r>
      <w:r>
        <w:rPr>
          <w:rFonts w:hint="eastAsia"/>
          <w:sz w:val="24"/>
          <w:szCs w:val="20"/>
        </w:rPr>
        <w:t>日至</w:t>
      </w:r>
      <w:r>
        <w:rPr>
          <w:rFonts w:hint="eastAsia"/>
          <w:sz w:val="24"/>
          <w:szCs w:val="20"/>
        </w:rPr>
        <w:t>2015</w:t>
      </w:r>
      <w:r>
        <w:rPr>
          <w:rFonts w:hint="eastAsia"/>
          <w:sz w:val="24"/>
          <w:szCs w:val="20"/>
        </w:rPr>
        <w:t>年</w:t>
      </w:r>
      <w:r>
        <w:rPr>
          <w:rFonts w:hint="eastAsia"/>
          <w:sz w:val="24"/>
          <w:szCs w:val="20"/>
        </w:rPr>
        <w:t>11</w:t>
      </w:r>
      <w:r>
        <w:rPr>
          <w:rFonts w:hint="eastAsia"/>
          <w:sz w:val="24"/>
          <w:szCs w:val="20"/>
        </w:rPr>
        <w:t>月</w:t>
      </w:r>
      <w:r>
        <w:rPr>
          <w:rFonts w:hint="eastAsia"/>
          <w:sz w:val="24"/>
          <w:szCs w:val="20"/>
        </w:rPr>
        <w:t>16</w:t>
      </w:r>
      <w:r>
        <w:rPr>
          <w:rFonts w:hint="eastAsia"/>
          <w:sz w:val="24"/>
          <w:szCs w:val="20"/>
        </w:rPr>
        <w:t>日连续监</w:t>
      </w:r>
      <w:r>
        <w:rPr>
          <w:sz w:val="24"/>
          <w:szCs w:val="20"/>
        </w:rPr>
        <w:t>测</w:t>
      </w:r>
      <w:r>
        <w:rPr>
          <w:sz w:val="24"/>
          <w:szCs w:val="20"/>
        </w:rPr>
        <w:t>7</w:t>
      </w:r>
      <w:r>
        <w:rPr>
          <w:sz w:val="24"/>
          <w:szCs w:val="20"/>
        </w:rPr>
        <w:t>天，</w:t>
      </w:r>
      <w:r>
        <w:rPr>
          <w:sz w:val="24"/>
          <w:szCs w:val="20"/>
        </w:rPr>
        <w:t>SO</w:t>
      </w:r>
      <w:r>
        <w:rPr>
          <w:sz w:val="24"/>
          <w:szCs w:val="20"/>
          <w:vertAlign w:val="subscript"/>
        </w:rPr>
        <w:t>2</w:t>
      </w:r>
      <w:r>
        <w:rPr>
          <w:sz w:val="24"/>
          <w:szCs w:val="20"/>
        </w:rPr>
        <w:t>、</w:t>
      </w:r>
      <w:r>
        <w:rPr>
          <w:sz w:val="24"/>
          <w:szCs w:val="20"/>
        </w:rPr>
        <w:t>NO</w:t>
      </w:r>
      <w:r>
        <w:rPr>
          <w:sz w:val="24"/>
          <w:szCs w:val="20"/>
          <w:vertAlign w:val="subscript"/>
        </w:rPr>
        <w:t>2</w:t>
      </w:r>
      <w:r>
        <w:rPr>
          <w:sz w:val="24"/>
          <w:szCs w:val="20"/>
        </w:rPr>
        <w:t>测小时值</w:t>
      </w:r>
      <w:r>
        <w:rPr>
          <w:rFonts w:hint="eastAsia"/>
          <w:sz w:val="24"/>
          <w:szCs w:val="20"/>
        </w:rPr>
        <w:t>和日均值</w:t>
      </w:r>
      <w:r>
        <w:rPr>
          <w:sz w:val="24"/>
          <w:szCs w:val="20"/>
        </w:rPr>
        <w:t>；</w:t>
      </w:r>
      <w:r>
        <w:rPr>
          <w:rFonts w:hint="eastAsia"/>
          <w:sz w:val="24"/>
          <w:szCs w:val="20"/>
        </w:rPr>
        <w:t>PM</w:t>
      </w:r>
      <w:r>
        <w:rPr>
          <w:rFonts w:hint="eastAsia"/>
          <w:sz w:val="24"/>
          <w:szCs w:val="20"/>
          <w:vertAlign w:val="subscript"/>
        </w:rPr>
        <w:t>10</w:t>
      </w:r>
      <w:r>
        <w:rPr>
          <w:rFonts w:hint="eastAsia"/>
          <w:sz w:val="24"/>
          <w:szCs w:val="20"/>
        </w:rPr>
        <w:t>和</w:t>
      </w:r>
      <w:r>
        <w:rPr>
          <w:rFonts w:hint="eastAsia"/>
          <w:sz w:val="24"/>
          <w:szCs w:val="20"/>
        </w:rPr>
        <w:t>TSP</w:t>
      </w:r>
      <w:r>
        <w:rPr>
          <w:sz w:val="24"/>
          <w:szCs w:val="20"/>
        </w:rPr>
        <w:t>测日均值</w:t>
      </w:r>
      <w:r>
        <w:rPr>
          <w:rFonts w:hint="eastAsia"/>
          <w:sz w:val="24"/>
          <w:szCs w:val="20"/>
        </w:rPr>
        <w:t>；氨、氯化氢测一次值；非甲烷总烃测日均值。</w:t>
      </w:r>
    </w:p>
    <w:p w:rsidR="00475650" w:rsidRDefault="00475650">
      <w:pPr>
        <w:tabs>
          <w:tab w:val="left" w:pos="484"/>
        </w:tabs>
        <w:autoSpaceDE w:val="0"/>
        <w:autoSpaceDN w:val="0"/>
        <w:adjustRightInd w:val="0"/>
        <w:snapToGrid w:val="0"/>
        <w:spacing w:line="360" w:lineRule="auto"/>
        <w:ind w:firstLineChars="200" w:firstLine="480"/>
        <w:rPr>
          <w:sz w:val="24"/>
        </w:rPr>
      </w:pPr>
      <w:r>
        <w:rPr>
          <w:rFonts w:hAnsi="宋体" w:hint="eastAsia"/>
          <w:sz w:val="24"/>
        </w:rPr>
        <w:t>四</w:t>
      </w:r>
      <w:r>
        <w:rPr>
          <w:rFonts w:hAnsi="宋体"/>
          <w:sz w:val="24"/>
        </w:rPr>
        <w:t>、监测结果统计</w:t>
      </w:r>
    </w:p>
    <w:p w:rsidR="00475650" w:rsidRDefault="00475650">
      <w:pPr>
        <w:spacing w:line="360" w:lineRule="auto"/>
        <w:ind w:firstLineChars="200" w:firstLine="480"/>
        <w:rPr>
          <w:sz w:val="24"/>
          <w:szCs w:val="20"/>
        </w:rPr>
      </w:pPr>
      <w:r>
        <w:rPr>
          <w:rFonts w:hAnsi="宋体"/>
          <w:sz w:val="24"/>
          <w:szCs w:val="20"/>
        </w:rPr>
        <w:t>环境空气质量现状监测与评价结果见表</w:t>
      </w:r>
      <w:r>
        <w:rPr>
          <w:sz w:val="24"/>
          <w:szCs w:val="20"/>
        </w:rPr>
        <w:t>4.3-</w:t>
      </w:r>
      <w:r>
        <w:rPr>
          <w:rFonts w:hint="eastAsia"/>
          <w:sz w:val="24"/>
          <w:szCs w:val="20"/>
        </w:rPr>
        <w:t>5</w:t>
      </w:r>
      <w:r>
        <w:rPr>
          <w:rFonts w:hAnsi="宋体"/>
          <w:sz w:val="24"/>
          <w:szCs w:val="20"/>
        </w:rPr>
        <w:t>。</w:t>
      </w:r>
    </w:p>
    <w:p w:rsidR="00475650" w:rsidRDefault="00475650">
      <w:pPr>
        <w:spacing w:line="360" w:lineRule="auto"/>
        <w:ind w:firstLineChars="200" w:firstLine="480"/>
        <w:rPr>
          <w:rFonts w:hAnsi="宋体"/>
          <w:sz w:val="24"/>
          <w:szCs w:val="20"/>
        </w:rPr>
      </w:pPr>
      <w:r>
        <w:rPr>
          <w:rFonts w:hAnsi="宋体" w:hint="eastAsia"/>
          <w:sz w:val="24"/>
          <w:szCs w:val="20"/>
        </w:rPr>
        <w:t>五</w:t>
      </w:r>
      <w:r>
        <w:rPr>
          <w:rFonts w:hAnsi="宋体"/>
          <w:sz w:val="24"/>
          <w:szCs w:val="20"/>
        </w:rPr>
        <w:t>、监测结论</w:t>
      </w:r>
    </w:p>
    <w:p w:rsidR="00475650" w:rsidRDefault="00475650">
      <w:pPr>
        <w:spacing w:line="360" w:lineRule="auto"/>
        <w:ind w:firstLineChars="200" w:firstLine="480"/>
        <w:rPr>
          <w:rFonts w:hAnsi="宋体"/>
          <w:sz w:val="24"/>
          <w:szCs w:val="20"/>
        </w:rPr>
      </w:pPr>
      <w:r>
        <w:rPr>
          <w:rFonts w:hAnsi="宋体"/>
          <w:sz w:val="24"/>
          <w:szCs w:val="20"/>
        </w:rPr>
        <w:t>（</w:t>
      </w:r>
      <w:r>
        <w:rPr>
          <w:rFonts w:hAnsi="宋体"/>
          <w:sz w:val="24"/>
          <w:szCs w:val="20"/>
        </w:rPr>
        <w:t>1</w:t>
      </w:r>
      <w:r>
        <w:rPr>
          <w:rFonts w:hAnsi="宋体"/>
          <w:sz w:val="24"/>
          <w:szCs w:val="20"/>
        </w:rPr>
        <w:t>）项目所在区域的各监测点的监测因子的标准指数均小于</w:t>
      </w:r>
      <w:r>
        <w:rPr>
          <w:rFonts w:hAnsi="宋体"/>
          <w:sz w:val="24"/>
          <w:szCs w:val="20"/>
        </w:rPr>
        <w:t>1</w:t>
      </w:r>
      <w:r>
        <w:rPr>
          <w:rFonts w:hAnsi="宋体"/>
          <w:sz w:val="24"/>
          <w:szCs w:val="20"/>
        </w:rPr>
        <w:t>，无超标点。</w:t>
      </w:r>
    </w:p>
    <w:p w:rsidR="00475650" w:rsidRDefault="00475650">
      <w:pPr>
        <w:spacing w:line="360" w:lineRule="auto"/>
        <w:ind w:firstLineChars="200" w:firstLine="480"/>
        <w:rPr>
          <w:rFonts w:hAnsi="宋体"/>
          <w:sz w:val="24"/>
          <w:szCs w:val="20"/>
        </w:rPr>
      </w:pPr>
      <w:r>
        <w:rPr>
          <w:rFonts w:hAnsi="宋体"/>
          <w:sz w:val="24"/>
          <w:szCs w:val="20"/>
        </w:rPr>
        <w:t>（</w:t>
      </w:r>
      <w:r>
        <w:rPr>
          <w:rFonts w:hAnsi="宋体"/>
          <w:sz w:val="24"/>
          <w:szCs w:val="20"/>
        </w:rPr>
        <w:t>2</w:t>
      </w:r>
      <w:r>
        <w:rPr>
          <w:rFonts w:hAnsi="宋体"/>
          <w:sz w:val="24"/>
          <w:szCs w:val="20"/>
        </w:rPr>
        <w:t>）</w:t>
      </w:r>
      <w:r>
        <w:rPr>
          <w:rFonts w:hAnsi="宋体"/>
          <w:sz w:val="24"/>
          <w:szCs w:val="20"/>
        </w:rPr>
        <w:t>SO</w:t>
      </w:r>
      <w:r>
        <w:rPr>
          <w:rFonts w:hAnsi="宋体"/>
          <w:sz w:val="24"/>
          <w:szCs w:val="20"/>
          <w:vertAlign w:val="subscript"/>
        </w:rPr>
        <w:t>2</w:t>
      </w:r>
      <w:r>
        <w:rPr>
          <w:rFonts w:hAnsi="宋体"/>
          <w:sz w:val="24"/>
          <w:szCs w:val="20"/>
        </w:rPr>
        <w:t>、</w:t>
      </w:r>
      <w:r>
        <w:rPr>
          <w:rFonts w:hAnsi="宋体"/>
          <w:sz w:val="24"/>
          <w:szCs w:val="20"/>
        </w:rPr>
        <w:t>NO</w:t>
      </w:r>
      <w:r>
        <w:rPr>
          <w:rFonts w:hAnsi="宋体"/>
          <w:sz w:val="24"/>
          <w:szCs w:val="20"/>
          <w:vertAlign w:val="subscript"/>
        </w:rPr>
        <w:t>2</w:t>
      </w:r>
      <w:r>
        <w:rPr>
          <w:rFonts w:hAnsi="宋体"/>
          <w:sz w:val="24"/>
          <w:szCs w:val="20"/>
        </w:rPr>
        <w:t>的小时值和日均值均可达到《环境空气质量标准》（</w:t>
      </w:r>
      <w:r>
        <w:rPr>
          <w:rFonts w:hAnsi="宋体"/>
          <w:sz w:val="24"/>
          <w:szCs w:val="20"/>
        </w:rPr>
        <w:t>GB3095-2012</w:t>
      </w:r>
      <w:r>
        <w:rPr>
          <w:rFonts w:hAnsi="宋体"/>
          <w:sz w:val="24"/>
          <w:szCs w:val="20"/>
        </w:rPr>
        <w:t>）中的二级标准；</w:t>
      </w:r>
      <w:r>
        <w:rPr>
          <w:rFonts w:hAnsi="宋体"/>
          <w:sz w:val="24"/>
          <w:szCs w:val="20"/>
        </w:rPr>
        <w:t>TSP</w:t>
      </w:r>
      <w:r>
        <w:rPr>
          <w:rFonts w:hAnsi="宋体"/>
          <w:sz w:val="24"/>
          <w:szCs w:val="20"/>
        </w:rPr>
        <w:t>、</w:t>
      </w:r>
      <w:r>
        <w:rPr>
          <w:rFonts w:hAnsi="宋体"/>
          <w:sz w:val="24"/>
          <w:szCs w:val="20"/>
        </w:rPr>
        <w:t>PM</w:t>
      </w:r>
      <w:r>
        <w:rPr>
          <w:rFonts w:hAnsi="宋体"/>
          <w:sz w:val="24"/>
          <w:szCs w:val="20"/>
          <w:vertAlign w:val="subscript"/>
        </w:rPr>
        <w:t>10</w:t>
      </w:r>
      <w:r>
        <w:rPr>
          <w:rFonts w:hAnsi="宋体"/>
          <w:sz w:val="24"/>
          <w:szCs w:val="20"/>
        </w:rPr>
        <w:t>的日均值均可达到《环境空气质量标准》（</w:t>
      </w:r>
      <w:r>
        <w:rPr>
          <w:rFonts w:hAnsi="宋体"/>
          <w:sz w:val="24"/>
          <w:szCs w:val="20"/>
        </w:rPr>
        <w:t>GB3095-2012</w:t>
      </w:r>
      <w:r>
        <w:rPr>
          <w:rFonts w:hAnsi="宋体"/>
          <w:sz w:val="24"/>
          <w:szCs w:val="20"/>
        </w:rPr>
        <w:t>）中的二级标准。</w:t>
      </w:r>
    </w:p>
    <w:p w:rsidR="00475650" w:rsidRDefault="00475650">
      <w:pPr>
        <w:spacing w:line="360" w:lineRule="auto"/>
        <w:ind w:firstLineChars="200" w:firstLine="480"/>
        <w:rPr>
          <w:rFonts w:hAnsi="宋体"/>
          <w:sz w:val="24"/>
          <w:szCs w:val="20"/>
        </w:rPr>
      </w:pPr>
      <w:r>
        <w:rPr>
          <w:rFonts w:hAnsi="宋体"/>
          <w:sz w:val="24"/>
          <w:szCs w:val="20"/>
        </w:rPr>
        <w:t>（</w:t>
      </w:r>
      <w:r>
        <w:rPr>
          <w:rFonts w:hAnsi="宋体"/>
          <w:sz w:val="24"/>
          <w:szCs w:val="20"/>
        </w:rPr>
        <w:t>3</w:t>
      </w:r>
      <w:r>
        <w:rPr>
          <w:rFonts w:hAnsi="宋体"/>
          <w:sz w:val="24"/>
          <w:szCs w:val="20"/>
        </w:rPr>
        <w:t>）氨、氯化氢可达到《工业企业设计卫生标准》</w:t>
      </w:r>
      <w:r>
        <w:rPr>
          <w:rFonts w:hAnsi="宋体"/>
          <w:sz w:val="24"/>
          <w:szCs w:val="20"/>
        </w:rPr>
        <w:t>(TJ36-79)</w:t>
      </w:r>
      <w:r>
        <w:rPr>
          <w:rFonts w:hAnsi="宋体"/>
          <w:sz w:val="24"/>
          <w:szCs w:val="20"/>
        </w:rPr>
        <w:t>表</w:t>
      </w:r>
      <w:r>
        <w:rPr>
          <w:rFonts w:hAnsi="宋体"/>
          <w:sz w:val="24"/>
          <w:szCs w:val="20"/>
        </w:rPr>
        <w:t>1</w:t>
      </w:r>
      <w:r>
        <w:rPr>
          <w:rFonts w:hAnsi="宋体"/>
          <w:sz w:val="24"/>
          <w:szCs w:val="20"/>
        </w:rPr>
        <w:t>标准。</w:t>
      </w:r>
    </w:p>
    <w:p w:rsidR="00475650" w:rsidRDefault="00475650">
      <w:pPr>
        <w:spacing w:line="360" w:lineRule="auto"/>
        <w:ind w:firstLineChars="200" w:firstLine="480"/>
        <w:rPr>
          <w:rFonts w:hAnsi="宋体"/>
          <w:sz w:val="24"/>
          <w:szCs w:val="20"/>
        </w:rPr>
      </w:pPr>
      <w:r>
        <w:rPr>
          <w:rFonts w:hAnsi="宋体"/>
          <w:sz w:val="24"/>
          <w:szCs w:val="20"/>
        </w:rPr>
        <w:t>（</w:t>
      </w:r>
      <w:r>
        <w:rPr>
          <w:rFonts w:hAnsi="宋体"/>
          <w:sz w:val="24"/>
          <w:szCs w:val="20"/>
        </w:rPr>
        <w:t>4</w:t>
      </w:r>
      <w:r>
        <w:rPr>
          <w:rFonts w:hAnsi="宋体"/>
          <w:sz w:val="24"/>
          <w:szCs w:val="20"/>
        </w:rPr>
        <w:t>）非甲烷总烃一次浓度可达到国家环保局科技标准司《大气污染物综合排放标准详解》</w:t>
      </w:r>
      <w:r>
        <w:rPr>
          <w:rFonts w:hAnsi="宋体"/>
          <w:sz w:val="24"/>
          <w:szCs w:val="20"/>
        </w:rPr>
        <w:t>(1997</w:t>
      </w:r>
      <w:r>
        <w:rPr>
          <w:rFonts w:hAnsi="宋体"/>
          <w:sz w:val="24"/>
          <w:szCs w:val="20"/>
        </w:rPr>
        <w:t>年</w:t>
      </w:r>
      <w:r>
        <w:rPr>
          <w:rFonts w:hAnsi="宋体"/>
          <w:sz w:val="24"/>
          <w:szCs w:val="20"/>
        </w:rPr>
        <w:t>)</w:t>
      </w:r>
      <w:r>
        <w:rPr>
          <w:rFonts w:hAnsi="宋体"/>
          <w:sz w:val="24"/>
          <w:szCs w:val="20"/>
        </w:rPr>
        <w:t>中的标准限值。</w:t>
      </w:r>
    </w:p>
    <w:p w:rsidR="00475650" w:rsidRDefault="00475650" w:rsidP="00475650">
      <w:pPr>
        <w:ind w:firstLineChars="200" w:firstLine="482"/>
        <w:jc w:val="center"/>
        <w:rPr>
          <w:b/>
          <w:sz w:val="24"/>
        </w:rPr>
      </w:pPr>
      <w:r>
        <w:rPr>
          <w:rFonts w:hint="eastAsia"/>
          <w:b/>
          <w:sz w:val="24"/>
        </w:rPr>
        <w:t>表</w:t>
      </w:r>
      <w:r>
        <w:rPr>
          <w:rFonts w:hint="eastAsia"/>
          <w:b/>
          <w:sz w:val="24"/>
        </w:rPr>
        <w:t>4.3-5</w:t>
      </w:r>
      <w:r>
        <w:rPr>
          <w:b/>
          <w:sz w:val="24"/>
        </w:rPr>
        <w:t xml:space="preserve">   </w:t>
      </w:r>
      <w:r>
        <w:rPr>
          <w:rFonts w:hint="eastAsia"/>
          <w:b/>
          <w:sz w:val="24"/>
        </w:rPr>
        <w:t>大气环境质量监测结果及评价表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tblPr>
      <w:tblGrid>
        <w:gridCol w:w="1465"/>
        <w:gridCol w:w="815"/>
        <w:gridCol w:w="1670"/>
        <w:gridCol w:w="1509"/>
        <w:gridCol w:w="1455"/>
        <w:gridCol w:w="1296"/>
        <w:gridCol w:w="664"/>
      </w:tblGrid>
      <w:tr w:rsidR="00475650">
        <w:trPr>
          <w:trHeight w:val="340"/>
          <w:jc w:val="center"/>
        </w:trPr>
        <w:tc>
          <w:tcPr>
            <w:tcW w:w="1465" w:type="dxa"/>
            <w:vAlign w:val="center"/>
          </w:tcPr>
          <w:p w:rsidR="00475650" w:rsidRDefault="00475650">
            <w:pPr>
              <w:jc w:val="center"/>
              <w:rPr>
                <w:rFonts w:hAnsi="宋体"/>
                <w:sz w:val="24"/>
                <w:szCs w:val="20"/>
              </w:rPr>
            </w:pPr>
            <w:r>
              <w:rPr>
                <w:rFonts w:hAnsi="宋体" w:hint="eastAsia"/>
                <w:sz w:val="24"/>
                <w:szCs w:val="20"/>
              </w:rPr>
              <w:t>监测地点</w:t>
            </w:r>
          </w:p>
        </w:tc>
        <w:tc>
          <w:tcPr>
            <w:tcW w:w="815" w:type="dxa"/>
            <w:vAlign w:val="center"/>
          </w:tcPr>
          <w:p w:rsidR="00475650" w:rsidRDefault="00475650">
            <w:pPr>
              <w:jc w:val="center"/>
              <w:rPr>
                <w:rFonts w:hAnsi="宋体"/>
                <w:sz w:val="24"/>
                <w:szCs w:val="20"/>
              </w:rPr>
            </w:pPr>
            <w:r>
              <w:rPr>
                <w:rFonts w:hAnsi="宋体" w:hint="eastAsia"/>
                <w:sz w:val="24"/>
                <w:szCs w:val="20"/>
              </w:rPr>
              <w:t>监测项目</w:t>
            </w:r>
          </w:p>
        </w:tc>
        <w:tc>
          <w:tcPr>
            <w:tcW w:w="1670" w:type="dxa"/>
            <w:vAlign w:val="center"/>
          </w:tcPr>
          <w:p w:rsidR="00475650" w:rsidRDefault="00475650">
            <w:pPr>
              <w:jc w:val="center"/>
              <w:rPr>
                <w:rFonts w:hAnsi="宋体"/>
                <w:sz w:val="24"/>
                <w:szCs w:val="20"/>
              </w:rPr>
            </w:pPr>
            <w:r>
              <w:rPr>
                <w:rFonts w:hAnsi="宋体" w:hint="eastAsia"/>
                <w:sz w:val="24"/>
                <w:szCs w:val="20"/>
              </w:rPr>
              <w:t>小时均浓度范围</w:t>
            </w:r>
            <w:r>
              <w:rPr>
                <w:rFonts w:hAnsi="宋体"/>
                <w:sz w:val="24"/>
                <w:szCs w:val="20"/>
              </w:rPr>
              <w:t>(mg/m</w:t>
            </w:r>
            <w:r>
              <w:rPr>
                <w:rFonts w:hAnsi="宋体"/>
                <w:sz w:val="24"/>
                <w:szCs w:val="20"/>
                <w:vertAlign w:val="superscript"/>
              </w:rPr>
              <w:t>3</w:t>
            </w:r>
            <w:r>
              <w:rPr>
                <w:rFonts w:hAnsi="宋体"/>
                <w:sz w:val="24"/>
                <w:szCs w:val="20"/>
              </w:rPr>
              <w:t>)</w:t>
            </w:r>
          </w:p>
        </w:tc>
        <w:tc>
          <w:tcPr>
            <w:tcW w:w="1509" w:type="dxa"/>
            <w:vAlign w:val="center"/>
          </w:tcPr>
          <w:p w:rsidR="00475650" w:rsidRDefault="00475650">
            <w:pPr>
              <w:jc w:val="center"/>
              <w:rPr>
                <w:rFonts w:hAnsi="宋体"/>
                <w:sz w:val="24"/>
                <w:szCs w:val="20"/>
              </w:rPr>
            </w:pPr>
            <w:r>
              <w:rPr>
                <w:rFonts w:hAnsi="宋体" w:hint="eastAsia"/>
                <w:sz w:val="24"/>
                <w:szCs w:val="20"/>
              </w:rPr>
              <w:t>日均浓度范围</w:t>
            </w:r>
            <w:r>
              <w:rPr>
                <w:rFonts w:hAnsi="宋体"/>
                <w:sz w:val="24"/>
                <w:szCs w:val="20"/>
              </w:rPr>
              <w:t>(mg/m</w:t>
            </w:r>
            <w:r>
              <w:rPr>
                <w:rFonts w:hAnsi="宋体"/>
                <w:sz w:val="24"/>
                <w:szCs w:val="20"/>
                <w:vertAlign w:val="superscript"/>
              </w:rPr>
              <w:t>3</w:t>
            </w:r>
            <w:r>
              <w:rPr>
                <w:rFonts w:hAnsi="宋体"/>
                <w:sz w:val="24"/>
                <w:szCs w:val="20"/>
              </w:rPr>
              <w:t>)</w:t>
            </w:r>
          </w:p>
        </w:tc>
        <w:tc>
          <w:tcPr>
            <w:tcW w:w="1455" w:type="dxa"/>
            <w:vAlign w:val="center"/>
          </w:tcPr>
          <w:p w:rsidR="00475650" w:rsidRDefault="00475650">
            <w:pPr>
              <w:jc w:val="center"/>
              <w:rPr>
                <w:rFonts w:hAnsi="宋体"/>
                <w:sz w:val="24"/>
                <w:szCs w:val="20"/>
              </w:rPr>
            </w:pPr>
            <w:r>
              <w:rPr>
                <w:rFonts w:hAnsi="宋体" w:hint="eastAsia"/>
                <w:sz w:val="24"/>
                <w:szCs w:val="20"/>
              </w:rPr>
              <w:t>小时均浓度评价指数</w:t>
            </w:r>
          </w:p>
        </w:tc>
        <w:tc>
          <w:tcPr>
            <w:tcW w:w="1296" w:type="dxa"/>
            <w:vAlign w:val="center"/>
          </w:tcPr>
          <w:p w:rsidR="00475650" w:rsidRDefault="00475650">
            <w:pPr>
              <w:jc w:val="center"/>
              <w:rPr>
                <w:rFonts w:hAnsi="宋体"/>
                <w:sz w:val="24"/>
                <w:szCs w:val="20"/>
              </w:rPr>
            </w:pPr>
            <w:r>
              <w:rPr>
                <w:rFonts w:hAnsi="宋体" w:hint="eastAsia"/>
                <w:sz w:val="24"/>
                <w:szCs w:val="20"/>
              </w:rPr>
              <w:t>日均浓度评价指数</w:t>
            </w:r>
          </w:p>
        </w:tc>
        <w:tc>
          <w:tcPr>
            <w:tcW w:w="664" w:type="dxa"/>
            <w:vAlign w:val="center"/>
          </w:tcPr>
          <w:p w:rsidR="00475650" w:rsidRDefault="00475650">
            <w:pPr>
              <w:jc w:val="center"/>
              <w:rPr>
                <w:rFonts w:hAnsi="宋体"/>
                <w:sz w:val="24"/>
                <w:szCs w:val="20"/>
              </w:rPr>
            </w:pPr>
            <w:r>
              <w:rPr>
                <w:rFonts w:hAnsi="宋体" w:hint="eastAsia"/>
                <w:sz w:val="24"/>
                <w:szCs w:val="20"/>
              </w:rPr>
              <w:t>有无超标</w:t>
            </w:r>
          </w:p>
        </w:tc>
      </w:tr>
      <w:tr w:rsidR="00475650">
        <w:trPr>
          <w:trHeight w:val="340"/>
          <w:jc w:val="center"/>
        </w:trPr>
        <w:tc>
          <w:tcPr>
            <w:tcW w:w="1465" w:type="dxa"/>
            <w:vMerge w:val="restart"/>
            <w:vAlign w:val="center"/>
          </w:tcPr>
          <w:p w:rsidR="00475650" w:rsidRDefault="00475650">
            <w:pPr>
              <w:jc w:val="center"/>
              <w:rPr>
                <w:rFonts w:hAnsi="宋体"/>
                <w:sz w:val="24"/>
                <w:szCs w:val="20"/>
              </w:rPr>
            </w:pPr>
            <w:r>
              <w:rPr>
                <w:rFonts w:hAnsi="宋体" w:hint="eastAsia"/>
                <w:sz w:val="24"/>
                <w:szCs w:val="20"/>
              </w:rPr>
              <w:t>儒溪镇儒溪村居民点</w:t>
            </w:r>
          </w:p>
        </w:tc>
        <w:tc>
          <w:tcPr>
            <w:tcW w:w="815" w:type="dxa"/>
            <w:vAlign w:val="center"/>
          </w:tcPr>
          <w:p w:rsidR="00475650" w:rsidRDefault="00475650">
            <w:pPr>
              <w:jc w:val="center"/>
              <w:rPr>
                <w:rFonts w:hAnsi="宋体"/>
                <w:sz w:val="24"/>
                <w:szCs w:val="20"/>
              </w:rPr>
            </w:pPr>
            <w:r>
              <w:rPr>
                <w:rFonts w:hAnsi="宋体"/>
                <w:sz w:val="24"/>
                <w:szCs w:val="20"/>
              </w:rPr>
              <w:t>SO2</w:t>
            </w:r>
          </w:p>
        </w:tc>
        <w:tc>
          <w:tcPr>
            <w:tcW w:w="1670" w:type="dxa"/>
            <w:vAlign w:val="center"/>
          </w:tcPr>
          <w:p w:rsidR="00475650" w:rsidRDefault="00475650">
            <w:pPr>
              <w:jc w:val="center"/>
              <w:textAlignment w:val="center"/>
              <w:rPr>
                <w:rFonts w:hAnsi="宋体"/>
                <w:sz w:val="24"/>
                <w:szCs w:val="20"/>
              </w:rPr>
            </w:pPr>
            <w:r>
              <w:rPr>
                <w:rFonts w:hAnsi="宋体"/>
                <w:sz w:val="24"/>
                <w:szCs w:val="20"/>
              </w:rPr>
              <w:t>0.068~</w:t>
            </w:r>
            <w:r>
              <w:rPr>
                <w:rFonts w:hAnsi="宋体" w:hint="eastAsia"/>
                <w:sz w:val="24"/>
                <w:szCs w:val="20"/>
              </w:rPr>
              <w:t>0.082</w:t>
            </w:r>
          </w:p>
        </w:tc>
        <w:tc>
          <w:tcPr>
            <w:tcW w:w="1509" w:type="dxa"/>
            <w:vAlign w:val="center"/>
          </w:tcPr>
          <w:p w:rsidR="00475650" w:rsidRDefault="00475650">
            <w:pPr>
              <w:jc w:val="center"/>
              <w:textAlignment w:val="center"/>
              <w:rPr>
                <w:rFonts w:hAnsi="宋体"/>
                <w:sz w:val="24"/>
                <w:szCs w:val="20"/>
              </w:rPr>
            </w:pPr>
            <w:r>
              <w:rPr>
                <w:rFonts w:hAnsi="宋体" w:hint="eastAsia"/>
                <w:sz w:val="24"/>
                <w:szCs w:val="20"/>
              </w:rPr>
              <w:t>0.067~0.073</w:t>
            </w:r>
          </w:p>
        </w:tc>
        <w:tc>
          <w:tcPr>
            <w:tcW w:w="1455" w:type="dxa"/>
            <w:vAlign w:val="center"/>
          </w:tcPr>
          <w:p w:rsidR="00475650" w:rsidRDefault="00475650">
            <w:pPr>
              <w:jc w:val="center"/>
              <w:textAlignment w:val="center"/>
              <w:rPr>
                <w:rFonts w:hAnsi="宋体"/>
                <w:sz w:val="24"/>
                <w:szCs w:val="20"/>
              </w:rPr>
            </w:pPr>
            <w:r>
              <w:rPr>
                <w:rFonts w:hAnsi="宋体" w:hint="eastAsia"/>
                <w:sz w:val="24"/>
                <w:szCs w:val="20"/>
              </w:rPr>
              <w:t>0.164</w:t>
            </w:r>
          </w:p>
        </w:tc>
        <w:tc>
          <w:tcPr>
            <w:tcW w:w="1296" w:type="dxa"/>
            <w:vAlign w:val="center"/>
          </w:tcPr>
          <w:p w:rsidR="00475650" w:rsidRDefault="00475650">
            <w:pPr>
              <w:jc w:val="center"/>
              <w:textAlignment w:val="center"/>
              <w:rPr>
                <w:rFonts w:hAnsi="宋体"/>
                <w:sz w:val="24"/>
                <w:szCs w:val="20"/>
              </w:rPr>
            </w:pPr>
            <w:r>
              <w:rPr>
                <w:rFonts w:hAnsi="宋体" w:hint="eastAsia"/>
                <w:sz w:val="24"/>
                <w:szCs w:val="20"/>
              </w:rPr>
              <w:t>0.487</w:t>
            </w:r>
          </w:p>
        </w:tc>
        <w:tc>
          <w:tcPr>
            <w:tcW w:w="664" w:type="dxa"/>
            <w:vAlign w:val="center"/>
          </w:tcPr>
          <w:p w:rsidR="00475650" w:rsidRDefault="00475650">
            <w:pPr>
              <w:jc w:val="center"/>
              <w:rPr>
                <w:rFonts w:hAnsi="宋体"/>
                <w:sz w:val="24"/>
                <w:szCs w:val="20"/>
              </w:rPr>
            </w:pPr>
            <w:r>
              <w:rPr>
                <w:rFonts w:hAnsi="宋体" w:hint="eastAsia"/>
                <w:sz w:val="24"/>
                <w:szCs w:val="20"/>
              </w:rPr>
              <w:t>无</w:t>
            </w:r>
          </w:p>
        </w:tc>
      </w:tr>
      <w:tr w:rsidR="00475650">
        <w:trPr>
          <w:trHeight w:val="340"/>
          <w:jc w:val="center"/>
        </w:trPr>
        <w:tc>
          <w:tcPr>
            <w:tcW w:w="1465" w:type="dxa"/>
            <w:vMerge/>
            <w:vAlign w:val="center"/>
          </w:tcPr>
          <w:p w:rsidR="00475650" w:rsidRDefault="00475650">
            <w:pPr>
              <w:widowControl/>
              <w:jc w:val="center"/>
              <w:rPr>
                <w:rFonts w:hAnsi="宋体"/>
                <w:sz w:val="24"/>
                <w:szCs w:val="20"/>
              </w:rPr>
            </w:pPr>
          </w:p>
        </w:tc>
        <w:tc>
          <w:tcPr>
            <w:tcW w:w="815" w:type="dxa"/>
            <w:vAlign w:val="center"/>
          </w:tcPr>
          <w:p w:rsidR="00475650" w:rsidRDefault="00475650">
            <w:pPr>
              <w:jc w:val="center"/>
              <w:rPr>
                <w:rFonts w:hAnsi="宋体"/>
                <w:sz w:val="24"/>
                <w:szCs w:val="20"/>
              </w:rPr>
            </w:pPr>
            <w:r>
              <w:rPr>
                <w:rFonts w:hAnsi="宋体"/>
                <w:sz w:val="24"/>
                <w:szCs w:val="20"/>
              </w:rPr>
              <w:t>NO2</w:t>
            </w:r>
          </w:p>
        </w:tc>
        <w:tc>
          <w:tcPr>
            <w:tcW w:w="1670" w:type="dxa"/>
            <w:vAlign w:val="center"/>
          </w:tcPr>
          <w:p w:rsidR="00475650" w:rsidRDefault="00475650">
            <w:pPr>
              <w:jc w:val="center"/>
              <w:textAlignment w:val="center"/>
              <w:rPr>
                <w:rFonts w:hAnsi="宋体"/>
                <w:sz w:val="24"/>
                <w:szCs w:val="20"/>
              </w:rPr>
            </w:pPr>
            <w:r>
              <w:rPr>
                <w:rFonts w:hAnsi="宋体" w:hint="eastAsia"/>
                <w:sz w:val="24"/>
                <w:szCs w:val="20"/>
              </w:rPr>
              <w:t>0.030~0.038</w:t>
            </w:r>
          </w:p>
        </w:tc>
        <w:tc>
          <w:tcPr>
            <w:tcW w:w="1509" w:type="dxa"/>
            <w:vAlign w:val="center"/>
          </w:tcPr>
          <w:p w:rsidR="00475650" w:rsidRDefault="00475650">
            <w:pPr>
              <w:jc w:val="center"/>
              <w:textAlignment w:val="center"/>
              <w:rPr>
                <w:rFonts w:hAnsi="宋体"/>
                <w:sz w:val="24"/>
                <w:szCs w:val="20"/>
              </w:rPr>
            </w:pPr>
            <w:r>
              <w:rPr>
                <w:rFonts w:hAnsi="宋体" w:hint="eastAsia"/>
                <w:sz w:val="24"/>
                <w:szCs w:val="20"/>
              </w:rPr>
              <w:t>0.025~0.032</w:t>
            </w:r>
          </w:p>
        </w:tc>
        <w:tc>
          <w:tcPr>
            <w:tcW w:w="1455" w:type="dxa"/>
            <w:vAlign w:val="center"/>
          </w:tcPr>
          <w:p w:rsidR="00475650" w:rsidRDefault="00475650">
            <w:pPr>
              <w:jc w:val="center"/>
              <w:textAlignment w:val="center"/>
              <w:rPr>
                <w:rFonts w:hAnsi="宋体"/>
                <w:sz w:val="24"/>
                <w:szCs w:val="20"/>
              </w:rPr>
            </w:pPr>
            <w:r>
              <w:rPr>
                <w:rFonts w:hAnsi="宋体" w:hint="eastAsia"/>
                <w:sz w:val="24"/>
                <w:szCs w:val="20"/>
              </w:rPr>
              <w:t>0.19</w:t>
            </w:r>
          </w:p>
        </w:tc>
        <w:tc>
          <w:tcPr>
            <w:tcW w:w="1296" w:type="dxa"/>
            <w:vAlign w:val="center"/>
          </w:tcPr>
          <w:p w:rsidR="00475650" w:rsidRDefault="00475650">
            <w:pPr>
              <w:jc w:val="center"/>
              <w:textAlignment w:val="center"/>
              <w:rPr>
                <w:rFonts w:hAnsi="宋体"/>
                <w:sz w:val="24"/>
                <w:szCs w:val="20"/>
              </w:rPr>
            </w:pPr>
            <w:r>
              <w:rPr>
                <w:rFonts w:hAnsi="宋体" w:hint="eastAsia"/>
                <w:sz w:val="24"/>
                <w:szCs w:val="20"/>
              </w:rPr>
              <w:t>0.4</w:t>
            </w:r>
          </w:p>
        </w:tc>
        <w:tc>
          <w:tcPr>
            <w:tcW w:w="664" w:type="dxa"/>
            <w:vAlign w:val="center"/>
          </w:tcPr>
          <w:p w:rsidR="00475650" w:rsidRDefault="00475650">
            <w:pPr>
              <w:jc w:val="center"/>
              <w:rPr>
                <w:rFonts w:hAnsi="宋体"/>
                <w:sz w:val="24"/>
                <w:szCs w:val="20"/>
              </w:rPr>
            </w:pPr>
            <w:r>
              <w:rPr>
                <w:rFonts w:hAnsi="宋体" w:hint="eastAsia"/>
                <w:sz w:val="24"/>
                <w:szCs w:val="20"/>
              </w:rPr>
              <w:t>无</w:t>
            </w:r>
          </w:p>
        </w:tc>
      </w:tr>
      <w:tr w:rsidR="00475650">
        <w:trPr>
          <w:trHeight w:val="340"/>
          <w:jc w:val="center"/>
        </w:trPr>
        <w:tc>
          <w:tcPr>
            <w:tcW w:w="1465" w:type="dxa"/>
            <w:vMerge/>
            <w:vAlign w:val="center"/>
          </w:tcPr>
          <w:p w:rsidR="00475650" w:rsidRDefault="00475650">
            <w:pPr>
              <w:widowControl/>
              <w:jc w:val="center"/>
              <w:rPr>
                <w:rFonts w:hAnsi="宋体"/>
                <w:sz w:val="24"/>
                <w:szCs w:val="20"/>
              </w:rPr>
            </w:pPr>
          </w:p>
        </w:tc>
        <w:tc>
          <w:tcPr>
            <w:tcW w:w="815" w:type="dxa"/>
            <w:vAlign w:val="center"/>
          </w:tcPr>
          <w:p w:rsidR="00475650" w:rsidRDefault="00475650">
            <w:pPr>
              <w:jc w:val="center"/>
              <w:rPr>
                <w:rFonts w:hAnsi="宋体"/>
                <w:sz w:val="24"/>
                <w:szCs w:val="20"/>
              </w:rPr>
            </w:pPr>
            <w:r>
              <w:rPr>
                <w:rFonts w:hAnsi="宋体"/>
                <w:sz w:val="24"/>
                <w:szCs w:val="20"/>
              </w:rPr>
              <w:t>TSP</w:t>
            </w:r>
          </w:p>
        </w:tc>
        <w:tc>
          <w:tcPr>
            <w:tcW w:w="1670" w:type="dxa"/>
            <w:vAlign w:val="center"/>
          </w:tcPr>
          <w:p w:rsidR="00475650" w:rsidRDefault="00475650">
            <w:pPr>
              <w:jc w:val="center"/>
              <w:textAlignment w:val="center"/>
              <w:rPr>
                <w:rFonts w:hAnsi="宋体"/>
                <w:sz w:val="24"/>
                <w:szCs w:val="20"/>
              </w:rPr>
            </w:pPr>
            <w:r>
              <w:rPr>
                <w:rFonts w:hAnsi="宋体" w:hint="eastAsia"/>
                <w:sz w:val="24"/>
                <w:szCs w:val="20"/>
              </w:rPr>
              <w:t>--</w:t>
            </w:r>
          </w:p>
        </w:tc>
        <w:tc>
          <w:tcPr>
            <w:tcW w:w="1509" w:type="dxa"/>
            <w:vAlign w:val="center"/>
          </w:tcPr>
          <w:p w:rsidR="00475650" w:rsidRDefault="00475650">
            <w:pPr>
              <w:jc w:val="center"/>
              <w:textAlignment w:val="center"/>
              <w:rPr>
                <w:rFonts w:hAnsi="宋体"/>
                <w:sz w:val="24"/>
                <w:szCs w:val="20"/>
              </w:rPr>
            </w:pPr>
            <w:r>
              <w:rPr>
                <w:rFonts w:hAnsi="宋体" w:hint="eastAsia"/>
                <w:sz w:val="24"/>
                <w:szCs w:val="20"/>
              </w:rPr>
              <w:t>0.068~0.073</w:t>
            </w:r>
          </w:p>
        </w:tc>
        <w:tc>
          <w:tcPr>
            <w:tcW w:w="1455" w:type="dxa"/>
            <w:vAlign w:val="center"/>
          </w:tcPr>
          <w:p w:rsidR="00475650" w:rsidRDefault="00475650">
            <w:pPr>
              <w:jc w:val="center"/>
              <w:textAlignment w:val="center"/>
              <w:rPr>
                <w:rFonts w:hAnsi="宋体"/>
                <w:sz w:val="24"/>
                <w:szCs w:val="20"/>
              </w:rPr>
            </w:pPr>
            <w:r>
              <w:rPr>
                <w:rFonts w:hAnsi="宋体" w:hint="eastAsia"/>
                <w:sz w:val="24"/>
                <w:szCs w:val="20"/>
              </w:rPr>
              <w:t>--</w:t>
            </w:r>
          </w:p>
        </w:tc>
        <w:tc>
          <w:tcPr>
            <w:tcW w:w="1296" w:type="dxa"/>
            <w:vAlign w:val="center"/>
          </w:tcPr>
          <w:p w:rsidR="00475650" w:rsidRDefault="00475650">
            <w:pPr>
              <w:jc w:val="center"/>
              <w:textAlignment w:val="center"/>
              <w:rPr>
                <w:rFonts w:hAnsi="宋体"/>
                <w:sz w:val="24"/>
                <w:szCs w:val="20"/>
              </w:rPr>
            </w:pPr>
            <w:r>
              <w:rPr>
                <w:rFonts w:hAnsi="宋体" w:hint="eastAsia"/>
                <w:sz w:val="24"/>
                <w:szCs w:val="20"/>
              </w:rPr>
              <w:t>0.243</w:t>
            </w:r>
          </w:p>
        </w:tc>
        <w:tc>
          <w:tcPr>
            <w:tcW w:w="664" w:type="dxa"/>
            <w:vAlign w:val="center"/>
          </w:tcPr>
          <w:p w:rsidR="00475650" w:rsidRDefault="00475650">
            <w:pPr>
              <w:jc w:val="center"/>
              <w:rPr>
                <w:rFonts w:hAnsi="宋体"/>
                <w:sz w:val="24"/>
                <w:szCs w:val="20"/>
              </w:rPr>
            </w:pPr>
            <w:r>
              <w:rPr>
                <w:rFonts w:hAnsi="宋体" w:hint="eastAsia"/>
                <w:sz w:val="24"/>
                <w:szCs w:val="20"/>
              </w:rPr>
              <w:t>无</w:t>
            </w:r>
          </w:p>
        </w:tc>
      </w:tr>
      <w:tr w:rsidR="00475650">
        <w:trPr>
          <w:trHeight w:val="340"/>
          <w:jc w:val="center"/>
        </w:trPr>
        <w:tc>
          <w:tcPr>
            <w:tcW w:w="1465" w:type="dxa"/>
            <w:vMerge/>
            <w:vAlign w:val="center"/>
          </w:tcPr>
          <w:p w:rsidR="00475650" w:rsidRDefault="00475650">
            <w:pPr>
              <w:widowControl/>
              <w:jc w:val="center"/>
              <w:rPr>
                <w:rFonts w:hAnsi="宋体"/>
                <w:sz w:val="24"/>
                <w:szCs w:val="20"/>
              </w:rPr>
            </w:pPr>
          </w:p>
        </w:tc>
        <w:tc>
          <w:tcPr>
            <w:tcW w:w="815" w:type="dxa"/>
            <w:vAlign w:val="center"/>
          </w:tcPr>
          <w:p w:rsidR="00475650" w:rsidRDefault="00475650">
            <w:pPr>
              <w:jc w:val="center"/>
              <w:rPr>
                <w:rFonts w:hAnsi="宋体"/>
                <w:sz w:val="24"/>
                <w:szCs w:val="20"/>
              </w:rPr>
            </w:pPr>
            <w:r>
              <w:rPr>
                <w:rFonts w:hAnsi="宋体"/>
                <w:sz w:val="24"/>
                <w:szCs w:val="20"/>
              </w:rPr>
              <w:t>PM10</w:t>
            </w:r>
          </w:p>
        </w:tc>
        <w:tc>
          <w:tcPr>
            <w:tcW w:w="1670" w:type="dxa"/>
            <w:vAlign w:val="center"/>
          </w:tcPr>
          <w:p w:rsidR="00475650" w:rsidRDefault="00475650">
            <w:pPr>
              <w:jc w:val="center"/>
              <w:textAlignment w:val="center"/>
              <w:rPr>
                <w:rFonts w:hAnsi="宋体"/>
                <w:sz w:val="24"/>
                <w:szCs w:val="20"/>
              </w:rPr>
            </w:pPr>
            <w:r>
              <w:rPr>
                <w:rFonts w:hAnsi="宋体" w:hint="eastAsia"/>
                <w:sz w:val="24"/>
                <w:szCs w:val="20"/>
              </w:rPr>
              <w:t>--</w:t>
            </w:r>
          </w:p>
        </w:tc>
        <w:tc>
          <w:tcPr>
            <w:tcW w:w="1509" w:type="dxa"/>
            <w:vAlign w:val="center"/>
          </w:tcPr>
          <w:p w:rsidR="00475650" w:rsidRDefault="00475650">
            <w:pPr>
              <w:jc w:val="center"/>
              <w:textAlignment w:val="center"/>
              <w:rPr>
                <w:rFonts w:hAnsi="宋体"/>
                <w:sz w:val="24"/>
                <w:szCs w:val="20"/>
              </w:rPr>
            </w:pPr>
            <w:r>
              <w:rPr>
                <w:rFonts w:hAnsi="宋体" w:hint="eastAsia"/>
                <w:sz w:val="24"/>
                <w:szCs w:val="20"/>
              </w:rPr>
              <w:t>0.054~0.060</w:t>
            </w:r>
          </w:p>
        </w:tc>
        <w:tc>
          <w:tcPr>
            <w:tcW w:w="1455" w:type="dxa"/>
            <w:vAlign w:val="center"/>
          </w:tcPr>
          <w:p w:rsidR="00475650" w:rsidRDefault="00475650">
            <w:pPr>
              <w:jc w:val="center"/>
              <w:textAlignment w:val="center"/>
              <w:rPr>
                <w:rFonts w:hAnsi="宋体"/>
                <w:sz w:val="24"/>
                <w:szCs w:val="20"/>
              </w:rPr>
            </w:pPr>
            <w:r>
              <w:rPr>
                <w:rFonts w:hAnsi="宋体" w:hint="eastAsia"/>
                <w:sz w:val="24"/>
                <w:szCs w:val="20"/>
              </w:rPr>
              <w:t>---</w:t>
            </w:r>
          </w:p>
        </w:tc>
        <w:tc>
          <w:tcPr>
            <w:tcW w:w="1296" w:type="dxa"/>
            <w:vAlign w:val="center"/>
          </w:tcPr>
          <w:p w:rsidR="00475650" w:rsidRDefault="00475650">
            <w:pPr>
              <w:jc w:val="center"/>
              <w:textAlignment w:val="center"/>
              <w:rPr>
                <w:rFonts w:hAnsi="宋体"/>
                <w:sz w:val="24"/>
                <w:szCs w:val="20"/>
              </w:rPr>
            </w:pPr>
            <w:r>
              <w:rPr>
                <w:rFonts w:hAnsi="宋体" w:hint="eastAsia"/>
                <w:sz w:val="24"/>
                <w:szCs w:val="20"/>
              </w:rPr>
              <w:t>0.4</w:t>
            </w:r>
          </w:p>
        </w:tc>
        <w:tc>
          <w:tcPr>
            <w:tcW w:w="664" w:type="dxa"/>
            <w:vAlign w:val="center"/>
          </w:tcPr>
          <w:p w:rsidR="00475650" w:rsidRDefault="00475650">
            <w:pPr>
              <w:jc w:val="center"/>
              <w:rPr>
                <w:rFonts w:hAnsi="宋体"/>
                <w:sz w:val="24"/>
                <w:szCs w:val="20"/>
              </w:rPr>
            </w:pPr>
            <w:r>
              <w:rPr>
                <w:rFonts w:hAnsi="宋体" w:hint="eastAsia"/>
                <w:sz w:val="24"/>
                <w:szCs w:val="20"/>
              </w:rPr>
              <w:t>无</w:t>
            </w:r>
          </w:p>
        </w:tc>
      </w:tr>
      <w:tr w:rsidR="00475650">
        <w:trPr>
          <w:trHeight w:val="340"/>
          <w:jc w:val="center"/>
        </w:trPr>
        <w:tc>
          <w:tcPr>
            <w:tcW w:w="1465" w:type="dxa"/>
            <w:vMerge/>
            <w:vAlign w:val="center"/>
          </w:tcPr>
          <w:p w:rsidR="00475650" w:rsidRDefault="00475650">
            <w:pPr>
              <w:widowControl/>
              <w:jc w:val="center"/>
              <w:rPr>
                <w:rFonts w:hAnsi="宋体"/>
                <w:sz w:val="24"/>
                <w:szCs w:val="20"/>
              </w:rPr>
            </w:pPr>
          </w:p>
        </w:tc>
        <w:tc>
          <w:tcPr>
            <w:tcW w:w="815" w:type="dxa"/>
            <w:vAlign w:val="center"/>
          </w:tcPr>
          <w:p w:rsidR="00475650" w:rsidRDefault="00475650">
            <w:pPr>
              <w:jc w:val="center"/>
              <w:rPr>
                <w:rFonts w:hAnsi="宋体"/>
                <w:sz w:val="24"/>
                <w:szCs w:val="20"/>
              </w:rPr>
            </w:pPr>
            <w:r>
              <w:rPr>
                <w:rFonts w:hAnsi="宋体" w:hint="eastAsia"/>
                <w:sz w:val="24"/>
                <w:szCs w:val="20"/>
              </w:rPr>
              <w:t>非甲烷总烃</w:t>
            </w:r>
          </w:p>
        </w:tc>
        <w:tc>
          <w:tcPr>
            <w:tcW w:w="1670" w:type="dxa"/>
            <w:vAlign w:val="center"/>
          </w:tcPr>
          <w:p w:rsidR="00475650" w:rsidRDefault="00475650">
            <w:pPr>
              <w:jc w:val="center"/>
              <w:textAlignment w:val="center"/>
              <w:rPr>
                <w:rFonts w:hAnsi="宋体"/>
                <w:sz w:val="24"/>
                <w:szCs w:val="20"/>
              </w:rPr>
            </w:pPr>
            <w:r>
              <w:rPr>
                <w:rFonts w:hAnsi="宋体" w:hint="eastAsia"/>
                <w:sz w:val="24"/>
                <w:szCs w:val="20"/>
              </w:rPr>
              <w:t>--</w:t>
            </w:r>
          </w:p>
        </w:tc>
        <w:tc>
          <w:tcPr>
            <w:tcW w:w="1509" w:type="dxa"/>
            <w:vAlign w:val="center"/>
          </w:tcPr>
          <w:p w:rsidR="00475650" w:rsidRDefault="00475650">
            <w:pPr>
              <w:jc w:val="center"/>
              <w:textAlignment w:val="center"/>
              <w:rPr>
                <w:rFonts w:hAnsi="宋体"/>
                <w:sz w:val="24"/>
                <w:szCs w:val="20"/>
              </w:rPr>
            </w:pPr>
            <w:r>
              <w:rPr>
                <w:rFonts w:hAnsi="宋体" w:hint="eastAsia"/>
                <w:sz w:val="24"/>
                <w:szCs w:val="20"/>
              </w:rPr>
              <w:t>0.2</w:t>
            </w:r>
            <w:r>
              <w:rPr>
                <w:rFonts w:hAnsi="宋体" w:hint="eastAsia"/>
                <w:sz w:val="24"/>
                <w:szCs w:val="20"/>
              </w:rPr>
              <w:t>（</w:t>
            </w:r>
            <w:r>
              <w:rPr>
                <w:rFonts w:hAnsi="宋体" w:hint="eastAsia"/>
                <w:sz w:val="24"/>
                <w:szCs w:val="20"/>
              </w:rPr>
              <w:t>L)</w:t>
            </w:r>
          </w:p>
        </w:tc>
        <w:tc>
          <w:tcPr>
            <w:tcW w:w="1455" w:type="dxa"/>
            <w:vAlign w:val="center"/>
          </w:tcPr>
          <w:p w:rsidR="00475650" w:rsidRDefault="00475650">
            <w:pPr>
              <w:jc w:val="center"/>
              <w:textAlignment w:val="center"/>
              <w:rPr>
                <w:rFonts w:hAnsi="宋体"/>
                <w:sz w:val="24"/>
                <w:szCs w:val="20"/>
              </w:rPr>
            </w:pPr>
            <w:r>
              <w:rPr>
                <w:rFonts w:hAnsi="宋体" w:hint="eastAsia"/>
                <w:sz w:val="24"/>
                <w:szCs w:val="20"/>
              </w:rPr>
              <w:t>--</w:t>
            </w:r>
          </w:p>
        </w:tc>
        <w:tc>
          <w:tcPr>
            <w:tcW w:w="1296" w:type="dxa"/>
            <w:vAlign w:val="center"/>
          </w:tcPr>
          <w:p w:rsidR="00475650" w:rsidRDefault="00475650">
            <w:pPr>
              <w:jc w:val="center"/>
              <w:textAlignment w:val="center"/>
              <w:rPr>
                <w:rFonts w:hAnsi="宋体"/>
                <w:sz w:val="24"/>
                <w:szCs w:val="20"/>
              </w:rPr>
            </w:pPr>
            <w:r>
              <w:rPr>
                <w:rFonts w:hAnsi="宋体" w:hint="eastAsia"/>
                <w:sz w:val="24"/>
                <w:szCs w:val="20"/>
              </w:rPr>
              <w:t>0.05</w:t>
            </w:r>
          </w:p>
        </w:tc>
        <w:tc>
          <w:tcPr>
            <w:tcW w:w="664" w:type="dxa"/>
            <w:vAlign w:val="center"/>
          </w:tcPr>
          <w:p w:rsidR="00475650" w:rsidRDefault="00475650">
            <w:pPr>
              <w:jc w:val="center"/>
              <w:rPr>
                <w:rFonts w:hAnsi="宋体"/>
                <w:sz w:val="24"/>
                <w:szCs w:val="20"/>
              </w:rPr>
            </w:pPr>
            <w:r>
              <w:rPr>
                <w:rFonts w:hAnsi="宋体" w:hint="eastAsia"/>
                <w:sz w:val="24"/>
                <w:szCs w:val="20"/>
              </w:rPr>
              <w:t>无</w:t>
            </w:r>
          </w:p>
        </w:tc>
      </w:tr>
      <w:tr w:rsidR="00475650">
        <w:trPr>
          <w:trHeight w:val="340"/>
          <w:jc w:val="center"/>
        </w:trPr>
        <w:tc>
          <w:tcPr>
            <w:tcW w:w="1465" w:type="dxa"/>
            <w:vMerge/>
            <w:vAlign w:val="center"/>
          </w:tcPr>
          <w:p w:rsidR="00475650" w:rsidRDefault="00475650">
            <w:pPr>
              <w:widowControl/>
              <w:jc w:val="center"/>
              <w:rPr>
                <w:rFonts w:hAnsi="宋体"/>
                <w:sz w:val="24"/>
                <w:szCs w:val="20"/>
              </w:rPr>
            </w:pPr>
          </w:p>
        </w:tc>
        <w:tc>
          <w:tcPr>
            <w:tcW w:w="815" w:type="dxa"/>
            <w:vAlign w:val="center"/>
          </w:tcPr>
          <w:p w:rsidR="00475650" w:rsidRDefault="00475650">
            <w:pPr>
              <w:jc w:val="center"/>
              <w:rPr>
                <w:rFonts w:hAnsi="宋体"/>
                <w:sz w:val="24"/>
                <w:szCs w:val="20"/>
              </w:rPr>
            </w:pPr>
            <w:r>
              <w:rPr>
                <w:rFonts w:hAnsi="宋体" w:hint="eastAsia"/>
                <w:sz w:val="24"/>
                <w:szCs w:val="20"/>
              </w:rPr>
              <w:t>氨气</w:t>
            </w:r>
          </w:p>
        </w:tc>
        <w:tc>
          <w:tcPr>
            <w:tcW w:w="1670" w:type="dxa"/>
            <w:vAlign w:val="center"/>
          </w:tcPr>
          <w:p w:rsidR="00475650" w:rsidRDefault="00475650">
            <w:pPr>
              <w:jc w:val="center"/>
              <w:textAlignment w:val="center"/>
              <w:rPr>
                <w:rFonts w:hAnsi="宋体"/>
                <w:sz w:val="24"/>
                <w:szCs w:val="20"/>
              </w:rPr>
            </w:pPr>
            <w:r>
              <w:rPr>
                <w:rFonts w:hAnsi="宋体" w:hint="eastAsia"/>
                <w:sz w:val="24"/>
                <w:szCs w:val="20"/>
              </w:rPr>
              <w:t>0.011~0.020</w:t>
            </w:r>
          </w:p>
        </w:tc>
        <w:tc>
          <w:tcPr>
            <w:tcW w:w="1509" w:type="dxa"/>
            <w:vAlign w:val="center"/>
          </w:tcPr>
          <w:p w:rsidR="00475650" w:rsidRDefault="00475650">
            <w:pPr>
              <w:jc w:val="center"/>
              <w:textAlignment w:val="center"/>
              <w:rPr>
                <w:rFonts w:hAnsi="宋体"/>
                <w:sz w:val="24"/>
                <w:szCs w:val="20"/>
              </w:rPr>
            </w:pPr>
            <w:r>
              <w:rPr>
                <w:rFonts w:hAnsi="宋体" w:hint="eastAsia"/>
                <w:sz w:val="24"/>
                <w:szCs w:val="20"/>
              </w:rPr>
              <w:t>--</w:t>
            </w:r>
          </w:p>
        </w:tc>
        <w:tc>
          <w:tcPr>
            <w:tcW w:w="1455" w:type="dxa"/>
            <w:vAlign w:val="center"/>
          </w:tcPr>
          <w:p w:rsidR="00475650" w:rsidRDefault="00475650">
            <w:pPr>
              <w:jc w:val="center"/>
              <w:textAlignment w:val="center"/>
              <w:rPr>
                <w:rFonts w:hAnsi="宋体"/>
                <w:sz w:val="24"/>
                <w:szCs w:val="20"/>
              </w:rPr>
            </w:pPr>
            <w:r>
              <w:rPr>
                <w:rFonts w:hAnsi="宋体" w:hint="eastAsia"/>
                <w:sz w:val="24"/>
                <w:szCs w:val="20"/>
              </w:rPr>
              <w:t>0.1</w:t>
            </w:r>
          </w:p>
        </w:tc>
        <w:tc>
          <w:tcPr>
            <w:tcW w:w="1296" w:type="dxa"/>
            <w:vAlign w:val="center"/>
          </w:tcPr>
          <w:p w:rsidR="00475650" w:rsidRDefault="00475650">
            <w:pPr>
              <w:jc w:val="center"/>
              <w:textAlignment w:val="center"/>
              <w:rPr>
                <w:rFonts w:hAnsi="宋体"/>
                <w:sz w:val="24"/>
                <w:szCs w:val="20"/>
              </w:rPr>
            </w:pPr>
            <w:r>
              <w:rPr>
                <w:rFonts w:hAnsi="宋体" w:hint="eastAsia"/>
                <w:sz w:val="24"/>
                <w:szCs w:val="20"/>
              </w:rPr>
              <w:t>--</w:t>
            </w:r>
          </w:p>
        </w:tc>
        <w:tc>
          <w:tcPr>
            <w:tcW w:w="664" w:type="dxa"/>
            <w:vAlign w:val="center"/>
          </w:tcPr>
          <w:p w:rsidR="00475650" w:rsidRDefault="00475650">
            <w:pPr>
              <w:jc w:val="center"/>
              <w:rPr>
                <w:rFonts w:hAnsi="宋体"/>
                <w:sz w:val="24"/>
                <w:szCs w:val="20"/>
              </w:rPr>
            </w:pPr>
            <w:r>
              <w:rPr>
                <w:rFonts w:hAnsi="宋体" w:hint="eastAsia"/>
                <w:sz w:val="24"/>
                <w:szCs w:val="20"/>
              </w:rPr>
              <w:t>无</w:t>
            </w:r>
          </w:p>
        </w:tc>
      </w:tr>
      <w:tr w:rsidR="00475650">
        <w:trPr>
          <w:trHeight w:val="340"/>
          <w:jc w:val="center"/>
        </w:trPr>
        <w:tc>
          <w:tcPr>
            <w:tcW w:w="1465" w:type="dxa"/>
            <w:vMerge/>
            <w:vAlign w:val="center"/>
          </w:tcPr>
          <w:p w:rsidR="00475650" w:rsidRDefault="00475650">
            <w:pPr>
              <w:widowControl/>
              <w:jc w:val="center"/>
              <w:rPr>
                <w:rFonts w:hAnsi="宋体"/>
                <w:sz w:val="24"/>
                <w:szCs w:val="20"/>
              </w:rPr>
            </w:pPr>
          </w:p>
        </w:tc>
        <w:tc>
          <w:tcPr>
            <w:tcW w:w="815" w:type="dxa"/>
            <w:vAlign w:val="center"/>
          </w:tcPr>
          <w:p w:rsidR="00475650" w:rsidRDefault="00475650">
            <w:pPr>
              <w:jc w:val="center"/>
              <w:rPr>
                <w:rFonts w:hAnsi="宋体"/>
                <w:sz w:val="24"/>
                <w:szCs w:val="20"/>
              </w:rPr>
            </w:pPr>
            <w:r>
              <w:rPr>
                <w:rFonts w:hAnsi="宋体" w:hint="eastAsia"/>
                <w:sz w:val="24"/>
                <w:szCs w:val="20"/>
              </w:rPr>
              <w:t>氯化氢</w:t>
            </w:r>
          </w:p>
        </w:tc>
        <w:tc>
          <w:tcPr>
            <w:tcW w:w="1670" w:type="dxa"/>
            <w:vAlign w:val="center"/>
          </w:tcPr>
          <w:p w:rsidR="00475650" w:rsidRDefault="00475650">
            <w:pPr>
              <w:jc w:val="center"/>
              <w:textAlignment w:val="center"/>
              <w:rPr>
                <w:rFonts w:hAnsi="宋体"/>
                <w:sz w:val="24"/>
                <w:szCs w:val="20"/>
              </w:rPr>
            </w:pPr>
            <w:r>
              <w:rPr>
                <w:rFonts w:hAnsi="宋体" w:hint="eastAsia"/>
                <w:sz w:val="24"/>
                <w:szCs w:val="20"/>
              </w:rPr>
              <w:t>0.005~0.010</w:t>
            </w:r>
          </w:p>
        </w:tc>
        <w:tc>
          <w:tcPr>
            <w:tcW w:w="1509" w:type="dxa"/>
            <w:vAlign w:val="center"/>
          </w:tcPr>
          <w:p w:rsidR="00475650" w:rsidRDefault="00475650">
            <w:pPr>
              <w:jc w:val="center"/>
              <w:textAlignment w:val="center"/>
              <w:rPr>
                <w:rFonts w:hAnsi="宋体"/>
                <w:sz w:val="24"/>
                <w:szCs w:val="20"/>
              </w:rPr>
            </w:pPr>
            <w:r>
              <w:rPr>
                <w:rFonts w:hAnsi="宋体" w:hint="eastAsia"/>
                <w:sz w:val="24"/>
                <w:szCs w:val="20"/>
              </w:rPr>
              <w:t>--</w:t>
            </w:r>
          </w:p>
        </w:tc>
        <w:tc>
          <w:tcPr>
            <w:tcW w:w="1455" w:type="dxa"/>
            <w:vAlign w:val="center"/>
          </w:tcPr>
          <w:p w:rsidR="00475650" w:rsidRDefault="00475650">
            <w:pPr>
              <w:jc w:val="center"/>
              <w:textAlignment w:val="center"/>
              <w:rPr>
                <w:rFonts w:hAnsi="宋体"/>
                <w:sz w:val="24"/>
                <w:szCs w:val="20"/>
              </w:rPr>
            </w:pPr>
            <w:r>
              <w:rPr>
                <w:rFonts w:hAnsi="宋体" w:hint="eastAsia"/>
                <w:sz w:val="24"/>
                <w:szCs w:val="20"/>
              </w:rPr>
              <w:t>0.2</w:t>
            </w:r>
          </w:p>
        </w:tc>
        <w:tc>
          <w:tcPr>
            <w:tcW w:w="1296" w:type="dxa"/>
            <w:vAlign w:val="center"/>
          </w:tcPr>
          <w:p w:rsidR="00475650" w:rsidRDefault="00475650">
            <w:pPr>
              <w:jc w:val="center"/>
              <w:textAlignment w:val="center"/>
              <w:rPr>
                <w:rFonts w:hAnsi="宋体"/>
                <w:sz w:val="24"/>
                <w:szCs w:val="20"/>
              </w:rPr>
            </w:pPr>
            <w:r>
              <w:rPr>
                <w:rFonts w:hAnsi="宋体" w:hint="eastAsia"/>
                <w:sz w:val="24"/>
                <w:szCs w:val="20"/>
              </w:rPr>
              <w:t>--</w:t>
            </w:r>
          </w:p>
        </w:tc>
        <w:tc>
          <w:tcPr>
            <w:tcW w:w="664" w:type="dxa"/>
            <w:vAlign w:val="center"/>
          </w:tcPr>
          <w:p w:rsidR="00475650" w:rsidRDefault="00475650">
            <w:pPr>
              <w:jc w:val="center"/>
              <w:rPr>
                <w:rFonts w:hAnsi="宋体"/>
                <w:sz w:val="24"/>
                <w:szCs w:val="20"/>
              </w:rPr>
            </w:pPr>
            <w:r>
              <w:rPr>
                <w:rFonts w:hAnsi="宋体" w:hint="eastAsia"/>
                <w:sz w:val="24"/>
                <w:szCs w:val="20"/>
              </w:rPr>
              <w:t>无</w:t>
            </w:r>
          </w:p>
        </w:tc>
      </w:tr>
    </w:tbl>
    <w:p w:rsidR="00475650" w:rsidRDefault="00475650">
      <w:pPr>
        <w:tabs>
          <w:tab w:val="left" w:pos="484"/>
        </w:tabs>
        <w:autoSpaceDE w:val="0"/>
        <w:autoSpaceDN w:val="0"/>
        <w:adjustRightInd w:val="0"/>
        <w:snapToGrid w:val="0"/>
        <w:spacing w:line="360" w:lineRule="auto"/>
        <w:ind w:firstLineChars="200" w:firstLine="480"/>
        <w:outlineLvl w:val="0"/>
        <w:rPr>
          <w:rFonts w:hAnsi="宋体"/>
          <w:sz w:val="24"/>
        </w:rPr>
      </w:pPr>
      <w:bookmarkStart w:id="689" w:name="_Toc13201"/>
      <w:bookmarkStart w:id="690" w:name="_Toc465677018"/>
      <w:r>
        <w:rPr>
          <w:rFonts w:hAnsi="宋体" w:hint="eastAsia"/>
          <w:sz w:val="24"/>
        </w:rPr>
        <w:lastRenderedPageBreak/>
        <w:t xml:space="preserve">4.3.1.3 </w:t>
      </w:r>
      <w:r>
        <w:rPr>
          <w:rFonts w:hAnsi="宋体" w:hint="eastAsia"/>
          <w:sz w:val="24"/>
        </w:rPr>
        <w:t>垃圾焚烧发电环评项目历史监测数据</w:t>
      </w:r>
      <w:bookmarkEnd w:id="689"/>
      <w:bookmarkEnd w:id="690"/>
    </w:p>
    <w:p w:rsidR="00475650" w:rsidRDefault="00475650">
      <w:pPr>
        <w:tabs>
          <w:tab w:val="left" w:pos="484"/>
        </w:tabs>
        <w:autoSpaceDE w:val="0"/>
        <w:autoSpaceDN w:val="0"/>
        <w:adjustRightInd w:val="0"/>
        <w:snapToGrid w:val="0"/>
        <w:spacing w:line="360" w:lineRule="auto"/>
        <w:ind w:firstLineChars="200" w:firstLine="480"/>
        <w:rPr>
          <w:rFonts w:hAnsi="宋体"/>
          <w:sz w:val="24"/>
        </w:rPr>
      </w:pPr>
      <w:r>
        <w:rPr>
          <w:rFonts w:hAnsi="宋体"/>
          <w:sz w:val="24"/>
        </w:rPr>
        <w:t>一、监测布点</w:t>
      </w:r>
    </w:p>
    <w:p w:rsidR="00475650" w:rsidRDefault="00475650">
      <w:pPr>
        <w:tabs>
          <w:tab w:val="left" w:pos="484"/>
        </w:tabs>
        <w:autoSpaceDE w:val="0"/>
        <w:autoSpaceDN w:val="0"/>
        <w:adjustRightInd w:val="0"/>
        <w:snapToGrid w:val="0"/>
        <w:spacing w:line="360" w:lineRule="auto"/>
        <w:ind w:firstLineChars="200" w:firstLine="480"/>
        <w:rPr>
          <w:sz w:val="24"/>
        </w:rPr>
      </w:pPr>
      <w:r>
        <w:rPr>
          <w:rFonts w:hAnsi="宋体"/>
          <w:sz w:val="24"/>
        </w:rPr>
        <w:t>历史监测点位分布情况见表</w:t>
      </w:r>
      <w:r>
        <w:rPr>
          <w:sz w:val="24"/>
        </w:rPr>
        <w:t>4.3-</w:t>
      </w:r>
      <w:r>
        <w:rPr>
          <w:rFonts w:hint="eastAsia"/>
          <w:sz w:val="24"/>
        </w:rPr>
        <w:t>6</w:t>
      </w:r>
      <w:r>
        <w:rPr>
          <w:rFonts w:hAnsi="宋体"/>
          <w:sz w:val="24"/>
        </w:rPr>
        <w:t>和附图</w:t>
      </w:r>
      <w:r>
        <w:rPr>
          <w:sz w:val="24"/>
        </w:rPr>
        <w:t>3</w:t>
      </w:r>
      <w:r>
        <w:rPr>
          <w:rFonts w:hAnsi="宋体"/>
          <w:sz w:val="24"/>
        </w:rPr>
        <w:t>。</w:t>
      </w:r>
    </w:p>
    <w:p w:rsidR="00475650" w:rsidRDefault="00475650">
      <w:pPr>
        <w:snapToGrid w:val="0"/>
        <w:spacing w:line="360" w:lineRule="auto"/>
        <w:jc w:val="center"/>
        <w:rPr>
          <w:rFonts w:hAnsi="宋体"/>
          <w:sz w:val="24"/>
        </w:rPr>
      </w:pPr>
      <w:r>
        <w:rPr>
          <w:rFonts w:hAnsi="宋体"/>
          <w:sz w:val="24"/>
        </w:rPr>
        <w:t>表</w:t>
      </w:r>
      <w:r>
        <w:rPr>
          <w:sz w:val="24"/>
        </w:rPr>
        <w:t>4.3-</w:t>
      </w:r>
      <w:r>
        <w:rPr>
          <w:rFonts w:hint="eastAsia"/>
          <w:sz w:val="24"/>
        </w:rPr>
        <w:t>6</w:t>
      </w:r>
      <w:r>
        <w:rPr>
          <w:sz w:val="24"/>
        </w:rPr>
        <w:t xml:space="preserve">   </w:t>
      </w:r>
      <w:r>
        <w:rPr>
          <w:rFonts w:hAnsi="宋体"/>
          <w:sz w:val="24"/>
        </w:rPr>
        <w:t>环境现状监测布点一览表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667"/>
        <w:gridCol w:w="1730"/>
        <w:gridCol w:w="2749"/>
        <w:gridCol w:w="3914"/>
      </w:tblGrid>
      <w:tr w:rsidR="00475650">
        <w:trPr>
          <w:jc w:val="center"/>
        </w:trPr>
        <w:tc>
          <w:tcPr>
            <w:tcW w:w="667" w:type="dxa"/>
            <w:vAlign w:val="center"/>
          </w:tcPr>
          <w:p w:rsidR="00475650" w:rsidRDefault="00475650">
            <w:pPr>
              <w:pStyle w:val="14"/>
              <w:spacing w:line="240" w:lineRule="auto"/>
              <w:ind w:firstLine="0"/>
              <w:jc w:val="center"/>
              <w:rPr>
                <w:rFonts w:eastAsia="宋体"/>
                <w:b/>
                <w:sz w:val="21"/>
                <w:szCs w:val="21"/>
              </w:rPr>
            </w:pPr>
            <w:r>
              <w:rPr>
                <w:rFonts w:eastAsia="宋体"/>
                <w:b/>
                <w:sz w:val="21"/>
                <w:szCs w:val="21"/>
              </w:rPr>
              <w:t>序号</w:t>
            </w:r>
          </w:p>
        </w:tc>
        <w:tc>
          <w:tcPr>
            <w:tcW w:w="1730" w:type="dxa"/>
            <w:vAlign w:val="center"/>
          </w:tcPr>
          <w:p w:rsidR="00475650" w:rsidRDefault="00475650">
            <w:pPr>
              <w:pStyle w:val="14"/>
              <w:spacing w:line="240" w:lineRule="auto"/>
              <w:ind w:firstLine="422"/>
              <w:jc w:val="center"/>
              <w:rPr>
                <w:rFonts w:eastAsia="宋体"/>
                <w:b/>
                <w:sz w:val="21"/>
                <w:szCs w:val="21"/>
              </w:rPr>
            </w:pPr>
            <w:r>
              <w:rPr>
                <w:rFonts w:eastAsia="宋体"/>
                <w:b/>
                <w:sz w:val="21"/>
                <w:szCs w:val="21"/>
              </w:rPr>
              <w:t>监测点</w:t>
            </w:r>
          </w:p>
        </w:tc>
        <w:tc>
          <w:tcPr>
            <w:tcW w:w="2749" w:type="dxa"/>
            <w:vAlign w:val="center"/>
          </w:tcPr>
          <w:p w:rsidR="00475650" w:rsidRDefault="00475650">
            <w:pPr>
              <w:pStyle w:val="14"/>
              <w:spacing w:line="240" w:lineRule="auto"/>
              <w:ind w:firstLine="422"/>
              <w:jc w:val="center"/>
              <w:rPr>
                <w:rFonts w:eastAsia="宋体"/>
                <w:b/>
                <w:sz w:val="21"/>
                <w:szCs w:val="21"/>
              </w:rPr>
            </w:pPr>
            <w:r>
              <w:rPr>
                <w:rFonts w:eastAsia="宋体"/>
                <w:sz w:val="21"/>
              </w:rPr>
              <w:t>相对方位和距离</w:t>
            </w:r>
          </w:p>
        </w:tc>
        <w:tc>
          <w:tcPr>
            <w:tcW w:w="3914" w:type="dxa"/>
            <w:vAlign w:val="center"/>
          </w:tcPr>
          <w:p w:rsidR="00475650" w:rsidRDefault="00475650">
            <w:pPr>
              <w:pStyle w:val="14"/>
              <w:spacing w:line="240" w:lineRule="auto"/>
              <w:ind w:firstLine="422"/>
              <w:jc w:val="center"/>
              <w:rPr>
                <w:rFonts w:eastAsia="宋体"/>
                <w:sz w:val="21"/>
              </w:rPr>
            </w:pPr>
            <w:r>
              <w:rPr>
                <w:rFonts w:eastAsia="宋体"/>
                <w:sz w:val="21"/>
              </w:rPr>
              <w:t>监测因子</w:t>
            </w:r>
          </w:p>
        </w:tc>
      </w:tr>
      <w:tr w:rsidR="00475650">
        <w:trPr>
          <w:jc w:val="center"/>
        </w:trPr>
        <w:tc>
          <w:tcPr>
            <w:tcW w:w="667" w:type="dxa"/>
            <w:vAlign w:val="center"/>
          </w:tcPr>
          <w:p w:rsidR="00475650" w:rsidRDefault="00475650">
            <w:pPr>
              <w:pStyle w:val="14"/>
              <w:spacing w:line="240" w:lineRule="auto"/>
              <w:ind w:firstLine="0"/>
              <w:jc w:val="center"/>
              <w:rPr>
                <w:rFonts w:eastAsia="宋体"/>
                <w:sz w:val="21"/>
                <w:szCs w:val="21"/>
              </w:rPr>
            </w:pPr>
            <w:r>
              <w:rPr>
                <w:rFonts w:eastAsia="宋体" w:hint="eastAsia"/>
                <w:sz w:val="21"/>
                <w:szCs w:val="21"/>
              </w:rPr>
              <w:t>A5</w:t>
            </w:r>
          </w:p>
        </w:tc>
        <w:tc>
          <w:tcPr>
            <w:tcW w:w="1730" w:type="dxa"/>
            <w:vAlign w:val="center"/>
          </w:tcPr>
          <w:p w:rsidR="00475650" w:rsidRDefault="00475650">
            <w:pPr>
              <w:pStyle w:val="14"/>
              <w:spacing w:line="240" w:lineRule="auto"/>
              <w:ind w:firstLine="0"/>
              <w:jc w:val="center"/>
              <w:rPr>
                <w:rFonts w:eastAsia="宋体"/>
                <w:sz w:val="21"/>
                <w:szCs w:val="21"/>
              </w:rPr>
            </w:pPr>
            <w:r>
              <w:rPr>
                <w:rFonts w:eastAsia="宋体"/>
                <w:sz w:val="21"/>
                <w:szCs w:val="21"/>
              </w:rPr>
              <w:t>环宇药业南侧</w:t>
            </w:r>
          </w:p>
        </w:tc>
        <w:tc>
          <w:tcPr>
            <w:tcW w:w="2749" w:type="dxa"/>
            <w:vAlign w:val="center"/>
          </w:tcPr>
          <w:p w:rsidR="00475650" w:rsidRDefault="00475650">
            <w:pPr>
              <w:pStyle w:val="14"/>
              <w:spacing w:line="240" w:lineRule="auto"/>
              <w:ind w:firstLine="0"/>
              <w:jc w:val="center"/>
              <w:rPr>
                <w:rFonts w:eastAsia="宋体"/>
                <w:sz w:val="21"/>
                <w:szCs w:val="21"/>
              </w:rPr>
            </w:pPr>
            <w:r>
              <w:rPr>
                <w:rFonts w:eastAsia="宋体"/>
                <w:sz w:val="21"/>
                <w:szCs w:val="21"/>
              </w:rPr>
              <w:t>拟建项目</w:t>
            </w:r>
            <w:r>
              <w:rPr>
                <w:rFonts w:eastAsia="宋体" w:hint="eastAsia"/>
                <w:sz w:val="21"/>
                <w:szCs w:val="21"/>
              </w:rPr>
              <w:t>S</w:t>
            </w:r>
            <w:r>
              <w:rPr>
                <w:rFonts w:eastAsia="宋体"/>
                <w:sz w:val="21"/>
                <w:szCs w:val="21"/>
              </w:rPr>
              <w:t>W</w:t>
            </w:r>
            <w:r>
              <w:rPr>
                <w:rFonts w:eastAsia="宋体"/>
                <w:sz w:val="21"/>
                <w:szCs w:val="21"/>
              </w:rPr>
              <w:t>侧，</w:t>
            </w:r>
            <w:r>
              <w:rPr>
                <w:rFonts w:eastAsia="宋体" w:hint="eastAsia"/>
                <w:sz w:val="21"/>
                <w:szCs w:val="21"/>
              </w:rPr>
              <w:t>1.4</w:t>
            </w:r>
            <w:r>
              <w:rPr>
                <w:rFonts w:eastAsia="宋体"/>
                <w:sz w:val="21"/>
                <w:szCs w:val="21"/>
              </w:rPr>
              <w:t>km</w:t>
            </w:r>
          </w:p>
        </w:tc>
        <w:tc>
          <w:tcPr>
            <w:tcW w:w="3914" w:type="dxa"/>
            <w:vMerge w:val="restart"/>
            <w:vAlign w:val="center"/>
          </w:tcPr>
          <w:p w:rsidR="00475650" w:rsidRDefault="00475650">
            <w:pPr>
              <w:pStyle w:val="CharCharChar8"/>
              <w:jc w:val="center"/>
              <w:rPr>
                <w:rFonts w:ascii="Times New Roman" w:hAnsi="Times New Roman"/>
              </w:rPr>
            </w:pPr>
            <w:r>
              <w:rPr>
                <w:rFonts w:ascii="Times New Roman" w:hAnsi="Times New Roman"/>
              </w:rPr>
              <w:t>SO</w:t>
            </w:r>
            <w:r>
              <w:rPr>
                <w:rFonts w:ascii="Times New Roman" w:hAnsi="Times New Roman"/>
                <w:vertAlign w:val="subscript"/>
              </w:rPr>
              <w:t>2</w:t>
            </w:r>
            <w:r>
              <w:rPr>
                <w:rFonts w:ascii="宋体" w:hAnsi="宋体" w:cs="宋体" w:hint="eastAsia"/>
              </w:rPr>
              <w:t>、</w:t>
            </w:r>
            <w:r>
              <w:rPr>
                <w:rFonts w:ascii="Times New Roman" w:hAnsi="Times New Roman"/>
              </w:rPr>
              <w:t>NO</w:t>
            </w:r>
            <w:r>
              <w:rPr>
                <w:rFonts w:ascii="Times New Roman" w:hAnsi="Times New Roman"/>
                <w:vertAlign w:val="subscript"/>
              </w:rPr>
              <w:t>2</w:t>
            </w:r>
            <w:r>
              <w:rPr>
                <w:rFonts w:ascii="宋体" w:hAnsi="宋体" w:cs="宋体" w:hint="eastAsia"/>
              </w:rPr>
              <w:t>、</w:t>
            </w:r>
            <w:r>
              <w:rPr>
                <w:rFonts w:ascii="Times New Roman" w:hAnsi="Times New Roman"/>
              </w:rPr>
              <w:t>PM</w:t>
            </w:r>
            <w:r>
              <w:rPr>
                <w:rFonts w:ascii="Times New Roman" w:hAnsi="Times New Roman"/>
                <w:vertAlign w:val="subscript"/>
              </w:rPr>
              <w:t>10</w:t>
            </w:r>
            <w:r>
              <w:rPr>
                <w:rFonts w:ascii="宋体" w:hAnsi="宋体" w:cs="宋体" w:hint="eastAsia"/>
              </w:rPr>
              <w:t>、</w:t>
            </w:r>
            <w:r>
              <w:rPr>
                <w:rFonts w:ascii="Times New Roman" w:hAnsi="Times New Roman"/>
              </w:rPr>
              <w:t>PM</w:t>
            </w:r>
            <w:r>
              <w:rPr>
                <w:rFonts w:ascii="Times New Roman" w:hAnsi="Times New Roman" w:hint="eastAsia"/>
                <w:vertAlign w:val="subscript"/>
              </w:rPr>
              <w:t>2.5</w:t>
            </w:r>
            <w:r>
              <w:rPr>
                <w:rFonts w:ascii="宋体" w:hAnsi="宋体" w:cs="宋体" w:hint="eastAsia"/>
              </w:rPr>
              <w:t>、</w:t>
            </w:r>
            <w:r>
              <w:rPr>
                <w:rFonts w:ascii="Times New Roman" w:hAnsi="Times New Roman"/>
              </w:rPr>
              <w:t>TSP</w:t>
            </w:r>
            <w:r>
              <w:rPr>
                <w:rFonts w:ascii="宋体" w:hAnsi="宋体" w:cs="宋体" w:hint="eastAsia"/>
              </w:rPr>
              <w:t>、</w:t>
            </w:r>
            <w:r>
              <w:rPr>
                <w:rFonts w:ascii="Times New Roman" w:hAnsi="Times New Roman"/>
              </w:rPr>
              <w:t>H</w:t>
            </w:r>
            <w:r>
              <w:rPr>
                <w:rFonts w:ascii="Times New Roman" w:hAnsi="Times New Roman"/>
                <w:vertAlign w:val="subscript"/>
              </w:rPr>
              <w:t>2</w:t>
            </w:r>
            <w:r>
              <w:rPr>
                <w:rFonts w:ascii="Times New Roman" w:hAnsi="Times New Roman"/>
              </w:rPr>
              <w:t>S</w:t>
            </w:r>
            <w:r>
              <w:rPr>
                <w:rFonts w:ascii="宋体" w:hAnsi="宋体" w:cs="宋体" w:hint="eastAsia"/>
              </w:rPr>
              <w:t>、</w:t>
            </w:r>
            <w:r>
              <w:rPr>
                <w:rFonts w:ascii="Times New Roman" w:hAnsi="Times New Roman"/>
              </w:rPr>
              <w:t>NH</w:t>
            </w:r>
            <w:r>
              <w:rPr>
                <w:rFonts w:ascii="Times New Roman" w:hAnsi="Times New Roman"/>
                <w:vertAlign w:val="subscript"/>
              </w:rPr>
              <w:t>3</w:t>
            </w:r>
            <w:r>
              <w:rPr>
                <w:rFonts w:ascii="宋体" w:hAnsi="宋体" w:cs="宋体" w:hint="eastAsia"/>
              </w:rPr>
              <w:t>、</w:t>
            </w:r>
            <w:r>
              <w:rPr>
                <w:rFonts w:ascii="Times New Roman" w:hAnsi="Times New Roman"/>
              </w:rPr>
              <w:t>HCl</w:t>
            </w:r>
            <w:r>
              <w:rPr>
                <w:rFonts w:ascii="宋体" w:hAnsi="宋体" w:cs="宋体" w:hint="eastAsia"/>
              </w:rPr>
              <w:t>、臭气</w:t>
            </w:r>
          </w:p>
        </w:tc>
      </w:tr>
      <w:tr w:rsidR="00475650">
        <w:trPr>
          <w:trHeight w:val="305"/>
          <w:jc w:val="center"/>
        </w:trPr>
        <w:tc>
          <w:tcPr>
            <w:tcW w:w="667" w:type="dxa"/>
            <w:vAlign w:val="center"/>
          </w:tcPr>
          <w:p w:rsidR="00475650" w:rsidRDefault="00475650">
            <w:pPr>
              <w:jc w:val="center"/>
            </w:pPr>
            <w:r>
              <w:rPr>
                <w:rFonts w:hint="eastAsia"/>
                <w:szCs w:val="21"/>
              </w:rPr>
              <w:t>A6</w:t>
            </w:r>
          </w:p>
        </w:tc>
        <w:tc>
          <w:tcPr>
            <w:tcW w:w="1730" w:type="dxa"/>
            <w:vAlign w:val="center"/>
          </w:tcPr>
          <w:p w:rsidR="00475650" w:rsidRDefault="00475650">
            <w:pPr>
              <w:pStyle w:val="14"/>
              <w:spacing w:line="240" w:lineRule="auto"/>
              <w:ind w:firstLine="0"/>
              <w:jc w:val="center"/>
              <w:rPr>
                <w:rFonts w:eastAsia="宋体"/>
                <w:sz w:val="21"/>
                <w:szCs w:val="21"/>
              </w:rPr>
            </w:pPr>
            <w:r>
              <w:rPr>
                <w:rFonts w:eastAsia="宋体" w:hint="eastAsia"/>
                <w:sz w:val="21"/>
                <w:szCs w:val="21"/>
              </w:rPr>
              <w:t>新港村</w:t>
            </w:r>
          </w:p>
        </w:tc>
        <w:tc>
          <w:tcPr>
            <w:tcW w:w="2749" w:type="dxa"/>
            <w:vAlign w:val="center"/>
          </w:tcPr>
          <w:p w:rsidR="00475650" w:rsidRDefault="00475650">
            <w:pPr>
              <w:pStyle w:val="14"/>
              <w:spacing w:line="240" w:lineRule="auto"/>
              <w:ind w:firstLine="0"/>
              <w:jc w:val="center"/>
              <w:rPr>
                <w:rFonts w:eastAsia="宋体"/>
                <w:sz w:val="21"/>
                <w:szCs w:val="21"/>
              </w:rPr>
            </w:pPr>
            <w:r>
              <w:rPr>
                <w:rFonts w:eastAsia="宋体"/>
                <w:sz w:val="21"/>
                <w:szCs w:val="21"/>
              </w:rPr>
              <w:t>拟建项目</w:t>
            </w:r>
            <w:r>
              <w:rPr>
                <w:rFonts w:eastAsia="宋体" w:hint="eastAsia"/>
                <w:sz w:val="21"/>
                <w:szCs w:val="21"/>
              </w:rPr>
              <w:t>SSW</w:t>
            </w:r>
            <w:r>
              <w:rPr>
                <w:rFonts w:eastAsia="宋体"/>
                <w:sz w:val="21"/>
                <w:szCs w:val="21"/>
              </w:rPr>
              <w:t>侧</w:t>
            </w:r>
            <w:r>
              <w:rPr>
                <w:rFonts w:eastAsia="宋体" w:hint="eastAsia"/>
                <w:sz w:val="21"/>
                <w:szCs w:val="21"/>
              </w:rPr>
              <w:t>，</w:t>
            </w:r>
            <w:r>
              <w:rPr>
                <w:rFonts w:eastAsia="宋体" w:hint="eastAsia"/>
                <w:sz w:val="21"/>
                <w:szCs w:val="21"/>
              </w:rPr>
              <w:t>1.8</w:t>
            </w:r>
            <w:r>
              <w:rPr>
                <w:rFonts w:eastAsia="宋体"/>
                <w:sz w:val="21"/>
                <w:szCs w:val="21"/>
              </w:rPr>
              <w:t xml:space="preserve"> km</w:t>
            </w:r>
          </w:p>
        </w:tc>
        <w:tc>
          <w:tcPr>
            <w:tcW w:w="3914" w:type="dxa"/>
            <w:vMerge/>
            <w:vAlign w:val="center"/>
          </w:tcPr>
          <w:p w:rsidR="00475650" w:rsidRDefault="00475650">
            <w:pPr>
              <w:pStyle w:val="14"/>
              <w:spacing w:line="240" w:lineRule="auto"/>
              <w:ind w:firstLine="420"/>
              <w:jc w:val="center"/>
              <w:rPr>
                <w:rFonts w:eastAsia="宋体"/>
                <w:sz w:val="21"/>
                <w:szCs w:val="21"/>
              </w:rPr>
            </w:pPr>
          </w:p>
        </w:tc>
      </w:tr>
    </w:tbl>
    <w:p w:rsidR="00475650" w:rsidRDefault="00475650">
      <w:pPr>
        <w:snapToGrid w:val="0"/>
        <w:spacing w:line="360" w:lineRule="auto"/>
        <w:jc w:val="center"/>
        <w:rPr>
          <w:rFonts w:hAnsi="宋体"/>
          <w:sz w:val="24"/>
        </w:rPr>
      </w:pPr>
    </w:p>
    <w:p w:rsidR="00475650" w:rsidRDefault="00475650">
      <w:pPr>
        <w:tabs>
          <w:tab w:val="left" w:pos="484"/>
        </w:tabs>
        <w:autoSpaceDE w:val="0"/>
        <w:autoSpaceDN w:val="0"/>
        <w:adjustRightInd w:val="0"/>
        <w:snapToGrid w:val="0"/>
        <w:spacing w:line="360" w:lineRule="auto"/>
        <w:ind w:firstLineChars="200" w:firstLine="480"/>
        <w:rPr>
          <w:sz w:val="24"/>
        </w:rPr>
      </w:pPr>
      <w:r>
        <w:rPr>
          <w:rFonts w:hAnsi="宋体"/>
          <w:sz w:val="24"/>
        </w:rPr>
        <w:t>二、监测项目</w:t>
      </w:r>
    </w:p>
    <w:p w:rsidR="00475650" w:rsidRDefault="00475650">
      <w:pPr>
        <w:spacing w:line="360" w:lineRule="auto"/>
        <w:ind w:firstLineChars="200" w:firstLine="480"/>
        <w:rPr>
          <w:sz w:val="24"/>
          <w:szCs w:val="20"/>
        </w:rPr>
      </w:pPr>
      <w:r>
        <w:rPr>
          <w:sz w:val="24"/>
        </w:rPr>
        <w:t>SO</w:t>
      </w:r>
      <w:r>
        <w:rPr>
          <w:sz w:val="24"/>
          <w:vertAlign w:val="subscript"/>
        </w:rPr>
        <w:t>2</w:t>
      </w:r>
      <w:r>
        <w:rPr>
          <w:rFonts w:ascii="宋体" w:hAnsi="宋体" w:cs="宋体" w:hint="eastAsia"/>
          <w:sz w:val="24"/>
        </w:rPr>
        <w:t>、</w:t>
      </w:r>
      <w:r>
        <w:rPr>
          <w:sz w:val="24"/>
        </w:rPr>
        <w:t>NO</w:t>
      </w:r>
      <w:r>
        <w:rPr>
          <w:sz w:val="24"/>
          <w:vertAlign w:val="subscript"/>
        </w:rPr>
        <w:t>2</w:t>
      </w:r>
      <w:r>
        <w:rPr>
          <w:rFonts w:ascii="宋体" w:hAnsi="宋体" w:cs="宋体" w:hint="eastAsia"/>
          <w:sz w:val="24"/>
        </w:rPr>
        <w:t>、</w:t>
      </w:r>
      <w:r>
        <w:rPr>
          <w:sz w:val="24"/>
        </w:rPr>
        <w:t>PM</w:t>
      </w:r>
      <w:r>
        <w:rPr>
          <w:sz w:val="24"/>
          <w:vertAlign w:val="subscript"/>
        </w:rPr>
        <w:t>10</w:t>
      </w:r>
      <w:r>
        <w:rPr>
          <w:rFonts w:ascii="宋体" w:hAnsi="宋体" w:cs="宋体" w:hint="eastAsia"/>
          <w:sz w:val="24"/>
        </w:rPr>
        <w:t>、</w:t>
      </w:r>
      <w:r>
        <w:rPr>
          <w:sz w:val="24"/>
        </w:rPr>
        <w:t>PM</w:t>
      </w:r>
      <w:r>
        <w:rPr>
          <w:rFonts w:hint="eastAsia"/>
          <w:sz w:val="24"/>
          <w:vertAlign w:val="subscript"/>
        </w:rPr>
        <w:t>2.5</w:t>
      </w:r>
      <w:r>
        <w:rPr>
          <w:rFonts w:ascii="宋体" w:hAnsi="宋体" w:cs="宋体" w:hint="eastAsia"/>
          <w:sz w:val="24"/>
        </w:rPr>
        <w:t>、</w:t>
      </w:r>
      <w:r>
        <w:rPr>
          <w:sz w:val="24"/>
        </w:rPr>
        <w:t>TSP</w:t>
      </w:r>
      <w:r>
        <w:rPr>
          <w:rFonts w:ascii="宋体" w:hAnsi="宋体" w:cs="宋体" w:hint="eastAsia"/>
          <w:sz w:val="24"/>
        </w:rPr>
        <w:t>、</w:t>
      </w:r>
      <w:r>
        <w:rPr>
          <w:sz w:val="24"/>
        </w:rPr>
        <w:t>H</w:t>
      </w:r>
      <w:r>
        <w:rPr>
          <w:sz w:val="24"/>
          <w:vertAlign w:val="subscript"/>
        </w:rPr>
        <w:t>2</w:t>
      </w:r>
      <w:r>
        <w:rPr>
          <w:sz w:val="24"/>
        </w:rPr>
        <w:t>S</w:t>
      </w:r>
      <w:r>
        <w:rPr>
          <w:rFonts w:ascii="宋体" w:hAnsi="宋体" w:cs="宋体" w:hint="eastAsia"/>
          <w:sz w:val="24"/>
        </w:rPr>
        <w:t>、</w:t>
      </w:r>
      <w:r>
        <w:rPr>
          <w:sz w:val="24"/>
        </w:rPr>
        <w:t>NH</w:t>
      </w:r>
      <w:r>
        <w:rPr>
          <w:sz w:val="24"/>
          <w:vertAlign w:val="subscript"/>
        </w:rPr>
        <w:t>3</w:t>
      </w:r>
      <w:r>
        <w:rPr>
          <w:rFonts w:ascii="宋体" w:hAnsi="宋体" w:cs="宋体" w:hint="eastAsia"/>
          <w:sz w:val="24"/>
        </w:rPr>
        <w:t>、</w:t>
      </w:r>
      <w:r>
        <w:rPr>
          <w:sz w:val="24"/>
        </w:rPr>
        <w:t>HCl</w:t>
      </w:r>
      <w:r>
        <w:rPr>
          <w:rFonts w:ascii="宋体" w:hAnsi="宋体" w:cs="宋体" w:hint="eastAsia"/>
          <w:sz w:val="24"/>
        </w:rPr>
        <w:t>、臭气</w:t>
      </w:r>
      <w:r>
        <w:rPr>
          <w:sz w:val="24"/>
          <w:szCs w:val="20"/>
        </w:rPr>
        <w:t>。</w:t>
      </w:r>
    </w:p>
    <w:p w:rsidR="00475650" w:rsidRDefault="00475650">
      <w:pPr>
        <w:tabs>
          <w:tab w:val="left" w:pos="484"/>
        </w:tabs>
        <w:autoSpaceDE w:val="0"/>
        <w:autoSpaceDN w:val="0"/>
        <w:adjustRightInd w:val="0"/>
        <w:snapToGrid w:val="0"/>
        <w:spacing w:line="360" w:lineRule="auto"/>
        <w:ind w:firstLineChars="200" w:firstLine="480"/>
        <w:rPr>
          <w:sz w:val="24"/>
        </w:rPr>
      </w:pPr>
      <w:r>
        <w:rPr>
          <w:rFonts w:hAnsi="宋体"/>
          <w:sz w:val="24"/>
        </w:rPr>
        <w:t>三、监测时间、周期</w:t>
      </w:r>
    </w:p>
    <w:p w:rsidR="00475650" w:rsidRDefault="00475650">
      <w:pPr>
        <w:snapToGrid w:val="0"/>
        <w:spacing w:line="360" w:lineRule="auto"/>
        <w:ind w:firstLineChars="200" w:firstLine="480"/>
        <w:rPr>
          <w:sz w:val="24"/>
        </w:rPr>
      </w:pPr>
      <w:r>
        <w:rPr>
          <w:sz w:val="24"/>
        </w:rPr>
        <w:t>岳阳市环境保护监测站于</w:t>
      </w:r>
      <w:r>
        <w:rPr>
          <w:sz w:val="24"/>
        </w:rPr>
        <w:t>2015</w:t>
      </w:r>
      <w:r>
        <w:rPr>
          <w:sz w:val="24"/>
        </w:rPr>
        <w:t>年</w:t>
      </w:r>
      <w:r>
        <w:rPr>
          <w:sz w:val="24"/>
        </w:rPr>
        <w:t>12</w:t>
      </w:r>
      <w:r>
        <w:rPr>
          <w:sz w:val="24"/>
        </w:rPr>
        <w:t>月</w:t>
      </w:r>
      <w:r>
        <w:rPr>
          <w:sz w:val="24"/>
        </w:rPr>
        <w:t>1</w:t>
      </w:r>
      <w:r>
        <w:rPr>
          <w:sz w:val="24"/>
        </w:rPr>
        <w:t>日</w:t>
      </w:r>
      <w:r>
        <w:rPr>
          <w:sz w:val="24"/>
        </w:rPr>
        <w:t>-7</w:t>
      </w:r>
      <w:r>
        <w:rPr>
          <w:sz w:val="24"/>
        </w:rPr>
        <w:t>日连续监测</w:t>
      </w:r>
      <w:r>
        <w:rPr>
          <w:sz w:val="24"/>
        </w:rPr>
        <w:t>7</w:t>
      </w:r>
      <w:r>
        <w:rPr>
          <w:sz w:val="24"/>
        </w:rPr>
        <w:t>天</w:t>
      </w:r>
      <w:r>
        <w:rPr>
          <w:rFonts w:hint="eastAsia"/>
          <w:sz w:val="24"/>
        </w:rPr>
        <w:t>，长沙市</w:t>
      </w:r>
      <w:r>
        <w:rPr>
          <w:sz w:val="24"/>
        </w:rPr>
        <w:t>环境保护监测站于</w:t>
      </w:r>
      <w:r>
        <w:rPr>
          <w:sz w:val="24"/>
        </w:rPr>
        <w:t>201</w:t>
      </w:r>
      <w:r>
        <w:rPr>
          <w:rFonts w:hint="eastAsia"/>
          <w:sz w:val="24"/>
        </w:rPr>
        <w:t>6</w:t>
      </w:r>
      <w:r>
        <w:rPr>
          <w:sz w:val="24"/>
        </w:rPr>
        <w:t>年</w:t>
      </w:r>
      <w:r>
        <w:rPr>
          <w:rFonts w:hint="eastAsia"/>
          <w:sz w:val="24"/>
        </w:rPr>
        <w:t>1</w:t>
      </w:r>
      <w:r>
        <w:rPr>
          <w:sz w:val="24"/>
        </w:rPr>
        <w:t>月</w:t>
      </w:r>
      <w:r>
        <w:rPr>
          <w:rFonts w:hint="eastAsia"/>
          <w:sz w:val="24"/>
        </w:rPr>
        <w:t>26</w:t>
      </w:r>
      <w:r>
        <w:rPr>
          <w:sz w:val="24"/>
        </w:rPr>
        <w:t>日</w:t>
      </w:r>
      <w:r>
        <w:rPr>
          <w:sz w:val="24"/>
        </w:rPr>
        <w:t>-</w:t>
      </w:r>
      <w:r>
        <w:rPr>
          <w:rFonts w:hint="eastAsia"/>
          <w:sz w:val="24"/>
        </w:rPr>
        <w:t>1</w:t>
      </w:r>
      <w:r>
        <w:rPr>
          <w:rFonts w:hint="eastAsia"/>
          <w:sz w:val="24"/>
        </w:rPr>
        <w:t>月</w:t>
      </w:r>
      <w:r>
        <w:rPr>
          <w:rFonts w:hint="eastAsia"/>
          <w:sz w:val="24"/>
        </w:rPr>
        <w:t>28</w:t>
      </w:r>
      <w:r>
        <w:rPr>
          <w:sz w:val="24"/>
        </w:rPr>
        <w:t>日</w:t>
      </w:r>
      <w:r>
        <w:rPr>
          <w:rFonts w:hint="eastAsia"/>
          <w:sz w:val="24"/>
        </w:rPr>
        <w:t>对</w:t>
      </w:r>
      <w:r>
        <w:rPr>
          <w:rFonts w:hint="eastAsia"/>
          <w:sz w:val="24"/>
        </w:rPr>
        <w:t>HCl</w:t>
      </w:r>
      <w:r>
        <w:rPr>
          <w:rFonts w:hint="eastAsia"/>
          <w:sz w:val="24"/>
        </w:rPr>
        <w:t>小时值</w:t>
      </w:r>
      <w:r>
        <w:rPr>
          <w:sz w:val="24"/>
        </w:rPr>
        <w:t>连续监测</w:t>
      </w:r>
      <w:r>
        <w:rPr>
          <w:rFonts w:hint="eastAsia"/>
          <w:sz w:val="24"/>
        </w:rPr>
        <w:t>3</w:t>
      </w:r>
      <w:r>
        <w:rPr>
          <w:sz w:val="24"/>
        </w:rPr>
        <w:t>天。各项指标因子监测采样均按照《环境空气质量标准》（</w:t>
      </w:r>
      <w:r>
        <w:rPr>
          <w:sz w:val="24"/>
        </w:rPr>
        <w:t>GB3095-2012</w:t>
      </w:r>
      <w:r>
        <w:rPr>
          <w:sz w:val="24"/>
        </w:rPr>
        <w:t>）相关要求进行。</w:t>
      </w:r>
    </w:p>
    <w:p w:rsidR="00475650" w:rsidRDefault="00475650">
      <w:pPr>
        <w:tabs>
          <w:tab w:val="left" w:pos="484"/>
        </w:tabs>
        <w:autoSpaceDE w:val="0"/>
        <w:autoSpaceDN w:val="0"/>
        <w:adjustRightInd w:val="0"/>
        <w:snapToGrid w:val="0"/>
        <w:spacing w:line="360" w:lineRule="auto"/>
        <w:ind w:firstLineChars="200" w:firstLine="480"/>
        <w:rPr>
          <w:sz w:val="24"/>
        </w:rPr>
      </w:pPr>
      <w:r>
        <w:rPr>
          <w:rFonts w:hAnsi="宋体" w:hint="eastAsia"/>
          <w:sz w:val="24"/>
        </w:rPr>
        <w:t>四</w:t>
      </w:r>
      <w:r>
        <w:rPr>
          <w:rFonts w:hAnsi="宋体"/>
          <w:sz w:val="24"/>
        </w:rPr>
        <w:t>、监测结果统计</w:t>
      </w:r>
    </w:p>
    <w:p w:rsidR="00475650" w:rsidRDefault="00475650">
      <w:pPr>
        <w:spacing w:line="360" w:lineRule="auto"/>
        <w:ind w:firstLineChars="200" w:firstLine="480"/>
        <w:rPr>
          <w:sz w:val="24"/>
          <w:szCs w:val="20"/>
        </w:rPr>
      </w:pPr>
      <w:r>
        <w:rPr>
          <w:rFonts w:hAnsi="宋体"/>
          <w:sz w:val="24"/>
          <w:szCs w:val="20"/>
        </w:rPr>
        <w:t>环境空气质量现状监测与评价结果见表</w:t>
      </w:r>
      <w:r>
        <w:rPr>
          <w:sz w:val="24"/>
          <w:szCs w:val="20"/>
        </w:rPr>
        <w:t>4.3-</w:t>
      </w:r>
      <w:r>
        <w:rPr>
          <w:rFonts w:hint="eastAsia"/>
          <w:sz w:val="24"/>
          <w:szCs w:val="20"/>
        </w:rPr>
        <w:t>7</w:t>
      </w:r>
      <w:r>
        <w:rPr>
          <w:rFonts w:hint="eastAsia"/>
          <w:sz w:val="24"/>
          <w:szCs w:val="20"/>
        </w:rPr>
        <w:t>和表</w:t>
      </w:r>
      <w:r>
        <w:rPr>
          <w:rFonts w:hint="eastAsia"/>
          <w:sz w:val="24"/>
          <w:szCs w:val="20"/>
        </w:rPr>
        <w:t>4.3-8</w:t>
      </w:r>
      <w:r>
        <w:rPr>
          <w:rFonts w:hAnsi="宋体"/>
          <w:sz w:val="24"/>
          <w:szCs w:val="20"/>
        </w:rPr>
        <w:t>。</w:t>
      </w:r>
    </w:p>
    <w:p w:rsidR="00475650" w:rsidRDefault="00475650">
      <w:pPr>
        <w:spacing w:line="360" w:lineRule="auto"/>
        <w:ind w:firstLineChars="200" w:firstLine="480"/>
        <w:rPr>
          <w:rFonts w:hAnsi="宋体"/>
          <w:sz w:val="24"/>
          <w:szCs w:val="20"/>
        </w:rPr>
      </w:pPr>
      <w:r>
        <w:rPr>
          <w:rFonts w:hAnsi="宋体" w:hint="eastAsia"/>
          <w:sz w:val="24"/>
          <w:szCs w:val="20"/>
        </w:rPr>
        <w:t>五</w:t>
      </w:r>
      <w:r>
        <w:rPr>
          <w:rFonts w:hAnsi="宋体"/>
          <w:sz w:val="24"/>
          <w:szCs w:val="20"/>
        </w:rPr>
        <w:t>、监测结论</w:t>
      </w:r>
    </w:p>
    <w:p w:rsidR="00475650" w:rsidRDefault="00475650" w:rsidP="00475650">
      <w:pPr>
        <w:pStyle w:val="1-1"/>
        <w:spacing w:beforeLines="0" w:afterLines="0"/>
        <w:ind w:firstLineChars="212" w:firstLine="509"/>
        <w:rPr>
          <w:rFonts w:hAnsi="Times New Roman"/>
        </w:rPr>
      </w:pPr>
      <w:r>
        <w:rPr>
          <w:rFonts w:hAnsi="Times New Roman"/>
        </w:rPr>
        <w:t>监测期间</w:t>
      </w:r>
      <w:r>
        <w:rPr>
          <w:rFonts w:hAnsi="Times New Roman"/>
        </w:rPr>
        <w:t>SO</w:t>
      </w:r>
      <w:r>
        <w:rPr>
          <w:rFonts w:hAnsi="Times New Roman"/>
          <w:vertAlign w:val="subscript"/>
        </w:rPr>
        <w:t>2</w:t>
      </w:r>
      <w:r>
        <w:rPr>
          <w:rFonts w:hAnsi="Times New Roman"/>
        </w:rPr>
        <w:t>、</w:t>
      </w:r>
      <w:r>
        <w:rPr>
          <w:rFonts w:hAnsi="Times New Roman"/>
        </w:rPr>
        <w:t>NO</w:t>
      </w:r>
      <w:r>
        <w:rPr>
          <w:rFonts w:hAnsi="Times New Roman"/>
          <w:vertAlign w:val="subscript"/>
        </w:rPr>
        <w:t>2</w:t>
      </w:r>
      <w:r>
        <w:rPr>
          <w:rFonts w:hAnsi="Times New Roman"/>
        </w:rPr>
        <w:t>小时浓度、日均浓度，</w:t>
      </w:r>
      <w:r>
        <w:rPr>
          <w:rFonts w:hAnsi="Times New Roman"/>
        </w:rPr>
        <w:t xml:space="preserve"> PM</w:t>
      </w:r>
      <w:r>
        <w:rPr>
          <w:rFonts w:hAnsi="Times New Roman"/>
          <w:vertAlign w:val="subscript"/>
        </w:rPr>
        <w:t>10</w:t>
      </w:r>
      <w:r>
        <w:rPr>
          <w:rFonts w:hAnsi="Times New Roman"/>
        </w:rPr>
        <w:t>、</w:t>
      </w:r>
      <w:r>
        <w:rPr>
          <w:rFonts w:hAnsi="Times New Roman"/>
        </w:rPr>
        <w:t>PM</w:t>
      </w:r>
      <w:r>
        <w:rPr>
          <w:rFonts w:hAnsi="Times New Roman" w:hint="eastAsia"/>
          <w:vertAlign w:val="subscript"/>
        </w:rPr>
        <w:t>2</w:t>
      </w:r>
      <w:r>
        <w:rPr>
          <w:rFonts w:hAnsi="Times New Roman"/>
          <w:vertAlign w:val="subscript"/>
        </w:rPr>
        <w:t>.5</w:t>
      </w:r>
      <w:r>
        <w:rPr>
          <w:rFonts w:hAnsi="Times New Roman"/>
        </w:rPr>
        <w:t>、</w:t>
      </w:r>
      <w:r>
        <w:rPr>
          <w:rFonts w:hAnsi="Times New Roman"/>
        </w:rPr>
        <w:t>TSP</w:t>
      </w:r>
      <w:r>
        <w:rPr>
          <w:rFonts w:hAnsi="Times New Roman"/>
        </w:rPr>
        <w:t>日均浓度、</w:t>
      </w:r>
      <w:r>
        <w:rPr>
          <w:rFonts w:hAnsi="Times New Roman"/>
        </w:rPr>
        <w:t>Pb</w:t>
      </w:r>
      <w:r>
        <w:rPr>
          <w:rFonts w:hAnsi="Times New Roman"/>
        </w:rPr>
        <w:t>均符合《环境空气质量标准》（</w:t>
      </w:r>
      <w:r>
        <w:rPr>
          <w:rFonts w:hAnsi="Times New Roman"/>
        </w:rPr>
        <w:t>GB3095-2012</w:t>
      </w:r>
      <w:r>
        <w:rPr>
          <w:rFonts w:hAnsi="Times New Roman"/>
        </w:rPr>
        <w:t>）二级标准，硫化氢、氨气、氯化氢、砷、汞的监测值符合《工业企业设计卫生标准》（</w:t>
      </w:r>
      <w:r>
        <w:rPr>
          <w:rFonts w:hAnsi="Times New Roman"/>
        </w:rPr>
        <w:t>TJ36-79</w:t>
      </w:r>
      <w:r>
        <w:rPr>
          <w:rFonts w:hAnsi="Times New Roman"/>
        </w:rPr>
        <w:t>）中标准。</w:t>
      </w:r>
      <w:r>
        <w:rPr>
          <w:rFonts w:hAnsi="Times New Roman"/>
        </w:rPr>
        <w:t>Cd</w:t>
      </w:r>
      <w:r>
        <w:rPr>
          <w:rFonts w:hAnsi="Times New Roman"/>
        </w:rPr>
        <w:t>日均浓度监测值符合平均浓度限值</w:t>
      </w:r>
      <w:r>
        <w:rPr>
          <w:rFonts w:hAnsi="Times New Roman"/>
        </w:rPr>
        <w:t>≤0.003mg/Nm³</w:t>
      </w:r>
      <w:r>
        <w:rPr>
          <w:rFonts w:hAnsi="Times New Roman"/>
        </w:rPr>
        <w:t>标准。</w:t>
      </w:r>
    </w:p>
    <w:p w:rsidR="00475650" w:rsidRDefault="00475650">
      <w:pPr>
        <w:pStyle w:val="affffffc"/>
        <w:rPr>
          <w:rFonts w:hAnsi="Times New Roman"/>
        </w:rPr>
        <w:sectPr w:rsidR="00475650">
          <w:pgSz w:w="11906" w:h="16838"/>
          <w:pgMar w:top="1712" w:right="1531" w:bottom="1440" w:left="1531" w:header="1247" w:footer="1134" w:gutter="0"/>
          <w:cols w:space="720"/>
          <w:docGrid w:linePitch="286"/>
        </w:sectPr>
      </w:pPr>
    </w:p>
    <w:p w:rsidR="00475650" w:rsidRDefault="00475650">
      <w:pPr>
        <w:pStyle w:val="affffffc"/>
        <w:rPr>
          <w:rFonts w:ascii="Times New Roman" w:hAnsi="Times New Roman"/>
        </w:rPr>
      </w:pPr>
      <w:r>
        <w:rPr>
          <w:rFonts w:ascii="Times New Roman" w:hAnsi="Times New Roman"/>
        </w:rPr>
        <w:lastRenderedPageBreak/>
        <w:t>表</w:t>
      </w:r>
      <w:r>
        <w:rPr>
          <w:rFonts w:ascii="Times New Roman" w:hAnsi="Times New Roman"/>
        </w:rPr>
        <w:t>4.3-</w:t>
      </w:r>
      <w:r>
        <w:rPr>
          <w:rFonts w:ascii="Times New Roman" w:hAnsi="Times New Roman" w:hint="eastAsia"/>
        </w:rPr>
        <w:t>7</w:t>
      </w:r>
      <w:r>
        <w:rPr>
          <w:rFonts w:ascii="Times New Roman" w:hAnsi="Times New Roman"/>
        </w:rPr>
        <w:t xml:space="preserve">    </w:t>
      </w:r>
      <w:r>
        <w:rPr>
          <w:rFonts w:ascii="Times New Roman" w:hAnsi="Times New Roman"/>
        </w:rPr>
        <w:t>环境空气质量日均浓度监测结果</w:t>
      </w:r>
      <w:r>
        <w:rPr>
          <w:rFonts w:ascii="Times New Roman" w:hAnsi="Times New Roman" w:hint="eastAsia"/>
        </w:rPr>
        <w:t>表</w:t>
      </w:r>
      <w:r>
        <w:rPr>
          <w:rFonts w:ascii="Times New Roman" w:hAnsi="Times New Roman"/>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407"/>
        <w:gridCol w:w="2421"/>
        <w:gridCol w:w="1520"/>
        <w:gridCol w:w="1959"/>
        <w:gridCol w:w="1956"/>
        <w:gridCol w:w="1956"/>
        <w:gridCol w:w="1956"/>
      </w:tblGrid>
      <w:tr w:rsidR="00475650">
        <w:trPr>
          <w:jc w:val="center"/>
        </w:trPr>
        <w:tc>
          <w:tcPr>
            <w:tcW w:w="2407" w:type="dxa"/>
            <w:vAlign w:val="center"/>
          </w:tcPr>
          <w:p w:rsidR="00475650" w:rsidRDefault="00475650">
            <w:pPr>
              <w:widowControl/>
              <w:spacing w:line="240" w:lineRule="exact"/>
              <w:jc w:val="center"/>
              <w:rPr>
                <w:kern w:val="0"/>
                <w:szCs w:val="21"/>
              </w:rPr>
            </w:pPr>
            <w:r>
              <w:rPr>
                <w:kern w:val="0"/>
                <w:szCs w:val="21"/>
              </w:rPr>
              <w:t>名称</w:t>
            </w:r>
          </w:p>
        </w:tc>
        <w:tc>
          <w:tcPr>
            <w:tcW w:w="2421" w:type="dxa"/>
            <w:vAlign w:val="center"/>
          </w:tcPr>
          <w:p w:rsidR="00475650" w:rsidRDefault="00475650">
            <w:pPr>
              <w:widowControl/>
              <w:spacing w:line="240" w:lineRule="exact"/>
              <w:jc w:val="center"/>
              <w:rPr>
                <w:kern w:val="0"/>
                <w:szCs w:val="21"/>
              </w:rPr>
            </w:pPr>
            <w:r>
              <w:rPr>
                <w:kern w:val="0"/>
                <w:szCs w:val="21"/>
              </w:rPr>
              <w:t>项目</w:t>
            </w:r>
          </w:p>
        </w:tc>
        <w:tc>
          <w:tcPr>
            <w:tcW w:w="1520" w:type="dxa"/>
            <w:vAlign w:val="center"/>
          </w:tcPr>
          <w:p w:rsidR="00475650" w:rsidRDefault="00475650">
            <w:pPr>
              <w:widowControl/>
              <w:spacing w:line="240" w:lineRule="exact"/>
              <w:jc w:val="center"/>
              <w:rPr>
                <w:kern w:val="0"/>
                <w:szCs w:val="21"/>
              </w:rPr>
            </w:pPr>
            <w:r>
              <w:rPr>
                <w:kern w:val="0"/>
                <w:szCs w:val="21"/>
              </w:rPr>
              <w:t>SO</w:t>
            </w:r>
            <w:r>
              <w:rPr>
                <w:kern w:val="0"/>
                <w:szCs w:val="21"/>
                <w:vertAlign w:val="subscript"/>
              </w:rPr>
              <w:t>2</w:t>
            </w:r>
            <w:r>
              <w:rPr>
                <w:kern w:val="0"/>
                <w:szCs w:val="21"/>
              </w:rPr>
              <w:t>（</w:t>
            </w:r>
            <w:r>
              <w:rPr>
                <w:kern w:val="0"/>
                <w:szCs w:val="21"/>
              </w:rPr>
              <w:t>ug/m³)</w:t>
            </w:r>
          </w:p>
        </w:tc>
        <w:tc>
          <w:tcPr>
            <w:tcW w:w="1959" w:type="dxa"/>
            <w:vAlign w:val="center"/>
          </w:tcPr>
          <w:p w:rsidR="00475650" w:rsidRDefault="00475650">
            <w:pPr>
              <w:widowControl/>
              <w:spacing w:line="240" w:lineRule="exact"/>
              <w:jc w:val="center"/>
              <w:rPr>
                <w:kern w:val="0"/>
                <w:szCs w:val="21"/>
              </w:rPr>
            </w:pPr>
            <w:r>
              <w:rPr>
                <w:kern w:val="0"/>
                <w:szCs w:val="21"/>
              </w:rPr>
              <w:t>NO</w:t>
            </w:r>
            <w:r>
              <w:rPr>
                <w:kern w:val="0"/>
                <w:szCs w:val="21"/>
                <w:vertAlign w:val="subscript"/>
              </w:rPr>
              <w:t>2</w:t>
            </w:r>
            <w:r>
              <w:rPr>
                <w:kern w:val="0"/>
                <w:szCs w:val="21"/>
              </w:rPr>
              <w:t>（</w:t>
            </w:r>
            <w:r>
              <w:rPr>
                <w:kern w:val="0"/>
                <w:szCs w:val="21"/>
              </w:rPr>
              <w:t>ug/m³)</w:t>
            </w:r>
          </w:p>
        </w:tc>
        <w:tc>
          <w:tcPr>
            <w:tcW w:w="1956" w:type="dxa"/>
            <w:vAlign w:val="center"/>
          </w:tcPr>
          <w:p w:rsidR="00475650" w:rsidRDefault="00475650">
            <w:pPr>
              <w:widowControl/>
              <w:spacing w:line="240" w:lineRule="exact"/>
              <w:jc w:val="center"/>
              <w:rPr>
                <w:kern w:val="0"/>
                <w:szCs w:val="21"/>
              </w:rPr>
            </w:pPr>
            <w:r>
              <w:rPr>
                <w:kern w:val="0"/>
                <w:szCs w:val="21"/>
              </w:rPr>
              <w:t>PM</w:t>
            </w:r>
            <w:r>
              <w:rPr>
                <w:kern w:val="0"/>
                <w:szCs w:val="21"/>
                <w:vertAlign w:val="subscript"/>
              </w:rPr>
              <w:t>10</w:t>
            </w:r>
            <w:r>
              <w:rPr>
                <w:kern w:val="0"/>
                <w:szCs w:val="21"/>
              </w:rPr>
              <w:t>（</w:t>
            </w:r>
            <w:r>
              <w:rPr>
                <w:kern w:val="0"/>
                <w:szCs w:val="21"/>
              </w:rPr>
              <w:t>ug/m³)</w:t>
            </w:r>
          </w:p>
        </w:tc>
        <w:tc>
          <w:tcPr>
            <w:tcW w:w="1956" w:type="dxa"/>
            <w:vAlign w:val="center"/>
          </w:tcPr>
          <w:p w:rsidR="00475650" w:rsidRDefault="00475650">
            <w:pPr>
              <w:widowControl/>
              <w:spacing w:line="240" w:lineRule="exact"/>
              <w:jc w:val="center"/>
              <w:rPr>
                <w:kern w:val="0"/>
                <w:szCs w:val="21"/>
              </w:rPr>
            </w:pPr>
            <w:r>
              <w:rPr>
                <w:kern w:val="0"/>
                <w:szCs w:val="21"/>
              </w:rPr>
              <w:t>PM</w:t>
            </w:r>
            <w:r>
              <w:rPr>
                <w:rFonts w:hint="eastAsia"/>
                <w:kern w:val="0"/>
                <w:szCs w:val="21"/>
                <w:vertAlign w:val="subscript"/>
              </w:rPr>
              <w:t>2.5</w:t>
            </w:r>
            <w:r>
              <w:rPr>
                <w:kern w:val="0"/>
                <w:szCs w:val="21"/>
              </w:rPr>
              <w:t>（</w:t>
            </w:r>
            <w:r>
              <w:rPr>
                <w:kern w:val="0"/>
                <w:szCs w:val="21"/>
              </w:rPr>
              <w:t>ug/m³)</w:t>
            </w:r>
          </w:p>
        </w:tc>
        <w:tc>
          <w:tcPr>
            <w:tcW w:w="1956" w:type="dxa"/>
            <w:vAlign w:val="center"/>
          </w:tcPr>
          <w:p w:rsidR="00475650" w:rsidRDefault="00475650">
            <w:pPr>
              <w:widowControl/>
              <w:spacing w:line="240" w:lineRule="exact"/>
              <w:jc w:val="center"/>
              <w:rPr>
                <w:kern w:val="0"/>
                <w:szCs w:val="21"/>
              </w:rPr>
            </w:pPr>
            <w:r>
              <w:rPr>
                <w:kern w:val="0"/>
                <w:szCs w:val="21"/>
              </w:rPr>
              <w:t>TSP</w:t>
            </w:r>
            <w:r>
              <w:rPr>
                <w:kern w:val="0"/>
                <w:szCs w:val="21"/>
              </w:rPr>
              <w:t>（</w:t>
            </w:r>
            <w:r>
              <w:rPr>
                <w:kern w:val="0"/>
                <w:szCs w:val="21"/>
              </w:rPr>
              <w:t>ug/m³)</w:t>
            </w:r>
          </w:p>
        </w:tc>
      </w:tr>
      <w:tr w:rsidR="00475650">
        <w:trPr>
          <w:jc w:val="center"/>
        </w:trPr>
        <w:tc>
          <w:tcPr>
            <w:tcW w:w="2407" w:type="dxa"/>
            <w:vMerge w:val="restart"/>
            <w:vAlign w:val="center"/>
          </w:tcPr>
          <w:p w:rsidR="00475650" w:rsidRDefault="00475650">
            <w:pPr>
              <w:widowControl/>
              <w:spacing w:line="240" w:lineRule="exact"/>
              <w:jc w:val="center"/>
              <w:rPr>
                <w:kern w:val="0"/>
                <w:szCs w:val="21"/>
              </w:rPr>
            </w:pPr>
            <w:r>
              <w:rPr>
                <w:rFonts w:hint="eastAsia"/>
                <w:kern w:val="0"/>
                <w:szCs w:val="21"/>
              </w:rPr>
              <w:t>A5</w:t>
            </w:r>
            <w:r>
              <w:rPr>
                <w:kern w:val="0"/>
                <w:szCs w:val="21"/>
              </w:rPr>
              <w:t>环宇药业南侧</w:t>
            </w:r>
          </w:p>
        </w:tc>
        <w:tc>
          <w:tcPr>
            <w:tcW w:w="2421" w:type="dxa"/>
            <w:vAlign w:val="center"/>
          </w:tcPr>
          <w:p w:rsidR="00475650" w:rsidRDefault="00475650">
            <w:pPr>
              <w:widowControl/>
              <w:spacing w:line="240" w:lineRule="exact"/>
              <w:jc w:val="center"/>
              <w:rPr>
                <w:kern w:val="0"/>
                <w:szCs w:val="21"/>
              </w:rPr>
            </w:pPr>
            <w:r>
              <w:rPr>
                <w:kern w:val="0"/>
                <w:szCs w:val="21"/>
              </w:rPr>
              <w:t>测值范围</w:t>
            </w:r>
          </w:p>
        </w:tc>
        <w:tc>
          <w:tcPr>
            <w:tcW w:w="1520" w:type="dxa"/>
            <w:vAlign w:val="bottom"/>
          </w:tcPr>
          <w:p w:rsidR="00475650" w:rsidRDefault="00475650">
            <w:pPr>
              <w:widowControl/>
              <w:spacing w:line="240" w:lineRule="exact"/>
              <w:jc w:val="center"/>
              <w:rPr>
                <w:kern w:val="0"/>
                <w:szCs w:val="21"/>
              </w:rPr>
            </w:pPr>
            <w:r>
              <w:rPr>
                <w:kern w:val="0"/>
                <w:szCs w:val="21"/>
              </w:rPr>
              <w:t>6~8</w:t>
            </w:r>
          </w:p>
        </w:tc>
        <w:tc>
          <w:tcPr>
            <w:tcW w:w="1959" w:type="dxa"/>
            <w:vAlign w:val="bottom"/>
          </w:tcPr>
          <w:p w:rsidR="00475650" w:rsidRDefault="00475650">
            <w:pPr>
              <w:widowControl/>
              <w:spacing w:line="240" w:lineRule="exact"/>
              <w:jc w:val="center"/>
              <w:rPr>
                <w:kern w:val="0"/>
                <w:szCs w:val="21"/>
              </w:rPr>
            </w:pPr>
            <w:r>
              <w:rPr>
                <w:kern w:val="0"/>
                <w:szCs w:val="21"/>
              </w:rPr>
              <w:t>23.2~30.4</w:t>
            </w:r>
          </w:p>
        </w:tc>
        <w:tc>
          <w:tcPr>
            <w:tcW w:w="1956" w:type="dxa"/>
            <w:vAlign w:val="bottom"/>
          </w:tcPr>
          <w:p w:rsidR="00475650" w:rsidRDefault="00475650">
            <w:pPr>
              <w:widowControl/>
              <w:spacing w:line="240" w:lineRule="exact"/>
              <w:jc w:val="center"/>
              <w:rPr>
                <w:kern w:val="0"/>
                <w:szCs w:val="21"/>
              </w:rPr>
            </w:pPr>
            <w:r>
              <w:rPr>
                <w:kern w:val="0"/>
                <w:szCs w:val="21"/>
              </w:rPr>
              <w:t>61~70</w:t>
            </w:r>
          </w:p>
        </w:tc>
        <w:tc>
          <w:tcPr>
            <w:tcW w:w="1956" w:type="dxa"/>
          </w:tcPr>
          <w:p w:rsidR="00475650" w:rsidRDefault="00475650">
            <w:pPr>
              <w:widowControl/>
              <w:spacing w:line="240" w:lineRule="exact"/>
              <w:jc w:val="center"/>
              <w:rPr>
                <w:kern w:val="0"/>
                <w:szCs w:val="21"/>
              </w:rPr>
            </w:pPr>
            <w:r>
              <w:rPr>
                <w:kern w:val="0"/>
                <w:szCs w:val="21"/>
              </w:rPr>
              <w:t>43~47</w:t>
            </w:r>
          </w:p>
        </w:tc>
        <w:tc>
          <w:tcPr>
            <w:tcW w:w="1956" w:type="dxa"/>
            <w:vAlign w:val="bottom"/>
          </w:tcPr>
          <w:p w:rsidR="00475650" w:rsidRDefault="00475650">
            <w:pPr>
              <w:widowControl/>
              <w:spacing w:line="240" w:lineRule="exact"/>
              <w:jc w:val="center"/>
              <w:rPr>
                <w:kern w:val="0"/>
                <w:szCs w:val="21"/>
              </w:rPr>
            </w:pPr>
            <w:r>
              <w:rPr>
                <w:kern w:val="0"/>
                <w:szCs w:val="21"/>
              </w:rPr>
              <w:t>71~199</w:t>
            </w:r>
          </w:p>
        </w:tc>
      </w:tr>
      <w:tr w:rsidR="00475650">
        <w:trPr>
          <w:jc w:val="center"/>
        </w:trPr>
        <w:tc>
          <w:tcPr>
            <w:tcW w:w="2407" w:type="dxa"/>
            <w:vMerge/>
            <w:vAlign w:val="center"/>
          </w:tcPr>
          <w:p w:rsidR="00475650" w:rsidRDefault="00475650">
            <w:pPr>
              <w:widowControl/>
              <w:spacing w:line="240" w:lineRule="exact"/>
              <w:jc w:val="center"/>
              <w:rPr>
                <w:kern w:val="0"/>
                <w:szCs w:val="21"/>
              </w:rPr>
            </w:pPr>
          </w:p>
        </w:tc>
        <w:tc>
          <w:tcPr>
            <w:tcW w:w="2421" w:type="dxa"/>
            <w:vAlign w:val="center"/>
          </w:tcPr>
          <w:p w:rsidR="00475650" w:rsidRDefault="00475650">
            <w:pPr>
              <w:widowControl/>
              <w:spacing w:line="240" w:lineRule="exact"/>
              <w:jc w:val="center"/>
              <w:rPr>
                <w:kern w:val="0"/>
                <w:szCs w:val="21"/>
              </w:rPr>
            </w:pPr>
            <w:r>
              <w:rPr>
                <w:kern w:val="0"/>
                <w:szCs w:val="21"/>
              </w:rPr>
              <w:t>平均浓度</w:t>
            </w:r>
          </w:p>
        </w:tc>
        <w:tc>
          <w:tcPr>
            <w:tcW w:w="1520" w:type="dxa"/>
            <w:vAlign w:val="bottom"/>
          </w:tcPr>
          <w:p w:rsidR="00475650" w:rsidRDefault="00475650">
            <w:pPr>
              <w:widowControl/>
              <w:spacing w:line="240" w:lineRule="exact"/>
              <w:jc w:val="center"/>
              <w:rPr>
                <w:kern w:val="0"/>
                <w:szCs w:val="21"/>
              </w:rPr>
            </w:pPr>
            <w:r>
              <w:rPr>
                <w:kern w:val="0"/>
                <w:szCs w:val="21"/>
              </w:rPr>
              <w:t>7.3</w:t>
            </w:r>
          </w:p>
        </w:tc>
        <w:tc>
          <w:tcPr>
            <w:tcW w:w="1959" w:type="dxa"/>
            <w:vAlign w:val="bottom"/>
          </w:tcPr>
          <w:p w:rsidR="00475650" w:rsidRDefault="00475650">
            <w:pPr>
              <w:widowControl/>
              <w:spacing w:line="240" w:lineRule="exact"/>
              <w:jc w:val="center"/>
              <w:rPr>
                <w:kern w:val="0"/>
                <w:szCs w:val="21"/>
              </w:rPr>
            </w:pPr>
            <w:r>
              <w:rPr>
                <w:kern w:val="0"/>
                <w:szCs w:val="21"/>
              </w:rPr>
              <w:t>27.1</w:t>
            </w:r>
          </w:p>
        </w:tc>
        <w:tc>
          <w:tcPr>
            <w:tcW w:w="1956" w:type="dxa"/>
            <w:vAlign w:val="bottom"/>
          </w:tcPr>
          <w:p w:rsidR="00475650" w:rsidRDefault="00475650">
            <w:pPr>
              <w:widowControl/>
              <w:spacing w:line="240" w:lineRule="exact"/>
              <w:jc w:val="center"/>
              <w:rPr>
                <w:kern w:val="0"/>
                <w:szCs w:val="21"/>
              </w:rPr>
            </w:pPr>
            <w:r>
              <w:rPr>
                <w:kern w:val="0"/>
                <w:szCs w:val="21"/>
              </w:rPr>
              <w:t>66.1</w:t>
            </w:r>
          </w:p>
        </w:tc>
        <w:tc>
          <w:tcPr>
            <w:tcW w:w="1956" w:type="dxa"/>
          </w:tcPr>
          <w:p w:rsidR="00475650" w:rsidRDefault="00475650">
            <w:pPr>
              <w:widowControl/>
              <w:spacing w:line="240" w:lineRule="exact"/>
              <w:jc w:val="center"/>
              <w:rPr>
                <w:kern w:val="0"/>
                <w:szCs w:val="21"/>
              </w:rPr>
            </w:pPr>
            <w:r>
              <w:rPr>
                <w:kern w:val="0"/>
                <w:szCs w:val="21"/>
              </w:rPr>
              <w:t>44.6</w:t>
            </w:r>
          </w:p>
        </w:tc>
        <w:tc>
          <w:tcPr>
            <w:tcW w:w="1956" w:type="dxa"/>
            <w:vAlign w:val="bottom"/>
          </w:tcPr>
          <w:p w:rsidR="00475650" w:rsidRDefault="00475650">
            <w:pPr>
              <w:widowControl/>
              <w:spacing w:line="240" w:lineRule="exact"/>
              <w:jc w:val="center"/>
              <w:rPr>
                <w:kern w:val="0"/>
                <w:szCs w:val="21"/>
              </w:rPr>
            </w:pPr>
            <w:r>
              <w:rPr>
                <w:kern w:val="0"/>
                <w:szCs w:val="21"/>
              </w:rPr>
              <w:t>171.7</w:t>
            </w:r>
          </w:p>
        </w:tc>
      </w:tr>
      <w:tr w:rsidR="00475650">
        <w:trPr>
          <w:jc w:val="center"/>
        </w:trPr>
        <w:tc>
          <w:tcPr>
            <w:tcW w:w="2407" w:type="dxa"/>
            <w:vMerge/>
            <w:vAlign w:val="center"/>
          </w:tcPr>
          <w:p w:rsidR="00475650" w:rsidRDefault="00475650">
            <w:pPr>
              <w:widowControl/>
              <w:spacing w:line="240" w:lineRule="exact"/>
              <w:jc w:val="center"/>
              <w:rPr>
                <w:kern w:val="0"/>
                <w:szCs w:val="21"/>
              </w:rPr>
            </w:pPr>
          </w:p>
        </w:tc>
        <w:tc>
          <w:tcPr>
            <w:tcW w:w="2421" w:type="dxa"/>
            <w:vAlign w:val="center"/>
          </w:tcPr>
          <w:p w:rsidR="00475650" w:rsidRDefault="00475650">
            <w:pPr>
              <w:widowControl/>
              <w:spacing w:line="240" w:lineRule="exact"/>
              <w:jc w:val="center"/>
              <w:rPr>
                <w:kern w:val="0"/>
                <w:szCs w:val="21"/>
              </w:rPr>
            </w:pPr>
            <w:r>
              <w:rPr>
                <w:kern w:val="0"/>
                <w:szCs w:val="21"/>
              </w:rPr>
              <w:t>最大超标倍数</w:t>
            </w:r>
          </w:p>
        </w:tc>
        <w:tc>
          <w:tcPr>
            <w:tcW w:w="1520" w:type="dxa"/>
            <w:vAlign w:val="bottom"/>
          </w:tcPr>
          <w:p w:rsidR="00475650" w:rsidRDefault="00475650">
            <w:pPr>
              <w:widowControl/>
              <w:spacing w:line="240" w:lineRule="exact"/>
              <w:jc w:val="center"/>
              <w:rPr>
                <w:kern w:val="0"/>
                <w:szCs w:val="21"/>
              </w:rPr>
            </w:pPr>
            <w:r>
              <w:rPr>
                <w:kern w:val="0"/>
                <w:szCs w:val="21"/>
              </w:rPr>
              <w:t>0</w:t>
            </w:r>
          </w:p>
        </w:tc>
        <w:tc>
          <w:tcPr>
            <w:tcW w:w="1959" w:type="dxa"/>
            <w:vAlign w:val="bottom"/>
          </w:tcPr>
          <w:p w:rsidR="00475650" w:rsidRDefault="00475650">
            <w:pPr>
              <w:widowControl/>
              <w:spacing w:line="240" w:lineRule="exact"/>
              <w:jc w:val="center"/>
              <w:rPr>
                <w:kern w:val="0"/>
                <w:szCs w:val="21"/>
              </w:rPr>
            </w:pPr>
            <w:r>
              <w:rPr>
                <w:kern w:val="0"/>
                <w:szCs w:val="21"/>
              </w:rPr>
              <w:t>0</w:t>
            </w:r>
          </w:p>
        </w:tc>
        <w:tc>
          <w:tcPr>
            <w:tcW w:w="1956" w:type="dxa"/>
            <w:vAlign w:val="bottom"/>
          </w:tcPr>
          <w:p w:rsidR="00475650" w:rsidRDefault="00475650">
            <w:pPr>
              <w:widowControl/>
              <w:spacing w:line="240" w:lineRule="exact"/>
              <w:jc w:val="center"/>
              <w:rPr>
                <w:kern w:val="0"/>
                <w:szCs w:val="21"/>
              </w:rPr>
            </w:pPr>
            <w:r>
              <w:rPr>
                <w:kern w:val="0"/>
                <w:szCs w:val="21"/>
              </w:rPr>
              <w:t>0</w:t>
            </w:r>
          </w:p>
        </w:tc>
        <w:tc>
          <w:tcPr>
            <w:tcW w:w="1956" w:type="dxa"/>
            <w:vAlign w:val="bottom"/>
          </w:tcPr>
          <w:p w:rsidR="00475650" w:rsidRDefault="00475650">
            <w:pPr>
              <w:widowControl/>
              <w:spacing w:line="240" w:lineRule="exact"/>
              <w:jc w:val="center"/>
              <w:rPr>
                <w:kern w:val="0"/>
                <w:szCs w:val="21"/>
              </w:rPr>
            </w:pPr>
            <w:r>
              <w:rPr>
                <w:kern w:val="0"/>
                <w:szCs w:val="21"/>
              </w:rPr>
              <w:t>0</w:t>
            </w:r>
          </w:p>
        </w:tc>
        <w:tc>
          <w:tcPr>
            <w:tcW w:w="1956" w:type="dxa"/>
            <w:vAlign w:val="bottom"/>
          </w:tcPr>
          <w:p w:rsidR="00475650" w:rsidRDefault="00475650">
            <w:pPr>
              <w:widowControl/>
              <w:spacing w:line="240" w:lineRule="exact"/>
              <w:jc w:val="center"/>
              <w:rPr>
                <w:kern w:val="0"/>
                <w:szCs w:val="21"/>
              </w:rPr>
            </w:pPr>
            <w:r>
              <w:rPr>
                <w:kern w:val="0"/>
                <w:szCs w:val="21"/>
              </w:rPr>
              <w:t>0</w:t>
            </w:r>
          </w:p>
        </w:tc>
      </w:tr>
      <w:tr w:rsidR="00475650">
        <w:trPr>
          <w:jc w:val="center"/>
        </w:trPr>
        <w:tc>
          <w:tcPr>
            <w:tcW w:w="2407" w:type="dxa"/>
            <w:vMerge/>
            <w:vAlign w:val="center"/>
          </w:tcPr>
          <w:p w:rsidR="00475650" w:rsidRDefault="00475650">
            <w:pPr>
              <w:widowControl/>
              <w:spacing w:line="240" w:lineRule="exact"/>
              <w:jc w:val="center"/>
              <w:rPr>
                <w:kern w:val="0"/>
                <w:szCs w:val="21"/>
              </w:rPr>
            </w:pPr>
          </w:p>
        </w:tc>
        <w:tc>
          <w:tcPr>
            <w:tcW w:w="2421" w:type="dxa"/>
            <w:vAlign w:val="center"/>
          </w:tcPr>
          <w:p w:rsidR="00475650" w:rsidRDefault="00475650">
            <w:pPr>
              <w:widowControl/>
              <w:spacing w:line="240" w:lineRule="exact"/>
              <w:jc w:val="center"/>
              <w:rPr>
                <w:kern w:val="0"/>
                <w:szCs w:val="21"/>
              </w:rPr>
            </w:pPr>
            <w:r>
              <w:rPr>
                <w:kern w:val="0"/>
                <w:szCs w:val="21"/>
              </w:rPr>
              <w:t>超标率</w:t>
            </w:r>
            <w:r>
              <w:rPr>
                <w:kern w:val="0"/>
                <w:szCs w:val="21"/>
              </w:rPr>
              <w:t>(%)</w:t>
            </w:r>
          </w:p>
        </w:tc>
        <w:tc>
          <w:tcPr>
            <w:tcW w:w="1520" w:type="dxa"/>
            <w:vAlign w:val="bottom"/>
          </w:tcPr>
          <w:p w:rsidR="00475650" w:rsidRDefault="00475650">
            <w:pPr>
              <w:widowControl/>
              <w:spacing w:line="240" w:lineRule="exact"/>
              <w:jc w:val="center"/>
              <w:rPr>
                <w:kern w:val="0"/>
                <w:szCs w:val="21"/>
              </w:rPr>
            </w:pPr>
            <w:r>
              <w:rPr>
                <w:kern w:val="0"/>
                <w:szCs w:val="21"/>
              </w:rPr>
              <w:t>0</w:t>
            </w:r>
          </w:p>
        </w:tc>
        <w:tc>
          <w:tcPr>
            <w:tcW w:w="1959" w:type="dxa"/>
            <w:vAlign w:val="bottom"/>
          </w:tcPr>
          <w:p w:rsidR="00475650" w:rsidRDefault="00475650">
            <w:pPr>
              <w:widowControl/>
              <w:spacing w:line="240" w:lineRule="exact"/>
              <w:jc w:val="center"/>
              <w:rPr>
                <w:kern w:val="0"/>
                <w:szCs w:val="21"/>
              </w:rPr>
            </w:pPr>
            <w:r>
              <w:rPr>
                <w:kern w:val="0"/>
                <w:szCs w:val="21"/>
              </w:rPr>
              <w:t>0</w:t>
            </w:r>
          </w:p>
        </w:tc>
        <w:tc>
          <w:tcPr>
            <w:tcW w:w="1956" w:type="dxa"/>
            <w:vAlign w:val="bottom"/>
          </w:tcPr>
          <w:p w:rsidR="00475650" w:rsidRDefault="00475650">
            <w:pPr>
              <w:widowControl/>
              <w:spacing w:line="240" w:lineRule="exact"/>
              <w:jc w:val="center"/>
              <w:rPr>
                <w:kern w:val="0"/>
                <w:szCs w:val="21"/>
              </w:rPr>
            </w:pPr>
            <w:r>
              <w:rPr>
                <w:kern w:val="0"/>
                <w:szCs w:val="21"/>
              </w:rPr>
              <w:t>0</w:t>
            </w:r>
          </w:p>
        </w:tc>
        <w:tc>
          <w:tcPr>
            <w:tcW w:w="1956" w:type="dxa"/>
            <w:vAlign w:val="bottom"/>
          </w:tcPr>
          <w:p w:rsidR="00475650" w:rsidRDefault="00475650">
            <w:pPr>
              <w:widowControl/>
              <w:spacing w:line="240" w:lineRule="exact"/>
              <w:jc w:val="center"/>
              <w:rPr>
                <w:kern w:val="0"/>
                <w:szCs w:val="21"/>
              </w:rPr>
            </w:pPr>
            <w:r>
              <w:rPr>
                <w:kern w:val="0"/>
                <w:szCs w:val="21"/>
              </w:rPr>
              <w:t>0</w:t>
            </w:r>
          </w:p>
        </w:tc>
        <w:tc>
          <w:tcPr>
            <w:tcW w:w="1956" w:type="dxa"/>
            <w:vAlign w:val="bottom"/>
          </w:tcPr>
          <w:p w:rsidR="00475650" w:rsidRDefault="00475650">
            <w:pPr>
              <w:widowControl/>
              <w:spacing w:line="240" w:lineRule="exact"/>
              <w:jc w:val="center"/>
              <w:rPr>
                <w:kern w:val="0"/>
                <w:szCs w:val="21"/>
              </w:rPr>
            </w:pPr>
            <w:r>
              <w:rPr>
                <w:kern w:val="0"/>
                <w:szCs w:val="21"/>
              </w:rPr>
              <w:t>0</w:t>
            </w:r>
          </w:p>
        </w:tc>
      </w:tr>
      <w:tr w:rsidR="00475650">
        <w:trPr>
          <w:jc w:val="center"/>
        </w:trPr>
        <w:tc>
          <w:tcPr>
            <w:tcW w:w="2407" w:type="dxa"/>
            <w:vMerge/>
            <w:vAlign w:val="center"/>
          </w:tcPr>
          <w:p w:rsidR="00475650" w:rsidRDefault="00475650">
            <w:pPr>
              <w:widowControl/>
              <w:spacing w:line="240" w:lineRule="exact"/>
              <w:jc w:val="center"/>
              <w:rPr>
                <w:kern w:val="0"/>
                <w:szCs w:val="21"/>
              </w:rPr>
            </w:pPr>
          </w:p>
        </w:tc>
        <w:tc>
          <w:tcPr>
            <w:tcW w:w="2421" w:type="dxa"/>
            <w:vAlign w:val="center"/>
          </w:tcPr>
          <w:p w:rsidR="00475650" w:rsidRDefault="00475650">
            <w:pPr>
              <w:widowControl/>
              <w:spacing w:line="240" w:lineRule="exact"/>
              <w:jc w:val="center"/>
              <w:rPr>
                <w:kern w:val="0"/>
                <w:szCs w:val="21"/>
              </w:rPr>
            </w:pPr>
            <w:r>
              <w:rPr>
                <w:kern w:val="0"/>
                <w:szCs w:val="21"/>
              </w:rPr>
              <w:t>最大占标率（</w:t>
            </w:r>
            <w:r>
              <w:rPr>
                <w:kern w:val="0"/>
                <w:szCs w:val="21"/>
              </w:rPr>
              <w:t>%</w:t>
            </w:r>
            <w:r>
              <w:rPr>
                <w:kern w:val="0"/>
                <w:szCs w:val="21"/>
              </w:rPr>
              <w:t>）</w:t>
            </w:r>
          </w:p>
        </w:tc>
        <w:tc>
          <w:tcPr>
            <w:tcW w:w="1520" w:type="dxa"/>
            <w:vAlign w:val="bottom"/>
          </w:tcPr>
          <w:p w:rsidR="00475650" w:rsidRDefault="00475650">
            <w:pPr>
              <w:widowControl/>
              <w:spacing w:line="240" w:lineRule="exact"/>
              <w:jc w:val="center"/>
              <w:rPr>
                <w:kern w:val="0"/>
                <w:szCs w:val="21"/>
              </w:rPr>
            </w:pPr>
            <w:r>
              <w:rPr>
                <w:kern w:val="0"/>
                <w:szCs w:val="21"/>
              </w:rPr>
              <w:t xml:space="preserve">5.33 </w:t>
            </w:r>
          </w:p>
        </w:tc>
        <w:tc>
          <w:tcPr>
            <w:tcW w:w="1959" w:type="dxa"/>
            <w:vAlign w:val="bottom"/>
          </w:tcPr>
          <w:p w:rsidR="00475650" w:rsidRDefault="00475650">
            <w:pPr>
              <w:widowControl/>
              <w:spacing w:line="240" w:lineRule="exact"/>
              <w:jc w:val="center"/>
              <w:rPr>
                <w:kern w:val="0"/>
                <w:szCs w:val="21"/>
              </w:rPr>
            </w:pPr>
            <w:r>
              <w:rPr>
                <w:kern w:val="0"/>
                <w:szCs w:val="21"/>
              </w:rPr>
              <w:t xml:space="preserve">38.00 </w:t>
            </w:r>
          </w:p>
        </w:tc>
        <w:tc>
          <w:tcPr>
            <w:tcW w:w="1956" w:type="dxa"/>
            <w:vAlign w:val="bottom"/>
          </w:tcPr>
          <w:p w:rsidR="00475650" w:rsidRDefault="00475650">
            <w:pPr>
              <w:widowControl/>
              <w:spacing w:line="240" w:lineRule="exact"/>
              <w:jc w:val="center"/>
              <w:rPr>
                <w:kern w:val="0"/>
                <w:szCs w:val="21"/>
              </w:rPr>
            </w:pPr>
            <w:r>
              <w:rPr>
                <w:kern w:val="0"/>
                <w:szCs w:val="21"/>
              </w:rPr>
              <w:t xml:space="preserve">46.67 </w:t>
            </w:r>
          </w:p>
        </w:tc>
        <w:tc>
          <w:tcPr>
            <w:tcW w:w="1956" w:type="dxa"/>
            <w:vAlign w:val="bottom"/>
          </w:tcPr>
          <w:p w:rsidR="00475650" w:rsidRDefault="00475650">
            <w:pPr>
              <w:widowControl/>
              <w:spacing w:line="240" w:lineRule="exact"/>
              <w:jc w:val="center"/>
              <w:rPr>
                <w:kern w:val="0"/>
                <w:szCs w:val="21"/>
              </w:rPr>
            </w:pPr>
            <w:r>
              <w:rPr>
                <w:kern w:val="0"/>
                <w:szCs w:val="21"/>
              </w:rPr>
              <w:t xml:space="preserve">62.67 </w:t>
            </w:r>
          </w:p>
        </w:tc>
        <w:tc>
          <w:tcPr>
            <w:tcW w:w="1956" w:type="dxa"/>
            <w:vAlign w:val="bottom"/>
          </w:tcPr>
          <w:p w:rsidR="00475650" w:rsidRDefault="00475650">
            <w:pPr>
              <w:widowControl/>
              <w:spacing w:line="240" w:lineRule="exact"/>
              <w:jc w:val="center"/>
              <w:rPr>
                <w:kern w:val="0"/>
                <w:szCs w:val="21"/>
              </w:rPr>
            </w:pPr>
            <w:r>
              <w:rPr>
                <w:kern w:val="0"/>
                <w:szCs w:val="21"/>
              </w:rPr>
              <w:t xml:space="preserve">66.33 </w:t>
            </w:r>
          </w:p>
        </w:tc>
      </w:tr>
      <w:tr w:rsidR="00475650">
        <w:trPr>
          <w:jc w:val="center"/>
        </w:trPr>
        <w:tc>
          <w:tcPr>
            <w:tcW w:w="2407" w:type="dxa"/>
            <w:vMerge w:val="restart"/>
            <w:vAlign w:val="center"/>
          </w:tcPr>
          <w:p w:rsidR="00475650" w:rsidRDefault="00475650">
            <w:pPr>
              <w:widowControl/>
              <w:spacing w:line="240" w:lineRule="exact"/>
              <w:jc w:val="center"/>
              <w:rPr>
                <w:kern w:val="0"/>
                <w:szCs w:val="21"/>
              </w:rPr>
            </w:pPr>
            <w:r>
              <w:rPr>
                <w:rFonts w:hint="eastAsia"/>
                <w:kern w:val="0"/>
                <w:szCs w:val="21"/>
              </w:rPr>
              <w:t>A6</w:t>
            </w:r>
            <w:r>
              <w:rPr>
                <w:rFonts w:ascii="宋体" w:hAnsi="宋体" w:cs="宋体" w:hint="eastAsia"/>
                <w:kern w:val="0"/>
                <w:szCs w:val="21"/>
              </w:rPr>
              <w:t>新港村</w:t>
            </w:r>
          </w:p>
        </w:tc>
        <w:tc>
          <w:tcPr>
            <w:tcW w:w="2421" w:type="dxa"/>
            <w:vAlign w:val="center"/>
          </w:tcPr>
          <w:p w:rsidR="00475650" w:rsidRDefault="00475650">
            <w:pPr>
              <w:widowControl/>
              <w:spacing w:line="240" w:lineRule="exact"/>
              <w:jc w:val="center"/>
              <w:rPr>
                <w:kern w:val="0"/>
                <w:szCs w:val="21"/>
              </w:rPr>
            </w:pPr>
            <w:r>
              <w:rPr>
                <w:rFonts w:ascii="宋体" w:hAnsi="宋体" w:cs="宋体" w:hint="eastAsia"/>
                <w:kern w:val="0"/>
                <w:szCs w:val="21"/>
              </w:rPr>
              <w:t>测值范围</w:t>
            </w:r>
          </w:p>
        </w:tc>
        <w:tc>
          <w:tcPr>
            <w:tcW w:w="1520" w:type="dxa"/>
            <w:vAlign w:val="bottom"/>
          </w:tcPr>
          <w:p w:rsidR="00475650" w:rsidRDefault="00475650">
            <w:pPr>
              <w:widowControl/>
              <w:spacing w:line="240" w:lineRule="exact"/>
              <w:jc w:val="center"/>
              <w:rPr>
                <w:kern w:val="0"/>
                <w:szCs w:val="21"/>
              </w:rPr>
            </w:pPr>
            <w:r>
              <w:rPr>
                <w:kern w:val="0"/>
                <w:szCs w:val="21"/>
              </w:rPr>
              <w:t>7~8</w:t>
            </w:r>
          </w:p>
        </w:tc>
        <w:tc>
          <w:tcPr>
            <w:tcW w:w="1959" w:type="dxa"/>
            <w:vAlign w:val="bottom"/>
          </w:tcPr>
          <w:p w:rsidR="00475650" w:rsidRDefault="00475650">
            <w:pPr>
              <w:widowControl/>
              <w:spacing w:line="240" w:lineRule="exact"/>
              <w:jc w:val="center"/>
              <w:rPr>
                <w:kern w:val="0"/>
                <w:szCs w:val="21"/>
              </w:rPr>
            </w:pPr>
            <w:r>
              <w:rPr>
                <w:kern w:val="0"/>
                <w:szCs w:val="21"/>
              </w:rPr>
              <w:t>20.7~29.1</w:t>
            </w:r>
          </w:p>
        </w:tc>
        <w:tc>
          <w:tcPr>
            <w:tcW w:w="1956" w:type="dxa"/>
            <w:vAlign w:val="bottom"/>
          </w:tcPr>
          <w:p w:rsidR="00475650" w:rsidRDefault="00475650">
            <w:pPr>
              <w:widowControl/>
              <w:spacing w:line="240" w:lineRule="exact"/>
              <w:jc w:val="center"/>
              <w:rPr>
                <w:kern w:val="0"/>
                <w:szCs w:val="21"/>
              </w:rPr>
            </w:pPr>
            <w:r>
              <w:rPr>
                <w:kern w:val="0"/>
                <w:szCs w:val="21"/>
              </w:rPr>
              <w:t>49~78</w:t>
            </w:r>
          </w:p>
        </w:tc>
        <w:tc>
          <w:tcPr>
            <w:tcW w:w="1956" w:type="dxa"/>
          </w:tcPr>
          <w:p w:rsidR="00475650" w:rsidRDefault="00475650">
            <w:pPr>
              <w:widowControl/>
              <w:spacing w:line="240" w:lineRule="exact"/>
              <w:jc w:val="center"/>
              <w:rPr>
                <w:kern w:val="0"/>
                <w:szCs w:val="21"/>
              </w:rPr>
            </w:pPr>
            <w:r>
              <w:rPr>
                <w:kern w:val="0"/>
                <w:szCs w:val="21"/>
              </w:rPr>
              <w:t>40~48</w:t>
            </w:r>
          </w:p>
        </w:tc>
        <w:tc>
          <w:tcPr>
            <w:tcW w:w="1956" w:type="dxa"/>
            <w:vAlign w:val="bottom"/>
          </w:tcPr>
          <w:p w:rsidR="00475650" w:rsidRDefault="00475650">
            <w:pPr>
              <w:widowControl/>
              <w:spacing w:line="240" w:lineRule="exact"/>
              <w:jc w:val="center"/>
              <w:rPr>
                <w:kern w:val="0"/>
                <w:szCs w:val="21"/>
              </w:rPr>
            </w:pPr>
            <w:r>
              <w:rPr>
                <w:kern w:val="0"/>
                <w:szCs w:val="21"/>
              </w:rPr>
              <w:t>78~210</w:t>
            </w:r>
          </w:p>
        </w:tc>
      </w:tr>
      <w:tr w:rsidR="00475650">
        <w:trPr>
          <w:jc w:val="center"/>
        </w:trPr>
        <w:tc>
          <w:tcPr>
            <w:tcW w:w="2407" w:type="dxa"/>
            <w:vMerge/>
            <w:vAlign w:val="center"/>
          </w:tcPr>
          <w:p w:rsidR="00475650" w:rsidRDefault="00475650">
            <w:pPr>
              <w:widowControl/>
              <w:spacing w:line="240" w:lineRule="exact"/>
              <w:jc w:val="center"/>
              <w:rPr>
                <w:kern w:val="0"/>
                <w:szCs w:val="21"/>
              </w:rPr>
            </w:pPr>
          </w:p>
        </w:tc>
        <w:tc>
          <w:tcPr>
            <w:tcW w:w="2421" w:type="dxa"/>
            <w:vAlign w:val="center"/>
          </w:tcPr>
          <w:p w:rsidR="00475650" w:rsidRDefault="00475650">
            <w:pPr>
              <w:widowControl/>
              <w:spacing w:line="240" w:lineRule="exact"/>
              <w:jc w:val="center"/>
              <w:rPr>
                <w:kern w:val="0"/>
                <w:szCs w:val="21"/>
              </w:rPr>
            </w:pPr>
            <w:r>
              <w:rPr>
                <w:rFonts w:ascii="宋体" w:hAnsi="宋体" w:cs="宋体" w:hint="eastAsia"/>
                <w:kern w:val="0"/>
                <w:szCs w:val="21"/>
              </w:rPr>
              <w:t>平均浓度</w:t>
            </w:r>
          </w:p>
        </w:tc>
        <w:tc>
          <w:tcPr>
            <w:tcW w:w="1520" w:type="dxa"/>
            <w:vAlign w:val="bottom"/>
          </w:tcPr>
          <w:p w:rsidR="00475650" w:rsidRDefault="00475650">
            <w:pPr>
              <w:widowControl/>
              <w:spacing w:line="240" w:lineRule="exact"/>
              <w:jc w:val="center"/>
              <w:rPr>
                <w:kern w:val="0"/>
                <w:szCs w:val="21"/>
              </w:rPr>
            </w:pPr>
            <w:r>
              <w:rPr>
                <w:kern w:val="0"/>
                <w:szCs w:val="21"/>
              </w:rPr>
              <w:t>7.4</w:t>
            </w:r>
          </w:p>
        </w:tc>
        <w:tc>
          <w:tcPr>
            <w:tcW w:w="1959" w:type="dxa"/>
            <w:vAlign w:val="bottom"/>
          </w:tcPr>
          <w:p w:rsidR="00475650" w:rsidRDefault="00475650">
            <w:pPr>
              <w:widowControl/>
              <w:spacing w:line="240" w:lineRule="exact"/>
              <w:jc w:val="center"/>
              <w:rPr>
                <w:kern w:val="0"/>
                <w:szCs w:val="21"/>
              </w:rPr>
            </w:pPr>
            <w:r>
              <w:rPr>
                <w:kern w:val="0"/>
                <w:szCs w:val="21"/>
              </w:rPr>
              <w:t>26.3</w:t>
            </w:r>
          </w:p>
        </w:tc>
        <w:tc>
          <w:tcPr>
            <w:tcW w:w="1956" w:type="dxa"/>
            <w:vAlign w:val="bottom"/>
          </w:tcPr>
          <w:p w:rsidR="00475650" w:rsidRDefault="00475650">
            <w:pPr>
              <w:widowControl/>
              <w:spacing w:line="240" w:lineRule="exact"/>
              <w:jc w:val="center"/>
              <w:rPr>
                <w:kern w:val="0"/>
                <w:szCs w:val="21"/>
              </w:rPr>
            </w:pPr>
            <w:r>
              <w:rPr>
                <w:kern w:val="0"/>
                <w:szCs w:val="21"/>
              </w:rPr>
              <w:t>65.9</w:t>
            </w:r>
          </w:p>
        </w:tc>
        <w:tc>
          <w:tcPr>
            <w:tcW w:w="1956" w:type="dxa"/>
          </w:tcPr>
          <w:p w:rsidR="00475650" w:rsidRDefault="00475650">
            <w:pPr>
              <w:widowControl/>
              <w:spacing w:line="240" w:lineRule="exact"/>
              <w:jc w:val="center"/>
              <w:rPr>
                <w:kern w:val="0"/>
                <w:szCs w:val="21"/>
              </w:rPr>
            </w:pPr>
            <w:r>
              <w:rPr>
                <w:kern w:val="0"/>
                <w:szCs w:val="21"/>
              </w:rPr>
              <w:t>43.6</w:t>
            </w:r>
          </w:p>
        </w:tc>
        <w:tc>
          <w:tcPr>
            <w:tcW w:w="1956" w:type="dxa"/>
            <w:vAlign w:val="bottom"/>
          </w:tcPr>
          <w:p w:rsidR="00475650" w:rsidRDefault="00475650">
            <w:pPr>
              <w:widowControl/>
              <w:spacing w:line="240" w:lineRule="exact"/>
              <w:jc w:val="center"/>
              <w:rPr>
                <w:kern w:val="0"/>
                <w:szCs w:val="21"/>
              </w:rPr>
            </w:pPr>
            <w:r>
              <w:rPr>
                <w:kern w:val="0"/>
                <w:szCs w:val="21"/>
              </w:rPr>
              <w:t>182.6</w:t>
            </w:r>
          </w:p>
        </w:tc>
      </w:tr>
      <w:tr w:rsidR="00475650">
        <w:trPr>
          <w:jc w:val="center"/>
        </w:trPr>
        <w:tc>
          <w:tcPr>
            <w:tcW w:w="2407" w:type="dxa"/>
            <w:vMerge/>
            <w:vAlign w:val="center"/>
          </w:tcPr>
          <w:p w:rsidR="00475650" w:rsidRDefault="00475650">
            <w:pPr>
              <w:widowControl/>
              <w:spacing w:line="240" w:lineRule="exact"/>
              <w:jc w:val="center"/>
              <w:rPr>
                <w:kern w:val="0"/>
                <w:szCs w:val="21"/>
              </w:rPr>
            </w:pPr>
          </w:p>
        </w:tc>
        <w:tc>
          <w:tcPr>
            <w:tcW w:w="2421" w:type="dxa"/>
            <w:vAlign w:val="center"/>
          </w:tcPr>
          <w:p w:rsidR="00475650" w:rsidRDefault="00475650">
            <w:pPr>
              <w:widowControl/>
              <w:spacing w:line="240" w:lineRule="exact"/>
              <w:jc w:val="center"/>
              <w:rPr>
                <w:kern w:val="0"/>
                <w:szCs w:val="21"/>
              </w:rPr>
            </w:pPr>
            <w:r>
              <w:rPr>
                <w:rFonts w:ascii="宋体" w:hAnsi="宋体" w:cs="宋体" w:hint="eastAsia"/>
                <w:kern w:val="0"/>
                <w:szCs w:val="21"/>
              </w:rPr>
              <w:t>最大超标倍数</w:t>
            </w:r>
          </w:p>
        </w:tc>
        <w:tc>
          <w:tcPr>
            <w:tcW w:w="1520" w:type="dxa"/>
            <w:vAlign w:val="bottom"/>
          </w:tcPr>
          <w:p w:rsidR="00475650" w:rsidRDefault="00475650">
            <w:pPr>
              <w:widowControl/>
              <w:spacing w:line="240" w:lineRule="exact"/>
              <w:jc w:val="center"/>
              <w:rPr>
                <w:kern w:val="0"/>
                <w:szCs w:val="21"/>
              </w:rPr>
            </w:pPr>
            <w:r>
              <w:rPr>
                <w:kern w:val="0"/>
                <w:szCs w:val="21"/>
              </w:rPr>
              <w:t>0</w:t>
            </w:r>
          </w:p>
        </w:tc>
        <w:tc>
          <w:tcPr>
            <w:tcW w:w="1959" w:type="dxa"/>
            <w:vAlign w:val="bottom"/>
          </w:tcPr>
          <w:p w:rsidR="00475650" w:rsidRDefault="00475650">
            <w:pPr>
              <w:widowControl/>
              <w:spacing w:line="240" w:lineRule="exact"/>
              <w:jc w:val="center"/>
              <w:rPr>
                <w:kern w:val="0"/>
                <w:szCs w:val="21"/>
              </w:rPr>
            </w:pPr>
            <w:r>
              <w:rPr>
                <w:kern w:val="0"/>
                <w:szCs w:val="21"/>
              </w:rPr>
              <w:t>0</w:t>
            </w:r>
          </w:p>
        </w:tc>
        <w:tc>
          <w:tcPr>
            <w:tcW w:w="1956" w:type="dxa"/>
            <w:vAlign w:val="bottom"/>
          </w:tcPr>
          <w:p w:rsidR="00475650" w:rsidRDefault="00475650">
            <w:pPr>
              <w:widowControl/>
              <w:spacing w:line="240" w:lineRule="exact"/>
              <w:jc w:val="center"/>
              <w:rPr>
                <w:kern w:val="0"/>
                <w:szCs w:val="21"/>
              </w:rPr>
            </w:pPr>
            <w:r>
              <w:rPr>
                <w:kern w:val="0"/>
                <w:szCs w:val="21"/>
              </w:rPr>
              <w:t>0</w:t>
            </w:r>
          </w:p>
        </w:tc>
        <w:tc>
          <w:tcPr>
            <w:tcW w:w="1956" w:type="dxa"/>
            <w:vAlign w:val="bottom"/>
          </w:tcPr>
          <w:p w:rsidR="00475650" w:rsidRDefault="00475650">
            <w:pPr>
              <w:widowControl/>
              <w:spacing w:line="240" w:lineRule="exact"/>
              <w:jc w:val="center"/>
              <w:rPr>
                <w:kern w:val="0"/>
                <w:szCs w:val="21"/>
              </w:rPr>
            </w:pPr>
            <w:r>
              <w:rPr>
                <w:kern w:val="0"/>
                <w:szCs w:val="21"/>
              </w:rPr>
              <w:t>0</w:t>
            </w:r>
          </w:p>
        </w:tc>
        <w:tc>
          <w:tcPr>
            <w:tcW w:w="1956" w:type="dxa"/>
            <w:vAlign w:val="bottom"/>
          </w:tcPr>
          <w:p w:rsidR="00475650" w:rsidRDefault="00475650">
            <w:pPr>
              <w:widowControl/>
              <w:spacing w:line="240" w:lineRule="exact"/>
              <w:jc w:val="center"/>
              <w:rPr>
                <w:kern w:val="0"/>
                <w:szCs w:val="21"/>
              </w:rPr>
            </w:pPr>
            <w:r>
              <w:rPr>
                <w:kern w:val="0"/>
                <w:szCs w:val="21"/>
              </w:rPr>
              <w:t>0</w:t>
            </w:r>
          </w:p>
        </w:tc>
      </w:tr>
      <w:tr w:rsidR="00475650">
        <w:trPr>
          <w:jc w:val="center"/>
        </w:trPr>
        <w:tc>
          <w:tcPr>
            <w:tcW w:w="2407" w:type="dxa"/>
            <w:vMerge/>
            <w:vAlign w:val="center"/>
          </w:tcPr>
          <w:p w:rsidR="00475650" w:rsidRDefault="00475650">
            <w:pPr>
              <w:widowControl/>
              <w:spacing w:line="240" w:lineRule="exact"/>
              <w:jc w:val="center"/>
              <w:rPr>
                <w:kern w:val="0"/>
                <w:szCs w:val="21"/>
              </w:rPr>
            </w:pPr>
          </w:p>
        </w:tc>
        <w:tc>
          <w:tcPr>
            <w:tcW w:w="2421" w:type="dxa"/>
            <w:vAlign w:val="center"/>
          </w:tcPr>
          <w:p w:rsidR="00475650" w:rsidRDefault="00475650">
            <w:pPr>
              <w:widowControl/>
              <w:spacing w:line="240" w:lineRule="exact"/>
              <w:jc w:val="center"/>
              <w:rPr>
                <w:kern w:val="0"/>
                <w:szCs w:val="21"/>
              </w:rPr>
            </w:pPr>
            <w:r>
              <w:rPr>
                <w:rFonts w:ascii="宋体" w:hAnsi="宋体" w:cs="宋体" w:hint="eastAsia"/>
                <w:kern w:val="0"/>
                <w:szCs w:val="21"/>
              </w:rPr>
              <w:t>超标率</w:t>
            </w:r>
            <w:r>
              <w:rPr>
                <w:kern w:val="0"/>
                <w:szCs w:val="21"/>
              </w:rPr>
              <w:t>(%)</w:t>
            </w:r>
          </w:p>
        </w:tc>
        <w:tc>
          <w:tcPr>
            <w:tcW w:w="1520" w:type="dxa"/>
            <w:vAlign w:val="bottom"/>
          </w:tcPr>
          <w:p w:rsidR="00475650" w:rsidRDefault="00475650">
            <w:pPr>
              <w:widowControl/>
              <w:spacing w:line="240" w:lineRule="exact"/>
              <w:jc w:val="center"/>
              <w:rPr>
                <w:kern w:val="0"/>
                <w:szCs w:val="21"/>
              </w:rPr>
            </w:pPr>
            <w:r>
              <w:rPr>
                <w:kern w:val="0"/>
                <w:szCs w:val="21"/>
              </w:rPr>
              <w:t>0</w:t>
            </w:r>
          </w:p>
        </w:tc>
        <w:tc>
          <w:tcPr>
            <w:tcW w:w="1959" w:type="dxa"/>
            <w:vAlign w:val="bottom"/>
          </w:tcPr>
          <w:p w:rsidR="00475650" w:rsidRDefault="00475650">
            <w:pPr>
              <w:widowControl/>
              <w:spacing w:line="240" w:lineRule="exact"/>
              <w:jc w:val="center"/>
              <w:rPr>
                <w:kern w:val="0"/>
                <w:szCs w:val="21"/>
              </w:rPr>
            </w:pPr>
            <w:r>
              <w:rPr>
                <w:kern w:val="0"/>
                <w:szCs w:val="21"/>
              </w:rPr>
              <w:t>0</w:t>
            </w:r>
          </w:p>
        </w:tc>
        <w:tc>
          <w:tcPr>
            <w:tcW w:w="1956" w:type="dxa"/>
            <w:vAlign w:val="bottom"/>
          </w:tcPr>
          <w:p w:rsidR="00475650" w:rsidRDefault="00475650">
            <w:pPr>
              <w:widowControl/>
              <w:spacing w:line="240" w:lineRule="exact"/>
              <w:jc w:val="center"/>
              <w:rPr>
                <w:kern w:val="0"/>
                <w:szCs w:val="21"/>
              </w:rPr>
            </w:pPr>
            <w:r>
              <w:rPr>
                <w:kern w:val="0"/>
                <w:szCs w:val="21"/>
              </w:rPr>
              <w:t>0</w:t>
            </w:r>
          </w:p>
        </w:tc>
        <w:tc>
          <w:tcPr>
            <w:tcW w:w="1956" w:type="dxa"/>
            <w:vAlign w:val="bottom"/>
          </w:tcPr>
          <w:p w:rsidR="00475650" w:rsidRDefault="00475650">
            <w:pPr>
              <w:widowControl/>
              <w:spacing w:line="240" w:lineRule="exact"/>
              <w:jc w:val="center"/>
              <w:rPr>
                <w:kern w:val="0"/>
                <w:szCs w:val="21"/>
              </w:rPr>
            </w:pPr>
            <w:r>
              <w:rPr>
                <w:kern w:val="0"/>
                <w:szCs w:val="21"/>
              </w:rPr>
              <w:t>0</w:t>
            </w:r>
          </w:p>
        </w:tc>
        <w:tc>
          <w:tcPr>
            <w:tcW w:w="1956" w:type="dxa"/>
            <w:vAlign w:val="bottom"/>
          </w:tcPr>
          <w:p w:rsidR="00475650" w:rsidRDefault="00475650">
            <w:pPr>
              <w:widowControl/>
              <w:spacing w:line="240" w:lineRule="exact"/>
              <w:jc w:val="center"/>
              <w:rPr>
                <w:kern w:val="0"/>
                <w:szCs w:val="21"/>
              </w:rPr>
            </w:pPr>
            <w:r>
              <w:rPr>
                <w:kern w:val="0"/>
                <w:szCs w:val="21"/>
              </w:rPr>
              <w:t>0</w:t>
            </w:r>
          </w:p>
        </w:tc>
      </w:tr>
      <w:tr w:rsidR="00475650">
        <w:trPr>
          <w:jc w:val="center"/>
        </w:trPr>
        <w:tc>
          <w:tcPr>
            <w:tcW w:w="2407" w:type="dxa"/>
            <w:vMerge/>
            <w:vAlign w:val="center"/>
          </w:tcPr>
          <w:p w:rsidR="00475650" w:rsidRDefault="00475650">
            <w:pPr>
              <w:widowControl/>
              <w:spacing w:line="240" w:lineRule="exact"/>
              <w:jc w:val="center"/>
              <w:rPr>
                <w:kern w:val="0"/>
                <w:szCs w:val="21"/>
              </w:rPr>
            </w:pPr>
          </w:p>
        </w:tc>
        <w:tc>
          <w:tcPr>
            <w:tcW w:w="2421" w:type="dxa"/>
            <w:vAlign w:val="center"/>
          </w:tcPr>
          <w:p w:rsidR="00475650" w:rsidRDefault="00475650">
            <w:pPr>
              <w:widowControl/>
              <w:spacing w:line="240" w:lineRule="exact"/>
              <w:jc w:val="center"/>
              <w:rPr>
                <w:kern w:val="0"/>
                <w:szCs w:val="21"/>
              </w:rPr>
            </w:pPr>
            <w:r>
              <w:rPr>
                <w:rFonts w:ascii="宋体" w:hAnsi="宋体" w:cs="宋体" w:hint="eastAsia"/>
                <w:kern w:val="0"/>
                <w:szCs w:val="21"/>
              </w:rPr>
              <w:t>占最大标率（</w:t>
            </w:r>
            <w:r>
              <w:rPr>
                <w:kern w:val="0"/>
                <w:szCs w:val="21"/>
              </w:rPr>
              <w:t>%</w:t>
            </w:r>
            <w:r>
              <w:rPr>
                <w:rFonts w:ascii="宋体" w:hAnsi="宋体" w:cs="宋体" w:hint="eastAsia"/>
                <w:kern w:val="0"/>
                <w:szCs w:val="21"/>
              </w:rPr>
              <w:t>）</w:t>
            </w:r>
          </w:p>
        </w:tc>
        <w:tc>
          <w:tcPr>
            <w:tcW w:w="1520" w:type="dxa"/>
            <w:vAlign w:val="bottom"/>
          </w:tcPr>
          <w:p w:rsidR="00475650" w:rsidRDefault="00475650">
            <w:pPr>
              <w:widowControl/>
              <w:spacing w:line="240" w:lineRule="exact"/>
              <w:jc w:val="center"/>
              <w:rPr>
                <w:kern w:val="0"/>
                <w:szCs w:val="21"/>
              </w:rPr>
            </w:pPr>
            <w:r>
              <w:rPr>
                <w:kern w:val="0"/>
                <w:szCs w:val="21"/>
              </w:rPr>
              <w:t xml:space="preserve">5.33 </w:t>
            </w:r>
          </w:p>
        </w:tc>
        <w:tc>
          <w:tcPr>
            <w:tcW w:w="1959" w:type="dxa"/>
            <w:vAlign w:val="bottom"/>
          </w:tcPr>
          <w:p w:rsidR="00475650" w:rsidRDefault="00475650">
            <w:pPr>
              <w:widowControl/>
              <w:spacing w:line="240" w:lineRule="exact"/>
              <w:jc w:val="center"/>
              <w:rPr>
                <w:kern w:val="0"/>
                <w:szCs w:val="21"/>
              </w:rPr>
            </w:pPr>
            <w:r>
              <w:rPr>
                <w:kern w:val="0"/>
                <w:szCs w:val="21"/>
              </w:rPr>
              <w:t xml:space="preserve">36.38 </w:t>
            </w:r>
          </w:p>
        </w:tc>
        <w:tc>
          <w:tcPr>
            <w:tcW w:w="1956" w:type="dxa"/>
            <w:vAlign w:val="bottom"/>
          </w:tcPr>
          <w:p w:rsidR="00475650" w:rsidRDefault="00475650">
            <w:pPr>
              <w:widowControl/>
              <w:spacing w:line="240" w:lineRule="exact"/>
              <w:jc w:val="center"/>
              <w:rPr>
                <w:kern w:val="0"/>
                <w:szCs w:val="21"/>
              </w:rPr>
            </w:pPr>
            <w:r>
              <w:rPr>
                <w:kern w:val="0"/>
                <w:szCs w:val="21"/>
              </w:rPr>
              <w:t xml:space="preserve">52.00 </w:t>
            </w:r>
          </w:p>
        </w:tc>
        <w:tc>
          <w:tcPr>
            <w:tcW w:w="1956" w:type="dxa"/>
          </w:tcPr>
          <w:p w:rsidR="00475650" w:rsidRDefault="00475650">
            <w:pPr>
              <w:widowControl/>
              <w:spacing w:line="240" w:lineRule="exact"/>
              <w:jc w:val="center"/>
              <w:rPr>
                <w:kern w:val="0"/>
                <w:szCs w:val="21"/>
              </w:rPr>
            </w:pPr>
            <w:r>
              <w:rPr>
                <w:kern w:val="0"/>
                <w:szCs w:val="21"/>
              </w:rPr>
              <w:t xml:space="preserve">64.00 </w:t>
            </w:r>
          </w:p>
        </w:tc>
        <w:tc>
          <w:tcPr>
            <w:tcW w:w="1956" w:type="dxa"/>
            <w:vAlign w:val="bottom"/>
          </w:tcPr>
          <w:p w:rsidR="00475650" w:rsidRDefault="00475650">
            <w:pPr>
              <w:widowControl/>
              <w:spacing w:line="240" w:lineRule="exact"/>
              <w:jc w:val="center"/>
              <w:rPr>
                <w:kern w:val="0"/>
                <w:szCs w:val="21"/>
              </w:rPr>
            </w:pPr>
            <w:r>
              <w:rPr>
                <w:kern w:val="0"/>
                <w:szCs w:val="21"/>
              </w:rPr>
              <w:t xml:space="preserve">70.00 </w:t>
            </w:r>
          </w:p>
        </w:tc>
      </w:tr>
      <w:tr w:rsidR="00475650">
        <w:trPr>
          <w:jc w:val="center"/>
        </w:trPr>
        <w:tc>
          <w:tcPr>
            <w:tcW w:w="2407" w:type="dxa"/>
            <w:vAlign w:val="center"/>
          </w:tcPr>
          <w:p w:rsidR="00475650" w:rsidRDefault="00475650">
            <w:pPr>
              <w:widowControl/>
              <w:spacing w:line="240" w:lineRule="exact"/>
              <w:jc w:val="center"/>
              <w:rPr>
                <w:kern w:val="0"/>
                <w:szCs w:val="21"/>
              </w:rPr>
            </w:pPr>
          </w:p>
        </w:tc>
        <w:tc>
          <w:tcPr>
            <w:tcW w:w="2421" w:type="dxa"/>
            <w:vAlign w:val="center"/>
          </w:tcPr>
          <w:p w:rsidR="00475650" w:rsidRDefault="00475650">
            <w:pPr>
              <w:widowControl/>
              <w:spacing w:line="240" w:lineRule="exact"/>
              <w:jc w:val="center"/>
              <w:rPr>
                <w:kern w:val="0"/>
                <w:szCs w:val="21"/>
              </w:rPr>
            </w:pPr>
            <w:r>
              <w:rPr>
                <w:rFonts w:ascii="宋体" w:hAnsi="宋体" w:cs="宋体" w:hint="eastAsia"/>
                <w:kern w:val="0"/>
                <w:szCs w:val="21"/>
              </w:rPr>
              <w:t>标准</w:t>
            </w:r>
          </w:p>
        </w:tc>
        <w:tc>
          <w:tcPr>
            <w:tcW w:w="1520" w:type="dxa"/>
            <w:vAlign w:val="bottom"/>
          </w:tcPr>
          <w:p w:rsidR="00475650" w:rsidRDefault="00475650">
            <w:pPr>
              <w:widowControl/>
              <w:spacing w:line="240" w:lineRule="exact"/>
              <w:jc w:val="center"/>
              <w:rPr>
                <w:kern w:val="0"/>
                <w:szCs w:val="21"/>
              </w:rPr>
            </w:pPr>
            <w:r>
              <w:rPr>
                <w:kern w:val="0"/>
                <w:szCs w:val="21"/>
              </w:rPr>
              <w:t>150</w:t>
            </w:r>
          </w:p>
        </w:tc>
        <w:tc>
          <w:tcPr>
            <w:tcW w:w="1959" w:type="dxa"/>
            <w:vAlign w:val="bottom"/>
          </w:tcPr>
          <w:p w:rsidR="00475650" w:rsidRDefault="00475650">
            <w:pPr>
              <w:widowControl/>
              <w:spacing w:line="240" w:lineRule="exact"/>
              <w:jc w:val="center"/>
              <w:rPr>
                <w:kern w:val="0"/>
                <w:szCs w:val="21"/>
              </w:rPr>
            </w:pPr>
            <w:r>
              <w:rPr>
                <w:kern w:val="0"/>
                <w:szCs w:val="21"/>
              </w:rPr>
              <w:t>80</w:t>
            </w:r>
          </w:p>
        </w:tc>
        <w:tc>
          <w:tcPr>
            <w:tcW w:w="1956" w:type="dxa"/>
            <w:vAlign w:val="bottom"/>
          </w:tcPr>
          <w:p w:rsidR="00475650" w:rsidRDefault="00475650">
            <w:pPr>
              <w:widowControl/>
              <w:spacing w:line="240" w:lineRule="exact"/>
              <w:jc w:val="center"/>
              <w:rPr>
                <w:kern w:val="0"/>
                <w:szCs w:val="21"/>
              </w:rPr>
            </w:pPr>
            <w:r>
              <w:rPr>
                <w:kern w:val="0"/>
                <w:szCs w:val="21"/>
              </w:rPr>
              <w:t>150</w:t>
            </w:r>
          </w:p>
        </w:tc>
        <w:tc>
          <w:tcPr>
            <w:tcW w:w="1956" w:type="dxa"/>
          </w:tcPr>
          <w:p w:rsidR="00475650" w:rsidRDefault="00475650">
            <w:pPr>
              <w:widowControl/>
              <w:spacing w:line="240" w:lineRule="exact"/>
              <w:jc w:val="center"/>
              <w:rPr>
                <w:kern w:val="0"/>
                <w:szCs w:val="21"/>
              </w:rPr>
            </w:pPr>
            <w:r>
              <w:rPr>
                <w:kern w:val="0"/>
                <w:szCs w:val="21"/>
              </w:rPr>
              <w:t>75</w:t>
            </w:r>
          </w:p>
        </w:tc>
        <w:tc>
          <w:tcPr>
            <w:tcW w:w="1956" w:type="dxa"/>
            <w:vAlign w:val="bottom"/>
          </w:tcPr>
          <w:p w:rsidR="00475650" w:rsidRDefault="00475650">
            <w:pPr>
              <w:widowControl/>
              <w:spacing w:line="240" w:lineRule="exact"/>
              <w:jc w:val="center"/>
              <w:rPr>
                <w:kern w:val="0"/>
                <w:szCs w:val="21"/>
              </w:rPr>
            </w:pPr>
            <w:r>
              <w:rPr>
                <w:kern w:val="0"/>
                <w:szCs w:val="21"/>
              </w:rPr>
              <w:t>300</w:t>
            </w:r>
          </w:p>
        </w:tc>
      </w:tr>
    </w:tbl>
    <w:p w:rsidR="00475650" w:rsidRDefault="00475650">
      <w:pPr>
        <w:tabs>
          <w:tab w:val="left" w:pos="2908"/>
        </w:tabs>
      </w:pPr>
    </w:p>
    <w:p w:rsidR="00475650" w:rsidRDefault="00475650"/>
    <w:p w:rsidR="00475650" w:rsidRDefault="00475650">
      <w:pPr>
        <w:tabs>
          <w:tab w:val="left" w:pos="923"/>
        </w:tabs>
        <w:jc w:val="center"/>
      </w:pPr>
      <w:r>
        <w:t>表</w:t>
      </w:r>
      <w:r>
        <w:t>4.3-</w:t>
      </w:r>
      <w:r>
        <w:rPr>
          <w:rFonts w:hint="eastAsia"/>
        </w:rPr>
        <w:t>8</w:t>
      </w:r>
      <w:r>
        <w:t xml:space="preserve">    </w:t>
      </w:r>
      <w:r>
        <w:t>环境空气质量小时值浓度监测结果</w:t>
      </w:r>
      <w:r>
        <w:rPr>
          <w:rFonts w:hint="eastAsia"/>
        </w:rPr>
        <w:t>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031"/>
        <w:gridCol w:w="1830"/>
        <w:gridCol w:w="1327"/>
        <w:gridCol w:w="1792"/>
        <w:gridCol w:w="1315"/>
        <w:gridCol w:w="1531"/>
        <w:gridCol w:w="1293"/>
        <w:gridCol w:w="1426"/>
        <w:gridCol w:w="1630"/>
      </w:tblGrid>
      <w:tr w:rsidR="00475650">
        <w:trPr>
          <w:tblHeader/>
          <w:jc w:val="center"/>
        </w:trPr>
        <w:tc>
          <w:tcPr>
            <w:tcW w:w="2031" w:type="dxa"/>
            <w:vAlign w:val="center"/>
          </w:tcPr>
          <w:p w:rsidR="00475650" w:rsidRDefault="00475650">
            <w:pPr>
              <w:widowControl/>
              <w:spacing w:line="240" w:lineRule="exact"/>
              <w:jc w:val="center"/>
              <w:rPr>
                <w:kern w:val="0"/>
                <w:sz w:val="18"/>
                <w:szCs w:val="18"/>
              </w:rPr>
            </w:pPr>
            <w:r>
              <w:rPr>
                <w:kern w:val="0"/>
                <w:sz w:val="18"/>
                <w:szCs w:val="18"/>
              </w:rPr>
              <w:t>名称</w:t>
            </w:r>
          </w:p>
        </w:tc>
        <w:tc>
          <w:tcPr>
            <w:tcW w:w="1830" w:type="dxa"/>
            <w:vAlign w:val="center"/>
          </w:tcPr>
          <w:p w:rsidR="00475650" w:rsidRDefault="00475650">
            <w:pPr>
              <w:widowControl/>
              <w:spacing w:line="240" w:lineRule="exact"/>
              <w:jc w:val="center"/>
              <w:rPr>
                <w:kern w:val="0"/>
                <w:sz w:val="18"/>
                <w:szCs w:val="18"/>
              </w:rPr>
            </w:pPr>
            <w:r>
              <w:rPr>
                <w:kern w:val="0"/>
                <w:sz w:val="18"/>
                <w:szCs w:val="18"/>
              </w:rPr>
              <w:t>项目</w:t>
            </w:r>
          </w:p>
        </w:tc>
        <w:tc>
          <w:tcPr>
            <w:tcW w:w="1327" w:type="dxa"/>
            <w:vAlign w:val="center"/>
          </w:tcPr>
          <w:p w:rsidR="00475650" w:rsidRDefault="00475650">
            <w:pPr>
              <w:widowControl/>
              <w:spacing w:line="240" w:lineRule="exact"/>
              <w:jc w:val="center"/>
              <w:rPr>
                <w:kern w:val="0"/>
                <w:sz w:val="18"/>
                <w:szCs w:val="18"/>
              </w:rPr>
            </w:pPr>
            <w:r>
              <w:rPr>
                <w:kern w:val="0"/>
                <w:sz w:val="18"/>
                <w:szCs w:val="18"/>
              </w:rPr>
              <w:t>SO2</w:t>
            </w:r>
            <w:r>
              <w:rPr>
                <w:kern w:val="0"/>
                <w:sz w:val="18"/>
                <w:szCs w:val="18"/>
              </w:rPr>
              <w:t>（</w:t>
            </w:r>
            <w:r>
              <w:rPr>
                <w:kern w:val="0"/>
                <w:sz w:val="18"/>
                <w:szCs w:val="18"/>
              </w:rPr>
              <w:t>ug/m³)</w:t>
            </w:r>
          </w:p>
        </w:tc>
        <w:tc>
          <w:tcPr>
            <w:tcW w:w="1792" w:type="dxa"/>
            <w:vAlign w:val="center"/>
          </w:tcPr>
          <w:p w:rsidR="00475650" w:rsidRDefault="00475650">
            <w:pPr>
              <w:widowControl/>
              <w:spacing w:line="240" w:lineRule="exact"/>
              <w:jc w:val="center"/>
              <w:rPr>
                <w:kern w:val="0"/>
                <w:sz w:val="18"/>
                <w:szCs w:val="18"/>
              </w:rPr>
            </w:pPr>
            <w:r>
              <w:rPr>
                <w:kern w:val="0"/>
                <w:sz w:val="18"/>
                <w:szCs w:val="18"/>
              </w:rPr>
              <w:t>NO2</w:t>
            </w:r>
            <w:r>
              <w:rPr>
                <w:kern w:val="0"/>
                <w:sz w:val="18"/>
                <w:szCs w:val="18"/>
              </w:rPr>
              <w:t>（</w:t>
            </w:r>
            <w:r>
              <w:rPr>
                <w:kern w:val="0"/>
                <w:sz w:val="18"/>
                <w:szCs w:val="18"/>
              </w:rPr>
              <w:t>ug/m³)</w:t>
            </w:r>
          </w:p>
        </w:tc>
        <w:tc>
          <w:tcPr>
            <w:tcW w:w="1315" w:type="dxa"/>
            <w:vAlign w:val="center"/>
          </w:tcPr>
          <w:p w:rsidR="00475650" w:rsidRDefault="00475650">
            <w:pPr>
              <w:widowControl/>
              <w:spacing w:line="240" w:lineRule="exact"/>
              <w:jc w:val="center"/>
              <w:rPr>
                <w:kern w:val="0"/>
                <w:sz w:val="18"/>
                <w:szCs w:val="18"/>
              </w:rPr>
            </w:pPr>
            <w:r>
              <w:rPr>
                <w:kern w:val="0"/>
                <w:sz w:val="18"/>
                <w:szCs w:val="18"/>
              </w:rPr>
              <w:t>TSP</w:t>
            </w:r>
            <w:r>
              <w:rPr>
                <w:kern w:val="0"/>
                <w:sz w:val="18"/>
                <w:szCs w:val="18"/>
              </w:rPr>
              <w:t>（</w:t>
            </w:r>
            <w:r>
              <w:rPr>
                <w:kern w:val="0"/>
                <w:sz w:val="18"/>
                <w:szCs w:val="18"/>
              </w:rPr>
              <w:t>ug/m³)</w:t>
            </w:r>
          </w:p>
        </w:tc>
        <w:tc>
          <w:tcPr>
            <w:tcW w:w="1531" w:type="dxa"/>
            <w:vAlign w:val="center"/>
          </w:tcPr>
          <w:p w:rsidR="00475650" w:rsidRDefault="00475650">
            <w:pPr>
              <w:widowControl/>
              <w:spacing w:line="240" w:lineRule="exact"/>
              <w:jc w:val="center"/>
              <w:rPr>
                <w:kern w:val="0"/>
                <w:sz w:val="18"/>
                <w:szCs w:val="18"/>
              </w:rPr>
            </w:pPr>
            <w:r>
              <w:rPr>
                <w:kern w:val="0"/>
                <w:sz w:val="18"/>
                <w:szCs w:val="18"/>
              </w:rPr>
              <w:t>硫化氢</w:t>
            </w:r>
            <w:r>
              <w:rPr>
                <w:kern w:val="0"/>
                <w:sz w:val="18"/>
                <w:szCs w:val="18"/>
              </w:rPr>
              <w:t xml:space="preserve"> mg/m³)</w:t>
            </w:r>
          </w:p>
        </w:tc>
        <w:tc>
          <w:tcPr>
            <w:tcW w:w="1293" w:type="dxa"/>
            <w:vAlign w:val="center"/>
          </w:tcPr>
          <w:p w:rsidR="00475650" w:rsidRDefault="00475650">
            <w:pPr>
              <w:widowControl/>
              <w:spacing w:line="240" w:lineRule="exact"/>
              <w:jc w:val="center"/>
              <w:rPr>
                <w:kern w:val="0"/>
                <w:sz w:val="18"/>
                <w:szCs w:val="18"/>
              </w:rPr>
            </w:pPr>
            <w:r>
              <w:rPr>
                <w:kern w:val="0"/>
                <w:sz w:val="18"/>
                <w:szCs w:val="18"/>
              </w:rPr>
              <w:t>氨气</w:t>
            </w:r>
            <w:r>
              <w:rPr>
                <w:kern w:val="0"/>
                <w:sz w:val="18"/>
                <w:szCs w:val="18"/>
              </w:rPr>
              <w:t>(mg/m³)</w:t>
            </w:r>
          </w:p>
        </w:tc>
        <w:tc>
          <w:tcPr>
            <w:tcW w:w="1426" w:type="dxa"/>
            <w:vAlign w:val="center"/>
          </w:tcPr>
          <w:p w:rsidR="00475650" w:rsidRDefault="00475650">
            <w:pPr>
              <w:widowControl/>
              <w:spacing w:line="240" w:lineRule="exact"/>
              <w:jc w:val="center"/>
              <w:rPr>
                <w:kern w:val="0"/>
                <w:sz w:val="18"/>
                <w:szCs w:val="18"/>
              </w:rPr>
            </w:pPr>
            <w:r>
              <w:rPr>
                <w:kern w:val="0"/>
                <w:sz w:val="18"/>
                <w:szCs w:val="18"/>
              </w:rPr>
              <w:t>氯化氢</w:t>
            </w:r>
            <w:r>
              <w:rPr>
                <w:kern w:val="0"/>
                <w:sz w:val="18"/>
                <w:szCs w:val="18"/>
              </w:rPr>
              <w:t>mg/m³)</w:t>
            </w:r>
          </w:p>
        </w:tc>
        <w:tc>
          <w:tcPr>
            <w:tcW w:w="1630" w:type="dxa"/>
            <w:vAlign w:val="center"/>
          </w:tcPr>
          <w:p w:rsidR="00475650" w:rsidRDefault="00475650">
            <w:pPr>
              <w:widowControl/>
              <w:spacing w:line="240" w:lineRule="exact"/>
              <w:jc w:val="center"/>
              <w:rPr>
                <w:kern w:val="0"/>
                <w:sz w:val="18"/>
                <w:szCs w:val="18"/>
              </w:rPr>
            </w:pPr>
            <w:r>
              <w:rPr>
                <w:kern w:val="0"/>
                <w:sz w:val="18"/>
                <w:szCs w:val="18"/>
              </w:rPr>
              <w:t>臭气（无量纲）</w:t>
            </w:r>
          </w:p>
        </w:tc>
      </w:tr>
      <w:tr w:rsidR="00475650">
        <w:trPr>
          <w:jc w:val="center"/>
        </w:trPr>
        <w:tc>
          <w:tcPr>
            <w:tcW w:w="2031" w:type="dxa"/>
            <w:vMerge w:val="restart"/>
            <w:vAlign w:val="center"/>
          </w:tcPr>
          <w:p w:rsidR="00475650" w:rsidRDefault="00475650">
            <w:pPr>
              <w:widowControl/>
              <w:spacing w:line="240" w:lineRule="exact"/>
              <w:jc w:val="center"/>
              <w:rPr>
                <w:kern w:val="0"/>
                <w:sz w:val="18"/>
                <w:szCs w:val="18"/>
              </w:rPr>
            </w:pPr>
            <w:r>
              <w:rPr>
                <w:rFonts w:hint="eastAsia"/>
                <w:kern w:val="0"/>
                <w:sz w:val="18"/>
                <w:szCs w:val="18"/>
              </w:rPr>
              <w:t>A5</w:t>
            </w:r>
            <w:r>
              <w:rPr>
                <w:kern w:val="0"/>
                <w:sz w:val="18"/>
                <w:szCs w:val="18"/>
              </w:rPr>
              <w:t>环宇药业南侧</w:t>
            </w:r>
          </w:p>
        </w:tc>
        <w:tc>
          <w:tcPr>
            <w:tcW w:w="1830" w:type="dxa"/>
            <w:vAlign w:val="center"/>
          </w:tcPr>
          <w:p w:rsidR="00475650" w:rsidRDefault="00475650">
            <w:pPr>
              <w:pStyle w:val="afffff2"/>
              <w:widowControl/>
              <w:spacing w:line="240" w:lineRule="exact"/>
              <w:rPr>
                <w:rFonts w:eastAsia="宋体"/>
                <w:sz w:val="18"/>
                <w:szCs w:val="18"/>
              </w:rPr>
            </w:pPr>
            <w:r>
              <w:rPr>
                <w:rFonts w:eastAsia="宋体"/>
                <w:sz w:val="18"/>
                <w:szCs w:val="18"/>
              </w:rPr>
              <w:t>测值范围</w:t>
            </w:r>
          </w:p>
        </w:tc>
        <w:tc>
          <w:tcPr>
            <w:tcW w:w="1327" w:type="dxa"/>
            <w:vAlign w:val="center"/>
          </w:tcPr>
          <w:p w:rsidR="00475650" w:rsidRDefault="00475650">
            <w:pPr>
              <w:widowControl/>
              <w:spacing w:line="240" w:lineRule="exact"/>
              <w:jc w:val="center"/>
              <w:rPr>
                <w:kern w:val="0"/>
                <w:sz w:val="18"/>
                <w:szCs w:val="18"/>
              </w:rPr>
            </w:pPr>
            <w:r>
              <w:rPr>
                <w:kern w:val="0"/>
                <w:sz w:val="18"/>
                <w:szCs w:val="18"/>
              </w:rPr>
              <w:t>6ND~7</w:t>
            </w:r>
          </w:p>
        </w:tc>
        <w:tc>
          <w:tcPr>
            <w:tcW w:w="1792" w:type="dxa"/>
            <w:vAlign w:val="center"/>
          </w:tcPr>
          <w:p w:rsidR="00475650" w:rsidRDefault="00475650">
            <w:pPr>
              <w:widowControl/>
              <w:spacing w:line="240" w:lineRule="exact"/>
              <w:jc w:val="center"/>
              <w:rPr>
                <w:kern w:val="0"/>
                <w:sz w:val="18"/>
                <w:szCs w:val="18"/>
              </w:rPr>
            </w:pPr>
            <w:r>
              <w:rPr>
                <w:kern w:val="0"/>
                <w:sz w:val="18"/>
                <w:szCs w:val="18"/>
              </w:rPr>
              <w:t>19~88</w:t>
            </w:r>
          </w:p>
        </w:tc>
        <w:tc>
          <w:tcPr>
            <w:tcW w:w="1315" w:type="dxa"/>
            <w:vAlign w:val="center"/>
          </w:tcPr>
          <w:p w:rsidR="00475650" w:rsidRDefault="00475650">
            <w:pPr>
              <w:widowControl/>
              <w:spacing w:line="240" w:lineRule="exact"/>
              <w:jc w:val="center"/>
              <w:rPr>
                <w:kern w:val="0"/>
                <w:sz w:val="18"/>
                <w:szCs w:val="18"/>
              </w:rPr>
            </w:pPr>
            <w:r>
              <w:rPr>
                <w:kern w:val="0"/>
                <w:sz w:val="18"/>
                <w:szCs w:val="18"/>
              </w:rPr>
              <w:t>/</w:t>
            </w:r>
          </w:p>
        </w:tc>
        <w:tc>
          <w:tcPr>
            <w:tcW w:w="1531" w:type="dxa"/>
            <w:vAlign w:val="center"/>
          </w:tcPr>
          <w:p w:rsidR="00475650" w:rsidRDefault="00475650">
            <w:pPr>
              <w:widowControl/>
              <w:spacing w:line="240" w:lineRule="exact"/>
              <w:jc w:val="center"/>
              <w:rPr>
                <w:kern w:val="0"/>
                <w:sz w:val="18"/>
                <w:szCs w:val="18"/>
              </w:rPr>
            </w:pPr>
            <w:r>
              <w:rPr>
                <w:kern w:val="0"/>
                <w:sz w:val="18"/>
                <w:szCs w:val="18"/>
              </w:rPr>
              <w:t>0.006ND~0.008</w:t>
            </w:r>
          </w:p>
        </w:tc>
        <w:tc>
          <w:tcPr>
            <w:tcW w:w="1293" w:type="dxa"/>
            <w:vAlign w:val="center"/>
          </w:tcPr>
          <w:p w:rsidR="00475650" w:rsidRDefault="00475650">
            <w:pPr>
              <w:widowControl/>
              <w:spacing w:line="240" w:lineRule="exact"/>
              <w:jc w:val="center"/>
              <w:rPr>
                <w:kern w:val="0"/>
                <w:sz w:val="18"/>
                <w:szCs w:val="18"/>
              </w:rPr>
            </w:pPr>
            <w:r>
              <w:rPr>
                <w:kern w:val="0"/>
                <w:sz w:val="18"/>
                <w:szCs w:val="18"/>
              </w:rPr>
              <w:t>0.01~0.06</w:t>
            </w:r>
          </w:p>
        </w:tc>
        <w:tc>
          <w:tcPr>
            <w:tcW w:w="1426" w:type="dxa"/>
            <w:vAlign w:val="bottom"/>
          </w:tcPr>
          <w:p w:rsidR="00475650" w:rsidRDefault="00475650">
            <w:pPr>
              <w:spacing w:line="240" w:lineRule="exact"/>
              <w:jc w:val="center"/>
              <w:rPr>
                <w:sz w:val="18"/>
                <w:szCs w:val="18"/>
              </w:rPr>
            </w:pPr>
            <w:r>
              <w:rPr>
                <w:sz w:val="18"/>
                <w:szCs w:val="18"/>
              </w:rPr>
              <w:t>0.008~0.019</w:t>
            </w:r>
          </w:p>
        </w:tc>
        <w:tc>
          <w:tcPr>
            <w:tcW w:w="1630" w:type="dxa"/>
            <w:vAlign w:val="center"/>
          </w:tcPr>
          <w:p w:rsidR="00475650" w:rsidRDefault="00475650">
            <w:pPr>
              <w:widowControl/>
              <w:spacing w:line="240" w:lineRule="exact"/>
              <w:jc w:val="center"/>
              <w:rPr>
                <w:kern w:val="0"/>
                <w:sz w:val="18"/>
                <w:szCs w:val="18"/>
              </w:rPr>
            </w:pPr>
            <w:r>
              <w:rPr>
                <w:kern w:val="0"/>
                <w:sz w:val="18"/>
                <w:szCs w:val="18"/>
              </w:rPr>
              <w:t>6.92ND</w:t>
            </w:r>
          </w:p>
        </w:tc>
      </w:tr>
      <w:tr w:rsidR="00475650">
        <w:trPr>
          <w:jc w:val="center"/>
        </w:trPr>
        <w:tc>
          <w:tcPr>
            <w:tcW w:w="2031" w:type="dxa"/>
            <w:vMerge/>
            <w:vAlign w:val="center"/>
          </w:tcPr>
          <w:p w:rsidR="00475650" w:rsidRDefault="00475650">
            <w:pPr>
              <w:widowControl/>
              <w:spacing w:line="240" w:lineRule="exact"/>
              <w:jc w:val="center"/>
              <w:rPr>
                <w:kern w:val="0"/>
                <w:sz w:val="18"/>
                <w:szCs w:val="18"/>
              </w:rPr>
            </w:pPr>
          </w:p>
        </w:tc>
        <w:tc>
          <w:tcPr>
            <w:tcW w:w="1830" w:type="dxa"/>
            <w:vAlign w:val="center"/>
          </w:tcPr>
          <w:p w:rsidR="00475650" w:rsidRDefault="00475650">
            <w:pPr>
              <w:widowControl/>
              <w:spacing w:line="240" w:lineRule="exact"/>
              <w:jc w:val="center"/>
              <w:rPr>
                <w:kern w:val="0"/>
                <w:sz w:val="18"/>
                <w:szCs w:val="18"/>
              </w:rPr>
            </w:pPr>
            <w:r>
              <w:rPr>
                <w:kern w:val="0"/>
                <w:sz w:val="18"/>
                <w:szCs w:val="18"/>
              </w:rPr>
              <w:t>平均浓度</w:t>
            </w:r>
          </w:p>
        </w:tc>
        <w:tc>
          <w:tcPr>
            <w:tcW w:w="1327" w:type="dxa"/>
            <w:vAlign w:val="center"/>
          </w:tcPr>
          <w:p w:rsidR="00475650" w:rsidRDefault="00475650">
            <w:pPr>
              <w:widowControl/>
              <w:spacing w:line="240" w:lineRule="exact"/>
              <w:jc w:val="center"/>
              <w:rPr>
                <w:kern w:val="0"/>
                <w:sz w:val="18"/>
                <w:szCs w:val="18"/>
              </w:rPr>
            </w:pPr>
            <w:r>
              <w:rPr>
                <w:kern w:val="0"/>
                <w:sz w:val="18"/>
                <w:szCs w:val="18"/>
              </w:rPr>
              <w:t>5.25</w:t>
            </w:r>
          </w:p>
        </w:tc>
        <w:tc>
          <w:tcPr>
            <w:tcW w:w="1792" w:type="dxa"/>
            <w:vAlign w:val="center"/>
          </w:tcPr>
          <w:p w:rsidR="00475650" w:rsidRDefault="00475650">
            <w:pPr>
              <w:widowControl/>
              <w:spacing w:line="240" w:lineRule="exact"/>
              <w:jc w:val="center"/>
              <w:rPr>
                <w:kern w:val="0"/>
                <w:sz w:val="18"/>
                <w:szCs w:val="18"/>
              </w:rPr>
            </w:pPr>
            <w:r>
              <w:rPr>
                <w:kern w:val="0"/>
                <w:sz w:val="18"/>
                <w:szCs w:val="18"/>
              </w:rPr>
              <w:t>47.7</w:t>
            </w:r>
          </w:p>
        </w:tc>
        <w:tc>
          <w:tcPr>
            <w:tcW w:w="1315" w:type="dxa"/>
            <w:vAlign w:val="center"/>
          </w:tcPr>
          <w:p w:rsidR="00475650" w:rsidRDefault="00475650">
            <w:pPr>
              <w:widowControl/>
              <w:spacing w:line="240" w:lineRule="exact"/>
              <w:jc w:val="center"/>
              <w:rPr>
                <w:kern w:val="0"/>
                <w:sz w:val="18"/>
                <w:szCs w:val="18"/>
              </w:rPr>
            </w:pPr>
            <w:r>
              <w:rPr>
                <w:kern w:val="0"/>
                <w:sz w:val="18"/>
                <w:szCs w:val="18"/>
              </w:rPr>
              <w:t>/</w:t>
            </w:r>
          </w:p>
        </w:tc>
        <w:tc>
          <w:tcPr>
            <w:tcW w:w="1531" w:type="dxa"/>
            <w:vAlign w:val="center"/>
          </w:tcPr>
          <w:p w:rsidR="00475650" w:rsidRDefault="00475650">
            <w:pPr>
              <w:widowControl/>
              <w:spacing w:line="240" w:lineRule="exact"/>
              <w:jc w:val="center"/>
              <w:rPr>
                <w:kern w:val="0"/>
                <w:sz w:val="18"/>
                <w:szCs w:val="18"/>
              </w:rPr>
            </w:pPr>
            <w:r>
              <w:rPr>
                <w:kern w:val="0"/>
                <w:sz w:val="18"/>
                <w:szCs w:val="18"/>
              </w:rPr>
              <w:t>0.005</w:t>
            </w:r>
          </w:p>
        </w:tc>
        <w:tc>
          <w:tcPr>
            <w:tcW w:w="1293" w:type="dxa"/>
            <w:vAlign w:val="center"/>
          </w:tcPr>
          <w:p w:rsidR="00475650" w:rsidRDefault="00475650">
            <w:pPr>
              <w:widowControl/>
              <w:spacing w:line="240" w:lineRule="exact"/>
              <w:jc w:val="center"/>
              <w:rPr>
                <w:kern w:val="0"/>
                <w:sz w:val="18"/>
                <w:szCs w:val="18"/>
              </w:rPr>
            </w:pPr>
            <w:r>
              <w:rPr>
                <w:kern w:val="0"/>
                <w:sz w:val="18"/>
                <w:szCs w:val="18"/>
              </w:rPr>
              <w:t>0.05</w:t>
            </w:r>
          </w:p>
        </w:tc>
        <w:tc>
          <w:tcPr>
            <w:tcW w:w="1426" w:type="dxa"/>
            <w:vAlign w:val="bottom"/>
          </w:tcPr>
          <w:p w:rsidR="00475650" w:rsidRDefault="00475650">
            <w:pPr>
              <w:spacing w:line="240" w:lineRule="exact"/>
              <w:jc w:val="center"/>
              <w:rPr>
                <w:sz w:val="18"/>
                <w:szCs w:val="18"/>
              </w:rPr>
            </w:pPr>
            <w:r>
              <w:rPr>
                <w:sz w:val="18"/>
                <w:szCs w:val="18"/>
              </w:rPr>
              <w:t xml:space="preserve">0.013 </w:t>
            </w:r>
          </w:p>
        </w:tc>
        <w:tc>
          <w:tcPr>
            <w:tcW w:w="1630" w:type="dxa"/>
            <w:vAlign w:val="center"/>
          </w:tcPr>
          <w:p w:rsidR="00475650" w:rsidRDefault="00475650">
            <w:pPr>
              <w:widowControl/>
              <w:spacing w:line="240" w:lineRule="exact"/>
              <w:jc w:val="center"/>
              <w:rPr>
                <w:kern w:val="0"/>
                <w:sz w:val="18"/>
                <w:szCs w:val="18"/>
              </w:rPr>
            </w:pPr>
            <w:r>
              <w:rPr>
                <w:kern w:val="0"/>
                <w:sz w:val="18"/>
                <w:szCs w:val="18"/>
              </w:rPr>
              <w:t>6.92ND</w:t>
            </w:r>
          </w:p>
        </w:tc>
      </w:tr>
      <w:tr w:rsidR="00475650">
        <w:trPr>
          <w:jc w:val="center"/>
        </w:trPr>
        <w:tc>
          <w:tcPr>
            <w:tcW w:w="2031" w:type="dxa"/>
            <w:vMerge/>
            <w:vAlign w:val="center"/>
          </w:tcPr>
          <w:p w:rsidR="00475650" w:rsidRDefault="00475650">
            <w:pPr>
              <w:widowControl/>
              <w:spacing w:line="240" w:lineRule="exact"/>
              <w:jc w:val="center"/>
              <w:rPr>
                <w:kern w:val="0"/>
                <w:sz w:val="18"/>
                <w:szCs w:val="18"/>
              </w:rPr>
            </w:pPr>
          </w:p>
        </w:tc>
        <w:tc>
          <w:tcPr>
            <w:tcW w:w="1830" w:type="dxa"/>
            <w:vAlign w:val="center"/>
          </w:tcPr>
          <w:p w:rsidR="00475650" w:rsidRDefault="00475650">
            <w:pPr>
              <w:widowControl/>
              <w:spacing w:line="240" w:lineRule="exact"/>
              <w:jc w:val="center"/>
              <w:rPr>
                <w:kern w:val="0"/>
                <w:sz w:val="18"/>
                <w:szCs w:val="18"/>
              </w:rPr>
            </w:pPr>
            <w:r>
              <w:rPr>
                <w:kern w:val="0"/>
                <w:sz w:val="18"/>
                <w:szCs w:val="18"/>
              </w:rPr>
              <w:t>最大超标倍数</w:t>
            </w:r>
          </w:p>
        </w:tc>
        <w:tc>
          <w:tcPr>
            <w:tcW w:w="1327" w:type="dxa"/>
            <w:vAlign w:val="center"/>
          </w:tcPr>
          <w:p w:rsidR="00475650" w:rsidRDefault="00475650">
            <w:pPr>
              <w:widowControl/>
              <w:spacing w:line="240" w:lineRule="exact"/>
              <w:jc w:val="center"/>
              <w:rPr>
                <w:kern w:val="0"/>
                <w:sz w:val="18"/>
                <w:szCs w:val="18"/>
              </w:rPr>
            </w:pPr>
            <w:r>
              <w:rPr>
                <w:kern w:val="0"/>
                <w:sz w:val="18"/>
                <w:szCs w:val="18"/>
              </w:rPr>
              <w:t>0</w:t>
            </w:r>
          </w:p>
        </w:tc>
        <w:tc>
          <w:tcPr>
            <w:tcW w:w="1792" w:type="dxa"/>
            <w:vAlign w:val="center"/>
          </w:tcPr>
          <w:p w:rsidR="00475650" w:rsidRDefault="00475650">
            <w:pPr>
              <w:widowControl/>
              <w:spacing w:line="240" w:lineRule="exact"/>
              <w:jc w:val="center"/>
              <w:rPr>
                <w:kern w:val="0"/>
                <w:sz w:val="18"/>
                <w:szCs w:val="18"/>
              </w:rPr>
            </w:pPr>
            <w:r>
              <w:rPr>
                <w:kern w:val="0"/>
                <w:sz w:val="18"/>
                <w:szCs w:val="18"/>
              </w:rPr>
              <w:t>0</w:t>
            </w:r>
          </w:p>
        </w:tc>
        <w:tc>
          <w:tcPr>
            <w:tcW w:w="1315" w:type="dxa"/>
            <w:vAlign w:val="center"/>
          </w:tcPr>
          <w:p w:rsidR="00475650" w:rsidRDefault="00475650">
            <w:pPr>
              <w:widowControl/>
              <w:spacing w:line="240" w:lineRule="exact"/>
              <w:jc w:val="center"/>
              <w:rPr>
                <w:kern w:val="0"/>
                <w:sz w:val="18"/>
                <w:szCs w:val="18"/>
              </w:rPr>
            </w:pPr>
            <w:r>
              <w:rPr>
                <w:kern w:val="0"/>
                <w:sz w:val="18"/>
                <w:szCs w:val="18"/>
              </w:rPr>
              <w:t>/</w:t>
            </w:r>
          </w:p>
        </w:tc>
        <w:tc>
          <w:tcPr>
            <w:tcW w:w="1531" w:type="dxa"/>
            <w:vAlign w:val="center"/>
          </w:tcPr>
          <w:p w:rsidR="00475650" w:rsidRDefault="00475650">
            <w:pPr>
              <w:widowControl/>
              <w:spacing w:line="240" w:lineRule="exact"/>
              <w:jc w:val="center"/>
              <w:rPr>
                <w:kern w:val="0"/>
                <w:sz w:val="18"/>
                <w:szCs w:val="18"/>
              </w:rPr>
            </w:pPr>
            <w:r>
              <w:rPr>
                <w:kern w:val="0"/>
                <w:sz w:val="18"/>
                <w:szCs w:val="18"/>
              </w:rPr>
              <w:t>0</w:t>
            </w:r>
          </w:p>
        </w:tc>
        <w:tc>
          <w:tcPr>
            <w:tcW w:w="1293" w:type="dxa"/>
            <w:vAlign w:val="center"/>
          </w:tcPr>
          <w:p w:rsidR="00475650" w:rsidRDefault="00475650">
            <w:pPr>
              <w:widowControl/>
              <w:spacing w:line="240" w:lineRule="exact"/>
              <w:jc w:val="center"/>
              <w:rPr>
                <w:kern w:val="0"/>
                <w:sz w:val="18"/>
                <w:szCs w:val="18"/>
              </w:rPr>
            </w:pPr>
            <w:r>
              <w:rPr>
                <w:kern w:val="0"/>
                <w:sz w:val="18"/>
                <w:szCs w:val="18"/>
              </w:rPr>
              <w:t>0</w:t>
            </w:r>
          </w:p>
        </w:tc>
        <w:tc>
          <w:tcPr>
            <w:tcW w:w="1426" w:type="dxa"/>
            <w:vAlign w:val="bottom"/>
          </w:tcPr>
          <w:p w:rsidR="00475650" w:rsidRDefault="00475650">
            <w:pPr>
              <w:spacing w:line="240" w:lineRule="exact"/>
              <w:jc w:val="center"/>
              <w:rPr>
                <w:sz w:val="18"/>
                <w:szCs w:val="18"/>
              </w:rPr>
            </w:pPr>
            <w:r>
              <w:rPr>
                <w:sz w:val="18"/>
                <w:szCs w:val="18"/>
              </w:rPr>
              <w:t>0</w:t>
            </w:r>
          </w:p>
        </w:tc>
        <w:tc>
          <w:tcPr>
            <w:tcW w:w="1630" w:type="dxa"/>
            <w:vAlign w:val="center"/>
          </w:tcPr>
          <w:p w:rsidR="00475650" w:rsidRDefault="00475650">
            <w:pPr>
              <w:widowControl/>
              <w:spacing w:line="240" w:lineRule="exact"/>
              <w:jc w:val="center"/>
              <w:rPr>
                <w:kern w:val="0"/>
                <w:sz w:val="18"/>
                <w:szCs w:val="18"/>
              </w:rPr>
            </w:pPr>
            <w:r>
              <w:rPr>
                <w:kern w:val="0"/>
                <w:sz w:val="18"/>
                <w:szCs w:val="18"/>
              </w:rPr>
              <w:t>0</w:t>
            </w:r>
          </w:p>
        </w:tc>
      </w:tr>
      <w:tr w:rsidR="00475650">
        <w:trPr>
          <w:jc w:val="center"/>
        </w:trPr>
        <w:tc>
          <w:tcPr>
            <w:tcW w:w="2031" w:type="dxa"/>
            <w:vMerge/>
            <w:vAlign w:val="center"/>
          </w:tcPr>
          <w:p w:rsidR="00475650" w:rsidRDefault="00475650">
            <w:pPr>
              <w:widowControl/>
              <w:spacing w:line="240" w:lineRule="exact"/>
              <w:jc w:val="center"/>
              <w:rPr>
                <w:kern w:val="0"/>
                <w:sz w:val="18"/>
                <w:szCs w:val="18"/>
              </w:rPr>
            </w:pPr>
          </w:p>
        </w:tc>
        <w:tc>
          <w:tcPr>
            <w:tcW w:w="1830" w:type="dxa"/>
            <w:vAlign w:val="center"/>
          </w:tcPr>
          <w:p w:rsidR="00475650" w:rsidRDefault="00475650">
            <w:pPr>
              <w:widowControl/>
              <w:spacing w:line="240" w:lineRule="exact"/>
              <w:jc w:val="center"/>
              <w:rPr>
                <w:kern w:val="0"/>
                <w:sz w:val="18"/>
                <w:szCs w:val="18"/>
              </w:rPr>
            </w:pPr>
            <w:r>
              <w:rPr>
                <w:kern w:val="0"/>
                <w:sz w:val="18"/>
                <w:szCs w:val="18"/>
              </w:rPr>
              <w:t>超标率</w:t>
            </w:r>
            <w:r>
              <w:rPr>
                <w:kern w:val="0"/>
                <w:sz w:val="18"/>
                <w:szCs w:val="18"/>
              </w:rPr>
              <w:t>(%)</w:t>
            </w:r>
          </w:p>
        </w:tc>
        <w:tc>
          <w:tcPr>
            <w:tcW w:w="1327" w:type="dxa"/>
            <w:vAlign w:val="center"/>
          </w:tcPr>
          <w:p w:rsidR="00475650" w:rsidRDefault="00475650">
            <w:pPr>
              <w:widowControl/>
              <w:spacing w:line="240" w:lineRule="exact"/>
              <w:jc w:val="center"/>
              <w:rPr>
                <w:kern w:val="0"/>
                <w:sz w:val="18"/>
                <w:szCs w:val="18"/>
              </w:rPr>
            </w:pPr>
            <w:r>
              <w:rPr>
                <w:kern w:val="0"/>
                <w:sz w:val="18"/>
                <w:szCs w:val="18"/>
              </w:rPr>
              <w:t>0</w:t>
            </w:r>
          </w:p>
        </w:tc>
        <w:tc>
          <w:tcPr>
            <w:tcW w:w="1792" w:type="dxa"/>
            <w:vAlign w:val="center"/>
          </w:tcPr>
          <w:p w:rsidR="00475650" w:rsidRDefault="00475650">
            <w:pPr>
              <w:widowControl/>
              <w:spacing w:line="240" w:lineRule="exact"/>
              <w:jc w:val="center"/>
              <w:rPr>
                <w:kern w:val="0"/>
                <w:sz w:val="18"/>
                <w:szCs w:val="18"/>
              </w:rPr>
            </w:pPr>
            <w:r>
              <w:rPr>
                <w:kern w:val="0"/>
                <w:sz w:val="18"/>
                <w:szCs w:val="18"/>
              </w:rPr>
              <w:t>0</w:t>
            </w:r>
          </w:p>
        </w:tc>
        <w:tc>
          <w:tcPr>
            <w:tcW w:w="1315" w:type="dxa"/>
            <w:vAlign w:val="center"/>
          </w:tcPr>
          <w:p w:rsidR="00475650" w:rsidRDefault="00475650">
            <w:pPr>
              <w:widowControl/>
              <w:spacing w:line="240" w:lineRule="exact"/>
              <w:jc w:val="center"/>
              <w:rPr>
                <w:kern w:val="0"/>
                <w:sz w:val="18"/>
                <w:szCs w:val="18"/>
              </w:rPr>
            </w:pPr>
            <w:r>
              <w:rPr>
                <w:kern w:val="0"/>
                <w:sz w:val="18"/>
                <w:szCs w:val="18"/>
              </w:rPr>
              <w:t>/</w:t>
            </w:r>
          </w:p>
        </w:tc>
        <w:tc>
          <w:tcPr>
            <w:tcW w:w="1531" w:type="dxa"/>
            <w:vAlign w:val="center"/>
          </w:tcPr>
          <w:p w:rsidR="00475650" w:rsidRDefault="00475650">
            <w:pPr>
              <w:widowControl/>
              <w:spacing w:line="240" w:lineRule="exact"/>
              <w:jc w:val="center"/>
              <w:rPr>
                <w:kern w:val="0"/>
                <w:sz w:val="18"/>
                <w:szCs w:val="18"/>
              </w:rPr>
            </w:pPr>
            <w:r>
              <w:rPr>
                <w:kern w:val="0"/>
                <w:sz w:val="18"/>
                <w:szCs w:val="18"/>
              </w:rPr>
              <w:t>0</w:t>
            </w:r>
          </w:p>
        </w:tc>
        <w:tc>
          <w:tcPr>
            <w:tcW w:w="1293" w:type="dxa"/>
            <w:vAlign w:val="center"/>
          </w:tcPr>
          <w:p w:rsidR="00475650" w:rsidRDefault="00475650">
            <w:pPr>
              <w:widowControl/>
              <w:spacing w:line="240" w:lineRule="exact"/>
              <w:jc w:val="center"/>
              <w:rPr>
                <w:kern w:val="0"/>
                <w:sz w:val="18"/>
                <w:szCs w:val="18"/>
              </w:rPr>
            </w:pPr>
            <w:r>
              <w:rPr>
                <w:kern w:val="0"/>
                <w:sz w:val="18"/>
                <w:szCs w:val="18"/>
              </w:rPr>
              <w:t>0</w:t>
            </w:r>
          </w:p>
        </w:tc>
        <w:tc>
          <w:tcPr>
            <w:tcW w:w="1426" w:type="dxa"/>
            <w:vAlign w:val="bottom"/>
          </w:tcPr>
          <w:p w:rsidR="00475650" w:rsidRDefault="00475650">
            <w:pPr>
              <w:spacing w:line="240" w:lineRule="exact"/>
              <w:jc w:val="center"/>
              <w:rPr>
                <w:sz w:val="18"/>
                <w:szCs w:val="18"/>
              </w:rPr>
            </w:pPr>
            <w:r>
              <w:rPr>
                <w:sz w:val="18"/>
                <w:szCs w:val="18"/>
              </w:rPr>
              <w:t>0</w:t>
            </w:r>
          </w:p>
        </w:tc>
        <w:tc>
          <w:tcPr>
            <w:tcW w:w="1630" w:type="dxa"/>
            <w:vAlign w:val="center"/>
          </w:tcPr>
          <w:p w:rsidR="00475650" w:rsidRDefault="00475650">
            <w:pPr>
              <w:widowControl/>
              <w:spacing w:line="240" w:lineRule="exact"/>
              <w:jc w:val="center"/>
              <w:rPr>
                <w:kern w:val="0"/>
                <w:sz w:val="18"/>
                <w:szCs w:val="18"/>
              </w:rPr>
            </w:pPr>
            <w:r>
              <w:rPr>
                <w:kern w:val="0"/>
                <w:sz w:val="18"/>
                <w:szCs w:val="18"/>
              </w:rPr>
              <w:t>0</w:t>
            </w:r>
          </w:p>
        </w:tc>
      </w:tr>
      <w:tr w:rsidR="00475650">
        <w:trPr>
          <w:jc w:val="center"/>
        </w:trPr>
        <w:tc>
          <w:tcPr>
            <w:tcW w:w="2031" w:type="dxa"/>
            <w:vMerge/>
            <w:vAlign w:val="center"/>
          </w:tcPr>
          <w:p w:rsidR="00475650" w:rsidRDefault="00475650">
            <w:pPr>
              <w:widowControl/>
              <w:spacing w:line="240" w:lineRule="exact"/>
              <w:jc w:val="center"/>
              <w:rPr>
                <w:kern w:val="0"/>
                <w:sz w:val="18"/>
                <w:szCs w:val="18"/>
              </w:rPr>
            </w:pPr>
          </w:p>
        </w:tc>
        <w:tc>
          <w:tcPr>
            <w:tcW w:w="1830" w:type="dxa"/>
            <w:vAlign w:val="center"/>
          </w:tcPr>
          <w:p w:rsidR="00475650" w:rsidRDefault="00475650">
            <w:pPr>
              <w:widowControl/>
              <w:spacing w:line="240" w:lineRule="exact"/>
              <w:jc w:val="center"/>
              <w:rPr>
                <w:kern w:val="0"/>
                <w:sz w:val="18"/>
                <w:szCs w:val="18"/>
              </w:rPr>
            </w:pPr>
            <w:r>
              <w:rPr>
                <w:kern w:val="0"/>
                <w:sz w:val="18"/>
                <w:szCs w:val="18"/>
              </w:rPr>
              <w:t>最大占标率（</w:t>
            </w:r>
            <w:r>
              <w:rPr>
                <w:kern w:val="0"/>
                <w:sz w:val="18"/>
                <w:szCs w:val="18"/>
              </w:rPr>
              <w:t>%</w:t>
            </w:r>
            <w:r>
              <w:rPr>
                <w:kern w:val="0"/>
                <w:sz w:val="18"/>
                <w:szCs w:val="18"/>
              </w:rPr>
              <w:t>）</w:t>
            </w:r>
          </w:p>
        </w:tc>
        <w:tc>
          <w:tcPr>
            <w:tcW w:w="1327" w:type="dxa"/>
            <w:vAlign w:val="center"/>
          </w:tcPr>
          <w:p w:rsidR="00475650" w:rsidRDefault="00475650">
            <w:pPr>
              <w:widowControl/>
              <w:spacing w:line="240" w:lineRule="exact"/>
              <w:jc w:val="center"/>
              <w:rPr>
                <w:kern w:val="0"/>
                <w:sz w:val="18"/>
                <w:szCs w:val="18"/>
              </w:rPr>
            </w:pPr>
            <w:r>
              <w:rPr>
                <w:kern w:val="0"/>
                <w:sz w:val="18"/>
                <w:szCs w:val="18"/>
              </w:rPr>
              <w:t>1.4</w:t>
            </w:r>
          </w:p>
        </w:tc>
        <w:tc>
          <w:tcPr>
            <w:tcW w:w="1792" w:type="dxa"/>
            <w:vAlign w:val="center"/>
          </w:tcPr>
          <w:p w:rsidR="00475650" w:rsidRDefault="00475650">
            <w:pPr>
              <w:widowControl/>
              <w:spacing w:line="240" w:lineRule="exact"/>
              <w:jc w:val="center"/>
              <w:rPr>
                <w:kern w:val="0"/>
                <w:sz w:val="18"/>
                <w:szCs w:val="18"/>
              </w:rPr>
            </w:pPr>
            <w:r>
              <w:rPr>
                <w:kern w:val="0"/>
                <w:sz w:val="18"/>
                <w:szCs w:val="18"/>
              </w:rPr>
              <w:t>44</w:t>
            </w:r>
          </w:p>
        </w:tc>
        <w:tc>
          <w:tcPr>
            <w:tcW w:w="1315" w:type="dxa"/>
            <w:vAlign w:val="center"/>
          </w:tcPr>
          <w:p w:rsidR="00475650" w:rsidRDefault="00475650">
            <w:pPr>
              <w:widowControl/>
              <w:spacing w:line="240" w:lineRule="exact"/>
              <w:jc w:val="center"/>
              <w:rPr>
                <w:kern w:val="0"/>
                <w:sz w:val="18"/>
                <w:szCs w:val="18"/>
              </w:rPr>
            </w:pPr>
            <w:r>
              <w:rPr>
                <w:kern w:val="0"/>
                <w:sz w:val="18"/>
                <w:szCs w:val="18"/>
              </w:rPr>
              <w:t>/</w:t>
            </w:r>
          </w:p>
        </w:tc>
        <w:tc>
          <w:tcPr>
            <w:tcW w:w="1531" w:type="dxa"/>
            <w:vAlign w:val="center"/>
          </w:tcPr>
          <w:p w:rsidR="00475650" w:rsidRDefault="00475650">
            <w:pPr>
              <w:widowControl/>
              <w:spacing w:line="240" w:lineRule="exact"/>
              <w:jc w:val="center"/>
              <w:rPr>
                <w:kern w:val="0"/>
                <w:sz w:val="18"/>
                <w:szCs w:val="18"/>
              </w:rPr>
            </w:pPr>
            <w:r>
              <w:rPr>
                <w:kern w:val="0"/>
                <w:sz w:val="18"/>
                <w:szCs w:val="18"/>
              </w:rPr>
              <w:t>80</w:t>
            </w:r>
          </w:p>
        </w:tc>
        <w:tc>
          <w:tcPr>
            <w:tcW w:w="1293" w:type="dxa"/>
            <w:vAlign w:val="center"/>
          </w:tcPr>
          <w:p w:rsidR="00475650" w:rsidRDefault="00475650">
            <w:pPr>
              <w:widowControl/>
              <w:spacing w:line="240" w:lineRule="exact"/>
              <w:jc w:val="center"/>
              <w:rPr>
                <w:kern w:val="0"/>
                <w:sz w:val="18"/>
                <w:szCs w:val="18"/>
              </w:rPr>
            </w:pPr>
            <w:r>
              <w:rPr>
                <w:kern w:val="0"/>
                <w:sz w:val="18"/>
                <w:szCs w:val="18"/>
              </w:rPr>
              <w:t>30</w:t>
            </w:r>
          </w:p>
        </w:tc>
        <w:tc>
          <w:tcPr>
            <w:tcW w:w="1426" w:type="dxa"/>
            <w:vAlign w:val="bottom"/>
          </w:tcPr>
          <w:p w:rsidR="00475650" w:rsidRDefault="00475650">
            <w:pPr>
              <w:spacing w:line="240" w:lineRule="exact"/>
              <w:jc w:val="center"/>
              <w:rPr>
                <w:sz w:val="18"/>
                <w:szCs w:val="18"/>
              </w:rPr>
            </w:pPr>
            <w:r>
              <w:rPr>
                <w:sz w:val="18"/>
                <w:szCs w:val="18"/>
              </w:rPr>
              <w:t>3</w:t>
            </w:r>
            <w:r>
              <w:rPr>
                <w:rFonts w:hint="eastAsia"/>
                <w:sz w:val="18"/>
                <w:szCs w:val="18"/>
              </w:rPr>
              <w:t>8</w:t>
            </w:r>
          </w:p>
        </w:tc>
        <w:tc>
          <w:tcPr>
            <w:tcW w:w="1630" w:type="dxa"/>
            <w:vAlign w:val="center"/>
          </w:tcPr>
          <w:p w:rsidR="00475650" w:rsidRDefault="00475650">
            <w:pPr>
              <w:widowControl/>
              <w:spacing w:line="240" w:lineRule="exact"/>
              <w:jc w:val="center"/>
              <w:rPr>
                <w:kern w:val="0"/>
                <w:sz w:val="18"/>
                <w:szCs w:val="18"/>
              </w:rPr>
            </w:pPr>
            <w:r>
              <w:rPr>
                <w:kern w:val="0"/>
                <w:sz w:val="18"/>
                <w:szCs w:val="18"/>
              </w:rPr>
              <w:t>17.3</w:t>
            </w:r>
          </w:p>
        </w:tc>
      </w:tr>
      <w:tr w:rsidR="00475650">
        <w:trPr>
          <w:jc w:val="center"/>
        </w:trPr>
        <w:tc>
          <w:tcPr>
            <w:tcW w:w="2031" w:type="dxa"/>
            <w:vMerge w:val="restart"/>
            <w:vAlign w:val="center"/>
          </w:tcPr>
          <w:p w:rsidR="00475650" w:rsidRDefault="00475650">
            <w:pPr>
              <w:widowControl/>
              <w:spacing w:line="240" w:lineRule="exact"/>
              <w:jc w:val="center"/>
              <w:rPr>
                <w:kern w:val="0"/>
                <w:sz w:val="18"/>
                <w:szCs w:val="18"/>
              </w:rPr>
            </w:pPr>
            <w:r>
              <w:rPr>
                <w:rFonts w:hint="eastAsia"/>
                <w:kern w:val="0"/>
                <w:sz w:val="18"/>
                <w:szCs w:val="18"/>
              </w:rPr>
              <w:t>A6</w:t>
            </w:r>
            <w:r>
              <w:rPr>
                <w:rFonts w:hint="eastAsia"/>
                <w:kern w:val="0"/>
                <w:sz w:val="18"/>
                <w:szCs w:val="18"/>
              </w:rPr>
              <w:t>新港村</w:t>
            </w:r>
          </w:p>
        </w:tc>
        <w:tc>
          <w:tcPr>
            <w:tcW w:w="1830" w:type="dxa"/>
            <w:vAlign w:val="center"/>
          </w:tcPr>
          <w:p w:rsidR="00475650" w:rsidRDefault="00475650">
            <w:pPr>
              <w:widowControl/>
              <w:spacing w:line="240" w:lineRule="exact"/>
              <w:jc w:val="center"/>
              <w:rPr>
                <w:kern w:val="0"/>
                <w:sz w:val="18"/>
                <w:szCs w:val="18"/>
              </w:rPr>
            </w:pPr>
            <w:r>
              <w:rPr>
                <w:kern w:val="0"/>
                <w:sz w:val="18"/>
                <w:szCs w:val="18"/>
              </w:rPr>
              <w:t>测值范围</w:t>
            </w:r>
          </w:p>
        </w:tc>
        <w:tc>
          <w:tcPr>
            <w:tcW w:w="1327" w:type="dxa"/>
            <w:vAlign w:val="center"/>
          </w:tcPr>
          <w:p w:rsidR="00475650" w:rsidRDefault="00475650">
            <w:pPr>
              <w:widowControl/>
              <w:spacing w:line="240" w:lineRule="exact"/>
              <w:jc w:val="center"/>
              <w:rPr>
                <w:kern w:val="0"/>
                <w:sz w:val="18"/>
                <w:szCs w:val="18"/>
              </w:rPr>
            </w:pPr>
            <w:r>
              <w:rPr>
                <w:kern w:val="0"/>
                <w:sz w:val="18"/>
                <w:szCs w:val="18"/>
              </w:rPr>
              <w:t>6~8</w:t>
            </w:r>
          </w:p>
        </w:tc>
        <w:tc>
          <w:tcPr>
            <w:tcW w:w="1792" w:type="dxa"/>
            <w:vAlign w:val="center"/>
          </w:tcPr>
          <w:p w:rsidR="00475650" w:rsidRDefault="00475650">
            <w:pPr>
              <w:widowControl/>
              <w:spacing w:line="240" w:lineRule="exact"/>
              <w:jc w:val="center"/>
              <w:rPr>
                <w:kern w:val="0"/>
                <w:sz w:val="18"/>
                <w:szCs w:val="18"/>
              </w:rPr>
            </w:pPr>
            <w:r>
              <w:rPr>
                <w:kern w:val="0"/>
                <w:sz w:val="18"/>
                <w:szCs w:val="18"/>
              </w:rPr>
              <w:t>28~63</w:t>
            </w:r>
          </w:p>
        </w:tc>
        <w:tc>
          <w:tcPr>
            <w:tcW w:w="1315" w:type="dxa"/>
            <w:vAlign w:val="center"/>
          </w:tcPr>
          <w:p w:rsidR="00475650" w:rsidRDefault="00475650">
            <w:pPr>
              <w:widowControl/>
              <w:spacing w:line="240" w:lineRule="exact"/>
              <w:jc w:val="center"/>
              <w:rPr>
                <w:kern w:val="0"/>
                <w:sz w:val="18"/>
                <w:szCs w:val="18"/>
              </w:rPr>
            </w:pPr>
            <w:r>
              <w:rPr>
                <w:kern w:val="0"/>
                <w:sz w:val="18"/>
                <w:szCs w:val="18"/>
              </w:rPr>
              <w:t>100ND~170</w:t>
            </w:r>
          </w:p>
        </w:tc>
        <w:tc>
          <w:tcPr>
            <w:tcW w:w="1531" w:type="dxa"/>
            <w:vAlign w:val="center"/>
          </w:tcPr>
          <w:p w:rsidR="00475650" w:rsidRDefault="00475650">
            <w:pPr>
              <w:widowControl/>
              <w:spacing w:line="240" w:lineRule="exact"/>
              <w:jc w:val="center"/>
              <w:rPr>
                <w:kern w:val="0"/>
                <w:sz w:val="18"/>
                <w:szCs w:val="18"/>
              </w:rPr>
            </w:pPr>
            <w:r>
              <w:rPr>
                <w:kern w:val="0"/>
                <w:sz w:val="18"/>
                <w:szCs w:val="18"/>
              </w:rPr>
              <w:t>0.006ND~0.008</w:t>
            </w:r>
          </w:p>
        </w:tc>
        <w:tc>
          <w:tcPr>
            <w:tcW w:w="1293" w:type="dxa"/>
            <w:vAlign w:val="center"/>
          </w:tcPr>
          <w:p w:rsidR="00475650" w:rsidRDefault="00475650">
            <w:pPr>
              <w:widowControl/>
              <w:spacing w:line="240" w:lineRule="exact"/>
              <w:jc w:val="center"/>
              <w:rPr>
                <w:kern w:val="0"/>
                <w:sz w:val="18"/>
                <w:szCs w:val="18"/>
              </w:rPr>
            </w:pPr>
            <w:r>
              <w:rPr>
                <w:kern w:val="0"/>
                <w:sz w:val="18"/>
                <w:szCs w:val="18"/>
              </w:rPr>
              <w:t>0.04~0.06</w:t>
            </w:r>
          </w:p>
        </w:tc>
        <w:tc>
          <w:tcPr>
            <w:tcW w:w="1426" w:type="dxa"/>
            <w:vAlign w:val="bottom"/>
          </w:tcPr>
          <w:p w:rsidR="00475650" w:rsidRDefault="00475650">
            <w:pPr>
              <w:spacing w:line="240" w:lineRule="exact"/>
              <w:jc w:val="center"/>
              <w:rPr>
                <w:sz w:val="18"/>
                <w:szCs w:val="18"/>
              </w:rPr>
            </w:pPr>
            <w:r>
              <w:rPr>
                <w:sz w:val="18"/>
                <w:szCs w:val="18"/>
              </w:rPr>
              <w:t>ND~0.015</w:t>
            </w:r>
          </w:p>
        </w:tc>
        <w:tc>
          <w:tcPr>
            <w:tcW w:w="1630" w:type="dxa"/>
            <w:vAlign w:val="center"/>
          </w:tcPr>
          <w:p w:rsidR="00475650" w:rsidRDefault="00475650">
            <w:pPr>
              <w:widowControl/>
              <w:spacing w:line="240" w:lineRule="exact"/>
              <w:jc w:val="center"/>
              <w:rPr>
                <w:kern w:val="0"/>
                <w:sz w:val="18"/>
                <w:szCs w:val="18"/>
              </w:rPr>
            </w:pPr>
            <w:r>
              <w:rPr>
                <w:kern w:val="0"/>
                <w:sz w:val="18"/>
                <w:szCs w:val="18"/>
              </w:rPr>
              <w:t>6.92ND</w:t>
            </w:r>
          </w:p>
        </w:tc>
      </w:tr>
      <w:tr w:rsidR="00475650">
        <w:trPr>
          <w:jc w:val="center"/>
        </w:trPr>
        <w:tc>
          <w:tcPr>
            <w:tcW w:w="2031" w:type="dxa"/>
            <w:vMerge/>
            <w:vAlign w:val="center"/>
          </w:tcPr>
          <w:p w:rsidR="00475650" w:rsidRDefault="00475650">
            <w:pPr>
              <w:widowControl/>
              <w:spacing w:line="240" w:lineRule="exact"/>
              <w:jc w:val="center"/>
              <w:rPr>
                <w:kern w:val="0"/>
                <w:sz w:val="18"/>
                <w:szCs w:val="18"/>
              </w:rPr>
            </w:pPr>
          </w:p>
        </w:tc>
        <w:tc>
          <w:tcPr>
            <w:tcW w:w="1830" w:type="dxa"/>
            <w:vAlign w:val="center"/>
          </w:tcPr>
          <w:p w:rsidR="00475650" w:rsidRDefault="00475650">
            <w:pPr>
              <w:widowControl/>
              <w:spacing w:line="240" w:lineRule="exact"/>
              <w:jc w:val="center"/>
              <w:rPr>
                <w:kern w:val="0"/>
                <w:sz w:val="18"/>
                <w:szCs w:val="18"/>
              </w:rPr>
            </w:pPr>
            <w:r>
              <w:rPr>
                <w:kern w:val="0"/>
                <w:sz w:val="18"/>
                <w:szCs w:val="18"/>
              </w:rPr>
              <w:t>平均浓度</w:t>
            </w:r>
          </w:p>
        </w:tc>
        <w:tc>
          <w:tcPr>
            <w:tcW w:w="1327" w:type="dxa"/>
            <w:vAlign w:val="center"/>
          </w:tcPr>
          <w:p w:rsidR="00475650" w:rsidRDefault="00475650">
            <w:pPr>
              <w:widowControl/>
              <w:spacing w:line="240" w:lineRule="exact"/>
              <w:jc w:val="center"/>
              <w:rPr>
                <w:kern w:val="0"/>
                <w:sz w:val="18"/>
                <w:szCs w:val="18"/>
              </w:rPr>
            </w:pPr>
            <w:r>
              <w:rPr>
                <w:kern w:val="0"/>
                <w:sz w:val="18"/>
                <w:szCs w:val="18"/>
              </w:rPr>
              <w:t>6.6</w:t>
            </w:r>
          </w:p>
        </w:tc>
        <w:tc>
          <w:tcPr>
            <w:tcW w:w="1792" w:type="dxa"/>
            <w:vAlign w:val="center"/>
          </w:tcPr>
          <w:p w:rsidR="00475650" w:rsidRDefault="00475650">
            <w:pPr>
              <w:widowControl/>
              <w:spacing w:line="240" w:lineRule="exact"/>
              <w:jc w:val="center"/>
              <w:rPr>
                <w:kern w:val="0"/>
                <w:sz w:val="18"/>
                <w:szCs w:val="18"/>
              </w:rPr>
            </w:pPr>
            <w:r>
              <w:rPr>
                <w:kern w:val="0"/>
                <w:sz w:val="18"/>
                <w:szCs w:val="18"/>
              </w:rPr>
              <w:t>43.2</w:t>
            </w:r>
          </w:p>
        </w:tc>
        <w:tc>
          <w:tcPr>
            <w:tcW w:w="1315" w:type="dxa"/>
            <w:vAlign w:val="center"/>
          </w:tcPr>
          <w:p w:rsidR="00475650" w:rsidRDefault="00475650">
            <w:pPr>
              <w:widowControl/>
              <w:spacing w:line="240" w:lineRule="exact"/>
              <w:jc w:val="center"/>
              <w:rPr>
                <w:kern w:val="0"/>
                <w:sz w:val="18"/>
                <w:szCs w:val="18"/>
              </w:rPr>
            </w:pPr>
            <w:r>
              <w:rPr>
                <w:kern w:val="0"/>
                <w:sz w:val="18"/>
                <w:szCs w:val="18"/>
              </w:rPr>
              <w:t>144.3</w:t>
            </w:r>
          </w:p>
        </w:tc>
        <w:tc>
          <w:tcPr>
            <w:tcW w:w="1531" w:type="dxa"/>
            <w:vAlign w:val="center"/>
          </w:tcPr>
          <w:p w:rsidR="00475650" w:rsidRDefault="00475650">
            <w:pPr>
              <w:widowControl/>
              <w:spacing w:line="240" w:lineRule="exact"/>
              <w:jc w:val="center"/>
              <w:rPr>
                <w:kern w:val="0"/>
                <w:sz w:val="18"/>
                <w:szCs w:val="18"/>
              </w:rPr>
            </w:pPr>
            <w:r>
              <w:rPr>
                <w:kern w:val="0"/>
                <w:sz w:val="18"/>
                <w:szCs w:val="18"/>
              </w:rPr>
              <w:t>0.005</w:t>
            </w:r>
          </w:p>
        </w:tc>
        <w:tc>
          <w:tcPr>
            <w:tcW w:w="1293" w:type="dxa"/>
            <w:vAlign w:val="center"/>
          </w:tcPr>
          <w:p w:rsidR="00475650" w:rsidRDefault="00475650">
            <w:pPr>
              <w:widowControl/>
              <w:spacing w:line="240" w:lineRule="exact"/>
              <w:jc w:val="center"/>
              <w:rPr>
                <w:kern w:val="0"/>
                <w:sz w:val="18"/>
                <w:szCs w:val="18"/>
              </w:rPr>
            </w:pPr>
            <w:r>
              <w:rPr>
                <w:kern w:val="0"/>
                <w:sz w:val="18"/>
                <w:szCs w:val="18"/>
              </w:rPr>
              <w:t>0.055</w:t>
            </w:r>
          </w:p>
        </w:tc>
        <w:tc>
          <w:tcPr>
            <w:tcW w:w="1426" w:type="dxa"/>
            <w:vAlign w:val="bottom"/>
          </w:tcPr>
          <w:p w:rsidR="00475650" w:rsidRDefault="00475650">
            <w:pPr>
              <w:spacing w:line="240" w:lineRule="exact"/>
              <w:jc w:val="center"/>
              <w:rPr>
                <w:sz w:val="18"/>
                <w:szCs w:val="18"/>
              </w:rPr>
            </w:pPr>
            <w:r>
              <w:rPr>
                <w:sz w:val="18"/>
                <w:szCs w:val="18"/>
              </w:rPr>
              <w:t xml:space="preserve">0.005 </w:t>
            </w:r>
          </w:p>
        </w:tc>
        <w:tc>
          <w:tcPr>
            <w:tcW w:w="1630" w:type="dxa"/>
            <w:vAlign w:val="center"/>
          </w:tcPr>
          <w:p w:rsidR="00475650" w:rsidRDefault="00475650">
            <w:pPr>
              <w:widowControl/>
              <w:spacing w:line="240" w:lineRule="exact"/>
              <w:jc w:val="center"/>
              <w:rPr>
                <w:kern w:val="0"/>
                <w:sz w:val="18"/>
                <w:szCs w:val="18"/>
              </w:rPr>
            </w:pPr>
            <w:r>
              <w:rPr>
                <w:kern w:val="0"/>
                <w:sz w:val="18"/>
                <w:szCs w:val="18"/>
              </w:rPr>
              <w:t>6.92ND</w:t>
            </w:r>
          </w:p>
        </w:tc>
      </w:tr>
      <w:tr w:rsidR="00475650">
        <w:trPr>
          <w:jc w:val="center"/>
        </w:trPr>
        <w:tc>
          <w:tcPr>
            <w:tcW w:w="2031" w:type="dxa"/>
            <w:vMerge/>
            <w:vAlign w:val="center"/>
          </w:tcPr>
          <w:p w:rsidR="00475650" w:rsidRDefault="00475650">
            <w:pPr>
              <w:widowControl/>
              <w:spacing w:line="240" w:lineRule="exact"/>
              <w:jc w:val="center"/>
              <w:rPr>
                <w:kern w:val="0"/>
                <w:sz w:val="18"/>
                <w:szCs w:val="18"/>
              </w:rPr>
            </w:pPr>
          </w:p>
        </w:tc>
        <w:tc>
          <w:tcPr>
            <w:tcW w:w="1830" w:type="dxa"/>
            <w:vAlign w:val="center"/>
          </w:tcPr>
          <w:p w:rsidR="00475650" w:rsidRDefault="00475650">
            <w:pPr>
              <w:widowControl/>
              <w:spacing w:line="240" w:lineRule="exact"/>
              <w:jc w:val="center"/>
              <w:rPr>
                <w:kern w:val="0"/>
                <w:sz w:val="18"/>
                <w:szCs w:val="18"/>
              </w:rPr>
            </w:pPr>
            <w:r>
              <w:rPr>
                <w:kern w:val="0"/>
                <w:sz w:val="18"/>
                <w:szCs w:val="18"/>
              </w:rPr>
              <w:t>最大超标倍数</w:t>
            </w:r>
          </w:p>
        </w:tc>
        <w:tc>
          <w:tcPr>
            <w:tcW w:w="1327" w:type="dxa"/>
            <w:vAlign w:val="center"/>
          </w:tcPr>
          <w:p w:rsidR="00475650" w:rsidRDefault="00475650">
            <w:pPr>
              <w:widowControl/>
              <w:spacing w:line="240" w:lineRule="exact"/>
              <w:jc w:val="center"/>
              <w:rPr>
                <w:kern w:val="0"/>
                <w:sz w:val="18"/>
                <w:szCs w:val="18"/>
              </w:rPr>
            </w:pPr>
            <w:r>
              <w:rPr>
                <w:kern w:val="0"/>
                <w:sz w:val="18"/>
                <w:szCs w:val="18"/>
              </w:rPr>
              <w:t>0</w:t>
            </w:r>
          </w:p>
        </w:tc>
        <w:tc>
          <w:tcPr>
            <w:tcW w:w="1792" w:type="dxa"/>
            <w:vAlign w:val="center"/>
          </w:tcPr>
          <w:p w:rsidR="00475650" w:rsidRDefault="00475650">
            <w:pPr>
              <w:widowControl/>
              <w:spacing w:line="240" w:lineRule="exact"/>
              <w:jc w:val="center"/>
              <w:rPr>
                <w:kern w:val="0"/>
                <w:sz w:val="18"/>
                <w:szCs w:val="18"/>
              </w:rPr>
            </w:pPr>
            <w:r>
              <w:rPr>
                <w:kern w:val="0"/>
                <w:sz w:val="18"/>
                <w:szCs w:val="18"/>
              </w:rPr>
              <w:t>0</w:t>
            </w:r>
          </w:p>
        </w:tc>
        <w:tc>
          <w:tcPr>
            <w:tcW w:w="1315" w:type="dxa"/>
            <w:vAlign w:val="center"/>
          </w:tcPr>
          <w:p w:rsidR="00475650" w:rsidRDefault="00475650">
            <w:pPr>
              <w:widowControl/>
              <w:spacing w:line="240" w:lineRule="exact"/>
              <w:jc w:val="center"/>
              <w:rPr>
                <w:kern w:val="0"/>
                <w:sz w:val="18"/>
                <w:szCs w:val="18"/>
              </w:rPr>
            </w:pPr>
            <w:r>
              <w:rPr>
                <w:kern w:val="0"/>
                <w:sz w:val="18"/>
                <w:szCs w:val="18"/>
              </w:rPr>
              <w:t>/</w:t>
            </w:r>
          </w:p>
        </w:tc>
        <w:tc>
          <w:tcPr>
            <w:tcW w:w="1531" w:type="dxa"/>
            <w:vAlign w:val="center"/>
          </w:tcPr>
          <w:p w:rsidR="00475650" w:rsidRDefault="00475650">
            <w:pPr>
              <w:widowControl/>
              <w:spacing w:line="240" w:lineRule="exact"/>
              <w:jc w:val="center"/>
              <w:rPr>
                <w:kern w:val="0"/>
                <w:sz w:val="18"/>
                <w:szCs w:val="18"/>
              </w:rPr>
            </w:pPr>
            <w:r>
              <w:rPr>
                <w:kern w:val="0"/>
                <w:sz w:val="18"/>
                <w:szCs w:val="18"/>
              </w:rPr>
              <w:t>0</w:t>
            </w:r>
          </w:p>
        </w:tc>
        <w:tc>
          <w:tcPr>
            <w:tcW w:w="1293" w:type="dxa"/>
            <w:vAlign w:val="center"/>
          </w:tcPr>
          <w:p w:rsidR="00475650" w:rsidRDefault="00475650">
            <w:pPr>
              <w:widowControl/>
              <w:spacing w:line="240" w:lineRule="exact"/>
              <w:jc w:val="center"/>
              <w:rPr>
                <w:kern w:val="0"/>
                <w:sz w:val="18"/>
                <w:szCs w:val="18"/>
              </w:rPr>
            </w:pPr>
            <w:r>
              <w:rPr>
                <w:kern w:val="0"/>
                <w:sz w:val="18"/>
                <w:szCs w:val="18"/>
              </w:rPr>
              <w:t>0</w:t>
            </w:r>
          </w:p>
        </w:tc>
        <w:tc>
          <w:tcPr>
            <w:tcW w:w="1426" w:type="dxa"/>
            <w:vAlign w:val="bottom"/>
          </w:tcPr>
          <w:p w:rsidR="00475650" w:rsidRDefault="00475650">
            <w:pPr>
              <w:spacing w:line="240" w:lineRule="exact"/>
              <w:jc w:val="center"/>
              <w:rPr>
                <w:sz w:val="18"/>
                <w:szCs w:val="18"/>
              </w:rPr>
            </w:pPr>
            <w:r>
              <w:rPr>
                <w:sz w:val="18"/>
                <w:szCs w:val="18"/>
              </w:rPr>
              <w:t>0</w:t>
            </w:r>
          </w:p>
        </w:tc>
        <w:tc>
          <w:tcPr>
            <w:tcW w:w="1630" w:type="dxa"/>
            <w:vAlign w:val="center"/>
          </w:tcPr>
          <w:p w:rsidR="00475650" w:rsidRDefault="00475650">
            <w:pPr>
              <w:widowControl/>
              <w:spacing w:line="240" w:lineRule="exact"/>
              <w:jc w:val="center"/>
              <w:rPr>
                <w:kern w:val="0"/>
                <w:sz w:val="18"/>
                <w:szCs w:val="18"/>
              </w:rPr>
            </w:pPr>
            <w:r>
              <w:rPr>
                <w:kern w:val="0"/>
                <w:sz w:val="18"/>
                <w:szCs w:val="18"/>
              </w:rPr>
              <w:t>0</w:t>
            </w:r>
          </w:p>
        </w:tc>
      </w:tr>
      <w:tr w:rsidR="00475650">
        <w:trPr>
          <w:jc w:val="center"/>
        </w:trPr>
        <w:tc>
          <w:tcPr>
            <w:tcW w:w="2031" w:type="dxa"/>
            <w:vMerge/>
            <w:vAlign w:val="center"/>
          </w:tcPr>
          <w:p w:rsidR="00475650" w:rsidRDefault="00475650">
            <w:pPr>
              <w:widowControl/>
              <w:spacing w:line="240" w:lineRule="exact"/>
              <w:jc w:val="center"/>
              <w:rPr>
                <w:kern w:val="0"/>
                <w:sz w:val="18"/>
                <w:szCs w:val="18"/>
              </w:rPr>
            </w:pPr>
          </w:p>
        </w:tc>
        <w:tc>
          <w:tcPr>
            <w:tcW w:w="1830" w:type="dxa"/>
            <w:vAlign w:val="center"/>
          </w:tcPr>
          <w:p w:rsidR="00475650" w:rsidRDefault="00475650">
            <w:pPr>
              <w:widowControl/>
              <w:spacing w:line="240" w:lineRule="exact"/>
              <w:jc w:val="center"/>
              <w:rPr>
                <w:kern w:val="0"/>
                <w:sz w:val="18"/>
                <w:szCs w:val="18"/>
              </w:rPr>
            </w:pPr>
            <w:r>
              <w:rPr>
                <w:kern w:val="0"/>
                <w:sz w:val="18"/>
                <w:szCs w:val="18"/>
              </w:rPr>
              <w:t>超标率</w:t>
            </w:r>
            <w:r>
              <w:rPr>
                <w:kern w:val="0"/>
                <w:sz w:val="18"/>
                <w:szCs w:val="18"/>
              </w:rPr>
              <w:t>(%)</w:t>
            </w:r>
          </w:p>
        </w:tc>
        <w:tc>
          <w:tcPr>
            <w:tcW w:w="1327" w:type="dxa"/>
            <w:vAlign w:val="center"/>
          </w:tcPr>
          <w:p w:rsidR="00475650" w:rsidRDefault="00475650">
            <w:pPr>
              <w:widowControl/>
              <w:spacing w:line="240" w:lineRule="exact"/>
              <w:jc w:val="center"/>
              <w:rPr>
                <w:kern w:val="0"/>
                <w:sz w:val="18"/>
                <w:szCs w:val="18"/>
              </w:rPr>
            </w:pPr>
            <w:r>
              <w:rPr>
                <w:kern w:val="0"/>
                <w:sz w:val="18"/>
                <w:szCs w:val="18"/>
              </w:rPr>
              <w:t>0</w:t>
            </w:r>
          </w:p>
        </w:tc>
        <w:tc>
          <w:tcPr>
            <w:tcW w:w="1792" w:type="dxa"/>
            <w:vAlign w:val="center"/>
          </w:tcPr>
          <w:p w:rsidR="00475650" w:rsidRDefault="00475650">
            <w:pPr>
              <w:widowControl/>
              <w:spacing w:line="240" w:lineRule="exact"/>
              <w:jc w:val="center"/>
              <w:rPr>
                <w:kern w:val="0"/>
                <w:sz w:val="18"/>
                <w:szCs w:val="18"/>
              </w:rPr>
            </w:pPr>
            <w:r>
              <w:rPr>
                <w:kern w:val="0"/>
                <w:sz w:val="18"/>
                <w:szCs w:val="18"/>
              </w:rPr>
              <w:t>0</w:t>
            </w:r>
          </w:p>
        </w:tc>
        <w:tc>
          <w:tcPr>
            <w:tcW w:w="1315" w:type="dxa"/>
            <w:vAlign w:val="center"/>
          </w:tcPr>
          <w:p w:rsidR="00475650" w:rsidRDefault="00475650">
            <w:pPr>
              <w:widowControl/>
              <w:spacing w:line="240" w:lineRule="exact"/>
              <w:jc w:val="center"/>
              <w:rPr>
                <w:kern w:val="0"/>
                <w:sz w:val="18"/>
                <w:szCs w:val="18"/>
              </w:rPr>
            </w:pPr>
            <w:r>
              <w:rPr>
                <w:kern w:val="0"/>
                <w:sz w:val="18"/>
                <w:szCs w:val="18"/>
              </w:rPr>
              <w:t>/</w:t>
            </w:r>
          </w:p>
        </w:tc>
        <w:tc>
          <w:tcPr>
            <w:tcW w:w="1531" w:type="dxa"/>
            <w:vAlign w:val="center"/>
          </w:tcPr>
          <w:p w:rsidR="00475650" w:rsidRDefault="00475650">
            <w:pPr>
              <w:widowControl/>
              <w:spacing w:line="240" w:lineRule="exact"/>
              <w:jc w:val="center"/>
              <w:rPr>
                <w:kern w:val="0"/>
                <w:sz w:val="18"/>
                <w:szCs w:val="18"/>
              </w:rPr>
            </w:pPr>
            <w:r>
              <w:rPr>
                <w:kern w:val="0"/>
                <w:sz w:val="18"/>
                <w:szCs w:val="18"/>
              </w:rPr>
              <w:t>0</w:t>
            </w:r>
          </w:p>
        </w:tc>
        <w:tc>
          <w:tcPr>
            <w:tcW w:w="1293" w:type="dxa"/>
            <w:vAlign w:val="center"/>
          </w:tcPr>
          <w:p w:rsidR="00475650" w:rsidRDefault="00475650">
            <w:pPr>
              <w:widowControl/>
              <w:spacing w:line="240" w:lineRule="exact"/>
              <w:jc w:val="center"/>
              <w:rPr>
                <w:kern w:val="0"/>
                <w:sz w:val="18"/>
                <w:szCs w:val="18"/>
              </w:rPr>
            </w:pPr>
            <w:r>
              <w:rPr>
                <w:kern w:val="0"/>
                <w:sz w:val="18"/>
                <w:szCs w:val="18"/>
              </w:rPr>
              <w:t>0</w:t>
            </w:r>
          </w:p>
        </w:tc>
        <w:tc>
          <w:tcPr>
            <w:tcW w:w="1426" w:type="dxa"/>
            <w:vAlign w:val="bottom"/>
          </w:tcPr>
          <w:p w:rsidR="00475650" w:rsidRDefault="00475650">
            <w:pPr>
              <w:spacing w:line="240" w:lineRule="exact"/>
              <w:jc w:val="center"/>
              <w:rPr>
                <w:sz w:val="18"/>
                <w:szCs w:val="18"/>
              </w:rPr>
            </w:pPr>
            <w:r>
              <w:rPr>
                <w:sz w:val="18"/>
                <w:szCs w:val="18"/>
              </w:rPr>
              <w:t>0</w:t>
            </w:r>
          </w:p>
        </w:tc>
        <w:tc>
          <w:tcPr>
            <w:tcW w:w="1630" w:type="dxa"/>
            <w:vAlign w:val="center"/>
          </w:tcPr>
          <w:p w:rsidR="00475650" w:rsidRDefault="00475650">
            <w:pPr>
              <w:widowControl/>
              <w:spacing w:line="240" w:lineRule="exact"/>
              <w:jc w:val="center"/>
              <w:rPr>
                <w:kern w:val="0"/>
                <w:sz w:val="18"/>
                <w:szCs w:val="18"/>
              </w:rPr>
            </w:pPr>
            <w:r>
              <w:rPr>
                <w:kern w:val="0"/>
                <w:sz w:val="18"/>
                <w:szCs w:val="18"/>
              </w:rPr>
              <w:t>0</w:t>
            </w:r>
          </w:p>
        </w:tc>
      </w:tr>
      <w:tr w:rsidR="00475650">
        <w:trPr>
          <w:jc w:val="center"/>
        </w:trPr>
        <w:tc>
          <w:tcPr>
            <w:tcW w:w="2031" w:type="dxa"/>
            <w:vMerge/>
            <w:vAlign w:val="center"/>
          </w:tcPr>
          <w:p w:rsidR="00475650" w:rsidRDefault="00475650">
            <w:pPr>
              <w:widowControl/>
              <w:spacing w:line="240" w:lineRule="exact"/>
              <w:jc w:val="center"/>
              <w:rPr>
                <w:kern w:val="0"/>
                <w:sz w:val="18"/>
                <w:szCs w:val="18"/>
              </w:rPr>
            </w:pPr>
          </w:p>
        </w:tc>
        <w:tc>
          <w:tcPr>
            <w:tcW w:w="1830" w:type="dxa"/>
            <w:vAlign w:val="center"/>
          </w:tcPr>
          <w:p w:rsidR="00475650" w:rsidRDefault="00475650">
            <w:pPr>
              <w:widowControl/>
              <w:spacing w:line="240" w:lineRule="exact"/>
              <w:jc w:val="center"/>
              <w:rPr>
                <w:kern w:val="0"/>
                <w:sz w:val="18"/>
                <w:szCs w:val="18"/>
              </w:rPr>
            </w:pPr>
            <w:r>
              <w:rPr>
                <w:kern w:val="0"/>
                <w:sz w:val="18"/>
                <w:szCs w:val="18"/>
              </w:rPr>
              <w:t>占最大标率（</w:t>
            </w:r>
            <w:r>
              <w:rPr>
                <w:kern w:val="0"/>
                <w:sz w:val="18"/>
                <w:szCs w:val="18"/>
              </w:rPr>
              <w:t>%</w:t>
            </w:r>
            <w:r>
              <w:rPr>
                <w:kern w:val="0"/>
                <w:sz w:val="18"/>
                <w:szCs w:val="18"/>
              </w:rPr>
              <w:t>）</w:t>
            </w:r>
          </w:p>
        </w:tc>
        <w:tc>
          <w:tcPr>
            <w:tcW w:w="1327" w:type="dxa"/>
            <w:vAlign w:val="center"/>
          </w:tcPr>
          <w:p w:rsidR="00475650" w:rsidRDefault="00475650">
            <w:pPr>
              <w:widowControl/>
              <w:spacing w:line="240" w:lineRule="exact"/>
              <w:jc w:val="center"/>
              <w:rPr>
                <w:kern w:val="0"/>
                <w:sz w:val="18"/>
                <w:szCs w:val="18"/>
              </w:rPr>
            </w:pPr>
            <w:r>
              <w:rPr>
                <w:kern w:val="0"/>
                <w:sz w:val="18"/>
                <w:szCs w:val="18"/>
              </w:rPr>
              <w:t>1.6</w:t>
            </w:r>
          </w:p>
        </w:tc>
        <w:tc>
          <w:tcPr>
            <w:tcW w:w="1792" w:type="dxa"/>
            <w:vAlign w:val="center"/>
          </w:tcPr>
          <w:p w:rsidR="00475650" w:rsidRDefault="00475650">
            <w:pPr>
              <w:widowControl/>
              <w:spacing w:line="240" w:lineRule="exact"/>
              <w:jc w:val="center"/>
              <w:rPr>
                <w:kern w:val="0"/>
                <w:sz w:val="18"/>
                <w:szCs w:val="18"/>
              </w:rPr>
            </w:pPr>
            <w:r>
              <w:rPr>
                <w:kern w:val="0"/>
                <w:sz w:val="18"/>
                <w:szCs w:val="18"/>
              </w:rPr>
              <w:t>31.5</w:t>
            </w:r>
          </w:p>
        </w:tc>
        <w:tc>
          <w:tcPr>
            <w:tcW w:w="1315" w:type="dxa"/>
            <w:vAlign w:val="center"/>
          </w:tcPr>
          <w:p w:rsidR="00475650" w:rsidRDefault="00475650">
            <w:pPr>
              <w:widowControl/>
              <w:spacing w:line="240" w:lineRule="exact"/>
              <w:jc w:val="center"/>
              <w:rPr>
                <w:kern w:val="0"/>
                <w:sz w:val="18"/>
                <w:szCs w:val="18"/>
              </w:rPr>
            </w:pPr>
            <w:r>
              <w:rPr>
                <w:kern w:val="0"/>
                <w:sz w:val="18"/>
                <w:szCs w:val="18"/>
              </w:rPr>
              <w:t>/</w:t>
            </w:r>
          </w:p>
        </w:tc>
        <w:tc>
          <w:tcPr>
            <w:tcW w:w="1531" w:type="dxa"/>
            <w:vAlign w:val="center"/>
          </w:tcPr>
          <w:p w:rsidR="00475650" w:rsidRDefault="00475650">
            <w:pPr>
              <w:widowControl/>
              <w:spacing w:line="240" w:lineRule="exact"/>
              <w:jc w:val="center"/>
              <w:rPr>
                <w:kern w:val="0"/>
                <w:sz w:val="18"/>
                <w:szCs w:val="18"/>
              </w:rPr>
            </w:pPr>
            <w:r>
              <w:rPr>
                <w:kern w:val="0"/>
                <w:sz w:val="18"/>
                <w:szCs w:val="18"/>
              </w:rPr>
              <w:t>80</w:t>
            </w:r>
          </w:p>
        </w:tc>
        <w:tc>
          <w:tcPr>
            <w:tcW w:w="1293" w:type="dxa"/>
            <w:vAlign w:val="center"/>
          </w:tcPr>
          <w:p w:rsidR="00475650" w:rsidRDefault="00475650">
            <w:pPr>
              <w:widowControl/>
              <w:spacing w:line="240" w:lineRule="exact"/>
              <w:jc w:val="center"/>
              <w:rPr>
                <w:kern w:val="0"/>
                <w:sz w:val="18"/>
                <w:szCs w:val="18"/>
              </w:rPr>
            </w:pPr>
            <w:r>
              <w:rPr>
                <w:kern w:val="0"/>
                <w:sz w:val="18"/>
                <w:szCs w:val="18"/>
              </w:rPr>
              <w:t>30</w:t>
            </w:r>
          </w:p>
        </w:tc>
        <w:tc>
          <w:tcPr>
            <w:tcW w:w="1426" w:type="dxa"/>
            <w:vAlign w:val="bottom"/>
          </w:tcPr>
          <w:p w:rsidR="00475650" w:rsidRDefault="00475650">
            <w:pPr>
              <w:spacing w:line="240" w:lineRule="exact"/>
              <w:jc w:val="center"/>
              <w:rPr>
                <w:sz w:val="18"/>
                <w:szCs w:val="18"/>
              </w:rPr>
            </w:pPr>
            <w:r>
              <w:rPr>
                <w:sz w:val="18"/>
                <w:szCs w:val="18"/>
              </w:rPr>
              <w:t>30</w:t>
            </w:r>
          </w:p>
        </w:tc>
        <w:tc>
          <w:tcPr>
            <w:tcW w:w="1630" w:type="dxa"/>
            <w:vAlign w:val="center"/>
          </w:tcPr>
          <w:p w:rsidR="00475650" w:rsidRDefault="00475650">
            <w:pPr>
              <w:widowControl/>
              <w:spacing w:line="240" w:lineRule="exact"/>
              <w:jc w:val="center"/>
              <w:rPr>
                <w:kern w:val="0"/>
                <w:sz w:val="18"/>
                <w:szCs w:val="18"/>
              </w:rPr>
            </w:pPr>
            <w:r>
              <w:rPr>
                <w:kern w:val="0"/>
                <w:sz w:val="18"/>
                <w:szCs w:val="18"/>
              </w:rPr>
              <w:t>17.3</w:t>
            </w:r>
          </w:p>
        </w:tc>
      </w:tr>
      <w:tr w:rsidR="00475650">
        <w:trPr>
          <w:jc w:val="center"/>
        </w:trPr>
        <w:tc>
          <w:tcPr>
            <w:tcW w:w="2031" w:type="dxa"/>
            <w:vAlign w:val="center"/>
          </w:tcPr>
          <w:p w:rsidR="00475650" w:rsidRDefault="00475650">
            <w:pPr>
              <w:widowControl/>
              <w:spacing w:line="240" w:lineRule="exact"/>
              <w:jc w:val="center"/>
              <w:rPr>
                <w:kern w:val="0"/>
                <w:sz w:val="18"/>
                <w:szCs w:val="18"/>
              </w:rPr>
            </w:pPr>
          </w:p>
        </w:tc>
        <w:tc>
          <w:tcPr>
            <w:tcW w:w="1830" w:type="dxa"/>
            <w:vAlign w:val="center"/>
          </w:tcPr>
          <w:p w:rsidR="00475650" w:rsidRDefault="00475650">
            <w:pPr>
              <w:widowControl/>
              <w:spacing w:line="240" w:lineRule="exact"/>
              <w:jc w:val="center"/>
              <w:rPr>
                <w:kern w:val="0"/>
                <w:sz w:val="18"/>
                <w:szCs w:val="18"/>
              </w:rPr>
            </w:pPr>
            <w:r>
              <w:rPr>
                <w:kern w:val="0"/>
                <w:sz w:val="18"/>
                <w:szCs w:val="18"/>
              </w:rPr>
              <w:t>标准</w:t>
            </w:r>
          </w:p>
        </w:tc>
        <w:tc>
          <w:tcPr>
            <w:tcW w:w="1327" w:type="dxa"/>
            <w:vAlign w:val="center"/>
          </w:tcPr>
          <w:p w:rsidR="00475650" w:rsidRDefault="00475650">
            <w:pPr>
              <w:widowControl/>
              <w:spacing w:line="240" w:lineRule="exact"/>
              <w:jc w:val="center"/>
              <w:rPr>
                <w:kern w:val="0"/>
                <w:sz w:val="18"/>
                <w:szCs w:val="18"/>
              </w:rPr>
            </w:pPr>
            <w:r>
              <w:rPr>
                <w:kern w:val="0"/>
                <w:sz w:val="18"/>
                <w:szCs w:val="18"/>
              </w:rPr>
              <w:t>500</w:t>
            </w:r>
          </w:p>
        </w:tc>
        <w:tc>
          <w:tcPr>
            <w:tcW w:w="1792" w:type="dxa"/>
            <w:vAlign w:val="center"/>
          </w:tcPr>
          <w:p w:rsidR="00475650" w:rsidRDefault="00475650">
            <w:pPr>
              <w:widowControl/>
              <w:spacing w:line="240" w:lineRule="exact"/>
              <w:jc w:val="center"/>
              <w:rPr>
                <w:kern w:val="0"/>
                <w:sz w:val="18"/>
                <w:szCs w:val="18"/>
              </w:rPr>
            </w:pPr>
            <w:r>
              <w:rPr>
                <w:kern w:val="0"/>
                <w:sz w:val="18"/>
                <w:szCs w:val="18"/>
              </w:rPr>
              <w:t>200</w:t>
            </w:r>
          </w:p>
        </w:tc>
        <w:tc>
          <w:tcPr>
            <w:tcW w:w="1315" w:type="dxa"/>
            <w:vAlign w:val="center"/>
          </w:tcPr>
          <w:p w:rsidR="00475650" w:rsidRDefault="00475650">
            <w:pPr>
              <w:widowControl/>
              <w:spacing w:line="240" w:lineRule="exact"/>
              <w:jc w:val="center"/>
              <w:rPr>
                <w:kern w:val="0"/>
                <w:sz w:val="18"/>
                <w:szCs w:val="18"/>
              </w:rPr>
            </w:pPr>
            <w:r>
              <w:rPr>
                <w:kern w:val="0"/>
                <w:sz w:val="18"/>
                <w:szCs w:val="18"/>
              </w:rPr>
              <w:t>/</w:t>
            </w:r>
          </w:p>
        </w:tc>
        <w:tc>
          <w:tcPr>
            <w:tcW w:w="1531" w:type="dxa"/>
            <w:vAlign w:val="center"/>
          </w:tcPr>
          <w:p w:rsidR="00475650" w:rsidRDefault="00475650">
            <w:pPr>
              <w:widowControl/>
              <w:spacing w:line="240" w:lineRule="exact"/>
              <w:jc w:val="center"/>
              <w:rPr>
                <w:kern w:val="0"/>
                <w:sz w:val="18"/>
                <w:szCs w:val="18"/>
              </w:rPr>
            </w:pPr>
            <w:r>
              <w:rPr>
                <w:kern w:val="0"/>
                <w:sz w:val="18"/>
                <w:szCs w:val="18"/>
              </w:rPr>
              <w:t>0.01</w:t>
            </w:r>
          </w:p>
        </w:tc>
        <w:tc>
          <w:tcPr>
            <w:tcW w:w="1293" w:type="dxa"/>
            <w:vAlign w:val="center"/>
          </w:tcPr>
          <w:p w:rsidR="00475650" w:rsidRDefault="00475650">
            <w:pPr>
              <w:widowControl/>
              <w:spacing w:line="240" w:lineRule="exact"/>
              <w:jc w:val="center"/>
              <w:rPr>
                <w:kern w:val="0"/>
                <w:sz w:val="18"/>
                <w:szCs w:val="18"/>
              </w:rPr>
            </w:pPr>
            <w:r>
              <w:rPr>
                <w:kern w:val="0"/>
                <w:sz w:val="18"/>
                <w:szCs w:val="18"/>
              </w:rPr>
              <w:t>0.2</w:t>
            </w:r>
          </w:p>
        </w:tc>
        <w:tc>
          <w:tcPr>
            <w:tcW w:w="1426" w:type="dxa"/>
            <w:vAlign w:val="center"/>
          </w:tcPr>
          <w:p w:rsidR="00475650" w:rsidRDefault="00475650">
            <w:pPr>
              <w:widowControl/>
              <w:spacing w:line="240" w:lineRule="exact"/>
              <w:jc w:val="center"/>
              <w:rPr>
                <w:kern w:val="0"/>
                <w:sz w:val="18"/>
                <w:szCs w:val="18"/>
              </w:rPr>
            </w:pPr>
            <w:r>
              <w:rPr>
                <w:kern w:val="0"/>
                <w:sz w:val="18"/>
                <w:szCs w:val="18"/>
              </w:rPr>
              <w:t>0.05</w:t>
            </w:r>
          </w:p>
        </w:tc>
        <w:tc>
          <w:tcPr>
            <w:tcW w:w="1630" w:type="dxa"/>
            <w:vAlign w:val="center"/>
          </w:tcPr>
          <w:p w:rsidR="00475650" w:rsidRDefault="00475650">
            <w:pPr>
              <w:widowControl/>
              <w:spacing w:line="240" w:lineRule="exact"/>
              <w:jc w:val="center"/>
              <w:rPr>
                <w:kern w:val="0"/>
                <w:sz w:val="18"/>
                <w:szCs w:val="18"/>
              </w:rPr>
            </w:pPr>
            <w:r>
              <w:rPr>
                <w:kern w:val="0"/>
                <w:sz w:val="18"/>
                <w:szCs w:val="18"/>
              </w:rPr>
              <w:t>20</w:t>
            </w:r>
          </w:p>
        </w:tc>
      </w:tr>
    </w:tbl>
    <w:p w:rsidR="00475650" w:rsidRDefault="00475650">
      <w:pPr>
        <w:pStyle w:val="affffffc"/>
        <w:ind w:firstLineChars="2200" w:firstLine="5280"/>
        <w:jc w:val="both"/>
        <w:rPr>
          <w:rFonts w:ascii="Times New Roman" w:hAnsi="Times New Roman"/>
        </w:rPr>
      </w:pPr>
    </w:p>
    <w:p w:rsidR="00475650" w:rsidRDefault="00475650">
      <w:pPr>
        <w:pStyle w:val="affffffc"/>
        <w:ind w:firstLineChars="2200" w:firstLine="5280"/>
        <w:jc w:val="both"/>
        <w:rPr>
          <w:rFonts w:ascii="Times New Roman" w:hAnsi="Times New Roman"/>
        </w:rPr>
      </w:pPr>
    </w:p>
    <w:p w:rsidR="00475650" w:rsidRDefault="00475650">
      <w:pPr>
        <w:pStyle w:val="14"/>
        <w:ind w:firstLine="482"/>
        <w:rPr>
          <w:rFonts w:eastAsia="黑体"/>
          <w:sz w:val="24"/>
          <w:szCs w:val="24"/>
        </w:rPr>
        <w:sectPr w:rsidR="00475650">
          <w:pgSz w:w="16838" w:h="11906" w:orient="landscape"/>
          <w:pgMar w:top="1531" w:right="1440" w:bottom="1531" w:left="1712" w:header="1247" w:footer="1134" w:gutter="0"/>
          <w:cols w:space="720"/>
          <w:docGrid w:linePitch="285"/>
        </w:sectPr>
      </w:pPr>
    </w:p>
    <w:p w:rsidR="00475650" w:rsidRDefault="00475650">
      <w:pPr>
        <w:pStyle w:val="h"/>
        <w:snapToGrid w:val="0"/>
        <w:spacing w:before="0" w:after="0" w:line="348" w:lineRule="auto"/>
        <w:ind w:firstLine="0"/>
        <w:jc w:val="left"/>
        <w:outlineLvl w:val="0"/>
        <w:rPr>
          <w:rStyle w:val="2Char1Char"/>
          <w:rFonts w:ascii="Times New Roman" w:eastAsia="宋体" w:hAnsi="Times New Roman" w:cs="Times New Roman"/>
          <w:b w:val="0"/>
          <w:sz w:val="24"/>
          <w:szCs w:val="24"/>
        </w:rPr>
      </w:pPr>
      <w:bookmarkStart w:id="691" w:name="_Toc29771"/>
      <w:bookmarkStart w:id="692" w:name="_Toc465677019"/>
      <w:r>
        <w:rPr>
          <w:rStyle w:val="2Char1Char"/>
          <w:rFonts w:ascii="Times New Roman" w:eastAsia="宋体" w:hAnsi="Times New Roman" w:cs="Times New Roman"/>
          <w:b w:val="0"/>
          <w:sz w:val="24"/>
          <w:szCs w:val="24"/>
        </w:rPr>
        <w:lastRenderedPageBreak/>
        <w:t>4.3.2</w:t>
      </w:r>
      <w:r>
        <w:rPr>
          <w:rStyle w:val="2Char1Char"/>
          <w:rFonts w:ascii="Times New Roman" w:eastAsia="宋体" w:hAnsi="宋体" w:cs="Times New Roman"/>
          <w:b w:val="0"/>
          <w:sz w:val="24"/>
          <w:szCs w:val="24"/>
        </w:rPr>
        <w:t>地表水质量调查与评价</w:t>
      </w:r>
      <w:bookmarkEnd w:id="683"/>
      <w:bookmarkEnd w:id="684"/>
      <w:bookmarkEnd w:id="685"/>
      <w:bookmarkEnd w:id="686"/>
      <w:bookmarkEnd w:id="691"/>
      <w:bookmarkEnd w:id="692"/>
    </w:p>
    <w:p w:rsidR="00475650" w:rsidRDefault="00475650">
      <w:pPr>
        <w:snapToGrid w:val="0"/>
        <w:spacing w:line="360" w:lineRule="auto"/>
        <w:ind w:firstLineChars="200" w:firstLine="480"/>
        <w:rPr>
          <w:sz w:val="24"/>
        </w:rPr>
      </w:pPr>
      <w:r>
        <w:rPr>
          <w:rFonts w:hint="eastAsia"/>
          <w:sz w:val="24"/>
        </w:rPr>
        <w:t>本</w:t>
      </w:r>
      <w:r>
        <w:rPr>
          <w:sz w:val="24"/>
        </w:rPr>
        <w:t>项目废水处理依托临湘工业园污水处理厂处理后外排长江，本次环评收集</w:t>
      </w:r>
      <w:r>
        <w:rPr>
          <w:sz w:val="24"/>
        </w:rPr>
        <w:t>2015</w:t>
      </w:r>
      <w:r>
        <w:rPr>
          <w:sz w:val="24"/>
        </w:rPr>
        <w:t>年长江常规监测断面陆城、城陵矶监测数据</w:t>
      </w:r>
      <w:r>
        <w:rPr>
          <w:rFonts w:hint="eastAsia"/>
          <w:sz w:val="24"/>
        </w:rPr>
        <w:t>、</w:t>
      </w:r>
      <w:r>
        <w:rPr>
          <w:sz w:val="24"/>
        </w:rPr>
        <w:t>《</w:t>
      </w:r>
      <w:r>
        <w:rPr>
          <w:rFonts w:hint="eastAsia"/>
          <w:sz w:val="24"/>
        </w:rPr>
        <w:t>临湘工业园滨江产业区</w:t>
      </w:r>
      <w:r>
        <w:rPr>
          <w:sz w:val="24"/>
        </w:rPr>
        <w:t>规划环境影响报告书》中于</w:t>
      </w:r>
      <w:r>
        <w:rPr>
          <w:sz w:val="24"/>
        </w:rPr>
        <w:t>2015</w:t>
      </w:r>
      <w:r>
        <w:rPr>
          <w:sz w:val="24"/>
        </w:rPr>
        <w:t>年</w:t>
      </w:r>
      <w:r>
        <w:rPr>
          <w:sz w:val="24"/>
        </w:rPr>
        <w:t>11</w:t>
      </w:r>
      <w:r>
        <w:rPr>
          <w:sz w:val="24"/>
        </w:rPr>
        <w:t>月对临湘工业园污水处理厂（即北控水质净化有限公司）排口上下游断面历史监测数据。</w:t>
      </w:r>
    </w:p>
    <w:p w:rsidR="00475650" w:rsidRDefault="00475650">
      <w:pPr>
        <w:snapToGrid w:val="0"/>
        <w:spacing w:line="360" w:lineRule="auto"/>
        <w:ind w:firstLineChars="200" w:firstLine="480"/>
        <w:rPr>
          <w:sz w:val="24"/>
        </w:rPr>
      </w:pPr>
      <w:r>
        <w:rPr>
          <w:sz w:val="24"/>
        </w:rPr>
        <w:t>(1)</w:t>
      </w:r>
      <w:r>
        <w:rPr>
          <w:sz w:val="24"/>
        </w:rPr>
        <w:t>监测断面及监测因子：监测断面布置详细见表</w:t>
      </w:r>
      <w:r>
        <w:rPr>
          <w:rFonts w:hint="eastAsia"/>
          <w:sz w:val="24"/>
        </w:rPr>
        <w:t>4.3</w:t>
      </w:r>
      <w:r>
        <w:rPr>
          <w:sz w:val="24"/>
        </w:rPr>
        <w:t>-</w:t>
      </w:r>
      <w:r>
        <w:rPr>
          <w:rFonts w:hint="eastAsia"/>
          <w:sz w:val="24"/>
        </w:rPr>
        <w:t>9</w:t>
      </w:r>
      <w:r>
        <w:rPr>
          <w:sz w:val="24"/>
        </w:rPr>
        <w:t>。</w:t>
      </w:r>
    </w:p>
    <w:p w:rsidR="00475650" w:rsidRDefault="00475650">
      <w:pPr>
        <w:pStyle w:val="affffffc"/>
        <w:rPr>
          <w:rFonts w:ascii="Times New Roman" w:hAnsi="Times New Roman"/>
        </w:rPr>
      </w:pPr>
      <w:r>
        <w:rPr>
          <w:rFonts w:ascii="Times New Roman" w:hAnsi="Times New Roman"/>
        </w:rPr>
        <w:t>表</w:t>
      </w:r>
      <w:r>
        <w:rPr>
          <w:rFonts w:ascii="Times New Roman" w:hAnsi="Times New Roman" w:hint="eastAsia"/>
        </w:rPr>
        <w:t>4.3-9</w:t>
      </w:r>
      <w:r>
        <w:rPr>
          <w:rFonts w:ascii="Times New Roman" w:hAnsi="Times New Roman"/>
        </w:rPr>
        <w:t xml:space="preserve"> </w:t>
      </w:r>
      <w:r>
        <w:rPr>
          <w:rFonts w:ascii="Times New Roman" w:hAnsi="Times New Roman"/>
        </w:rPr>
        <w:t>地表水历史监测断面</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593"/>
        <w:gridCol w:w="771"/>
        <w:gridCol w:w="3184"/>
        <w:gridCol w:w="3957"/>
      </w:tblGrid>
      <w:tr w:rsidR="00475650">
        <w:trPr>
          <w:trHeight w:val="284"/>
          <w:jc w:val="center"/>
        </w:trPr>
        <w:tc>
          <w:tcPr>
            <w:tcW w:w="593" w:type="dxa"/>
            <w:vAlign w:val="center"/>
          </w:tcPr>
          <w:p w:rsidR="00475650" w:rsidRDefault="00475650">
            <w:pPr>
              <w:pStyle w:val="14"/>
              <w:tabs>
                <w:tab w:val="center" w:pos="4153"/>
                <w:tab w:val="right" w:pos="8306"/>
              </w:tabs>
              <w:spacing w:line="216" w:lineRule="auto"/>
              <w:ind w:firstLine="0"/>
              <w:jc w:val="center"/>
              <w:rPr>
                <w:rFonts w:eastAsia="宋体"/>
                <w:sz w:val="21"/>
                <w:szCs w:val="21"/>
              </w:rPr>
            </w:pPr>
            <w:r>
              <w:rPr>
                <w:rFonts w:eastAsia="宋体"/>
                <w:sz w:val="21"/>
                <w:szCs w:val="21"/>
              </w:rPr>
              <w:t>水体</w:t>
            </w:r>
          </w:p>
        </w:tc>
        <w:tc>
          <w:tcPr>
            <w:tcW w:w="771" w:type="dxa"/>
            <w:vAlign w:val="center"/>
          </w:tcPr>
          <w:p w:rsidR="00475650" w:rsidRDefault="00475650">
            <w:pPr>
              <w:pStyle w:val="14"/>
              <w:tabs>
                <w:tab w:val="center" w:pos="4153"/>
                <w:tab w:val="right" w:pos="8306"/>
              </w:tabs>
              <w:spacing w:line="216" w:lineRule="auto"/>
              <w:ind w:firstLine="0"/>
              <w:jc w:val="center"/>
              <w:rPr>
                <w:rFonts w:eastAsia="宋体"/>
                <w:sz w:val="21"/>
                <w:szCs w:val="21"/>
              </w:rPr>
            </w:pPr>
            <w:r>
              <w:rPr>
                <w:rFonts w:eastAsia="宋体"/>
                <w:sz w:val="21"/>
                <w:szCs w:val="21"/>
              </w:rPr>
              <w:t>编号</w:t>
            </w:r>
          </w:p>
        </w:tc>
        <w:tc>
          <w:tcPr>
            <w:tcW w:w="3184" w:type="dxa"/>
            <w:vAlign w:val="center"/>
          </w:tcPr>
          <w:p w:rsidR="00475650" w:rsidRDefault="00475650">
            <w:pPr>
              <w:pStyle w:val="14"/>
              <w:tabs>
                <w:tab w:val="center" w:pos="4153"/>
                <w:tab w:val="right" w:pos="8306"/>
              </w:tabs>
              <w:spacing w:line="216" w:lineRule="auto"/>
              <w:jc w:val="center"/>
              <w:rPr>
                <w:rFonts w:eastAsia="宋体"/>
                <w:sz w:val="21"/>
                <w:szCs w:val="21"/>
              </w:rPr>
            </w:pPr>
            <w:r>
              <w:rPr>
                <w:rFonts w:eastAsia="宋体"/>
                <w:sz w:val="21"/>
                <w:szCs w:val="21"/>
              </w:rPr>
              <w:t>监测断面</w:t>
            </w:r>
          </w:p>
        </w:tc>
        <w:tc>
          <w:tcPr>
            <w:tcW w:w="3957" w:type="dxa"/>
            <w:vAlign w:val="center"/>
          </w:tcPr>
          <w:p w:rsidR="00475650" w:rsidRDefault="00475650">
            <w:pPr>
              <w:pStyle w:val="14"/>
              <w:tabs>
                <w:tab w:val="center" w:pos="4153"/>
                <w:tab w:val="right" w:pos="8306"/>
              </w:tabs>
              <w:spacing w:line="216" w:lineRule="auto"/>
              <w:ind w:firstLine="0"/>
              <w:jc w:val="center"/>
              <w:rPr>
                <w:rFonts w:eastAsia="宋体"/>
                <w:sz w:val="21"/>
                <w:szCs w:val="21"/>
              </w:rPr>
            </w:pPr>
            <w:r>
              <w:rPr>
                <w:rFonts w:eastAsia="宋体"/>
                <w:sz w:val="21"/>
                <w:szCs w:val="21"/>
              </w:rPr>
              <w:t>监测因子</w:t>
            </w:r>
          </w:p>
        </w:tc>
      </w:tr>
      <w:tr w:rsidR="00475650">
        <w:trPr>
          <w:trHeight w:val="284"/>
          <w:jc w:val="center"/>
        </w:trPr>
        <w:tc>
          <w:tcPr>
            <w:tcW w:w="593" w:type="dxa"/>
            <w:vMerge w:val="restart"/>
            <w:vAlign w:val="center"/>
          </w:tcPr>
          <w:p w:rsidR="00475650" w:rsidRDefault="00475650">
            <w:pPr>
              <w:pStyle w:val="14"/>
              <w:tabs>
                <w:tab w:val="center" w:pos="4153"/>
                <w:tab w:val="right" w:pos="8306"/>
              </w:tabs>
              <w:spacing w:line="216" w:lineRule="auto"/>
              <w:ind w:firstLine="0"/>
              <w:jc w:val="center"/>
              <w:rPr>
                <w:rFonts w:eastAsia="宋体"/>
                <w:sz w:val="21"/>
                <w:szCs w:val="21"/>
              </w:rPr>
            </w:pPr>
            <w:r>
              <w:rPr>
                <w:rFonts w:eastAsia="宋体"/>
                <w:sz w:val="21"/>
                <w:szCs w:val="21"/>
              </w:rPr>
              <w:t>长江</w:t>
            </w:r>
          </w:p>
        </w:tc>
        <w:tc>
          <w:tcPr>
            <w:tcW w:w="771" w:type="dxa"/>
            <w:vAlign w:val="center"/>
          </w:tcPr>
          <w:p w:rsidR="00475650" w:rsidRDefault="00475650">
            <w:pPr>
              <w:pStyle w:val="14"/>
              <w:tabs>
                <w:tab w:val="center" w:pos="4153"/>
                <w:tab w:val="right" w:pos="8306"/>
              </w:tabs>
              <w:adjustRightInd w:val="0"/>
              <w:spacing w:line="216" w:lineRule="auto"/>
              <w:ind w:firstLineChars="100" w:firstLine="210"/>
              <w:rPr>
                <w:rFonts w:eastAsia="宋体"/>
                <w:sz w:val="21"/>
                <w:szCs w:val="21"/>
              </w:rPr>
            </w:pPr>
            <w:r>
              <w:rPr>
                <w:rFonts w:eastAsia="宋体"/>
                <w:sz w:val="21"/>
                <w:szCs w:val="21"/>
              </w:rPr>
              <w:t>S</w:t>
            </w:r>
            <w:r>
              <w:rPr>
                <w:rFonts w:eastAsia="宋体"/>
                <w:sz w:val="21"/>
                <w:szCs w:val="21"/>
                <w:vertAlign w:val="subscript"/>
              </w:rPr>
              <w:t>1</w:t>
            </w:r>
          </w:p>
        </w:tc>
        <w:tc>
          <w:tcPr>
            <w:tcW w:w="3184" w:type="dxa"/>
            <w:vAlign w:val="center"/>
          </w:tcPr>
          <w:p w:rsidR="00475650" w:rsidRDefault="00475650">
            <w:pPr>
              <w:pStyle w:val="14"/>
              <w:tabs>
                <w:tab w:val="center" w:pos="4153"/>
                <w:tab w:val="right" w:pos="8306"/>
              </w:tabs>
              <w:spacing w:line="216" w:lineRule="auto"/>
              <w:ind w:firstLineChars="100" w:firstLine="210"/>
              <w:rPr>
                <w:rFonts w:eastAsia="宋体"/>
                <w:sz w:val="21"/>
                <w:szCs w:val="21"/>
              </w:rPr>
            </w:pPr>
            <w:r>
              <w:rPr>
                <w:rFonts w:eastAsia="宋体"/>
                <w:sz w:val="21"/>
                <w:szCs w:val="21"/>
              </w:rPr>
              <w:t>陆城常规监测断面</w:t>
            </w:r>
          </w:p>
        </w:tc>
        <w:tc>
          <w:tcPr>
            <w:tcW w:w="3957" w:type="dxa"/>
            <w:vMerge w:val="restart"/>
            <w:vAlign w:val="center"/>
          </w:tcPr>
          <w:p w:rsidR="00475650" w:rsidRDefault="00475650">
            <w:pPr>
              <w:pStyle w:val="14"/>
              <w:tabs>
                <w:tab w:val="center" w:pos="4153"/>
                <w:tab w:val="right" w:pos="8306"/>
              </w:tabs>
              <w:spacing w:line="216" w:lineRule="auto"/>
              <w:ind w:firstLine="0"/>
              <w:rPr>
                <w:sz w:val="21"/>
                <w:szCs w:val="21"/>
              </w:rPr>
            </w:pPr>
            <w:r>
              <w:rPr>
                <w:rFonts w:eastAsia="宋体" w:hint="eastAsia"/>
                <w:sz w:val="21"/>
                <w:szCs w:val="21"/>
              </w:rPr>
              <w:t>水温、</w:t>
            </w:r>
            <w:r>
              <w:rPr>
                <w:rFonts w:eastAsia="宋体"/>
                <w:sz w:val="21"/>
                <w:szCs w:val="21"/>
              </w:rPr>
              <w:t>pH</w:t>
            </w:r>
            <w:r>
              <w:rPr>
                <w:rFonts w:eastAsia="宋体"/>
                <w:sz w:val="21"/>
                <w:szCs w:val="21"/>
              </w:rPr>
              <w:t>、</w:t>
            </w:r>
            <w:r>
              <w:rPr>
                <w:rFonts w:eastAsia="宋体"/>
                <w:sz w:val="21"/>
                <w:szCs w:val="21"/>
              </w:rPr>
              <w:t>COD</w:t>
            </w:r>
            <w:r>
              <w:rPr>
                <w:rFonts w:eastAsia="宋体"/>
                <w:sz w:val="21"/>
                <w:szCs w:val="21"/>
              </w:rPr>
              <w:t>、</w:t>
            </w:r>
            <w:r>
              <w:rPr>
                <w:rFonts w:eastAsia="宋体"/>
                <w:sz w:val="21"/>
                <w:szCs w:val="21"/>
              </w:rPr>
              <w:t>BOD</w:t>
            </w:r>
            <w:r>
              <w:rPr>
                <w:rFonts w:eastAsia="宋体"/>
                <w:sz w:val="21"/>
                <w:szCs w:val="21"/>
                <w:vertAlign w:val="subscript"/>
              </w:rPr>
              <w:t>5</w:t>
            </w:r>
            <w:r>
              <w:rPr>
                <w:rFonts w:eastAsia="宋体"/>
                <w:sz w:val="21"/>
                <w:szCs w:val="21"/>
              </w:rPr>
              <w:t>、</w:t>
            </w:r>
            <w:r>
              <w:rPr>
                <w:rFonts w:eastAsia="宋体"/>
                <w:sz w:val="21"/>
                <w:szCs w:val="21"/>
              </w:rPr>
              <w:t>DO</w:t>
            </w:r>
            <w:r>
              <w:rPr>
                <w:rFonts w:eastAsia="宋体"/>
                <w:sz w:val="21"/>
                <w:szCs w:val="21"/>
              </w:rPr>
              <w:t>、氨氮、</w:t>
            </w:r>
            <w:r>
              <w:rPr>
                <w:rFonts w:eastAsia="宋体" w:hint="eastAsia"/>
                <w:sz w:val="21"/>
                <w:szCs w:val="21"/>
              </w:rPr>
              <w:t>挥发酚、高锰酸盐指数</w:t>
            </w:r>
            <w:r>
              <w:rPr>
                <w:rFonts w:eastAsia="宋体"/>
                <w:sz w:val="21"/>
                <w:szCs w:val="21"/>
              </w:rPr>
              <w:t>。</w:t>
            </w:r>
          </w:p>
        </w:tc>
      </w:tr>
      <w:tr w:rsidR="00475650">
        <w:trPr>
          <w:trHeight w:val="284"/>
          <w:jc w:val="center"/>
        </w:trPr>
        <w:tc>
          <w:tcPr>
            <w:tcW w:w="593" w:type="dxa"/>
            <w:vMerge/>
            <w:vAlign w:val="center"/>
          </w:tcPr>
          <w:p w:rsidR="00475650" w:rsidRDefault="00475650">
            <w:pPr>
              <w:pStyle w:val="14"/>
              <w:tabs>
                <w:tab w:val="center" w:pos="4153"/>
                <w:tab w:val="right" w:pos="8306"/>
              </w:tabs>
              <w:spacing w:line="216" w:lineRule="auto"/>
              <w:ind w:firstLine="0"/>
              <w:jc w:val="center"/>
              <w:rPr>
                <w:rFonts w:eastAsia="宋体"/>
                <w:sz w:val="21"/>
                <w:szCs w:val="21"/>
              </w:rPr>
            </w:pPr>
          </w:p>
        </w:tc>
        <w:tc>
          <w:tcPr>
            <w:tcW w:w="771" w:type="dxa"/>
            <w:vAlign w:val="center"/>
          </w:tcPr>
          <w:p w:rsidR="00475650" w:rsidRDefault="00475650">
            <w:pPr>
              <w:pStyle w:val="14"/>
              <w:tabs>
                <w:tab w:val="center" w:pos="4153"/>
                <w:tab w:val="right" w:pos="8306"/>
              </w:tabs>
              <w:adjustRightInd w:val="0"/>
              <w:spacing w:line="216" w:lineRule="auto"/>
              <w:ind w:firstLineChars="100" w:firstLine="210"/>
              <w:rPr>
                <w:rFonts w:eastAsia="宋体"/>
                <w:sz w:val="21"/>
                <w:szCs w:val="21"/>
              </w:rPr>
            </w:pPr>
            <w:r>
              <w:rPr>
                <w:rFonts w:eastAsia="宋体"/>
                <w:sz w:val="21"/>
                <w:szCs w:val="21"/>
              </w:rPr>
              <w:t>S</w:t>
            </w:r>
            <w:r>
              <w:rPr>
                <w:rFonts w:eastAsia="宋体"/>
                <w:sz w:val="21"/>
                <w:szCs w:val="21"/>
                <w:vertAlign w:val="subscript"/>
              </w:rPr>
              <w:t>2</w:t>
            </w:r>
          </w:p>
        </w:tc>
        <w:tc>
          <w:tcPr>
            <w:tcW w:w="3184" w:type="dxa"/>
            <w:vAlign w:val="center"/>
          </w:tcPr>
          <w:p w:rsidR="00475650" w:rsidRDefault="00475650">
            <w:pPr>
              <w:pStyle w:val="14"/>
              <w:tabs>
                <w:tab w:val="center" w:pos="4153"/>
                <w:tab w:val="right" w:pos="8306"/>
              </w:tabs>
              <w:spacing w:line="216" w:lineRule="auto"/>
              <w:ind w:firstLineChars="100" w:firstLine="210"/>
              <w:rPr>
                <w:rFonts w:eastAsia="宋体"/>
                <w:sz w:val="21"/>
                <w:szCs w:val="21"/>
              </w:rPr>
            </w:pPr>
            <w:r>
              <w:rPr>
                <w:rFonts w:eastAsia="宋体"/>
                <w:sz w:val="21"/>
                <w:szCs w:val="21"/>
              </w:rPr>
              <w:t>城陵矶常规监测断面</w:t>
            </w:r>
          </w:p>
        </w:tc>
        <w:tc>
          <w:tcPr>
            <w:tcW w:w="3957" w:type="dxa"/>
            <w:vMerge/>
            <w:vAlign w:val="center"/>
          </w:tcPr>
          <w:p w:rsidR="00475650" w:rsidRDefault="00475650">
            <w:pPr>
              <w:pStyle w:val="14"/>
              <w:tabs>
                <w:tab w:val="center" w:pos="4153"/>
                <w:tab w:val="right" w:pos="8306"/>
              </w:tabs>
              <w:spacing w:line="216" w:lineRule="auto"/>
              <w:ind w:firstLine="0"/>
              <w:rPr>
                <w:rFonts w:eastAsia="宋体"/>
                <w:sz w:val="21"/>
                <w:szCs w:val="21"/>
              </w:rPr>
            </w:pPr>
          </w:p>
        </w:tc>
      </w:tr>
      <w:tr w:rsidR="00475650">
        <w:trPr>
          <w:trHeight w:val="284"/>
          <w:jc w:val="center"/>
        </w:trPr>
        <w:tc>
          <w:tcPr>
            <w:tcW w:w="593" w:type="dxa"/>
            <w:vMerge/>
            <w:vAlign w:val="center"/>
          </w:tcPr>
          <w:p w:rsidR="00475650" w:rsidRDefault="00475650">
            <w:pPr>
              <w:pStyle w:val="14"/>
              <w:tabs>
                <w:tab w:val="center" w:pos="4153"/>
                <w:tab w:val="right" w:pos="8306"/>
              </w:tabs>
              <w:spacing w:line="216" w:lineRule="auto"/>
              <w:ind w:firstLine="0"/>
              <w:jc w:val="center"/>
              <w:rPr>
                <w:rFonts w:eastAsia="宋体"/>
                <w:sz w:val="21"/>
                <w:szCs w:val="21"/>
              </w:rPr>
            </w:pPr>
          </w:p>
        </w:tc>
        <w:tc>
          <w:tcPr>
            <w:tcW w:w="771" w:type="dxa"/>
            <w:vAlign w:val="center"/>
          </w:tcPr>
          <w:p w:rsidR="00475650" w:rsidRDefault="00475650">
            <w:pPr>
              <w:pStyle w:val="14"/>
              <w:tabs>
                <w:tab w:val="center" w:pos="4153"/>
                <w:tab w:val="right" w:pos="8306"/>
              </w:tabs>
              <w:adjustRightInd w:val="0"/>
              <w:spacing w:line="216" w:lineRule="auto"/>
              <w:ind w:firstLineChars="100" w:firstLine="210"/>
              <w:rPr>
                <w:rFonts w:eastAsia="宋体"/>
                <w:sz w:val="21"/>
                <w:szCs w:val="21"/>
              </w:rPr>
            </w:pPr>
            <w:r>
              <w:rPr>
                <w:rFonts w:eastAsia="宋体"/>
                <w:sz w:val="21"/>
                <w:szCs w:val="21"/>
              </w:rPr>
              <w:t>S</w:t>
            </w:r>
            <w:r>
              <w:rPr>
                <w:rFonts w:eastAsia="宋体"/>
                <w:sz w:val="21"/>
                <w:szCs w:val="21"/>
                <w:vertAlign w:val="subscript"/>
              </w:rPr>
              <w:t>3</w:t>
            </w:r>
          </w:p>
        </w:tc>
        <w:tc>
          <w:tcPr>
            <w:tcW w:w="3184" w:type="dxa"/>
            <w:vAlign w:val="center"/>
          </w:tcPr>
          <w:p w:rsidR="00475650" w:rsidRDefault="00475650">
            <w:pPr>
              <w:pStyle w:val="ENFI"/>
              <w:spacing w:line="216" w:lineRule="auto"/>
              <w:rPr>
                <w:rFonts w:eastAsia="宋体"/>
                <w:kern w:val="2"/>
                <w:sz w:val="21"/>
                <w:szCs w:val="21"/>
              </w:rPr>
            </w:pPr>
            <w:r>
              <w:rPr>
                <w:rFonts w:eastAsia="宋体"/>
                <w:kern w:val="2"/>
                <w:sz w:val="21"/>
                <w:szCs w:val="21"/>
              </w:rPr>
              <w:t>临湘儒溪工业园现有排污口上游</w:t>
            </w:r>
            <w:r>
              <w:rPr>
                <w:rFonts w:eastAsia="宋体"/>
                <w:kern w:val="2"/>
                <w:sz w:val="21"/>
                <w:szCs w:val="21"/>
              </w:rPr>
              <w:t>500m</w:t>
            </w:r>
          </w:p>
        </w:tc>
        <w:tc>
          <w:tcPr>
            <w:tcW w:w="3957" w:type="dxa"/>
            <w:vMerge w:val="restart"/>
            <w:vAlign w:val="center"/>
          </w:tcPr>
          <w:p w:rsidR="00475650" w:rsidRDefault="00475650">
            <w:pPr>
              <w:pStyle w:val="14"/>
              <w:tabs>
                <w:tab w:val="center" w:pos="4153"/>
                <w:tab w:val="right" w:pos="8306"/>
              </w:tabs>
              <w:spacing w:line="216" w:lineRule="auto"/>
              <w:ind w:firstLine="0"/>
              <w:rPr>
                <w:rFonts w:eastAsia="宋体"/>
                <w:sz w:val="21"/>
                <w:szCs w:val="21"/>
              </w:rPr>
            </w:pPr>
            <w:r>
              <w:rPr>
                <w:rFonts w:eastAsia="宋体"/>
                <w:sz w:val="21"/>
                <w:szCs w:val="21"/>
              </w:rPr>
              <w:t>pH</w:t>
            </w:r>
            <w:r>
              <w:rPr>
                <w:rFonts w:eastAsia="宋体"/>
                <w:sz w:val="21"/>
                <w:szCs w:val="21"/>
              </w:rPr>
              <w:t>、</w:t>
            </w:r>
            <w:r>
              <w:rPr>
                <w:rFonts w:eastAsia="宋体" w:hint="eastAsia"/>
                <w:sz w:val="21"/>
                <w:szCs w:val="21"/>
              </w:rPr>
              <w:t>水温、</w:t>
            </w:r>
            <w:r>
              <w:rPr>
                <w:rFonts w:eastAsia="宋体"/>
                <w:sz w:val="21"/>
                <w:szCs w:val="21"/>
              </w:rPr>
              <w:t>COD</w:t>
            </w:r>
            <w:r>
              <w:rPr>
                <w:rFonts w:eastAsia="宋体"/>
                <w:sz w:val="21"/>
                <w:szCs w:val="21"/>
              </w:rPr>
              <w:t>、</w:t>
            </w:r>
            <w:r>
              <w:rPr>
                <w:rFonts w:eastAsia="宋体"/>
                <w:sz w:val="21"/>
                <w:szCs w:val="21"/>
              </w:rPr>
              <w:t>BOD</w:t>
            </w:r>
            <w:r>
              <w:rPr>
                <w:rFonts w:eastAsia="宋体"/>
                <w:sz w:val="21"/>
                <w:szCs w:val="21"/>
                <w:vertAlign w:val="subscript"/>
              </w:rPr>
              <w:t>5</w:t>
            </w:r>
            <w:r>
              <w:rPr>
                <w:rFonts w:eastAsia="宋体"/>
                <w:sz w:val="21"/>
                <w:szCs w:val="21"/>
              </w:rPr>
              <w:t>、</w:t>
            </w:r>
            <w:r>
              <w:rPr>
                <w:rFonts w:eastAsia="宋体"/>
                <w:sz w:val="21"/>
                <w:szCs w:val="21"/>
              </w:rPr>
              <w:t>DO</w:t>
            </w:r>
            <w:r>
              <w:rPr>
                <w:rFonts w:eastAsia="宋体"/>
                <w:sz w:val="21"/>
                <w:szCs w:val="21"/>
              </w:rPr>
              <w:t>、氨氮、</w:t>
            </w:r>
            <w:r>
              <w:rPr>
                <w:rFonts w:eastAsia="宋体" w:hint="eastAsia"/>
                <w:sz w:val="21"/>
                <w:szCs w:val="21"/>
              </w:rPr>
              <w:t>总磷、</w:t>
            </w:r>
            <w:r>
              <w:rPr>
                <w:rFonts w:eastAsia="宋体" w:hint="eastAsia"/>
                <w:sz w:val="21"/>
                <w:szCs w:val="21"/>
              </w:rPr>
              <w:t>SS</w:t>
            </w:r>
          </w:p>
        </w:tc>
      </w:tr>
      <w:tr w:rsidR="00475650">
        <w:trPr>
          <w:trHeight w:val="284"/>
          <w:jc w:val="center"/>
        </w:trPr>
        <w:tc>
          <w:tcPr>
            <w:tcW w:w="593" w:type="dxa"/>
            <w:vMerge/>
            <w:vAlign w:val="center"/>
          </w:tcPr>
          <w:p w:rsidR="00475650" w:rsidRDefault="00475650">
            <w:pPr>
              <w:pStyle w:val="5f4"/>
              <w:tabs>
                <w:tab w:val="center" w:pos="4153"/>
                <w:tab w:val="right" w:pos="8306"/>
              </w:tabs>
              <w:spacing w:line="216" w:lineRule="auto"/>
              <w:jc w:val="center"/>
              <w:rPr>
                <w:sz w:val="21"/>
                <w:szCs w:val="21"/>
              </w:rPr>
            </w:pPr>
          </w:p>
        </w:tc>
        <w:tc>
          <w:tcPr>
            <w:tcW w:w="771" w:type="dxa"/>
            <w:vAlign w:val="center"/>
          </w:tcPr>
          <w:p w:rsidR="00475650" w:rsidRDefault="00475650">
            <w:pPr>
              <w:pStyle w:val="14"/>
              <w:tabs>
                <w:tab w:val="center" w:pos="4153"/>
                <w:tab w:val="right" w:pos="8306"/>
              </w:tabs>
              <w:adjustRightInd w:val="0"/>
              <w:spacing w:line="216" w:lineRule="auto"/>
              <w:ind w:firstLineChars="100" w:firstLine="210"/>
              <w:rPr>
                <w:rFonts w:eastAsia="宋体"/>
                <w:sz w:val="21"/>
                <w:szCs w:val="21"/>
              </w:rPr>
            </w:pPr>
            <w:r>
              <w:rPr>
                <w:rFonts w:eastAsia="宋体"/>
                <w:sz w:val="21"/>
                <w:szCs w:val="21"/>
              </w:rPr>
              <w:t>S</w:t>
            </w:r>
            <w:r>
              <w:rPr>
                <w:rFonts w:eastAsia="宋体"/>
                <w:sz w:val="21"/>
                <w:szCs w:val="21"/>
                <w:vertAlign w:val="subscript"/>
              </w:rPr>
              <w:t>4</w:t>
            </w:r>
          </w:p>
        </w:tc>
        <w:tc>
          <w:tcPr>
            <w:tcW w:w="3184" w:type="dxa"/>
            <w:vAlign w:val="center"/>
          </w:tcPr>
          <w:p w:rsidR="00475650" w:rsidRDefault="00475650">
            <w:pPr>
              <w:pStyle w:val="ENFI"/>
              <w:spacing w:line="216" w:lineRule="auto"/>
              <w:rPr>
                <w:rFonts w:eastAsia="宋体"/>
                <w:kern w:val="2"/>
                <w:sz w:val="21"/>
                <w:szCs w:val="21"/>
              </w:rPr>
            </w:pPr>
            <w:r>
              <w:rPr>
                <w:rFonts w:eastAsia="宋体"/>
                <w:kern w:val="2"/>
                <w:sz w:val="21"/>
                <w:szCs w:val="21"/>
              </w:rPr>
              <w:t>临湘儒溪工业园现有排污口下游</w:t>
            </w:r>
            <w:r>
              <w:rPr>
                <w:rFonts w:eastAsia="宋体"/>
                <w:kern w:val="2"/>
                <w:sz w:val="21"/>
                <w:szCs w:val="21"/>
              </w:rPr>
              <w:t>1000m</w:t>
            </w:r>
          </w:p>
        </w:tc>
        <w:tc>
          <w:tcPr>
            <w:tcW w:w="3957" w:type="dxa"/>
            <w:vMerge/>
            <w:vAlign w:val="center"/>
          </w:tcPr>
          <w:p w:rsidR="00475650" w:rsidRDefault="00475650">
            <w:pPr>
              <w:pStyle w:val="5f4"/>
              <w:tabs>
                <w:tab w:val="center" w:pos="4153"/>
                <w:tab w:val="right" w:pos="8306"/>
              </w:tabs>
              <w:spacing w:line="216" w:lineRule="auto"/>
              <w:rPr>
                <w:sz w:val="21"/>
                <w:szCs w:val="21"/>
              </w:rPr>
            </w:pPr>
          </w:p>
        </w:tc>
      </w:tr>
      <w:tr w:rsidR="00475650">
        <w:trPr>
          <w:trHeight w:val="284"/>
          <w:jc w:val="center"/>
        </w:trPr>
        <w:tc>
          <w:tcPr>
            <w:tcW w:w="593" w:type="dxa"/>
            <w:vMerge/>
            <w:vAlign w:val="center"/>
          </w:tcPr>
          <w:p w:rsidR="00475650" w:rsidRDefault="00475650">
            <w:pPr>
              <w:pStyle w:val="5f4"/>
              <w:tabs>
                <w:tab w:val="center" w:pos="4153"/>
                <w:tab w:val="right" w:pos="8306"/>
              </w:tabs>
              <w:spacing w:line="216" w:lineRule="auto"/>
              <w:jc w:val="center"/>
              <w:rPr>
                <w:sz w:val="21"/>
                <w:szCs w:val="21"/>
              </w:rPr>
            </w:pPr>
          </w:p>
        </w:tc>
        <w:tc>
          <w:tcPr>
            <w:tcW w:w="771" w:type="dxa"/>
            <w:vAlign w:val="center"/>
          </w:tcPr>
          <w:p w:rsidR="00475650" w:rsidRDefault="00475650">
            <w:pPr>
              <w:pStyle w:val="14"/>
              <w:tabs>
                <w:tab w:val="center" w:pos="4153"/>
                <w:tab w:val="right" w:pos="8306"/>
              </w:tabs>
              <w:adjustRightInd w:val="0"/>
              <w:spacing w:line="216" w:lineRule="auto"/>
              <w:ind w:firstLineChars="100" w:firstLine="210"/>
              <w:rPr>
                <w:rFonts w:eastAsia="宋体"/>
                <w:sz w:val="21"/>
                <w:szCs w:val="21"/>
              </w:rPr>
            </w:pPr>
            <w:r>
              <w:rPr>
                <w:rFonts w:eastAsia="宋体"/>
                <w:sz w:val="21"/>
                <w:szCs w:val="21"/>
              </w:rPr>
              <w:t>S</w:t>
            </w:r>
            <w:r>
              <w:rPr>
                <w:rFonts w:eastAsia="宋体"/>
                <w:sz w:val="21"/>
                <w:szCs w:val="21"/>
                <w:vertAlign w:val="subscript"/>
              </w:rPr>
              <w:t>5</w:t>
            </w:r>
          </w:p>
        </w:tc>
        <w:tc>
          <w:tcPr>
            <w:tcW w:w="3184" w:type="dxa"/>
            <w:vAlign w:val="center"/>
          </w:tcPr>
          <w:p w:rsidR="00475650" w:rsidRDefault="00475650">
            <w:pPr>
              <w:snapToGrid w:val="0"/>
              <w:spacing w:line="216" w:lineRule="auto"/>
              <w:rPr>
                <w:szCs w:val="21"/>
              </w:rPr>
            </w:pPr>
            <w:r>
              <w:rPr>
                <w:rFonts w:ascii="宋体" w:hAnsi="宋体" w:cs="宋体" w:hint="eastAsia"/>
                <w:szCs w:val="21"/>
              </w:rPr>
              <w:t>临湘儒溪工业园取水口</w:t>
            </w:r>
          </w:p>
        </w:tc>
        <w:tc>
          <w:tcPr>
            <w:tcW w:w="3957" w:type="dxa"/>
            <w:vMerge/>
            <w:vAlign w:val="center"/>
          </w:tcPr>
          <w:p w:rsidR="00475650" w:rsidRDefault="00475650">
            <w:pPr>
              <w:pStyle w:val="14"/>
              <w:tabs>
                <w:tab w:val="center" w:pos="4153"/>
                <w:tab w:val="right" w:pos="8306"/>
              </w:tabs>
              <w:spacing w:line="216" w:lineRule="auto"/>
              <w:ind w:firstLine="0"/>
              <w:rPr>
                <w:rFonts w:eastAsia="宋体"/>
                <w:sz w:val="21"/>
                <w:szCs w:val="21"/>
              </w:rPr>
            </w:pPr>
          </w:p>
        </w:tc>
      </w:tr>
    </w:tbl>
    <w:p w:rsidR="00475650" w:rsidRDefault="00475650">
      <w:pPr>
        <w:snapToGrid w:val="0"/>
        <w:spacing w:line="360" w:lineRule="auto"/>
        <w:ind w:firstLineChars="200" w:firstLine="480"/>
        <w:rPr>
          <w:sz w:val="24"/>
        </w:rPr>
      </w:pPr>
      <w:r>
        <w:rPr>
          <w:sz w:val="24"/>
        </w:rPr>
        <w:t>(2)</w:t>
      </w:r>
      <w:r>
        <w:rPr>
          <w:sz w:val="24"/>
        </w:rPr>
        <w:t>监测时间及监测频次：</w:t>
      </w:r>
    </w:p>
    <w:p w:rsidR="00475650" w:rsidRDefault="00475650">
      <w:pPr>
        <w:snapToGrid w:val="0"/>
        <w:spacing w:line="360" w:lineRule="auto"/>
        <w:ind w:firstLineChars="200" w:firstLine="480"/>
        <w:rPr>
          <w:sz w:val="24"/>
        </w:rPr>
      </w:pPr>
      <w:r>
        <w:rPr>
          <w:sz w:val="24"/>
        </w:rPr>
        <w:t>常规监测断面：岳阳市环境保护监测站于</w:t>
      </w:r>
      <w:r>
        <w:rPr>
          <w:sz w:val="24"/>
        </w:rPr>
        <w:t>2015</w:t>
      </w:r>
      <w:r>
        <w:rPr>
          <w:sz w:val="24"/>
        </w:rPr>
        <w:t>年全年对长江陆城、城陵矶断面断面常规监测，每月一次，每次连续进行</w:t>
      </w:r>
      <w:r>
        <w:rPr>
          <w:sz w:val="24"/>
        </w:rPr>
        <w:t>3</w:t>
      </w:r>
      <w:r>
        <w:rPr>
          <w:sz w:val="24"/>
        </w:rPr>
        <w:t>天，每天采样一次。</w:t>
      </w:r>
    </w:p>
    <w:p w:rsidR="00475650" w:rsidRDefault="00475650">
      <w:pPr>
        <w:snapToGrid w:val="0"/>
        <w:spacing w:line="360" w:lineRule="auto"/>
        <w:ind w:firstLineChars="200" w:firstLine="480"/>
        <w:rPr>
          <w:sz w:val="24"/>
        </w:rPr>
      </w:pPr>
      <w:r>
        <w:rPr>
          <w:sz w:val="24"/>
        </w:rPr>
        <w:t>历史监测数据：岳阳市监测站于</w:t>
      </w:r>
      <w:r>
        <w:rPr>
          <w:sz w:val="24"/>
        </w:rPr>
        <w:t>2015</w:t>
      </w:r>
      <w:r>
        <w:rPr>
          <w:sz w:val="24"/>
        </w:rPr>
        <w:t>年</w:t>
      </w:r>
      <w:r>
        <w:rPr>
          <w:sz w:val="24"/>
        </w:rPr>
        <w:t>11</w:t>
      </w:r>
      <w:r>
        <w:rPr>
          <w:sz w:val="24"/>
        </w:rPr>
        <w:t>月</w:t>
      </w:r>
      <w:r>
        <w:rPr>
          <w:sz w:val="24"/>
        </w:rPr>
        <w:t>10~12</w:t>
      </w:r>
      <w:r>
        <w:rPr>
          <w:sz w:val="24"/>
        </w:rPr>
        <w:t>日，连续监测</w:t>
      </w:r>
      <w:r>
        <w:rPr>
          <w:sz w:val="24"/>
        </w:rPr>
        <w:t>3</w:t>
      </w:r>
      <w:r>
        <w:rPr>
          <w:sz w:val="24"/>
        </w:rPr>
        <w:t>天，每天一次。</w:t>
      </w:r>
    </w:p>
    <w:p w:rsidR="00475650" w:rsidRDefault="00475650">
      <w:pPr>
        <w:snapToGrid w:val="0"/>
        <w:spacing w:line="360" w:lineRule="auto"/>
        <w:ind w:firstLineChars="200" w:firstLine="480"/>
        <w:rPr>
          <w:sz w:val="24"/>
        </w:rPr>
      </w:pPr>
      <w:r>
        <w:rPr>
          <w:sz w:val="24"/>
        </w:rPr>
        <w:t>(3)</w:t>
      </w:r>
      <w:r>
        <w:rPr>
          <w:sz w:val="24"/>
        </w:rPr>
        <w:t>监测结果</w:t>
      </w:r>
    </w:p>
    <w:p w:rsidR="00475650" w:rsidRDefault="00475650">
      <w:pPr>
        <w:snapToGrid w:val="0"/>
        <w:spacing w:line="360" w:lineRule="auto"/>
        <w:ind w:firstLineChars="200" w:firstLine="480"/>
        <w:rPr>
          <w:sz w:val="24"/>
        </w:rPr>
      </w:pPr>
      <w:r>
        <w:rPr>
          <w:sz w:val="24"/>
        </w:rPr>
        <w:t>长江常规监测断面数据见表</w:t>
      </w:r>
      <w:r>
        <w:rPr>
          <w:sz w:val="24"/>
        </w:rPr>
        <w:t>4.</w:t>
      </w:r>
      <w:r>
        <w:rPr>
          <w:rFonts w:hint="eastAsia"/>
          <w:sz w:val="24"/>
        </w:rPr>
        <w:t>3-10</w:t>
      </w:r>
      <w:r>
        <w:rPr>
          <w:sz w:val="24"/>
        </w:rPr>
        <w:t>、长江历史监测数据见</w:t>
      </w:r>
      <w:r>
        <w:rPr>
          <w:sz w:val="24"/>
        </w:rPr>
        <w:t>4.</w:t>
      </w:r>
      <w:r>
        <w:rPr>
          <w:rFonts w:hint="eastAsia"/>
          <w:sz w:val="24"/>
        </w:rPr>
        <w:t>3-11</w:t>
      </w:r>
      <w:r>
        <w:rPr>
          <w:sz w:val="24"/>
        </w:rPr>
        <w:t>，常规监测断面中陆城、城陵矶断面总氮、总磷指标因子出现不同程度的超标，总氮（仅有</w:t>
      </w:r>
      <w:r>
        <w:rPr>
          <w:sz w:val="24"/>
        </w:rPr>
        <w:t>1,2,9</w:t>
      </w:r>
      <w:r>
        <w:rPr>
          <w:sz w:val="24"/>
        </w:rPr>
        <w:t>月数据）</w:t>
      </w:r>
      <w:r>
        <w:rPr>
          <w:sz w:val="24"/>
        </w:rPr>
        <w:t>100%</w:t>
      </w:r>
      <w:r>
        <w:rPr>
          <w:sz w:val="24"/>
        </w:rPr>
        <w:t>超标，其余各监测因子均达到《地表水环境质量标准》</w:t>
      </w:r>
      <w:r>
        <w:rPr>
          <w:sz w:val="24"/>
        </w:rPr>
        <w:t>(GB3838-2002)</w:t>
      </w:r>
      <w:r>
        <w:rPr>
          <w:sz w:val="24"/>
        </w:rPr>
        <w:t>中的</w:t>
      </w:r>
      <w:r>
        <w:rPr>
          <w:rFonts w:hint="eastAsia"/>
          <w:sz w:val="24"/>
        </w:rPr>
        <w:t>Ⅲ</w:t>
      </w:r>
      <w:r>
        <w:rPr>
          <w:sz w:val="24"/>
        </w:rPr>
        <w:t>类标准。长江历史监测断面时间内，监测断面各水质指标因子监测值均符合《地表水环境质量标准》（</w:t>
      </w:r>
      <w:r>
        <w:rPr>
          <w:sz w:val="24"/>
        </w:rPr>
        <w:t>GB3838-2002</w:t>
      </w:r>
      <w:r>
        <w:rPr>
          <w:sz w:val="24"/>
        </w:rPr>
        <w:t>）中</w:t>
      </w:r>
      <w:r>
        <w:rPr>
          <w:rFonts w:hint="eastAsia"/>
          <w:sz w:val="24"/>
        </w:rPr>
        <w:t>Ⅲ</w:t>
      </w:r>
      <w:r>
        <w:rPr>
          <w:sz w:val="24"/>
        </w:rPr>
        <w:t>类水质标准。</w:t>
      </w:r>
    </w:p>
    <w:p w:rsidR="00475650" w:rsidRDefault="00475650">
      <w:pPr>
        <w:snapToGrid w:val="0"/>
        <w:spacing w:line="360" w:lineRule="auto"/>
        <w:ind w:firstLineChars="200" w:firstLine="420"/>
        <w:sectPr w:rsidR="00475650">
          <w:pgSz w:w="11906" w:h="16838"/>
          <w:pgMar w:top="1714" w:right="1531" w:bottom="1440" w:left="1531" w:header="1247" w:footer="1134" w:gutter="0"/>
          <w:cols w:space="720"/>
          <w:docGrid w:linePitch="285"/>
        </w:sectPr>
      </w:pPr>
    </w:p>
    <w:p w:rsidR="00475650" w:rsidRDefault="00475650">
      <w:pPr>
        <w:jc w:val="center"/>
        <w:rPr>
          <w:rFonts w:eastAsia="黑体"/>
          <w:bCs/>
        </w:rPr>
      </w:pPr>
      <w:r>
        <w:rPr>
          <w:rFonts w:eastAsia="黑体"/>
          <w:bCs/>
        </w:rPr>
        <w:lastRenderedPageBreak/>
        <w:t xml:space="preserve">     </w:t>
      </w:r>
      <w:r>
        <w:rPr>
          <w:rFonts w:eastAsia="黑体"/>
          <w:bCs/>
        </w:rPr>
        <w:t>表</w:t>
      </w:r>
      <w:r>
        <w:rPr>
          <w:rFonts w:eastAsia="黑体"/>
          <w:bCs/>
        </w:rPr>
        <w:t>4.</w:t>
      </w:r>
      <w:r>
        <w:rPr>
          <w:rFonts w:eastAsia="黑体" w:hint="eastAsia"/>
          <w:bCs/>
        </w:rPr>
        <w:t>.3-10</w:t>
      </w:r>
      <w:r>
        <w:rPr>
          <w:rFonts w:eastAsia="黑体"/>
          <w:bCs/>
        </w:rPr>
        <w:t xml:space="preserve"> </w:t>
      </w:r>
      <w:r>
        <w:rPr>
          <w:rFonts w:eastAsia="黑体"/>
          <w:bCs/>
        </w:rPr>
        <w:t>长江陆城、城陵矶常规监测断面</w:t>
      </w:r>
      <w:r>
        <w:rPr>
          <w:rFonts w:eastAsia="黑体"/>
          <w:bCs/>
        </w:rPr>
        <w:t>2015</w:t>
      </w:r>
      <w:r>
        <w:rPr>
          <w:rFonts w:eastAsia="黑体"/>
          <w:bCs/>
        </w:rPr>
        <w:t>年水质监测结果统计表</w:t>
      </w:r>
      <w:r>
        <w:rPr>
          <w:rFonts w:eastAsia="黑体"/>
          <w:bCs/>
        </w:rPr>
        <w:t xml:space="preserve">    </w:t>
      </w:r>
      <w:r>
        <w:rPr>
          <w:rFonts w:eastAsia="黑体"/>
          <w:bCs/>
        </w:rPr>
        <w:t>单位：</w:t>
      </w:r>
      <w:r>
        <w:rPr>
          <w:rFonts w:eastAsia="黑体"/>
          <w:bCs/>
        </w:rPr>
        <w:t>mg/l</w:t>
      </w:r>
      <w:r>
        <w:rPr>
          <w:rFonts w:eastAsia="黑体"/>
          <w:bCs/>
        </w:rPr>
        <w:t>（</w:t>
      </w:r>
      <w:r>
        <w:rPr>
          <w:rFonts w:eastAsia="黑体"/>
          <w:bCs/>
        </w:rPr>
        <w:t>pH</w:t>
      </w:r>
      <w:r>
        <w:rPr>
          <w:rFonts w:eastAsia="黑体"/>
          <w:bCs/>
        </w:rPr>
        <w:t>及标明单位除外</w:t>
      </w:r>
      <w:bookmarkStart w:id="693" w:name="_Ref437940538"/>
      <w:r>
        <w:rPr>
          <w:rFonts w:eastAsia="黑体"/>
          <w:bCs/>
        </w:rPr>
        <w: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679"/>
        <w:gridCol w:w="518"/>
        <w:gridCol w:w="1327"/>
        <w:gridCol w:w="1098"/>
        <w:gridCol w:w="1376"/>
        <w:gridCol w:w="1746"/>
        <w:gridCol w:w="1201"/>
        <w:gridCol w:w="1337"/>
        <w:gridCol w:w="1337"/>
        <w:gridCol w:w="1540"/>
        <w:gridCol w:w="1743"/>
      </w:tblGrid>
      <w:tr w:rsidR="00475650">
        <w:trPr>
          <w:trHeight w:val="397"/>
          <w:tblHeader/>
        </w:trPr>
        <w:tc>
          <w:tcPr>
            <w:tcW w:w="679" w:type="dxa"/>
            <w:vAlign w:val="center"/>
          </w:tcPr>
          <w:p w:rsidR="00475650" w:rsidRDefault="00475650">
            <w:pPr>
              <w:spacing w:line="228" w:lineRule="auto"/>
              <w:jc w:val="center"/>
              <w:rPr>
                <w:szCs w:val="21"/>
              </w:rPr>
            </w:pPr>
            <w:r>
              <w:rPr>
                <w:rFonts w:ascii="宋体" w:hAnsi="宋体" w:cs="宋体" w:hint="eastAsia"/>
                <w:szCs w:val="21"/>
              </w:rPr>
              <w:t>断面名称</w:t>
            </w:r>
          </w:p>
        </w:tc>
        <w:tc>
          <w:tcPr>
            <w:tcW w:w="1845" w:type="dxa"/>
            <w:gridSpan w:val="2"/>
            <w:vAlign w:val="center"/>
          </w:tcPr>
          <w:p w:rsidR="00475650" w:rsidRDefault="00475650">
            <w:pPr>
              <w:spacing w:line="228" w:lineRule="auto"/>
              <w:jc w:val="center"/>
              <w:rPr>
                <w:szCs w:val="21"/>
              </w:rPr>
            </w:pPr>
            <w:r>
              <w:rPr>
                <w:rFonts w:ascii="宋体" w:hAnsi="宋体" w:cs="宋体" w:hint="eastAsia"/>
                <w:szCs w:val="21"/>
              </w:rPr>
              <w:t>项目</w:t>
            </w:r>
          </w:p>
        </w:tc>
        <w:tc>
          <w:tcPr>
            <w:tcW w:w="1098" w:type="dxa"/>
            <w:vAlign w:val="center"/>
          </w:tcPr>
          <w:p w:rsidR="00475650" w:rsidRDefault="00475650">
            <w:pPr>
              <w:spacing w:line="228" w:lineRule="auto"/>
              <w:jc w:val="center"/>
              <w:rPr>
                <w:szCs w:val="21"/>
              </w:rPr>
            </w:pPr>
            <w:r>
              <w:rPr>
                <w:rFonts w:ascii="宋体" w:hAnsi="宋体" w:cs="宋体" w:hint="eastAsia"/>
                <w:szCs w:val="21"/>
              </w:rPr>
              <w:t>水温</w:t>
            </w:r>
          </w:p>
          <w:p w:rsidR="00475650" w:rsidRDefault="00475650">
            <w:pPr>
              <w:spacing w:line="228" w:lineRule="auto"/>
              <w:jc w:val="center"/>
              <w:rPr>
                <w:szCs w:val="21"/>
              </w:rPr>
            </w:pPr>
            <w:r>
              <w:rPr>
                <w:szCs w:val="21"/>
              </w:rPr>
              <w:t>(</w:t>
            </w:r>
            <w:r>
              <w:rPr>
                <w:rFonts w:ascii="宋体" w:hAnsi="宋体" w:cs="宋体" w:hint="eastAsia"/>
                <w:szCs w:val="21"/>
              </w:rPr>
              <w:t>度</w:t>
            </w:r>
            <w:r>
              <w:rPr>
                <w:szCs w:val="21"/>
              </w:rPr>
              <w:t>)</w:t>
            </w:r>
          </w:p>
        </w:tc>
        <w:tc>
          <w:tcPr>
            <w:tcW w:w="1376" w:type="dxa"/>
            <w:tcBorders>
              <w:right w:val="single" w:sz="4" w:space="0" w:color="auto"/>
            </w:tcBorders>
            <w:vAlign w:val="center"/>
          </w:tcPr>
          <w:p w:rsidR="00475650" w:rsidRDefault="00475650">
            <w:pPr>
              <w:spacing w:line="228" w:lineRule="auto"/>
              <w:jc w:val="center"/>
              <w:rPr>
                <w:szCs w:val="21"/>
              </w:rPr>
            </w:pPr>
            <w:r>
              <w:rPr>
                <w:szCs w:val="21"/>
              </w:rPr>
              <w:t>pH</w:t>
            </w:r>
            <w:r>
              <w:rPr>
                <w:rFonts w:ascii="宋体" w:hAnsi="宋体" w:cs="宋体" w:hint="eastAsia"/>
                <w:szCs w:val="21"/>
              </w:rPr>
              <w:t>值</w:t>
            </w:r>
          </w:p>
        </w:tc>
        <w:tc>
          <w:tcPr>
            <w:tcW w:w="1746" w:type="dxa"/>
            <w:tcBorders>
              <w:left w:val="single" w:sz="4" w:space="0" w:color="auto"/>
            </w:tcBorders>
            <w:vAlign w:val="center"/>
          </w:tcPr>
          <w:p w:rsidR="00475650" w:rsidRDefault="00475650">
            <w:pPr>
              <w:spacing w:line="228" w:lineRule="auto"/>
              <w:jc w:val="center"/>
              <w:rPr>
                <w:szCs w:val="21"/>
              </w:rPr>
            </w:pPr>
            <w:r>
              <w:rPr>
                <w:rFonts w:hint="eastAsia"/>
                <w:szCs w:val="21"/>
              </w:rPr>
              <w:t>挥发酚</w:t>
            </w:r>
          </w:p>
        </w:tc>
        <w:tc>
          <w:tcPr>
            <w:tcW w:w="1201" w:type="dxa"/>
            <w:vAlign w:val="center"/>
          </w:tcPr>
          <w:p w:rsidR="00475650" w:rsidRDefault="00475650">
            <w:pPr>
              <w:spacing w:line="228" w:lineRule="auto"/>
              <w:jc w:val="center"/>
              <w:rPr>
                <w:szCs w:val="21"/>
              </w:rPr>
            </w:pPr>
            <w:r>
              <w:rPr>
                <w:rFonts w:ascii="宋体" w:hAnsi="宋体" w:cs="宋体" w:hint="eastAsia"/>
                <w:szCs w:val="21"/>
              </w:rPr>
              <w:t>溶解氧</w:t>
            </w:r>
          </w:p>
        </w:tc>
        <w:tc>
          <w:tcPr>
            <w:tcW w:w="1337" w:type="dxa"/>
            <w:vAlign w:val="center"/>
          </w:tcPr>
          <w:p w:rsidR="00475650" w:rsidRDefault="00475650">
            <w:pPr>
              <w:spacing w:line="228" w:lineRule="auto"/>
              <w:jc w:val="center"/>
              <w:rPr>
                <w:szCs w:val="21"/>
              </w:rPr>
            </w:pPr>
            <w:r>
              <w:rPr>
                <w:rFonts w:ascii="宋体" w:hAnsi="宋体" w:cs="宋体" w:hint="eastAsia"/>
                <w:szCs w:val="21"/>
              </w:rPr>
              <w:t>高锰酸盐指数</w:t>
            </w:r>
          </w:p>
        </w:tc>
        <w:tc>
          <w:tcPr>
            <w:tcW w:w="1337" w:type="dxa"/>
            <w:vAlign w:val="center"/>
          </w:tcPr>
          <w:p w:rsidR="00475650" w:rsidRDefault="00475650">
            <w:pPr>
              <w:spacing w:line="228" w:lineRule="auto"/>
              <w:jc w:val="center"/>
              <w:rPr>
                <w:szCs w:val="21"/>
                <w:lang w:bidi="or-IN"/>
              </w:rPr>
            </w:pPr>
            <w:r>
              <w:rPr>
                <w:rFonts w:ascii="宋体" w:hAnsi="宋体" w:cs="宋体" w:hint="eastAsia"/>
                <w:szCs w:val="21"/>
                <w:lang w:bidi="or-IN"/>
              </w:rPr>
              <w:t>化学需氧量</w:t>
            </w:r>
          </w:p>
        </w:tc>
        <w:tc>
          <w:tcPr>
            <w:tcW w:w="1540" w:type="dxa"/>
            <w:vAlign w:val="center"/>
          </w:tcPr>
          <w:p w:rsidR="00475650" w:rsidRDefault="00475650">
            <w:pPr>
              <w:spacing w:line="228" w:lineRule="auto"/>
              <w:jc w:val="center"/>
              <w:rPr>
                <w:szCs w:val="21"/>
              </w:rPr>
            </w:pPr>
            <w:r>
              <w:rPr>
                <w:rFonts w:ascii="宋体" w:hAnsi="宋体" w:cs="宋体" w:hint="eastAsia"/>
                <w:szCs w:val="21"/>
              </w:rPr>
              <w:t>五日生化需氧量</w:t>
            </w:r>
          </w:p>
        </w:tc>
        <w:tc>
          <w:tcPr>
            <w:tcW w:w="1743" w:type="dxa"/>
            <w:vAlign w:val="center"/>
          </w:tcPr>
          <w:p w:rsidR="00475650" w:rsidRDefault="00475650">
            <w:pPr>
              <w:spacing w:line="228" w:lineRule="auto"/>
              <w:jc w:val="center"/>
              <w:rPr>
                <w:szCs w:val="21"/>
              </w:rPr>
            </w:pPr>
            <w:r>
              <w:rPr>
                <w:rFonts w:ascii="宋体" w:hAnsi="宋体" w:cs="宋体" w:hint="eastAsia"/>
                <w:szCs w:val="21"/>
              </w:rPr>
              <w:t>氨氮</w:t>
            </w:r>
          </w:p>
        </w:tc>
      </w:tr>
      <w:tr w:rsidR="00475650">
        <w:trPr>
          <w:trHeight w:val="397"/>
          <w:tblHeader/>
        </w:trPr>
        <w:tc>
          <w:tcPr>
            <w:tcW w:w="679" w:type="dxa"/>
            <w:vMerge w:val="restart"/>
            <w:vAlign w:val="center"/>
          </w:tcPr>
          <w:p w:rsidR="00475650" w:rsidRDefault="00475650">
            <w:pPr>
              <w:spacing w:line="228" w:lineRule="auto"/>
              <w:jc w:val="center"/>
              <w:rPr>
                <w:szCs w:val="21"/>
              </w:rPr>
            </w:pPr>
            <w:r>
              <w:rPr>
                <w:rFonts w:ascii="宋体" w:hAnsi="宋体" w:cs="宋体" w:hint="eastAsia"/>
                <w:szCs w:val="21"/>
              </w:rPr>
              <w:t>城陵矶断面全年</w:t>
            </w:r>
          </w:p>
        </w:tc>
        <w:tc>
          <w:tcPr>
            <w:tcW w:w="1845" w:type="dxa"/>
            <w:gridSpan w:val="2"/>
            <w:vAlign w:val="center"/>
          </w:tcPr>
          <w:p w:rsidR="00475650" w:rsidRDefault="00475650">
            <w:pPr>
              <w:spacing w:line="228" w:lineRule="auto"/>
              <w:jc w:val="center"/>
              <w:rPr>
                <w:szCs w:val="21"/>
              </w:rPr>
            </w:pPr>
            <w:r>
              <w:rPr>
                <w:rFonts w:ascii="宋体" w:hAnsi="宋体" w:cs="宋体" w:hint="eastAsia"/>
                <w:szCs w:val="21"/>
              </w:rPr>
              <w:t>标准值</w:t>
            </w:r>
          </w:p>
        </w:tc>
        <w:tc>
          <w:tcPr>
            <w:tcW w:w="1098" w:type="dxa"/>
            <w:vAlign w:val="center"/>
          </w:tcPr>
          <w:p w:rsidR="00475650" w:rsidRDefault="00475650">
            <w:pPr>
              <w:spacing w:line="228" w:lineRule="auto"/>
              <w:jc w:val="center"/>
              <w:rPr>
                <w:szCs w:val="21"/>
              </w:rPr>
            </w:pPr>
            <w:r>
              <w:rPr>
                <w:szCs w:val="21"/>
              </w:rPr>
              <w:t>/</w:t>
            </w:r>
          </w:p>
        </w:tc>
        <w:tc>
          <w:tcPr>
            <w:tcW w:w="1376" w:type="dxa"/>
            <w:tcBorders>
              <w:right w:val="single" w:sz="4" w:space="0" w:color="auto"/>
            </w:tcBorders>
            <w:vAlign w:val="center"/>
          </w:tcPr>
          <w:p w:rsidR="00475650" w:rsidRDefault="00475650">
            <w:pPr>
              <w:spacing w:line="228" w:lineRule="auto"/>
              <w:jc w:val="center"/>
              <w:rPr>
                <w:szCs w:val="21"/>
              </w:rPr>
            </w:pPr>
            <w:r>
              <w:rPr>
                <w:szCs w:val="21"/>
              </w:rPr>
              <w:t>6~9</w:t>
            </w:r>
          </w:p>
        </w:tc>
        <w:tc>
          <w:tcPr>
            <w:tcW w:w="1746" w:type="dxa"/>
            <w:tcBorders>
              <w:left w:val="single" w:sz="4" w:space="0" w:color="auto"/>
            </w:tcBorders>
            <w:vAlign w:val="center"/>
          </w:tcPr>
          <w:p w:rsidR="00475650" w:rsidRDefault="00475650">
            <w:pPr>
              <w:spacing w:line="228" w:lineRule="auto"/>
              <w:jc w:val="center"/>
              <w:rPr>
                <w:szCs w:val="21"/>
              </w:rPr>
            </w:pPr>
            <w:r>
              <w:rPr>
                <w:rFonts w:hint="eastAsia"/>
                <w:szCs w:val="21"/>
              </w:rPr>
              <w:t>0.005</w:t>
            </w:r>
          </w:p>
        </w:tc>
        <w:tc>
          <w:tcPr>
            <w:tcW w:w="1201" w:type="dxa"/>
            <w:vAlign w:val="center"/>
          </w:tcPr>
          <w:p w:rsidR="00475650" w:rsidRDefault="00475650">
            <w:pPr>
              <w:spacing w:line="228" w:lineRule="auto"/>
              <w:jc w:val="center"/>
              <w:rPr>
                <w:szCs w:val="21"/>
              </w:rPr>
            </w:pPr>
            <w:r>
              <w:rPr>
                <w:szCs w:val="21"/>
              </w:rPr>
              <w:t>5.00</w:t>
            </w:r>
          </w:p>
        </w:tc>
        <w:tc>
          <w:tcPr>
            <w:tcW w:w="1337" w:type="dxa"/>
            <w:vAlign w:val="center"/>
          </w:tcPr>
          <w:p w:rsidR="00475650" w:rsidRDefault="00475650">
            <w:pPr>
              <w:spacing w:line="228" w:lineRule="auto"/>
              <w:jc w:val="center"/>
              <w:rPr>
                <w:szCs w:val="21"/>
              </w:rPr>
            </w:pPr>
            <w:r>
              <w:rPr>
                <w:szCs w:val="21"/>
              </w:rPr>
              <w:t>6.00</w:t>
            </w:r>
          </w:p>
        </w:tc>
        <w:tc>
          <w:tcPr>
            <w:tcW w:w="1337" w:type="dxa"/>
            <w:vAlign w:val="center"/>
          </w:tcPr>
          <w:p w:rsidR="00475650" w:rsidRDefault="00475650">
            <w:pPr>
              <w:spacing w:line="228" w:lineRule="auto"/>
              <w:jc w:val="center"/>
              <w:rPr>
                <w:szCs w:val="21"/>
              </w:rPr>
            </w:pPr>
            <w:r>
              <w:rPr>
                <w:szCs w:val="21"/>
              </w:rPr>
              <w:t>20.00</w:t>
            </w:r>
          </w:p>
        </w:tc>
        <w:tc>
          <w:tcPr>
            <w:tcW w:w="1540" w:type="dxa"/>
            <w:vAlign w:val="center"/>
          </w:tcPr>
          <w:p w:rsidR="00475650" w:rsidRDefault="00475650">
            <w:pPr>
              <w:spacing w:line="228" w:lineRule="auto"/>
              <w:jc w:val="center"/>
              <w:rPr>
                <w:szCs w:val="21"/>
              </w:rPr>
            </w:pPr>
            <w:r>
              <w:rPr>
                <w:szCs w:val="21"/>
              </w:rPr>
              <w:t>4.00</w:t>
            </w:r>
          </w:p>
        </w:tc>
        <w:tc>
          <w:tcPr>
            <w:tcW w:w="1743" w:type="dxa"/>
            <w:vAlign w:val="center"/>
          </w:tcPr>
          <w:p w:rsidR="00475650" w:rsidRDefault="00475650">
            <w:pPr>
              <w:spacing w:line="228" w:lineRule="auto"/>
              <w:jc w:val="center"/>
              <w:rPr>
                <w:szCs w:val="21"/>
              </w:rPr>
            </w:pPr>
            <w:r>
              <w:rPr>
                <w:szCs w:val="21"/>
              </w:rPr>
              <w:t>1.000</w:t>
            </w:r>
          </w:p>
        </w:tc>
      </w:tr>
      <w:tr w:rsidR="00475650">
        <w:trPr>
          <w:trHeight w:val="397"/>
          <w:tblHeader/>
        </w:trPr>
        <w:tc>
          <w:tcPr>
            <w:tcW w:w="679" w:type="dxa"/>
            <w:vMerge/>
            <w:vAlign w:val="center"/>
          </w:tcPr>
          <w:p w:rsidR="00475650" w:rsidRDefault="00475650">
            <w:pPr>
              <w:spacing w:line="228" w:lineRule="auto"/>
              <w:jc w:val="center"/>
              <w:rPr>
                <w:szCs w:val="21"/>
              </w:rPr>
            </w:pPr>
          </w:p>
        </w:tc>
        <w:tc>
          <w:tcPr>
            <w:tcW w:w="518" w:type="dxa"/>
            <w:vMerge w:val="restart"/>
            <w:vAlign w:val="center"/>
          </w:tcPr>
          <w:p w:rsidR="00475650" w:rsidRDefault="00475650">
            <w:pPr>
              <w:spacing w:line="228" w:lineRule="auto"/>
              <w:jc w:val="center"/>
              <w:rPr>
                <w:szCs w:val="21"/>
              </w:rPr>
            </w:pPr>
            <w:r>
              <w:rPr>
                <w:szCs w:val="21"/>
              </w:rPr>
              <w:t>15</w:t>
            </w:r>
            <w:r>
              <w:rPr>
                <w:rFonts w:ascii="宋体" w:hAnsi="宋体" w:cs="宋体" w:hint="eastAsia"/>
                <w:szCs w:val="21"/>
              </w:rPr>
              <w:t>年</w:t>
            </w:r>
          </w:p>
        </w:tc>
        <w:tc>
          <w:tcPr>
            <w:tcW w:w="1327" w:type="dxa"/>
            <w:vAlign w:val="center"/>
          </w:tcPr>
          <w:p w:rsidR="00475650" w:rsidRDefault="00475650">
            <w:pPr>
              <w:spacing w:line="228" w:lineRule="auto"/>
              <w:jc w:val="center"/>
              <w:rPr>
                <w:szCs w:val="21"/>
              </w:rPr>
            </w:pPr>
            <w:r>
              <w:rPr>
                <w:rFonts w:ascii="宋体" w:hAnsi="宋体" w:cs="宋体" w:hint="eastAsia"/>
                <w:szCs w:val="21"/>
              </w:rPr>
              <w:t>范围</w:t>
            </w:r>
          </w:p>
        </w:tc>
        <w:tc>
          <w:tcPr>
            <w:tcW w:w="1098" w:type="dxa"/>
            <w:vAlign w:val="center"/>
          </w:tcPr>
          <w:p w:rsidR="00475650" w:rsidRDefault="00475650">
            <w:pPr>
              <w:jc w:val="center"/>
              <w:rPr>
                <w:szCs w:val="21"/>
              </w:rPr>
            </w:pPr>
            <w:r>
              <w:rPr>
                <w:szCs w:val="21"/>
              </w:rPr>
              <w:t>6.7~30</w:t>
            </w:r>
          </w:p>
        </w:tc>
        <w:tc>
          <w:tcPr>
            <w:tcW w:w="1376" w:type="dxa"/>
            <w:tcBorders>
              <w:right w:val="single" w:sz="4" w:space="0" w:color="auto"/>
            </w:tcBorders>
            <w:vAlign w:val="center"/>
          </w:tcPr>
          <w:p w:rsidR="00475650" w:rsidRDefault="00475650">
            <w:pPr>
              <w:jc w:val="center"/>
              <w:rPr>
                <w:szCs w:val="21"/>
              </w:rPr>
            </w:pPr>
            <w:r>
              <w:rPr>
                <w:szCs w:val="21"/>
              </w:rPr>
              <w:t>7.09~8.07</w:t>
            </w:r>
          </w:p>
        </w:tc>
        <w:tc>
          <w:tcPr>
            <w:tcW w:w="1746" w:type="dxa"/>
            <w:tcBorders>
              <w:left w:val="single" w:sz="4" w:space="0" w:color="auto"/>
            </w:tcBorders>
            <w:vAlign w:val="center"/>
          </w:tcPr>
          <w:p w:rsidR="00475650" w:rsidRDefault="00475650">
            <w:pPr>
              <w:jc w:val="center"/>
              <w:rPr>
                <w:szCs w:val="21"/>
              </w:rPr>
            </w:pPr>
            <w:r>
              <w:rPr>
                <w:rFonts w:hint="eastAsia"/>
                <w:szCs w:val="21"/>
              </w:rPr>
              <w:t>0.0007-0.0034</w:t>
            </w:r>
          </w:p>
        </w:tc>
        <w:tc>
          <w:tcPr>
            <w:tcW w:w="1201" w:type="dxa"/>
            <w:vAlign w:val="center"/>
          </w:tcPr>
          <w:p w:rsidR="00475650" w:rsidRDefault="00475650">
            <w:pPr>
              <w:jc w:val="center"/>
              <w:rPr>
                <w:szCs w:val="21"/>
              </w:rPr>
            </w:pPr>
            <w:r>
              <w:rPr>
                <w:szCs w:val="21"/>
              </w:rPr>
              <w:t>5.9~8.6</w:t>
            </w:r>
          </w:p>
        </w:tc>
        <w:tc>
          <w:tcPr>
            <w:tcW w:w="1337" w:type="dxa"/>
            <w:vAlign w:val="center"/>
          </w:tcPr>
          <w:p w:rsidR="00475650" w:rsidRDefault="00475650">
            <w:pPr>
              <w:jc w:val="center"/>
              <w:rPr>
                <w:szCs w:val="21"/>
              </w:rPr>
            </w:pPr>
            <w:r>
              <w:rPr>
                <w:szCs w:val="21"/>
              </w:rPr>
              <w:t>1.53~2.24</w:t>
            </w:r>
          </w:p>
        </w:tc>
        <w:tc>
          <w:tcPr>
            <w:tcW w:w="1337" w:type="dxa"/>
            <w:vAlign w:val="center"/>
          </w:tcPr>
          <w:p w:rsidR="00475650" w:rsidRDefault="00475650">
            <w:pPr>
              <w:jc w:val="center"/>
              <w:rPr>
                <w:szCs w:val="21"/>
              </w:rPr>
            </w:pPr>
            <w:r>
              <w:rPr>
                <w:szCs w:val="21"/>
              </w:rPr>
              <w:t>6.6~11.8</w:t>
            </w:r>
          </w:p>
        </w:tc>
        <w:tc>
          <w:tcPr>
            <w:tcW w:w="1540" w:type="dxa"/>
            <w:vAlign w:val="center"/>
          </w:tcPr>
          <w:p w:rsidR="00475650" w:rsidRDefault="00475650">
            <w:pPr>
              <w:jc w:val="center"/>
              <w:rPr>
                <w:szCs w:val="21"/>
              </w:rPr>
            </w:pPr>
            <w:r>
              <w:rPr>
                <w:szCs w:val="21"/>
              </w:rPr>
              <w:t>0.6~2.9</w:t>
            </w:r>
          </w:p>
        </w:tc>
        <w:tc>
          <w:tcPr>
            <w:tcW w:w="1743" w:type="dxa"/>
            <w:vAlign w:val="center"/>
          </w:tcPr>
          <w:p w:rsidR="00475650" w:rsidRDefault="00475650">
            <w:pPr>
              <w:jc w:val="center"/>
              <w:rPr>
                <w:szCs w:val="21"/>
              </w:rPr>
            </w:pPr>
            <w:r>
              <w:rPr>
                <w:szCs w:val="21"/>
              </w:rPr>
              <w:t>0.029~0.279</w:t>
            </w:r>
          </w:p>
        </w:tc>
      </w:tr>
      <w:tr w:rsidR="00475650">
        <w:trPr>
          <w:trHeight w:val="397"/>
          <w:tblHeader/>
        </w:trPr>
        <w:tc>
          <w:tcPr>
            <w:tcW w:w="679" w:type="dxa"/>
            <w:vMerge/>
            <w:vAlign w:val="center"/>
          </w:tcPr>
          <w:p w:rsidR="00475650" w:rsidRDefault="00475650">
            <w:pPr>
              <w:spacing w:line="228" w:lineRule="auto"/>
              <w:jc w:val="center"/>
              <w:rPr>
                <w:szCs w:val="21"/>
              </w:rPr>
            </w:pPr>
          </w:p>
        </w:tc>
        <w:tc>
          <w:tcPr>
            <w:tcW w:w="518" w:type="dxa"/>
            <w:vMerge/>
            <w:vAlign w:val="center"/>
          </w:tcPr>
          <w:p w:rsidR="00475650" w:rsidRDefault="00475650">
            <w:pPr>
              <w:spacing w:line="228" w:lineRule="auto"/>
              <w:jc w:val="center"/>
              <w:rPr>
                <w:szCs w:val="21"/>
              </w:rPr>
            </w:pPr>
          </w:p>
        </w:tc>
        <w:tc>
          <w:tcPr>
            <w:tcW w:w="1327" w:type="dxa"/>
            <w:vAlign w:val="center"/>
          </w:tcPr>
          <w:p w:rsidR="00475650" w:rsidRDefault="00475650">
            <w:pPr>
              <w:spacing w:line="228" w:lineRule="auto"/>
              <w:jc w:val="center"/>
              <w:rPr>
                <w:szCs w:val="21"/>
              </w:rPr>
            </w:pPr>
            <w:r>
              <w:rPr>
                <w:rFonts w:ascii="宋体" w:hAnsi="宋体" w:cs="宋体" w:hint="eastAsia"/>
                <w:szCs w:val="21"/>
              </w:rPr>
              <w:t>平均值</w:t>
            </w:r>
          </w:p>
        </w:tc>
        <w:tc>
          <w:tcPr>
            <w:tcW w:w="1098" w:type="dxa"/>
            <w:vAlign w:val="center"/>
          </w:tcPr>
          <w:p w:rsidR="00475650" w:rsidRDefault="00475650">
            <w:pPr>
              <w:jc w:val="center"/>
              <w:rPr>
                <w:szCs w:val="21"/>
              </w:rPr>
            </w:pPr>
            <w:r>
              <w:rPr>
                <w:szCs w:val="21"/>
              </w:rPr>
              <w:t>18.33</w:t>
            </w:r>
          </w:p>
        </w:tc>
        <w:tc>
          <w:tcPr>
            <w:tcW w:w="1376" w:type="dxa"/>
            <w:tcBorders>
              <w:right w:val="single" w:sz="4" w:space="0" w:color="auto"/>
            </w:tcBorders>
            <w:vAlign w:val="center"/>
          </w:tcPr>
          <w:p w:rsidR="00475650" w:rsidRDefault="00475650">
            <w:pPr>
              <w:jc w:val="center"/>
              <w:rPr>
                <w:szCs w:val="21"/>
              </w:rPr>
            </w:pPr>
            <w:r>
              <w:rPr>
                <w:szCs w:val="21"/>
              </w:rPr>
              <w:t>7.63</w:t>
            </w:r>
          </w:p>
        </w:tc>
        <w:tc>
          <w:tcPr>
            <w:tcW w:w="1746" w:type="dxa"/>
            <w:tcBorders>
              <w:left w:val="single" w:sz="4" w:space="0" w:color="auto"/>
            </w:tcBorders>
            <w:vAlign w:val="center"/>
          </w:tcPr>
          <w:p w:rsidR="00475650" w:rsidRDefault="00475650">
            <w:pPr>
              <w:jc w:val="center"/>
              <w:rPr>
                <w:szCs w:val="21"/>
              </w:rPr>
            </w:pPr>
            <w:r>
              <w:rPr>
                <w:rFonts w:hint="eastAsia"/>
                <w:szCs w:val="21"/>
              </w:rPr>
              <w:t>0.0014</w:t>
            </w:r>
          </w:p>
        </w:tc>
        <w:tc>
          <w:tcPr>
            <w:tcW w:w="1201" w:type="dxa"/>
            <w:vAlign w:val="center"/>
          </w:tcPr>
          <w:p w:rsidR="00475650" w:rsidRDefault="00475650">
            <w:pPr>
              <w:jc w:val="center"/>
              <w:rPr>
                <w:szCs w:val="21"/>
              </w:rPr>
            </w:pPr>
            <w:r>
              <w:rPr>
                <w:szCs w:val="21"/>
              </w:rPr>
              <w:t>7.66</w:t>
            </w:r>
          </w:p>
        </w:tc>
        <w:tc>
          <w:tcPr>
            <w:tcW w:w="1337" w:type="dxa"/>
            <w:vAlign w:val="center"/>
          </w:tcPr>
          <w:p w:rsidR="00475650" w:rsidRDefault="00475650">
            <w:pPr>
              <w:jc w:val="center"/>
              <w:rPr>
                <w:szCs w:val="21"/>
              </w:rPr>
            </w:pPr>
            <w:r>
              <w:rPr>
                <w:szCs w:val="21"/>
              </w:rPr>
              <w:t>1.92</w:t>
            </w:r>
          </w:p>
        </w:tc>
        <w:tc>
          <w:tcPr>
            <w:tcW w:w="1337" w:type="dxa"/>
            <w:vAlign w:val="center"/>
          </w:tcPr>
          <w:p w:rsidR="00475650" w:rsidRDefault="00475650">
            <w:pPr>
              <w:jc w:val="center"/>
              <w:rPr>
                <w:szCs w:val="21"/>
              </w:rPr>
            </w:pPr>
            <w:r>
              <w:rPr>
                <w:szCs w:val="21"/>
              </w:rPr>
              <w:t>8.54</w:t>
            </w:r>
          </w:p>
        </w:tc>
        <w:tc>
          <w:tcPr>
            <w:tcW w:w="1540" w:type="dxa"/>
            <w:vAlign w:val="center"/>
          </w:tcPr>
          <w:p w:rsidR="00475650" w:rsidRDefault="00475650">
            <w:pPr>
              <w:jc w:val="center"/>
              <w:rPr>
                <w:szCs w:val="21"/>
              </w:rPr>
            </w:pPr>
            <w:r>
              <w:rPr>
                <w:szCs w:val="21"/>
              </w:rPr>
              <w:t>1.44</w:t>
            </w:r>
          </w:p>
        </w:tc>
        <w:tc>
          <w:tcPr>
            <w:tcW w:w="1743" w:type="dxa"/>
            <w:vAlign w:val="center"/>
          </w:tcPr>
          <w:p w:rsidR="00475650" w:rsidRDefault="00475650">
            <w:pPr>
              <w:jc w:val="center"/>
              <w:rPr>
                <w:szCs w:val="21"/>
              </w:rPr>
            </w:pPr>
            <w:r>
              <w:rPr>
                <w:szCs w:val="21"/>
              </w:rPr>
              <w:t>0.14</w:t>
            </w:r>
          </w:p>
        </w:tc>
      </w:tr>
      <w:tr w:rsidR="00475650">
        <w:trPr>
          <w:trHeight w:val="397"/>
          <w:tblHeader/>
        </w:trPr>
        <w:tc>
          <w:tcPr>
            <w:tcW w:w="679" w:type="dxa"/>
            <w:vMerge/>
            <w:vAlign w:val="center"/>
          </w:tcPr>
          <w:p w:rsidR="00475650" w:rsidRDefault="00475650">
            <w:pPr>
              <w:spacing w:line="228" w:lineRule="auto"/>
              <w:jc w:val="center"/>
              <w:rPr>
                <w:szCs w:val="21"/>
              </w:rPr>
            </w:pPr>
          </w:p>
        </w:tc>
        <w:tc>
          <w:tcPr>
            <w:tcW w:w="518" w:type="dxa"/>
            <w:vMerge/>
            <w:vAlign w:val="center"/>
          </w:tcPr>
          <w:p w:rsidR="00475650" w:rsidRDefault="00475650">
            <w:pPr>
              <w:spacing w:line="228" w:lineRule="auto"/>
              <w:jc w:val="center"/>
              <w:rPr>
                <w:szCs w:val="21"/>
              </w:rPr>
            </w:pPr>
          </w:p>
        </w:tc>
        <w:tc>
          <w:tcPr>
            <w:tcW w:w="1327" w:type="dxa"/>
            <w:vAlign w:val="center"/>
          </w:tcPr>
          <w:p w:rsidR="00475650" w:rsidRDefault="00475650">
            <w:pPr>
              <w:spacing w:line="228" w:lineRule="auto"/>
              <w:jc w:val="center"/>
              <w:rPr>
                <w:szCs w:val="21"/>
              </w:rPr>
            </w:pPr>
            <w:r>
              <w:rPr>
                <w:rFonts w:ascii="宋体" w:hAnsi="宋体" w:cs="宋体" w:hint="eastAsia"/>
                <w:szCs w:val="21"/>
              </w:rPr>
              <w:t>超标率</w:t>
            </w:r>
            <w:r>
              <w:rPr>
                <w:szCs w:val="21"/>
              </w:rPr>
              <w:t>%</w:t>
            </w:r>
          </w:p>
        </w:tc>
        <w:tc>
          <w:tcPr>
            <w:tcW w:w="1098" w:type="dxa"/>
            <w:vAlign w:val="center"/>
          </w:tcPr>
          <w:p w:rsidR="00475650" w:rsidRDefault="00475650">
            <w:pPr>
              <w:jc w:val="center"/>
              <w:rPr>
                <w:szCs w:val="21"/>
              </w:rPr>
            </w:pPr>
            <w:r>
              <w:rPr>
                <w:szCs w:val="21"/>
              </w:rPr>
              <w:t>/</w:t>
            </w:r>
          </w:p>
        </w:tc>
        <w:tc>
          <w:tcPr>
            <w:tcW w:w="1376" w:type="dxa"/>
            <w:tcBorders>
              <w:right w:val="single" w:sz="4" w:space="0" w:color="auto"/>
            </w:tcBorders>
            <w:vAlign w:val="center"/>
          </w:tcPr>
          <w:p w:rsidR="00475650" w:rsidRDefault="00475650">
            <w:pPr>
              <w:jc w:val="center"/>
              <w:rPr>
                <w:szCs w:val="21"/>
              </w:rPr>
            </w:pPr>
            <w:r>
              <w:rPr>
                <w:szCs w:val="21"/>
              </w:rPr>
              <w:t>/</w:t>
            </w:r>
          </w:p>
        </w:tc>
        <w:tc>
          <w:tcPr>
            <w:tcW w:w="1746" w:type="dxa"/>
            <w:tcBorders>
              <w:left w:val="single" w:sz="4" w:space="0" w:color="auto"/>
            </w:tcBorders>
            <w:vAlign w:val="center"/>
          </w:tcPr>
          <w:p w:rsidR="00475650" w:rsidRDefault="00475650">
            <w:pPr>
              <w:jc w:val="center"/>
              <w:rPr>
                <w:szCs w:val="21"/>
              </w:rPr>
            </w:pPr>
            <w:r>
              <w:rPr>
                <w:rFonts w:hint="eastAsia"/>
                <w:szCs w:val="21"/>
              </w:rPr>
              <w:t>0</w:t>
            </w:r>
          </w:p>
        </w:tc>
        <w:tc>
          <w:tcPr>
            <w:tcW w:w="1201" w:type="dxa"/>
            <w:vAlign w:val="center"/>
          </w:tcPr>
          <w:p w:rsidR="00475650" w:rsidRDefault="00475650">
            <w:pPr>
              <w:jc w:val="center"/>
              <w:rPr>
                <w:szCs w:val="21"/>
              </w:rPr>
            </w:pPr>
            <w:r>
              <w:rPr>
                <w:szCs w:val="21"/>
              </w:rPr>
              <w:t>/</w:t>
            </w:r>
          </w:p>
        </w:tc>
        <w:tc>
          <w:tcPr>
            <w:tcW w:w="1337" w:type="dxa"/>
            <w:vAlign w:val="center"/>
          </w:tcPr>
          <w:p w:rsidR="00475650" w:rsidRDefault="00475650">
            <w:pPr>
              <w:jc w:val="center"/>
              <w:rPr>
                <w:szCs w:val="21"/>
              </w:rPr>
            </w:pPr>
            <w:r>
              <w:rPr>
                <w:szCs w:val="21"/>
              </w:rPr>
              <w:t>0</w:t>
            </w:r>
          </w:p>
        </w:tc>
        <w:tc>
          <w:tcPr>
            <w:tcW w:w="1337" w:type="dxa"/>
            <w:vAlign w:val="center"/>
          </w:tcPr>
          <w:p w:rsidR="00475650" w:rsidRDefault="00475650">
            <w:pPr>
              <w:jc w:val="center"/>
              <w:rPr>
                <w:szCs w:val="21"/>
              </w:rPr>
            </w:pPr>
            <w:r>
              <w:rPr>
                <w:szCs w:val="21"/>
              </w:rPr>
              <w:t>0</w:t>
            </w:r>
          </w:p>
        </w:tc>
        <w:tc>
          <w:tcPr>
            <w:tcW w:w="1540" w:type="dxa"/>
            <w:vAlign w:val="center"/>
          </w:tcPr>
          <w:p w:rsidR="00475650" w:rsidRDefault="00475650">
            <w:pPr>
              <w:jc w:val="center"/>
              <w:rPr>
                <w:szCs w:val="21"/>
              </w:rPr>
            </w:pPr>
            <w:r>
              <w:rPr>
                <w:szCs w:val="21"/>
              </w:rPr>
              <w:t>0</w:t>
            </w:r>
          </w:p>
        </w:tc>
        <w:tc>
          <w:tcPr>
            <w:tcW w:w="1743" w:type="dxa"/>
            <w:vAlign w:val="center"/>
          </w:tcPr>
          <w:p w:rsidR="00475650" w:rsidRDefault="00475650">
            <w:pPr>
              <w:jc w:val="center"/>
              <w:rPr>
                <w:szCs w:val="21"/>
              </w:rPr>
            </w:pPr>
            <w:r>
              <w:rPr>
                <w:szCs w:val="21"/>
              </w:rPr>
              <w:t>0</w:t>
            </w:r>
          </w:p>
        </w:tc>
      </w:tr>
      <w:tr w:rsidR="00475650">
        <w:trPr>
          <w:trHeight w:val="397"/>
          <w:tblHeader/>
        </w:trPr>
        <w:tc>
          <w:tcPr>
            <w:tcW w:w="679" w:type="dxa"/>
            <w:vMerge/>
            <w:vAlign w:val="center"/>
          </w:tcPr>
          <w:p w:rsidR="00475650" w:rsidRDefault="00475650">
            <w:pPr>
              <w:spacing w:line="228" w:lineRule="auto"/>
              <w:jc w:val="center"/>
              <w:rPr>
                <w:szCs w:val="21"/>
              </w:rPr>
            </w:pPr>
          </w:p>
        </w:tc>
        <w:tc>
          <w:tcPr>
            <w:tcW w:w="518" w:type="dxa"/>
            <w:vMerge/>
            <w:vAlign w:val="center"/>
          </w:tcPr>
          <w:p w:rsidR="00475650" w:rsidRDefault="00475650">
            <w:pPr>
              <w:spacing w:line="228" w:lineRule="auto"/>
              <w:jc w:val="center"/>
              <w:rPr>
                <w:szCs w:val="21"/>
              </w:rPr>
            </w:pPr>
          </w:p>
        </w:tc>
        <w:tc>
          <w:tcPr>
            <w:tcW w:w="1327" w:type="dxa"/>
            <w:vAlign w:val="center"/>
          </w:tcPr>
          <w:p w:rsidR="00475650" w:rsidRDefault="00475650">
            <w:pPr>
              <w:spacing w:line="228" w:lineRule="auto"/>
              <w:jc w:val="center"/>
              <w:rPr>
                <w:szCs w:val="21"/>
              </w:rPr>
            </w:pPr>
            <w:r>
              <w:rPr>
                <w:rFonts w:ascii="宋体" w:hAnsi="宋体" w:cs="宋体" w:hint="eastAsia"/>
                <w:szCs w:val="21"/>
              </w:rPr>
              <w:t>最大超标倍数</w:t>
            </w:r>
          </w:p>
        </w:tc>
        <w:tc>
          <w:tcPr>
            <w:tcW w:w="1098" w:type="dxa"/>
            <w:vAlign w:val="center"/>
          </w:tcPr>
          <w:p w:rsidR="00475650" w:rsidRDefault="00475650">
            <w:pPr>
              <w:jc w:val="center"/>
              <w:rPr>
                <w:szCs w:val="21"/>
              </w:rPr>
            </w:pPr>
            <w:r>
              <w:rPr>
                <w:szCs w:val="21"/>
              </w:rPr>
              <w:t>/</w:t>
            </w:r>
          </w:p>
        </w:tc>
        <w:tc>
          <w:tcPr>
            <w:tcW w:w="1376" w:type="dxa"/>
            <w:tcBorders>
              <w:right w:val="single" w:sz="4" w:space="0" w:color="auto"/>
            </w:tcBorders>
            <w:vAlign w:val="center"/>
          </w:tcPr>
          <w:p w:rsidR="00475650" w:rsidRDefault="00475650">
            <w:pPr>
              <w:jc w:val="center"/>
              <w:rPr>
                <w:szCs w:val="21"/>
              </w:rPr>
            </w:pPr>
            <w:r>
              <w:rPr>
                <w:szCs w:val="21"/>
              </w:rPr>
              <w:t>/</w:t>
            </w:r>
          </w:p>
        </w:tc>
        <w:tc>
          <w:tcPr>
            <w:tcW w:w="1746" w:type="dxa"/>
            <w:tcBorders>
              <w:left w:val="single" w:sz="4" w:space="0" w:color="auto"/>
            </w:tcBorders>
            <w:vAlign w:val="center"/>
          </w:tcPr>
          <w:p w:rsidR="00475650" w:rsidRDefault="00475650">
            <w:pPr>
              <w:jc w:val="center"/>
              <w:rPr>
                <w:szCs w:val="21"/>
              </w:rPr>
            </w:pPr>
            <w:r>
              <w:rPr>
                <w:rFonts w:hint="eastAsia"/>
                <w:szCs w:val="21"/>
              </w:rPr>
              <w:t>0</w:t>
            </w:r>
          </w:p>
        </w:tc>
        <w:tc>
          <w:tcPr>
            <w:tcW w:w="1201" w:type="dxa"/>
            <w:vAlign w:val="center"/>
          </w:tcPr>
          <w:p w:rsidR="00475650" w:rsidRDefault="00475650">
            <w:pPr>
              <w:jc w:val="center"/>
              <w:rPr>
                <w:szCs w:val="21"/>
              </w:rPr>
            </w:pPr>
            <w:r>
              <w:rPr>
                <w:szCs w:val="21"/>
              </w:rPr>
              <w:t>/</w:t>
            </w:r>
          </w:p>
        </w:tc>
        <w:tc>
          <w:tcPr>
            <w:tcW w:w="1337" w:type="dxa"/>
            <w:vAlign w:val="center"/>
          </w:tcPr>
          <w:p w:rsidR="00475650" w:rsidRDefault="00475650">
            <w:pPr>
              <w:jc w:val="center"/>
              <w:rPr>
                <w:szCs w:val="21"/>
              </w:rPr>
            </w:pPr>
            <w:r>
              <w:rPr>
                <w:szCs w:val="21"/>
              </w:rPr>
              <w:t>0</w:t>
            </w:r>
          </w:p>
        </w:tc>
        <w:tc>
          <w:tcPr>
            <w:tcW w:w="1337" w:type="dxa"/>
            <w:vAlign w:val="center"/>
          </w:tcPr>
          <w:p w:rsidR="00475650" w:rsidRDefault="00475650">
            <w:pPr>
              <w:jc w:val="center"/>
              <w:rPr>
                <w:szCs w:val="21"/>
              </w:rPr>
            </w:pPr>
            <w:r>
              <w:rPr>
                <w:szCs w:val="21"/>
              </w:rPr>
              <w:t>0</w:t>
            </w:r>
          </w:p>
        </w:tc>
        <w:tc>
          <w:tcPr>
            <w:tcW w:w="1540" w:type="dxa"/>
            <w:vAlign w:val="center"/>
          </w:tcPr>
          <w:p w:rsidR="00475650" w:rsidRDefault="00475650">
            <w:pPr>
              <w:jc w:val="center"/>
              <w:rPr>
                <w:szCs w:val="21"/>
              </w:rPr>
            </w:pPr>
            <w:r>
              <w:rPr>
                <w:szCs w:val="21"/>
              </w:rPr>
              <w:t>0</w:t>
            </w:r>
          </w:p>
        </w:tc>
        <w:tc>
          <w:tcPr>
            <w:tcW w:w="1743" w:type="dxa"/>
            <w:vAlign w:val="center"/>
          </w:tcPr>
          <w:p w:rsidR="00475650" w:rsidRDefault="00475650">
            <w:pPr>
              <w:jc w:val="center"/>
              <w:rPr>
                <w:szCs w:val="21"/>
              </w:rPr>
            </w:pPr>
            <w:r>
              <w:rPr>
                <w:szCs w:val="21"/>
              </w:rPr>
              <w:t>0</w:t>
            </w:r>
          </w:p>
        </w:tc>
      </w:tr>
      <w:tr w:rsidR="00475650">
        <w:trPr>
          <w:trHeight w:val="397"/>
          <w:tblHeader/>
        </w:trPr>
        <w:tc>
          <w:tcPr>
            <w:tcW w:w="679" w:type="dxa"/>
            <w:vMerge w:val="restart"/>
            <w:vAlign w:val="center"/>
          </w:tcPr>
          <w:p w:rsidR="00475650" w:rsidRDefault="00475650">
            <w:pPr>
              <w:spacing w:line="228" w:lineRule="auto"/>
              <w:jc w:val="center"/>
              <w:rPr>
                <w:szCs w:val="21"/>
              </w:rPr>
            </w:pPr>
            <w:r>
              <w:rPr>
                <w:rFonts w:ascii="宋体" w:hAnsi="宋体" w:cs="宋体" w:hint="eastAsia"/>
                <w:szCs w:val="21"/>
              </w:rPr>
              <w:t>陆城断面</w:t>
            </w:r>
          </w:p>
        </w:tc>
        <w:tc>
          <w:tcPr>
            <w:tcW w:w="518" w:type="dxa"/>
            <w:vMerge w:val="restart"/>
            <w:vAlign w:val="center"/>
          </w:tcPr>
          <w:p w:rsidR="00475650" w:rsidRDefault="00475650">
            <w:pPr>
              <w:spacing w:line="228" w:lineRule="auto"/>
              <w:jc w:val="center"/>
              <w:rPr>
                <w:szCs w:val="21"/>
              </w:rPr>
            </w:pPr>
            <w:r>
              <w:rPr>
                <w:szCs w:val="21"/>
              </w:rPr>
              <w:t>15</w:t>
            </w:r>
            <w:r>
              <w:rPr>
                <w:rFonts w:ascii="宋体" w:hAnsi="宋体" w:cs="宋体" w:hint="eastAsia"/>
                <w:szCs w:val="21"/>
              </w:rPr>
              <w:t>年</w:t>
            </w:r>
          </w:p>
        </w:tc>
        <w:tc>
          <w:tcPr>
            <w:tcW w:w="1327" w:type="dxa"/>
            <w:vAlign w:val="center"/>
          </w:tcPr>
          <w:p w:rsidR="00475650" w:rsidRDefault="00475650">
            <w:pPr>
              <w:spacing w:line="228" w:lineRule="auto"/>
              <w:jc w:val="center"/>
              <w:rPr>
                <w:szCs w:val="21"/>
              </w:rPr>
            </w:pPr>
            <w:r>
              <w:rPr>
                <w:rFonts w:ascii="宋体" w:hAnsi="宋体" w:cs="宋体" w:hint="eastAsia"/>
                <w:szCs w:val="21"/>
              </w:rPr>
              <w:t>范围</w:t>
            </w:r>
          </w:p>
        </w:tc>
        <w:tc>
          <w:tcPr>
            <w:tcW w:w="1098" w:type="dxa"/>
            <w:vAlign w:val="center"/>
          </w:tcPr>
          <w:p w:rsidR="00475650" w:rsidRDefault="00475650">
            <w:pPr>
              <w:jc w:val="center"/>
              <w:rPr>
                <w:szCs w:val="21"/>
              </w:rPr>
            </w:pPr>
            <w:r>
              <w:rPr>
                <w:szCs w:val="21"/>
              </w:rPr>
              <w:t>5~28.6</w:t>
            </w:r>
          </w:p>
        </w:tc>
        <w:tc>
          <w:tcPr>
            <w:tcW w:w="1376" w:type="dxa"/>
            <w:tcBorders>
              <w:right w:val="single" w:sz="4" w:space="0" w:color="auto"/>
            </w:tcBorders>
            <w:vAlign w:val="center"/>
          </w:tcPr>
          <w:p w:rsidR="00475650" w:rsidRDefault="00475650">
            <w:pPr>
              <w:jc w:val="center"/>
              <w:rPr>
                <w:szCs w:val="21"/>
              </w:rPr>
            </w:pPr>
            <w:r>
              <w:rPr>
                <w:szCs w:val="21"/>
              </w:rPr>
              <w:t>7.09~8.02</w:t>
            </w:r>
          </w:p>
        </w:tc>
        <w:tc>
          <w:tcPr>
            <w:tcW w:w="1746" w:type="dxa"/>
            <w:tcBorders>
              <w:left w:val="single" w:sz="4" w:space="0" w:color="auto"/>
            </w:tcBorders>
            <w:vAlign w:val="center"/>
          </w:tcPr>
          <w:p w:rsidR="00475650" w:rsidRDefault="00475650">
            <w:pPr>
              <w:jc w:val="center"/>
              <w:rPr>
                <w:szCs w:val="21"/>
              </w:rPr>
            </w:pPr>
            <w:r>
              <w:rPr>
                <w:szCs w:val="21"/>
              </w:rPr>
              <w:t>0.001~0.0033</w:t>
            </w:r>
          </w:p>
        </w:tc>
        <w:tc>
          <w:tcPr>
            <w:tcW w:w="1201" w:type="dxa"/>
            <w:vAlign w:val="center"/>
          </w:tcPr>
          <w:p w:rsidR="00475650" w:rsidRDefault="00475650">
            <w:pPr>
              <w:jc w:val="center"/>
              <w:rPr>
                <w:szCs w:val="21"/>
              </w:rPr>
            </w:pPr>
            <w:r>
              <w:rPr>
                <w:szCs w:val="21"/>
              </w:rPr>
              <w:t>5.5~9.1</w:t>
            </w:r>
          </w:p>
        </w:tc>
        <w:tc>
          <w:tcPr>
            <w:tcW w:w="1337" w:type="dxa"/>
            <w:vAlign w:val="center"/>
          </w:tcPr>
          <w:p w:rsidR="00475650" w:rsidRDefault="00475650">
            <w:pPr>
              <w:jc w:val="center"/>
              <w:rPr>
                <w:szCs w:val="21"/>
              </w:rPr>
            </w:pPr>
            <w:r>
              <w:rPr>
                <w:szCs w:val="21"/>
              </w:rPr>
              <w:t>1.89~2.89</w:t>
            </w:r>
          </w:p>
        </w:tc>
        <w:tc>
          <w:tcPr>
            <w:tcW w:w="1337" w:type="dxa"/>
            <w:vAlign w:val="center"/>
          </w:tcPr>
          <w:p w:rsidR="00475650" w:rsidRDefault="00475650">
            <w:pPr>
              <w:jc w:val="center"/>
              <w:rPr>
                <w:szCs w:val="21"/>
              </w:rPr>
            </w:pPr>
            <w:r>
              <w:rPr>
                <w:szCs w:val="21"/>
              </w:rPr>
              <w:t>7.04~14.3</w:t>
            </w:r>
          </w:p>
        </w:tc>
        <w:tc>
          <w:tcPr>
            <w:tcW w:w="1540" w:type="dxa"/>
            <w:vAlign w:val="center"/>
          </w:tcPr>
          <w:p w:rsidR="00475650" w:rsidRDefault="00475650">
            <w:pPr>
              <w:jc w:val="center"/>
              <w:rPr>
                <w:szCs w:val="21"/>
              </w:rPr>
            </w:pPr>
            <w:r>
              <w:rPr>
                <w:szCs w:val="21"/>
              </w:rPr>
              <w:t>0.5~3.2</w:t>
            </w:r>
          </w:p>
        </w:tc>
        <w:tc>
          <w:tcPr>
            <w:tcW w:w="1743" w:type="dxa"/>
            <w:vAlign w:val="center"/>
          </w:tcPr>
          <w:p w:rsidR="00475650" w:rsidRDefault="00475650">
            <w:pPr>
              <w:jc w:val="center"/>
              <w:rPr>
                <w:szCs w:val="21"/>
              </w:rPr>
            </w:pPr>
            <w:r>
              <w:rPr>
                <w:szCs w:val="21"/>
              </w:rPr>
              <w:t>0.046~0.438</w:t>
            </w:r>
          </w:p>
        </w:tc>
      </w:tr>
      <w:tr w:rsidR="00475650">
        <w:trPr>
          <w:trHeight w:val="397"/>
          <w:tblHeader/>
        </w:trPr>
        <w:tc>
          <w:tcPr>
            <w:tcW w:w="679" w:type="dxa"/>
            <w:vMerge/>
            <w:vAlign w:val="center"/>
          </w:tcPr>
          <w:p w:rsidR="00475650" w:rsidRDefault="00475650">
            <w:pPr>
              <w:spacing w:line="228" w:lineRule="auto"/>
              <w:jc w:val="center"/>
              <w:rPr>
                <w:szCs w:val="21"/>
              </w:rPr>
            </w:pPr>
          </w:p>
        </w:tc>
        <w:tc>
          <w:tcPr>
            <w:tcW w:w="518" w:type="dxa"/>
            <w:vMerge/>
            <w:vAlign w:val="center"/>
          </w:tcPr>
          <w:p w:rsidR="00475650" w:rsidRDefault="00475650">
            <w:pPr>
              <w:spacing w:line="228" w:lineRule="auto"/>
              <w:jc w:val="center"/>
              <w:rPr>
                <w:szCs w:val="21"/>
              </w:rPr>
            </w:pPr>
          </w:p>
        </w:tc>
        <w:tc>
          <w:tcPr>
            <w:tcW w:w="1327" w:type="dxa"/>
            <w:vAlign w:val="center"/>
          </w:tcPr>
          <w:p w:rsidR="00475650" w:rsidRDefault="00475650">
            <w:pPr>
              <w:spacing w:line="228" w:lineRule="auto"/>
              <w:jc w:val="center"/>
              <w:rPr>
                <w:szCs w:val="21"/>
              </w:rPr>
            </w:pPr>
            <w:r>
              <w:rPr>
                <w:rFonts w:ascii="宋体" w:hAnsi="宋体" w:cs="宋体" w:hint="eastAsia"/>
                <w:szCs w:val="21"/>
              </w:rPr>
              <w:t>平均值</w:t>
            </w:r>
          </w:p>
        </w:tc>
        <w:tc>
          <w:tcPr>
            <w:tcW w:w="1098" w:type="dxa"/>
            <w:vAlign w:val="center"/>
          </w:tcPr>
          <w:p w:rsidR="00475650" w:rsidRDefault="00475650">
            <w:pPr>
              <w:jc w:val="center"/>
              <w:rPr>
                <w:szCs w:val="21"/>
              </w:rPr>
            </w:pPr>
            <w:r>
              <w:rPr>
                <w:szCs w:val="21"/>
              </w:rPr>
              <w:t>18.00</w:t>
            </w:r>
          </w:p>
        </w:tc>
        <w:tc>
          <w:tcPr>
            <w:tcW w:w="1376" w:type="dxa"/>
            <w:tcBorders>
              <w:right w:val="single" w:sz="4" w:space="0" w:color="auto"/>
            </w:tcBorders>
            <w:vAlign w:val="center"/>
          </w:tcPr>
          <w:p w:rsidR="00475650" w:rsidRDefault="00475650">
            <w:pPr>
              <w:jc w:val="center"/>
              <w:rPr>
                <w:szCs w:val="21"/>
              </w:rPr>
            </w:pPr>
            <w:r>
              <w:rPr>
                <w:szCs w:val="21"/>
              </w:rPr>
              <w:t>7.62</w:t>
            </w:r>
          </w:p>
        </w:tc>
        <w:tc>
          <w:tcPr>
            <w:tcW w:w="1746" w:type="dxa"/>
            <w:tcBorders>
              <w:left w:val="single" w:sz="4" w:space="0" w:color="auto"/>
            </w:tcBorders>
            <w:vAlign w:val="center"/>
          </w:tcPr>
          <w:p w:rsidR="00475650" w:rsidRDefault="00475650">
            <w:pPr>
              <w:jc w:val="center"/>
              <w:rPr>
                <w:szCs w:val="21"/>
              </w:rPr>
            </w:pPr>
            <w:r>
              <w:rPr>
                <w:rFonts w:hint="eastAsia"/>
                <w:szCs w:val="21"/>
              </w:rPr>
              <w:t>0.0016</w:t>
            </w:r>
          </w:p>
        </w:tc>
        <w:tc>
          <w:tcPr>
            <w:tcW w:w="1201" w:type="dxa"/>
            <w:vAlign w:val="center"/>
          </w:tcPr>
          <w:p w:rsidR="00475650" w:rsidRDefault="00475650">
            <w:pPr>
              <w:jc w:val="center"/>
              <w:rPr>
                <w:szCs w:val="21"/>
              </w:rPr>
            </w:pPr>
            <w:r>
              <w:rPr>
                <w:szCs w:val="21"/>
              </w:rPr>
              <w:t>7.48</w:t>
            </w:r>
          </w:p>
        </w:tc>
        <w:tc>
          <w:tcPr>
            <w:tcW w:w="1337" w:type="dxa"/>
            <w:vAlign w:val="center"/>
          </w:tcPr>
          <w:p w:rsidR="00475650" w:rsidRDefault="00475650">
            <w:pPr>
              <w:jc w:val="center"/>
              <w:rPr>
                <w:szCs w:val="21"/>
              </w:rPr>
            </w:pPr>
            <w:r>
              <w:rPr>
                <w:szCs w:val="21"/>
              </w:rPr>
              <w:t>2.26</w:t>
            </w:r>
          </w:p>
        </w:tc>
        <w:tc>
          <w:tcPr>
            <w:tcW w:w="1337" w:type="dxa"/>
            <w:vAlign w:val="center"/>
          </w:tcPr>
          <w:p w:rsidR="00475650" w:rsidRDefault="00475650">
            <w:pPr>
              <w:jc w:val="center"/>
              <w:rPr>
                <w:szCs w:val="21"/>
              </w:rPr>
            </w:pPr>
            <w:r>
              <w:rPr>
                <w:szCs w:val="21"/>
              </w:rPr>
              <w:t>9.64</w:t>
            </w:r>
          </w:p>
        </w:tc>
        <w:tc>
          <w:tcPr>
            <w:tcW w:w="1540" w:type="dxa"/>
            <w:vAlign w:val="center"/>
          </w:tcPr>
          <w:p w:rsidR="00475650" w:rsidRDefault="00475650">
            <w:pPr>
              <w:jc w:val="center"/>
              <w:rPr>
                <w:szCs w:val="21"/>
              </w:rPr>
            </w:pPr>
            <w:r>
              <w:rPr>
                <w:szCs w:val="21"/>
              </w:rPr>
              <w:t>1.56</w:t>
            </w:r>
          </w:p>
        </w:tc>
        <w:tc>
          <w:tcPr>
            <w:tcW w:w="1743" w:type="dxa"/>
            <w:vAlign w:val="center"/>
          </w:tcPr>
          <w:p w:rsidR="00475650" w:rsidRDefault="00475650">
            <w:pPr>
              <w:jc w:val="center"/>
              <w:rPr>
                <w:szCs w:val="21"/>
              </w:rPr>
            </w:pPr>
            <w:r>
              <w:rPr>
                <w:szCs w:val="21"/>
              </w:rPr>
              <w:t>0.13</w:t>
            </w:r>
          </w:p>
        </w:tc>
      </w:tr>
      <w:tr w:rsidR="00475650">
        <w:trPr>
          <w:trHeight w:val="397"/>
          <w:tblHeader/>
        </w:trPr>
        <w:tc>
          <w:tcPr>
            <w:tcW w:w="679" w:type="dxa"/>
            <w:vMerge/>
            <w:vAlign w:val="center"/>
          </w:tcPr>
          <w:p w:rsidR="00475650" w:rsidRDefault="00475650">
            <w:pPr>
              <w:spacing w:line="228" w:lineRule="auto"/>
              <w:jc w:val="center"/>
              <w:rPr>
                <w:szCs w:val="21"/>
              </w:rPr>
            </w:pPr>
          </w:p>
        </w:tc>
        <w:tc>
          <w:tcPr>
            <w:tcW w:w="518" w:type="dxa"/>
            <w:vMerge/>
            <w:vAlign w:val="center"/>
          </w:tcPr>
          <w:p w:rsidR="00475650" w:rsidRDefault="00475650">
            <w:pPr>
              <w:spacing w:line="228" w:lineRule="auto"/>
              <w:jc w:val="center"/>
              <w:rPr>
                <w:szCs w:val="21"/>
              </w:rPr>
            </w:pPr>
          </w:p>
        </w:tc>
        <w:tc>
          <w:tcPr>
            <w:tcW w:w="1327" w:type="dxa"/>
            <w:vAlign w:val="center"/>
          </w:tcPr>
          <w:p w:rsidR="00475650" w:rsidRDefault="00475650">
            <w:pPr>
              <w:spacing w:line="228" w:lineRule="auto"/>
              <w:jc w:val="center"/>
              <w:rPr>
                <w:szCs w:val="21"/>
              </w:rPr>
            </w:pPr>
            <w:r>
              <w:rPr>
                <w:rFonts w:ascii="宋体" w:hAnsi="宋体" w:cs="宋体" w:hint="eastAsia"/>
                <w:szCs w:val="21"/>
              </w:rPr>
              <w:t>超标率</w:t>
            </w:r>
            <w:r>
              <w:rPr>
                <w:szCs w:val="21"/>
              </w:rPr>
              <w:t>%</w:t>
            </w:r>
          </w:p>
        </w:tc>
        <w:tc>
          <w:tcPr>
            <w:tcW w:w="1098" w:type="dxa"/>
            <w:vAlign w:val="center"/>
          </w:tcPr>
          <w:p w:rsidR="00475650" w:rsidRDefault="00475650">
            <w:pPr>
              <w:jc w:val="center"/>
              <w:rPr>
                <w:szCs w:val="21"/>
              </w:rPr>
            </w:pPr>
            <w:r>
              <w:rPr>
                <w:szCs w:val="21"/>
              </w:rPr>
              <w:t>/</w:t>
            </w:r>
          </w:p>
        </w:tc>
        <w:tc>
          <w:tcPr>
            <w:tcW w:w="1376" w:type="dxa"/>
            <w:tcBorders>
              <w:right w:val="single" w:sz="4" w:space="0" w:color="auto"/>
            </w:tcBorders>
            <w:vAlign w:val="center"/>
          </w:tcPr>
          <w:p w:rsidR="00475650" w:rsidRDefault="00475650">
            <w:pPr>
              <w:jc w:val="center"/>
              <w:rPr>
                <w:szCs w:val="21"/>
              </w:rPr>
            </w:pPr>
            <w:r>
              <w:rPr>
                <w:szCs w:val="21"/>
              </w:rPr>
              <w:t>/</w:t>
            </w:r>
          </w:p>
        </w:tc>
        <w:tc>
          <w:tcPr>
            <w:tcW w:w="1746" w:type="dxa"/>
            <w:tcBorders>
              <w:left w:val="single" w:sz="4" w:space="0" w:color="auto"/>
            </w:tcBorders>
            <w:vAlign w:val="center"/>
          </w:tcPr>
          <w:p w:rsidR="00475650" w:rsidRDefault="00475650">
            <w:pPr>
              <w:jc w:val="center"/>
              <w:rPr>
                <w:szCs w:val="21"/>
              </w:rPr>
            </w:pPr>
            <w:r>
              <w:rPr>
                <w:rFonts w:hint="eastAsia"/>
                <w:szCs w:val="21"/>
              </w:rPr>
              <w:t>0</w:t>
            </w:r>
          </w:p>
        </w:tc>
        <w:tc>
          <w:tcPr>
            <w:tcW w:w="1201" w:type="dxa"/>
            <w:vAlign w:val="center"/>
          </w:tcPr>
          <w:p w:rsidR="00475650" w:rsidRDefault="00475650">
            <w:pPr>
              <w:jc w:val="center"/>
              <w:rPr>
                <w:szCs w:val="21"/>
              </w:rPr>
            </w:pPr>
            <w:r>
              <w:rPr>
                <w:szCs w:val="21"/>
              </w:rPr>
              <w:t>/</w:t>
            </w:r>
          </w:p>
        </w:tc>
        <w:tc>
          <w:tcPr>
            <w:tcW w:w="1337" w:type="dxa"/>
            <w:vAlign w:val="center"/>
          </w:tcPr>
          <w:p w:rsidR="00475650" w:rsidRDefault="00475650">
            <w:pPr>
              <w:jc w:val="center"/>
              <w:rPr>
                <w:szCs w:val="21"/>
              </w:rPr>
            </w:pPr>
            <w:r>
              <w:rPr>
                <w:szCs w:val="21"/>
              </w:rPr>
              <w:t>0</w:t>
            </w:r>
          </w:p>
        </w:tc>
        <w:tc>
          <w:tcPr>
            <w:tcW w:w="1337" w:type="dxa"/>
            <w:vAlign w:val="center"/>
          </w:tcPr>
          <w:p w:rsidR="00475650" w:rsidRDefault="00475650">
            <w:pPr>
              <w:jc w:val="center"/>
              <w:rPr>
                <w:szCs w:val="21"/>
              </w:rPr>
            </w:pPr>
            <w:r>
              <w:rPr>
                <w:szCs w:val="21"/>
              </w:rPr>
              <w:t>0</w:t>
            </w:r>
          </w:p>
        </w:tc>
        <w:tc>
          <w:tcPr>
            <w:tcW w:w="1540" w:type="dxa"/>
            <w:vAlign w:val="center"/>
          </w:tcPr>
          <w:p w:rsidR="00475650" w:rsidRDefault="00475650">
            <w:pPr>
              <w:jc w:val="center"/>
              <w:rPr>
                <w:szCs w:val="21"/>
              </w:rPr>
            </w:pPr>
            <w:r>
              <w:rPr>
                <w:szCs w:val="21"/>
              </w:rPr>
              <w:t>0</w:t>
            </w:r>
          </w:p>
        </w:tc>
        <w:tc>
          <w:tcPr>
            <w:tcW w:w="1743" w:type="dxa"/>
            <w:vAlign w:val="center"/>
          </w:tcPr>
          <w:p w:rsidR="00475650" w:rsidRDefault="00475650">
            <w:pPr>
              <w:jc w:val="center"/>
              <w:rPr>
                <w:szCs w:val="21"/>
              </w:rPr>
            </w:pPr>
            <w:r>
              <w:rPr>
                <w:szCs w:val="21"/>
              </w:rPr>
              <w:t>0</w:t>
            </w:r>
          </w:p>
        </w:tc>
      </w:tr>
      <w:tr w:rsidR="00475650">
        <w:trPr>
          <w:trHeight w:val="397"/>
          <w:tblHeader/>
        </w:trPr>
        <w:tc>
          <w:tcPr>
            <w:tcW w:w="679" w:type="dxa"/>
            <w:vMerge/>
            <w:vAlign w:val="center"/>
          </w:tcPr>
          <w:p w:rsidR="00475650" w:rsidRDefault="00475650">
            <w:pPr>
              <w:spacing w:line="228" w:lineRule="auto"/>
              <w:jc w:val="center"/>
              <w:rPr>
                <w:szCs w:val="21"/>
              </w:rPr>
            </w:pPr>
          </w:p>
        </w:tc>
        <w:tc>
          <w:tcPr>
            <w:tcW w:w="518" w:type="dxa"/>
            <w:vMerge/>
            <w:vAlign w:val="center"/>
          </w:tcPr>
          <w:p w:rsidR="00475650" w:rsidRDefault="00475650">
            <w:pPr>
              <w:spacing w:line="228" w:lineRule="auto"/>
              <w:jc w:val="center"/>
              <w:rPr>
                <w:szCs w:val="21"/>
              </w:rPr>
            </w:pPr>
          </w:p>
        </w:tc>
        <w:tc>
          <w:tcPr>
            <w:tcW w:w="1327" w:type="dxa"/>
            <w:vAlign w:val="center"/>
          </w:tcPr>
          <w:p w:rsidR="00475650" w:rsidRDefault="00475650">
            <w:pPr>
              <w:spacing w:line="228" w:lineRule="auto"/>
              <w:jc w:val="center"/>
              <w:rPr>
                <w:szCs w:val="21"/>
              </w:rPr>
            </w:pPr>
            <w:r>
              <w:rPr>
                <w:rFonts w:ascii="宋体" w:hAnsi="宋体" w:cs="宋体" w:hint="eastAsia"/>
                <w:szCs w:val="21"/>
              </w:rPr>
              <w:t>最大超标倍数</w:t>
            </w:r>
          </w:p>
        </w:tc>
        <w:tc>
          <w:tcPr>
            <w:tcW w:w="1098" w:type="dxa"/>
            <w:vAlign w:val="center"/>
          </w:tcPr>
          <w:p w:rsidR="00475650" w:rsidRDefault="00475650">
            <w:pPr>
              <w:jc w:val="center"/>
              <w:rPr>
                <w:szCs w:val="21"/>
              </w:rPr>
            </w:pPr>
            <w:r>
              <w:rPr>
                <w:szCs w:val="21"/>
              </w:rPr>
              <w:t>/</w:t>
            </w:r>
          </w:p>
        </w:tc>
        <w:tc>
          <w:tcPr>
            <w:tcW w:w="1376" w:type="dxa"/>
            <w:tcBorders>
              <w:right w:val="single" w:sz="4" w:space="0" w:color="auto"/>
            </w:tcBorders>
            <w:vAlign w:val="center"/>
          </w:tcPr>
          <w:p w:rsidR="00475650" w:rsidRDefault="00475650">
            <w:pPr>
              <w:jc w:val="center"/>
              <w:rPr>
                <w:szCs w:val="21"/>
              </w:rPr>
            </w:pPr>
            <w:r>
              <w:rPr>
                <w:szCs w:val="21"/>
              </w:rPr>
              <w:t>/</w:t>
            </w:r>
          </w:p>
        </w:tc>
        <w:tc>
          <w:tcPr>
            <w:tcW w:w="1746" w:type="dxa"/>
            <w:tcBorders>
              <w:left w:val="single" w:sz="4" w:space="0" w:color="auto"/>
            </w:tcBorders>
            <w:vAlign w:val="center"/>
          </w:tcPr>
          <w:p w:rsidR="00475650" w:rsidRDefault="00475650">
            <w:pPr>
              <w:jc w:val="center"/>
              <w:rPr>
                <w:szCs w:val="21"/>
              </w:rPr>
            </w:pPr>
            <w:r>
              <w:rPr>
                <w:rFonts w:hint="eastAsia"/>
                <w:szCs w:val="21"/>
              </w:rPr>
              <w:t>0</w:t>
            </w:r>
          </w:p>
        </w:tc>
        <w:tc>
          <w:tcPr>
            <w:tcW w:w="1201" w:type="dxa"/>
            <w:vAlign w:val="center"/>
          </w:tcPr>
          <w:p w:rsidR="00475650" w:rsidRDefault="00475650">
            <w:pPr>
              <w:jc w:val="center"/>
              <w:rPr>
                <w:szCs w:val="21"/>
              </w:rPr>
            </w:pPr>
            <w:r>
              <w:rPr>
                <w:szCs w:val="21"/>
              </w:rPr>
              <w:t>/</w:t>
            </w:r>
          </w:p>
        </w:tc>
        <w:tc>
          <w:tcPr>
            <w:tcW w:w="1337" w:type="dxa"/>
            <w:vAlign w:val="center"/>
          </w:tcPr>
          <w:p w:rsidR="00475650" w:rsidRDefault="00475650">
            <w:pPr>
              <w:jc w:val="center"/>
              <w:rPr>
                <w:szCs w:val="21"/>
              </w:rPr>
            </w:pPr>
            <w:r>
              <w:rPr>
                <w:szCs w:val="21"/>
              </w:rPr>
              <w:t>0</w:t>
            </w:r>
          </w:p>
        </w:tc>
        <w:tc>
          <w:tcPr>
            <w:tcW w:w="1337" w:type="dxa"/>
            <w:vAlign w:val="center"/>
          </w:tcPr>
          <w:p w:rsidR="00475650" w:rsidRDefault="00475650">
            <w:pPr>
              <w:jc w:val="center"/>
              <w:rPr>
                <w:szCs w:val="21"/>
              </w:rPr>
            </w:pPr>
            <w:r>
              <w:rPr>
                <w:szCs w:val="21"/>
              </w:rPr>
              <w:t>0</w:t>
            </w:r>
          </w:p>
        </w:tc>
        <w:tc>
          <w:tcPr>
            <w:tcW w:w="1540" w:type="dxa"/>
            <w:vAlign w:val="center"/>
          </w:tcPr>
          <w:p w:rsidR="00475650" w:rsidRDefault="00475650">
            <w:pPr>
              <w:jc w:val="center"/>
              <w:rPr>
                <w:szCs w:val="21"/>
              </w:rPr>
            </w:pPr>
            <w:r>
              <w:rPr>
                <w:szCs w:val="21"/>
              </w:rPr>
              <w:t>0</w:t>
            </w:r>
          </w:p>
        </w:tc>
        <w:tc>
          <w:tcPr>
            <w:tcW w:w="1743" w:type="dxa"/>
            <w:vAlign w:val="center"/>
          </w:tcPr>
          <w:p w:rsidR="00475650" w:rsidRDefault="00475650">
            <w:pPr>
              <w:jc w:val="center"/>
              <w:rPr>
                <w:szCs w:val="21"/>
              </w:rPr>
            </w:pPr>
            <w:r>
              <w:rPr>
                <w:szCs w:val="21"/>
              </w:rPr>
              <w:t>0</w:t>
            </w:r>
          </w:p>
        </w:tc>
      </w:tr>
    </w:tbl>
    <w:p w:rsidR="00475650" w:rsidRDefault="00475650">
      <w:pPr>
        <w:rPr>
          <w:rFonts w:eastAsia="黑体"/>
        </w:rPr>
      </w:pPr>
    </w:p>
    <w:p w:rsidR="00475650" w:rsidRDefault="00475650">
      <w:pPr>
        <w:ind w:firstLineChars="150" w:firstLine="315"/>
        <w:rPr>
          <w:rFonts w:eastAsia="黑体"/>
          <w:bCs/>
        </w:rPr>
      </w:pPr>
    </w:p>
    <w:p w:rsidR="00475650" w:rsidRDefault="00475650">
      <w:pPr>
        <w:jc w:val="center"/>
        <w:rPr>
          <w:rFonts w:eastAsia="黑体"/>
          <w:bCs/>
        </w:rPr>
      </w:pPr>
    </w:p>
    <w:p w:rsidR="00475650" w:rsidRDefault="00475650">
      <w:pPr>
        <w:jc w:val="center"/>
        <w:rPr>
          <w:rFonts w:eastAsia="黑体"/>
          <w:bCs/>
        </w:rPr>
      </w:pPr>
    </w:p>
    <w:p w:rsidR="00475650" w:rsidRDefault="00475650">
      <w:pPr>
        <w:jc w:val="center"/>
        <w:rPr>
          <w:rFonts w:eastAsia="黑体"/>
          <w:bCs/>
        </w:rPr>
      </w:pPr>
    </w:p>
    <w:p w:rsidR="00475650" w:rsidRDefault="00475650">
      <w:pPr>
        <w:jc w:val="center"/>
        <w:rPr>
          <w:rFonts w:eastAsia="黑体"/>
          <w:bCs/>
        </w:rPr>
      </w:pPr>
    </w:p>
    <w:p w:rsidR="00475650" w:rsidRDefault="00475650">
      <w:pPr>
        <w:jc w:val="center"/>
        <w:rPr>
          <w:rFonts w:eastAsia="黑体"/>
          <w:bCs/>
        </w:rPr>
      </w:pPr>
    </w:p>
    <w:p w:rsidR="00475650" w:rsidRDefault="00475650">
      <w:pPr>
        <w:jc w:val="center"/>
        <w:rPr>
          <w:rFonts w:eastAsia="黑体"/>
          <w:bCs/>
        </w:rPr>
      </w:pPr>
    </w:p>
    <w:p w:rsidR="00475650" w:rsidRDefault="00475650">
      <w:pPr>
        <w:jc w:val="center"/>
        <w:rPr>
          <w:rFonts w:eastAsia="黑体"/>
          <w:bCs/>
        </w:rPr>
      </w:pPr>
    </w:p>
    <w:p w:rsidR="00475650" w:rsidRDefault="00475650">
      <w:pPr>
        <w:jc w:val="center"/>
        <w:rPr>
          <w:rFonts w:eastAsia="黑体"/>
          <w:bCs/>
        </w:rPr>
      </w:pPr>
    </w:p>
    <w:p w:rsidR="00475650" w:rsidRDefault="00475650">
      <w:pPr>
        <w:jc w:val="center"/>
        <w:rPr>
          <w:rFonts w:eastAsia="黑体"/>
          <w:bCs/>
        </w:rPr>
      </w:pPr>
    </w:p>
    <w:p w:rsidR="00475650" w:rsidRDefault="00475650">
      <w:pPr>
        <w:jc w:val="center"/>
        <w:rPr>
          <w:rFonts w:eastAsia="黑体"/>
          <w:bCs/>
        </w:rPr>
      </w:pPr>
    </w:p>
    <w:p w:rsidR="00475650" w:rsidRDefault="00475650">
      <w:pPr>
        <w:jc w:val="center"/>
        <w:rPr>
          <w:rFonts w:eastAsia="黑体"/>
          <w:bCs/>
        </w:rPr>
      </w:pPr>
    </w:p>
    <w:p w:rsidR="00475650" w:rsidRDefault="00475650">
      <w:pPr>
        <w:jc w:val="center"/>
        <w:rPr>
          <w:rFonts w:eastAsia="黑体"/>
          <w:bCs/>
        </w:rPr>
      </w:pPr>
    </w:p>
    <w:p w:rsidR="00475650" w:rsidRDefault="00475650">
      <w:pPr>
        <w:jc w:val="center"/>
        <w:rPr>
          <w:rFonts w:eastAsia="黑体"/>
          <w:bCs/>
        </w:rPr>
      </w:pPr>
    </w:p>
    <w:p w:rsidR="00475650" w:rsidRDefault="00475650">
      <w:pPr>
        <w:jc w:val="center"/>
        <w:rPr>
          <w:rFonts w:eastAsia="黑体"/>
          <w:bCs/>
        </w:rPr>
      </w:pPr>
    </w:p>
    <w:bookmarkEnd w:id="693"/>
    <w:p w:rsidR="00475650" w:rsidRDefault="00475650">
      <w:pPr>
        <w:jc w:val="center"/>
        <w:rPr>
          <w:rFonts w:eastAsia="黑体"/>
          <w:bCs/>
        </w:rPr>
      </w:pPr>
      <w:r>
        <w:rPr>
          <w:rFonts w:eastAsia="黑体"/>
          <w:bCs/>
        </w:rPr>
        <w:lastRenderedPageBreak/>
        <w:t>表</w:t>
      </w:r>
      <w:r>
        <w:rPr>
          <w:rFonts w:eastAsia="黑体"/>
          <w:bCs/>
        </w:rPr>
        <w:t>4.</w:t>
      </w:r>
      <w:r>
        <w:rPr>
          <w:rFonts w:eastAsia="黑体" w:hint="eastAsia"/>
          <w:bCs/>
        </w:rPr>
        <w:t>3-11</w:t>
      </w:r>
      <w:r>
        <w:rPr>
          <w:rFonts w:eastAsia="黑体"/>
          <w:bCs/>
        </w:rPr>
        <w:t xml:space="preserve">   </w:t>
      </w:r>
      <w:r>
        <w:rPr>
          <w:rFonts w:eastAsia="黑体"/>
          <w:bCs/>
        </w:rPr>
        <w:t>地表水环境质量历史监测数据统计评价表单位</w:t>
      </w:r>
      <w:r>
        <w:rPr>
          <w:rFonts w:eastAsia="黑体"/>
          <w:bCs/>
        </w:rPr>
        <w:t>:mg/L</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421"/>
        <w:gridCol w:w="1421"/>
        <w:gridCol w:w="1422"/>
        <w:gridCol w:w="1422"/>
        <w:gridCol w:w="1422"/>
        <w:gridCol w:w="1422"/>
        <w:gridCol w:w="1422"/>
        <w:gridCol w:w="1422"/>
        <w:gridCol w:w="1422"/>
        <w:gridCol w:w="1422"/>
      </w:tblGrid>
      <w:tr w:rsidR="00475650">
        <w:trPr>
          <w:tblHeader/>
          <w:jc w:val="center"/>
        </w:trPr>
        <w:tc>
          <w:tcPr>
            <w:tcW w:w="2842" w:type="dxa"/>
            <w:gridSpan w:val="2"/>
          </w:tcPr>
          <w:p w:rsidR="00475650" w:rsidRDefault="00475650">
            <w:pPr>
              <w:pStyle w:val="ENFI"/>
              <w:rPr>
                <w:rFonts w:eastAsia="宋体"/>
                <w:sz w:val="21"/>
              </w:rPr>
            </w:pPr>
            <w:r>
              <w:rPr>
                <w:rFonts w:eastAsia="宋体"/>
                <w:sz w:val="21"/>
              </w:rPr>
              <w:t>项目</w:t>
            </w:r>
          </w:p>
          <w:p w:rsidR="00475650" w:rsidRDefault="00475650">
            <w:pPr>
              <w:pStyle w:val="ENFI"/>
              <w:rPr>
                <w:rFonts w:eastAsia="宋体"/>
                <w:sz w:val="21"/>
              </w:rPr>
            </w:pPr>
            <w:r>
              <w:rPr>
                <w:rFonts w:eastAsia="宋体"/>
                <w:sz w:val="21"/>
              </w:rPr>
              <w:t>监测点</w:t>
            </w:r>
          </w:p>
        </w:tc>
        <w:tc>
          <w:tcPr>
            <w:tcW w:w="1422" w:type="dxa"/>
          </w:tcPr>
          <w:p w:rsidR="00475650" w:rsidRDefault="00475650">
            <w:pPr>
              <w:pStyle w:val="ENFI"/>
              <w:rPr>
                <w:rFonts w:eastAsia="宋体"/>
                <w:sz w:val="21"/>
              </w:rPr>
            </w:pPr>
            <w:r>
              <w:rPr>
                <w:rFonts w:eastAsia="宋体"/>
                <w:sz w:val="21"/>
              </w:rPr>
              <w:t>pH</w:t>
            </w:r>
            <w:r>
              <w:rPr>
                <w:rFonts w:eastAsia="宋体"/>
                <w:sz w:val="21"/>
              </w:rPr>
              <w:t>值</w:t>
            </w:r>
          </w:p>
        </w:tc>
        <w:tc>
          <w:tcPr>
            <w:tcW w:w="1422" w:type="dxa"/>
          </w:tcPr>
          <w:p w:rsidR="00475650" w:rsidRDefault="00475650">
            <w:pPr>
              <w:pStyle w:val="ENFI"/>
              <w:rPr>
                <w:rFonts w:eastAsia="宋体"/>
                <w:sz w:val="21"/>
              </w:rPr>
            </w:pPr>
            <w:r>
              <w:rPr>
                <w:rFonts w:eastAsia="宋体"/>
                <w:sz w:val="21"/>
              </w:rPr>
              <w:t>水温</w:t>
            </w:r>
          </w:p>
        </w:tc>
        <w:tc>
          <w:tcPr>
            <w:tcW w:w="1422" w:type="dxa"/>
          </w:tcPr>
          <w:p w:rsidR="00475650" w:rsidRDefault="00475650">
            <w:pPr>
              <w:pStyle w:val="ENFI"/>
              <w:rPr>
                <w:rFonts w:eastAsia="宋体"/>
                <w:sz w:val="21"/>
              </w:rPr>
            </w:pPr>
            <w:r>
              <w:rPr>
                <w:rFonts w:eastAsia="宋体"/>
                <w:sz w:val="21"/>
              </w:rPr>
              <w:t>溶解氧</w:t>
            </w:r>
          </w:p>
        </w:tc>
        <w:tc>
          <w:tcPr>
            <w:tcW w:w="1422" w:type="dxa"/>
          </w:tcPr>
          <w:p w:rsidR="00475650" w:rsidRDefault="00475650">
            <w:pPr>
              <w:pStyle w:val="ENFI"/>
              <w:rPr>
                <w:rFonts w:eastAsia="宋体"/>
                <w:sz w:val="21"/>
              </w:rPr>
            </w:pPr>
            <w:r>
              <w:rPr>
                <w:rFonts w:eastAsia="宋体"/>
                <w:sz w:val="21"/>
              </w:rPr>
              <w:t>悬浮物</w:t>
            </w:r>
          </w:p>
        </w:tc>
        <w:tc>
          <w:tcPr>
            <w:tcW w:w="1422" w:type="dxa"/>
          </w:tcPr>
          <w:p w:rsidR="00475650" w:rsidRDefault="00475650">
            <w:pPr>
              <w:pStyle w:val="ENFI"/>
              <w:rPr>
                <w:rFonts w:eastAsia="宋体"/>
                <w:sz w:val="21"/>
              </w:rPr>
            </w:pPr>
            <w:r>
              <w:rPr>
                <w:rFonts w:eastAsia="宋体"/>
                <w:sz w:val="21"/>
              </w:rPr>
              <w:t>化学需氧量</w:t>
            </w:r>
          </w:p>
        </w:tc>
        <w:tc>
          <w:tcPr>
            <w:tcW w:w="1422" w:type="dxa"/>
          </w:tcPr>
          <w:p w:rsidR="00475650" w:rsidRDefault="00475650">
            <w:pPr>
              <w:pStyle w:val="ENFI"/>
              <w:rPr>
                <w:rFonts w:eastAsia="宋体"/>
                <w:sz w:val="21"/>
              </w:rPr>
            </w:pPr>
            <w:r>
              <w:rPr>
                <w:rFonts w:eastAsia="宋体"/>
                <w:sz w:val="21"/>
              </w:rPr>
              <w:t>五日生化需氧量</w:t>
            </w:r>
          </w:p>
        </w:tc>
        <w:tc>
          <w:tcPr>
            <w:tcW w:w="1422" w:type="dxa"/>
          </w:tcPr>
          <w:p w:rsidR="00475650" w:rsidRDefault="00475650">
            <w:pPr>
              <w:pStyle w:val="ENFI"/>
              <w:rPr>
                <w:rFonts w:eastAsia="宋体"/>
                <w:sz w:val="21"/>
              </w:rPr>
            </w:pPr>
            <w:r>
              <w:rPr>
                <w:rFonts w:eastAsia="宋体"/>
                <w:sz w:val="21"/>
              </w:rPr>
              <w:t>氨氮</w:t>
            </w:r>
          </w:p>
        </w:tc>
        <w:tc>
          <w:tcPr>
            <w:tcW w:w="1422" w:type="dxa"/>
          </w:tcPr>
          <w:p w:rsidR="00475650" w:rsidRDefault="00475650">
            <w:pPr>
              <w:pStyle w:val="ENFI"/>
              <w:rPr>
                <w:rFonts w:eastAsia="宋体"/>
                <w:sz w:val="21"/>
              </w:rPr>
            </w:pPr>
            <w:r>
              <w:rPr>
                <w:rFonts w:eastAsia="宋体"/>
                <w:sz w:val="21"/>
              </w:rPr>
              <w:t>总磷</w:t>
            </w:r>
          </w:p>
        </w:tc>
      </w:tr>
      <w:tr w:rsidR="00475650">
        <w:trPr>
          <w:jc w:val="center"/>
        </w:trPr>
        <w:tc>
          <w:tcPr>
            <w:tcW w:w="1421" w:type="dxa"/>
            <w:vMerge w:val="restart"/>
          </w:tcPr>
          <w:p w:rsidR="00475650" w:rsidRDefault="00475650">
            <w:pPr>
              <w:pStyle w:val="ENFI"/>
              <w:rPr>
                <w:rFonts w:eastAsia="宋体"/>
                <w:sz w:val="21"/>
              </w:rPr>
            </w:pPr>
            <w:r>
              <w:rPr>
                <w:rFonts w:eastAsia="宋体"/>
                <w:sz w:val="21"/>
              </w:rPr>
              <w:t>LS3</w:t>
            </w:r>
            <w:r>
              <w:rPr>
                <w:rFonts w:eastAsia="宋体"/>
                <w:sz w:val="21"/>
              </w:rPr>
              <w:t>长江临湘工业园污水处理厂排污口上游</w:t>
            </w:r>
            <w:r>
              <w:rPr>
                <w:rFonts w:eastAsia="宋体"/>
                <w:sz w:val="21"/>
              </w:rPr>
              <w:t>500m</w:t>
            </w:r>
          </w:p>
        </w:tc>
        <w:tc>
          <w:tcPr>
            <w:tcW w:w="1421" w:type="dxa"/>
          </w:tcPr>
          <w:p w:rsidR="00475650" w:rsidRDefault="00475650">
            <w:pPr>
              <w:pStyle w:val="ENFI"/>
              <w:rPr>
                <w:rFonts w:eastAsia="宋体"/>
                <w:sz w:val="21"/>
              </w:rPr>
            </w:pPr>
            <w:r>
              <w:rPr>
                <w:rFonts w:eastAsia="宋体"/>
                <w:sz w:val="21"/>
              </w:rPr>
              <w:t>11</w:t>
            </w:r>
            <w:r>
              <w:rPr>
                <w:rFonts w:eastAsia="宋体"/>
                <w:sz w:val="21"/>
              </w:rPr>
              <w:t>月</w:t>
            </w:r>
            <w:r>
              <w:rPr>
                <w:rFonts w:eastAsia="宋体"/>
                <w:sz w:val="21"/>
              </w:rPr>
              <w:t>10</w:t>
            </w:r>
            <w:r>
              <w:rPr>
                <w:rFonts w:eastAsia="宋体"/>
                <w:sz w:val="21"/>
              </w:rPr>
              <w:t>日</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13</w:t>
            </w:r>
          </w:p>
        </w:tc>
        <w:tc>
          <w:tcPr>
            <w:tcW w:w="1422" w:type="dxa"/>
          </w:tcPr>
          <w:p w:rsidR="00475650" w:rsidRDefault="00475650">
            <w:pPr>
              <w:pStyle w:val="ENFI"/>
              <w:rPr>
                <w:rFonts w:eastAsia="宋体"/>
                <w:sz w:val="21"/>
              </w:rPr>
            </w:pPr>
            <w:r>
              <w:rPr>
                <w:rFonts w:eastAsia="宋体"/>
                <w:sz w:val="21"/>
              </w:rPr>
              <w:t>7.12</w:t>
            </w:r>
          </w:p>
        </w:tc>
        <w:tc>
          <w:tcPr>
            <w:tcW w:w="1422" w:type="dxa"/>
          </w:tcPr>
          <w:p w:rsidR="00475650" w:rsidRDefault="00475650">
            <w:pPr>
              <w:pStyle w:val="ENFI"/>
              <w:rPr>
                <w:rFonts w:eastAsia="宋体"/>
                <w:sz w:val="21"/>
              </w:rPr>
            </w:pPr>
            <w:r>
              <w:rPr>
                <w:rFonts w:eastAsia="宋体"/>
                <w:sz w:val="21"/>
              </w:rPr>
              <w:t>17.8</w:t>
            </w:r>
          </w:p>
        </w:tc>
        <w:tc>
          <w:tcPr>
            <w:tcW w:w="1422" w:type="dxa"/>
          </w:tcPr>
          <w:p w:rsidR="00475650" w:rsidRDefault="00475650">
            <w:pPr>
              <w:pStyle w:val="ENFI"/>
              <w:rPr>
                <w:rFonts w:eastAsia="宋体"/>
                <w:sz w:val="21"/>
              </w:rPr>
            </w:pPr>
            <w:r>
              <w:rPr>
                <w:rFonts w:eastAsia="宋体"/>
                <w:sz w:val="21"/>
              </w:rPr>
              <w:t>10.6</w:t>
            </w:r>
          </w:p>
        </w:tc>
        <w:tc>
          <w:tcPr>
            <w:tcW w:w="1422" w:type="dxa"/>
          </w:tcPr>
          <w:p w:rsidR="00475650" w:rsidRDefault="00475650">
            <w:pPr>
              <w:pStyle w:val="ENFI"/>
              <w:rPr>
                <w:rFonts w:eastAsia="宋体"/>
                <w:sz w:val="21"/>
              </w:rPr>
            </w:pPr>
            <w:r>
              <w:rPr>
                <w:rFonts w:eastAsia="宋体"/>
                <w:sz w:val="21"/>
              </w:rPr>
              <w:t>0.81</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0.139</w:t>
            </w:r>
          </w:p>
        </w:tc>
      </w:tr>
      <w:tr w:rsidR="00475650">
        <w:trPr>
          <w:jc w:val="center"/>
        </w:trPr>
        <w:tc>
          <w:tcPr>
            <w:tcW w:w="1421" w:type="dxa"/>
            <w:vMerge/>
          </w:tcPr>
          <w:p w:rsidR="00475650" w:rsidRDefault="00475650">
            <w:pPr>
              <w:pStyle w:val="ENFI"/>
              <w:rPr>
                <w:rFonts w:eastAsia="宋体"/>
                <w:sz w:val="21"/>
              </w:rPr>
            </w:pPr>
          </w:p>
        </w:tc>
        <w:tc>
          <w:tcPr>
            <w:tcW w:w="1421" w:type="dxa"/>
          </w:tcPr>
          <w:p w:rsidR="00475650" w:rsidRDefault="00475650">
            <w:pPr>
              <w:pStyle w:val="ENFI"/>
              <w:rPr>
                <w:rFonts w:eastAsia="宋体"/>
                <w:sz w:val="21"/>
              </w:rPr>
            </w:pPr>
            <w:r>
              <w:rPr>
                <w:rFonts w:eastAsia="宋体"/>
                <w:sz w:val="21"/>
              </w:rPr>
              <w:t>11</w:t>
            </w:r>
            <w:r>
              <w:rPr>
                <w:rFonts w:eastAsia="宋体"/>
                <w:sz w:val="21"/>
              </w:rPr>
              <w:t>月</w:t>
            </w:r>
            <w:r>
              <w:rPr>
                <w:rFonts w:eastAsia="宋体"/>
                <w:sz w:val="21"/>
              </w:rPr>
              <w:t>11</w:t>
            </w:r>
            <w:r>
              <w:rPr>
                <w:rFonts w:eastAsia="宋体"/>
                <w:sz w:val="21"/>
              </w:rPr>
              <w:t>日</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13</w:t>
            </w:r>
          </w:p>
        </w:tc>
        <w:tc>
          <w:tcPr>
            <w:tcW w:w="1422" w:type="dxa"/>
          </w:tcPr>
          <w:p w:rsidR="00475650" w:rsidRDefault="00475650">
            <w:pPr>
              <w:pStyle w:val="ENFI"/>
              <w:rPr>
                <w:rFonts w:eastAsia="宋体"/>
                <w:sz w:val="21"/>
              </w:rPr>
            </w:pPr>
            <w:r>
              <w:rPr>
                <w:rFonts w:eastAsia="宋体"/>
                <w:sz w:val="21"/>
              </w:rPr>
              <w:t>7.08</w:t>
            </w:r>
          </w:p>
        </w:tc>
        <w:tc>
          <w:tcPr>
            <w:tcW w:w="1422" w:type="dxa"/>
          </w:tcPr>
          <w:p w:rsidR="00475650" w:rsidRDefault="00475650">
            <w:pPr>
              <w:pStyle w:val="ENFI"/>
              <w:rPr>
                <w:rFonts w:eastAsia="宋体"/>
                <w:sz w:val="21"/>
              </w:rPr>
            </w:pPr>
            <w:r>
              <w:rPr>
                <w:rFonts w:eastAsia="宋体"/>
                <w:sz w:val="21"/>
              </w:rPr>
              <w:t>16.8</w:t>
            </w:r>
          </w:p>
        </w:tc>
        <w:tc>
          <w:tcPr>
            <w:tcW w:w="1422" w:type="dxa"/>
          </w:tcPr>
          <w:p w:rsidR="00475650" w:rsidRDefault="00475650">
            <w:pPr>
              <w:pStyle w:val="ENFI"/>
              <w:rPr>
                <w:rFonts w:eastAsia="宋体"/>
                <w:sz w:val="21"/>
              </w:rPr>
            </w:pPr>
            <w:r>
              <w:rPr>
                <w:rFonts w:eastAsia="宋体"/>
                <w:sz w:val="21"/>
              </w:rPr>
              <w:t>5.41</w:t>
            </w:r>
          </w:p>
        </w:tc>
        <w:tc>
          <w:tcPr>
            <w:tcW w:w="1422" w:type="dxa"/>
          </w:tcPr>
          <w:p w:rsidR="00475650" w:rsidRDefault="00475650">
            <w:pPr>
              <w:pStyle w:val="ENFI"/>
              <w:rPr>
                <w:rFonts w:eastAsia="宋体"/>
                <w:sz w:val="21"/>
              </w:rPr>
            </w:pPr>
            <w:r>
              <w:rPr>
                <w:rFonts w:eastAsia="宋体"/>
                <w:sz w:val="21"/>
              </w:rPr>
              <w:t>0.73</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0.161</w:t>
            </w:r>
          </w:p>
        </w:tc>
      </w:tr>
      <w:tr w:rsidR="00475650">
        <w:trPr>
          <w:jc w:val="center"/>
        </w:trPr>
        <w:tc>
          <w:tcPr>
            <w:tcW w:w="1421" w:type="dxa"/>
            <w:vMerge/>
          </w:tcPr>
          <w:p w:rsidR="00475650" w:rsidRDefault="00475650">
            <w:pPr>
              <w:pStyle w:val="ENFI"/>
              <w:rPr>
                <w:rFonts w:eastAsia="宋体"/>
                <w:sz w:val="21"/>
              </w:rPr>
            </w:pPr>
          </w:p>
        </w:tc>
        <w:tc>
          <w:tcPr>
            <w:tcW w:w="1421" w:type="dxa"/>
          </w:tcPr>
          <w:p w:rsidR="00475650" w:rsidRDefault="00475650">
            <w:pPr>
              <w:pStyle w:val="ENFI"/>
              <w:rPr>
                <w:rFonts w:eastAsia="宋体"/>
                <w:sz w:val="21"/>
              </w:rPr>
            </w:pPr>
            <w:r>
              <w:rPr>
                <w:rFonts w:eastAsia="宋体"/>
                <w:sz w:val="21"/>
              </w:rPr>
              <w:t>11</w:t>
            </w:r>
            <w:r>
              <w:rPr>
                <w:rFonts w:eastAsia="宋体"/>
                <w:sz w:val="21"/>
              </w:rPr>
              <w:t>月</w:t>
            </w:r>
            <w:r>
              <w:rPr>
                <w:rFonts w:eastAsia="宋体"/>
                <w:sz w:val="21"/>
              </w:rPr>
              <w:t>12</w:t>
            </w:r>
            <w:r>
              <w:rPr>
                <w:rFonts w:eastAsia="宋体"/>
                <w:sz w:val="21"/>
              </w:rPr>
              <w:t>日</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12</w:t>
            </w:r>
          </w:p>
        </w:tc>
        <w:tc>
          <w:tcPr>
            <w:tcW w:w="1422" w:type="dxa"/>
          </w:tcPr>
          <w:p w:rsidR="00475650" w:rsidRDefault="00475650">
            <w:pPr>
              <w:pStyle w:val="ENFI"/>
              <w:rPr>
                <w:rFonts w:eastAsia="宋体"/>
                <w:sz w:val="21"/>
              </w:rPr>
            </w:pPr>
            <w:r>
              <w:rPr>
                <w:rFonts w:eastAsia="宋体"/>
                <w:sz w:val="21"/>
              </w:rPr>
              <w:t>7.2</w:t>
            </w:r>
          </w:p>
        </w:tc>
        <w:tc>
          <w:tcPr>
            <w:tcW w:w="1422" w:type="dxa"/>
          </w:tcPr>
          <w:p w:rsidR="00475650" w:rsidRDefault="00475650">
            <w:pPr>
              <w:pStyle w:val="ENFI"/>
              <w:rPr>
                <w:rFonts w:eastAsia="宋体"/>
                <w:sz w:val="21"/>
              </w:rPr>
            </w:pPr>
            <w:r>
              <w:rPr>
                <w:rFonts w:eastAsia="宋体"/>
                <w:sz w:val="21"/>
              </w:rPr>
              <w:t>20.1</w:t>
            </w:r>
          </w:p>
        </w:tc>
        <w:tc>
          <w:tcPr>
            <w:tcW w:w="1422" w:type="dxa"/>
          </w:tcPr>
          <w:p w:rsidR="00475650" w:rsidRDefault="00475650">
            <w:pPr>
              <w:pStyle w:val="ENFI"/>
              <w:rPr>
                <w:rFonts w:eastAsia="宋体"/>
                <w:sz w:val="21"/>
              </w:rPr>
            </w:pPr>
            <w:r>
              <w:rPr>
                <w:rFonts w:eastAsia="宋体"/>
                <w:sz w:val="21"/>
              </w:rPr>
              <w:t>5.17</w:t>
            </w:r>
          </w:p>
        </w:tc>
        <w:tc>
          <w:tcPr>
            <w:tcW w:w="1422" w:type="dxa"/>
          </w:tcPr>
          <w:p w:rsidR="00475650" w:rsidRDefault="00475650">
            <w:pPr>
              <w:pStyle w:val="ENFI"/>
              <w:rPr>
                <w:rFonts w:eastAsia="宋体"/>
                <w:sz w:val="21"/>
              </w:rPr>
            </w:pPr>
            <w:r>
              <w:rPr>
                <w:rFonts w:eastAsia="宋体"/>
                <w:sz w:val="21"/>
              </w:rPr>
              <w:t>1.02</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0.145</w:t>
            </w:r>
          </w:p>
        </w:tc>
      </w:tr>
      <w:tr w:rsidR="00475650">
        <w:trPr>
          <w:jc w:val="center"/>
        </w:trPr>
        <w:tc>
          <w:tcPr>
            <w:tcW w:w="1421" w:type="dxa"/>
            <w:vMerge/>
          </w:tcPr>
          <w:p w:rsidR="00475650" w:rsidRDefault="00475650">
            <w:pPr>
              <w:pStyle w:val="ENFI"/>
              <w:rPr>
                <w:rFonts w:eastAsia="宋体"/>
                <w:sz w:val="21"/>
              </w:rPr>
            </w:pPr>
          </w:p>
        </w:tc>
        <w:tc>
          <w:tcPr>
            <w:tcW w:w="1421" w:type="dxa"/>
          </w:tcPr>
          <w:p w:rsidR="00475650" w:rsidRDefault="00475650">
            <w:pPr>
              <w:pStyle w:val="ENFI"/>
              <w:rPr>
                <w:rFonts w:eastAsia="宋体"/>
                <w:sz w:val="21"/>
              </w:rPr>
            </w:pPr>
            <w:r>
              <w:rPr>
                <w:rFonts w:eastAsia="宋体"/>
                <w:sz w:val="21"/>
              </w:rPr>
              <w:t>均值</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12.67</w:t>
            </w:r>
          </w:p>
        </w:tc>
        <w:tc>
          <w:tcPr>
            <w:tcW w:w="1422" w:type="dxa"/>
          </w:tcPr>
          <w:p w:rsidR="00475650" w:rsidRDefault="00475650">
            <w:pPr>
              <w:pStyle w:val="ENFI"/>
              <w:rPr>
                <w:rFonts w:eastAsia="宋体"/>
                <w:sz w:val="21"/>
              </w:rPr>
            </w:pPr>
            <w:r>
              <w:rPr>
                <w:rFonts w:eastAsia="宋体"/>
                <w:sz w:val="21"/>
              </w:rPr>
              <w:t>7.13</w:t>
            </w:r>
          </w:p>
        </w:tc>
        <w:tc>
          <w:tcPr>
            <w:tcW w:w="1422" w:type="dxa"/>
          </w:tcPr>
          <w:p w:rsidR="00475650" w:rsidRDefault="00475650">
            <w:pPr>
              <w:pStyle w:val="ENFI"/>
              <w:rPr>
                <w:rFonts w:eastAsia="宋体"/>
                <w:sz w:val="21"/>
              </w:rPr>
            </w:pPr>
            <w:r>
              <w:rPr>
                <w:rFonts w:eastAsia="宋体"/>
                <w:sz w:val="21"/>
              </w:rPr>
              <w:t>18.23</w:t>
            </w:r>
          </w:p>
        </w:tc>
        <w:tc>
          <w:tcPr>
            <w:tcW w:w="1422" w:type="dxa"/>
          </w:tcPr>
          <w:p w:rsidR="00475650" w:rsidRDefault="00475650">
            <w:pPr>
              <w:pStyle w:val="ENFI"/>
              <w:rPr>
                <w:rFonts w:eastAsia="宋体"/>
                <w:sz w:val="21"/>
              </w:rPr>
            </w:pPr>
            <w:r>
              <w:rPr>
                <w:rFonts w:eastAsia="宋体"/>
                <w:sz w:val="21"/>
              </w:rPr>
              <w:t>7.06</w:t>
            </w:r>
          </w:p>
        </w:tc>
        <w:tc>
          <w:tcPr>
            <w:tcW w:w="1422" w:type="dxa"/>
          </w:tcPr>
          <w:p w:rsidR="00475650" w:rsidRDefault="00475650">
            <w:pPr>
              <w:pStyle w:val="ENFI"/>
              <w:rPr>
                <w:rFonts w:eastAsia="宋体"/>
                <w:sz w:val="21"/>
              </w:rPr>
            </w:pPr>
            <w:r>
              <w:rPr>
                <w:rFonts w:eastAsia="宋体"/>
                <w:sz w:val="21"/>
              </w:rPr>
              <w:t>0.85</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0.15</w:t>
            </w:r>
          </w:p>
        </w:tc>
      </w:tr>
      <w:tr w:rsidR="00475650">
        <w:trPr>
          <w:jc w:val="center"/>
        </w:trPr>
        <w:tc>
          <w:tcPr>
            <w:tcW w:w="1421" w:type="dxa"/>
            <w:vMerge/>
          </w:tcPr>
          <w:p w:rsidR="00475650" w:rsidRDefault="00475650">
            <w:pPr>
              <w:pStyle w:val="ENFI"/>
              <w:rPr>
                <w:rFonts w:eastAsia="宋体"/>
                <w:sz w:val="21"/>
              </w:rPr>
            </w:pPr>
          </w:p>
        </w:tc>
        <w:tc>
          <w:tcPr>
            <w:tcW w:w="1421" w:type="dxa"/>
          </w:tcPr>
          <w:p w:rsidR="00475650" w:rsidRDefault="00475650">
            <w:pPr>
              <w:pStyle w:val="ENFI"/>
              <w:rPr>
                <w:rFonts w:eastAsia="宋体"/>
                <w:sz w:val="21"/>
              </w:rPr>
            </w:pPr>
            <w:r>
              <w:rPr>
                <w:rFonts w:eastAsia="宋体"/>
                <w:sz w:val="21"/>
              </w:rPr>
              <w:t>占标率</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0.61</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0.45</w:t>
            </w:r>
          </w:p>
        </w:tc>
        <w:tc>
          <w:tcPr>
            <w:tcW w:w="1422" w:type="dxa"/>
          </w:tcPr>
          <w:p w:rsidR="00475650" w:rsidRDefault="00475650">
            <w:pPr>
              <w:pStyle w:val="ENFI"/>
              <w:rPr>
                <w:rFonts w:eastAsia="宋体"/>
                <w:sz w:val="21"/>
              </w:rPr>
            </w:pPr>
            <w:r>
              <w:rPr>
                <w:rFonts w:eastAsia="宋体"/>
                <w:sz w:val="21"/>
              </w:rPr>
              <w:t>0.24</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0.77</w:t>
            </w:r>
          </w:p>
        </w:tc>
      </w:tr>
      <w:tr w:rsidR="00475650">
        <w:trPr>
          <w:jc w:val="center"/>
        </w:trPr>
        <w:tc>
          <w:tcPr>
            <w:tcW w:w="1421" w:type="dxa"/>
            <w:vMerge/>
          </w:tcPr>
          <w:p w:rsidR="00475650" w:rsidRDefault="00475650">
            <w:pPr>
              <w:pStyle w:val="ENFI"/>
              <w:rPr>
                <w:rFonts w:eastAsia="宋体"/>
                <w:sz w:val="21"/>
              </w:rPr>
            </w:pPr>
          </w:p>
        </w:tc>
        <w:tc>
          <w:tcPr>
            <w:tcW w:w="1421" w:type="dxa"/>
          </w:tcPr>
          <w:p w:rsidR="00475650" w:rsidRDefault="00475650">
            <w:pPr>
              <w:pStyle w:val="ENFI"/>
              <w:rPr>
                <w:rFonts w:eastAsia="宋体"/>
                <w:sz w:val="21"/>
              </w:rPr>
            </w:pPr>
            <w:r>
              <w:rPr>
                <w:rFonts w:eastAsia="宋体"/>
                <w:sz w:val="21"/>
              </w:rPr>
              <w:t>达标情况</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达标</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达标</w:t>
            </w:r>
          </w:p>
        </w:tc>
        <w:tc>
          <w:tcPr>
            <w:tcW w:w="1422" w:type="dxa"/>
          </w:tcPr>
          <w:p w:rsidR="00475650" w:rsidRDefault="00475650">
            <w:pPr>
              <w:pStyle w:val="ENFI"/>
              <w:rPr>
                <w:rFonts w:eastAsia="宋体"/>
                <w:sz w:val="21"/>
              </w:rPr>
            </w:pPr>
            <w:r>
              <w:rPr>
                <w:rFonts w:eastAsia="宋体"/>
                <w:sz w:val="21"/>
              </w:rPr>
              <w:t>达标</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达标</w:t>
            </w:r>
          </w:p>
        </w:tc>
      </w:tr>
      <w:tr w:rsidR="00475650">
        <w:trPr>
          <w:jc w:val="center"/>
        </w:trPr>
        <w:tc>
          <w:tcPr>
            <w:tcW w:w="1421" w:type="dxa"/>
            <w:vMerge w:val="restart"/>
          </w:tcPr>
          <w:p w:rsidR="00475650" w:rsidRDefault="00475650">
            <w:pPr>
              <w:pStyle w:val="ENFI"/>
              <w:rPr>
                <w:rFonts w:eastAsia="宋体"/>
                <w:sz w:val="21"/>
              </w:rPr>
            </w:pPr>
            <w:r>
              <w:rPr>
                <w:rFonts w:eastAsia="宋体"/>
                <w:sz w:val="21"/>
              </w:rPr>
              <w:t>LS4</w:t>
            </w:r>
            <w:r>
              <w:rPr>
                <w:rFonts w:eastAsia="宋体"/>
                <w:sz w:val="21"/>
              </w:rPr>
              <w:t>长江临湘工业园污水处理厂排污口下游</w:t>
            </w:r>
            <w:r>
              <w:rPr>
                <w:rFonts w:eastAsia="宋体"/>
                <w:sz w:val="21"/>
              </w:rPr>
              <w:t>1000m</w:t>
            </w:r>
          </w:p>
        </w:tc>
        <w:tc>
          <w:tcPr>
            <w:tcW w:w="1421" w:type="dxa"/>
          </w:tcPr>
          <w:p w:rsidR="00475650" w:rsidRDefault="00475650">
            <w:pPr>
              <w:pStyle w:val="ENFI"/>
              <w:rPr>
                <w:rFonts w:eastAsia="宋体"/>
                <w:sz w:val="21"/>
              </w:rPr>
            </w:pPr>
            <w:r>
              <w:rPr>
                <w:rFonts w:eastAsia="宋体"/>
                <w:sz w:val="21"/>
              </w:rPr>
              <w:t>11</w:t>
            </w:r>
            <w:r>
              <w:rPr>
                <w:rFonts w:eastAsia="宋体"/>
                <w:sz w:val="21"/>
              </w:rPr>
              <w:t>月</w:t>
            </w:r>
            <w:r>
              <w:rPr>
                <w:rFonts w:eastAsia="宋体"/>
                <w:sz w:val="21"/>
              </w:rPr>
              <w:t>10</w:t>
            </w:r>
            <w:r>
              <w:rPr>
                <w:rFonts w:eastAsia="宋体"/>
                <w:sz w:val="21"/>
              </w:rPr>
              <w:t>日</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12</w:t>
            </w:r>
          </w:p>
        </w:tc>
        <w:tc>
          <w:tcPr>
            <w:tcW w:w="1422" w:type="dxa"/>
          </w:tcPr>
          <w:p w:rsidR="00475650" w:rsidRDefault="00475650">
            <w:pPr>
              <w:pStyle w:val="ENFI"/>
              <w:rPr>
                <w:rFonts w:eastAsia="宋体"/>
                <w:sz w:val="21"/>
              </w:rPr>
            </w:pPr>
            <w:r>
              <w:rPr>
                <w:rFonts w:eastAsia="宋体"/>
                <w:sz w:val="21"/>
              </w:rPr>
              <w:t>6.98</w:t>
            </w:r>
          </w:p>
        </w:tc>
        <w:tc>
          <w:tcPr>
            <w:tcW w:w="1422" w:type="dxa"/>
          </w:tcPr>
          <w:p w:rsidR="00475650" w:rsidRDefault="00475650">
            <w:pPr>
              <w:pStyle w:val="ENFI"/>
              <w:rPr>
                <w:rFonts w:eastAsia="宋体"/>
                <w:sz w:val="21"/>
              </w:rPr>
            </w:pPr>
            <w:r>
              <w:rPr>
                <w:rFonts w:eastAsia="宋体"/>
                <w:sz w:val="21"/>
              </w:rPr>
              <w:t>26.6</w:t>
            </w:r>
          </w:p>
        </w:tc>
        <w:tc>
          <w:tcPr>
            <w:tcW w:w="1422" w:type="dxa"/>
          </w:tcPr>
          <w:p w:rsidR="00475650" w:rsidRDefault="00475650">
            <w:pPr>
              <w:pStyle w:val="ENFI"/>
              <w:rPr>
                <w:rFonts w:eastAsia="宋体"/>
                <w:sz w:val="21"/>
              </w:rPr>
            </w:pPr>
            <w:r>
              <w:rPr>
                <w:rFonts w:eastAsia="宋体"/>
                <w:sz w:val="21"/>
              </w:rPr>
              <w:t>9.29</w:t>
            </w:r>
          </w:p>
        </w:tc>
        <w:tc>
          <w:tcPr>
            <w:tcW w:w="1422" w:type="dxa"/>
          </w:tcPr>
          <w:p w:rsidR="00475650" w:rsidRDefault="00475650">
            <w:pPr>
              <w:pStyle w:val="ENFI"/>
              <w:rPr>
                <w:rFonts w:eastAsia="宋体"/>
                <w:sz w:val="21"/>
              </w:rPr>
            </w:pPr>
            <w:r>
              <w:rPr>
                <w:rFonts w:eastAsia="宋体"/>
                <w:sz w:val="21"/>
              </w:rPr>
              <w:t>0.91</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0.128</w:t>
            </w:r>
          </w:p>
        </w:tc>
      </w:tr>
      <w:tr w:rsidR="00475650">
        <w:trPr>
          <w:jc w:val="center"/>
        </w:trPr>
        <w:tc>
          <w:tcPr>
            <w:tcW w:w="1421" w:type="dxa"/>
            <w:vMerge/>
          </w:tcPr>
          <w:p w:rsidR="00475650" w:rsidRDefault="00475650">
            <w:pPr>
              <w:pStyle w:val="ENFI"/>
              <w:rPr>
                <w:rFonts w:eastAsia="宋体"/>
                <w:sz w:val="21"/>
              </w:rPr>
            </w:pPr>
          </w:p>
        </w:tc>
        <w:tc>
          <w:tcPr>
            <w:tcW w:w="1421" w:type="dxa"/>
          </w:tcPr>
          <w:p w:rsidR="00475650" w:rsidRDefault="00475650">
            <w:pPr>
              <w:pStyle w:val="ENFI"/>
              <w:rPr>
                <w:rFonts w:eastAsia="宋体"/>
                <w:sz w:val="21"/>
              </w:rPr>
            </w:pPr>
            <w:r>
              <w:rPr>
                <w:rFonts w:eastAsia="宋体"/>
                <w:sz w:val="21"/>
              </w:rPr>
              <w:t>11</w:t>
            </w:r>
            <w:r>
              <w:rPr>
                <w:rFonts w:eastAsia="宋体"/>
                <w:sz w:val="21"/>
              </w:rPr>
              <w:t>月</w:t>
            </w:r>
            <w:r>
              <w:rPr>
                <w:rFonts w:eastAsia="宋体"/>
                <w:sz w:val="21"/>
              </w:rPr>
              <w:t>11</w:t>
            </w:r>
            <w:r>
              <w:rPr>
                <w:rFonts w:eastAsia="宋体"/>
                <w:sz w:val="21"/>
              </w:rPr>
              <w:t>日</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12</w:t>
            </w:r>
          </w:p>
        </w:tc>
        <w:tc>
          <w:tcPr>
            <w:tcW w:w="1422" w:type="dxa"/>
          </w:tcPr>
          <w:p w:rsidR="00475650" w:rsidRDefault="00475650">
            <w:pPr>
              <w:pStyle w:val="ENFI"/>
              <w:rPr>
                <w:rFonts w:eastAsia="宋体"/>
                <w:sz w:val="21"/>
              </w:rPr>
            </w:pPr>
            <w:r>
              <w:rPr>
                <w:rFonts w:eastAsia="宋体"/>
                <w:sz w:val="21"/>
              </w:rPr>
              <w:t>6.45</w:t>
            </w:r>
          </w:p>
        </w:tc>
        <w:tc>
          <w:tcPr>
            <w:tcW w:w="1422" w:type="dxa"/>
          </w:tcPr>
          <w:p w:rsidR="00475650" w:rsidRDefault="00475650">
            <w:pPr>
              <w:pStyle w:val="ENFI"/>
              <w:rPr>
                <w:rFonts w:eastAsia="宋体"/>
                <w:sz w:val="21"/>
              </w:rPr>
            </w:pPr>
            <w:r>
              <w:rPr>
                <w:rFonts w:eastAsia="宋体"/>
                <w:sz w:val="21"/>
              </w:rPr>
              <w:t>17.2</w:t>
            </w:r>
          </w:p>
        </w:tc>
        <w:tc>
          <w:tcPr>
            <w:tcW w:w="1422" w:type="dxa"/>
          </w:tcPr>
          <w:p w:rsidR="00475650" w:rsidRDefault="00475650">
            <w:pPr>
              <w:pStyle w:val="ENFI"/>
              <w:rPr>
                <w:rFonts w:eastAsia="宋体"/>
                <w:sz w:val="21"/>
              </w:rPr>
            </w:pPr>
            <w:r>
              <w:rPr>
                <w:rFonts w:eastAsia="宋体"/>
                <w:sz w:val="21"/>
              </w:rPr>
              <w:t>7.68</w:t>
            </w:r>
          </w:p>
        </w:tc>
        <w:tc>
          <w:tcPr>
            <w:tcW w:w="1422" w:type="dxa"/>
          </w:tcPr>
          <w:p w:rsidR="00475650" w:rsidRDefault="00475650">
            <w:pPr>
              <w:pStyle w:val="ENFI"/>
              <w:rPr>
                <w:rFonts w:eastAsia="宋体"/>
                <w:sz w:val="21"/>
              </w:rPr>
            </w:pPr>
            <w:r>
              <w:rPr>
                <w:rFonts w:eastAsia="宋体"/>
                <w:sz w:val="21"/>
              </w:rPr>
              <w:t>0.93</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0.124</w:t>
            </w:r>
          </w:p>
        </w:tc>
      </w:tr>
      <w:tr w:rsidR="00475650">
        <w:trPr>
          <w:jc w:val="center"/>
        </w:trPr>
        <w:tc>
          <w:tcPr>
            <w:tcW w:w="1421" w:type="dxa"/>
            <w:vMerge/>
          </w:tcPr>
          <w:p w:rsidR="00475650" w:rsidRDefault="00475650">
            <w:pPr>
              <w:pStyle w:val="ENFI"/>
              <w:rPr>
                <w:rFonts w:eastAsia="宋体"/>
                <w:sz w:val="21"/>
              </w:rPr>
            </w:pPr>
          </w:p>
        </w:tc>
        <w:tc>
          <w:tcPr>
            <w:tcW w:w="1421" w:type="dxa"/>
          </w:tcPr>
          <w:p w:rsidR="00475650" w:rsidRDefault="00475650">
            <w:pPr>
              <w:pStyle w:val="ENFI"/>
              <w:rPr>
                <w:rFonts w:eastAsia="宋体"/>
                <w:sz w:val="21"/>
              </w:rPr>
            </w:pPr>
            <w:r>
              <w:rPr>
                <w:rFonts w:eastAsia="宋体"/>
                <w:sz w:val="21"/>
              </w:rPr>
              <w:t>11</w:t>
            </w:r>
            <w:r>
              <w:rPr>
                <w:rFonts w:eastAsia="宋体"/>
                <w:sz w:val="21"/>
              </w:rPr>
              <w:t>月</w:t>
            </w:r>
            <w:r>
              <w:rPr>
                <w:rFonts w:eastAsia="宋体"/>
                <w:sz w:val="21"/>
              </w:rPr>
              <w:t>12</w:t>
            </w:r>
            <w:r>
              <w:rPr>
                <w:rFonts w:eastAsia="宋体"/>
                <w:sz w:val="21"/>
              </w:rPr>
              <w:t>日</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11</w:t>
            </w:r>
          </w:p>
        </w:tc>
        <w:tc>
          <w:tcPr>
            <w:tcW w:w="1422" w:type="dxa"/>
          </w:tcPr>
          <w:p w:rsidR="00475650" w:rsidRDefault="00475650">
            <w:pPr>
              <w:pStyle w:val="ENFI"/>
              <w:rPr>
                <w:rFonts w:eastAsia="宋体"/>
                <w:sz w:val="21"/>
              </w:rPr>
            </w:pPr>
            <w:r>
              <w:rPr>
                <w:rFonts w:eastAsia="宋体"/>
                <w:sz w:val="21"/>
              </w:rPr>
              <w:t>6.54</w:t>
            </w:r>
          </w:p>
        </w:tc>
        <w:tc>
          <w:tcPr>
            <w:tcW w:w="1422" w:type="dxa"/>
          </w:tcPr>
          <w:p w:rsidR="00475650" w:rsidRDefault="00475650">
            <w:pPr>
              <w:pStyle w:val="ENFI"/>
              <w:rPr>
                <w:rFonts w:eastAsia="宋体"/>
                <w:sz w:val="21"/>
              </w:rPr>
            </w:pPr>
            <w:r>
              <w:rPr>
                <w:rFonts w:eastAsia="宋体"/>
                <w:sz w:val="21"/>
              </w:rPr>
              <w:t>25.1</w:t>
            </w:r>
          </w:p>
        </w:tc>
        <w:tc>
          <w:tcPr>
            <w:tcW w:w="1422" w:type="dxa"/>
          </w:tcPr>
          <w:p w:rsidR="00475650" w:rsidRDefault="00475650">
            <w:pPr>
              <w:pStyle w:val="ENFI"/>
              <w:rPr>
                <w:rFonts w:eastAsia="宋体"/>
                <w:sz w:val="21"/>
              </w:rPr>
            </w:pPr>
            <w:r>
              <w:rPr>
                <w:rFonts w:eastAsia="宋体"/>
                <w:sz w:val="21"/>
              </w:rPr>
              <w:t>7.35</w:t>
            </w:r>
          </w:p>
        </w:tc>
        <w:tc>
          <w:tcPr>
            <w:tcW w:w="1422" w:type="dxa"/>
          </w:tcPr>
          <w:p w:rsidR="00475650" w:rsidRDefault="00475650">
            <w:pPr>
              <w:pStyle w:val="ENFI"/>
              <w:rPr>
                <w:rFonts w:eastAsia="宋体"/>
                <w:sz w:val="21"/>
              </w:rPr>
            </w:pPr>
            <w:r>
              <w:rPr>
                <w:rFonts w:eastAsia="宋体"/>
                <w:sz w:val="21"/>
              </w:rPr>
              <w:t>0.78</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0.121</w:t>
            </w:r>
          </w:p>
        </w:tc>
      </w:tr>
      <w:tr w:rsidR="00475650">
        <w:trPr>
          <w:jc w:val="center"/>
        </w:trPr>
        <w:tc>
          <w:tcPr>
            <w:tcW w:w="1421" w:type="dxa"/>
            <w:vMerge/>
          </w:tcPr>
          <w:p w:rsidR="00475650" w:rsidRDefault="00475650">
            <w:pPr>
              <w:pStyle w:val="ENFI"/>
              <w:rPr>
                <w:rFonts w:eastAsia="宋体"/>
                <w:sz w:val="21"/>
              </w:rPr>
            </w:pPr>
          </w:p>
        </w:tc>
        <w:tc>
          <w:tcPr>
            <w:tcW w:w="1421" w:type="dxa"/>
          </w:tcPr>
          <w:p w:rsidR="00475650" w:rsidRDefault="00475650">
            <w:pPr>
              <w:pStyle w:val="ENFI"/>
              <w:rPr>
                <w:rFonts w:eastAsia="宋体"/>
                <w:sz w:val="21"/>
              </w:rPr>
            </w:pPr>
            <w:r>
              <w:rPr>
                <w:rFonts w:eastAsia="宋体"/>
                <w:sz w:val="21"/>
              </w:rPr>
              <w:t>均值</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11.67</w:t>
            </w:r>
          </w:p>
        </w:tc>
        <w:tc>
          <w:tcPr>
            <w:tcW w:w="1422" w:type="dxa"/>
          </w:tcPr>
          <w:p w:rsidR="00475650" w:rsidRDefault="00475650">
            <w:pPr>
              <w:pStyle w:val="ENFI"/>
              <w:rPr>
                <w:rFonts w:eastAsia="宋体"/>
                <w:sz w:val="21"/>
              </w:rPr>
            </w:pPr>
            <w:r>
              <w:rPr>
                <w:rFonts w:eastAsia="宋体"/>
                <w:sz w:val="21"/>
              </w:rPr>
              <w:t>6.66</w:t>
            </w:r>
          </w:p>
        </w:tc>
        <w:tc>
          <w:tcPr>
            <w:tcW w:w="1422" w:type="dxa"/>
          </w:tcPr>
          <w:p w:rsidR="00475650" w:rsidRDefault="00475650">
            <w:pPr>
              <w:pStyle w:val="ENFI"/>
              <w:rPr>
                <w:rFonts w:eastAsia="宋体"/>
                <w:sz w:val="21"/>
              </w:rPr>
            </w:pPr>
            <w:r>
              <w:rPr>
                <w:rFonts w:eastAsia="宋体"/>
                <w:sz w:val="21"/>
              </w:rPr>
              <w:t>22.97</w:t>
            </w:r>
          </w:p>
        </w:tc>
        <w:tc>
          <w:tcPr>
            <w:tcW w:w="1422" w:type="dxa"/>
          </w:tcPr>
          <w:p w:rsidR="00475650" w:rsidRDefault="00475650">
            <w:pPr>
              <w:pStyle w:val="ENFI"/>
              <w:rPr>
                <w:rFonts w:eastAsia="宋体"/>
                <w:sz w:val="21"/>
              </w:rPr>
            </w:pPr>
            <w:r>
              <w:rPr>
                <w:rFonts w:eastAsia="宋体"/>
                <w:sz w:val="21"/>
              </w:rPr>
              <w:t>8.11</w:t>
            </w:r>
          </w:p>
        </w:tc>
        <w:tc>
          <w:tcPr>
            <w:tcW w:w="1422" w:type="dxa"/>
          </w:tcPr>
          <w:p w:rsidR="00475650" w:rsidRDefault="00475650">
            <w:pPr>
              <w:pStyle w:val="ENFI"/>
              <w:rPr>
                <w:rFonts w:eastAsia="宋体"/>
                <w:sz w:val="21"/>
              </w:rPr>
            </w:pPr>
            <w:r>
              <w:rPr>
                <w:rFonts w:eastAsia="宋体"/>
                <w:sz w:val="21"/>
              </w:rPr>
              <w:t>0.87</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0.12</w:t>
            </w:r>
          </w:p>
        </w:tc>
      </w:tr>
      <w:tr w:rsidR="00475650">
        <w:trPr>
          <w:jc w:val="center"/>
        </w:trPr>
        <w:tc>
          <w:tcPr>
            <w:tcW w:w="1421" w:type="dxa"/>
            <w:vMerge/>
          </w:tcPr>
          <w:p w:rsidR="00475650" w:rsidRDefault="00475650">
            <w:pPr>
              <w:pStyle w:val="ENFI"/>
              <w:rPr>
                <w:rFonts w:eastAsia="宋体"/>
                <w:sz w:val="21"/>
              </w:rPr>
            </w:pPr>
          </w:p>
        </w:tc>
        <w:tc>
          <w:tcPr>
            <w:tcW w:w="1421" w:type="dxa"/>
          </w:tcPr>
          <w:p w:rsidR="00475650" w:rsidRDefault="00475650">
            <w:pPr>
              <w:pStyle w:val="ENFI"/>
              <w:rPr>
                <w:rFonts w:eastAsia="宋体"/>
                <w:sz w:val="21"/>
              </w:rPr>
            </w:pPr>
            <w:r>
              <w:rPr>
                <w:rFonts w:eastAsia="宋体"/>
                <w:sz w:val="21"/>
              </w:rPr>
              <w:t>占标率</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0.69</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0.44</w:t>
            </w:r>
          </w:p>
        </w:tc>
        <w:tc>
          <w:tcPr>
            <w:tcW w:w="1422" w:type="dxa"/>
          </w:tcPr>
          <w:p w:rsidR="00475650" w:rsidRDefault="00475650">
            <w:pPr>
              <w:pStyle w:val="ENFI"/>
              <w:rPr>
                <w:rFonts w:eastAsia="宋体"/>
                <w:sz w:val="21"/>
              </w:rPr>
            </w:pPr>
            <w:r>
              <w:rPr>
                <w:rFonts w:eastAsia="宋体"/>
                <w:sz w:val="21"/>
              </w:rPr>
              <w:t>0.23</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0.63</w:t>
            </w:r>
          </w:p>
        </w:tc>
      </w:tr>
      <w:tr w:rsidR="00475650">
        <w:trPr>
          <w:jc w:val="center"/>
        </w:trPr>
        <w:tc>
          <w:tcPr>
            <w:tcW w:w="1421" w:type="dxa"/>
            <w:vMerge/>
          </w:tcPr>
          <w:p w:rsidR="00475650" w:rsidRDefault="00475650">
            <w:pPr>
              <w:pStyle w:val="ENFI"/>
              <w:rPr>
                <w:rFonts w:eastAsia="宋体"/>
                <w:sz w:val="21"/>
              </w:rPr>
            </w:pPr>
          </w:p>
        </w:tc>
        <w:tc>
          <w:tcPr>
            <w:tcW w:w="1421" w:type="dxa"/>
          </w:tcPr>
          <w:p w:rsidR="00475650" w:rsidRDefault="00475650">
            <w:pPr>
              <w:pStyle w:val="ENFI"/>
              <w:rPr>
                <w:rFonts w:eastAsia="宋体"/>
                <w:sz w:val="21"/>
              </w:rPr>
            </w:pPr>
            <w:r>
              <w:rPr>
                <w:rFonts w:eastAsia="宋体"/>
                <w:sz w:val="21"/>
              </w:rPr>
              <w:t>达标情况</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达标</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达标</w:t>
            </w:r>
          </w:p>
        </w:tc>
        <w:tc>
          <w:tcPr>
            <w:tcW w:w="1422" w:type="dxa"/>
          </w:tcPr>
          <w:p w:rsidR="00475650" w:rsidRDefault="00475650">
            <w:pPr>
              <w:pStyle w:val="ENFI"/>
              <w:rPr>
                <w:rFonts w:eastAsia="宋体"/>
                <w:sz w:val="21"/>
              </w:rPr>
            </w:pPr>
            <w:r>
              <w:rPr>
                <w:rFonts w:eastAsia="宋体"/>
                <w:sz w:val="21"/>
              </w:rPr>
              <w:t>达标</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达标</w:t>
            </w:r>
          </w:p>
        </w:tc>
      </w:tr>
      <w:tr w:rsidR="00475650">
        <w:trPr>
          <w:jc w:val="center"/>
        </w:trPr>
        <w:tc>
          <w:tcPr>
            <w:tcW w:w="1421" w:type="dxa"/>
            <w:vMerge w:val="restart"/>
          </w:tcPr>
          <w:p w:rsidR="00475650" w:rsidRDefault="00475650">
            <w:pPr>
              <w:pStyle w:val="ENFI"/>
              <w:rPr>
                <w:rFonts w:eastAsia="宋体"/>
                <w:sz w:val="21"/>
              </w:rPr>
            </w:pPr>
            <w:r>
              <w:rPr>
                <w:rFonts w:eastAsia="宋体"/>
                <w:sz w:val="21"/>
              </w:rPr>
              <w:t>LS5</w:t>
            </w:r>
            <w:r>
              <w:rPr>
                <w:rFonts w:eastAsia="宋体"/>
                <w:sz w:val="21"/>
              </w:rPr>
              <w:t>长江临湘工业园污水处理厂排污口取水口</w:t>
            </w:r>
          </w:p>
        </w:tc>
        <w:tc>
          <w:tcPr>
            <w:tcW w:w="1421" w:type="dxa"/>
          </w:tcPr>
          <w:p w:rsidR="00475650" w:rsidRDefault="00475650">
            <w:pPr>
              <w:pStyle w:val="ENFI"/>
              <w:rPr>
                <w:rFonts w:eastAsia="宋体"/>
                <w:sz w:val="21"/>
              </w:rPr>
            </w:pPr>
            <w:r>
              <w:rPr>
                <w:rFonts w:eastAsia="宋体"/>
                <w:sz w:val="21"/>
              </w:rPr>
              <w:t>11</w:t>
            </w:r>
            <w:r>
              <w:rPr>
                <w:rFonts w:eastAsia="宋体"/>
                <w:sz w:val="21"/>
              </w:rPr>
              <w:t>月</w:t>
            </w:r>
            <w:r>
              <w:rPr>
                <w:rFonts w:eastAsia="宋体"/>
                <w:sz w:val="21"/>
              </w:rPr>
              <w:t>10</w:t>
            </w:r>
            <w:r>
              <w:rPr>
                <w:rFonts w:eastAsia="宋体"/>
                <w:sz w:val="21"/>
              </w:rPr>
              <w:t>日</w:t>
            </w:r>
          </w:p>
        </w:tc>
        <w:tc>
          <w:tcPr>
            <w:tcW w:w="1422" w:type="dxa"/>
          </w:tcPr>
          <w:p w:rsidR="00475650" w:rsidRDefault="00475650">
            <w:pPr>
              <w:pStyle w:val="ENFI"/>
              <w:rPr>
                <w:rFonts w:eastAsia="宋体"/>
                <w:sz w:val="21"/>
              </w:rPr>
            </w:pPr>
            <w:r>
              <w:rPr>
                <w:rFonts w:eastAsia="宋体"/>
                <w:sz w:val="21"/>
              </w:rPr>
              <w:t>7.4</w:t>
            </w:r>
          </w:p>
        </w:tc>
        <w:tc>
          <w:tcPr>
            <w:tcW w:w="1422" w:type="dxa"/>
          </w:tcPr>
          <w:p w:rsidR="00475650" w:rsidRDefault="00475650">
            <w:pPr>
              <w:pStyle w:val="ENFI"/>
              <w:rPr>
                <w:rFonts w:eastAsia="宋体"/>
                <w:sz w:val="21"/>
              </w:rPr>
            </w:pPr>
            <w:r>
              <w:rPr>
                <w:rFonts w:eastAsia="宋体"/>
                <w:sz w:val="21"/>
              </w:rPr>
              <w:t>11</w:t>
            </w:r>
          </w:p>
        </w:tc>
        <w:tc>
          <w:tcPr>
            <w:tcW w:w="1422" w:type="dxa"/>
          </w:tcPr>
          <w:p w:rsidR="00475650" w:rsidRDefault="00475650">
            <w:pPr>
              <w:pStyle w:val="ENFI"/>
              <w:rPr>
                <w:rFonts w:eastAsia="宋体"/>
                <w:sz w:val="21"/>
              </w:rPr>
            </w:pPr>
            <w:r>
              <w:rPr>
                <w:rFonts w:eastAsia="宋体"/>
                <w:sz w:val="21"/>
              </w:rPr>
              <w:t>6.87</w:t>
            </w:r>
          </w:p>
        </w:tc>
        <w:tc>
          <w:tcPr>
            <w:tcW w:w="1422" w:type="dxa"/>
          </w:tcPr>
          <w:p w:rsidR="00475650" w:rsidRDefault="00475650">
            <w:pPr>
              <w:pStyle w:val="ENFI"/>
              <w:rPr>
                <w:rFonts w:eastAsia="宋体"/>
                <w:sz w:val="21"/>
              </w:rPr>
            </w:pPr>
            <w:r>
              <w:rPr>
                <w:rFonts w:eastAsia="宋体"/>
                <w:sz w:val="21"/>
              </w:rPr>
              <w:t>20.1</w:t>
            </w:r>
          </w:p>
        </w:tc>
        <w:tc>
          <w:tcPr>
            <w:tcW w:w="1422" w:type="dxa"/>
          </w:tcPr>
          <w:p w:rsidR="00475650" w:rsidRDefault="00475650">
            <w:pPr>
              <w:pStyle w:val="ENFI"/>
              <w:rPr>
                <w:rFonts w:eastAsia="宋体"/>
                <w:sz w:val="21"/>
              </w:rPr>
            </w:pPr>
            <w:r>
              <w:rPr>
                <w:rFonts w:eastAsia="宋体"/>
                <w:sz w:val="21"/>
              </w:rPr>
              <w:t>11</w:t>
            </w:r>
          </w:p>
        </w:tc>
        <w:tc>
          <w:tcPr>
            <w:tcW w:w="1422" w:type="dxa"/>
          </w:tcPr>
          <w:p w:rsidR="00475650" w:rsidRDefault="00475650">
            <w:pPr>
              <w:pStyle w:val="ENFI"/>
              <w:rPr>
                <w:rFonts w:eastAsia="宋体"/>
                <w:sz w:val="21"/>
              </w:rPr>
            </w:pPr>
            <w:r>
              <w:rPr>
                <w:rFonts w:eastAsia="宋体"/>
                <w:sz w:val="21"/>
              </w:rPr>
              <w:t>1.5</w:t>
            </w:r>
          </w:p>
        </w:tc>
        <w:tc>
          <w:tcPr>
            <w:tcW w:w="1422" w:type="dxa"/>
          </w:tcPr>
          <w:p w:rsidR="00475650" w:rsidRDefault="00475650">
            <w:pPr>
              <w:pStyle w:val="ENFI"/>
              <w:rPr>
                <w:rFonts w:eastAsia="宋体"/>
                <w:sz w:val="21"/>
              </w:rPr>
            </w:pPr>
            <w:r>
              <w:rPr>
                <w:rFonts w:eastAsia="宋体"/>
                <w:sz w:val="21"/>
              </w:rPr>
              <w:t>0.041</w:t>
            </w:r>
          </w:p>
        </w:tc>
        <w:tc>
          <w:tcPr>
            <w:tcW w:w="1422" w:type="dxa"/>
          </w:tcPr>
          <w:p w:rsidR="00475650" w:rsidRDefault="00475650">
            <w:pPr>
              <w:pStyle w:val="ENFI"/>
              <w:rPr>
                <w:rFonts w:eastAsia="宋体"/>
                <w:sz w:val="21"/>
              </w:rPr>
            </w:pPr>
            <w:r>
              <w:rPr>
                <w:rFonts w:eastAsia="宋体"/>
                <w:sz w:val="21"/>
              </w:rPr>
              <w:t>0.138</w:t>
            </w:r>
          </w:p>
        </w:tc>
      </w:tr>
      <w:tr w:rsidR="00475650">
        <w:trPr>
          <w:jc w:val="center"/>
        </w:trPr>
        <w:tc>
          <w:tcPr>
            <w:tcW w:w="1421" w:type="dxa"/>
            <w:vMerge/>
          </w:tcPr>
          <w:p w:rsidR="00475650" w:rsidRDefault="00475650">
            <w:pPr>
              <w:pStyle w:val="ENFI"/>
              <w:rPr>
                <w:rFonts w:eastAsia="宋体"/>
                <w:sz w:val="21"/>
              </w:rPr>
            </w:pPr>
          </w:p>
        </w:tc>
        <w:tc>
          <w:tcPr>
            <w:tcW w:w="1421" w:type="dxa"/>
          </w:tcPr>
          <w:p w:rsidR="00475650" w:rsidRDefault="00475650">
            <w:pPr>
              <w:pStyle w:val="ENFI"/>
              <w:rPr>
                <w:rFonts w:eastAsia="宋体"/>
                <w:sz w:val="21"/>
              </w:rPr>
            </w:pPr>
            <w:r>
              <w:rPr>
                <w:rFonts w:eastAsia="宋体"/>
                <w:sz w:val="21"/>
              </w:rPr>
              <w:t>11</w:t>
            </w:r>
            <w:r>
              <w:rPr>
                <w:rFonts w:eastAsia="宋体"/>
                <w:sz w:val="21"/>
              </w:rPr>
              <w:t>月</w:t>
            </w:r>
            <w:r>
              <w:rPr>
                <w:rFonts w:eastAsia="宋体"/>
                <w:sz w:val="21"/>
              </w:rPr>
              <w:t>11</w:t>
            </w:r>
            <w:r>
              <w:rPr>
                <w:rFonts w:eastAsia="宋体"/>
                <w:sz w:val="21"/>
              </w:rPr>
              <w:t>日</w:t>
            </w:r>
          </w:p>
        </w:tc>
        <w:tc>
          <w:tcPr>
            <w:tcW w:w="1422" w:type="dxa"/>
          </w:tcPr>
          <w:p w:rsidR="00475650" w:rsidRDefault="00475650">
            <w:pPr>
              <w:pStyle w:val="ENFI"/>
              <w:rPr>
                <w:rFonts w:eastAsia="宋体"/>
                <w:sz w:val="21"/>
              </w:rPr>
            </w:pPr>
            <w:r>
              <w:rPr>
                <w:rFonts w:eastAsia="宋体"/>
                <w:sz w:val="21"/>
              </w:rPr>
              <w:t>7.43</w:t>
            </w:r>
          </w:p>
        </w:tc>
        <w:tc>
          <w:tcPr>
            <w:tcW w:w="1422" w:type="dxa"/>
          </w:tcPr>
          <w:p w:rsidR="00475650" w:rsidRDefault="00475650">
            <w:pPr>
              <w:pStyle w:val="ENFI"/>
              <w:rPr>
                <w:rFonts w:eastAsia="宋体"/>
                <w:sz w:val="21"/>
              </w:rPr>
            </w:pPr>
            <w:r>
              <w:rPr>
                <w:rFonts w:eastAsia="宋体"/>
                <w:sz w:val="21"/>
              </w:rPr>
              <w:t>11</w:t>
            </w:r>
          </w:p>
        </w:tc>
        <w:tc>
          <w:tcPr>
            <w:tcW w:w="1422" w:type="dxa"/>
          </w:tcPr>
          <w:p w:rsidR="00475650" w:rsidRDefault="00475650">
            <w:pPr>
              <w:pStyle w:val="ENFI"/>
              <w:rPr>
                <w:rFonts w:eastAsia="宋体"/>
                <w:sz w:val="21"/>
              </w:rPr>
            </w:pPr>
            <w:r>
              <w:rPr>
                <w:rFonts w:eastAsia="宋体"/>
                <w:sz w:val="21"/>
              </w:rPr>
              <w:t>6.97</w:t>
            </w:r>
          </w:p>
        </w:tc>
        <w:tc>
          <w:tcPr>
            <w:tcW w:w="1422" w:type="dxa"/>
          </w:tcPr>
          <w:p w:rsidR="00475650" w:rsidRDefault="00475650">
            <w:pPr>
              <w:pStyle w:val="ENFI"/>
              <w:rPr>
                <w:rFonts w:eastAsia="宋体"/>
                <w:sz w:val="21"/>
              </w:rPr>
            </w:pPr>
            <w:r>
              <w:rPr>
                <w:rFonts w:eastAsia="宋体"/>
                <w:sz w:val="21"/>
              </w:rPr>
              <w:t>22.3</w:t>
            </w:r>
          </w:p>
        </w:tc>
        <w:tc>
          <w:tcPr>
            <w:tcW w:w="1422" w:type="dxa"/>
          </w:tcPr>
          <w:p w:rsidR="00475650" w:rsidRDefault="00475650">
            <w:pPr>
              <w:pStyle w:val="ENFI"/>
              <w:rPr>
                <w:rFonts w:eastAsia="宋体"/>
                <w:sz w:val="21"/>
              </w:rPr>
            </w:pPr>
            <w:r>
              <w:rPr>
                <w:rFonts w:eastAsia="宋体"/>
                <w:sz w:val="21"/>
              </w:rPr>
              <w:t>10.6</w:t>
            </w:r>
          </w:p>
        </w:tc>
        <w:tc>
          <w:tcPr>
            <w:tcW w:w="1422" w:type="dxa"/>
          </w:tcPr>
          <w:p w:rsidR="00475650" w:rsidRDefault="00475650">
            <w:pPr>
              <w:pStyle w:val="ENFI"/>
              <w:rPr>
                <w:rFonts w:eastAsia="宋体"/>
                <w:sz w:val="21"/>
              </w:rPr>
            </w:pPr>
            <w:r>
              <w:rPr>
                <w:rFonts w:eastAsia="宋体"/>
                <w:sz w:val="21"/>
              </w:rPr>
              <w:t>1.2</w:t>
            </w:r>
          </w:p>
        </w:tc>
        <w:tc>
          <w:tcPr>
            <w:tcW w:w="1422" w:type="dxa"/>
          </w:tcPr>
          <w:p w:rsidR="00475650" w:rsidRDefault="00475650">
            <w:pPr>
              <w:pStyle w:val="ENFI"/>
              <w:rPr>
                <w:rFonts w:eastAsia="宋体"/>
                <w:sz w:val="21"/>
              </w:rPr>
            </w:pPr>
            <w:r>
              <w:rPr>
                <w:rFonts w:eastAsia="宋体"/>
                <w:sz w:val="21"/>
              </w:rPr>
              <w:t>0.036</w:t>
            </w:r>
          </w:p>
        </w:tc>
        <w:tc>
          <w:tcPr>
            <w:tcW w:w="1422" w:type="dxa"/>
          </w:tcPr>
          <w:p w:rsidR="00475650" w:rsidRDefault="00475650">
            <w:pPr>
              <w:pStyle w:val="ENFI"/>
              <w:rPr>
                <w:rFonts w:eastAsia="宋体"/>
                <w:sz w:val="21"/>
              </w:rPr>
            </w:pPr>
            <w:r>
              <w:rPr>
                <w:rFonts w:eastAsia="宋体"/>
                <w:sz w:val="21"/>
              </w:rPr>
              <w:t>0.138</w:t>
            </w:r>
          </w:p>
        </w:tc>
      </w:tr>
      <w:tr w:rsidR="00475650">
        <w:trPr>
          <w:jc w:val="center"/>
        </w:trPr>
        <w:tc>
          <w:tcPr>
            <w:tcW w:w="1421" w:type="dxa"/>
            <w:vMerge/>
          </w:tcPr>
          <w:p w:rsidR="00475650" w:rsidRDefault="00475650">
            <w:pPr>
              <w:pStyle w:val="ENFI"/>
              <w:rPr>
                <w:rFonts w:eastAsia="宋体"/>
                <w:sz w:val="21"/>
              </w:rPr>
            </w:pPr>
          </w:p>
        </w:tc>
        <w:tc>
          <w:tcPr>
            <w:tcW w:w="1421" w:type="dxa"/>
          </w:tcPr>
          <w:p w:rsidR="00475650" w:rsidRDefault="00475650">
            <w:pPr>
              <w:pStyle w:val="ENFI"/>
              <w:rPr>
                <w:rFonts w:eastAsia="宋体"/>
                <w:sz w:val="21"/>
              </w:rPr>
            </w:pPr>
            <w:r>
              <w:rPr>
                <w:rFonts w:eastAsia="宋体"/>
                <w:sz w:val="21"/>
              </w:rPr>
              <w:t>11</w:t>
            </w:r>
            <w:r>
              <w:rPr>
                <w:rFonts w:eastAsia="宋体"/>
                <w:sz w:val="21"/>
              </w:rPr>
              <w:t>月</w:t>
            </w:r>
            <w:r>
              <w:rPr>
                <w:rFonts w:eastAsia="宋体"/>
                <w:sz w:val="21"/>
              </w:rPr>
              <w:t>12</w:t>
            </w:r>
            <w:r>
              <w:rPr>
                <w:rFonts w:eastAsia="宋体"/>
                <w:sz w:val="21"/>
              </w:rPr>
              <w:t>日</w:t>
            </w:r>
          </w:p>
        </w:tc>
        <w:tc>
          <w:tcPr>
            <w:tcW w:w="1422" w:type="dxa"/>
          </w:tcPr>
          <w:p w:rsidR="00475650" w:rsidRDefault="00475650">
            <w:pPr>
              <w:pStyle w:val="ENFI"/>
              <w:rPr>
                <w:rFonts w:eastAsia="宋体"/>
                <w:sz w:val="21"/>
              </w:rPr>
            </w:pPr>
            <w:r>
              <w:rPr>
                <w:rFonts w:eastAsia="宋体"/>
                <w:sz w:val="21"/>
              </w:rPr>
              <w:t>7.39</w:t>
            </w:r>
          </w:p>
        </w:tc>
        <w:tc>
          <w:tcPr>
            <w:tcW w:w="1422" w:type="dxa"/>
          </w:tcPr>
          <w:p w:rsidR="00475650" w:rsidRDefault="00475650">
            <w:pPr>
              <w:pStyle w:val="ENFI"/>
              <w:rPr>
                <w:rFonts w:eastAsia="宋体"/>
                <w:sz w:val="21"/>
              </w:rPr>
            </w:pPr>
            <w:r>
              <w:rPr>
                <w:rFonts w:eastAsia="宋体"/>
                <w:sz w:val="21"/>
              </w:rPr>
              <w:t>12</w:t>
            </w:r>
          </w:p>
        </w:tc>
        <w:tc>
          <w:tcPr>
            <w:tcW w:w="1422" w:type="dxa"/>
          </w:tcPr>
          <w:p w:rsidR="00475650" w:rsidRDefault="00475650">
            <w:pPr>
              <w:pStyle w:val="ENFI"/>
              <w:rPr>
                <w:rFonts w:eastAsia="宋体"/>
                <w:sz w:val="21"/>
              </w:rPr>
            </w:pPr>
            <w:r>
              <w:rPr>
                <w:rFonts w:eastAsia="宋体"/>
                <w:sz w:val="21"/>
              </w:rPr>
              <w:t>7.01</w:t>
            </w:r>
          </w:p>
        </w:tc>
        <w:tc>
          <w:tcPr>
            <w:tcW w:w="1422" w:type="dxa"/>
          </w:tcPr>
          <w:p w:rsidR="00475650" w:rsidRDefault="00475650">
            <w:pPr>
              <w:pStyle w:val="ENFI"/>
              <w:rPr>
                <w:rFonts w:eastAsia="宋体"/>
                <w:sz w:val="21"/>
              </w:rPr>
            </w:pPr>
            <w:r>
              <w:rPr>
                <w:rFonts w:eastAsia="宋体"/>
                <w:sz w:val="21"/>
              </w:rPr>
              <w:t>18.7</w:t>
            </w:r>
          </w:p>
        </w:tc>
        <w:tc>
          <w:tcPr>
            <w:tcW w:w="1422" w:type="dxa"/>
          </w:tcPr>
          <w:p w:rsidR="00475650" w:rsidRDefault="00475650">
            <w:pPr>
              <w:pStyle w:val="ENFI"/>
              <w:rPr>
                <w:rFonts w:eastAsia="宋体"/>
                <w:sz w:val="21"/>
              </w:rPr>
            </w:pPr>
            <w:r>
              <w:rPr>
                <w:rFonts w:eastAsia="宋体"/>
                <w:sz w:val="21"/>
              </w:rPr>
              <w:t>11.9</w:t>
            </w:r>
          </w:p>
        </w:tc>
        <w:tc>
          <w:tcPr>
            <w:tcW w:w="1422" w:type="dxa"/>
          </w:tcPr>
          <w:p w:rsidR="00475650" w:rsidRDefault="00475650">
            <w:pPr>
              <w:pStyle w:val="ENFI"/>
              <w:rPr>
                <w:rFonts w:eastAsia="宋体"/>
                <w:sz w:val="21"/>
              </w:rPr>
            </w:pPr>
            <w:r>
              <w:rPr>
                <w:rFonts w:eastAsia="宋体"/>
                <w:sz w:val="21"/>
              </w:rPr>
              <w:t>1.2</w:t>
            </w:r>
          </w:p>
        </w:tc>
        <w:tc>
          <w:tcPr>
            <w:tcW w:w="1422" w:type="dxa"/>
          </w:tcPr>
          <w:p w:rsidR="00475650" w:rsidRDefault="00475650">
            <w:pPr>
              <w:pStyle w:val="ENFI"/>
              <w:rPr>
                <w:rFonts w:eastAsia="宋体"/>
                <w:sz w:val="21"/>
              </w:rPr>
            </w:pPr>
            <w:r>
              <w:rPr>
                <w:rFonts w:eastAsia="宋体"/>
                <w:sz w:val="21"/>
              </w:rPr>
              <w:t>0.03</w:t>
            </w:r>
          </w:p>
        </w:tc>
        <w:tc>
          <w:tcPr>
            <w:tcW w:w="1422" w:type="dxa"/>
          </w:tcPr>
          <w:p w:rsidR="00475650" w:rsidRDefault="00475650">
            <w:pPr>
              <w:pStyle w:val="ENFI"/>
              <w:rPr>
                <w:rFonts w:eastAsia="宋体"/>
                <w:sz w:val="21"/>
              </w:rPr>
            </w:pPr>
            <w:r>
              <w:rPr>
                <w:rFonts w:eastAsia="宋体"/>
                <w:sz w:val="21"/>
              </w:rPr>
              <w:t>0.134</w:t>
            </w:r>
          </w:p>
        </w:tc>
      </w:tr>
      <w:tr w:rsidR="00475650">
        <w:trPr>
          <w:jc w:val="center"/>
        </w:trPr>
        <w:tc>
          <w:tcPr>
            <w:tcW w:w="1421" w:type="dxa"/>
            <w:vMerge/>
          </w:tcPr>
          <w:p w:rsidR="00475650" w:rsidRDefault="00475650">
            <w:pPr>
              <w:pStyle w:val="ENFI"/>
              <w:rPr>
                <w:rFonts w:eastAsia="宋体"/>
                <w:sz w:val="21"/>
              </w:rPr>
            </w:pPr>
          </w:p>
        </w:tc>
        <w:tc>
          <w:tcPr>
            <w:tcW w:w="1421" w:type="dxa"/>
          </w:tcPr>
          <w:p w:rsidR="00475650" w:rsidRDefault="00475650">
            <w:pPr>
              <w:pStyle w:val="ENFI"/>
              <w:rPr>
                <w:rFonts w:eastAsia="宋体"/>
                <w:sz w:val="21"/>
              </w:rPr>
            </w:pPr>
            <w:r>
              <w:rPr>
                <w:rFonts w:eastAsia="宋体"/>
                <w:sz w:val="21"/>
              </w:rPr>
              <w:t>均值</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11.33</w:t>
            </w:r>
          </w:p>
        </w:tc>
        <w:tc>
          <w:tcPr>
            <w:tcW w:w="1422" w:type="dxa"/>
          </w:tcPr>
          <w:p w:rsidR="00475650" w:rsidRDefault="00475650">
            <w:pPr>
              <w:pStyle w:val="ENFI"/>
              <w:rPr>
                <w:rFonts w:eastAsia="宋体"/>
                <w:sz w:val="21"/>
              </w:rPr>
            </w:pPr>
            <w:r>
              <w:rPr>
                <w:rFonts w:eastAsia="宋体"/>
                <w:sz w:val="21"/>
              </w:rPr>
              <w:t>6.95</w:t>
            </w:r>
          </w:p>
        </w:tc>
        <w:tc>
          <w:tcPr>
            <w:tcW w:w="1422" w:type="dxa"/>
          </w:tcPr>
          <w:p w:rsidR="00475650" w:rsidRDefault="00475650">
            <w:pPr>
              <w:pStyle w:val="ENFI"/>
              <w:rPr>
                <w:rFonts w:eastAsia="宋体"/>
                <w:sz w:val="21"/>
              </w:rPr>
            </w:pPr>
            <w:r>
              <w:rPr>
                <w:rFonts w:eastAsia="宋体"/>
                <w:sz w:val="21"/>
              </w:rPr>
              <w:t>20.37</w:t>
            </w:r>
          </w:p>
        </w:tc>
        <w:tc>
          <w:tcPr>
            <w:tcW w:w="1422" w:type="dxa"/>
          </w:tcPr>
          <w:p w:rsidR="00475650" w:rsidRDefault="00475650">
            <w:pPr>
              <w:pStyle w:val="ENFI"/>
              <w:rPr>
                <w:rFonts w:eastAsia="宋体"/>
                <w:sz w:val="21"/>
              </w:rPr>
            </w:pPr>
            <w:r>
              <w:rPr>
                <w:rFonts w:eastAsia="宋体"/>
                <w:sz w:val="21"/>
              </w:rPr>
              <w:t>11.17</w:t>
            </w:r>
          </w:p>
        </w:tc>
        <w:tc>
          <w:tcPr>
            <w:tcW w:w="1422" w:type="dxa"/>
          </w:tcPr>
          <w:p w:rsidR="00475650" w:rsidRDefault="00475650">
            <w:pPr>
              <w:pStyle w:val="ENFI"/>
              <w:rPr>
                <w:rFonts w:eastAsia="宋体"/>
                <w:sz w:val="21"/>
              </w:rPr>
            </w:pPr>
            <w:r>
              <w:rPr>
                <w:rFonts w:eastAsia="宋体"/>
                <w:sz w:val="21"/>
              </w:rPr>
              <w:t>1.30</w:t>
            </w:r>
          </w:p>
        </w:tc>
        <w:tc>
          <w:tcPr>
            <w:tcW w:w="1422" w:type="dxa"/>
          </w:tcPr>
          <w:p w:rsidR="00475650" w:rsidRDefault="00475650">
            <w:pPr>
              <w:pStyle w:val="ENFI"/>
              <w:rPr>
                <w:rFonts w:eastAsia="宋体"/>
                <w:sz w:val="21"/>
              </w:rPr>
            </w:pPr>
            <w:r>
              <w:rPr>
                <w:rFonts w:eastAsia="宋体"/>
                <w:sz w:val="21"/>
              </w:rPr>
              <w:t>0.04</w:t>
            </w:r>
          </w:p>
        </w:tc>
        <w:tc>
          <w:tcPr>
            <w:tcW w:w="1422" w:type="dxa"/>
          </w:tcPr>
          <w:p w:rsidR="00475650" w:rsidRDefault="00475650">
            <w:pPr>
              <w:pStyle w:val="ENFI"/>
              <w:rPr>
                <w:rFonts w:eastAsia="宋体"/>
                <w:sz w:val="21"/>
              </w:rPr>
            </w:pPr>
            <w:r>
              <w:rPr>
                <w:rFonts w:eastAsia="宋体"/>
                <w:sz w:val="21"/>
              </w:rPr>
              <w:t>0.14</w:t>
            </w:r>
          </w:p>
        </w:tc>
      </w:tr>
      <w:tr w:rsidR="00475650">
        <w:trPr>
          <w:jc w:val="center"/>
        </w:trPr>
        <w:tc>
          <w:tcPr>
            <w:tcW w:w="1421" w:type="dxa"/>
            <w:vMerge/>
          </w:tcPr>
          <w:p w:rsidR="00475650" w:rsidRDefault="00475650">
            <w:pPr>
              <w:pStyle w:val="ENFI"/>
              <w:rPr>
                <w:rFonts w:eastAsia="宋体"/>
                <w:sz w:val="21"/>
              </w:rPr>
            </w:pPr>
          </w:p>
        </w:tc>
        <w:tc>
          <w:tcPr>
            <w:tcW w:w="1421" w:type="dxa"/>
          </w:tcPr>
          <w:p w:rsidR="00475650" w:rsidRDefault="00475650">
            <w:pPr>
              <w:pStyle w:val="ENFI"/>
              <w:rPr>
                <w:rFonts w:eastAsia="宋体"/>
                <w:sz w:val="21"/>
              </w:rPr>
            </w:pPr>
            <w:r>
              <w:rPr>
                <w:rFonts w:eastAsia="宋体"/>
                <w:sz w:val="21"/>
              </w:rPr>
              <w:t>占标率</w:t>
            </w:r>
          </w:p>
        </w:tc>
        <w:tc>
          <w:tcPr>
            <w:tcW w:w="1422" w:type="dxa"/>
          </w:tcPr>
          <w:p w:rsidR="00475650" w:rsidRDefault="00475650">
            <w:pPr>
              <w:pStyle w:val="ENFI"/>
              <w:rPr>
                <w:rFonts w:eastAsia="宋体"/>
                <w:sz w:val="21"/>
              </w:rPr>
            </w:pPr>
            <w:r>
              <w:rPr>
                <w:rFonts w:eastAsia="宋体"/>
                <w:sz w:val="21"/>
              </w:rPr>
              <w:t>0.20</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0.66</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0.58</w:t>
            </w:r>
          </w:p>
        </w:tc>
        <w:tc>
          <w:tcPr>
            <w:tcW w:w="1422" w:type="dxa"/>
          </w:tcPr>
          <w:p w:rsidR="00475650" w:rsidRDefault="00475650">
            <w:pPr>
              <w:pStyle w:val="ENFI"/>
              <w:rPr>
                <w:rFonts w:eastAsia="宋体"/>
                <w:sz w:val="21"/>
              </w:rPr>
            </w:pPr>
            <w:r>
              <w:rPr>
                <w:rFonts w:eastAsia="宋体"/>
                <w:sz w:val="21"/>
              </w:rPr>
              <w:t>0.35</w:t>
            </w:r>
          </w:p>
        </w:tc>
        <w:tc>
          <w:tcPr>
            <w:tcW w:w="1422" w:type="dxa"/>
          </w:tcPr>
          <w:p w:rsidR="00475650" w:rsidRDefault="00475650">
            <w:pPr>
              <w:pStyle w:val="ENFI"/>
              <w:rPr>
                <w:rFonts w:eastAsia="宋体"/>
                <w:sz w:val="21"/>
              </w:rPr>
            </w:pPr>
            <w:r>
              <w:rPr>
                <w:rFonts w:eastAsia="宋体"/>
                <w:sz w:val="21"/>
              </w:rPr>
              <w:t>0.04</w:t>
            </w:r>
          </w:p>
        </w:tc>
        <w:tc>
          <w:tcPr>
            <w:tcW w:w="1422" w:type="dxa"/>
          </w:tcPr>
          <w:p w:rsidR="00475650" w:rsidRDefault="00475650">
            <w:pPr>
              <w:pStyle w:val="ENFI"/>
              <w:rPr>
                <w:rFonts w:eastAsia="宋体"/>
                <w:sz w:val="21"/>
              </w:rPr>
            </w:pPr>
            <w:r>
              <w:rPr>
                <w:rFonts w:eastAsia="宋体"/>
                <w:sz w:val="21"/>
              </w:rPr>
              <w:t>0.69</w:t>
            </w:r>
          </w:p>
        </w:tc>
      </w:tr>
      <w:tr w:rsidR="00475650">
        <w:trPr>
          <w:jc w:val="center"/>
        </w:trPr>
        <w:tc>
          <w:tcPr>
            <w:tcW w:w="1421" w:type="dxa"/>
            <w:vMerge/>
          </w:tcPr>
          <w:p w:rsidR="00475650" w:rsidRDefault="00475650">
            <w:pPr>
              <w:pStyle w:val="ENFI"/>
              <w:rPr>
                <w:rFonts w:eastAsia="宋体"/>
                <w:sz w:val="21"/>
              </w:rPr>
            </w:pPr>
          </w:p>
        </w:tc>
        <w:tc>
          <w:tcPr>
            <w:tcW w:w="1421" w:type="dxa"/>
          </w:tcPr>
          <w:p w:rsidR="00475650" w:rsidRDefault="00475650">
            <w:pPr>
              <w:pStyle w:val="ENFI"/>
              <w:rPr>
                <w:rFonts w:eastAsia="宋体"/>
                <w:sz w:val="21"/>
              </w:rPr>
            </w:pPr>
            <w:r>
              <w:rPr>
                <w:rFonts w:eastAsia="宋体"/>
                <w:sz w:val="21"/>
              </w:rPr>
              <w:t>达标情况</w:t>
            </w:r>
          </w:p>
        </w:tc>
        <w:tc>
          <w:tcPr>
            <w:tcW w:w="1422" w:type="dxa"/>
          </w:tcPr>
          <w:p w:rsidR="00475650" w:rsidRDefault="00475650">
            <w:pPr>
              <w:pStyle w:val="ENFI"/>
              <w:rPr>
                <w:rFonts w:eastAsia="宋体"/>
                <w:sz w:val="21"/>
              </w:rPr>
            </w:pPr>
            <w:r>
              <w:rPr>
                <w:rFonts w:eastAsia="宋体"/>
                <w:sz w:val="21"/>
              </w:rPr>
              <w:t>达标</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达标</w:t>
            </w:r>
          </w:p>
        </w:tc>
        <w:tc>
          <w:tcPr>
            <w:tcW w:w="1422" w:type="dxa"/>
          </w:tcPr>
          <w:p w:rsidR="00475650" w:rsidRDefault="00475650">
            <w:pPr>
              <w:pStyle w:val="ENFI"/>
              <w:rPr>
                <w:rFonts w:eastAsia="宋体"/>
                <w:sz w:val="21"/>
              </w:rPr>
            </w:pPr>
            <w:r>
              <w:rPr>
                <w:rFonts w:eastAsia="宋体"/>
                <w:sz w:val="21"/>
              </w:rPr>
              <w:t>—</w:t>
            </w:r>
          </w:p>
        </w:tc>
        <w:tc>
          <w:tcPr>
            <w:tcW w:w="1422" w:type="dxa"/>
          </w:tcPr>
          <w:p w:rsidR="00475650" w:rsidRDefault="00475650">
            <w:pPr>
              <w:pStyle w:val="ENFI"/>
              <w:rPr>
                <w:rFonts w:eastAsia="宋体"/>
                <w:sz w:val="21"/>
              </w:rPr>
            </w:pPr>
            <w:r>
              <w:rPr>
                <w:rFonts w:eastAsia="宋体"/>
                <w:sz w:val="21"/>
              </w:rPr>
              <w:t>达标</w:t>
            </w:r>
          </w:p>
        </w:tc>
        <w:tc>
          <w:tcPr>
            <w:tcW w:w="1422" w:type="dxa"/>
          </w:tcPr>
          <w:p w:rsidR="00475650" w:rsidRDefault="00475650">
            <w:pPr>
              <w:pStyle w:val="ENFI"/>
              <w:rPr>
                <w:rFonts w:eastAsia="宋体"/>
                <w:sz w:val="21"/>
              </w:rPr>
            </w:pPr>
            <w:r>
              <w:rPr>
                <w:rFonts w:eastAsia="宋体"/>
                <w:sz w:val="21"/>
              </w:rPr>
              <w:t>达标</w:t>
            </w:r>
          </w:p>
        </w:tc>
        <w:tc>
          <w:tcPr>
            <w:tcW w:w="1422" w:type="dxa"/>
          </w:tcPr>
          <w:p w:rsidR="00475650" w:rsidRDefault="00475650">
            <w:pPr>
              <w:pStyle w:val="ENFI"/>
              <w:rPr>
                <w:rFonts w:eastAsia="宋体"/>
                <w:sz w:val="21"/>
              </w:rPr>
            </w:pPr>
            <w:r>
              <w:rPr>
                <w:rFonts w:eastAsia="宋体"/>
                <w:sz w:val="21"/>
              </w:rPr>
              <w:t>达标</w:t>
            </w:r>
          </w:p>
        </w:tc>
        <w:tc>
          <w:tcPr>
            <w:tcW w:w="1422" w:type="dxa"/>
          </w:tcPr>
          <w:p w:rsidR="00475650" w:rsidRDefault="00475650">
            <w:pPr>
              <w:pStyle w:val="ENFI"/>
              <w:rPr>
                <w:rFonts w:eastAsia="宋体"/>
                <w:sz w:val="21"/>
              </w:rPr>
            </w:pPr>
            <w:r>
              <w:rPr>
                <w:rFonts w:eastAsia="宋体"/>
                <w:sz w:val="21"/>
              </w:rPr>
              <w:t>达标</w:t>
            </w:r>
          </w:p>
        </w:tc>
      </w:tr>
    </w:tbl>
    <w:p w:rsidR="00475650" w:rsidRDefault="00475650">
      <w:pPr>
        <w:jc w:val="center"/>
        <w:rPr>
          <w:rFonts w:eastAsia="黑体"/>
          <w:bCs/>
        </w:rPr>
      </w:pPr>
    </w:p>
    <w:p w:rsidR="00475650" w:rsidRDefault="00475650">
      <w:pPr>
        <w:jc w:val="center"/>
        <w:rPr>
          <w:rFonts w:eastAsia="黑体"/>
          <w:bCs/>
        </w:rPr>
      </w:pPr>
    </w:p>
    <w:p w:rsidR="00475650" w:rsidRDefault="00475650">
      <w:pPr>
        <w:jc w:val="center"/>
        <w:rPr>
          <w:rFonts w:eastAsia="黑体"/>
          <w:bCs/>
        </w:rPr>
      </w:pPr>
    </w:p>
    <w:p w:rsidR="00475650" w:rsidRDefault="00475650">
      <w:pPr>
        <w:jc w:val="center"/>
        <w:rPr>
          <w:rFonts w:eastAsia="黑体"/>
          <w:bCs/>
        </w:rPr>
      </w:pPr>
    </w:p>
    <w:p w:rsidR="00475650" w:rsidRDefault="00475650">
      <w:pPr>
        <w:snapToGrid w:val="0"/>
        <w:spacing w:line="360" w:lineRule="auto"/>
        <w:ind w:firstLineChars="200" w:firstLine="420"/>
        <w:sectPr w:rsidR="00475650">
          <w:pgSz w:w="16838" w:h="11906" w:orient="landscape"/>
          <w:pgMar w:top="1531" w:right="1440" w:bottom="1531" w:left="1712" w:header="1247" w:footer="1134" w:gutter="0"/>
          <w:cols w:space="720"/>
          <w:docGrid w:linePitch="285"/>
        </w:sectPr>
      </w:pPr>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694" w:name="_Toc302936718"/>
      <w:bookmarkStart w:id="695" w:name="_Toc334080841"/>
      <w:bookmarkStart w:id="696" w:name="_Toc465677020"/>
      <w:bookmarkStart w:id="697" w:name="_Toc23999"/>
      <w:bookmarkStart w:id="698" w:name="_Toc334014199"/>
      <w:bookmarkStart w:id="699" w:name="_Toc333230024"/>
      <w:r>
        <w:rPr>
          <w:rStyle w:val="2Char1Char"/>
          <w:rFonts w:ascii="Times New Roman" w:eastAsia="宋体" w:hAnsi="Times New Roman" w:cs="Times New Roman" w:hint="eastAsia"/>
          <w:b w:val="0"/>
          <w:sz w:val="24"/>
          <w:szCs w:val="24"/>
        </w:rPr>
        <w:lastRenderedPageBreak/>
        <w:t>4</w:t>
      </w:r>
      <w:r>
        <w:rPr>
          <w:rStyle w:val="2Char1Char"/>
          <w:rFonts w:ascii="Times New Roman" w:eastAsia="宋体" w:hAnsi="Times New Roman" w:cs="Times New Roman"/>
          <w:b w:val="0"/>
          <w:sz w:val="24"/>
          <w:szCs w:val="24"/>
        </w:rPr>
        <w:t>.3.3</w:t>
      </w:r>
      <w:r>
        <w:rPr>
          <w:rStyle w:val="2Char1Char"/>
          <w:rFonts w:ascii="Times New Roman" w:eastAsia="宋体" w:hAnsi="宋体" w:cs="Times New Roman"/>
          <w:b w:val="0"/>
          <w:sz w:val="24"/>
          <w:szCs w:val="24"/>
        </w:rPr>
        <w:t>地下水质量现状调查与评价</w:t>
      </w:r>
      <w:bookmarkEnd w:id="694"/>
      <w:bookmarkEnd w:id="695"/>
      <w:bookmarkEnd w:id="696"/>
      <w:bookmarkEnd w:id="697"/>
      <w:bookmarkEnd w:id="698"/>
      <w:bookmarkEnd w:id="699"/>
    </w:p>
    <w:p w:rsidR="00475650" w:rsidRDefault="00475650">
      <w:pPr>
        <w:spacing w:line="360" w:lineRule="auto"/>
        <w:ind w:firstLineChars="200" w:firstLine="480"/>
        <w:rPr>
          <w:kern w:val="0"/>
          <w:sz w:val="24"/>
        </w:rPr>
      </w:pPr>
      <w:r>
        <w:rPr>
          <w:kern w:val="0"/>
          <w:sz w:val="24"/>
        </w:rPr>
        <w:t>4.3.3.1</w:t>
      </w:r>
      <w:r>
        <w:rPr>
          <w:rFonts w:hAnsi="宋体"/>
          <w:kern w:val="0"/>
          <w:sz w:val="24"/>
        </w:rPr>
        <w:t>国发</w:t>
      </w:r>
      <w:r>
        <w:rPr>
          <w:rFonts w:hAnsi="宋体" w:hint="eastAsia"/>
          <w:kern w:val="0"/>
          <w:sz w:val="24"/>
        </w:rPr>
        <w:t>杀螟单</w:t>
      </w:r>
      <w:r>
        <w:rPr>
          <w:rFonts w:hAnsi="宋体"/>
          <w:kern w:val="0"/>
          <w:sz w:val="24"/>
        </w:rPr>
        <w:t>项目历史监测数据</w:t>
      </w:r>
    </w:p>
    <w:p w:rsidR="00475650" w:rsidRDefault="00475650">
      <w:pPr>
        <w:spacing w:line="360" w:lineRule="auto"/>
        <w:ind w:firstLineChars="200" w:firstLine="480"/>
        <w:rPr>
          <w:rStyle w:val="2Char1Char"/>
          <w:rFonts w:ascii="Times New Roman" w:eastAsia="宋体" w:hAnsi="Times New Roman"/>
          <w:b w:val="0"/>
          <w:sz w:val="24"/>
          <w:szCs w:val="24"/>
        </w:rPr>
      </w:pPr>
      <w:r>
        <w:rPr>
          <w:rFonts w:hAnsi="宋体"/>
          <w:kern w:val="0"/>
          <w:sz w:val="24"/>
        </w:rPr>
        <w:t>一</w:t>
      </w:r>
      <w:r>
        <w:rPr>
          <w:rStyle w:val="2Char1Char"/>
          <w:rFonts w:ascii="Times New Roman" w:eastAsia="宋体" w:hAnsi="宋体"/>
          <w:b w:val="0"/>
          <w:sz w:val="24"/>
          <w:szCs w:val="24"/>
        </w:rPr>
        <w:t>、监测布点</w:t>
      </w:r>
    </w:p>
    <w:p w:rsidR="00475650" w:rsidRDefault="00475650" w:rsidP="00475650">
      <w:pPr>
        <w:overflowPunct w:val="0"/>
        <w:autoSpaceDE w:val="0"/>
        <w:autoSpaceDN w:val="0"/>
        <w:adjustRightInd w:val="0"/>
        <w:spacing w:line="360" w:lineRule="auto"/>
        <w:ind w:firstLineChars="182" w:firstLine="437"/>
        <w:textAlignment w:val="baseline"/>
        <w:rPr>
          <w:kern w:val="0"/>
          <w:sz w:val="24"/>
        </w:rPr>
      </w:pPr>
      <w:r>
        <w:rPr>
          <w:rFonts w:hAnsi="宋体"/>
          <w:kern w:val="0"/>
          <w:sz w:val="24"/>
        </w:rPr>
        <w:t>历史监测数据共布设</w:t>
      </w:r>
      <w:r>
        <w:rPr>
          <w:kern w:val="0"/>
          <w:sz w:val="24"/>
        </w:rPr>
        <w:t>3</w:t>
      </w:r>
      <w:r>
        <w:rPr>
          <w:rFonts w:hAnsi="宋体"/>
          <w:kern w:val="0"/>
          <w:sz w:val="24"/>
        </w:rPr>
        <w:t>个地下水监测点监测地下水环境质量，具体采样布置如表</w:t>
      </w:r>
      <w:r>
        <w:rPr>
          <w:kern w:val="0"/>
          <w:sz w:val="24"/>
        </w:rPr>
        <w:t>4.3-</w:t>
      </w:r>
      <w:r>
        <w:rPr>
          <w:rFonts w:hint="eastAsia"/>
          <w:kern w:val="0"/>
          <w:sz w:val="24"/>
        </w:rPr>
        <w:t>12</w:t>
      </w:r>
      <w:r>
        <w:rPr>
          <w:rFonts w:hAnsi="宋体"/>
          <w:kern w:val="0"/>
          <w:sz w:val="24"/>
        </w:rPr>
        <w:t>所示。</w:t>
      </w:r>
    </w:p>
    <w:p w:rsidR="00475650" w:rsidRDefault="00475650">
      <w:pPr>
        <w:spacing w:line="360" w:lineRule="auto"/>
        <w:jc w:val="center"/>
        <w:rPr>
          <w:b/>
          <w:sz w:val="24"/>
        </w:rPr>
      </w:pPr>
      <w:r>
        <w:rPr>
          <w:rFonts w:hAnsi="宋体"/>
          <w:b/>
          <w:sz w:val="24"/>
        </w:rPr>
        <w:t>表</w:t>
      </w:r>
      <w:r>
        <w:rPr>
          <w:b/>
          <w:sz w:val="24"/>
        </w:rPr>
        <w:t>4.3-</w:t>
      </w:r>
      <w:r>
        <w:rPr>
          <w:rFonts w:hint="eastAsia"/>
          <w:b/>
          <w:sz w:val="24"/>
        </w:rPr>
        <w:t>12</w:t>
      </w:r>
      <w:r>
        <w:rPr>
          <w:b/>
          <w:sz w:val="24"/>
        </w:rPr>
        <w:t xml:space="preserve">  </w:t>
      </w:r>
      <w:r>
        <w:rPr>
          <w:rFonts w:hAnsi="宋体"/>
          <w:b/>
          <w:sz w:val="24"/>
        </w:rPr>
        <w:t>地下水水质监测断面及监测点位置表</w:t>
      </w:r>
      <w:r>
        <w:rPr>
          <w:b/>
          <w:sz w:val="24"/>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425"/>
        <w:gridCol w:w="4605"/>
        <w:gridCol w:w="2916"/>
      </w:tblGrid>
      <w:tr w:rsidR="00475650">
        <w:trPr>
          <w:jc w:val="center"/>
        </w:trPr>
        <w:tc>
          <w:tcPr>
            <w:tcW w:w="1425"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编号</w:t>
            </w:r>
          </w:p>
        </w:tc>
        <w:tc>
          <w:tcPr>
            <w:tcW w:w="4605"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位</w:t>
            </w:r>
            <w:r>
              <w:rPr>
                <w:kern w:val="0"/>
                <w:szCs w:val="21"/>
              </w:rPr>
              <w:t xml:space="preserve">  </w:t>
            </w:r>
            <w:r>
              <w:rPr>
                <w:rFonts w:hAnsi="宋体"/>
                <w:kern w:val="0"/>
                <w:szCs w:val="21"/>
              </w:rPr>
              <w:t>置</w:t>
            </w:r>
          </w:p>
        </w:tc>
        <w:tc>
          <w:tcPr>
            <w:tcW w:w="2916"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与本项目的位置关系</w:t>
            </w:r>
          </w:p>
        </w:tc>
      </w:tr>
      <w:tr w:rsidR="00475650">
        <w:trPr>
          <w:jc w:val="center"/>
        </w:trPr>
        <w:tc>
          <w:tcPr>
            <w:tcW w:w="1425"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W1</w:t>
            </w:r>
          </w:p>
        </w:tc>
        <w:tc>
          <w:tcPr>
            <w:tcW w:w="4605"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白马矶一、二组公用井</w:t>
            </w:r>
          </w:p>
        </w:tc>
        <w:tc>
          <w:tcPr>
            <w:tcW w:w="2916"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地下水下游</w:t>
            </w:r>
          </w:p>
        </w:tc>
      </w:tr>
      <w:tr w:rsidR="00475650">
        <w:trPr>
          <w:jc w:val="center"/>
        </w:trPr>
        <w:tc>
          <w:tcPr>
            <w:tcW w:w="1425"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W2</w:t>
            </w:r>
          </w:p>
        </w:tc>
        <w:tc>
          <w:tcPr>
            <w:tcW w:w="4605"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郑庆兵自用井</w:t>
            </w:r>
          </w:p>
        </w:tc>
        <w:tc>
          <w:tcPr>
            <w:tcW w:w="2916"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地下水侧方向</w:t>
            </w:r>
          </w:p>
        </w:tc>
      </w:tr>
      <w:tr w:rsidR="00475650">
        <w:trPr>
          <w:jc w:val="center"/>
        </w:trPr>
        <w:tc>
          <w:tcPr>
            <w:tcW w:w="1425" w:type="dxa"/>
            <w:vAlign w:val="center"/>
          </w:tcPr>
          <w:p w:rsidR="00475650" w:rsidRDefault="00475650">
            <w:pPr>
              <w:autoSpaceDE w:val="0"/>
              <w:autoSpaceDN w:val="0"/>
              <w:adjustRightInd w:val="0"/>
              <w:spacing w:line="240" w:lineRule="atLeast"/>
              <w:jc w:val="center"/>
              <w:textAlignment w:val="baseline"/>
              <w:rPr>
                <w:kern w:val="0"/>
                <w:szCs w:val="21"/>
              </w:rPr>
            </w:pPr>
            <w:r>
              <w:rPr>
                <w:kern w:val="0"/>
                <w:szCs w:val="21"/>
              </w:rPr>
              <w:t>W3</w:t>
            </w:r>
          </w:p>
        </w:tc>
        <w:tc>
          <w:tcPr>
            <w:tcW w:w="4605"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白马矶三、四组公用井（儒溪中学）</w:t>
            </w:r>
          </w:p>
        </w:tc>
        <w:tc>
          <w:tcPr>
            <w:tcW w:w="2916" w:type="dxa"/>
            <w:vAlign w:val="center"/>
          </w:tcPr>
          <w:p w:rsidR="00475650" w:rsidRDefault="00475650">
            <w:pPr>
              <w:autoSpaceDE w:val="0"/>
              <w:autoSpaceDN w:val="0"/>
              <w:adjustRightInd w:val="0"/>
              <w:spacing w:line="240" w:lineRule="atLeast"/>
              <w:jc w:val="center"/>
              <w:textAlignment w:val="baseline"/>
              <w:rPr>
                <w:kern w:val="0"/>
                <w:szCs w:val="21"/>
              </w:rPr>
            </w:pPr>
            <w:r>
              <w:rPr>
                <w:rFonts w:hAnsi="宋体"/>
                <w:kern w:val="0"/>
                <w:szCs w:val="21"/>
              </w:rPr>
              <w:t>地下水下游</w:t>
            </w:r>
          </w:p>
        </w:tc>
      </w:tr>
    </w:tbl>
    <w:p w:rsidR="00475650" w:rsidRDefault="00475650">
      <w:pPr>
        <w:spacing w:line="360" w:lineRule="auto"/>
        <w:ind w:firstLineChars="200" w:firstLine="480"/>
        <w:rPr>
          <w:rStyle w:val="2Char1Char"/>
          <w:rFonts w:ascii="Times New Roman" w:eastAsia="宋体" w:hAnsi="Times New Roman"/>
          <w:b w:val="0"/>
          <w:sz w:val="24"/>
          <w:szCs w:val="24"/>
        </w:rPr>
      </w:pPr>
    </w:p>
    <w:p w:rsidR="00475650" w:rsidRDefault="00475650">
      <w:pPr>
        <w:spacing w:line="360" w:lineRule="auto"/>
        <w:ind w:firstLineChars="200" w:firstLine="480"/>
        <w:rPr>
          <w:rStyle w:val="2Char1Char"/>
          <w:rFonts w:ascii="Times New Roman" w:eastAsia="宋体" w:hAnsi="Times New Roman"/>
          <w:b w:val="0"/>
          <w:sz w:val="24"/>
          <w:szCs w:val="24"/>
        </w:rPr>
      </w:pPr>
      <w:r>
        <w:rPr>
          <w:rStyle w:val="2Char1Char"/>
          <w:rFonts w:ascii="Times New Roman" w:eastAsia="宋体" w:hAnsi="宋体"/>
          <w:b w:val="0"/>
          <w:sz w:val="24"/>
          <w:szCs w:val="24"/>
        </w:rPr>
        <w:t>二、监测项目</w:t>
      </w:r>
      <w:r>
        <w:rPr>
          <w:rStyle w:val="2Char1Char"/>
          <w:rFonts w:ascii="Times New Roman" w:eastAsia="宋体" w:hAnsi="Times New Roman"/>
          <w:b w:val="0"/>
          <w:sz w:val="24"/>
          <w:szCs w:val="24"/>
        </w:rPr>
        <w:t xml:space="preserve">                                          </w:t>
      </w:r>
    </w:p>
    <w:p w:rsidR="00475650" w:rsidRDefault="00475650">
      <w:pPr>
        <w:spacing w:line="360" w:lineRule="auto"/>
        <w:ind w:firstLineChars="200" w:firstLine="480"/>
        <w:rPr>
          <w:kern w:val="0"/>
          <w:sz w:val="24"/>
        </w:rPr>
      </w:pPr>
      <w:r>
        <w:rPr>
          <w:rFonts w:hAnsi="宋体"/>
          <w:kern w:val="0"/>
          <w:sz w:val="24"/>
        </w:rPr>
        <w:t>监测项目包括</w:t>
      </w:r>
      <w:r>
        <w:rPr>
          <w:kern w:val="0"/>
          <w:sz w:val="24"/>
        </w:rPr>
        <w:t>pH</w:t>
      </w:r>
      <w:r>
        <w:rPr>
          <w:rFonts w:hAnsi="宋体"/>
          <w:kern w:val="0"/>
          <w:sz w:val="24"/>
        </w:rPr>
        <w:t>、高锰酸盐指数、氨氮、色度、挥发酚、硫酸盐、氯化物、硝酸盐、亚硝酸盐，共</w:t>
      </w:r>
      <w:r>
        <w:rPr>
          <w:rFonts w:hint="eastAsia"/>
          <w:kern w:val="0"/>
          <w:sz w:val="24"/>
        </w:rPr>
        <w:t>9</w:t>
      </w:r>
      <w:r>
        <w:rPr>
          <w:rFonts w:hAnsi="宋体"/>
          <w:kern w:val="0"/>
          <w:sz w:val="24"/>
        </w:rPr>
        <w:t>项。</w:t>
      </w:r>
      <w:r>
        <w:rPr>
          <w:kern w:val="0"/>
          <w:sz w:val="24"/>
        </w:rPr>
        <w:t xml:space="preserve">                                                                     </w:t>
      </w:r>
    </w:p>
    <w:p w:rsidR="00475650" w:rsidRDefault="00475650">
      <w:pPr>
        <w:spacing w:line="360" w:lineRule="auto"/>
        <w:ind w:firstLineChars="200" w:firstLine="480"/>
        <w:rPr>
          <w:rStyle w:val="2Char1Char"/>
          <w:rFonts w:ascii="Times New Roman" w:eastAsia="宋体" w:hAnsi="Times New Roman"/>
          <w:b w:val="0"/>
          <w:sz w:val="24"/>
          <w:szCs w:val="24"/>
        </w:rPr>
      </w:pPr>
      <w:r>
        <w:rPr>
          <w:rStyle w:val="2Char1Char"/>
          <w:rFonts w:ascii="Times New Roman" w:eastAsia="宋体" w:hAnsi="宋体"/>
          <w:b w:val="0"/>
          <w:sz w:val="24"/>
          <w:szCs w:val="24"/>
        </w:rPr>
        <w:t>三、监测时间和频率</w:t>
      </w:r>
    </w:p>
    <w:p w:rsidR="00475650" w:rsidRDefault="00475650">
      <w:pPr>
        <w:spacing w:line="360" w:lineRule="auto"/>
        <w:ind w:firstLineChars="200" w:firstLine="480"/>
        <w:rPr>
          <w:kern w:val="0"/>
          <w:sz w:val="24"/>
        </w:rPr>
      </w:pPr>
      <w:r>
        <w:rPr>
          <w:sz w:val="24"/>
        </w:rPr>
        <w:t>2014</w:t>
      </w:r>
      <w:r>
        <w:rPr>
          <w:rFonts w:hAnsi="宋体"/>
          <w:sz w:val="24"/>
        </w:rPr>
        <w:t>年</w:t>
      </w:r>
      <w:r>
        <w:rPr>
          <w:sz w:val="24"/>
        </w:rPr>
        <w:t>4</w:t>
      </w:r>
      <w:r>
        <w:rPr>
          <w:rFonts w:hAnsi="宋体"/>
          <w:sz w:val="24"/>
        </w:rPr>
        <w:t>月</w:t>
      </w:r>
      <w:r>
        <w:rPr>
          <w:sz w:val="24"/>
        </w:rPr>
        <w:t>8</w:t>
      </w:r>
      <w:r>
        <w:rPr>
          <w:rFonts w:hAnsi="宋体"/>
          <w:sz w:val="24"/>
        </w:rPr>
        <w:t>日至</w:t>
      </w:r>
      <w:r>
        <w:rPr>
          <w:sz w:val="24"/>
        </w:rPr>
        <w:t>4</w:t>
      </w:r>
      <w:r>
        <w:rPr>
          <w:rFonts w:hAnsi="宋体"/>
          <w:sz w:val="24"/>
        </w:rPr>
        <w:t>月</w:t>
      </w:r>
      <w:r>
        <w:rPr>
          <w:sz w:val="24"/>
        </w:rPr>
        <w:t>10</w:t>
      </w:r>
      <w:r>
        <w:rPr>
          <w:rFonts w:hAnsi="宋体"/>
          <w:sz w:val="24"/>
        </w:rPr>
        <w:t>日，</w:t>
      </w:r>
      <w:r>
        <w:rPr>
          <w:rFonts w:hAnsi="宋体"/>
          <w:kern w:val="0"/>
          <w:sz w:val="24"/>
        </w:rPr>
        <w:t>监测频率为连续监测三天，每天监测一次。</w:t>
      </w:r>
    </w:p>
    <w:p w:rsidR="00475650" w:rsidRDefault="00475650">
      <w:pPr>
        <w:spacing w:line="360" w:lineRule="auto"/>
        <w:ind w:firstLineChars="200" w:firstLine="480"/>
        <w:rPr>
          <w:rStyle w:val="2Char1Char"/>
          <w:rFonts w:ascii="Times New Roman" w:eastAsia="宋体" w:hAnsi="Times New Roman"/>
          <w:b w:val="0"/>
          <w:sz w:val="24"/>
          <w:szCs w:val="24"/>
        </w:rPr>
      </w:pPr>
      <w:r>
        <w:rPr>
          <w:rStyle w:val="2Char1Char"/>
          <w:rFonts w:ascii="Times New Roman" w:eastAsia="宋体" w:hAnsi="宋体"/>
          <w:b w:val="0"/>
          <w:sz w:val="24"/>
          <w:szCs w:val="24"/>
        </w:rPr>
        <w:t>四、</w:t>
      </w:r>
      <w:r>
        <w:rPr>
          <w:rStyle w:val="2Char1Char"/>
          <w:rFonts w:ascii="Times New Roman" w:eastAsia="宋体" w:hAnsi="Times New Roman"/>
          <w:b w:val="0"/>
          <w:sz w:val="24"/>
          <w:szCs w:val="24"/>
        </w:rPr>
        <w:t xml:space="preserve"> </w:t>
      </w:r>
      <w:r>
        <w:rPr>
          <w:rStyle w:val="2Char1Char"/>
          <w:rFonts w:ascii="Times New Roman" w:eastAsia="宋体" w:hAnsi="宋体"/>
          <w:b w:val="0"/>
          <w:sz w:val="24"/>
          <w:szCs w:val="24"/>
        </w:rPr>
        <w:t>监测结果</w:t>
      </w:r>
    </w:p>
    <w:p w:rsidR="00475650" w:rsidRDefault="00475650">
      <w:pPr>
        <w:widowControl/>
        <w:spacing w:line="360" w:lineRule="auto"/>
        <w:ind w:firstLineChars="200" w:firstLine="480"/>
        <w:jc w:val="left"/>
        <w:rPr>
          <w:kern w:val="0"/>
          <w:sz w:val="24"/>
        </w:rPr>
      </w:pPr>
      <w:r>
        <w:rPr>
          <w:rFonts w:hAnsi="宋体"/>
          <w:kern w:val="0"/>
          <w:sz w:val="24"/>
        </w:rPr>
        <w:t>地下水水质监测结果见表</w:t>
      </w:r>
      <w:r>
        <w:rPr>
          <w:kern w:val="0"/>
          <w:sz w:val="24"/>
        </w:rPr>
        <w:t>4.3-</w:t>
      </w:r>
      <w:r>
        <w:rPr>
          <w:rFonts w:hint="eastAsia"/>
          <w:kern w:val="0"/>
          <w:sz w:val="24"/>
        </w:rPr>
        <w:t>13</w:t>
      </w:r>
      <w:r>
        <w:rPr>
          <w:rFonts w:hAnsi="宋体"/>
          <w:kern w:val="0"/>
          <w:sz w:val="24"/>
        </w:rPr>
        <w:t>。</w:t>
      </w:r>
    </w:p>
    <w:p w:rsidR="00475650" w:rsidRDefault="00475650">
      <w:pPr>
        <w:widowControl/>
        <w:spacing w:line="360" w:lineRule="auto"/>
        <w:ind w:firstLineChars="200" w:firstLine="480"/>
        <w:jc w:val="left"/>
        <w:rPr>
          <w:kern w:val="0"/>
          <w:sz w:val="24"/>
        </w:rPr>
      </w:pPr>
      <w:r>
        <w:rPr>
          <w:rFonts w:hAnsi="宋体"/>
          <w:kern w:val="0"/>
          <w:sz w:val="24"/>
        </w:rPr>
        <w:t>五、评价结论</w:t>
      </w:r>
    </w:p>
    <w:p w:rsidR="00475650" w:rsidRDefault="00475650">
      <w:pPr>
        <w:widowControl/>
        <w:spacing w:line="360" w:lineRule="auto"/>
        <w:ind w:firstLineChars="200" w:firstLine="480"/>
        <w:jc w:val="left"/>
        <w:rPr>
          <w:kern w:val="0"/>
          <w:sz w:val="24"/>
        </w:rPr>
      </w:pPr>
      <w:r>
        <w:rPr>
          <w:rFonts w:hAnsi="宋体"/>
          <w:kern w:val="0"/>
          <w:sz w:val="24"/>
        </w:rPr>
        <w:t>本项目上地下水上游及下游取水水质各监测因子监测指标均满足《地下水质量标准》（</w:t>
      </w:r>
      <w:r>
        <w:rPr>
          <w:kern w:val="0"/>
          <w:sz w:val="24"/>
        </w:rPr>
        <w:t>GB/T14848-93</w:t>
      </w:r>
      <w:r>
        <w:rPr>
          <w:rFonts w:hAnsi="宋体"/>
          <w:kern w:val="0"/>
          <w:sz w:val="24"/>
        </w:rPr>
        <w:t>）中的</w:t>
      </w:r>
      <w:r>
        <w:rPr>
          <w:rFonts w:ascii="宋体" w:hAnsi="宋体"/>
          <w:kern w:val="0"/>
          <w:sz w:val="24"/>
        </w:rPr>
        <w:t>Ⅲ</w:t>
      </w:r>
      <w:r>
        <w:rPr>
          <w:rFonts w:hAnsi="宋体"/>
          <w:kern w:val="0"/>
          <w:sz w:val="24"/>
        </w:rPr>
        <w:t>类标准要求。</w:t>
      </w:r>
    </w:p>
    <w:p w:rsidR="00475650" w:rsidRDefault="00475650">
      <w:pPr>
        <w:spacing w:line="360" w:lineRule="auto"/>
        <w:jc w:val="center"/>
        <w:rPr>
          <w:sz w:val="24"/>
        </w:rPr>
        <w:sectPr w:rsidR="00475650">
          <w:headerReference w:type="default" r:id="rId47"/>
          <w:footerReference w:type="default" r:id="rId48"/>
          <w:pgSz w:w="11906" w:h="16838"/>
          <w:pgMar w:top="1701" w:right="1588" w:bottom="1418" w:left="1588" w:header="851" w:footer="1021" w:gutter="0"/>
          <w:paperSrc w:first="7" w:other="7"/>
          <w:cols w:space="720"/>
          <w:docGrid w:linePitch="312"/>
        </w:sectPr>
      </w:pPr>
    </w:p>
    <w:p w:rsidR="00475650" w:rsidRDefault="00475650" w:rsidP="00475650">
      <w:pPr>
        <w:spacing w:line="420" w:lineRule="exact"/>
        <w:ind w:firstLineChars="200" w:firstLine="482"/>
        <w:jc w:val="center"/>
        <w:rPr>
          <w:szCs w:val="20"/>
        </w:rPr>
      </w:pPr>
      <w:r>
        <w:rPr>
          <w:rFonts w:hAnsi="宋体"/>
          <w:b/>
          <w:sz w:val="24"/>
          <w:szCs w:val="20"/>
        </w:rPr>
        <w:lastRenderedPageBreak/>
        <w:t>表</w:t>
      </w:r>
      <w:r>
        <w:rPr>
          <w:b/>
          <w:sz w:val="24"/>
          <w:szCs w:val="20"/>
        </w:rPr>
        <w:t>4.3-</w:t>
      </w:r>
      <w:r>
        <w:rPr>
          <w:rFonts w:hint="eastAsia"/>
          <w:b/>
          <w:sz w:val="24"/>
          <w:szCs w:val="20"/>
        </w:rPr>
        <w:t>13</w:t>
      </w:r>
      <w:r>
        <w:rPr>
          <w:b/>
          <w:sz w:val="24"/>
          <w:szCs w:val="20"/>
        </w:rPr>
        <w:t xml:space="preserve">    </w:t>
      </w:r>
      <w:r>
        <w:rPr>
          <w:rFonts w:hAnsi="宋体"/>
          <w:b/>
          <w:sz w:val="24"/>
          <w:szCs w:val="20"/>
        </w:rPr>
        <w:t>地下水水质监测结果</w:t>
      </w:r>
      <w:r>
        <w:rPr>
          <w:b/>
          <w:sz w:val="24"/>
          <w:szCs w:val="20"/>
        </w:rPr>
        <w:t xml:space="preserve">    </w:t>
      </w:r>
      <w:r>
        <w:rPr>
          <w:rFonts w:hAnsi="宋体"/>
          <w:b/>
          <w:sz w:val="24"/>
          <w:szCs w:val="20"/>
        </w:rPr>
        <w:t>单位：</w:t>
      </w:r>
      <w:r>
        <w:rPr>
          <w:b/>
          <w:sz w:val="24"/>
          <w:szCs w:val="20"/>
        </w:rPr>
        <w:t>mg/L</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208"/>
        <w:gridCol w:w="1247"/>
        <w:gridCol w:w="1284"/>
        <w:gridCol w:w="1055"/>
        <w:gridCol w:w="1837"/>
        <w:gridCol w:w="1332"/>
        <w:gridCol w:w="1168"/>
        <w:gridCol w:w="1168"/>
        <w:gridCol w:w="1168"/>
        <w:gridCol w:w="1667"/>
        <w:gridCol w:w="1040"/>
      </w:tblGrid>
      <w:tr w:rsidR="00475650">
        <w:trPr>
          <w:trHeight w:val="562"/>
          <w:jc w:val="center"/>
        </w:trPr>
        <w:tc>
          <w:tcPr>
            <w:tcW w:w="1208" w:type="dxa"/>
            <w:vAlign w:val="center"/>
          </w:tcPr>
          <w:p w:rsidR="00475650" w:rsidRDefault="00475650">
            <w:pPr>
              <w:widowControl/>
              <w:autoSpaceDE w:val="0"/>
              <w:autoSpaceDN w:val="0"/>
              <w:jc w:val="center"/>
              <w:rPr>
                <w:snapToGrid w:val="0"/>
                <w:kern w:val="0"/>
                <w:szCs w:val="21"/>
              </w:rPr>
            </w:pPr>
            <w:r>
              <w:rPr>
                <w:rFonts w:hAnsi="宋体"/>
                <w:snapToGrid w:val="0"/>
                <w:kern w:val="0"/>
                <w:szCs w:val="21"/>
              </w:rPr>
              <w:t>断面</w:t>
            </w:r>
          </w:p>
        </w:tc>
        <w:tc>
          <w:tcPr>
            <w:tcW w:w="1247" w:type="dxa"/>
            <w:vAlign w:val="center"/>
          </w:tcPr>
          <w:p w:rsidR="00475650" w:rsidRDefault="00475650">
            <w:pPr>
              <w:widowControl/>
              <w:autoSpaceDE w:val="0"/>
              <w:autoSpaceDN w:val="0"/>
              <w:jc w:val="center"/>
              <w:rPr>
                <w:snapToGrid w:val="0"/>
                <w:kern w:val="0"/>
                <w:szCs w:val="21"/>
              </w:rPr>
            </w:pPr>
            <w:r>
              <w:rPr>
                <w:rFonts w:hAnsi="宋体"/>
                <w:snapToGrid w:val="0"/>
                <w:kern w:val="0"/>
                <w:szCs w:val="21"/>
              </w:rPr>
              <w:t>项目</w:t>
            </w:r>
          </w:p>
        </w:tc>
        <w:tc>
          <w:tcPr>
            <w:tcW w:w="1284" w:type="dxa"/>
            <w:vAlign w:val="center"/>
          </w:tcPr>
          <w:p w:rsidR="00475650" w:rsidRDefault="00475650">
            <w:pPr>
              <w:widowControl/>
              <w:autoSpaceDE w:val="0"/>
              <w:autoSpaceDN w:val="0"/>
              <w:jc w:val="center"/>
              <w:rPr>
                <w:snapToGrid w:val="0"/>
                <w:kern w:val="0"/>
                <w:szCs w:val="21"/>
              </w:rPr>
            </w:pPr>
            <w:r>
              <w:rPr>
                <w:snapToGrid w:val="0"/>
                <w:kern w:val="0"/>
                <w:szCs w:val="21"/>
              </w:rPr>
              <w:t>pH</w:t>
            </w:r>
          </w:p>
        </w:tc>
        <w:tc>
          <w:tcPr>
            <w:tcW w:w="1055" w:type="dxa"/>
            <w:vAlign w:val="center"/>
          </w:tcPr>
          <w:p w:rsidR="00475650" w:rsidRDefault="00475650">
            <w:pPr>
              <w:autoSpaceDE w:val="0"/>
              <w:autoSpaceDN w:val="0"/>
              <w:spacing w:line="420" w:lineRule="exact"/>
              <w:jc w:val="center"/>
              <w:rPr>
                <w:snapToGrid w:val="0"/>
                <w:kern w:val="0"/>
                <w:szCs w:val="21"/>
              </w:rPr>
            </w:pPr>
            <w:r>
              <w:rPr>
                <w:rFonts w:hAnsi="宋体"/>
                <w:snapToGrid w:val="0"/>
                <w:kern w:val="0"/>
                <w:szCs w:val="21"/>
              </w:rPr>
              <w:t>色度</w:t>
            </w:r>
          </w:p>
        </w:tc>
        <w:tc>
          <w:tcPr>
            <w:tcW w:w="1837" w:type="dxa"/>
            <w:vAlign w:val="center"/>
          </w:tcPr>
          <w:p w:rsidR="00475650" w:rsidRDefault="00475650">
            <w:pPr>
              <w:widowControl/>
              <w:autoSpaceDE w:val="0"/>
              <w:autoSpaceDN w:val="0"/>
              <w:jc w:val="center"/>
              <w:rPr>
                <w:snapToGrid w:val="0"/>
                <w:kern w:val="0"/>
                <w:szCs w:val="21"/>
              </w:rPr>
            </w:pPr>
            <w:r>
              <w:rPr>
                <w:rFonts w:hAnsi="宋体"/>
                <w:snapToGrid w:val="0"/>
                <w:kern w:val="0"/>
                <w:szCs w:val="21"/>
              </w:rPr>
              <w:t>高锰酸盐指数</w:t>
            </w:r>
          </w:p>
        </w:tc>
        <w:tc>
          <w:tcPr>
            <w:tcW w:w="1332" w:type="dxa"/>
            <w:vAlign w:val="center"/>
          </w:tcPr>
          <w:p w:rsidR="00475650" w:rsidRDefault="00475650">
            <w:pPr>
              <w:autoSpaceDE w:val="0"/>
              <w:autoSpaceDN w:val="0"/>
              <w:spacing w:line="420" w:lineRule="exact"/>
              <w:jc w:val="center"/>
              <w:rPr>
                <w:snapToGrid w:val="0"/>
                <w:kern w:val="0"/>
                <w:szCs w:val="21"/>
              </w:rPr>
            </w:pPr>
            <w:r>
              <w:rPr>
                <w:rFonts w:hAnsi="宋体"/>
                <w:snapToGrid w:val="0"/>
                <w:kern w:val="0"/>
                <w:szCs w:val="21"/>
              </w:rPr>
              <w:t>氨氮</w:t>
            </w:r>
          </w:p>
        </w:tc>
        <w:tc>
          <w:tcPr>
            <w:tcW w:w="1168" w:type="dxa"/>
            <w:vAlign w:val="center"/>
          </w:tcPr>
          <w:p w:rsidR="00475650" w:rsidRDefault="00475650">
            <w:pPr>
              <w:widowControl/>
              <w:autoSpaceDE w:val="0"/>
              <w:autoSpaceDN w:val="0"/>
              <w:jc w:val="center"/>
              <w:rPr>
                <w:snapToGrid w:val="0"/>
                <w:kern w:val="0"/>
                <w:szCs w:val="21"/>
              </w:rPr>
            </w:pPr>
            <w:r>
              <w:rPr>
                <w:rFonts w:hAnsi="宋体"/>
                <w:snapToGrid w:val="0"/>
                <w:kern w:val="0"/>
                <w:szCs w:val="21"/>
              </w:rPr>
              <w:t>挥发酚</w:t>
            </w:r>
          </w:p>
        </w:tc>
        <w:tc>
          <w:tcPr>
            <w:tcW w:w="1168" w:type="dxa"/>
            <w:vAlign w:val="center"/>
          </w:tcPr>
          <w:p w:rsidR="00475650" w:rsidRDefault="00475650">
            <w:pPr>
              <w:autoSpaceDE w:val="0"/>
              <w:autoSpaceDN w:val="0"/>
              <w:spacing w:line="420" w:lineRule="exact"/>
              <w:jc w:val="center"/>
              <w:rPr>
                <w:snapToGrid w:val="0"/>
                <w:kern w:val="0"/>
                <w:szCs w:val="21"/>
              </w:rPr>
            </w:pPr>
            <w:r>
              <w:rPr>
                <w:rFonts w:hAnsi="宋体"/>
                <w:snapToGrid w:val="0"/>
                <w:kern w:val="0"/>
                <w:szCs w:val="21"/>
              </w:rPr>
              <w:t>硫酸盐</w:t>
            </w:r>
          </w:p>
        </w:tc>
        <w:tc>
          <w:tcPr>
            <w:tcW w:w="1168" w:type="dxa"/>
            <w:vAlign w:val="center"/>
          </w:tcPr>
          <w:p w:rsidR="00475650" w:rsidRDefault="00475650">
            <w:pPr>
              <w:autoSpaceDE w:val="0"/>
              <w:autoSpaceDN w:val="0"/>
              <w:spacing w:line="420" w:lineRule="exact"/>
              <w:jc w:val="center"/>
              <w:rPr>
                <w:snapToGrid w:val="0"/>
                <w:kern w:val="0"/>
                <w:szCs w:val="21"/>
              </w:rPr>
            </w:pPr>
            <w:r>
              <w:rPr>
                <w:rFonts w:hAnsi="宋体"/>
                <w:snapToGrid w:val="0"/>
                <w:kern w:val="0"/>
                <w:szCs w:val="21"/>
              </w:rPr>
              <w:t>硝酸盐</w:t>
            </w:r>
          </w:p>
        </w:tc>
        <w:tc>
          <w:tcPr>
            <w:tcW w:w="1667" w:type="dxa"/>
            <w:vAlign w:val="center"/>
          </w:tcPr>
          <w:p w:rsidR="00475650" w:rsidRDefault="00475650">
            <w:pPr>
              <w:autoSpaceDE w:val="0"/>
              <w:autoSpaceDN w:val="0"/>
              <w:spacing w:line="420" w:lineRule="exact"/>
              <w:jc w:val="center"/>
              <w:rPr>
                <w:snapToGrid w:val="0"/>
                <w:kern w:val="0"/>
                <w:szCs w:val="21"/>
              </w:rPr>
            </w:pPr>
            <w:r>
              <w:rPr>
                <w:rFonts w:hAnsi="宋体"/>
                <w:snapToGrid w:val="0"/>
                <w:kern w:val="0"/>
                <w:szCs w:val="21"/>
              </w:rPr>
              <w:t>亚硝酸盐</w:t>
            </w:r>
          </w:p>
        </w:tc>
        <w:tc>
          <w:tcPr>
            <w:tcW w:w="1040" w:type="dxa"/>
            <w:vAlign w:val="center"/>
          </w:tcPr>
          <w:p w:rsidR="00475650" w:rsidRDefault="00475650">
            <w:pPr>
              <w:autoSpaceDE w:val="0"/>
              <w:autoSpaceDN w:val="0"/>
              <w:spacing w:line="420" w:lineRule="exact"/>
              <w:jc w:val="center"/>
              <w:rPr>
                <w:snapToGrid w:val="0"/>
                <w:kern w:val="0"/>
                <w:szCs w:val="21"/>
              </w:rPr>
            </w:pPr>
            <w:r>
              <w:rPr>
                <w:rFonts w:hAnsi="宋体"/>
                <w:snapToGrid w:val="0"/>
                <w:kern w:val="0"/>
                <w:szCs w:val="21"/>
              </w:rPr>
              <w:t>氯化物</w:t>
            </w:r>
          </w:p>
        </w:tc>
      </w:tr>
      <w:tr w:rsidR="00475650">
        <w:trPr>
          <w:trHeight w:val="414"/>
          <w:jc w:val="center"/>
        </w:trPr>
        <w:tc>
          <w:tcPr>
            <w:tcW w:w="1208" w:type="dxa"/>
            <w:vMerge w:val="restart"/>
            <w:vAlign w:val="center"/>
          </w:tcPr>
          <w:p w:rsidR="00475650" w:rsidRDefault="00475650">
            <w:pPr>
              <w:widowControl/>
              <w:autoSpaceDE w:val="0"/>
              <w:autoSpaceDN w:val="0"/>
              <w:jc w:val="center"/>
              <w:rPr>
                <w:snapToGrid w:val="0"/>
                <w:kern w:val="0"/>
                <w:szCs w:val="21"/>
              </w:rPr>
            </w:pPr>
            <w:r>
              <w:rPr>
                <w:snapToGrid w:val="0"/>
                <w:kern w:val="0"/>
                <w:szCs w:val="21"/>
              </w:rPr>
              <w:t>W1</w:t>
            </w:r>
          </w:p>
        </w:tc>
        <w:tc>
          <w:tcPr>
            <w:tcW w:w="1247" w:type="dxa"/>
            <w:vAlign w:val="center"/>
          </w:tcPr>
          <w:p w:rsidR="00475650" w:rsidRDefault="00475650">
            <w:pPr>
              <w:widowControl/>
              <w:autoSpaceDE w:val="0"/>
              <w:autoSpaceDN w:val="0"/>
              <w:jc w:val="center"/>
              <w:rPr>
                <w:snapToGrid w:val="0"/>
                <w:kern w:val="0"/>
                <w:szCs w:val="21"/>
              </w:rPr>
            </w:pPr>
            <w:r>
              <w:rPr>
                <w:rFonts w:hAnsi="宋体"/>
                <w:snapToGrid w:val="0"/>
                <w:kern w:val="0"/>
                <w:szCs w:val="21"/>
              </w:rPr>
              <w:t>浓度范围</w:t>
            </w:r>
          </w:p>
        </w:tc>
        <w:tc>
          <w:tcPr>
            <w:tcW w:w="1284" w:type="dxa"/>
            <w:vAlign w:val="center"/>
          </w:tcPr>
          <w:p w:rsidR="00475650" w:rsidRDefault="00475650">
            <w:pPr>
              <w:widowControl/>
              <w:autoSpaceDE w:val="0"/>
              <w:autoSpaceDN w:val="0"/>
              <w:jc w:val="center"/>
              <w:rPr>
                <w:snapToGrid w:val="0"/>
                <w:kern w:val="0"/>
                <w:szCs w:val="21"/>
              </w:rPr>
            </w:pPr>
            <w:r>
              <w:rPr>
                <w:snapToGrid w:val="0"/>
                <w:kern w:val="0"/>
                <w:szCs w:val="21"/>
              </w:rPr>
              <w:t>7.18-7.32</w:t>
            </w:r>
          </w:p>
        </w:tc>
        <w:tc>
          <w:tcPr>
            <w:tcW w:w="1055" w:type="dxa"/>
            <w:vAlign w:val="center"/>
          </w:tcPr>
          <w:p w:rsidR="00475650" w:rsidRDefault="00475650">
            <w:pPr>
              <w:widowControl/>
              <w:autoSpaceDE w:val="0"/>
              <w:autoSpaceDN w:val="0"/>
              <w:jc w:val="center"/>
              <w:rPr>
                <w:snapToGrid w:val="0"/>
                <w:kern w:val="0"/>
                <w:szCs w:val="21"/>
              </w:rPr>
            </w:pPr>
            <w:r>
              <w:rPr>
                <w:snapToGrid w:val="0"/>
                <w:kern w:val="0"/>
                <w:szCs w:val="21"/>
              </w:rPr>
              <w:t>5</w:t>
            </w:r>
          </w:p>
        </w:tc>
        <w:tc>
          <w:tcPr>
            <w:tcW w:w="1837" w:type="dxa"/>
            <w:vAlign w:val="center"/>
          </w:tcPr>
          <w:p w:rsidR="00475650" w:rsidRDefault="00475650">
            <w:pPr>
              <w:widowControl/>
              <w:autoSpaceDE w:val="0"/>
              <w:autoSpaceDN w:val="0"/>
              <w:jc w:val="center"/>
              <w:rPr>
                <w:snapToGrid w:val="0"/>
                <w:kern w:val="0"/>
                <w:szCs w:val="21"/>
              </w:rPr>
            </w:pPr>
            <w:r>
              <w:rPr>
                <w:snapToGrid w:val="0"/>
                <w:kern w:val="0"/>
                <w:szCs w:val="21"/>
              </w:rPr>
              <w:t>0.8-1.8</w:t>
            </w:r>
          </w:p>
        </w:tc>
        <w:tc>
          <w:tcPr>
            <w:tcW w:w="1332" w:type="dxa"/>
            <w:vAlign w:val="center"/>
          </w:tcPr>
          <w:p w:rsidR="00475650" w:rsidRDefault="00475650">
            <w:pPr>
              <w:widowControl/>
              <w:autoSpaceDE w:val="0"/>
              <w:autoSpaceDN w:val="0"/>
              <w:jc w:val="center"/>
              <w:rPr>
                <w:snapToGrid w:val="0"/>
                <w:kern w:val="0"/>
                <w:szCs w:val="21"/>
              </w:rPr>
            </w:pPr>
            <w:r>
              <w:rPr>
                <w:snapToGrid w:val="0"/>
                <w:kern w:val="0"/>
                <w:szCs w:val="21"/>
              </w:rPr>
              <w:t>0.11-0.19</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0.001L</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85-99</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5.3-5.4</w:t>
            </w:r>
          </w:p>
        </w:tc>
        <w:tc>
          <w:tcPr>
            <w:tcW w:w="1667" w:type="dxa"/>
            <w:vAlign w:val="center"/>
          </w:tcPr>
          <w:p w:rsidR="00475650" w:rsidRDefault="00475650">
            <w:pPr>
              <w:widowControl/>
              <w:autoSpaceDE w:val="0"/>
              <w:autoSpaceDN w:val="0"/>
              <w:jc w:val="center"/>
              <w:rPr>
                <w:snapToGrid w:val="0"/>
                <w:kern w:val="0"/>
                <w:szCs w:val="21"/>
              </w:rPr>
            </w:pPr>
            <w:r>
              <w:rPr>
                <w:snapToGrid w:val="0"/>
                <w:kern w:val="0"/>
                <w:szCs w:val="21"/>
              </w:rPr>
              <w:t>0.001L-0.013</w:t>
            </w:r>
          </w:p>
        </w:tc>
        <w:tc>
          <w:tcPr>
            <w:tcW w:w="1040" w:type="dxa"/>
            <w:vAlign w:val="center"/>
          </w:tcPr>
          <w:p w:rsidR="00475650" w:rsidRDefault="00475650">
            <w:pPr>
              <w:widowControl/>
              <w:autoSpaceDE w:val="0"/>
              <w:autoSpaceDN w:val="0"/>
              <w:jc w:val="center"/>
              <w:rPr>
                <w:snapToGrid w:val="0"/>
                <w:kern w:val="0"/>
                <w:szCs w:val="21"/>
              </w:rPr>
            </w:pPr>
            <w:r>
              <w:rPr>
                <w:snapToGrid w:val="0"/>
                <w:kern w:val="0"/>
                <w:szCs w:val="21"/>
              </w:rPr>
              <w:t>36-38</w:t>
            </w:r>
          </w:p>
        </w:tc>
      </w:tr>
      <w:tr w:rsidR="00475650">
        <w:trPr>
          <w:jc w:val="center"/>
        </w:trPr>
        <w:tc>
          <w:tcPr>
            <w:tcW w:w="1208" w:type="dxa"/>
            <w:vMerge/>
            <w:vAlign w:val="center"/>
          </w:tcPr>
          <w:p w:rsidR="00475650" w:rsidRDefault="00475650">
            <w:pPr>
              <w:widowControl/>
              <w:autoSpaceDE w:val="0"/>
              <w:autoSpaceDN w:val="0"/>
              <w:jc w:val="center"/>
              <w:rPr>
                <w:snapToGrid w:val="0"/>
                <w:kern w:val="0"/>
                <w:szCs w:val="21"/>
              </w:rPr>
            </w:pPr>
          </w:p>
        </w:tc>
        <w:tc>
          <w:tcPr>
            <w:tcW w:w="1247" w:type="dxa"/>
            <w:vAlign w:val="center"/>
          </w:tcPr>
          <w:p w:rsidR="00475650" w:rsidRDefault="00475650">
            <w:pPr>
              <w:widowControl/>
              <w:autoSpaceDE w:val="0"/>
              <w:autoSpaceDN w:val="0"/>
              <w:jc w:val="center"/>
              <w:rPr>
                <w:snapToGrid w:val="0"/>
                <w:kern w:val="0"/>
                <w:szCs w:val="21"/>
              </w:rPr>
            </w:pPr>
            <w:r>
              <w:rPr>
                <w:rFonts w:hAnsi="宋体"/>
                <w:snapToGrid w:val="0"/>
                <w:kern w:val="0"/>
                <w:szCs w:val="21"/>
              </w:rPr>
              <w:t>最大占</w:t>
            </w:r>
          </w:p>
          <w:p w:rsidR="00475650" w:rsidRDefault="00475650">
            <w:pPr>
              <w:widowControl/>
              <w:autoSpaceDE w:val="0"/>
              <w:autoSpaceDN w:val="0"/>
              <w:jc w:val="center"/>
              <w:rPr>
                <w:snapToGrid w:val="0"/>
                <w:kern w:val="0"/>
                <w:szCs w:val="21"/>
              </w:rPr>
            </w:pPr>
            <w:r>
              <w:rPr>
                <w:rFonts w:hAnsi="宋体"/>
                <w:snapToGrid w:val="0"/>
                <w:kern w:val="0"/>
                <w:szCs w:val="21"/>
              </w:rPr>
              <w:t>标率％</w:t>
            </w:r>
          </w:p>
        </w:tc>
        <w:tc>
          <w:tcPr>
            <w:tcW w:w="1284" w:type="dxa"/>
            <w:vAlign w:val="center"/>
          </w:tcPr>
          <w:p w:rsidR="00475650" w:rsidRDefault="00475650">
            <w:pPr>
              <w:widowControl/>
              <w:autoSpaceDE w:val="0"/>
              <w:autoSpaceDN w:val="0"/>
              <w:jc w:val="center"/>
              <w:rPr>
                <w:snapToGrid w:val="0"/>
                <w:kern w:val="0"/>
                <w:szCs w:val="21"/>
              </w:rPr>
            </w:pPr>
            <w:r>
              <w:rPr>
                <w:snapToGrid w:val="0"/>
                <w:kern w:val="0"/>
                <w:szCs w:val="21"/>
              </w:rPr>
              <w:t>/</w:t>
            </w:r>
          </w:p>
        </w:tc>
        <w:tc>
          <w:tcPr>
            <w:tcW w:w="1055" w:type="dxa"/>
            <w:vAlign w:val="center"/>
          </w:tcPr>
          <w:p w:rsidR="00475650" w:rsidRDefault="00475650">
            <w:pPr>
              <w:widowControl/>
              <w:autoSpaceDE w:val="0"/>
              <w:autoSpaceDN w:val="0"/>
              <w:jc w:val="center"/>
              <w:rPr>
                <w:snapToGrid w:val="0"/>
                <w:kern w:val="0"/>
                <w:szCs w:val="21"/>
              </w:rPr>
            </w:pPr>
            <w:r>
              <w:rPr>
                <w:snapToGrid w:val="0"/>
                <w:kern w:val="0"/>
                <w:szCs w:val="21"/>
              </w:rPr>
              <w:t>33.3</w:t>
            </w:r>
          </w:p>
        </w:tc>
        <w:tc>
          <w:tcPr>
            <w:tcW w:w="1837" w:type="dxa"/>
            <w:vAlign w:val="center"/>
          </w:tcPr>
          <w:p w:rsidR="00475650" w:rsidRDefault="00475650">
            <w:pPr>
              <w:widowControl/>
              <w:autoSpaceDE w:val="0"/>
              <w:autoSpaceDN w:val="0"/>
              <w:jc w:val="center"/>
              <w:rPr>
                <w:snapToGrid w:val="0"/>
                <w:kern w:val="0"/>
                <w:szCs w:val="21"/>
              </w:rPr>
            </w:pPr>
            <w:r>
              <w:rPr>
                <w:snapToGrid w:val="0"/>
                <w:kern w:val="0"/>
                <w:szCs w:val="21"/>
              </w:rPr>
              <w:t>60.0</w:t>
            </w:r>
          </w:p>
        </w:tc>
        <w:tc>
          <w:tcPr>
            <w:tcW w:w="1332" w:type="dxa"/>
            <w:vAlign w:val="center"/>
          </w:tcPr>
          <w:p w:rsidR="00475650" w:rsidRDefault="00475650">
            <w:pPr>
              <w:widowControl/>
              <w:autoSpaceDE w:val="0"/>
              <w:autoSpaceDN w:val="0"/>
              <w:jc w:val="center"/>
              <w:rPr>
                <w:snapToGrid w:val="0"/>
                <w:kern w:val="0"/>
                <w:szCs w:val="21"/>
              </w:rPr>
            </w:pPr>
            <w:r>
              <w:rPr>
                <w:snapToGrid w:val="0"/>
                <w:kern w:val="0"/>
                <w:szCs w:val="21"/>
              </w:rPr>
              <w:t>95.0</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50.0</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39.6</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27.0</w:t>
            </w:r>
          </w:p>
        </w:tc>
        <w:tc>
          <w:tcPr>
            <w:tcW w:w="1667" w:type="dxa"/>
            <w:vAlign w:val="center"/>
          </w:tcPr>
          <w:p w:rsidR="00475650" w:rsidRDefault="00475650">
            <w:pPr>
              <w:widowControl/>
              <w:autoSpaceDE w:val="0"/>
              <w:autoSpaceDN w:val="0"/>
              <w:jc w:val="center"/>
              <w:rPr>
                <w:snapToGrid w:val="0"/>
                <w:kern w:val="0"/>
                <w:szCs w:val="21"/>
              </w:rPr>
            </w:pPr>
            <w:r>
              <w:rPr>
                <w:snapToGrid w:val="0"/>
                <w:kern w:val="0"/>
                <w:szCs w:val="21"/>
              </w:rPr>
              <w:t>65.0</w:t>
            </w:r>
          </w:p>
        </w:tc>
        <w:tc>
          <w:tcPr>
            <w:tcW w:w="1040" w:type="dxa"/>
            <w:vAlign w:val="center"/>
          </w:tcPr>
          <w:p w:rsidR="00475650" w:rsidRDefault="00475650">
            <w:pPr>
              <w:widowControl/>
              <w:autoSpaceDE w:val="0"/>
              <w:autoSpaceDN w:val="0"/>
              <w:jc w:val="center"/>
              <w:rPr>
                <w:snapToGrid w:val="0"/>
                <w:kern w:val="0"/>
                <w:szCs w:val="21"/>
              </w:rPr>
            </w:pPr>
            <w:r>
              <w:rPr>
                <w:snapToGrid w:val="0"/>
                <w:kern w:val="0"/>
                <w:szCs w:val="21"/>
              </w:rPr>
              <w:t>15.2</w:t>
            </w:r>
          </w:p>
        </w:tc>
      </w:tr>
      <w:tr w:rsidR="00475650">
        <w:trPr>
          <w:jc w:val="center"/>
        </w:trPr>
        <w:tc>
          <w:tcPr>
            <w:tcW w:w="1208" w:type="dxa"/>
            <w:vMerge/>
            <w:vAlign w:val="center"/>
          </w:tcPr>
          <w:p w:rsidR="00475650" w:rsidRDefault="00475650">
            <w:pPr>
              <w:widowControl/>
              <w:autoSpaceDE w:val="0"/>
              <w:autoSpaceDN w:val="0"/>
              <w:jc w:val="center"/>
              <w:rPr>
                <w:snapToGrid w:val="0"/>
                <w:kern w:val="0"/>
                <w:szCs w:val="21"/>
              </w:rPr>
            </w:pPr>
          </w:p>
        </w:tc>
        <w:tc>
          <w:tcPr>
            <w:tcW w:w="1247" w:type="dxa"/>
            <w:vAlign w:val="center"/>
          </w:tcPr>
          <w:p w:rsidR="00475650" w:rsidRDefault="00475650">
            <w:pPr>
              <w:widowControl/>
              <w:autoSpaceDE w:val="0"/>
              <w:autoSpaceDN w:val="0"/>
              <w:jc w:val="center"/>
              <w:rPr>
                <w:snapToGrid w:val="0"/>
                <w:kern w:val="0"/>
                <w:szCs w:val="21"/>
              </w:rPr>
            </w:pPr>
            <w:r>
              <w:rPr>
                <w:rFonts w:hAnsi="宋体"/>
                <w:snapToGrid w:val="0"/>
                <w:kern w:val="0"/>
                <w:szCs w:val="21"/>
              </w:rPr>
              <w:t>超标率</w:t>
            </w:r>
          </w:p>
          <w:p w:rsidR="00475650" w:rsidRDefault="00475650">
            <w:pPr>
              <w:widowControl/>
              <w:autoSpaceDE w:val="0"/>
              <w:autoSpaceDN w:val="0"/>
              <w:jc w:val="center"/>
              <w:rPr>
                <w:snapToGrid w:val="0"/>
                <w:kern w:val="0"/>
                <w:szCs w:val="21"/>
              </w:rPr>
            </w:pPr>
            <w:r>
              <w:rPr>
                <w:rFonts w:hAnsi="宋体"/>
                <w:snapToGrid w:val="0"/>
                <w:kern w:val="0"/>
                <w:szCs w:val="21"/>
              </w:rPr>
              <w:t>％</w:t>
            </w:r>
          </w:p>
        </w:tc>
        <w:tc>
          <w:tcPr>
            <w:tcW w:w="1284" w:type="dxa"/>
            <w:vAlign w:val="center"/>
          </w:tcPr>
          <w:p w:rsidR="00475650" w:rsidRDefault="00475650">
            <w:pPr>
              <w:widowControl/>
              <w:autoSpaceDE w:val="0"/>
              <w:autoSpaceDN w:val="0"/>
              <w:jc w:val="center"/>
              <w:rPr>
                <w:snapToGrid w:val="0"/>
                <w:kern w:val="0"/>
                <w:szCs w:val="21"/>
              </w:rPr>
            </w:pPr>
            <w:r>
              <w:rPr>
                <w:snapToGrid w:val="0"/>
                <w:kern w:val="0"/>
                <w:szCs w:val="21"/>
              </w:rPr>
              <w:t>/</w:t>
            </w:r>
          </w:p>
        </w:tc>
        <w:tc>
          <w:tcPr>
            <w:tcW w:w="1055"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837"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332"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667"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040" w:type="dxa"/>
            <w:vAlign w:val="center"/>
          </w:tcPr>
          <w:p w:rsidR="00475650" w:rsidRDefault="00475650">
            <w:pPr>
              <w:widowControl/>
              <w:autoSpaceDE w:val="0"/>
              <w:autoSpaceDN w:val="0"/>
              <w:jc w:val="center"/>
              <w:rPr>
                <w:snapToGrid w:val="0"/>
                <w:kern w:val="0"/>
                <w:szCs w:val="21"/>
              </w:rPr>
            </w:pPr>
            <w:r>
              <w:rPr>
                <w:snapToGrid w:val="0"/>
                <w:kern w:val="0"/>
                <w:szCs w:val="21"/>
              </w:rPr>
              <w:t>0</w:t>
            </w:r>
          </w:p>
        </w:tc>
      </w:tr>
      <w:tr w:rsidR="00475650">
        <w:trPr>
          <w:jc w:val="center"/>
        </w:trPr>
        <w:tc>
          <w:tcPr>
            <w:tcW w:w="1208" w:type="dxa"/>
            <w:vMerge/>
            <w:vAlign w:val="center"/>
          </w:tcPr>
          <w:p w:rsidR="00475650" w:rsidRDefault="00475650">
            <w:pPr>
              <w:widowControl/>
              <w:autoSpaceDE w:val="0"/>
              <w:autoSpaceDN w:val="0"/>
              <w:jc w:val="center"/>
              <w:rPr>
                <w:snapToGrid w:val="0"/>
                <w:kern w:val="0"/>
                <w:szCs w:val="21"/>
              </w:rPr>
            </w:pPr>
          </w:p>
        </w:tc>
        <w:tc>
          <w:tcPr>
            <w:tcW w:w="1247" w:type="dxa"/>
            <w:vAlign w:val="center"/>
          </w:tcPr>
          <w:p w:rsidR="00475650" w:rsidRDefault="00475650">
            <w:pPr>
              <w:widowControl/>
              <w:autoSpaceDE w:val="0"/>
              <w:autoSpaceDN w:val="0"/>
              <w:adjustRightInd w:val="0"/>
              <w:jc w:val="center"/>
              <w:textAlignment w:val="baseline"/>
              <w:rPr>
                <w:snapToGrid w:val="0"/>
                <w:kern w:val="0"/>
                <w:szCs w:val="21"/>
              </w:rPr>
            </w:pPr>
            <w:r>
              <w:rPr>
                <w:rFonts w:hAnsi="宋体"/>
                <w:snapToGrid w:val="0"/>
                <w:kern w:val="0"/>
                <w:szCs w:val="21"/>
              </w:rPr>
              <w:t>最大超标倍数</w:t>
            </w:r>
          </w:p>
        </w:tc>
        <w:tc>
          <w:tcPr>
            <w:tcW w:w="1284" w:type="dxa"/>
            <w:vAlign w:val="center"/>
          </w:tcPr>
          <w:p w:rsidR="00475650" w:rsidRDefault="00475650">
            <w:pPr>
              <w:widowControl/>
              <w:autoSpaceDE w:val="0"/>
              <w:autoSpaceDN w:val="0"/>
              <w:jc w:val="center"/>
              <w:rPr>
                <w:snapToGrid w:val="0"/>
                <w:kern w:val="0"/>
                <w:szCs w:val="21"/>
              </w:rPr>
            </w:pPr>
            <w:r>
              <w:rPr>
                <w:snapToGrid w:val="0"/>
                <w:kern w:val="0"/>
                <w:szCs w:val="21"/>
              </w:rPr>
              <w:t>/</w:t>
            </w:r>
          </w:p>
        </w:tc>
        <w:tc>
          <w:tcPr>
            <w:tcW w:w="1055"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837"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332"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667"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040" w:type="dxa"/>
            <w:vAlign w:val="center"/>
          </w:tcPr>
          <w:p w:rsidR="00475650" w:rsidRDefault="00475650">
            <w:pPr>
              <w:widowControl/>
              <w:autoSpaceDE w:val="0"/>
              <w:autoSpaceDN w:val="0"/>
              <w:jc w:val="center"/>
              <w:rPr>
                <w:snapToGrid w:val="0"/>
                <w:kern w:val="0"/>
                <w:szCs w:val="21"/>
              </w:rPr>
            </w:pPr>
            <w:r>
              <w:rPr>
                <w:snapToGrid w:val="0"/>
                <w:kern w:val="0"/>
                <w:szCs w:val="21"/>
              </w:rPr>
              <w:t>0</w:t>
            </w:r>
          </w:p>
        </w:tc>
      </w:tr>
      <w:tr w:rsidR="00475650">
        <w:trPr>
          <w:trHeight w:val="329"/>
          <w:jc w:val="center"/>
        </w:trPr>
        <w:tc>
          <w:tcPr>
            <w:tcW w:w="1208" w:type="dxa"/>
            <w:vMerge w:val="restart"/>
            <w:vAlign w:val="center"/>
          </w:tcPr>
          <w:p w:rsidR="00475650" w:rsidRDefault="00475650">
            <w:pPr>
              <w:widowControl/>
              <w:autoSpaceDE w:val="0"/>
              <w:autoSpaceDN w:val="0"/>
              <w:jc w:val="center"/>
              <w:rPr>
                <w:snapToGrid w:val="0"/>
                <w:kern w:val="0"/>
                <w:szCs w:val="21"/>
              </w:rPr>
            </w:pPr>
            <w:r>
              <w:rPr>
                <w:snapToGrid w:val="0"/>
                <w:kern w:val="0"/>
                <w:szCs w:val="21"/>
              </w:rPr>
              <w:t>W2</w:t>
            </w:r>
          </w:p>
        </w:tc>
        <w:tc>
          <w:tcPr>
            <w:tcW w:w="1247" w:type="dxa"/>
            <w:vAlign w:val="center"/>
          </w:tcPr>
          <w:p w:rsidR="00475650" w:rsidRDefault="00475650">
            <w:pPr>
              <w:widowControl/>
              <w:autoSpaceDE w:val="0"/>
              <w:autoSpaceDN w:val="0"/>
              <w:jc w:val="center"/>
              <w:rPr>
                <w:snapToGrid w:val="0"/>
                <w:kern w:val="0"/>
                <w:szCs w:val="21"/>
              </w:rPr>
            </w:pPr>
            <w:r>
              <w:rPr>
                <w:rFonts w:hAnsi="宋体"/>
                <w:snapToGrid w:val="0"/>
                <w:kern w:val="0"/>
                <w:szCs w:val="21"/>
              </w:rPr>
              <w:t>浓度范围</w:t>
            </w:r>
          </w:p>
        </w:tc>
        <w:tc>
          <w:tcPr>
            <w:tcW w:w="1284" w:type="dxa"/>
            <w:vAlign w:val="center"/>
          </w:tcPr>
          <w:p w:rsidR="00475650" w:rsidRDefault="00475650">
            <w:pPr>
              <w:widowControl/>
              <w:autoSpaceDE w:val="0"/>
              <w:autoSpaceDN w:val="0"/>
              <w:jc w:val="center"/>
              <w:rPr>
                <w:snapToGrid w:val="0"/>
                <w:kern w:val="0"/>
                <w:szCs w:val="21"/>
              </w:rPr>
            </w:pPr>
            <w:r>
              <w:rPr>
                <w:snapToGrid w:val="0"/>
                <w:kern w:val="0"/>
                <w:szCs w:val="21"/>
              </w:rPr>
              <w:t>7.07-7.52</w:t>
            </w:r>
          </w:p>
        </w:tc>
        <w:tc>
          <w:tcPr>
            <w:tcW w:w="1055" w:type="dxa"/>
            <w:vAlign w:val="center"/>
          </w:tcPr>
          <w:p w:rsidR="00475650" w:rsidRDefault="00475650">
            <w:pPr>
              <w:widowControl/>
              <w:autoSpaceDE w:val="0"/>
              <w:autoSpaceDN w:val="0"/>
              <w:jc w:val="center"/>
              <w:rPr>
                <w:snapToGrid w:val="0"/>
                <w:kern w:val="0"/>
                <w:szCs w:val="21"/>
              </w:rPr>
            </w:pPr>
            <w:r>
              <w:rPr>
                <w:snapToGrid w:val="0"/>
                <w:kern w:val="0"/>
                <w:szCs w:val="21"/>
              </w:rPr>
              <w:t>5</w:t>
            </w:r>
          </w:p>
        </w:tc>
        <w:tc>
          <w:tcPr>
            <w:tcW w:w="1837" w:type="dxa"/>
            <w:vAlign w:val="center"/>
          </w:tcPr>
          <w:p w:rsidR="00475650" w:rsidRDefault="00475650">
            <w:pPr>
              <w:widowControl/>
              <w:autoSpaceDE w:val="0"/>
              <w:autoSpaceDN w:val="0"/>
              <w:jc w:val="center"/>
              <w:rPr>
                <w:snapToGrid w:val="0"/>
                <w:kern w:val="0"/>
                <w:szCs w:val="21"/>
              </w:rPr>
            </w:pPr>
            <w:r>
              <w:rPr>
                <w:snapToGrid w:val="0"/>
                <w:kern w:val="0"/>
                <w:szCs w:val="21"/>
              </w:rPr>
              <w:t>0.9-2.2</w:t>
            </w:r>
          </w:p>
        </w:tc>
        <w:tc>
          <w:tcPr>
            <w:tcW w:w="1332" w:type="dxa"/>
            <w:vAlign w:val="center"/>
          </w:tcPr>
          <w:p w:rsidR="00475650" w:rsidRDefault="00475650">
            <w:pPr>
              <w:widowControl/>
              <w:autoSpaceDE w:val="0"/>
              <w:autoSpaceDN w:val="0"/>
              <w:jc w:val="center"/>
              <w:rPr>
                <w:snapToGrid w:val="0"/>
                <w:kern w:val="0"/>
                <w:szCs w:val="21"/>
              </w:rPr>
            </w:pPr>
            <w:r>
              <w:rPr>
                <w:snapToGrid w:val="0"/>
                <w:kern w:val="0"/>
                <w:szCs w:val="21"/>
              </w:rPr>
              <w:t>0.10-0.12</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0.001L</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99-106</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5.2-5.4</w:t>
            </w:r>
          </w:p>
        </w:tc>
        <w:tc>
          <w:tcPr>
            <w:tcW w:w="1667" w:type="dxa"/>
            <w:vAlign w:val="center"/>
          </w:tcPr>
          <w:p w:rsidR="00475650" w:rsidRDefault="00475650">
            <w:pPr>
              <w:widowControl/>
              <w:autoSpaceDE w:val="0"/>
              <w:autoSpaceDN w:val="0"/>
              <w:jc w:val="center"/>
              <w:rPr>
                <w:snapToGrid w:val="0"/>
                <w:kern w:val="0"/>
                <w:szCs w:val="21"/>
              </w:rPr>
            </w:pPr>
            <w:r>
              <w:rPr>
                <w:snapToGrid w:val="0"/>
                <w:kern w:val="0"/>
                <w:szCs w:val="21"/>
              </w:rPr>
              <w:t>0.001L-0.016</w:t>
            </w:r>
          </w:p>
        </w:tc>
        <w:tc>
          <w:tcPr>
            <w:tcW w:w="1040" w:type="dxa"/>
            <w:vAlign w:val="center"/>
          </w:tcPr>
          <w:p w:rsidR="00475650" w:rsidRDefault="00475650">
            <w:pPr>
              <w:widowControl/>
              <w:autoSpaceDE w:val="0"/>
              <w:autoSpaceDN w:val="0"/>
              <w:jc w:val="center"/>
              <w:rPr>
                <w:snapToGrid w:val="0"/>
                <w:kern w:val="0"/>
                <w:szCs w:val="21"/>
              </w:rPr>
            </w:pPr>
            <w:r>
              <w:rPr>
                <w:snapToGrid w:val="0"/>
                <w:kern w:val="0"/>
                <w:szCs w:val="21"/>
              </w:rPr>
              <w:t>37-38</w:t>
            </w:r>
          </w:p>
        </w:tc>
      </w:tr>
      <w:tr w:rsidR="00475650">
        <w:trPr>
          <w:jc w:val="center"/>
        </w:trPr>
        <w:tc>
          <w:tcPr>
            <w:tcW w:w="1208" w:type="dxa"/>
            <w:vMerge/>
            <w:vAlign w:val="center"/>
          </w:tcPr>
          <w:p w:rsidR="00475650" w:rsidRDefault="00475650">
            <w:pPr>
              <w:widowControl/>
              <w:autoSpaceDE w:val="0"/>
              <w:autoSpaceDN w:val="0"/>
              <w:jc w:val="center"/>
              <w:rPr>
                <w:snapToGrid w:val="0"/>
                <w:kern w:val="0"/>
                <w:szCs w:val="21"/>
              </w:rPr>
            </w:pPr>
          </w:p>
        </w:tc>
        <w:tc>
          <w:tcPr>
            <w:tcW w:w="1247" w:type="dxa"/>
            <w:vAlign w:val="center"/>
          </w:tcPr>
          <w:p w:rsidR="00475650" w:rsidRDefault="00475650">
            <w:pPr>
              <w:widowControl/>
              <w:autoSpaceDE w:val="0"/>
              <w:autoSpaceDN w:val="0"/>
              <w:jc w:val="center"/>
              <w:rPr>
                <w:snapToGrid w:val="0"/>
                <w:kern w:val="0"/>
                <w:szCs w:val="21"/>
              </w:rPr>
            </w:pPr>
            <w:r>
              <w:rPr>
                <w:rFonts w:hAnsi="宋体"/>
                <w:snapToGrid w:val="0"/>
                <w:kern w:val="0"/>
                <w:szCs w:val="21"/>
              </w:rPr>
              <w:t>最大占</w:t>
            </w:r>
          </w:p>
          <w:p w:rsidR="00475650" w:rsidRDefault="00475650">
            <w:pPr>
              <w:widowControl/>
              <w:autoSpaceDE w:val="0"/>
              <w:autoSpaceDN w:val="0"/>
              <w:jc w:val="center"/>
              <w:rPr>
                <w:snapToGrid w:val="0"/>
                <w:kern w:val="0"/>
                <w:szCs w:val="21"/>
              </w:rPr>
            </w:pPr>
            <w:r>
              <w:rPr>
                <w:rFonts w:hAnsi="宋体"/>
                <w:snapToGrid w:val="0"/>
                <w:kern w:val="0"/>
                <w:szCs w:val="21"/>
              </w:rPr>
              <w:t>标率％</w:t>
            </w:r>
          </w:p>
        </w:tc>
        <w:tc>
          <w:tcPr>
            <w:tcW w:w="1284" w:type="dxa"/>
            <w:vAlign w:val="center"/>
          </w:tcPr>
          <w:p w:rsidR="00475650" w:rsidRDefault="00475650">
            <w:pPr>
              <w:widowControl/>
              <w:autoSpaceDE w:val="0"/>
              <w:autoSpaceDN w:val="0"/>
              <w:jc w:val="center"/>
              <w:rPr>
                <w:snapToGrid w:val="0"/>
                <w:kern w:val="0"/>
                <w:szCs w:val="21"/>
              </w:rPr>
            </w:pPr>
            <w:r>
              <w:rPr>
                <w:snapToGrid w:val="0"/>
                <w:kern w:val="0"/>
                <w:szCs w:val="21"/>
              </w:rPr>
              <w:t>/</w:t>
            </w:r>
          </w:p>
        </w:tc>
        <w:tc>
          <w:tcPr>
            <w:tcW w:w="1055" w:type="dxa"/>
            <w:vAlign w:val="center"/>
          </w:tcPr>
          <w:p w:rsidR="00475650" w:rsidRDefault="00475650">
            <w:pPr>
              <w:widowControl/>
              <w:autoSpaceDE w:val="0"/>
              <w:autoSpaceDN w:val="0"/>
              <w:jc w:val="center"/>
              <w:rPr>
                <w:snapToGrid w:val="0"/>
                <w:kern w:val="0"/>
                <w:szCs w:val="21"/>
              </w:rPr>
            </w:pPr>
            <w:r>
              <w:rPr>
                <w:snapToGrid w:val="0"/>
                <w:kern w:val="0"/>
                <w:szCs w:val="21"/>
              </w:rPr>
              <w:t>33.3</w:t>
            </w:r>
          </w:p>
        </w:tc>
        <w:tc>
          <w:tcPr>
            <w:tcW w:w="1837" w:type="dxa"/>
            <w:vAlign w:val="center"/>
          </w:tcPr>
          <w:p w:rsidR="00475650" w:rsidRDefault="00475650">
            <w:pPr>
              <w:widowControl/>
              <w:autoSpaceDE w:val="0"/>
              <w:autoSpaceDN w:val="0"/>
              <w:jc w:val="center"/>
              <w:rPr>
                <w:snapToGrid w:val="0"/>
                <w:kern w:val="0"/>
                <w:szCs w:val="21"/>
              </w:rPr>
            </w:pPr>
            <w:r>
              <w:rPr>
                <w:snapToGrid w:val="0"/>
                <w:kern w:val="0"/>
                <w:szCs w:val="21"/>
              </w:rPr>
              <w:t>73.3</w:t>
            </w:r>
          </w:p>
        </w:tc>
        <w:tc>
          <w:tcPr>
            <w:tcW w:w="1332" w:type="dxa"/>
            <w:vAlign w:val="center"/>
          </w:tcPr>
          <w:p w:rsidR="00475650" w:rsidRDefault="00475650">
            <w:pPr>
              <w:widowControl/>
              <w:autoSpaceDE w:val="0"/>
              <w:autoSpaceDN w:val="0"/>
              <w:jc w:val="center"/>
              <w:rPr>
                <w:snapToGrid w:val="0"/>
                <w:kern w:val="0"/>
                <w:szCs w:val="21"/>
              </w:rPr>
            </w:pPr>
            <w:r>
              <w:rPr>
                <w:snapToGrid w:val="0"/>
                <w:kern w:val="0"/>
                <w:szCs w:val="21"/>
              </w:rPr>
              <w:t>60.0</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50.0</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42.4</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27.0</w:t>
            </w:r>
          </w:p>
        </w:tc>
        <w:tc>
          <w:tcPr>
            <w:tcW w:w="1667" w:type="dxa"/>
            <w:vAlign w:val="center"/>
          </w:tcPr>
          <w:p w:rsidR="00475650" w:rsidRDefault="00475650">
            <w:pPr>
              <w:widowControl/>
              <w:autoSpaceDE w:val="0"/>
              <w:autoSpaceDN w:val="0"/>
              <w:jc w:val="center"/>
              <w:rPr>
                <w:snapToGrid w:val="0"/>
                <w:kern w:val="0"/>
                <w:szCs w:val="21"/>
              </w:rPr>
            </w:pPr>
            <w:r>
              <w:rPr>
                <w:snapToGrid w:val="0"/>
                <w:kern w:val="0"/>
                <w:szCs w:val="21"/>
              </w:rPr>
              <w:t>80.0</w:t>
            </w:r>
          </w:p>
        </w:tc>
        <w:tc>
          <w:tcPr>
            <w:tcW w:w="1040" w:type="dxa"/>
            <w:vAlign w:val="center"/>
          </w:tcPr>
          <w:p w:rsidR="00475650" w:rsidRDefault="00475650">
            <w:pPr>
              <w:widowControl/>
              <w:autoSpaceDE w:val="0"/>
              <w:autoSpaceDN w:val="0"/>
              <w:jc w:val="center"/>
              <w:rPr>
                <w:snapToGrid w:val="0"/>
                <w:kern w:val="0"/>
                <w:szCs w:val="21"/>
              </w:rPr>
            </w:pPr>
            <w:r>
              <w:rPr>
                <w:snapToGrid w:val="0"/>
                <w:kern w:val="0"/>
                <w:szCs w:val="21"/>
              </w:rPr>
              <w:t>15.2</w:t>
            </w:r>
          </w:p>
        </w:tc>
      </w:tr>
      <w:tr w:rsidR="00475650">
        <w:trPr>
          <w:jc w:val="center"/>
        </w:trPr>
        <w:tc>
          <w:tcPr>
            <w:tcW w:w="1208" w:type="dxa"/>
            <w:vMerge/>
            <w:vAlign w:val="center"/>
          </w:tcPr>
          <w:p w:rsidR="00475650" w:rsidRDefault="00475650">
            <w:pPr>
              <w:widowControl/>
              <w:autoSpaceDE w:val="0"/>
              <w:autoSpaceDN w:val="0"/>
              <w:jc w:val="center"/>
              <w:rPr>
                <w:snapToGrid w:val="0"/>
                <w:kern w:val="0"/>
                <w:szCs w:val="21"/>
              </w:rPr>
            </w:pPr>
          </w:p>
        </w:tc>
        <w:tc>
          <w:tcPr>
            <w:tcW w:w="1247" w:type="dxa"/>
            <w:vAlign w:val="center"/>
          </w:tcPr>
          <w:p w:rsidR="00475650" w:rsidRDefault="00475650">
            <w:pPr>
              <w:widowControl/>
              <w:autoSpaceDE w:val="0"/>
              <w:autoSpaceDN w:val="0"/>
              <w:jc w:val="center"/>
              <w:rPr>
                <w:snapToGrid w:val="0"/>
                <w:kern w:val="0"/>
                <w:szCs w:val="21"/>
              </w:rPr>
            </w:pPr>
            <w:r>
              <w:rPr>
                <w:rFonts w:hAnsi="宋体"/>
                <w:snapToGrid w:val="0"/>
                <w:kern w:val="0"/>
                <w:szCs w:val="21"/>
              </w:rPr>
              <w:t>超标率</w:t>
            </w:r>
          </w:p>
          <w:p w:rsidR="00475650" w:rsidRDefault="00475650">
            <w:pPr>
              <w:widowControl/>
              <w:autoSpaceDE w:val="0"/>
              <w:autoSpaceDN w:val="0"/>
              <w:jc w:val="center"/>
              <w:rPr>
                <w:snapToGrid w:val="0"/>
                <w:kern w:val="0"/>
                <w:szCs w:val="21"/>
              </w:rPr>
            </w:pPr>
            <w:r>
              <w:rPr>
                <w:rFonts w:hAnsi="宋体"/>
                <w:snapToGrid w:val="0"/>
                <w:kern w:val="0"/>
                <w:szCs w:val="21"/>
              </w:rPr>
              <w:t>％</w:t>
            </w:r>
          </w:p>
        </w:tc>
        <w:tc>
          <w:tcPr>
            <w:tcW w:w="1284" w:type="dxa"/>
            <w:vAlign w:val="center"/>
          </w:tcPr>
          <w:p w:rsidR="00475650" w:rsidRDefault="00475650">
            <w:pPr>
              <w:widowControl/>
              <w:autoSpaceDE w:val="0"/>
              <w:autoSpaceDN w:val="0"/>
              <w:jc w:val="center"/>
              <w:rPr>
                <w:snapToGrid w:val="0"/>
                <w:kern w:val="0"/>
                <w:szCs w:val="21"/>
              </w:rPr>
            </w:pPr>
            <w:r>
              <w:rPr>
                <w:snapToGrid w:val="0"/>
                <w:kern w:val="0"/>
                <w:szCs w:val="21"/>
              </w:rPr>
              <w:t>/</w:t>
            </w:r>
          </w:p>
        </w:tc>
        <w:tc>
          <w:tcPr>
            <w:tcW w:w="1055"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837"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332"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667"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040" w:type="dxa"/>
            <w:vAlign w:val="center"/>
          </w:tcPr>
          <w:p w:rsidR="00475650" w:rsidRDefault="00475650">
            <w:pPr>
              <w:widowControl/>
              <w:autoSpaceDE w:val="0"/>
              <w:autoSpaceDN w:val="0"/>
              <w:jc w:val="center"/>
              <w:rPr>
                <w:snapToGrid w:val="0"/>
                <w:kern w:val="0"/>
                <w:szCs w:val="21"/>
              </w:rPr>
            </w:pPr>
            <w:r>
              <w:rPr>
                <w:snapToGrid w:val="0"/>
                <w:kern w:val="0"/>
                <w:szCs w:val="21"/>
              </w:rPr>
              <w:t>0</w:t>
            </w:r>
          </w:p>
        </w:tc>
      </w:tr>
      <w:tr w:rsidR="00475650">
        <w:trPr>
          <w:jc w:val="center"/>
        </w:trPr>
        <w:tc>
          <w:tcPr>
            <w:tcW w:w="1208" w:type="dxa"/>
            <w:vMerge/>
            <w:vAlign w:val="center"/>
          </w:tcPr>
          <w:p w:rsidR="00475650" w:rsidRDefault="00475650">
            <w:pPr>
              <w:widowControl/>
              <w:autoSpaceDE w:val="0"/>
              <w:autoSpaceDN w:val="0"/>
              <w:jc w:val="center"/>
              <w:rPr>
                <w:snapToGrid w:val="0"/>
                <w:kern w:val="0"/>
                <w:szCs w:val="21"/>
              </w:rPr>
            </w:pPr>
          </w:p>
        </w:tc>
        <w:tc>
          <w:tcPr>
            <w:tcW w:w="1247" w:type="dxa"/>
            <w:vAlign w:val="center"/>
          </w:tcPr>
          <w:p w:rsidR="00475650" w:rsidRDefault="00475650">
            <w:pPr>
              <w:widowControl/>
              <w:autoSpaceDE w:val="0"/>
              <w:autoSpaceDN w:val="0"/>
              <w:adjustRightInd w:val="0"/>
              <w:jc w:val="center"/>
              <w:textAlignment w:val="baseline"/>
              <w:rPr>
                <w:snapToGrid w:val="0"/>
                <w:kern w:val="0"/>
                <w:szCs w:val="21"/>
              </w:rPr>
            </w:pPr>
            <w:r>
              <w:rPr>
                <w:rFonts w:hAnsi="宋体"/>
                <w:snapToGrid w:val="0"/>
                <w:kern w:val="0"/>
                <w:szCs w:val="21"/>
              </w:rPr>
              <w:t>最大超标倍数</w:t>
            </w:r>
          </w:p>
        </w:tc>
        <w:tc>
          <w:tcPr>
            <w:tcW w:w="1284" w:type="dxa"/>
            <w:vAlign w:val="center"/>
          </w:tcPr>
          <w:p w:rsidR="00475650" w:rsidRDefault="00475650">
            <w:pPr>
              <w:widowControl/>
              <w:autoSpaceDE w:val="0"/>
              <w:autoSpaceDN w:val="0"/>
              <w:jc w:val="center"/>
              <w:rPr>
                <w:snapToGrid w:val="0"/>
                <w:kern w:val="0"/>
                <w:szCs w:val="21"/>
              </w:rPr>
            </w:pPr>
            <w:r>
              <w:rPr>
                <w:snapToGrid w:val="0"/>
                <w:kern w:val="0"/>
                <w:szCs w:val="21"/>
              </w:rPr>
              <w:t>/</w:t>
            </w:r>
          </w:p>
        </w:tc>
        <w:tc>
          <w:tcPr>
            <w:tcW w:w="1055"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837"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332"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667"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040" w:type="dxa"/>
            <w:vAlign w:val="center"/>
          </w:tcPr>
          <w:p w:rsidR="00475650" w:rsidRDefault="00475650">
            <w:pPr>
              <w:widowControl/>
              <w:autoSpaceDE w:val="0"/>
              <w:autoSpaceDN w:val="0"/>
              <w:jc w:val="center"/>
              <w:rPr>
                <w:snapToGrid w:val="0"/>
                <w:kern w:val="0"/>
                <w:szCs w:val="21"/>
              </w:rPr>
            </w:pPr>
            <w:r>
              <w:rPr>
                <w:snapToGrid w:val="0"/>
                <w:kern w:val="0"/>
                <w:szCs w:val="21"/>
              </w:rPr>
              <w:t>0</w:t>
            </w:r>
          </w:p>
        </w:tc>
      </w:tr>
      <w:tr w:rsidR="00475650">
        <w:trPr>
          <w:trHeight w:val="443"/>
          <w:jc w:val="center"/>
        </w:trPr>
        <w:tc>
          <w:tcPr>
            <w:tcW w:w="1208" w:type="dxa"/>
            <w:vMerge w:val="restart"/>
            <w:vAlign w:val="center"/>
          </w:tcPr>
          <w:p w:rsidR="00475650" w:rsidRDefault="00475650">
            <w:pPr>
              <w:widowControl/>
              <w:autoSpaceDE w:val="0"/>
              <w:autoSpaceDN w:val="0"/>
              <w:jc w:val="center"/>
              <w:rPr>
                <w:snapToGrid w:val="0"/>
                <w:kern w:val="0"/>
                <w:szCs w:val="21"/>
              </w:rPr>
            </w:pPr>
            <w:r>
              <w:rPr>
                <w:snapToGrid w:val="0"/>
                <w:kern w:val="0"/>
                <w:szCs w:val="21"/>
              </w:rPr>
              <w:t>W3</w:t>
            </w:r>
          </w:p>
        </w:tc>
        <w:tc>
          <w:tcPr>
            <w:tcW w:w="1247" w:type="dxa"/>
            <w:vAlign w:val="center"/>
          </w:tcPr>
          <w:p w:rsidR="00475650" w:rsidRDefault="00475650">
            <w:pPr>
              <w:widowControl/>
              <w:autoSpaceDE w:val="0"/>
              <w:autoSpaceDN w:val="0"/>
              <w:jc w:val="center"/>
              <w:rPr>
                <w:snapToGrid w:val="0"/>
                <w:kern w:val="0"/>
                <w:szCs w:val="21"/>
              </w:rPr>
            </w:pPr>
            <w:r>
              <w:rPr>
                <w:rFonts w:hAnsi="宋体"/>
                <w:snapToGrid w:val="0"/>
                <w:kern w:val="0"/>
                <w:szCs w:val="21"/>
              </w:rPr>
              <w:t>浓度范围</w:t>
            </w:r>
          </w:p>
        </w:tc>
        <w:tc>
          <w:tcPr>
            <w:tcW w:w="1284" w:type="dxa"/>
            <w:vAlign w:val="center"/>
          </w:tcPr>
          <w:p w:rsidR="00475650" w:rsidRDefault="00475650">
            <w:pPr>
              <w:widowControl/>
              <w:autoSpaceDE w:val="0"/>
              <w:autoSpaceDN w:val="0"/>
              <w:jc w:val="center"/>
              <w:rPr>
                <w:snapToGrid w:val="0"/>
                <w:kern w:val="0"/>
                <w:szCs w:val="21"/>
              </w:rPr>
            </w:pPr>
            <w:r>
              <w:rPr>
                <w:snapToGrid w:val="0"/>
                <w:kern w:val="0"/>
                <w:szCs w:val="21"/>
              </w:rPr>
              <w:t>6.98-7.04</w:t>
            </w:r>
          </w:p>
        </w:tc>
        <w:tc>
          <w:tcPr>
            <w:tcW w:w="1055" w:type="dxa"/>
            <w:vAlign w:val="center"/>
          </w:tcPr>
          <w:p w:rsidR="00475650" w:rsidRDefault="00475650">
            <w:pPr>
              <w:widowControl/>
              <w:autoSpaceDE w:val="0"/>
              <w:autoSpaceDN w:val="0"/>
              <w:jc w:val="center"/>
              <w:rPr>
                <w:snapToGrid w:val="0"/>
                <w:kern w:val="0"/>
                <w:szCs w:val="21"/>
              </w:rPr>
            </w:pPr>
            <w:r>
              <w:rPr>
                <w:snapToGrid w:val="0"/>
                <w:kern w:val="0"/>
                <w:szCs w:val="21"/>
              </w:rPr>
              <w:t>5</w:t>
            </w:r>
          </w:p>
        </w:tc>
        <w:tc>
          <w:tcPr>
            <w:tcW w:w="1837" w:type="dxa"/>
            <w:vAlign w:val="center"/>
          </w:tcPr>
          <w:p w:rsidR="00475650" w:rsidRDefault="00475650">
            <w:pPr>
              <w:widowControl/>
              <w:autoSpaceDE w:val="0"/>
              <w:autoSpaceDN w:val="0"/>
              <w:jc w:val="center"/>
              <w:rPr>
                <w:snapToGrid w:val="0"/>
                <w:kern w:val="0"/>
                <w:szCs w:val="21"/>
              </w:rPr>
            </w:pPr>
            <w:r>
              <w:rPr>
                <w:snapToGrid w:val="0"/>
                <w:kern w:val="0"/>
                <w:szCs w:val="21"/>
              </w:rPr>
              <w:t>1.3-1.6</w:t>
            </w:r>
          </w:p>
        </w:tc>
        <w:tc>
          <w:tcPr>
            <w:tcW w:w="1332" w:type="dxa"/>
            <w:vAlign w:val="center"/>
          </w:tcPr>
          <w:p w:rsidR="00475650" w:rsidRDefault="00475650">
            <w:pPr>
              <w:widowControl/>
              <w:autoSpaceDE w:val="0"/>
              <w:autoSpaceDN w:val="0"/>
              <w:jc w:val="center"/>
              <w:rPr>
                <w:snapToGrid w:val="0"/>
                <w:kern w:val="0"/>
                <w:szCs w:val="21"/>
              </w:rPr>
            </w:pPr>
            <w:r>
              <w:rPr>
                <w:snapToGrid w:val="0"/>
                <w:kern w:val="0"/>
                <w:szCs w:val="21"/>
              </w:rPr>
              <w:t>0.10</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0.001L</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67-77</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6.7</w:t>
            </w:r>
          </w:p>
        </w:tc>
        <w:tc>
          <w:tcPr>
            <w:tcW w:w="1667" w:type="dxa"/>
            <w:vAlign w:val="center"/>
          </w:tcPr>
          <w:p w:rsidR="00475650" w:rsidRDefault="00475650">
            <w:pPr>
              <w:widowControl/>
              <w:autoSpaceDE w:val="0"/>
              <w:autoSpaceDN w:val="0"/>
              <w:jc w:val="center"/>
              <w:rPr>
                <w:snapToGrid w:val="0"/>
                <w:kern w:val="0"/>
                <w:szCs w:val="21"/>
              </w:rPr>
            </w:pPr>
            <w:r>
              <w:rPr>
                <w:snapToGrid w:val="0"/>
                <w:kern w:val="0"/>
                <w:szCs w:val="21"/>
              </w:rPr>
              <w:t>0.001L-0.005</w:t>
            </w:r>
          </w:p>
        </w:tc>
        <w:tc>
          <w:tcPr>
            <w:tcW w:w="1040" w:type="dxa"/>
            <w:vAlign w:val="center"/>
          </w:tcPr>
          <w:p w:rsidR="00475650" w:rsidRDefault="00475650">
            <w:pPr>
              <w:widowControl/>
              <w:autoSpaceDE w:val="0"/>
              <w:autoSpaceDN w:val="0"/>
              <w:jc w:val="center"/>
              <w:rPr>
                <w:snapToGrid w:val="0"/>
                <w:kern w:val="0"/>
                <w:szCs w:val="21"/>
              </w:rPr>
            </w:pPr>
            <w:r>
              <w:rPr>
                <w:snapToGrid w:val="0"/>
                <w:kern w:val="0"/>
                <w:szCs w:val="21"/>
              </w:rPr>
              <w:t>45-47</w:t>
            </w:r>
          </w:p>
        </w:tc>
      </w:tr>
      <w:tr w:rsidR="00475650">
        <w:trPr>
          <w:jc w:val="center"/>
        </w:trPr>
        <w:tc>
          <w:tcPr>
            <w:tcW w:w="1208" w:type="dxa"/>
            <w:vMerge/>
            <w:vAlign w:val="center"/>
          </w:tcPr>
          <w:p w:rsidR="00475650" w:rsidRDefault="00475650">
            <w:pPr>
              <w:widowControl/>
              <w:autoSpaceDE w:val="0"/>
              <w:autoSpaceDN w:val="0"/>
              <w:jc w:val="center"/>
              <w:rPr>
                <w:snapToGrid w:val="0"/>
                <w:kern w:val="0"/>
                <w:szCs w:val="21"/>
              </w:rPr>
            </w:pPr>
          </w:p>
        </w:tc>
        <w:tc>
          <w:tcPr>
            <w:tcW w:w="1247" w:type="dxa"/>
            <w:vAlign w:val="center"/>
          </w:tcPr>
          <w:p w:rsidR="00475650" w:rsidRDefault="00475650">
            <w:pPr>
              <w:widowControl/>
              <w:autoSpaceDE w:val="0"/>
              <w:autoSpaceDN w:val="0"/>
              <w:jc w:val="center"/>
              <w:rPr>
                <w:snapToGrid w:val="0"/>
                <w:kern w:val="0"/>
                <w:szCs w:val="21"/>
              </w:rPr>
            </w:pPr>
            <w:r>
              <w:rPr>
                <w:rFonts w:hAnsi="宋体"/>
                <w:snapToGrid w:val="0"/>
                <w:kern w:val="0"/>
                <w:szCs w:val="21"/>
              </w:rPr>
              <w:t>最大占</w:t>
            </w:r>
          </w:p>
          <w:p w:rsidR="00475650" w:rsidRDefault="00475650">
            <w:pPr>
              <w:widowControl/>
              <w:autoSpaceDE w:val="0"/>
              <w:autoSpaceDN w:val="0"/>
              <w:jc w:val="center"/>
              <w:rPr>
                <w:snapToGrid w:val="0"/>
                <w:kern w:val="0"/>
                <w:szCs w:val="21"/>
              </w:rPr>
            </w:pPr>
            <w:r>
              <w:rPr>
                <w:rFonts w:hAnsi="宋体"/>
                <w:snapToGrid w:val="0"/>
                <w:kern w:val="0"/>
                <w:szCs w:val="21"/>
              </w:rPr>
              <w:t>标率％</w:t>
            </w:r>
          </w:p>
        </w:tc>
        <w:tc>
          <w:tcPr>
            <w:tcW w:w="1284" w:type="dxa"/>
            <w:vAlign w:val="center"/>
          </w:tcPr>
          <w:p w:rsidR="00475650" w:rsidRDefault="00475650">
            <w:pPr>
              <w:widowControl/>
              <w:autoSpaceDE w:val="0"/>
              <w:autoSpaceDN w:val="0"/>
              <w:jc w:val="center"/>
              <w:rPr>
                <w:snapToGrid w:val="0"/>
                <w:kern w:val="0"/>
                <w:szCs w:val="21"/>
              </w:rPr>
            </w:pPr>
            <w:r>
              <w:rPr>
                <w:snapToGrid w:val="0"/>
                <w:kern w:val="0"/>
                <w:szCs w:val="21"/>
              </w:rPr>
              <w:t>/</w:t>
            </w:r>
          </w:p>
        </w:tc>
        <w:tc>
          <w:tcPr>
            <w:tcW w:w="1055" w:type="dxa"/>
            <w:vAlign w:val="center"/>
          </w:tcPr>
          <w:p w:rsidR="00475650" w:rsidRDefault="00475650">
            <w:pPr>
              <w:widowControl/>
              <w:autoSpaceDE w:val="0"/>
              <w:autoSpaceDN w:val="0"/>
              <w:jc w:val="center"/>
              <w:rPr>
                <w:snapToGrid w:val="0"/>
                <w:kern w:val="0"/>
                <w:szCs w:val="21"/>
              </w:rPr>
            </w:pPr>
            <w:r>
              <w:rPr>
                <w:snapToGrid w:val="0"/>
                <w:kern w:val="0"/>
                <w:szCs w:val="21"/>
              </w:rPr>
              <w:t>33.3</w:t>
            </w:r>
          </w:p>
        </w:tc>
        <w:tc>
          <w:tcPr>
            <w:tcW w:w="1837" w:type="dxa"/>
            <w:vAlign w:val="center"/>
          </w:tcPr>
          <w:p w:rsidR="00475650" w:rsidRDefault="00475650">
            <w:pPr>
              <w:widowControl/>
              <w:autoSpaceDE w:val="0"/>
              <w:autoSpaceDN w:val="0"/>
              <w:jc w:val="center"/>
              <w:rPr>
                <w:snapToGrid w:val="0"/>
                <w:kern w:val="0"/>
                <w:szCs w:val="21"/>
              </w:rPr>
            </w:pPr>
            <w:r>
              <w:rPr>
                <w:snapToGrid w:val="0"/>
                <w:kern w:val="0"/>
                <w:szCs w:val="21"/>
              </w:rPr>
              <w:t>53.3</w:t>
            </w:r>
          </w:p>
        </w:tc>
        <w:tc>
          <w:tcPr>
            <w:tcW w:w="1332" w:type="dxa"/>
            <w:vAlign w:val="center"/>
          </w:tcPr>
          <w:p w:rsidR="00475650" w:rsidRDefault="00475650">
            <w:pPr>
              <w:widowControl/>
              <w:autoSpaceDE w:val="0"/>
              <w:autoSpaceDN w:val="0"/>
              <w:jc w:val="center"/>
              <w:rPr>
                <w:snapToGrid w:val="0"/>
                <w:kern w:val="0"/>
                <w:szCs w:val="21"/>
              </w:rPr>
            </w:pPr>
            <w:r>
              <w:rPr>
                <w:snapToGrid w:val="0"/>
                <w:kern w:val="0"/>
                <w:szCs w:val="21"/>
              </w:rPr>
              <w:t>50.0</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50.0</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30.8</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33.5</w:t>
            </w:r>
          </w:p>
        </w:tc>
        <w:tc>
          <w:tcPr>
            <w:tcW w:w="1667" w:type="dxa"/>
            <w:vAlign w:val="center"/>
          </w:tcPr>
          <w:p w:rsidR="00475650" w:rsidRDefault="00475650">
            <w:pPr>
              <w:widowControl/>
              <w:autoSpaceDE w:val="0"/>
              <w:autoSpaceDN w:val="0"/>
              <w:jc w:val="center"/>
              <w:rPr>
                <w:snapToGrid w:val="0"/>
                <w:kern w:val="0"/>
                <w:szCs w:val="21"/>
              </w:rPr>
            </w:pPr>
            <w:r>
              <w:rPr>
                <w:snapToGrid w:val="0"/>
                <w:kern w:val="0"/>
                <w:szCs w:val="21"/>
              </w:rPr>
              <w:t>25.0</w:t>
            </w:r>
          </w:p>
        </w:tc>
        <w:tc>
          <w:tcPr>
            <w:tcW w:w="1040" w:type="dxa"/>
            <w:vAlign w:val="center"/>
          </w:tcPr>
          <w:p w:rsidR="00475650" w:rsidRDefault="00475650">
            <w:pPr>
              <w:widowControl/>
              <w:autoSpaceDE w:val="0"/>
              <w:autoSpaceDN w:val="0"/>
              <w:jc w:val="center"/>
              <w:rPr>
                <w:snapToGrid w:val="0"/>
                <w:kern w:val="0"/>
                <w:szCs w:val="21"/>
              </w:rPr>
            </w:pPr>
            <w:r>
              <w:rPr>
                <w:snapToGrid w:val="0"/>
                <w:kern w:val="0"/>
                <w:szCs w:val="21"/>
              </w:rPr>
              <w:t>18.8</w:t>
            </w:r>
          </w:p>
        </w:tc>
      </w:tr>
      <w:tr w:rsidR="00475650">
        <w:trPr>
          <w:jc w:val="center"/>
        </w:trPr>
        <w:tc>
          <w:tcPr>
            <w:tcW w:w="1208" w:type="dxa"/>
            <w:vMerge/>
            <w:vAlign w:val="center"/>
          </w:tcPr>
          <w:p w:rsidR="00475650" w:rsidRDefault="00475650">
            <w:pPr>
              <w:widowControl/>
              <w:autoSpaceDE w:val="0"/>
              <w:autoSpaceDN w:val="0"/>
              <w:jc w:val="center"/>
              <w:rPr>
                <w:snapToGrid w:val="0"/>
                <w:kern w:val="0"/>
                <w:szCs w:val="21"/>
              </w:rPr>
            </w:pPr>
          </w:p>
        </w:tc>
        <w:tc>
          <w:tcPr>
            <w:tcW w:w="1247" w:type="dxa"/>
            <w:vAlign w:val="center"/>
          </w:tcPr>
          <w:p w:rsidR="00475650" w:rsidRDefault="00475650">
            <w:pPr>
              <w:widowControl/>
              <w:autoSpaceDE w:val="0"/>
              <w:autoSpaceDN w:val="0"/>
              <w:jc w:val="center"/>
              <w:rPr>
                <w:snapToGrid w:val="0"/>
                <w:kern w:val="0"/>
                <w:szCs w:val="21"/>
              </w:rPr>
            </w:pPr>
            <w:r>
              <w:rPr>
                <w:rFonts w:hAnsi="宋体"/>
                <w:snapToGrid w:val="0"/>
                <w:kern w:val="0"/>
                <w:szCs w:val="21"/>
              </w:rPr>
              <w:t>超标率</w:t>
            </w:r>
          </w:p>
          <w:p w:rsidR="00475650" w:rsidRDefault="00475650">
            <w:pPr>
              <w:widowControl/>
              <w:autoSpaceDE w:val="0"/>
              <w:autoSpaceDN w:val="0"/>
              <w:jc w:val="center"/>
              <w:rPr>
                <w:snapToGrid w:val="0"/>
                <w:kern w:val="0"/>
                <w:szCs w:val="21"/>
              </w:rPr>
            </w:pPr>
            <w:r>
              <w:rPr>
                <w:rFonts w:hAnsi="宋体"/>
                <w:snapToGrid w:val="0"/>
                <w:kern w:val="0"/>
                <w:szCs w:val="21"/>
              </w:rPr>
              <w:t>％</w:t>
            </w:r>
          </w:p>
        </w:tc>
        <w:tc>
          <w:tcPr>
            <w:tcW w:w="1284" w:type="dxa"/>
            <w:vAlign w:val="center"/>
          </w:tcPr>
          <w:p w:rsidR="00475650" w:rsidRDefault="00475650">
            <w:pPr>
              <w:widowControl/>
              <w:autoSpaceDE w:val="0"/>
              <w:autoSpaceDN w:val="0"/>
              <w:jc w:val="center"/>
              <w:rPr>
                <w:snapToGrid w:val="0"/>
                <w:kern w:val="0"/>
                <w:szCs w:val="21"/>
              </w:rPr>
            </w:pPr>
            <w:r>
              <w:rPr>
                <w:snapToGrid w:val="0"/>
                <w:kern w:val="0"/>
                <w:szCs w:val="21"/>
              </w:rPr>
              <w:t>/</w:t>
            </w:r>
          </w:p>
        </w:tc>
        <w:tc>
          <w:tcPr>
            <w:tcW w:w="1055"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837"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332"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667"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040" w:type="dxa"/>
            <w:vAlign w:val="center"/>
          </w:tcPr>
          <w:p w:rsidR="00475650" w:rsidRDefault="00475650">
            <w:pPr>
              <w:widowControl/>
              <w:autoSpaceDE w:val="0"/>
              <w:autoSpaceDN w:val="0"/>
              <w:jc w:val="center"/>
              <w:rPr>
                <w:snapToGrid w:val="0"/>
                <w:kern w:val="0"/>
                <w:szCs w:val="21"/>
              </w:rPr>
            </w:pPr>
            <w:r>
              <w:rPr>
                <w:snapToGrid w:val="0"/>
                <w:kern w:val="0"/>
                <w:szCs w:val="21"/>
              </w:rPr>
              <w:t>0</w:t>
            </w:r>
          </w:p>
        </w:tc>
      </w:tr>
      <w:tr w:rsidR="00475650">
        <w:trPr>
          <w:jc w:val="center"/>
        </w:trPr>
        <w:tc>
          <w:tcPr>
            <w:tcW w:w="1208" w:type="dxa"/>
            <w:vMerge/>
            <w:vAlign w:val="center"/>
          </w:tcPr>
          <w:p w:rsidR="00475650" w:rsidRDefault="00475650">
            <w:pPr>
              <w:widowControl/>
              <w:autoSpaceDE w:val="0"/>
              <w:autoSpaceDN w:val="0"/>
              <w:jc w:val="center"/>
              <w:rPr>
                <w:snapToGrid w:val="0"/>
                <w:kern w:val="0"/>
                <w:szCs w:val="21"/>
              </w:rPr>
            </w:pPr>
          </w:p>
        </w:tc>
        <w:tc>
          <w:tcPr>
            <w:tcW w:w="1247" w:type="dxa"/>
            <w:vAlign w:val="center"/>
          </w:tcPr>
          <w:p w:rsidR="00475650" w:rsidRDefault="00475650">
            <w:pPr>
              <w:widowControl/>
              <w:autoSpaceDE w:val="0"/>
              <w:autoSpaceDN w:val="0"/>
              <w:adjustRightInd w:val="0"/>
              <w:jc w:val="center"/>
              <w:textAlignment w:val="baseline"/>
              <w:rPr>
                <w:snapToGrid w:val="0"/>
                <w:kern w:val="0"/>
                <w:szCs w:val="21"/>
              </w:rPr>
            </w:pPr>
            <w:r>
              <w:rPr>
                <w:rFonts w:hAnsi="宋体"/>
                <w:snapToGrid w:val="0"/>
                <w:kern w:val="0"/>
                <w:szCs w:val="21"/>
              </w:rPr>
              <w:t>最大超标倍数</w:t>
            </w:r>
          </w:p>
        </w:tc>
        <w:tc>
          <w:tcPr>
            <w:tcW w:w="1284" w:type="dxa"/>
            <w:vAlign w:val="center"/>
          </w:tcPr>
          <w:p w:rsidR="00475650" w:rsidRDefault="00475650">
            <w:pPr>
              <w:widowControl/>
              <w:autoSpaceDE w:val="0"/>
              <w:autoSpaceDN w:val="0"/>
              <w:jc w:val="center"/>
              <w:rPr>
                <w:snapToGrid w:val="0"/>
                <w:kern w:val="0"/>
                <w:szCs w:val="21"/>
              </w:rPr>
            </w:pPr>
            <w:r>
              <w:rPr>
                <w:snapToGrid w:val="0"/>
                <w:kern w:val="0"/>
                <w:szCs w:val="21"/>
              </w:rPr>
              <w:t>/</w:t>
            </w:r>
          </w:p>
        </w:tc>
        <w:tc>
          <w:tcPr>
            <w:tcW w:w="1055"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837"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332"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667" w:type="dxa"/>
            <w:vAlign w:val="center"/>
          </w:tcPr>
          <w:p w:rsidR="00475650" w:rsidRDefault="00475650">
            <w:pPr>
              <w:widowControl/>
              <w:autoSpaceDE w:val="0"/>
              <w:autoSpaceDN w:val="0"/>
              <w:jc w:val="center"/>
              <w:rPr>
                <w:snapToGrid w:val="0"/>
                <w:kern w:val="0"/>
                <w:szCs w:val="21"/>
              </w:rPr>
            </w:pPr>
            <w:r>
              <w:rPr>
                <w:snapToGrid w:val="0"/>
                <w:kern w:val="0"/>
                <w:szCs w:val="21"/>
              </w:rPr>
              <w:t>0</w:t>
            </w:r>
          </w:p>
        </w:tc>
        <w:tc>
          <w:tcPr>
            <w:tcW w:w="1040" w:type="dxa"/>
            <w:vAlign w:val="center"/>
          </w:tcPr>
          <w:p w:rsidR="00475650" w:rsidRDefault="00475650">
            <w:pPr>
              <w:widowControl/>
              <w:autoSpaceDE w:val="0"/>
              <w:autoSpaceDN w:val="0"/>
              <w:jc w:val="center"/>
              <w:rPr>
                <w:snapToGrid w:val="0"/>
                <w:kern w:val="0"/>
                <w:szCs w:val="21"/>
              </w:rPr>
            </w:pPr>
            <w:r>
              <w:rPr>
                <w:snapToGrid w:val="0"/>
                <w:kern w:val="0"/>
                <w:szCs w:val="21"/>
              </w:rPr>
              <w:t>0</w:t>
            </w:r>
          </w:p>
        </w:tc>
      </w:tr>
      <w:tr w:rsidR="00475650">
        <w:trPr>
          <w:trHeight w:val="539"/>
          <w:jc w:val="center"/>
        </w:trPr>
        <w:tc>
          <w:tcPr>
            <w:tcW w:w="2455" w:type="dxa"/>
            <w:gridSpan w:val="2"/>
            <w:vAlign w:val="center"/>
          </w:tcPr>
          <w:p w:rsidR="00475650" w:rsidRDefault="00475650">
            <w:pPr>
              <w:widowControl/>
              <w:autoSpaceDE w:val="0"/>
              <w:autoSpaceDN w:val="0"/>
              <w:jc w:val="center"/>
              <w:rPr>
                <w:snapToGrid w:val="0"/>
                <w:szCs w:val="21"/>
              </w:rPr>
            </w:pPr>
            <w:r>
              <w:rPr>
                <w:rFonts w:hAnsi="宋体"/>
                <w:snapToGrid w:val="0"/>
                <w:kern w:val="0"/>
                <w:szCs w:val="21"/>
              </w:rPr>
              <w:t>标准值</w:t>
            </w:r>
          </w:p>
        </w:tc>
        <w:tc>
          <w:tcPr>
            <w:tcW w:w="1284" w:type="dxa"/>
            <w:vAlign w:val="center"/>
          </w:tcPr>
          <w:p w:rsidR="00475650" w:rsidRDefault="00475650">
            <w:pPr>
              <w:widowControl/>
              <w:autoSpaceDE w:val="0"/>
              <w:autoSpaceDN w:val="0"/>
              <w:jc w:val="center"/>
              <w:rPr>
                <w:snapToGrid w:val="0"/>
                <w:kern w:val="0"/>
                <w:szCs w:val="21"/>
              </w:rPr>
            </w:pPr>
            <w:r>
              <w:rPr>
                <w:snapToGrid w:val="0"/>
                <w:kern w:val="0"/>
                <w:szCs w:val="21"/>
              </w:rPr>
              <w:t>6.5-8.5</w:t>
            </w:r>
          </w:p>
        </w:tc>
        <w:tc>
          <w:tcPr>
            <w:tcW w:w="1055" w:type="dxa"/>
            <w:vAlign w:val="center"/>
          </w:tcPr>
          <w:p w:rsidR="00475650" w:rsidRDefault="00475650">
            <w:pPr>
              <w:widowControl/>
              <w:autoSpaceDE w:val="0"/>
              <w:autoSpaceDN w:val="0"/>
              <w:jc w:val="center"/>
              <w:rPr>
                <w:snapToGrid w:val="0"/>
                <w:kern w:val="0"/>
                <w:szCs w:val="21"/>
              </w:rPr>
            </w:pPr>
            <w:r>
              <w:rPr>
                <w:snapToGrid w:val="0"/>
                <w:kern w:val="0"/>
                <w:szCs w:val="21"/>
              </w:rPr>
              <w:t>15.0</w:t>
            </w:r>
          </w:p>
        </w:tc>
        <w:tc>
          <w:tcPr>
            <w:tcW w:w="1837" w:type="dxa"/>
            <w:vAlign w:val="center"/>
          </w:tcPr>
          <w:p w:rsidR="00475650" w:rsidRDefault="00475650">
            <w:pPr>
              <w:widowControl/>
              <w:autoSpaceDE w:val="0"/>
              <w:autoSpaceDN w:val="0"/>
              <w:jc w:val="center"/>
              <w:rPr>
                <w:snapToGrid w:val="0"/>
                <w:kern w:val="0"/>
                <w:szCs w:val="21"/>
              </w:rPr>
            </w:pPr>
            <w:r>
              <w:rPr>
                <w:snapToGrid w:val="0"/>
                <w:kern w:val="0"/>
                <w:szCs w:val="21"/>
              </w:rPr>
              <w:t>3.0</w:t>
            </w:r>
          </w:p>
        </w:tc>
        <w:tc>
          <w:tcPr>
            <w:tcW w:w="1332" w:type="dxa"/>
            <w:vAlign w:val="center"/>
          </w:tcPr>
          <w:p w:rsidR="00475650" w:rsidRDefault="00475650">
            <w:pPr>
              <w:widowControl/>
              <w:autoSpaceDE w:val="0"/>
              <w:autoSpaceDN w:val="0"/>
              <w:jc w:val="center"/>
              <w:rPr>
                <w:snapToGrid w:val="0"/>
                <w:kern w:val="0"/>
                <w:szCs w:val="21"/>
              </w:rPr>
            </w:pPr>
            <w:r>
              <w:rPr>
                <w:snapToGrid w:val="0"/>
                <w:kern w:val="0"/>
                <w:szCs w:val="21"/>
              </w:rPr>
              <w:t>0.2</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0.002</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250</w:t>
            </w:r>
          </w:p>
        </w:tc>
        <w:tc>
          <w:tcPr>
            <w:tcW w:w="1168" w:type="dxa"/>
            <w:vAlign w:val="center"/>
          </w:tcPr>
          <w:p w:rsidR="00475650" w:rsidRDefault="00475650">
            <w:pPr>
              <w:widowControl/>
              <w:autoSpaceDE w:val="0"/>
              <w:autoSpaceDN w:val="0"/>
              <w:jc w:val="center"/>
              <w:rPr>
                <w:snapToGrid w:val="0"/>
                <w:kern w:val="0"/>
                <w:szCs w:val="21"/>
              </w:rPr>
            </w:pPr>
            <w:r>
              <w:rPr>
                <w:snapToGrid w:val="0"/>
                <w:kern w:val="0"/>
                <w:szCs w:val="21"/>
              </w:rPr>
              <w:t>20</w:t>
            </w:r>
          </w:p>
        </w:tc>
        <w:tc>
          <w:tcPr>
            <w:tcW w:w="1667" w:type="dxa"/>
            <w:vAlign w:val="center"/>
          </w:tcPr>
          <w:p w:rsidR="00475650" w:rsidRDefault="00475650">
            <w:pPr>
              <w:widowControl/>
              <w:autoSpaceDE w:val="0"/>
              <w:autoSpaceDN w:val="0"/>
              <w:jc w:val="center"/>
              <w:rPr>
                <w:snapToGrid w:val="0"/>
                <w:kern w:val="0"/>
                <w:szCs w:val="21"/>
              </w:rPr>
            </w:pPr>
            <w:r>
              <w:rPr>
                <w:snapToGrid w:val="0"/>
                <w:kern w:val="0"/>
                <w:szCs w:val="21"/>
              </w:rPr>
              <w:t>0.02</w:t>
            </w:r>
          </w:p>
        </w:tc>
        <w:tc>
          <w:tcPr>
            <w:tcW w:w="1040" w:type="dxa"/>
            <w:vAlign w:val="center"/>
          </w:tcPr>
          <w:p w:rsidR="00475650" w:rsidRDefault="00475650">
            <w:pPr>
              <w:widowControl/>
              <w:autoSpaceDE w:val="0"/>
              <w:autoSpaceDN w:val="0"/>
              <w:jc w:val="center"/>
              <w:rPr>
                <w:snapToGrid w:val="0"/>
                <w:kern w:val="0"/>
                <w:szCs w:val="21"/>
              </w:rPr>
            </w:pPr>
            <w:r>
              <w:rPr>
                <w:snapToGrid w:val="0"/>
                <w:kern w:val="0"/>
                <w:szCs w:val="21"/>
              </w:rPr>
              <w:t>250</w:t>
            </w:r>
          </w:p>
        </w:tc>
      </w:tr>
    </w:tbl>
    <w:p w:rsidR="00475650" w:rsidRDefault="00475650">
      <w:pPr>
        <w:spacing w:line="420" w:lineRule="exact"/>
        <w:ind w:firstLineChars="200" w:firstLine="480"/>
        <w:rPr>
          <w:sz w:val="24"/>
          <w:szCs w:val="20"/>
          <w:highlight w:val="yellow"/>
        </w:rPr>
        <w:sectPr w:rsidR="00475650">
          <w:pgSz w:w="16838" w:h="11906" w:orient="landscape"/>
          <w:pgMar w:top="1797" w:right="1440" w:bottom="1797" w:left="1440" w:header="1247" w:footer="992" w:gutter="0"/>
          <w:cols w:space="720"/>
          <w:docGrid w:linePitch="312"/>
        </w:sectPr>
      </w:pPr>
    </w:p>
    <w:p w:rsidR="00475650" w:rsidRDefault="00475650">
      <w:pPr>
        <w:spacing w:line="360" w:lineRule="auto"/>
        <w:ind w:firstLineChars="200" w:firstLine="480"/>
        <w:rPr>
          <w:bCs/>
          <w:kern w:val="0"/>
          <w:sz w:val="24"/>
        </w:rPr>
      </w:pPr>
      <w:bookmarkStart w:id="700" w:name="_Toc334014203"/>
      <w:bookmarkStart w:id="701" w:name="_Toc333230028"/>
      <w:bookmarkStart w:id="702" w:name="_Toc334080845"/>
      <w:r>
        <w:rPr>
          <w:bCs/>
          <w:kern w:val="0"/>
          <w:sz w:val="24"/>
        </w:rPr>
        <w:lastRenderedPageBreak/>
        <w:t xml:space="preserve">4.3.3.2 </w:t>
      </w:r>
      <w:r>
        <w:rPr>
          <w:rFonts w:hAnsi="宋体" w:hint="eastAsia"/>
          <w:sz w:val="24"/>
        </w:rPr>
        <w:t>产业园规划环评</w:t>
      </w:r>
      <w:r>
        <w:rPr>
          <w:rFonts w:hAnsi="宋体"/>
          <w:bCs/>
          <w:kern w:val="0"/>
          <w:sz w:val="24"/>
        </w:rPr>
        <w:t>历史监测数据</w:t>
      </w:r>
    </w:p>
    <w:p w:rsidR="00475650" w:rsidRDefault="00475650" w:rsidP="00475650">
      <w:pPr>
        <w:overflowPunct w:val="0"/>
        <w:autoSpaceDE w:val="0"/>
        <w:autoSpaceDN w:val="0"/>
        <w:adjustRightInd w:val="0"/>
        <w:spacing w:line="360" w:lineRule="auto"/>
        <w:ind w:firstLineChars="182" w:firstLine="437"/>
        <w:textAlignment w:val="baseline"/>
        <w:rPr>
          <w:kern w:val="0"/>
          <w:sz w:val="24"/>
        </w:rPr>
      </w:pPr>
      <w:r>
        <w:rPr>
          <w:kern w:val="0"/>
          <w:sz w:val="24"/>
        </w:rPr>
        <w:t>2015</w:t>
      </w:r>
      <w:r>
        <w:rPr>
          <w:rFonts w:hAnsi="宋体"/>
          <w:kern w:val="0"/>
          <w:sz w:val="24"/>
        </w:rPr>
        <w:t>年</w:t>
      </w:r>
      <w:r>
        <w:rPr>
          <w:kern w:val="0"/>
          <w:sz w:val="24"/>
        </w:rPr>
        <w:t>11</w:t>
      </w:r>
      <w:r>
        <w:rPr>
          <w:rFonts w:hAnsi="宋体"/>
          <w:kern w:val="0"/>
          <w:sz w:val="24"/>
        </w:rPr>
        <w:t>月，《临湘工业园滨江产业园规划环境影响报告书》编制期间于工业园设地下水监测点，本处引用其中部分监测数据。</w:t>
      </w:r>
    </w:p>
    <w:p w:rsidR="00475650" w:rsidRDefault="00475650">
      <w:pPr>
        <w:numPr>
          <w:ilvl w:val="0"/>
          <w:numId w:val="85"/>
        </w:numPr>
        <w:spacing w:line="360" w:lineRule="auto"/>
        <w:rPr>
          <w:rStyle w:val="2Char1Char"/>
          <w:rFonts w:ascii="Times New Roman" w:eastAsia="宋体" w:hAnsi="Times New Roman"/>
          <w:b w:val="0"/>
          <w:sz w:val="24"/>
          <w:szCs w:val="24"/>
        </w:rPr>
      </w:pPr>
      <w:r>
        <w:rPr>
          <w:rStyle w:val="2Char1Char"/>
          <w:rFonts w:ascii="Times New Roman" w:eastAsia="宋体" w:hAnsi="宋体"/>
          <w:b w:val="0"/>
          <w:sz w:val="24"/>
          <w:szCs w:val="24"/>
        </w:rPr>
        <w:t>监测布点</w:t>
      </w:r>
    </w:p>
    <w:p w:rsidR="00475650" w:rsidRDefault="00475650">
      <w:pPr>
        <w:spacing w:line="360" w:lineRule="auto"/>
        <w:jc w:val="center"/>
        <w:rPr>
          <w:b/>
          <w:sz w:val="24"/>
        </w:rPr>
      </w:pPr>
      <w:r>
        <w:rPr>
          <w:rFonts w:hAnsi="宋体"/>
          <w:b/>
          <w:sz w:val="24"/>
        </w:rPr>
        <w:t>表</w:t>
      </w:r>
      <w:r>
        <w:rPr>
          <w:b/>
          <w:sz w:val="24"/>
        </w:rPr>
        <w:t>4.3-</w:t>
      </w:r>
      <w:r>
        <w:rPr>
          <w:rFonts w:hint="eastAsia"/>
          <w:b/>
          <w:sz w:val="24"/>
        </w:rPr>
        <w:t>14</w:t>
      </w:r>
      <w:r>
        <w:rPr>
          <w:b/>
          <w:sz w:val="24"/>
        </w:rPr>
        <w:t xml:space="preserve">  </w:t>
      </w:r>
      <w:r>
        <w:rPr>
          <w:rFonts w:hAnsi="宋体"/>
          <w:b/>
          <w:sz w:val="24"/>
        </w:rPr>
        <w:t>地下水水质监测断面及监测点位置表</w:t>
      </w:r>
      <w:r>
        <w:rPr>
          <w:b/>
          <w:sz w:val="24"/>
        </w:rPr>
        <w:t xml:space="preserve">    </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1456"/>
        <w:gridCol w:w="3371"/>
        <w:gridCol w:w="4119"/>
      </w:tblGrid>
      <w:tr w:rsidR="00475650">
        <w:trPr>
          <w:trHeight w:val="340"/>
        </w:trPr>
        <w:tc>
          <w:tcPr>
            <w:tcW w:w="1456" w:type="dxa"/>
            <w:vAlign w:val="center"/>
          </w:tcPr>
          <w:p w:rsidR="00475650" w:rsidRDefault="00475650">
            <w:pPr>
              <w:jc w:val="center"/>
            </w:pPr>
            <w:r>
              <w:rPr>
                <w:rFonts w:hAnsi="宋体"/>
              </w:rPr>
              <w:t>监测点位</w:t>
            </w:r>
          </w:p>
        </w:tc>
        <w:tc>
          <w:tcPr>
            <w:tcW w:w="3371" w:type="dxa"/>
            <w:vAlign w:val="center"/>
          </w:tcPr>
          <w:p w:rsidR="00475650" w:rsidRDefault="00475650">
            <w:pPr>
              <w:jc w:val="center"/>
            </w:pPr>
            <w:r>
              <w:rPr>
                <w:rFonts w:hAnsi="宋体"/>
              </w:rPr>
              <w:t>位置</w:t>
            </w:r>
          </w:p>
        </w:tc>
        <w:tc>
          <w:tcPr>
            <w:tcW w:w="4119" w:type="dxa"/>
            <w:vAlign w:val="center"/>
          </w:tcPr>
          <w:p w:rsidR="00475650" w:rsidRDefault="00475650">
            <w:pPr>
              <w:jc w:val="center"/>
            </w:pPr>
            <w:r>
              <w:rPr>
                <w:rFonts w:hAnsi="宋体"/>
              </w:rPr>
              <w:t>与本项目相对位置</w:t>
            </w:r>
          </w:p>
        </w:tc>
      </w:tr>
      <w:tr w:rsidR="00475650">
        <w:trPr>
          <w:trHeight w:val="340"/>
        </w:trPr>
        <w:tc>
          <w:tcPr>
            <w:tcW w:w="1456" w:type="dxa"/>
            <w:vAlign w:val="center"/>
          </w:tcPr>
          <w:p w:rsidR="00475650" w:rsidRDefault="00475650">
            <w:pPr>
              <w:jc w:val="center"/>
            </w:pPr>
            <w:r>
              <w:rPr>
                <w:snapToGrid w:val="0"/>
                <w:kern w:val="0"/>
                <w:szCs w:val="21"/>
              </w:rPr>
              <w:t>W4</w:t>
            </w:r>
          </w:p>
        </w:tc>
        <w:tc>
          <w:tcPr>
            <w:tcW w:w="3371" w:type="dxa"/>
            <w:vAlign w:val="center"/>
          </w:tcPr>
          <w:p w:rsidR="00475650" w:rsidRDefault="00475650">
            <w:pPr>
              <w:jc w:val="center"/>
            </w:pPr>
            <w:r>
              <w:rPr>
                <w:rFonts w:hAnsi="宋体"/>
              </w:rPr>
              <w:t>径港村径港居民水井</w:t>
            </w:r>
          </w:p>
        </w:tc>
        <w:tc>
          <w:tcPr>
            <w:tcW w:w="4119" w:type="dxa"/>
            <w:vAlign w:val="center"/>
          </w:tcPr>
          <w:p w:rsidR="00475650" w:rsidRDefault="00475650">
            <w:pPr>
              <w:jc w:val="center"/>
            </w:pPr>
            <w:r>
              <w:rPr>
                <w:rFonts w:hAnsi="宋体"/>
                <w:kern w:val="0"/>
                <w:szCs w:val="21"/>
              </w:rPr>
              <w:t>地下水上游</w:t>
            </w:r>
          </w:p>
        </w:tc>
      </w:tr>
      <w:tr w:rsidR="00475650">
        <w:trPr>
          <w:trHeight w:val="340"/>
        </w:trPr>
        <w:tc>
          <w:tcPr>
            <w:tcW w:w="1456" w:type="dxa"/>
            <w:vAlign w:val="center"/>
          </w:tcPr>
          <w:p w:rsidR="00475650" w:rsidRDefault="00475650">
            <w:pPr>
              <w:jc w:val="center"/>
            </w:pPr>
            <w:r>
              <w:rPr>
                <w:snapToGrid w:val="0"/>
                <w:kern w:val="0"/>
                <w:szCs w:val="21"/>
              </w:rPr>
              <w:t>W5</w:t>
            </w:r>
          </w:p>
        </w:tc>
        <w:tc>
          <w:tcPr>
            <w:tcW w:w="3371" w:type="dxa"/>
            <w:vAlign w:val="center"/>
          </w:tcPr>
          <w:p w:rsidR="00475650" w:rsidRDefault="00475650">
            <w:pPr>
              <w:jc w:val="center"/>
            </w:pPr>
            <w:r>
              <w:rPr>
                <w:rFonts w:hAnsi="宋体"/>
              </w:rPr>
              <w:t>杨桥村杨家桥居民水井</w:t>
            </w:r>
          </w:p>
        </w:tc>
        <w:tc>
          <w:tcPr>
            <w:tcW w:w="4119" w:type="dxa"/>
            <w:vAlign w:val="center"/>
          </w:tcPr>
          <w:p w:rsidR="00475650" w:rsidRDefault="00475650">
            <w:pPr>
              <w:jc w:val="center"/>
            </w:pPr>
            <w:r>
              <w:rPr>
                <w:rFonts w:hAnsi="宋体"/>
                <w:kern w:val="0"/>
                <w:szCs w:val="21"/>
              </w:rPr>
              <w:t>地下水上游</w:t>
            </w:r>
          </w:p>
        </w:tc>
      </w:tr>
      <w:tr w:rsidR="00475650">
        <w:trPr>
          <w:trHeight w:val="340"/>
        </w:trPr>
        <w:tc>
          <w:tcPr>
            <w:tcW w:w="1456" w:type="dxa"/>
            <w:vAlign w:val="center"/>
          </w:tcPr>
          <w:p w:rsidR="00475650" w:rsidRDefault="00475650">
            <w:pPr>
              <w:jc w:val="center"/>
            </w:pPr>
            <w:r>
              <w:rPr>
                <w:snapToGrid w:val="0"/>
                <w:kern w:val="0"/>
                <w:szCs w:val="21"/>
              </w:rPr>
              <w:t>W6</w:t>
            </w:r>
          </w:p>
        </w:tc>
        <w:tc>
          <w:tcPr>
            <w:tcW w:w="3371" w:type="dxa"/>
            <w:vAlign w:val="center"/>
          </w:tcPr>
          <w:p w:rsidR="00475650" w:rsidRDefault="00475650">
            <w:pPr>
              <w:jc w:val="center"/>
            </w:pPr>
            <w:r>
              <w:rPr>
                <w:rFonts w:hAnsi="宋体"/>
              </w:rPr>
              <w:t>杨桥村黄泥冲居民水井</w:t>
            </w:r>
          </w:p>
        </w:tc>
        <w:tc>
          <w:tcPr>
            <w:tcW w:w="4119" w:type="dxa"/>
            <w:vAlign w:val="center"/>
          </w:tcPr>
          <w:p w:rsidR="00475650" w:rsidRDefault="00475650">
            <w:pPr>
              <w:jc w:val="center"/>
            </w:pPr>
            <w:r>
              <w:rPr>
                <w:rFonts w:hAnsi="宋体"/>
                <w:kern w:val="0"/>
                <w:szCs w:val="21"/>
              </w:rPr>
              <w:t>地下水上游</w:t>
            </w:r>
          </w:p>
        </w:tc>
      </w:tr>
      <w:tr w:rsidR="00475650">
        <w:trPr>
          <w:trHeight w:val="340"/>
        </w:trPr>
        <w:tc>
          <w:tcPr>
            <w:tcW w:w="1456" w:type="dxa"/>
            <w:vAlign w:val="center"/>
          </w:tcPr>
          <w:p w:rsidR="00475650" w:rsidRDefault="00475650">
            <w:pPr>
              <w:jc w:val="center"/>
            </w:pPr>
            <w:r>
              <w:rPr>
                <w:snapToGrid w:val="0"/>
                <w:kern w:val="0"/>
                <w:szCs w:val="21"/>
              </w:rPr>
              <w:t>W7</w:t>
            </w:r>
          </w:p>
        </w:tc>
        <w:tc>
          <w:tcPr>
            <w:tcW w:w="3371" w:type="dxa"/>
            <w:vAlign w:val="center"/>
          </w:tcPr>
          <w:p w:rsidR="00475650" w:rsidRDefault="00475650">
            <w:pPr>
              <w:jc w:val="center"/>
            </w:pPr>
            <w:r>
              <w:rPr>
                <w:rFonts w:hAnsi="宋体"/>
              </w:rPr>
              <w:t>鸭栏村胡家埠居民水井</w:t>
            </w:r>
          </w:p>
        </w:tc>
        <w:tc>
          <w:tcPr>
            <w:tcW w:w="4119" w:type="dxa"/>
            <w:vAlign w:val="center"/>
          </w:tcPr>
          <w:p w:rsidR="00475650" w:rsidRDefault="00475650">
            <w:pPr>
              <w:jc w:val="center"/>
            </w:pPr>
            <w:r>
              <w:rPr>
                <w:rFonts w:hAnsi="宋体"/>
                <w:kern w:val="0"/>
                <w:szCs w:val="21"/>
              </w:rPr>
              <w:t>地下水侧方向</w:t>
            </w:r>
          </w:p>
        </w:tc>
      </w:tr>
    </w:tbl>
    <w:p w:rsidR="00475650" w:rsidRDefault="00475650">
      <w:pPr>
        <w:spacing w:line="360" w:lineRule="auto"/>
        <w:ind w:firstLineChars="200" w:firstLine="480"/>
        <w:rPr>
          <w:rStyle w:val="2Char1Char"/>
          <w:rFonts w:ascii="Times New Roman" w:eastAsia="宋体" w:hAnsi="Times New Roman"/>
          <w:b w:val="0"/>
          <w:sz w:val="24"/>
          <w:szCs w:val="24"/>
        </w:rPr>
      </w:pPr>
      <w:r>
        <w:rPr>
          <w:rStyle w:val="2Char1Char"/>
          <w:rFonts w:ascii="Times New Roman" w:eastAsia="宋体" w:hAnsi="宋体"/>
          <w:b w:val="0"/>
          <w:sz w:val="24"/>
          <w:szCs w:val="24"/>
        </w:rPr>
        <w:t>二、监测项目</w:t>
      </w:r>
      <w:r>
        <w:rPr>
          <w:rStyle w:val="2Char1Char"/>
          <w:rFonts w:ascii="Times New Roman" w:eastAsia="宋体" w:hAnsi="Times New Roman"/>
          <w:b w:val="0"/>
          <w:sz w:val="24"/>
          <w:szCs w:val="24"/>
        </w:rPr>
        <w:t xml:space="preserve">                                          </w:t>
      </w:r>
    </w:p>
    <w:p w:rsidR="00475650" w:rsidRDefault="00475650" w:rsidP="00475650">
      <w:pPr>
        <w:overflowPunct w:val="0"/>
        <w:autoSpaceDE w:val="0"/>
        <w:autoSpaceDN w:val="0"/>
        <w:adjustRightInd w:val="0"/>
        <w:spacing w:line="360" w:lineRule="auto"/>
        <w:ind w:firstLineChars="182" w:firstLine="437"/>
        <w:textAlignment w:val="baseline"/>
        <w:rPr>
          <w:kern w:val="0"/>
          <w:sz w:val="24"/>
        </w:rPr>
      </w:pPr>
      <w:r>
        <w:rPr>
          <w:rFonts w:hAnsi="宋体"/>
          <w:kern w:val="0"/>
          <w:sz w:val="24"/>
        </w:rPr>
        <w:t>监测项目包括</w:t>
      </w:r>
      <w:r>
        <w:rPr>
          <w:kern w:val="0"/>
          <w:sz w:val="24"/>
        </w:rPr>
        <w:t>pH</w:t>
      </w:r>
      <w:r>
        <w:rPr>
          <w:rFonts w:hAnsi="宋体"/>
          <w:kern w:val="0"/>
          <w:sz w:val="24"/>
        </w:rPr>
        <w:t>、总硬度、高锰酸钾指数、硝酸盐、氨氮、挥发酚、总大肠菌群、细菌总数共</w:t>
      </w:r>
      <w:r>
        <w:rPr>
          <w:rFonts w:hint="eastAsia"/>
          <w:kern w:val="0"/>
          <w:sz w:val="24"/>
        </w:rPr>
        <w:t>8</w:t>
      </w:r>
      <w:r>
        <w:rPr>
          <w:rFonts w:hAnsi="宋体"/>
          <w:kern w:val="0"/>
          <w:sz w:val="24"/>
        </w:rPr>
        <w:t>项。</w:t>
      </w:r>
      <w:r>
        <w:rPr>
          <w:kern w:val="0"/>
          <w:sz w:val="24"/>
        </w:rPr>
        <w:t xml:space="preserve">                                                                   </w:t>
      </w:r>
    </w:p>
    <w:p w:rsidR="00475650" w:rsidRDefault="00475650">
      <w:pPr>
        <w:spacing w:line="360" w:lineRule="auto"/>
        <w:ind w:firstLineChars="200" w:firstLine="480"/>
        <w:rPr>
          <w:rStyle w:val="2Char1Char"/>
          <w:rFonts w:ascii="Times New Roman" w:eastAsia="宋体" w:hAnsi="Times New Roman"/>
          <w:b w:val="0"/>
          <w:sz w:val="24"/>
          <w:szCs w:val="24"/>
        </w:rPr>
      </w:pPr>
      <w:r>
        <w:rPr>
          <w:rStyle w:val="2Char1Char"/>
          <w:rFonts w:ascii="Times New Roman" w:eastAsia="宋体" w:hAnsi="宋体"/>
          <w:b w:val="0"/>
          <w:sz w:val="24"/>
          <w:szCs w:val="24"/>
        </w:rPr>
        <w:t>三、监测结果</w:t>
      </w:r>
    </w:p>
    <w:p w:rsidR="00475650" w:rsidRDefault="00475650">
      <w:pPr>
        <w:widowControl/>
        <w:spacing w:line="360" w:lineRule="auto"/>
        <w:ind w:firstLineChars="200" w:firstLine="480"/>
        <w:jc w:val="left"/>
        <w:rPr>
          <w:kern w:val="0"/>
          <w:sz w:val="24"/>
        </w:rPr>
      </w:pPr>
      <w:r>
        <w:rPr>
          <w:rFonts w:hAnsi="宋体"/>
          <w:kern w:val="0"/>
          <w:sz w:val="24"/>
        </w:rPr>
        <w:t>地下水水质监测结果见表</w:t>
      </w:r>
      <w:r>
        <w:rPr>
          <w:kern w:val="0"/>
          <w:sz w:val="24"/>
        </w:rPr>
        <w:t>4.3-</w:t>
      </w:r>
      <w:r>
        <w:rPr>
          <w:rFonts w:hint="eastAsia"/>
          <w:kern w:val="0"/>
          <w:sz w:val="24"/>
        </w:rPr>
        <w:t>14</w:t>
      </w:r>
      <w:r>
        <w:rPr>
          <w:rFonts w:hAnsi="宋体"/>
          <w:kern w:val="0"/>
          <w:sz w:val="24"/>
        </w:rPr>
        <w:t>。</w:t>
      </w:r>
      <w:bookmarkStart w:id="703" w:name="_Toc362811233"/>
      <w:bookmarkStart w:id="704" w:name="_Toc435966246"/>
      <w:bookmarkStart w:id="705" w:name="_Toc436407869"/>
      <w:r>
        <w:rPr>
          <w:rFonts w:hAnsi="宋体"/>
          <w:kern w:val="0"/>
          <w:sz w:val="24"/>
        </w:rPr>
        <w:t>从表可知，</w:t>
      </w:r>
      <w:r>
        <w:rPr>
          <w:kern w:val="0"/>
          <w:sz w:val="24"/>
        </w:rPr>
        <w:t>4</w:t>
      </w:r>
      <w:r>
        <w:rPr>
          <w:rFonts w:hAnsi="宋体"/>
          <w:kern w:val="0"/>
          <w:sz w:val="24"/>
        </w:rPr>
        <w:t>个监测点的监测指标除细菌总数超标和杨桥村陈晓艳家水井的</w:t>
      </w:r>
      <w:r>
        <w:rPr>
          <w:kern w:val="0"/>
          <w:sz w:val="24"/>
        </w:rPr>
        <w:t>pH</w:t>
      </w:r>
      <w:r>
        <w:rPr>
          <w:rFonts w:hAnsi="宋体"/>
          <w:kern w:val="0"/>
          <w:sz w:val="24"/>
        </w:rPr>
        <w:t>值超标外，其他因子均达到</w:t>
      </w:r>
      <w:r>
        <w:rPr>
          <w:kern w:val="0"/>
          <w:sz w:val="24"/>
        </w:rPr>
        <w:t>GB/T14848-93</w:t>
      </w:r>
      <w:r>
        <w:rPr>
          <w:rFonts w:hAnsi="宋体"/>
          <w:kern w:val="0"/>
          <w:sz w:val="24"/>
        </w:rPr>
        <w:t>《地下水质量标准》</w:t>
      </w:r>
      <w:r>
        <w:rPr>
          <w:rFonts w:ascii="宋体" w:hAnsi="宋体"/>
          <w:kern w:val="0"/>
          <w:sz w:val="24"/>
        </w:rPr>
        <w:t>Ⅲ</w:t>
      </w:r>
      <w:r>
        <w:rPr>
          <w:rFonts w:hAnsi="宋体"/>
          <w:kern w:val="0"/>
          <w:sz w:val="24"/>
        </w:rPr>
        <w:t>类标准要求。区域地下水细菌总数超标原因主要为居民散排大量生活污水下渗所致。杨桥村地下水偏酸性，主要原因是酸雨引起地下水偏酸性或二氧化碳气体溶解于地下水形成碳酸，碳酸的离解使水中的碳酸氢根离子、氢离子增加，</w:t>
      </w:r>
      <w:r>
        <w:rPr>
          <w:kern w:val="0"/>
          <w:sz w:val="24"/>
        </w:rPr>
        <w:t>pH</w:t>
      </w:r>
      <w:r>
        <w:rPr>
          <w:rFonts w:hAnsi="宋体"/>
          <w:kern w:val="0"/>
          <w:sz w:val="24"/>
        </w:rPr>
        <w:t>值降低。</w:t>
      </w:r>
    </w:p>
    <w:bookmarkEnd w:id="703"/>
    <w:bookmarkEnd w:id="704"/>
    <w:bookmarkEnd w:id="705"/>
    <w:p w:rsidR="00475650" w:rsidRDefault="00475650">
      <w:pPr>
        <w:jc w:val="center"/>
        <w:rPr>
          <w:b/>
        </w:rPr>
      </w:pPr>
      <w:r>
        <w:rPr>
          <w:rFonts w:hAnsi="宋体"/>
          <w:b/>
        </w:rPr>
        <w:t>表</w:t>
      </w:r>
      <w:r>
        <w:rPr>
          <w:b/>
        </w:rPr>
        <w:t>4.3-</w:t>
      </w:r>
      <w:r>
        <w:rPr>
          <w:rFonts w:hint="eastAsia"/>
          <w:b/>
        </w:rPr>
        <w:t>14</w:t>
      </w:r>
      <w:r>
        <w:rPr>
          <w:b/>
        </w:rPr>
        <w:t xml:space="preserve">   </w:t>
      </w:r>
      <w:r>
        <w:rPr>
          <w:rFonts w:hAnsi="宋体"/>
          <w:b/>
        </w:rPr>
        <w:t>地下水环境质量现状监测结果表</w:t>
      </w:r>
      <w:r>
        <w:rPr>
          <w:b/>
        </w:rPr>
        <w:t xml:space="preserve">  </w:t>
      </w:r>
      <w:r>
        <w:rPr>
          <w:rFonts w:hAnsi="宋体"/>
          <w:b/>
        </w:rPr>
        <w:t>单位</w:t>
      </w:r>
      <w:r>
        <w:rPr>
          <w:b/>
        </w:rPr>
        <w:t>(mg/L)</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tblPr>
      <w:tblGrid>
        <w:gridCol w:w="706"/>
        <w:gridCol w:w="1010"/>
        <w:gridCol w:w="1049"/>
        <w:gridCol w:w="861"/>
        <w:gridCol w:w="861"/>
        <w:gridCol w:w="861"/>
        <w:gridCol w:w="610"/>
        <w:gridCol w:w="720"/>
        <w:gridCol w:w="850"/>
        <w:gridCol w:w="709"/>
        <w:gridCol w:w="850"/>
      </w:tblGrid>
      <w:tr w:rsidR="00475650">
        <w:trPr>
          <w:trHeight w:val="284"/>
          <w:jc w:val="center"/>
        </w:trPr>
        <w:tc>
          <w:tcPr>
            <w:tcW w:w="706" w:type="dxa"/>
            <w:vMerge w:val="restart"/>
            <w:vAlign w:val="center"/>
          </w:tcPr>
          <w:p w:rsidR="00475650" w:rsidRDefault="00475650">
            <w:pPr>
              <w:widowControl/>
              <w:snapToGrid w:val="0"/>
              <w:spacing w:line="216" w:lineRule="auto"/>
              <w:jc w:val="center"/>
              <w:rPr>
                <w:bCs/>
                <w:kern w:val="0"/>
                <w:szCs w:val="21"/>
              </w:rPr>
            </w:pPr>
            <w:r>
              <w:rPr>
                <w:rFonts w:hAnsi="宋体"/>
                <w:bCs/>
                <w:kern w:val="0"/>
                <w:szCs w:val="21"/>
              </w:rPr>
              <w:t>采样时间</w:t>
            </w:r>
          </w:p>
        </w:tc>
        <w:tc>
          <w:tcPr>
            <w:tcW w:w="1010" w:type="dxa"/>
            <w:vMerge w:val="restart"/>
            <w:vAlign w:val="center"/>
          </w:tcPr>
          <w:p w:rsidR="00475650" w:rsidRDefault="00475650">
            <w:pPr>
              <w:widowControl/>
              <w:snapToGrid w:val="0"/>
              <w:spacing w:line="216" w:lineRule="auto"/>
              <w:jc w:val="center"/>
              <w:rPr>
                <w:bCs/>
                <w:kern w:val="0"/>
                <w:szCs w:val="21"/>
              </w:rPr>
            </w:pPr>
            <w:r>
              <w:rPr>
                <w:rFonts w:hAnsi="宋体"/>
                <w:bCs/>
                <w:kern w:val="0"/>
                <w:szCs w:val="21"/>
              </w:rPr>
              <w:t>检测项目</w:t>
            </w:r>
          </w:p>
        </w:tc>
        <w:tc>
          <w:tcPr>
            <w:tcW w:w="3632" w:type="dxa"/>
            <w:gridSpan w:val="4"/>
            <w:vAlign w:val="center"/>
          </w:tcPr>
          <w:p w:rsidR="00475650" w:rsidRDefault="00475650">
            <w:pPr>
              <w:widowControl/>
              <w:snapToGrid w:val="0"/>
              <w:spacing w:line="216" w:lineRule="auto"/>
              <w:jc w:val="center"/>
              <w:rPr>
                <w:bCs/>
                <w:kern w:val="0"/>
                <w:szCs w:val="21"/>
              </w:rPr>
            </w:pPr>
            <w:r>
              <w:rPr>
                <w:rFonts w:hAnsi="宋体"/>
                <w:bCs/>
                <w:kern w:val="0"/>
                <w:szCs w:val="21"/>
              </w:rPr>
              <w:t>采样点位及检测结果</w:t>
            </w:r>
          </w:p>
        </w:tc>
        <w:tc>
          <w:tcPr>
            <w:tcW w:w="610" w:type="dxa"/>
            <w:vMerge w:val="restart"/>
            <w:vAlign w:val="center"/>
          </w:tcPr>
          <w:p w:rsidR="00475650" w:rsidRDefault="00475650">
            <w:pPr>
              <w:snapToGrid w:val="0"/>
              <w:spacing w:line="216" w:lineRule="auto"/>
              <w:jc w:val="center"/>
              <w:rPr>
                <w:kern w:val="0"/>
                <w:szCs w:val="21"/>
              </w:rPr>
            </w:pPr>
            <w:r>
              <w:rPr>
                <w:rFonts w:hAnsi="宋体"/>
                <w:kern w:val="0"/>
                <w:szCs w:val="21"/>
              </w:rPr>
              <w:t>标准</w:t>
            </w:r>
          </w:p>
        </w:tc>
        <w:tc>
          <w:tcPr>
            <w:tcW w:w="3129" w:type="dxa"/>
            <w:gridSpan w:val="4"/>
            <w:vAlign w:val="center"/>
          </w:tcPr>
          <w:p w:rsidR="00475650" w:rsidRDefault="00475650">
            <w:pPr>
              <w:widowControl/>
              <w:snapToGrid w:val="0"/>
              <w:spacing w:line="216" w:lineRule="auto"/>
              <w:jc w:val="center"/>
              <w:rPr>
                <w:kern w:val="0"/>
                <w:szCs w:val="21"/>
              </w:rPr>
            </w:pPr>
            <w:r>
              <w:rPr>
                <w:rFonts w:hAnsi="宋体"/>
                <w:kern w:val="0"/>
                <w:szCs w:val="21"/>
              </w:rPr>
              <w:t>标准指数</w:t>
            </w:r>
          </w:p>
        </w:tc>
      </w:tr>
      <w:tr w:rsidR="00475650">
        <w:trPr>
          <w:trHeight w:val="284"/>
          <w:jc w:val="center"/>
        </w:trPr>
        <w:tc>
          <w:tcPr>
            <w:tcW w:w="706" w:type="dxa"/>
            <w:vMerge/>
            <w:vAlign w:val="center"/>
          </w:tcPr>
          <w:p w:rsidR="00475650" w:rsidRDefault="00475650">
            <w:pPr>
              <w:widowControl/>
              <w:snapToGrid w:val="0"/>
              <w:spacing w:line="216" w:lineRule="auto"/>
              <w:jc w:val="left"/>
              <w:rPr>
                <w:bCs/>
                <w:kern w:val="0"/>
                <w:szCs w:val="21"/>
              </w:rPr>
            </w:pPr>
          </w:p>
        </w:tc>
        <w:tc>
          <w:tcPr>
            <w:tcW w:w="1010" w:type="dxa"/>
            <w:vMerge/>
            <w:vAlign w:val="center"/>
          </w:tcPr>
          <w:p w:rsidR="00475650" w:rsidRDefault="00475650">
            <w:pPr>
              <w:widowControl/>
              <w:snapToGrid w:val="0"/>
              <w:spacing w:line="216" w:lineRule="auto"/>
              <w:jc w:val="left"/>
              <w:rPr>
                <w:bCs/>
                <w:kern w:val="0"/>
                <w:szCs w:val="21"/>
              </w:rPr>
            </w:pPr>
          </w:p>
        </w:tc>
        <w:tc>
          <w:tcPr>
            <w:tcW w:w="1049" w:type="dxa"/>
            <w:vAlign w:val="center"/>
          </w:tcPr>
          <w:p w:rsidR="00475650" w:rsidRDefault="00475650">
            <w:pPr>
              <w:widowControl/>
              <w:snapToGrid w:val="0"/>
              <w:spacing w:line="216" w:lineRule="auto"/>
              <w:jc w:val="center"/>
              <w:rPr>
                <w:bCs/>
                <w:kern w:val="0"/>
                <w:szCs w:val="21"/>
              </w:rPr>
            </w:pPr>
            <w:r>
              <w:rPr>
                <w:rFonts w:hAnsi="宋体"/>
                <w:bCs/>
                <w:kern w:val="0"/>
                <w:szCs w:val="21"/>
              </w:rPr>
              <w:t>径港村郑玉兰家水井</w:t>
            </w:r>
          </w:p>
        </w:tc>
        <w:tc>
          <w:tcPr>
            <w:tcW w:w="861" w:type="dxa"/>
            <w:vAlign w:val="center"/>
          </w:tcPr>
          <w:p w:rsidR="00475650" w:rsidRDefault="00475650">
            <w:pPr>
              <w:widowControl/>
              <w:snapToGrid w:val="0"/>
              <w:spacing w:line="216" w:lineRule="auto"/>
              <w:jc w:val="center"/>
              <w:rPr>
                <w:bCs/>
                <w:kern w:val="0"/>
                <w:szCs w:val="21"/>
              </w:rPr>
            </w:pPr>
            <w:r>
              <w:rPr>
                <w:rFonts w:hAnsi="宋体"/>
                <w:bCs/>
                <w:kern w:val="0"/>
                <w:szCs w:val="21"/>
              </w:rPr>
              <w:t>杨桥村陈晓艳家水井</w:t>
            </w:r>
          </w:p>
        </w:tc>
        <w:tc>
          <w:tcPr>
            <w:tcW w:w="861" w:type="dxa"/>
            <w:vAlign w:val="center"/>
          </w:tcPr>
          <w:p w:rsidR="00475650" w:rsidRDefault="00475650">
            <w:pPr>
              <w:widowControl/>
              <w:snapToGrid w:val="0"/>
              <w:spacing w:line="216" w:lineRule="auto"/>
              <w:jc w:val="center"/>
              <w:rPr>
                <w:bCs/>
                <w:kern w:val="0"/>
                <w:szCs w:val="21"/>
              </w:rPr>
            </w:pPr>
            <w:r>
              <w:rPr>
                <w:rFonts w:hAnsi="宋体"/>
                <w:bCs/>
                <w:kern w:val="0"/>
                <w:szCs w:val="21"/>
              </w:rPr>
              <w:t>杨桥村黄泥冲黄权球家水井</w:t>
            </w:r>
          </w:p>
        </w:tc>
        <w:tc>
          <w:tcPr>
            <w:tcW w:w="861" w:type="dxa"/>
            <w:vAlign w:val="center"/>
          </w:tcPr>
          <w:p w:rsidR="00475650" w:rsidRDefault="00475650">
            <w:pPr>
              <w:widowControl/>
              <w:snapToGrid w:val="0"/>
              <w:spacing w:line="216" w:lineRule="auto"/>
              <w:jc w:val="center"/>
              <w:rPr>
                <w:bCs/>
                <w:kern w:val="0"/>
                <w:szCs w:val="21"/>
              </w:rPr>
            </w:pPr>
            <w:r>
              <w:rPr>
                <w:rFonts w:hAnsi="宋体"/>
                <w:bCs/>
                <w:kern w:val="0"/>
                <w:szCs w:val="21"/>
              </w:rPr>
              <w:t>鸭栏村胡家埠于志洪水井</w:t>
            </w:r>
          </w:p>
        </w:tc>
        <w:tc>
          <w:tcPr>
            <w:tcW w:w="610" w:type="dxa"/>
            <w:vMerge/>
            <w:vAlign w:val="center"/>
          </w:tcPr>
          <w:p w:rsidR="00475650" w:rsidRDefault="00475650">
            <w:pPr>
              <w:widowControl/>
              <w:snapToGrid w:val="0"/>
              <w:spacing w:line="216" w:lineRule="auto"/>
              <w:jc w:val="center"/>
              <w:rPr>
                <w:kern w:val="0"/>
                <w:szCs w:val="21"/>
              </w:rPr>
            </w:pPr>
          </w:p>
        </w:tc>
        <w:tc>
          <w:tcPr>
            <w:tcW w:w="720" w:type="dxa"/>
            <w:vAlign w:val="center"/>
          </w:tcPr>
          <w:p w:rsidR="00475650" w:rsidRDefault="00475650">
            <w:pPr>
              <w:widowControl/>
              <w:snapToGrid w:val="0"/>
              <w:spacing w:line="216" w:lineRule="auto"/>
              <w:jc w:val="center"/>
              <w:rPr>
                <w:bCs/>
                <w:kern w:val="0"/>
                <w:szCs w:val="21"/>
              </w:rPr>
            </w:pPr>
            <w:r>
              <w:rPr>
                <w:rFonts w:hAnsi="宋体"/>
                <w:bCs/>
                <w:kern w:val="0"/>
                <w:szCs w:val="21"/>
              </w:rPr>
              <w:t>径港村郑玉兰家水井</w:t>
            </w:r>
          </w:p>
        </w:tc>
        <w:tc>
          <w:tcPr>
            <w:tcW w:w="850" w:type="dxa"/>
            <w:vAlign w:val="center"/>
          </w:tcPr>
          <w:p w:rsidR="00475650" w:rsidRDefault="00475650">
            <w:pPr>
              <w:widowControl/>
              <w:snapToGrid w:val="0"/>
              <w:spacing w:line="216" w:lineRule="auto"/>
              <w:jc w:val="center"/>
              <w:rPr>
                <w:bCs/>
                <w:kern w:val="0"/>
                <w:szCs w:val="21"/>
              </w:rPr>
            </w:pPr>
            <w:r>
              <w:rPr>
                <w:rFonts w:hAnsi="宋体"/>
                <w:bCs/>
                <w:kern w:val="0"/>
                <w:szCs w:val="21"/>
              </w:rPr>
              <w:t>杨桥村陈晓艳家水井</w:t>
            </w:r>
          </w:p>
        </w:tc>
        <w:tc>
          <w:tcPr>
            <w:tcW w:w="709" w:type="dxa"/>
            <w:vAlign w:val="center"/>
          </w:tcPr>
          <w:p w:rsidR="00475650" w:rsidRDefault="00475650">
            <w:pPr>
              <w:widowControl/>
              <w:snapToGrid w:val="0"/>
              <w:spacing w:line="216" w:lineRule="auto"/>
              <w:jc w:val="center"/>
              <w:rPr>
                <w:bCs/>
                <w:kern w:val="0"/>
                <w:szCs w:val="21"/>
              </w:rPr>
            </w:pPr>
            <w:r>
              <w:rPr>
                <w:rFonts w:hAnsi="宋体"/>
                <w:bCs/>
                <w:kern w:val="0"/>
                <w:szCs w:val="21"/>
              </w:rPr>
              <w:t>杨桥村黄泥冲黄权球家水井</w:t>
            </w:r>
          </w:p>
        </w:tc>
        <w:tc>
          <w:tcPr>
            <w:tcW w:w="850" w:type="dxa"/>
            <w:vAlign w:val="center"/>
          </w:tcPr>
          <w:p w:rsidR="00475650" w:rsidRDefault="00475650">
            <w:pPr>
              <w:widowControl/>
              <w:snapToGrid w:val="0"/>
              <w:spacing w:line="216" w:lineRule="auto"/>
              <w:jc w:val="center"/>
              <w:rPr>
                <w:bCs/>
                <w:kern w:val="0"/>
                <w:szCs w:val="21"/>
              </w:rPr>
            </w:pPr>
            <w:r>
              <w:rPr>
                <w:rFonts w:hAnsi="宋体"/>
                <w:bCs/>
                <w:kern w:val="0"/>
                <w:szCs w:val="21"/>
              </w:rPr>
              <w:t>鸭栏村胡家埠于志洪水井</w:t>
            </w:r>
          </w:p>
        </w:tc>
      </w:tr>
      <w:tr w:rsidR="00475650">
        <w:trPr>
          <w:trHeight w:val="284"/>
          <w:jc w:val="center"/>
        </w:trPr>
        <w:tc>
          <w:tcPr>
            <w:tcW w:w="706" w:type="dxa"/>
            <w:vMerge w:val="restart"/>
            <w:vAlign w:val="center"/>
          </w:tcPr>
          <w:p w:rsidR="00475650" w:rsidRDefault="00475650">
            <w:pPr>
              <w:widowControl/>
              <w:snapToGrid w:val="0"/>
              <w:spacing w:line="216" w:lineRule="auto"/>
              <w:jc w:val="center"/>
              <w:rPr>
                <w:kern w:val="0"/>
                <w:szCs w:val="21"/>
              </w:rPr>
            </w:pPr>
            <w:r>
              <w:rPr>
                <w:kern w:val="0"/>
                <w:szCs w:val="21"/>
              </w:rPr>
              <w:t>2015.11</w:t>
            </w:r>
          </w:p>
        </w:tc>
        <w:tc>
          <w:tcPr>
            <w:tcW w:w="1010" w:type="dxa"/>
            <w:vAlign w:val="center"/>
          </w:tcPr>
          <w:p w:rsidR="00475650" w:rsidRDefault="00475650">
            <w:pPr>
              <w:widowControl/>
              <w:snapToGrid w:val="0"/>
              <w:spacing w:line="216" w:lineRule="auto"/>
              <w:jc w:val="center"/>
              <w:rPr>
                <w:kern w:val="0"/>
                <w:szCs w:val="21"/>
              </w:rPr>
            </w:pPr>
            <w:r>
              <w:rPr>
                <w:kern w:val="0"/>
                <w:szCs w:val="21"/>
              </w:rPr>
              <w:t>pH</w:t>
            </w:r>
            <w:r>
              <w:rPr>
                <w:rFonts w:hAnsi="宋体"/>
                <w:kern w:val="0"/>
                <w:szCs w:val="21"/>
              </w:rPr>
              <w:t>值</w:t>
            </w:r>
          </w:p>
        </w:tc>
        <w:tc>
          <w:tcPr>
            <w:tcW w:w="1049" w:type="dxa"/>
            <w:vAlign w:val="center"/>
          </w:tcPr>
          <w:p w:rsidR="00475650" w:rsidRDefault="00475650">
            <w:pPr>
              <w:widowControl/>
              <w:snapToGrid w:val="0"/>
              <w:spacing w:line="216" w:lineRule="auto"/>
              <w:jc w:val="center"/>
              <w:rPr>
                <w:kern w:val="0"/>
                <w:szCs w:val="21"/>
              </w:rPr>
            </w:pPr>
            <w:r>
              <w:rPr>
                <w:kern w:val="0"/>
                <w:szCs w:val="21"/>
              </w:rPr>
              <w:t>6.7</w:t>
            </w:r>
          </w:p>
        </w:tc>
        <w:tc>
          <w:tcPr>
            <w:tcW w:w="861" w:type="dxa"/>
            <w:vAlign w:val="center"/>
          </w:tcPr>
          <w:p w:rsidR="00475650" w:rsidRDefault="00475650">
            <w:pPr>
              <w:widowControl/>
              <w:snapToGrid w:val="0"/>
              <w:spacing w:line="216" w:lineRule="auto"/>
              <w:jc w:val="center"/>
              <w:rPr>
                <w:kern w:val="0"/>
                <w:szCs w:val="21"/>
              </w:rPr>
            </w:pPr>
            <w:r>
              <w:rPr>
                <w:kern w:val="0"/>
                <w:szCs w:val="21"/>
              </w:rPr>
              <w:t>6.4</w:t>
            </w:r>
          </w:p>
        </w:tc>
        <w:tc>
          <w:tcPr>
            <w:tcW w:w="861" w:type="dxa"/>
            <w:vAlign w:val="center"/>
          </w:tcPr>
          <w:p w:rsidR="00475650" w:rsidRDefault="00475650">
            <w:pPr>
              <w:widowControl/>
              <w:snapToGrid w:val="0"/>
              <w:spacing w:line="216" w:lineRule="auto"/>
              <w:jc w:val="center"/>
              <w:rPr>
                <w:kern w:val="0"/>
                <w:szCs w:val="21"/>
              </w:rPr>
            </w:pPr>
            <w:r>
              <w:rPr>
                <w:kern w:val="0"/>
                <w:szCs w:val="21"/>
              </w:rPr>
              <w:t>6.6</w:t>
            </w:r>
          </w:p>
        </w:tc>
        <w:tc>
          <w:tcPr>
            <w:tcW w:w="861" w:type="dxa"/>
            <w:vAlign w:val="center"/>
          </w:tcPr>
          <w:p w:rsidR="00475650" w:rsidRDefault="00475650">
            <w:pPr>
              <w:widowControl/>
              <w:snapToGrid w:val="0"/>
              <w:spacing w:line="216" w:lineRule="auto"/>
              <w:jc w:val="center"/>
              <w:rPr>
                <w:kern w:val="0"/>
                <w:szCs w:val="21"/>
              </w:rPr>
            </w:pPr>
            <w:r>
              <w:rPr>
                <w:kern w:val="0"/>
                <w:szCs w:val="21"/>
              </w:rPr>
              <w:t>7.12</w:t>
            </w:r>
          </w:p>
        </w:tc>
        <w:tc>
          <w:tcPr>
            <w:tcW w:w="610" w:type="dxa"/>
            <w:vAlign w:val="center"/>
          </w:tcPr>
          <w:p w:rsidR="00475650" w:rsidRDefault="00475650">
            <w:pPr>
              <w:widowControl/>
              <w:snapToGrid w:val="0"/>
              <w:spacing w:line="216" w:lineRule="auto"/>
              <w:jc w:val="center"/>
              <w:rPr>
                <w:kern w:val="0"/>
                <w:szCs w:val="21"/>
              </w:rPr>
            </w:pPr>
            <w:r>
              <w:rPr>
                <w:kern w:val="0"/>
                <w:szCs w:val="21"/>
              </w:rPr>
              <w:t>6.5-8.5</w:t>
            </w:r>
          </w:p>
        </w:tc>
        <w:tc>
          <w:tcPr>
            <w:tcW w:w="720" w:type="dxa"/>
            <w:vAlign w:val="center"/>
          </w:tcPr>
          <w:p w:rsidR="00475650" w:rsidRDefault="00475650">
            <w:pPr>
              <w:snapToGrid w:val="0"/>
              <w:spacing w:line="216" w:lineRule="auto"/>
              <w:jc w:val="center"/>
              <w:rPr>
                <w:szCs w:val="21"/>
              </w:rPr>
            </w:pPr>
            <w:r>
              <w:rPr>
                <w:szCs w:val="21"/>
              </w:rPr>
              <w:t>0.6</w:t>
            </w:r>
          </w:p>
        </w:tc>
        <w:tc>
          <w:tcPr>
            <w:tcW w:w="850" w:type="dxa"/>
            <w:vAlign w:val="center"/>
          </w:tcPr>
          <w:p w:rsidR="00475650" w:rsidRDefault="00475650">
            <w:pPr>
              <w:snapToGrid w:val="0"/>
              <w:spacing w:line="216" w:lineRule="auto"/>
              <w:jc w:val="center"/>
              <w:rPr>
                <w:b/>
                <w:szCs w:val="21"/>
              </w:rPr>
            </w:pPr>
            <w:r>
              <w:rPr>
                <w:b/>
                <w:szCs w:val="21"/>
              </w:rPr>
              <w:t>1.2</w:t>
            </w:r>
          </w:p>
        </w:tc>
        <w:tc>
          <w:tcPr>
            <w:tcW w:w="709" w:type="dxa"/>
            <w:vAlign w:val="center"/>
          </w:tcPr>
          <w:p w:rsidR="00475650" w:rsidRDefault="00475650">
            <w:pPr>
              <w:snapToGrid w:val="0"/>
              <w:spacing w:line="216" w:lineRule="auto"/>
              <w:jc w:val="center"/>
              <w:rPr>
                <w:szCs w:val="21"/>
              </w:rPr>
            </w:pPr>
            <w:r>
              <w:rPr>
                <w:szCs w:val="21"/>
              </w:rPr>
              <w:t>0.8</w:t>
            </w:r>
          </w:p>
        </w:tc>
        <w:tc>
          <w:tcPr>
            <w:tcW w:w="850" w:type="dxa"/>
            <w:vAlign w:val="center"/>
          </w:tcPr>
          <w:p w:rsidR="00475650" w:rsidRDefault="00475650">
            <w:pPr>
              <w:snapToGrid w:val="0"/>
              <w:spacing w:line="216" w:lineRule="auto"/>
              <w:jc w:val="center"/>
              <w:rPr>
                <w:szCs w:val="21"/>
              </w:rPr>
            </w:pPr>
            <w:r>
              <w:rPr>
                <w:szCs w:val="21"/>
              </w:rPr>
              <w:t>0.08</w:t>
            </w:r>
          </w:p>
        </w:tc>
      </w:tr>
      <w:tr w:rsidR="00475650">
        <w:trPr>
          <w:trHeight w:val="284"/>
          <w:jc w:val="center"/>
        </w:trPr>
        <w:tc>
          <w:tcPr>
            <w:tcW w:w="706" w:type="dxa"/>
            <w:vMerge/>
            <w:vAlign w:val="center"/>
          </w:tcPr>
          <w:p w:rsidR="00475650" w:rsidRDefault="00475650">
            <w:pPr>
              <w:widowControl/>
              <w:snapToGrid w:val="0"/>
              <w:spacing w:line="216" w:lineRule="auto"/>
              <w:jc w:val="left"/>
              <w:rPr>
                <w:kern w:val="0"/>
                <w:szCs w:val="21"/>
              </w:rPr>
            </w:pPr>
          </w:p>
        </w:tc>
        <w:tc>
          <w:tcPr>
            <w:tcW w:w="1010" w:type="dxa"/>
            <w:vAlign w:val="center"/>
          </w:tcPr>
          <w:p w:rsidR="00475650" w:rsidRDefault="00475650">
            <w:pPr>
              <w:widowControl/>
              <w:snapToGrid w:val="0"/>
              <w:spacing w:line="216" w:lineRule="auto"/>
              <w:jc w:val="center"/>
              <w:rPr>
                <w:kern w:val="0"/>
                <w:szCs w:val="21"/>
              </w:rPr>
            </w:pPr>
            <w:r>
              <w:rPr>
                <w:rFonts w:hAnsi="宋体"/>
                <w:kern w:val="0"/>
                <w:szCs w:val="21"/>
              </w:rPr>
              <w:t>总硬度</w:t>
            </w:r>
          </w:p>
        </w:tc>
        <w:tc>
          <w:tcPr>
            <w:tcW w:w="1049" w:type="dxa"/>
            <w:vAlign w:val="center"/>
          </w:tcPr>
          <w:p w:rsidR="00475650" w:rsidRDefault="00475650">
            <w:pPr>
              <w:widowControl/>
              <w:snapToGrid w:val="0"/>
              <w:spacing w:line="216" w:lineRule="auto"/>
              <w:jc w:val="center"/>
              <w:rPr>
                <w:kern w:val="0"/>
                <w:szCs w:val="21"/>
              </w:rPr>
            </w:pPr>
            <w:r>
              <w:rPr>
                <w:kern w:val="0"/>
                <w:szCs w:val="21"/>
              </w:rPr>
              <w:t>1.92</w:t>
            </w:r>
          </w:p>
        </w:tc>
        <w:tc>
          <w:tcPr>
            <w:tcW w:w="861" w:type="dxa"/>
            <w:vAlign w:val="center"/>
          </w:tcPr>
          <w:p w:rsidR="00475650" w:rsidRDefault="00475650">
            <w:pPr>
              <w:widowControl/>
              <w:snapToGrid w:val="0"/>
              <w:spacing w:line="216" w:lineRule="auto"/>
              <w:jc w:val="center"/>
              <w:rPr>
                <w:kern w:val="0"/>
                <w:szCs w:val="21"/>
              </w:rPr>
            </w:pPr>
            <w:r>
              <w:rPr>
                <w:kern w:val="0"/>
                <w:szCs w:val="21"/>
              </w:rPr>
              <w:t>0.6</w:t>
            </w:r>
          </w:p>
        </w:tc>
        <w:tc>
          <w:tcPr>
            <w:tcW w:w="861" w:type="dxa"/>
            <w:vAlign w:val="center"/>
          </w:tcPr>
          <w:p w:rsidR="00475650" w:rsidRDefault="00475650">
            <w:pPr>
              <w:widowControl/>
              <w:snapToGrid w:val="0"/>
              <w:spacing w:line="216" w:lineRule="auto"/>
              <w:jc w:val="center"/>
              <w:rPr>
                <w:kern w:val="0"/>
                <w:szCs w:val="21"/>
              </w:rPr>
            </w:pPr>
            <w:r>
              <w:rPr>
                <w:kern w:val="0"/>
                <w:szCs w:val="21"/>
              </w:rPr>
              <w:t>0.2</w:t>
            </w:r>
          </w:p>
        </w:tc>
        <w:tc>
          <w:tcPr>
            <w:tcW w:w="861" w:type="dxa"/>
            <w:vAlign w:val="center"/>
          </w:tcPr>
          <w:p w:rsidR="00475650" w:rsidRDefault="00475650">
            <w:pPr>
              <w:widowControl/>
              <w:snapToGrid w:val="0"/>
              <w:spacing w:line="216" w:lineRule="auto"/>
              <w:jc w:val="center"/>
              <w:rPr>
                <w:kern w:val="0"/>
                <w:szCs w:val="21"/>
              </w:rPr>
            </w:pPr>
            <w:r>
              <w:rPr>
                <w:kern w:val="0"/>
                <w:szCs w:val="21"/>
              </w:rPr>
              <w:t>4.6</w:t>
            </w:r>
          </w:p>
        </w:tc>
        <w:tc>
          <w:tcPr>
            <w:tcW w:w="610" w:type="dxa"/>
            <w:vAlign w:val="center"/>
          </w:tcPr>
          <w:p w:rsidR="00475650" w:rsidRDefault="00475650">
            <w:pPr>
              <w:widowControl/>
              <w:snapToGrid w:val="0"/>
              <w:spacing w:line="216" w:lineRule="auto"/>
              <w:jc w:val="center"/>
              <w:rPr>
                <w:kern w:val="0"/>
                <w:szCs w:val="21"/>
              </w:rPr>
            </w:pPr>
            <w:r>
              <w:rPr>
                <w:kern w:val="0"/>
                <w:szCs w:val="21"/>
              </w:rPr>
              <w:t>450</w:t>
            </w:r>
          </w:p>
        </w:tc>
        <w:tc>
          <w:tcPr>
            <w:tcW w:w="720" w:type="dxa"/>
            <w:vAlign w:val="center"/>
          </w:tcPr>
          <w:p w:rsidR="00475650" w:rsidRDefault="00475650">
            <w:pPr>
              <w:widowControl/>
              <w:snapToGrid w:val="0"/>
              <w:spacing w:line="216" w:lineRule="auto"/>
              <w:jc w:val="center"/>
              <w:rPr>
                <w:kern w:val="0"/>
                <w:szCs w:val="21"/>
              </w:rPr>
            </w:pPr>
            <w:r>
              <w:rPr>
                <w:kern w:val="0"/>
                <w:szCs w:val="21"/>
              </w:rPr>
              <w:t xml:space="preserve">0.0043 </w:t>
            </w:r>
          </w:p>
        </w:tc>
        <w:tc>
          <w:tcPr>
            <w:tcW w:w="850" w:type="dxa"/>
            <w:vAlign w:val="center"/>
          </w:tcPr>
          <w:p w:rsidR="00475650" w:rsidRDefault="00475650">
            <w:pPr>
              <w:widowControl/>
              <w:snapToGrid w:val="0"/>
              <w:spacing w:line="216" w:lineRule="auto"/>
              <w:jc w:val="center"/>
              <w:rPr>
                <w:kern w:val="0"/>
                <w:szCs w:val="21"/>
              </w:rPr>
            </w:pPr>
            <w:r>
              <w:rPr>
                <w:kern w:val="0"/>
                <w:szCs w:val="21"/>
              </w:rPr>
              <w:t xml:space="preserve">0.0013 </w:t>
            </w:r>
          </w:p>
        </w:tc>
        <w:tc>
          <w:tcPr>
            <w:tcW w:w="709" w:type="dxa"/>
            <w:vAlign w:val="center"/>
          </w:tcPr>
          <w:p w:rsidR="00475650" w:rsidRDefault="00475650">
            <w:pPr>
              <w:widowControl/>
              <w:snapToGrid w:val="0"/>
              <w:spacing w:line="216" w:lineRule="auto"/>
              <w:jc w:val="center"/>
              <w:rPr>
                <w:kern w:val="0"/>
                <w:szCs w:val="21"/>
              </w:rPr>
            </w:pPr>
            <w:r>
              <w:rPr>
                <w:kern w:val="0"/>
                <w:szCs w:val="21"/>
              </w:rPr>
              <w:t xml:space="preserve">0.0004 </w:t>
            </w:r>
          </w:p>
        </w:tc>
        <w:tc>
          <w:tcPr>
            <w:tcW w:w="850" w:type="dxa"/>
            <w:vAlign w:val="center"/>
          </w:tcPr>
          <w:p w:rsidR="00475650" w:rsidRDefault="00475650">
            <w:pPr>
              <w:widowControl/>
              <w:snapToGrid w:val="0"/>
              <w:spacing w:line="216" w:lineRule="auto"/>
              <w:jc w:val="center"/>
              <w:rPr>
                <w:kern w:val="0"/>
                <w:szCs w:val="21"/>
              </w:rPr>
            </w:pPr>
            <w:r>
              <w:rPr>
                <w:kern w:val="0"/>
                <w:szCs w:val="21"/>
              </w:rPr>
              <w:t xml:space="preserve">0.0102 </w:t>
            </w:r>
          </w:p>
        </w:tc>
      </w:tr>
      <w:tr w:rsidR="00475650">
        <w:trPr>
          <w:trHeight w:val="284"/>
          <w:jc w:val="center"/>
        </w:trPr>
        <w:tc>
          <w:tcPr>
            <w:tcW w:w="706" w:type="dxa"/>
            <w:vMerge/>
            <w:vAlign w:val="center"/>
          </w:tcPr>
          <w:p w:rsidR="00475650" w:rsidRDefault="00475650">
            <w:pPr>
              <w:widowControl/>
              <w:snapToGrid w:val="0"/>
              <w:spacing w:line="216" w:lineRule="auto"/>
              <w:jc w:val="left"/>
              <w:rPr>
                <w:kern w:val="0"/>
                <w:szCs w:val="21"/>
              </w:rPr>
            </w:pPr>
          </w:p>
        </w:tc>
        <w:tc>
          <w:tcPr>
            <w:tcW w:w="1010" w:type="dxa"/>
            <w:vAlign w:val="center"/>
          </w:tcPr>
          <w:p w:rsidR="00475650" w:rsidRDefault="00475650">
            <w:pPr>
              <w:widowControl/>
              <w:snapToGrid w:val="0"/>
              <w:spacing w:line="216" w:lineRule="auto"/>
              <w:jc w:val="center"/>
              <w:rPr>
                <w:kern w:val="0"/>
                <w:szCs w:val="21"/>
              </w:rPr>
            </w:pPr>
            <w:r>
              <w:rPr>
                <w:rFonts w:hAnsi="宋体"/>
                <w:kern w:val="0"/>
                <w:szCs w:val="21"/>
              </w:rPr>
              <w:t>高锰酸盐指数</w:t>
            </w:r>
          </w:p>
        </w:tc>
        <w:tc>
          <w:tcPr>
            <w:tcW w:w="1049" w:type="dxa"/>
            <w:vAlign w:val="center"/>
          </w:tcPr>
          <w:p w:rsidR="00475650" w:rsidRDefault="00475650">
            <w:pPr>
              <w:widowControl/>
              <w:snapToGrid w:val="0"/>
              <w:spacing w:line="216" w:lineRule="auto"/>
              <w:jc w:val="center"/>
              <w:rPr>
                <w:kern w:val="0"/>
                <w:szCs w:val="21"/>
              </w:rPr>
            </w:pPr>
            <w:r>
              <w:rPr>
                <w:kern w:val="0"/>
                <w:szCs w:val="21"/>
              </w:rPr>
              <w:t>1.92</w:t>
            </w:r>
          </w:p>
        </w:tc>
        <w:tc>
          <w:tcPr>
            <w:tcW w:w="861" w:type="dxa"/>
            <w:vAlign w:val="center"/>
          </w:tcPr>
          <w:p w:rsidR="00475650" w:rsidRDefault="00475650">
            <w:pPr>
              <w:widowControl/>
              <w:snapToGrid w:val="0"/>
              <w:spacing w:line="216" w:lineRule="auto"/>
              <w:jc w:val="center"/>
              <w:rPr>
                <w:kern w:val="0"/>
                <w:szCs w:val="21"/>
              </w:rPr>
            </w:pPr>
            <w:r>
              <w:rPr>
                <w:kern w:val="0"/>
                <w:szCs w:val="21"/>
              </w:rPr>
              <w:t>1.65</w:t>
            </w:r>
          </w:p>
        </w:tc>
        <w:tc>
          <w:tcPr>
            <w:tcW w:w="861" w:type="dxa"/>
            <w:vAlign w:val="center"/>
          </w:tcPr>
          <w:p w:rsidR="00475650" w:rsidRDefault="00475650">
            <w:pPr>
              <w:widowControl/>
              <w:snapToGrid w:val="0"/>
              <w:spacing w:line="216" w:lineRule="auto"/>
              <w:jc w:val="center"/>
              <w:rPr>
                <w:kern w:val="0"/>
                <w:szCs w:val="21"/>
              </w:rPr>
            </w:pPr>
            <w:r>
              <w:rPr>
                <w:kern w:val="0"/>
                <w:szCs w:val="21"/>
              </w:rPr>
              <w:t>1.95</w:t>
            </w:r>
          </w:p>
        </w:tc>
        <w:tc>
          <w:tcPr>
            <w:tcW w:w="861" w:type="dxa"/>
            <w:vAlign w:val="center"/>
          </w:tcPr>
          <w:p w:rsidR="00475650" w:rsidRDefault="00475650">
            <w:pPr>
              <w:widowControl/>
              <w:snapToGrid w:val="0"/>
              <w:spacing w:line="216" w:lineRule="auto"/>
              <w:jc w:val="center"/>
              <w:rPr>
                <w:kern w:val="0"/>
                <w:szCs w:val="21"/>
              </w:rPr>
            </w:pPr>
            <w:r>
              <w:rPr>
                <w:kern w:val="0"/>
                <w:szCs w:val="21"/>
              </w:rPr>
              <w:t>1.49</w:t>
            </w:r>
          </w:p>
        </w:tc>
        <w:tc>
          <w:tcPr>
            <w:tcW w:w="610" w:type="dxa"/>
            <w:vAlign w:val="center"/>
          </w:tcPr>
          <w:p w:rsidR="00475650" w:rsidRDefault="00475650">
            <w:pPr>
              <w:widowControl/>
              <w:snapToGrid w:val="0"/>
              <w:spacing w:line="216" w:lineRule="auto"/>
              <w:jc w:val="center"/>
              <w:rPr>
                <w:kern w:val="0"/>
                <w:szCs w:val="21"/>
              </w:rPr>
            </w:pPr>
            <w:r>
              <w:rPr>
                <w:kern w:val="0"/>
                <w:szCs w:val="21"/>
              </w:rPr>
              <w:t>3</w:t>
            </w:r>
          </w:p>
        </w:tc>
        <w:tc>
          <w:tcPr>
            <w:tcW w:w="720" w:type="dxa"/>
            <w:vAlign w:val="center"/>
          </w:tcPr>
          <w:p w:rsidR="00475650" w:rsidRDefault="00475650">
            <w:pPr>
              <w:widowControl/>
              <w:snapToGrid w:val="0"/>
              <w:spacing w:line="216" w:lineRule="auto"/>
              <w:jc w:val="center"/>
              <w:rPr>
                <w:kern w:val="0"/>
                <w:szCs w:val="21"/>
              </w:rPr>
            </w:pPr>
            <w:r>
              <w:rPr>
                <w:kern w:val="0"/>
                <w:szCs w:val="21"/>
              </w:rPr>
              <w:t xml:space="preserve">0.6400 </w:t>
            </w:r>
          </w:p>
        </w:tc>
        <w:tc>
          <w:tcPr>
            <w:tcW w:w="850" w:type="dxa"/>
            <w:vAlign w:val="center"/>
          </w:tcPr>
          <w:p w:rsidR="00475650" w:rsidRDefault="00475650">
            <w:pPr>
              <w:widowControl/>
              <w:snapToGrid w:val="0"/>
              <w:spacing w:line="216" w:lineRule="auto"/>
              <w:jc w:val="center"/>
              <w:rPr>
                <w:kern w:val="0"/>
                <w:szCs w:val="21"/>
              </w:rPr>
            </w:pPr>
            <w:r>
              <w:rPr>
                <w:kern w:val="0"/>
                <w:szCs w:val="21"/>
              </w:rPr>
              <w:t xml:space="preserve">0.5500 </w:t>
            </w:r>
          </w:p>
        </w:tc>
        <w:tc>
          <w:tcPr>
            <w:tcW w:w="709" w:type="dxa"/>
            <w:vAlign w:val="center"/>
          </w:tcPr>
          <w:p w:rsidR="00475650" w:rsidRDefault="00475650">
            <w:pPr>
              <w:widowControl/>
              <w:snapToGrid w:val="0"/>
              <w:spacing w:line="216" w:lineRule="auto"/>
              <w:jc w:val="center"/>
              <w:rPr>
                <w:kern w:val="0"/>
                <w:szCs w:val="21"/>
              </w:rPr>
            </w:pPr>
            <w:r>
              <w:rPr>
                <w:kern w:val="0"/>
                <w:szCs w:val="21"/>
              </w:rPr>
              <w:t xml:space="preserve">0.6500 </w:t>
            </w:r>
          </w:p>
        </w:tc>
        <w:tc>
          <w:tcPr>
            <w:tcW w:w="850" w:type="dxa"/>
            <w:vAlign w:val="center"/>
          </w:tcPr>
          <w:p w:rsidR="00475650" w:rsidRDefault="00475650">
            <w:pPr>
              <w:widowControl/>
              <w:snapToGrid w:val="0"/>
              <w:spacing w:line="216" w:lineRule="auto"/>
              <w:jc w:val="center"/>
              <w:rPr>
                <w:kern w:val="0"/>
                <w:szCs w:val="21"/>
              </w:rPr>
            </w:pPr>
            <w:r>
              <w:rPr>
                <w:kern w:val="0"/>
                <w:szCs w:val="21"/>
              </w:rPr>
              <w:t xml:space="preserve">0.4967 </w:t>
            </w:r>
          </w:p>
        </w:tc>
      </w:tr>
      <w:tr w:rsidR="00475650">
        <w:trPr>
          <w:trHeight w:val="284"/>
          <w:jc w:val="center"/>
        </w:trPr>
        <w:tc>
          <w:tcPr>
            <w:tcW w:w="706" w:type="dxa"/>
            <w:vMerge/>
            <w:vAlign w:val="center"/>
          </w:tcPr>
          <w:p w:rsidR="00475650" w:rsidRDefault="00475650">
            <w:pPr>
              <w:widowControl/>
              <w:snapToGrid w:val="0"/>
              <w:spacing w:line="216" w:lineRule="auto"/>
              <w:jc w:val="left"/>
              <w:rPr>
                <w:kern w:val="0"/>
                <w:szCs w:val="21"/>
              </w:rPr>
            </w:pPr>
          </w:p>
        </w:tc>
        <w:tc>
          <w:tcPr>
            <w:tcW w:w="1010" w:type="dxa"/>
            <w:vAlign w:val="center"/>
          </w:tcPr>
          <w:p w:rsidR="00475650" w:rsidRDefault="00475650">
            <w:pPr>
              <w:widowControl/>
              <w:snapToGrid w:val="0"/>
              <w:spacing w:line="216" w:lineRule="auto"/>
              <w:jc w:val="center"/>
              <w:rPr>
                <w:kern w:val="0"/>
                <w:szCs w:val="21"/>
              </w:rPr>
            </w:pPr>
            <w:r>
              <w:rPr>
                <w:rFonts w:hAnsi="宋体"/>
                <w:kern w:val="0"/>
                <w:szCs w:val="21"/>
              </w:rPr>
              <w:t>硝酸盐</w:t>
            </w:r>
          </w:p>
        </w:tc>
        <w:tc>
          <w:tcPr>
            <w:tcW w:w="1049" w:type="dxa"/>
            <w:vAlign w:val="center"/>
          </w:tcPr>
          <w:p w:rsidR="00475650" w:rsidRDefault="00475650">
            <w:pPr>
              <w:widowControl/>
              <w:snapToGrid w:val="0"/>
              <w:spacing w:line="216" w:lineRule="auto"/>
              <w:jc w:val="center"/>
              <w:rPr>
                <w:kern w:val="0"/>
                <w:szCs w:val="21"/>
              </w:rPr>
            </w:pPr>
            <w:r>
              <w:rPr>
                <w:kern w:val="0"/>
                <w:szCs w:val="21"/>
              </w:rPr>
              <w:t>4.27</w:t>
            </w:r>
          </w:p>
        </w:tc>
        <w:tc>
          <w:tcPr>
            <w:tcW w:w="861" w:type="dxa"/>
            <w:vAlign w:val="center"/>
          </w:tcPr>
          <w:p w:rsidR="00475650" w:rsidRDefault="00475650">
            <w:pPr>
              <w:widowControl/>
              <w:snapToGrid w:val="0"/>
              <w:spacing w:line="216" w:lineRule="auto"/>
              <w:jc w:val="center"/>
              <w:rPr>
                <w:kern w:val="0"/>
                <w:szCs w:val="21"/>
              </w:rPr>
            </w:pPr>
            <w:r>
              <w:rPr>
                <w:kern w:val="0"/>
                <w:szCs w:val="21"/>
              </w:rPr>
              <w:t>2.37</w:t>
            </w:r>
          </w:p>
        </w:tc>
        <w:tc>
          <w:tcPr>
            <w:tcW w:w="861" w:type="dxa"/>
            <w:vAlign w:val="center"/>
          </w:tcPr>
          <w:p w:rsidR="00475650" w:rsidRDefault="00475650">
            <w:pPr>
              <w:widowControl/>
              <w:snapToGrid w:val="0"/>
              <w:spacing w:line="216" w:lineRule="auto"/>
              <w:jc w:val="center"/>
              <w:rPr>
                <w:kern w:val="0"/>
                <w:szCs w:val="21"/>
              </w:rPr>
            </w:pPr>
            <w:r>
              <w:rPr>
                <w:kern w:val="0"/>
                <w:szCs w:val="21"/>
              </w:rPr>
              <w:t>2.84</w:t>
            </w:r>
          </w:p>
        </w:tc>
        <w:tc>
          <w:tcPr>
            <w:tcW w:w="861" w:type="dxa"/>
            <w:vAlign w:val="center"/>
          </w:tcPr>
          <w:p w:rsidR="00475650" w:rsidRDefault="00475650">
            <w:pPr>
              <w:widowControl/>
              <w:snapToGrid w:val="0"/>
              <w:spacing w:line="216" w:lineRule="auto"/>
              <w:jc w:val="center"/>
              <w:rPr>
                <w:kern w:val="0"/>
                <w:szCs w:val="21"/>
              </w:rPr>
            </w:pPr>
            <w:r>
              <w:rPr>
                <w:kern w:val="0"/>
                <w:szCs w:val="21"/>
              </w:rPr>
              <w:t>10.6</w:t>
            </w:r>
          </w:p>
        </w:tc>
        <w:tc>
          <w:tcPr>
            <w:tcW w:w="610" w:type="dxa"/>
            <w:vAlign w:val="center"/>
          </w:tcPr>
          <w:p w:rsidR="00475650" w:rsidRDefault="00475650">
            <w:pPr>
              <w:widowControl/>
              <w:snapToGrid w:val="0"/>
              <w:spacing w:line="216" w:lineRule="auto"/>
              <w:jc w:val="center"/>
              <w:rPr>
                <w:kern w:val="0"/>
                <w:szCs w:val="21"/>
              </w:rPr>
            </w:pPr>
            <w:r>
              <w:rPr>
                <w:kern w:val="0"/>
                <w:szCs w:val="21"/>
              </w:rPr>
              <w:t>20</w:t>
            </w:r>
          </w:p>
        </w:tc>
        <w:tc>
          <w:tcPr>
            <w:tcW w:w="720" w:type="dxa"/>
            <w:vAlign w:val="center"/>
          </w:tcPr>
          <w:p w:rsidR="00475650" w:rsidRDefault="00475650">
            <w:pPr>
              <w:widowControl/>
              <w:snapToGrid w:val="0"/>
              <w:spacing w:line="216" w:lineRule="auto"/>
              <w:jc w:val="center"/>
              <w:rPr>
                <w:kern w:val="0"/>
                <w:szCs w:val="21"/>
              </w:rPr>
            </w:pPr>
            <w:r>
              <w:rPr>
                <w:kern w:val="0"/>
                <w:szCs w:val="21"/>
              </w:rPr>
              <w:t xml:space="preserve">0.2135 </w:t>
            </w:r>
          </w:p>
        </w:tc>
        <w:tc>
          <w:tcPr>
            <w:tcW w:w="850" w:type="dxa"/>
            <w:vAlign w:val="center"/>
          </w:tcPr>
          <w:p w:rsidR="00475650" w:rsidRDefault="00475650">
            <w:pPr>
              <w:widowControl/>
              <w:snapToGrid w:val="0"/>
              <w:spacing w:line="216" w:lineRule="auto"/>
              <w:jc w:val="center"/>
              <w:rPr>
                <w:kern w:val="0"/>
                <w:szCs w:val="21"/>
              </w:rPr>
            </w:pPr>
            <w:r>
              <w:rPr>
                <w:kern w:val="0"/>
                <w:szCs w:val="21"/>
              </w:rPr>
              <w:t xml:space="preserve">0.1185 </w:t>
            </w:r>
          </w:p>
        </w:tc>
        <w:tc>
          <w:tcPr>
            <w:tcW w:w="709" w:type="dxa"/>
            <w:vAlign w:val="center"/>
          </w:tcPr>
          <w:p w:rsidR="00475650" w:rsidRDefault="00475650">
            <w:pPr>
              <w:widowControl/>
              <w:snapToGrid w:val="0"/>
              <w:spacing w:line="216" w:lineRule="auto"/>
              <w:jc w:val="center"/>
              <w:rPr>
                <w:kern w:val="0"/>
                <w:szCs w:val="21"/>
              </w:rPr>
            </w:pPr>
            <w:r>
              <w:rPr>
                <w:kern w:val="0"/>
                <w:szCs w:val="21"/>
              </w:rPr>
              <w:t xml:space="preserve">0.1420 </w:t>
            </w:r>
          </w:p>
        </w:tc>
        <w:tc>
          <w:tcPr>
            <w:tcW w:w="850" w:type="dxa"/>
            <w:vAlign w:val="center"/>
          </w:tcPr>
          <w:p w:rsidR="00475650" w:rsidRDefault="00475650">
            <w:pPr>
              <w:widowControl/>
              <w:snapToGrid w:val="0"/>
              <w:spacing w:line="216" w:lineRule="auto"/>
              <w:jc w:val="center"/>
              <w:rPr>
                <w:kern w:val="0"/>
                <w:szCs w:val="21"/>
              </w:rPr>
            </w:pPr>
            <w:r>
              <w:rPr>
                <w:kern w:val="0"/>
                <w:szCs w:val="21"/>
              </w:rPr>
              <w:t xml:space="preserve">0.5300 </w:t>
            </w:r>
          </w:p>
        </w:tc>
      </w:tr>
      <w:tr w:rsidR="00475650">
        <w:trPr>
          <w:trHeight w:val="284"/>
          <w:jc w:val="center"/>
        </w:trPr>
        <w:tc>
          <w:tcPr>
            <w:tcW w:w="706" w:type="dxa"/>
            <w:vMerge/>
            <w:vAlign w:val="center"/>
          </w:tcPr>
          <w:p w:rsidR="00475650" w:rsidRDefault="00475650">
            <w:pPr>
              <w:widowControl/>
              <w:snapToGrid w:val="0"/>
              <w:spacing w:line="216" w:lineRule="auto"/>
              <w:jc w:val="left"/>
              <w:rPr>
                <w:kern w:val="0"/>
                <w:szCs w:val="21"/>
              </w:rPr>
            </w:pPr>
          </w:p>
        </w:tc>
        <w:tc>
          <w:tcPr>
            <w:tcW w:w="1010" w:type="dxa"/>
            <w:vAlign w:val="center"/>
          </w:tcPr>
          <w:p w:rsidR="00475650" w:rsidRDefault="00475650">
            <w:pPr>
              <w:widowControl/>
              <w:snapToGrid w:val="0"/>
              <w:spacing w:line="216" w:lineRule="auto"/>
              <w:jc w:val="center"/>
              <w:rPr>
                <w:kern w:val="0"/>
                <w:szCs w:val="21"/>
              </w:rPr>
            </w:pPr>
            <w:r>
              <w:rPr>
                <w:rFonts w:hAnsi="宋体"/>
                <w:kern w:val="0"/>
                <w:szCs w:val="21"/>
              </w:rPr>
              <w:t>氨氮</w:t>
            </w:r>
          </w:p>
        </w:tc>
        <w:tc>
          <w:tcPr>
            <w:tcW w:w="1049" w:type="dxa"/>
            <w:vAlign w:val="center"/>
          </w:tcPr>
          <w:p w:rsidR="00475650" w:rsidRDefault="00475650">
            <w:pPr>
              <w:widowControl/>
              <w:snapToGrid w:val="0"/>
              <w:spacing w:line="216" w:lineRule="auto"/>
              <w:jc w:val="center"/>
              <w:rPr>
                <w:kern w:val="0"/>
                <w:szCs w:val="21"/>
              </w:rPr>
            </w:pPr>
            <w:r>
              <w:rPr>
                <w:kern w:val="0"/>
                <w:szCs w:val="21"/>
              </w:rPr>
              <w:t>0.025(L)</w:t>
            </w:r>
          </w:p>
        </w:tc>
        <w:tc>
          <w:tcPr>
            <w:tcW w:w="861" w:type="dxa"/>
            <w:vAlign w:val="center"/>
          </w:tcPr>
          <w:p w:rsidR="00475650" w:rsidRDefault="00475650">
            <w:pPr>
              <w:widowControl/>
              <w:snapToGrid w:val="0"/>
              <w:spacing w:line="216" w:lineRule="auto"/>
              <w:jc w:val="center"/>
              <w:rPr>
                <w:kern w:val="0"/>
                <w:szCs w:val="21"/>
              </w:rPr>
            </w:pPr>
            <w:r>
              <w:rPr>
                <w:kern w:val="0"/>
                <w:szCs w:val="21"/>
              </w:rPr>
              <w:t>0.025(L)</w:t>
            </w:r>
          </w:p>
        </w:tc>
        <w:tc>
          <w:tcPr>
            <w:tcW w:w="861" w:type="dxa"/>
            <w:vAlign w:val="center"/>
          </w:tcPr>
          <w:p w:rsidR="00475650" w:rsidRDefault="00475650">
            <w:pPr>
              <w:widowControl/>
              <w:snapToGrid w:val="0"/>
              <w:spacing w:line="216" w:lineRule="auto"/>
              <w:jc w:val="center"/>
              <w:rPr>
                <w:kern w:val="0"/>
                <w:szCs w:val="21"/>
              </w:rPr>
            </w:pPr>
            <w:r>
              <w:rPr>
                <w:kern w:val="0"/>
                <w:szCs w:val="21"/>
              </w:rPr>
              <w:t>0.025(L)</w:t>
            </w:r>
          </w:p>
        </w:tc>
        <w:tc>
          <w:tcPr>
            <w:tcW w:w="861" w:type="dxa"/>
            <w:vAlign w:val="center"/>
          </w:tcPr>
          <w:p w:rsidR="00475650" w:rsidRDefault="00475650">
            <w:pPr>
              <w:widowControl/>
              <w:snapToGrid w:val="0"/>
              <w:spacing w:line="216" w:lineRule="auto"/>
              <w:jc w:val="center"/>
              <w:rPr>
                <w:kern w:val="0"/>
                <w:szCs w:val="21"/>
              </w:rPr>
            </w:pPr>
            <w:r>
              <w:rPr>
                <w:kern w:val="0"/>
                <w:szCs w:val="21"/>
              </w:rPr>
              <w:t>0.025(L)</w:t>
            </w:r>
          </w:p>
        </w:tc>
        <w:tc>
          <w:tcPr>
            <w:tcW w:w="610" w:type="dxa"/>
            <w:vAlign w:val="center"/>
          </w:tcPr>
          <w:p w:rsidR="00475650" w:rsidRDefault="00475650">
            <w:pPr>
              <w:widowControl/>
              <w:snapToGrid w:val="0"/>
              <w:spacing w:line="216" w:lineRule="auto"/>
              <w:jc w:val="center"/>
              <w:rPr>
                <w:kern w:val="0"/>
                <w:szCs w:val="21"/>
              </w:rPr>
            </w:pPr>
            <w:r>
              <w:rPr>
                <w:kern w:val="0"/>
                <w:szCs w:val="21"/>
              </w:rPr>
              <w:t>0.2</w:t>
            </w:r>
          </w:p>
        </w:tc>
        <w:tc>
          <w:tcPr>
            <w:tcW w:w="720" w:type="dxa"/>
            <w:vAlign w:val="center"/>
          </w:tcPr>
          <w:p w:rsidR="00475650" w:rsidRDefault="00475650">
            <w:pPr>
              <w:widowControl/>
              <w:snapToGrid w:val="0"/>
              <w:spacing w:line="216" w:lineRule="auto"/>
              <w:jc w:val="center"/>
              <w:rPr>
                <w:kern w:val="0"/>
                <w:szCs w:val="21"/>
              </w:rPr>
            </w:pPr>
            <w:r>
              <w:rPr>
                <w:kern w:val="0"/>
                <w:szCs w:val="21"/>
              </w:rPr>
              <w:t xml:space="preserve">0.0625 </w:t>
            </w:r>
          </w:p>
        </w:tc>
        <w:tc>
          <w:tcPr>
            <w:tcW w:w="850" w:type="dxa"/>
            <w:vAlign w:val="center"/>
          </w:tcPr>
          <w:p w:rsidR="00475650" w:rsidRDefault="00475650">
            <w:pPr>
              <w:widowControl/>
              <w:snapToGrid w:val="0"/>
              <w:spacing w:line="216" w:lineRule="auto"/>
              <w:jc w:val="center"/>
              <w:rPr>
                <w:kern w:val="0"/>
                <w:szCs w:val="21"/>
              </w:rPr>
            </w:pPr>
            <w:r>
              <w:rPr>
                <w:kern w:val="0"/>
                <w:szCs w:val="21"/>
              </w:rPr>
              <w:t xml:space="preserve">0.0625 </w:t>
            </w:r>
          </w:p>
        </w:tc>
        <w:tc>
          <w:tcPr>
            <w:tcW w:w="709" w:type="dxa"/>
            <w:vAlign w:val="center"/>
          </w:tcPr>
          <w:p w:rsidR="00475650" w:rsidRDefault="00475650">
            <w:pPr>
              <w:widowControl/>
              <w:snapToGrid w:val="0"/>
              <w:spacing w:line="216" w:lineRule="auto"/>
              <w:jc w:val="center"/>
              <w:rPr>
                <w:kern w:val="0"/>
                <w:szCs w:val="21"/>
              </w:rPr>
            </w:pPr>
            <w:r>
              <w:rPr>
                <w:kern w:val="0"/>
                <w:szCs w:val="21"/>
              </w:rPr>
              <w:t xml:space="preserve">0.0625 </w:t>
            </w:r>
          </w:p>
        </w:tc>
        <w:tc>
          <w:tcPr>
            <w:tcW w:w="850" w:type="dxa"/>
            <w:vAlign w:val="center"/>
          </w:tcPr>
          <w:p w:rsidR="00475650" w:rsidRDefault="00475650">
            <w:pPr>
              <w:widowControl/>
              <w:snapToGrid w:val="0"/>
              <w:spacing w:line="216" w:lineRule="auto"/>
              <w:jc w:val="center"/>
              <w:rPr>
                <w:kern w:val="0"/>
                <w:szCs w:val="21"/>
              </w:rPr>
            </w:pPr>
            <w:r>
              <w:rPr>
                <w:kern w:val="0"/>
                <w:szCs w:val="21"/>
              </w:rPr>
              <w:t xml:space="preserve">0.0625 </w:t>
            </w:r>
          </w:p>
        </w:tc>
      </w:tr>
      <w:tr w:rsidR="00475650">
        <w:trPr>
          <w:trHeight w:val="284"/>
          <w:jc w:val="center"/>
        </w:trPr>
        <w:tc>
          <w:tcPr>
            <w:tcW w:w="706" w:type="dxa"/>
            <w:vMerge/>
            <w:vAlign w:val="center"/>
          </w:tcPr>
          <w:p w:rsidR="00475650" w:rsidRDefault="00475650">
            <w:pPr>
              <w:widowControl/>
              <w:snapToGrid w:val="0"/>
              <w:spacing w:line="216" w:lineRule="auto"/>
              <w:jc w:val="left"/>
              <w:rPr>
                <w:kern w:val="0"/>
                <w:szCs w:val="21"/>
              </w:rPr>
            </w:pPr>
          </w:p>
        </w:tc>
        <w:tc>
          <w:tcPr>
            <w:tcW w:w="1010" w:type="dxa"/>
            <w:vAlign w:val="center"/>
          </w:tcPr>
          <w:p w:rsidR="00475650" w:rsidRDefault="00475650">
            <w:pPr>
              <w:widowControl/>
              <w:snapToGrid w:val="0"/>
              <w:spacing w:line="216" w:lineRule="auto"/>
              <w:jc w:val="center"/>
              <w:rPr>
                <w:kern w:val="0"/>
                <w:szCs w:val="21"/>
              </w:rPr>
            </w:pPr>
            <w:r>
              <w:rPr>
                <w:rFonts w:hAnsi="宋体"/>
                <w:kern w:val="0"/>
                <w:szCs w:val="21"/>
              </w:rPr>
              <w:t>挥发酚</w:t>
            </w:r>
          </w:p>
        </w:tc>
        <w:tc>
          <w:tcPr>
            <w:tcW w:w="1049" w:type="dxa"/>
            <w:vAlign w:val="center"/>
          </w:tcPr>
          <w:p w:rsidR="00475650" w:rsidRDefault="00475650">
            <w:pPr>
              <w:widowControl/>
              <w:snapToGrid w:val="0"/>
              <w:spacing w:line="216" w:lineRule="auto"/>
              <w:jc w:val="center"/>
              <w:rPr>
                <w:kern w:val="0"/>
                <w:szCs w:val="21"/>
              </w:rPr>
            </w:pPr>
            <w:r>
              <w:rPr>
                <w:kern w:val="0"/>
                <w:szCs w:val="21"/>
              </w:rPr>
              <w:t>0.0003(L)</w:t>
            </w:r>
          </w:p>
        </w:tc>
        <w:tc>
          <w:tcPr>
            <w:tcW w:w="861" w:type="dxa"/>
            <w:vAlign w:val="center"/>
          </w:tcPr>
          <w:p w:rsidR="00475650" w:rsidRDefault="00475650">
            <w:pPr>
              <w:widowControl/>
              <w:snapToGrid w:val="0"/>
              <w:spacing w:line="216" w:lineRule="auto"/>
              <w:jc w:val="center"/>
              <w:rPr>
                <w:kern w:val="0"/>
                <w:szCs w:val="21"/>
              </w:rPr>
            </w:pPr>
            <w:r>
              <w:rPr>
                <w:kern w:val="0"/>
                <w:szCs w:val="21"/>
              </w:rPr>
              <w:t>0.0003(L)</w:t>
            </w:r>
          </w:p>
        </w:tc>
        <w:tc>
          <w:tcPr>
            <w:tcW w:w="861" w:type="dxa"/>
            <w:vAlign w:val="center"/>
          </w:tcPr>
          <w:p w:rsidR="00475650" w:rsidRDefault="00475650">
            <w:pPr>
              <w:widowControl/>
              <w:snapToGrid w:val="0"/>
              <w:spacing w:line="216" w:lineRule="auto"/>
              <w:jc w:val="center"/>
              <w:rPr>
                <w:kern w:val="0"/>
                <w:szCs w:val="21"/>
              </w:rPr>
            </w:pPr>
            <w:r>
              <w:rPr>
                <w:kern w:val="0"/>
                <w:szCs w:val="21"/>
              </w:rPr>
              <w:t>0.0003(L)</w:t>
            </w:r>
          </w:p>
        </w:tc>
        <w:tc>
          <w:tcPr>
            <w:tcW w:w="861" w:type="dxa"/>
            <w:vAlign w:val="center"/>
          </w:tcPr>
          <w:p w:rsidR="00475650" w:rsidRDefault="00475650">
            <w:pPr>
              <w:widowControl/>
              <w:snapToGrid w:val="0"/>
              <w:spacing w:line="216" w:lineRule="auto"/>
              <w:jc w:val="center"/>
              <w:rPr>
                <w:kern w:val="0"/>
                <w:szCs w:val="21"/>
              </w:rPr>
            </w:pPr>
            <w:r>
              <w:rPr>
                <w:kern w:val="0"/>
                <w:szCs w:val="21"/>
              </w:rPr>
              <w:t>0.0003(L)</w:t>
            </w:r>
          </w:p>
        </w:tc>
        <w:tc>
          <w:tcPr>
            <w:tcW w:w="610" w:type="dxa"/>
            <w:vAlign w:val="center"/>
          </w:tcPr>
          <w:p w:rsidR="00475650" w:rsidRDefault="00475650">
            <w:pPr>
              <w:widowControl/>
              <w:snapToGrid w:val="0"/>
              <w:spacing w:line="216" w:lineRule="auto"/>
              <w:jc w:val="center"/>
              <w:rPr>
                <w:kern w:val="0"/>
                <w:szCs w:val="21"/>
              </w:rPr>
            </w:pPr>
            <w:r>
              <w:rPr>
                <w:kern w:val="0"/>
                <w:szCs w:val="21"/>
              </w:rPr>
              <w:t>0.002</w:t>
            </w:r>
          </w:p>
        </w:tc>
        <w:tc>
          <w:tcPr>
            <w:tcW w:w="720" w:type="dxa"/>
            <w:vAlign w:val="center"/>
          </w:tcPr>
          <w:p w:rsidR="00475650" w:rsidRDefault="00475650">
            <w:pPr>
              <w:widowControl/>
              <w:snapToGrid w:val="0"/>
              <w:spacing w:line="216" w:lineRule="auto"/>
              <w:jc w:val="center"/>
              <w:rPr>
                <w:kern w:val="0"/>
                <w:szCs w:val="21"/>
              </w:rPr>
            </w:pPr>
            <w:r>
              <w:rPr>
                <w:kern w:val="0"/>
                <w:szCs w:val="21"/>
              </w:rPr>
              <w:t xml:space="preserve">0.0750 </w:t>
            </w:r>
          </w:p>
        </w:tc>
        <w:tc>
          <w:tcPr>
            <w:tcW w:w="850" w:type="dxa"/>
            <w:vAlign w:val="center"/>
          </w:tcPr>
          <w:p w:rsidR="00475650" w:rsidRDefault="00475650">
            <w:pPr>
              <w:widowControl/>
              <w:snapToGrid w:val="0"/>
              <w:spacing w:line="216" w:lineRule="auto"/>
              <w:jc w:val="center"/>
              <w:rPr>
                <w:kern w:val="0"/>
                <w:szCs w:val="21"/>
              </w:rPr>
            </w:pPr>
            <w:r>
              <w:rPr>
                <w:kern w:val="0"/>
                <w:szCs w:val="21"/>
              </w:rPr>
              <w:t xml:space="preserve">0.0750 </w:t>
            </w:r>
          </w:p>
        </w:tc>
        <w:tc>
          <w:tcPr>
            <w:tcW w:w="709" w:type="dxa"/>
            <w:vAlign w:val="center"/>
          </w:tcPr>
          <w:p w:rsidR="00475650" w:rsidRDefault="00475650">
            <w:pPr>
              <w:widowControl/>
              <w:snapToGrid w:val="0"/>
              <w:spacing w:line="216" w:lineRule="auto"/>
              <w:jc w:val="center"/>
              <w:rPr>
                <w:kern w:val="0"/>
                <w:szCs w:val="21"/>
              </w:rPr>
            </w:pPr>
            <w:r>
              <w:rPr>
                <w:kern w:val="0"/>
                <w:szCs w:val="21"/>
              </w:rPr>
              <w:t xml:space="preserve">0.0750 </w:t>
            </w:r>
          </w:p>
        </w:tc>
        <w:tc>
          <w:tcPr>
            <w:tcW w:w="850" w:type="dxa"/>
            <w:vAlign w:val="center"/>
          </w:tcPr>
          <w:p w:rsidR="00475650" w:rsidRDefault="00475650">
            <w:pPr>
              <w:widowControl/>
              <w:snapToGrid w:val="0"/>
              <w:spacing w:line="216" w:lineRule="auto"/>
              <w:jc w:val="center"/>
              <w:rPr>
                <w:kern w:val="0"/>
                <w:szCs w:val="21"/>
              </w:rPr>
            </w:pPr>
            <w:r>
              <w:rPr>
                <w:kern w:val="0"/>
                <w:szCs w:val="21"/>
              </w:rPr>
              <w:t xml:space="preserve">0.0750 </w:t>
            </w:r>
          </w:p>
        </w:tc>
      </w:tr>
      <w:tr w:rsidR="00475650">
        <w:trPr>
          <w:trHeight w:val="284"/>
          <w:jc w:val="center"/>
        </w:trPr>
        <w:tc>
          <w:tcPr>
            <w:tcW w:w="706" w:type="dxa"/>
            <w:vMerge/>
            <w:vAlign w:val="center"/>
          </w:tcPr>
          <w:p w:rsidR="00475650" w:rsidRDefault="00475650">
            <w:pPr>
              <w:widowControl/>
              <w:snapToGrid w:val="0"/>
              <w:spacing w:line="216" w:lineRule="auto"/>
              <w:jc w:val="left"/>
              <w:rPr>
                <w:kern w:val="0"/>
                <w:szCs w:val="21"/>
              </w:rPr>
            </w:pPr>
          </w:p>
        </w:tc>
        <w:tc>
          <w:tcPr>
            <w:tcW w:w="1010" w:type="dxa"/>
            <w:vAlign w:val="center"/>
          </w:tcPr>
          <w:p w:rsidR="00475650" w:rsidRDefault="00475650">
            <w:pPr>
              <w:widowControl/>
              <w:snapToGrid w:val="0"/>
              <w:spacing w:line="216" w:lineRule="auto"/>
              <w:jc w:val="center"/>
              <w:rPr>
                <w:kern w:val="0"/>
                <w:szCs w:val="21"/>
              </w:rPr>
            </w:pPr>
            <w:r>
              <w:rPr>
                <w:rFonts w:hAnsi="宋体"/>
                <w:kern w:val="0"/>
                <w:szCs w:val="21"/>
              </w:rPr>
              <w:t>总大肠菌群（个</w:t>
            </w:r>
            <w:r>
              <w:rPr>
                <w:kern w:val="0"/>
                <w:szCs w:val="21"/>
              </w:rPr>
              <w:t>/</w:t>
            </w:r>
            <w:r>
              <w:rPr>
                <w:rFonts w:hAnsi="宋体"/>
                <w:kern w:val="0"/>
                <w:szCs w:val="21"/>
              </w:rPr>
              <w:t>升）</w:t>
            </w:r>
          </w:p>
        </w:tc>
        <w:tc>
          <w:tcPr>
            <w:tcW w:w="1049" w:type="dxa"/>
            <w:vAlign w:val="center"/>
          </w:tcPr>
          <w:p w:rsidR="00475650" w:rsidRDefault="00475650">
            <w:pPr>
              <w:widowControl/>
              <w:snapToGrid w:val="0"/>
              <w:spacing w:line="216" w:lineRule="auto"/>
              <w:jc w:val="center"/>
              <w:rPr>
                <w:kern w:val="0"/>
                <w:szCs w:val="21"/>
              </w:rPr>
            </w:pPr>
            <w:r>
              <w:rPr>
                <w:kern w:val="0"/>
                <w:szCs w:val="21"/>
              </w:rPr>
              <w:t>&lt;3</w:t>
            </w:r>
          </w:p>
        </w:tc>
        <w:tc>
          <w:tcPr>
            <w:tcW w:w="861" w:type="dxa"/>
            <w:vAlign w:val="center"/>
          </w:tcPr>
          <w:p w:rsidR="00475650" w:rsidRDefault="00475650">
            <w:pPr>
              <w:widowControl/>
              <w:snapToGrid w:val="0"/>
              <w:spacing w:line="216" w:lineRule="auto"/>
              <w:jc w:val="center"/>
              <w:rPr>
                <w:kern w:val="0"/>
                <w:szCs w:val="21"/>
              </w:rPr>
            </w:pPr>
            <w:r>
              <w:rPr>
                <w:kern w:val="0"/>
                <w:szCs w:val="21"/>
              </w:rPr>
              <w:t>&lt;3</w:t>
            </w:r>
          </w:p>
        </w:tc>
        <w:tc>
          <w:tcPr>
            <w:tcW w:w="861" w:type="dxa"/>
            <w:vAlign w:val="center"/>
          </w:tcPr>
          <w:p w:rsidR="00475650" w:rsidRDefault="00475650">
            <w:pPr>
              <w:widowControl/>
              <w:snapToGrid w:val="0"/>
              <w:spacing w:line="216" w:lineRule="auto"/>
              <w:jc w:val="center"/>
              <w:rPr>
                <w:kern w:val="0"/>
                <w:szCs w:val="21"/>
              </w:rPr>
            </w:pPr>
            <w:r>
              <w:rPr>
                <w:kern w:val="0"/>
                <w:szCs w:val="21"/>
              </w:rPr>
              <w:t>&lt;3</w:t>
            </w:r>
          </w:p>
        </w:tc>
        <w:tc>
          <w:tcPr>
            <w:tcW w:w="861" w:type="dxa"/>
            <w:vAlign w:val="center"/>
          </w:tcPr>
          <w:p w:rsidR="00475650" w:rsidRDefault="00475650">
            <w:pPr>
              <w:widowControl/>
              <w:snapToGrid w:val="0"/>
              <w:spacing w:line="216" w:lineRule="auto"/>
              <w:jc w:val="center"/>
              <w:rPr>
                <w:kern w:val="0"/>
                <w:szCs w:val="21"/>
              </w:rPr>
            </w:pPr>
            <w:r>
              <w:rPr>
                <w:kern w:val="0"/>
                <w:szCs w:val="21"/>
              </w:rPr>
              <w:t>&lt;3</w:t>
            </w:r>
          </w:p>
        </w:tc>
        <w:tc>
          <w:tcPr>
            <w:tcW w:w="610" w:type="dxa"/>
            <w:vAlign w:val="center"/>
          </w:tcPr>
          <w:p w:rsidR="00475650" w:rsidRDefault="00475650">
            <w:pPr>
              <w:widowControl/>
              <w:snapToGrid w:val="0"/>
              <w:spacing w:line="216" w:lineRule="auto"/>
              <w:jc w:val="center"/>
              <w:rPr>
                <w:kern w:val="0"/>
                <w:szCs w:val="21"/>
              </w:rPr>
            </w:pPr>
            <w:r>
              <w:rPr>
                <w:kern w:val="0"/>
                <w:szCs w:val="21"/>
              </w:rPr>
              <w:t>3</w:t>
            </w:r>
          </w:p>
        </w:tc>
        <w:tc>
          <w:tcPr>
            <w:tcW w:w="720" w:type="dxa"/>
            <w:vAlign w:val="center"/>
          </w:tcPr>
          <w:p w:rsidR="00475650" w:rsidRDefault="00475650">
            <w:pPr>
              <w:widowControl/>
              <w:snapToGrid w:val="0"/>
              <w:spacing w:line="216" w:lineRule="auto"/>
              <w:jc w:val="center"/>
              <w:rPr>
                <w:kern w:val="0"/>
                <w:szCs w:val="21"/>
              </w:rPr>
            </w:pPr>
            <w:r>
              <w:rPr>
                <w:kern w:val="0"/>
                <w:szCs w:val="21"/>
              </w:rPr>
              <w:t xml:space="preserve">0.5000 </w:t>
            </w:r>
          </w:p>
        </w:tc>
        <w:tc>
          <w:tcPr>
            <w:tcW w:w="850" w:type="dxa"/>
            <w:vAlign w:val="center"/>
          </w:tcPr>
          <w:p w:rsidR="00475650" w:rsidRDefault="00475650">
            <w:pPr>
              <w:widowControl/>
              <w:snapToGrid w:val="0"/>
              <w:spacing w:line="216" w:lineRule="auto"/>
              <w:jc w:val="center"/>
              <w:rPr>
                <w:kern w:val="0"/>
                <w:szCs w:val="21"/>
              </w:rPr>
            </w:pPr>
            <w:r>
              <w:rPr>
                <w:kern w:val="0"/>
                <w:szCs w:val="21"/>
              </w:rPr>
              <w:t xml:space="preserve">0.5000 </w:t>
            </w:r>
          </w:p>
        </w:tc>
        <w:tc>
          <w:tcPr>
            <w:tcW w:w="709" w:type="dxa"/>
            <w:vAlign w:val="center"/>
          </w:tcPr>
          <w:p w:rsidR="00475650" w:rsidRDefault="00475650">
            <w:pPr>
              <w:widowControl/>
              <w:snapToGrid w:val="0"/>
              <w:spacing w:line="216" w:lineRule="auto"/>
              <w:jc w:val="center"/>
              <w:rPr>
                <w:kern w:val="0"/>
                <w:szCs w:val="21"/>
              </w:rPr>
            </w:pPr>
            <w:r>
              <w:rPr>
                <w:kern w:val="0"/>
                <w:szCs w:val="21"/>
              </w:rPr>
              <w:t xml:space="preserve">0.5000 </w:t>
            </w:r>
          </w:p>
        </w:tc>
        <w:tc>
          <w:tcPr>
            <w:tcW w:w="850" w:type="dxa"/>
            <w:vAlign w:val="center"/>
          </w:tcPr>
          <w:p w:rsidR="00475650" w:rsidRDefault="00475650">
            <w:pPr>
              <w:widowControl/>
              <w:snapToGrid w:val="0"/>
              <w:spacing w:line="216" w:lineRule="auto"/>
              <w:jc w:val="center"/>
              <w:rPr>
                <w:kern w:val="0"/>
                <w:szCs w:val="21"/>
              </w:rPr>
            </w:pPr>
            <w:r>
              <w:rPr>
                <w:kern w:val="0"/>
                <w:szCs w:val="21"/>
              </w:rPr>
              <w:t xml:space="preserve">0.5000 </w:t>
            </w:r>
          </w:p>
        </w:tc>
      </w:tr>
      <w:tr w:rsidR="00475650">
        <w:trPr>
          <w:trHeight w:val="284"/>
          <w:jc w:val="center"/>
        </w:trPr>
        <w:tc>
          <w:tcPr>
            <w:tcW w:w="706" w:type="dxa"/>
            <w:vMerge/>
            <w:vAlign w:val="center"/>
          </w:tcPr>
          <w:p w:rsidR="00475650" w:rsidRDefault="00475650">
            <w:pPr>
              <w:widowControl/>
              <w:snapToGrid w:val="0"/>
              <w:spacing w:line="216" w:lineRule="auto"/>
              <w:jc w:val="left"/>
              <w:rPr>
                <w:kern w:val="0"/>
                <w:szCs w:val="21"/>
              </w:rPr>
            </w:pPr>
          </w:p>
        </w:tc>
        <w:tc>
          <w:tcPr>
            <w:tcW w:w="1010" w:type="dxa"/>
            <w:vAlign w:val="center"/>
          </w:tcPr>
          <w:p w:rsidR="00475650" w:rsidRDefault="00475650">
            <w:pPr>
              <w:widowControl/>
              <w:snapToGrid w:val="0"/>
              <w:spacing w:line="216" w:lineRule="auto"/>
              <w:jc w:val="center"/>
              <w:rPr>
                <w:kern w:val="0"/>
                <w:szCs w:val="21"/>
              </w:rPr>
            </w:pPr>
            <w:r>
              <w:rPr>
                <w:rFonts w:hAnsi="宋体"/>
                <w:kern w:val="0"/>
                <w:szCs w:val="21"/>
              </w:rPr>
              <w:t>细菌总数（个</w:t>
            </w:r>
            <w:r>
              <w:rPr>
                <w:kern w:val="0"/>
                <w:szCs w:val="21"/>
              </w:rPr>
              <w:t>/</w:t>
            </w:r>
            <w:r>
              <w:rPr>
                <w:rFonts w:hAnsi="宋体"/>
                <w:kern w:val="0"/>
                <w:szCs w:val="21"/>
              </w:rPr>
              <w:t>升）</w:t>
            </w:r>
          </w:p>
        </w:tc>
        <w:tc>
          <w:tcPr>
            <w:tcW w:w="1049" w:type="dxa"/>
            <w:vAlign w:val="center"/>
          </w:tcPr>
          <w:p w:rsidR="00475650" w:rsidRDefault="00475650">
            <w:pPr>
              <w:widowControl/>
              <w:snapToGrid w:val="0"/>
              <w:spacing w:line="216" w:lineRule="auto"/>
              <w:jc w:val="center"/>
              <w:rPr>
                <w:kern w:val="0"/>
                <w:szCs w:val="21"/>
              </w:rPr>
            </w:pPr>
            <w:r>
              <w:rPr>
                <w:kern w:val="0"/>
                <w:szCs w:val="21"/>
              </w:rPr>
              <w:t>170</w:t>
            </w:r>
          </w:p>
        </w:tc>
        <w:tc>
          <w:tcPr>
            <w:tcW w:w="861" w:type="dxa"/>
            <w:vAlign w:val="center"/>
          </w:tcPr>
          <w:p w:rsidR="00475650" w:rsidRDefault="00475650">
            <w:pPr>
              <w:widowControl/>
              <w:snapToGrid w:val="0"/>
              <w:spacing w:line="216" w:lineRule="auto"/>
              <w:jc w:val="center"/>
              <w:rPr>
                <w:kern w:val="0"/>
                <w:szCs w:val="21"/>
              </w:rPr>
            </w:pPr>
            <w:r>
              <w:rPr>
                <w:kern w:val="0"/>
                <w:szCs w:val="21"/>
              </w:rPr>
              <w:t>185</w:t>
            </w:r>
          </w:p>
        </w:tc>
        <w:tc>
          <w:tcPr>
            <w:tcW w:w="861" w:type="dxa"/>
            <w:vAlign w:val="center"/>
          </w:tcPr>
          <w:p w:rsidR="00475650" w:rsidRDefault="00475650">
            <w:pPr>
              <w:widowControl/>
              <w:snapToGrid w:val="0"/>
              <w:spacing w:line="216" w:lineRule="auto"/>
              <w:jc w:val="center"/>
              <w:rPr>
                <w:kern w:val="0"/>
                <w:szCs w:val="21"/>
              </w:rPr>
            </w:pPr>
            <w:r>
              <w:rPr>
                <w:kern w:val="0"/>
                <w:szCs w:val="21"/>
              </w:rPr>
              <w:t>80</w:t>
            </w:r>
          </w:p>
        </w:tc>
        <w:tc>
          <w:tcPr>
            <w:tcW w:w="861" w:type="dxa"/>
            <w:vAlign w:val="center"/>
          </w:tcPr>
          <w:p w:rsidR="00475650" w:rsidRDefault="00475650">
            <w:pPr>
              <w:widowControl/>
              <w:snapToGrid w:val="0"/>
              <w:spacing w:line="216" w:lineRule="auto"/>
              <w:jc w:val="center"/>
              <w:rPr>
                <w:kern w:val="0"/>
                <w:szCs w:val="21"/>
              </w:rPr>
            </w:pPr>
            <w:r>
              <w:rPr>
                <w:kern w:val="0"/>
                <w:szCs w:val="21"/>
              </w:rPr>
              <w:t>180</w:t>
            </w:r>
          </w:p>
        </w:tc>
        <w:tc>
          <w:tcPr>
            <w:tcW w:w="610" w:type="dxa"/>
            <w:vAlign w:val="center"/>
          </w:tcPr>
          <w:p w:rsidR="00475650" w:rsidRDefault="00475650">
            <w:pPr>
              <w:widowControl/>
              <w:snapToGrid w:val="0"/>
              <w:spacing w:line="216" w:lineRule="auto"/>
              <w:jc w:val="center"/>
              <w:rPr>
                <w:kern w:val="0"/>
                <w:szCs w:val="21"/>
              </w:rPr>
            </w:pPr>
            <w:r>
              <w:rPr>
                <w:kern w:val="0"/>
                <w:szCs w:val="21"/>
              </w:rPr>
              <w:t>100</w:t>
            </w:r>
          </w:p>
        </w:tc>
        <w:tc>
          <w:tcPr>
            <w:tcW w:w="720" w:type="dxa"/>
            <w:vAlign w:val="center"/>
          </w:tcPr>
          <w:p w:rsidR="00475650" w:rsidRDefault="00475650">
            <w:pPr>
              <w:widowControl/>
              <w:snapToGrid w:val="0"/>
              <w:spacing w:line="216" w:lineRule="auto"/>
              <w:jc w:val="center"/>
              <w:rPr>
                <w:kern w:val="0"/>
                <w:szCs w:val="21"/>
              </w:rPr>
            </w:pPr>
            <w:r>
              <w:rPr>
                <w:kern w:val="0"/>
                <w:szCs w:val="21"/>
              </w:rPr>
              <w:t xml:space="preserve">1.7000 </w:t>
            </w:r>
          </w:p>
        </w:tc>
        <w:tc>
          <w:tcPr>
            <w:tcW w:w="850" w:type="dxa"/>
            <w:vAlign w:val="center"/>
          </w:tcPr>
          <w:p w:rsidR="00475650" w:rsidRDefault="00475650">
            <w:pPr>
              <w:widowControl/>
              <w:snapToGrid w:val="0"/>
              <w:spacing w:line="216" w:lineRule="auto"/>
              <w:jc w:val="center"/>
              <w:rPr>
                <w:kern w:val="0"/>
                <w:szCs w:val="21"/>
              </w:rPr>
            </w:pPr>
            <w:r>
              <w:rPr>
                <w:kern w:val="0"/>
                <w:szCs w:val="21"/>
              </w:rPr>
              <w:t xml:space="preserve">1.8500 </w:t>
            </w:r>
          </w:p>
        </w:tc>
        <w:tc>
          <w:tcPr>
            <w:tcW w:w="709" w:type="dxa"/>
            <w:vAlign w:val="center"/>
          </w:tcPr>
          <w:p w:rsidR="00475650" w:rsidRDefault="00475650">
            <w:pPr>
              <w:widowControl/>
              <w:snapToGrid w:val="0"/>
              <w:spacing w:line="216" w:lineRule="auto"/>
              <w:jc w:val="center"/>
              <w:rPr>
                <w:kern w:val="0"/>
                <w:szCs w:val="21"/>
              </w:rPr>
            </w:pPr>
            <w:r>
              <w:rPr>
                <w:kern w:val="0"/>
                <w:szCs w:val="21"/>
              </w:rPr>
              <w:t xml:space="preserve">0.8000 </w:t>
            </w:r>
          </w:p>
        </w:tc>
        <w:tc>
          <w:tcPr>
            <w:tcW w:w="850" w:type="dxa"/>
            <w:vAlign w:val="center"/>
          </w:tcPr>
          <w:p w:rsidR="00475650" w:rsidRDefault="00475650">
            <w:pPr>
              <w:widowControl/>
              <w:snapToGrid w:val="0"/>
              <w:spacing w:line="216" w:lineRule="auto"/>
              <w:jc w:val="center"/>
              <w:rPr>
                <w:kern w:val="0"/>
                <w:szCs w:val="21"/>
              </w:rPr>
            </w:pPr>
            <w:r>
              <w:rPr>
                <w:kern w:val="0"/>
                <w:szCs w:val="21"/>
              </w:rPr>
              <w:t xml:space="preserve">1.8000 </w:t>
            </w:r>
          </w:p>
        </w:tc>
      </w:tr>
    </w:tbl>
    <w:p w:rsidR="00475650" w:rsidRDefault="00475650">
      <w:pPr>
        <w:ind w:rightChars="-70" w:right="-147"/>
        <w:rPr>
          <w:sz w:val="18"/>
          <w:szCs w:val="18"/>
        </w:rPr>
      </w:pPr>
      <w:r>
        <w:rPr>
          <w:sz w:val="18"/>
          <w:szCs w:val="18"/>
        </w:rPr>
        <w:t>*</w:t>
      </w:r>
      <w:r>
        <w:rPr>
          <w:rFonts w:hAnsi="宋体"/>
          <w:sz w:val="18"/>
          <w:szCs w:val="18"/>
        </w:rPr>
        <w:t>备注：</w:t>
      </w:r>
      <w:r>
        <w:rPr>
          <w:sz w:val="18"/>
          <w:szCs w:val="18"/>
        </w:rPr>
        <w:t xml:space="preserve"> </w:t>
      </w:r>
      <w:r>
        <w:rPr>
          <w:rFonts w:hAnsi="宋体"/>
          <w:sz w:val="18"/>
          <w:szCs w:val="18"/>
        </w:rPr>
        <w:t>当检测结果低于方法检出限时，以检出限值加</w:t>
      </w:r>
      <w:r>
        <w:rPr>
          <w:sz w:val="18"/>
          <w:szCs w:val="18"/>
        </w:rPr>
        <w:t>(L)</w:t>
      </w:r>
      <w:r>
        <w:rPr>
          <w:rFonts w:hAnsi="宋体"/>
          <w:sz w:val="18"/>
          <w:szCs w:val="18"/>
        </w:rPr>
        <w:t>报出。未达到检测限的项目按照检测限一半计算。</w:t>
      </w:r>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706" w:name="_Toc465677021"/>
      <w:bookmarkStart w:id="707" w:name="_Toc9838"/>
      <w:r>
        <w:rPr>
          <w:rStyle w:val="2Char1Char"/>
          <w:rFonts w:ascii="Times New Roman" w:eastAsia="宋体" w:hAnsi="Times New Roman" w:cs="Times New Roman"/>
          <w:b w:val="0"/>
          <w:sz w:val="28"/>
          <w:szCs w:val="28"/>
        </w:rPr>
        <w:lastRenderedPageBreak/>
        <w:t>4.3.4</w:t>
      </w:r>
      <w:r>
        <w:rPr>
          <w:rStyle w:val="2Char1Char"/>
          <w:rFonts w:ascii="Times New Roman" w:eastAsia="宋体" w:hAnsi="宋体" w:cs="Times New Roman"/>
          <w:b w:val="0"/>
          <w:sz w:val="28"/>
          <w:szCs w:val="28"/>
        </w:rPr>
        <w:t>声环境质量现状评价</w:t>
      </w:r>
      <w:bookmarkEnd w:id="700"/>
      <w:bookmarkEnd w:id="701"/>
      <w:bookmarkEnd w:id="702"/>
      <w:bookmarkEnd w:id="706"/>
      <w:bookmarkEnd w:id="707"/>
    </w:p>
    <w:p w:rsidR="00475650" w:rsidRDefault="00475650">
      <w:pPr>
        <w:widowControl/>
        <w:spacing w:line="360" w:lineRule="auto"/>
        <w:ind w:firstLineChars="200" w:firstLine="480"/>
        <w:jc w:val="left"/>
        <w:rPr>
          <w:kern w:val="0"/>
          <w:sz w:val="24"/>
        </w:rPr>
      </w:pPr>
      <w:r>
        <w:rPr>
          <w:rFonts w:hAnsi="宋体"/>
          <w:kern w:val="0"/>
          <w:sz w:val="24"/>
        </w:rPr>
        <w:t>本项目厂界外</w:t>
      </w:r>
      <w:r>
        <w:rPr>
          <w:kern w:val="0"/>
          <w:sz w:val="24"/>
        </w:rPr>
        <w:t>200m</w:t>
      </w:r>
      <w:r>
        <w:rPr>
          <w:rFonts w:hAnsi="宋体"/>
          <w:kern w:val="0"/>
          <w:sz w:val="24"/>
        </w:rPr>
        <w:t>范围内无声环境敏感点，</w:t>
      </w:r>
      <w:r>
        <w:rPr>
          <w:kern w:val="0"/>
          <w:sz w:val="24"/>
        </w:rPr>
        <w:t>2015</w:t>
      </w:r>
      <w:r>
        <w:rPr>
          <w:rFonts w:hAnsi="宋体"/>
          <w:kern w:val="0"/>
          <w:sz w:val="24"/>
        </w:rPr>
        <w:t>年</w:t>
      </w:r>
      <w:r>
        <w:rPr>
          <w:kern w:val="0"/>
          <w:sz w:val="24"/>
        </w:rPr>
        <w:t>6</w:t>
      </w:r>
      <w:r>
        <w:rPr>
          <w:rFonts w:hAnsi="宋体"/>
          <w:kern w:val="0"/>
          <w:sz w:val="24"/>
        </w:rPr>
        <w:t>月</w:t>
      </w:r>
      <w:r>
        <w:rPr>
          <w:kern w:val="0"/>
          <w:sz w:val="24"/>
        </w:rPr>
        <w:t>15-16</w:t>
      </w:r>
      <w:r>
        <w:rPr>
          <w:rFonts w:hAnsi="宋体"/>
          <w:kern w:val="0"/>
          <w:sz w:val="24"/>
        </w:rPr>
        <w:t>日，湖南省环境监测中心站组织岳阳市环境监测中心对本工程进行了噪声现场监测；监测频次为白天一次，晚上一次。监测结果见表</w:t>
      </w:r>
      <w:r>
        <w:rPr>
          <w:kern w:val="0"/>
          <w:sz w:val="24"/>
        </w:rPr>
        <w:t>4.3-1</w:t>
      </w:r>
      <w:r>
        <w:rPr>
          <w:rFonts w:hint="eastAsia"/>
          <w:kern w:val="0"/>
          <w:sz w:val="24"/>
        </w:rPr>
        <w:t>5</w:t>
      </w:r>
      <w:r>
        <w:rPr>
          <w:rFonts w:hAnsi="宋体"/>
          <w:kern w:val="0"/>
          <w:sz w:val="24"/>
        </w:rPr>
        <w:t>，结果表明东、南、西、北厂界噪声昼夜间监测值均符合《声环境质量标准》（</w:t>
      </w:r>
      <w:r>
        <w:rPr>
          <w:kern w:val="0"/>
          <w:sz w:val="24"/>
        </w:rPr>
        <w:t>GB3096-2008</w:t>
      </w:r>
      <w:r>
        <w:rPr>
          <w:rFonts w:hAnsi="宋体"/>
          <w:kern w:val="0"/>
          <w:sz w:val="24"/>
        </w:rPr>
        <w:t>）</w:t>
      </w:r>
      <w:r>
        <w:rPr>
          <w:kern w:val="0"/>
          <w:sz w:val="24"/>
        </w:rPr>
        <w:t>“3</w:t>
      </w:r>
      <w:r>
        <w:rPr>
          <w:rFonts w:hAnsi="宋体"/>
          <w:kern w:val="0"/>
          <w:sz w:val="24"/>
        </w:rPr>
        <w:t>类</w:t>
      </w:r>
      <w:r>
        <w:rPr>
          <w:kern w:val="0"/>
          <w:sz w:val="24"/>
        </w:rPr>
        <w:t>”</w:t>
      </w:r>
      <w:r>
        <w:rPr>
          <w:rFonts w:hAnsi="宋体"/>
          <w:kern w:val="0"/>
          <w:sz w:val="24"/>
        </w:rPr>
        <w:t>标准的要求。</w:t>
      </w:r>
    </w:p>
    <w:p w:rsidR="00475650" w:rsidRDefault="00475650">
      <w:pPr>
        <w:pStyle w:val="1ffc"/>
        <w:snapToGrid w:val="0"/>
        <w:ind w:firstLineChars="0" w:firstLine="0"/>
        <w:jc w:val="center"/>
        <w:rPr>
          <w:bCs/>
        </w:rPr>
      </w:pPr>
      <w:r>
        <w:rPr>
          <w:rFonts w:hAnsi="宋体"/>
          <w:bCs/>
        </w:rPr>
        <w:t>表</w:t>
      </w:r>
      <w:r>
        <w:rPr>
          <w:bCs/>
        </w:rPr>
        <w:t>4.3-1</w:t>
      </w:r>
      <w:r>
        <w:rPr>
          <w:rFonts w:hint="eastAsia"/>
          <w:bCs/>
        </w:rPr>
        <w:t>5</w:t>
      </w:r>
      <w:r>
        <w:rPr>
          <w:bCs/>
        </w:rPr>
        <w:t xml:space="preserve"> </w:t>
      </w:r>
      <w:r>
        <w:rPr>
          <w:rFonts w:hAnsi="宋体"/>
          <w:bCs/>
        </w:rPr>
        <w:t>环境噪声现状监测结果</w:t>
      </w:r>
      <w:r>
        <w:rPr>
          <w:bCs/>
        </w:rPr>
        <w:t xml:space="preserve">  </w:t>
      </w:r>
      <w:r>
        <w:rPr>
          <w:rFonts w:hAnsi="宋体"/>
          <w:bCs/>
        </w:rPr>
        <w:t>单位：</w:t>
      </w:r>
      <w:r>
        <w:rPr>
          <w:bCs/>
        </w:rPr>
        <w:t>dB</w:t>
      </w:r>
      <w:r>
        <w:rPr>
          <w:rFonts w:hAnsi="宋体"/>
          <w:bCs/>
        </w:rPr>
        <w:t>（</w:t>
      </w:r>
      <w:r>
        <w:rPr>
          <w:bCs/>
        </w:rPr>
        <w:t>A</w:t>
      </w:r>
      <w:r>
        <w:rPr>
          <w:rFonts w:hAnsi="宋体"/>
          <w:bCs/>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994"/>
        <w:gridCol w:w="2392"/>
        <w:gridCol w:w="1527"/>
        <w:gridCol w:w="1134"/>
        <w:gridCol w:w="1406"/>
        <w:gridCol w:w="1128"/>
      </w:tblGrid>
      <w:tr w:rsidR="00475650">
        <w:trPr>
          <w:jc w:val="center"/>
        </w:trPr>
        <w:tc>
          <w:tcPr>
            <w:tcW w:w="994" w:type="dxa"/>
            <w:vMerge w:val="restart"/>
            <w:vAlign w:val="center"/>
          </w:tcPr>
          <w:p w:rsidR="00475650" w:rsidRDefault="00475650" w:rsidP="00BD74CB">
            <w:pPr>
              <w:pStyle w:val="affffffffffffffffffffffff0"/>
              <w:snapToGrid w:val="0"/>
              <w:spacing w:beforeLines="20" w:afterLines="20" w:line="240" w:lineRule="exact"/>
              <w:rPr>
                <w:szCs w:val="21"/>
              </w:rPr>
            </w:pPr>
            <w:r>
              <w:rPr>
                <w:rFonts w:hAnsi="宋体"/>
                <w:szCs w:val="21"/>
              </w:rPr>
              <w:t>测点</w:t>
            </w:r>
          </w:p>
          <w:p w:rsidR="00475650" w:rsidRDefault="00475650" w:rsidP="00BD74CB">
            <w:pPr>
              <w:adjustRightInd w:val="0"/>
              <w:snapToGrid w:val="0"/>
              <w:spacing w:beforeLines="20" w:afterLines="20" w:line="240" w:lineRule="exact"/>
              <w:jc w:val="center"/>
              <w:rPr>
                <w:szCs w:val="21"/>
              </w:rPr>
            </w:pPr>
            <w:r>
              <w:rPr>
                <w:rFonts w:hAnsi="宋体"/>
                <w:szCs w:val="21"/>
              </w:rPr>
              <w:t>编号</w:t>
            </w:r>
          </w:p>
        </w:tc>
        <w:tc>
          <w:tcPr>
            <w:tcW w:w="2392" w:type="dxa"/>
            <w:vMerge w:val="restart"/>
            <w:vAlign w:val="center"/>
          </w:tcPr>
          <w:p w:rsidR="00475650" w:rsidRDefault="00475650" w:rsidP="00BD74CB">
            <w:pPr>
              <w:adjustRightInd w:val="0"/>
              <w:snapToGrid w:val="0"/>
              <w:spacing w:beforeLines="20" w:afterLines="20" w:line="240" w:lineRule="exact"/>
              <w:jc w:val="center"/>
              <w:rPr>
                <w:szCs w:val="21"/>
              </w:rPr>
            </w:pPr>
            <w:r>
              <w:rPr>
                <w:rFonts w:hAnsi="宋体"/>
                <w:szCs w:val="21"/>
              </w:rPr>
              <w:t>监测位置</w:t>
            </w:r>
          </w:p>
        </w:tc>
        <w:tc>
          <w:tcPr>
            <w:tcW w:w="2661" w:type="dxa"/>
            <w:gridSpan w:val="2"/>
            <w:vAlign w:val="center"/>
          </w:tcPr>
          <w:p w:rsidR="00475650" w:rsidRDefault="00475650" w:rsidP="00BD74CB">
            <w:pPr>
              <w:adjustRightInd w:val="0"/>
              <w:snapToGrid w:val="0"/>
              <w:spacing w:beforeLines="20" w:afterLines="20" w:line="240" w:lineRule="exact"/>
              <w:jc w:val="center"/>
              <w:rPr>
                <w:szCs w:val="21"/>
              </w:rPr>
            </w:pPr>
            <w:r>
              <w:rPr>
                <w:rFonts w:hAnsi="宋体"/>
                <w:szCs w:val="21"/>
              </w:rPr>
              <w:t>昼</w:t>
            </w:r>
            <w:r>
              <w:rPr>
                <w:szCs w:val="21"/>
              </w:rPr>
              <w:t xml:space="preserve">  </w:t>
            </w:r>
            <w:r>
              <w:rPr>
                <w:rFonts w:hAnsi="宋体"/>
                <w:szCs w:val="21"/>
              </w:rPr>
              <w:t>间</w:t>
            </w:r>
          </w:p>
        </w:tc>
        <w:tc>
          <w:tcPr>
            <w:tcW w:w="2534" w:type="dxa"/>
            <w:gridSpan w:val="2"/>
            <w:vAlign w:val="center"/>
          </w:tcPr>
          <w:p w:rsidR="00475650" w:rsidRDefault="00475650" w:rsidP="00BD74CB">
            <w:pPr>
              <w:adjustRightInd w:val="0"/>
              <w:snapToGrid w:val="0"/>
              <w:spacing w:beforeLines="20" w:afterLines="20" w:line="240" w:lineRule="exact"/>
              <w:jc w:val="center"/>
              <w:rPr>
                <w:szCs w:val="21"/>
              </w:rPr>
            </w:pPr>
            <w:r>
              <w:rPr>
                <w:rFonts w:hAnsi="宋体"/>
                <w:szCs w:val="21"/>
              </w:rPr>
              <w:t>夜</w:t>
            </w:r>
            <w:r>
              <w:rPr>
                <w:szCs w:val="21"/>
              </w:rPr>
              <w:t xml:space="preserve">  </w:t>
            </w:r>
            <w:r>
              <w:rPr>
                <w:rFonts w:hAnsi="宋体"/>
                <w:szCs w:val="21"/>
              </w:rPr>
              <w:t>间</w:t>
            </w:r>
          </w:p>
        </w:tc>
      </w:tr>
      <w:tr w:rsidR="00475650">
        <w:trPr>
          <w:jc w:val="center"/>
        </w:trPr>
        <w:tc>
          <w:tcPr>
            <w:tcW w:w="994" w:type="dxa"/>
            <w:vMerge/>
            <w:vAlign w:val="center"/>
          </w:tcPr>
          <w:p w:rsidR="00475650" w:rsidRDefault="00475650" w:rsidP="00BD74CB">
            <w:pPr>
              <w:adjustRightInd w:val="0"/>
              <w:snapToGrid w:val="0"/>
              <w:spacing w:beforeLines="20" w:afterLines="20" w:line="240" w:lineRule="exact"/>
              <w:jc w:val="center"/>
              <w:rPr>
                <w:szCs w:val="21"/>
              </w:rPr>
            </w:pPr>
          </w:p>
        </w:tc>
        <w:tc>
          <w:tcPr>
            <w:tcW w:w="2392" w:type="dxa"/>
            <w:vMerge/>
            <w:vAlign w:val="center"/>
          </w:tcPr>
          <w:p w:rsidR="00475650" w:rsidRDefault="00475650" w:rsidP="00BD74CB">
            <w:pPr>
              <w:adjustRightInd w:val="0"/>
              <w:snapToGrid w:val="0"/>
              <w:spacing w:beforeLines="20" w:afterLines="20" w:line="240" w:lineRule="exact"/>
              <w:jc w:val="center"/>
              <w:rPr>
                <w:szCs w:val="21"/>
              </w:rPr>
            </w:pPr>
          </w:p>
        </w:tc>
        <w:tc>
          <w:tcPr>
            <w:tcW w:w="1527" w:type="dxa"/>
            <w:vAlign w:val="center"/>
          </w:tcPr>
          <w:p w:rsidR="00475650" w:rsidRDefault="00475650" w:rsidP="00BD74CB">
            <w:pPr>
              <w:adjustRightInd w:val="0"/>
              <w:snapToGrid w:val="0"/>
              <w:spacing w:beforeLines="20" w:afterLines="20" w:line="240" w:lineRule="exact"/>
              <w:jc w:val="center"/>
              <w:rPr>
                <w:szCs w:val="21"/>
              </w:rPr>
            </w:pPr>
            <w:r>
              <w:rPr>
                <w:rFonts w:hAnsi="宋体"/>
                <w:szCs w:val="21"/>
              </w:rPr>
              <w:t>监测值</w:t>
            </w:r>
          </w:p>
        </w:tc>
        <w:tc>
          <w:tcPr>
            <w:tcW w:w="1134" w:type="dxa"/>
            <w:vAlign w:val="center"/>
          </w:tcPr>
          <w:p w:rsidR="00475650" w:rsidRDefault="00475650" w:rsidP="00BD74CB">
            <w:pPr>
              <w:adjustRightInd w:val="0"/>
              <w:snapToGrid w:val="0"/>
              <w:spacing w:beforeLines="20" w:afterLines="20" w:line="240" w:lineRule="exact"/>
              <w:jc w:val="center"/>
              <w:rPr>
                <w:szCs w:val="21"/>
                <w:vertAlign w:val="subscript"/>
              </w:rPr>
            </w:pPr>
            <w:r>
              <w:rPr>
                <w:rFonts w:hAnsi="宋体"/>
                <w:szCs w:val="21"/>
              </w:rPr>
              <w:t>标准值</w:t>
            </w:r>
          </w:p>
        </w:tc>
        <w:tc>
          <w:tcPr>
            <w:tcW w:w="1406" w:type="dxa"/>
            <w:vAlign w:val="center"/>
          </w:tcPr>
          <w:p w:rsidR="00475650" w:rsidRDefault="00475650" w:rsidP="00BD74CB">
            <w:pPr>
              <w:adjustRightInd w:val="0"/>
              <w:snapToGrid w:val="0"/>
              <w:spacing w:beforeLines="20" w:afterLines="20" w:line="240" w:lineRule="exact"/>
              <w:jc w:val="center"/>
              <w:rPr>
                <w:szCs w:val="21"/>
              </w:rPr>
            </w:pPr>
            <w:r>
              <w:rPr>
                <w:rFonts w:hAnsi="宋体"/>
                <w:szCs w:val="21"/>
              </w:rPr>
              <w:t>监测值</w:t>
            </w:r>
          </w:p>
        </w:tc>
        <w:tc>
          <w:tcPr>
            <w:tcW w:w="1128" w:type="dxa"/>
            <w:vAlign w:val="center"/>
          </w:tcPr>
          <w:p w:rsidR="00475650" w:rsidRDefault="00475650" w:rsidP="00BD74CB">
            <w:pPr>
              <w:adjustRightInd w:val="0"/>
              <w:snapToGrid w:val="0"/>
              <w:spacing w:beforeLines="20" w:afterLines="20" w:line="240" w:lineRule="exact"/>
              <w:jc w:val="center"/>
              <w:rPr>
                <w:szCs w:val="21"/>
                <w:vertAlign w:val="subscript"/>
              </w:rPr>
            </w:pPr>
            <w:r>
              <w:rPr>
                <w:rFonts w:hAnsi="宋体"/>
                <w:szCs w:val="21"/>
              </w:rPr>
              <w:t>标准值</w:t>
            </w:r>
          </w:p>
        </w:tc>
      </w:tr>
      <w:tr w:rsidR="00475650">
        <w:trPr>
          <w:jc w:val="center"/>
        </w:trPr>
        <w:tc>
          <w:tcPr>
            <w:tcW w:w="994" w:type="dxa"/>
            <w:vAlign w:val="center"/>
          </w:tcPr>
          <w:p w:rsidR="00475650" w:rsidRDefault="00475650" w:rsidP="00BD74CB">
            <w:pPr>
              <w:snapToGrid w:val="0"/>
              <w:spacing w:beforeLines="20" w:afterLines="20" w:line="240" w:lineRule="exact"/>
              <w:jc w:val="center"/>
              <w:rPr>
                <w:szCs w:val="21"/>
              </w:rPr>
            </w:pPr>
            <w:r>
              <w:rPr>
                <w:szCs w:val="21"/>
              </w:rPr>
              <w:t>1#</w:t>
            </w:r>
          </w:p>
        </w:tc>
        <w:tc>
          <w:tcPr>
            <w:tcW w:w="2392" w:type="dxa"/>
            <w:vAlign w:val="center"/>
          </w:tcPr>
          <w:p w:rsidR="00475650" w:rsidRDefault="00475650" w:rsidP="00BD74CB">
            <w:pPr>
              <w:snapToGrid w:val="0"/>
              <w:spacing w:beforeLines="20" w:afterLines="20" w:line="240" w:lineRule="exact"/>
              <w:jc w:val="center"/>
              <w:rPr>
                <w:szCs w:val="21"/>
              </w:rPr>
            </w:pPr>
            <w:r>
              <w:rPr>
                <w:rFonts w:hAnsi="宋体"/>
                <w:szCs w:val="21"/>
              </w:rPr>
              <w:t>厂界东</w:t>
            </w:r>
          </w:p>
        </w:tc>
        <w:tc>
          <w:tcPr>
            <w:tcW w:w="1527" w:type="dxa"/>
            <w:vAlign w:val="center"/>
          </w:tcPr>
          <w:p w:rsidR="00475650" w:rsidRDefault="00475650" w:rsidP="00BD74CB">
            <w:pPr>
              <w:snapToGrid w:val="0"/>
              <w:spacing w:beforeLines="20" w:afterLines="20" w:line="240" w:lineRule="exact"/>
              <w:jc w:val="center"/>
              <w:rPr>
                <w:szCs w:val="21"/>
              </w:rPr>
            </w:pPr>
            <w:r>
              <w:rPr>
                <w:szCs w:val="21"/>
              </w:rPr>
              <w:t>48.9-49.7</w:t>
            </w:r>
          </w:p>
        </w:tc>
        <w:tc>
          <w:tcPr>
            <w:tcW w:w="1134" w:type="dxa"/>
            <w:vAlign w:val="center"/>
          </w:tcPr>
          <w:p w:rsidR="00475650" w:rsidRDefault="00475650" w:rsidP="00BD74CB">
            <w:pPr>
              <w:adjustRightInd w:val="0"/>
              <w:snapToGrid w:val="0"/>
              <w:spacing w:beforeLines="20" w:afterLines="20" w:line="240" w:lineRule="exact"/>
              <w:jc w:val="center"/>
              <w:rPr>
                <w:szCs w:val="21"/>
              </w:rPr>
            </w:pPr>
            <w:r>
              <w:rPr>
                <w:szCs w:val="21"/>
              </w:rPr>
              <w:t>65</w:t>
            </w:r>
          </w:p>
        </w:tc>
        <w:tc>
          <w:tcPr>
            <w:tcW w:w="1406" w:type="dxa"/>
            <w:vAlign w:val="center"/>
          </w:tcPr>
          <w:p w:rsidR="00475650" w:rsidRDefault="00475650" w:rsidP="00BD74CB">
            <w:pPr>
              <w:snapToGrid w:val="0"/>
              <w:spacing w:beforeLines="20" w:afterLines="20" w:line="240" w:lineRule="exact"/>
              <w:jc w:val="center"/>
              <w:rPr>
                <w:szCs w:val="21"/>
              </w:rPr>
            </w:pPr>
            <w:r>
              <w:rPr>
                <w:szCs w:val="21"/>
              </w:rPr>
              <w:t>48.3-48.4</w:t>
            </w:r>
          </w:p>
        </w:tc>
        <w:tc>
          <w:tcPr>
            <w:tcW w:w="1128" w:type="dxa"/>
            <w:vAlign w:val="center"/>
          </w:tcPr>
          <w:p w:rsidR="00475650" w:rsidRDefault="00475650" w:rsidP="00BD74CB">
            <w:pPr>
              <w:adjustRightInd w:val="0"/>
              <w:snapToGrid w:val="0"/>
              <w:spacing w:beforeLines="20" w:afterLines="20" w:line="240" w:lineRule="exact"/>
              <w:jc w:val="center"/>
              <w:rPr>
                <w:szCs w:val="21"/>
              </w:rPr>
            </w:pPr>
            <w:r>
              <w:rPr>
                <w:szCs w:val="21"/>
              </w:rPr>
              <w:t>55</w:t>
            </w:r>
          </w:p>
        </w:tc>
      </w:tr>
      <w:tr w:rsidR="00475650">
        <w:trPr>
          <w:jc w:val="center"/>
        </w:trPr>
        <w:tc>
          <w:tcPr>
            <w:tcW w:w="994" w:type="dxa"/>
            <w:vAlign w:val="center"/>
          </w:tcPr>
          <w:p w:rsidR="00475650" w:rsidRDefault="00475650" w:rsidP="00BD74CB">
            <w:pPr>
              <w:snapToGrid w:val="0"/>
              <w:spacing w:beforeLines="20" w:afterLines="20" w:line="240" w:lineRule="exact"/>
              <w:jc w:val="center"/>
              <w:rPr>
                <w:szCs w:val="21"/>
              </w:rPr>
            </w:pPr>
            <w:r>
              <w:rPr>
                <w:szCs w:val="21"/>
              </w:rPr>
              <w:t>2#</w:t>
            </w:r>
          </w:p>
        </w:tc>
        <w:tc>
          <w:tcPr>
            <w:tcW w:w="2392" w:type="dxa"/>
            <w:vAlign w:val="center"/>
          </w:tcPr>
          <w:p w:rsidR="00475650" w:rsidRDefault="00475650" w:rsidP="00BD74CB">
            <w:pPr>
              <w:snapToGrid w:val="0"/>
              <w:spacing w:beforeLines="20" w:afterLines="20" w:line="240" w:lineRule="exact"/>
              <w:jc w:val="center"/>
              <w:rPr>
                <w:szCs w:val="21"/>
              </w:rPr>
            </w:pPr>
            <w:r>
              <w:rPr>
                <w:rFonts w:hAnsi="宋体"/>
                <w:szCs w:val="21"/>
              </w:rPr>
              <w:t>厂界南</w:t>
            </w:r>
          </w:p>
        </w:tc>
        <w:tc>
          <w:tcPr>
            <w:tcW w:w="1527" w:type="dxa"/>
            <w:vAlign w:val="center"/>
          </w:tcPr>
          <w:p w:rsidR="00475650" w:rsidRDefault="00475650" w:rsidP="00BD74CB">
            <w:pPr>
              <w:snapToGrid w:val="0"/>
              <w:spacing w:beforeLines="20" w:afterLines="20" w:line="240" w:lineRule="exact"/>
              <w:jc w:val="center"/>
              <w:rPr>
                <w:szCs w:val="21"/>
              </w:rPr>
            </w:pPr>
            <w:r>
              <w:rPr>
                <w:szCs w:val="21"/>
              </w:rPr>
              <w:t>51.2-52.5</w:t>
            </w:r>
          </w:p>
        </w:tc>
        <w:tc>
          <w:tcPr>
            <w:tcW w:w="1134" w:type="dxa"/>
            <w:vAlign w:val="center"/>
          </w:tcPr>
          <w:p w:rsidR="00475650" w:rsidRDefault="00475650" w:rsidP="00BD74CB">
            <w:pPr>
              <w:adjustRightInd w:val="0"/>
              <w:snapToGrid w:val="0"/>
              <w:spacing w:beforeLines="20" w:afterLines="20" w:line="240" w:lineRule="exact"/>
              <w:jc w:val="center"/>
              <w:rPr>
                <w:szCs w:val="21"/>
              </w:rPr>
            </w:pPr>
            <w:r>
              <w:rPr>
                <w:szCs w:val="21"/>
              </w:rPr>
              <w:t>65</w:t>
            </w:r>
          </w:p>
        </w:tc>
        <w:tc>
          <w:tcPr>
            <w:tcW w:w="1406" w:type="dxa"/>
            <w:vAlign w:val="center"/>
          </w:tcPr>
          <w:p w:rsidR="00475650" w:rsidRDefault="00475650" w:rsidP="00BD74CB">
            <w:pPr>
              <w:snapToGrid w:val="0"/>
              <w:spacing w:beforeLines="20" w:afterLines="20" w:line="240" w:lineRule="exact"/>
              <w:jc w:val="center"/>
              <w:rPr>
                <w:szCs w:val="21"/>
              </w:rPr>
            </w:pPr>
            <w:r>
              <w:rPr>
                <w:szCs w:val="21"/>
              </w:rPr>
              <w:t>50.9-51.4</w:t>
            </w:r>
          </w:p>
        </w:tc>
        <w:tc>
          <w:tcPr>
            <w:tcW w:w="1128" w:type="dxa"/>
            <w:vAlign w:val="center"/>
          </w:tcPr>
          <w:p w:rsidR="00475650" w:rsidRDefault="00475650" w:rsidP="00BD74CB">
            <w:pPr>
              <w:adjustRightInd w:val="0"/>
              <w:snapToGrid w:val="0"/>
              <w:spacing w:beforeLines="20" w:afterLines="20" w:line="240" w:lineRule="exact"/>
              <w:jc w:val="center"/>
              <w:rPr>
                <w:szCs w:val="21"/>
              </w:rPr>
            </w:pPr>
            <w:r>
              <w:rPr>
                <w:szCs w:val="21"/>
              </w:rPr>
              <w:t>55</w:t>
            </w:r>
          </w:p>
        </w:tc>
      </w:tr>
      <w:tr w:rsidR="00475650">
        <w:trPr>
          <w:jc w:val="center"/>
        </w:trPr>
        <w:tc>
          <w:tcPr>
            <w:tcW w:w="994" w:type="dxa"/>
            <w:vAlign w:val="center"/>
          </w:tcPr>
          <w:p w:rsidR="00475650" w:rsidRDefault="00475650" w:rsidP="00BD74CB">
            <w:pPr>
              <w:snapToGrid w:val="0"/>
              <w:spacing w:beforeLines="20" w:afterLines="20" w:line="240" w:lineRule="exact"/>
              <w:jc w:val="center"/>
              <w:rPr>
                <w:szCs w:val="21"/>
              </w:rPr>
            </w:pPr>
            <w:r>
              <w:rPr>
                <w:szCs w:val="21"/>
              </w:rPr>
              <w:t>3#</w:t>
            </w:r>
          </w:p>
        </w:tc>
        <w:tc>
          <w:tcPr>
            <w:tcW w:w="2392" w:type="dxa"/>
            <w:vAlign w:val="center"/>
          </w:tcPr>
          <w:p w:rsidR="00475650" w:rsidRDefault="00475650" w:rsidP="00BD74CB">
            <w:pPr>
              <w:snapToGrid w:val="0"/>
              <w:spacing w:beforeLines="20" w:afterLines="20" w:line="240" w:lineRule="exact"/>
              <w:jc w:val="center"/>
              <w:rPr>
                <w:szCs w:val="21"/>
              </w:rPr>
            </w:pPr>
            <w:r>
              <w:rPr>
                <w:rFonts w:hAnsi="宋体"/>
                <w:szCs w:val="21"/>
              </w:rPr>
              <w:t>厂界西</w:t>
            </w:r>
          </w:p>
        </w:tc>
        <w:tc>
          <w:tcPr>
            <w:tcW w:w="1527" w:type="dxa"/>
            <w:vAlign w:val="center"/>
          </w:tcPr>
          <w:p w:rsidR="00475650" w:rsidRDefault="00475650" w:rsidP="00BD74CB">
            <w:pPr>
              <w:snapToGrid w:val="0"/>
              <w:spacing w:beforeLines="20" w:afterLines="20" w:line="240" w:lineRule="exact"/>
              <w:jc w:val="center"/>
              <w:rPr>
                <w:szCs w:val="21"/>
              </w:rPr>
            </w:pPr>
            <w:r>
              <w:rPr>
                <w:szCs w:val="21"/>
              </w:rPr>
              <w:t>48.2-48.4</w:t>
            </w:r>
          </w:p>
        </w:tc>
        <w:tc>
          <w:tcPr>
            <w:tcW w:w="1134" w:type="dxa"/>
            <w:vAlign w:val="center"/>
          </w:tcPr>
          <w:p w:rsidR="00475650" w:rsidRDefault="00475650" w:rsidP="00BD74CB">
            <w:pPr>
              <w:adjustRightInd w:val="0"/>
              <w:snapToGrid w:val="0"/>
              <w:spacing w:beforeLines="20" w:afterLines="20" w:line="240" w:lineRule="exact"/>
              <w:jc w:val="center"/>
              <w:rPr>
                <w:szCs w:val="21"/>
              </w:rPr>
            </w:pPr>
            <w:r>
              <w:rPr>
                <w:szCs w:val="21"/>
              </w:rPr>
              <w:t>65</w:t>
            </w:r>
          </w:p>
        </w:tc>
        <w:tc>
          <w:tcPr>
            <w:tcW w:w="1406" w:type="dxa"/>
            <w:vAlign w:val="center"/>
          </w:tcPr>
          <w:p w:rsidR="00475650" w:rsidRDefault="00475650" w:rsidP="00BD74CB">
            <w:pPr>
              <w:snapToGrid w:val="0"/>
              <w:spacing w:beforeLines="20" w:afterLines="20" w:line="240" w:lineRule="exact"/>
              <w:jc w:val="center"/>
              <w:rPr>
                <w:szCs w:val="21"/>
              </w:rPr>
            </w:pPr>
            <w:r>
              <w:rPr>
                <w:szCs w:val="21"/>
              </w:rPr>
              <w:t>47.4-47.8</w:t>
            </w:r>
          </w:p>
        </w:tc>
        <w:tc>
          <w:tcPr>
            <w:tcW w:w="1128" w:type="dxa"/>
            <w:vAlign w:val="center"/>
          </w:tcPr>
          <w:p w:rsidR="00475650" w:rsidRDefault="00475650" w:rsidP="00BD74CB">
            <w:pPr>
              <w:adjustRightInd w:val="0"/>
              <w:snapToGrid w:val="0"/>
              <w:spacing w:beforeLines="20" w:afterLines="20" w:line="240" w:lineRule="exact"/>
              <w:jc w:val="center"/>
              <w:rPr>
                <w:szCs w:val="21"/>
              </w:rPr>
            </w:pPr>
            <w:r>
              <w:rPr>
                <w:szCs w:val="21"/>
              </w:rPr>
              <w:t>55</w:t>
            </w:r>
          </w:p>
        </w:tc>
      </w:tr>
      <w:tr w:rsidR="00475650">
        <w:trPr>
          <w:jc w:val="center"/>
        </w:trPr>
        <w:tc>
          <w:tcPr>
            <w:tcW w:w="994" w:type="dxa"/>
            <w:vAlign w:val="center"/>
          </w:tcPr>
          <w:p w:rsidR="00475650" w:rsidRDefault="00475650" w:rsidP="00BD74CB">
            <w:pPr>
              <w:snapToGrid w:val="0"/>
              <w:spacing w:beforeLines="20" w:afterLines="20" w:line="240" w:lineRule="exact"/>
              <w:jc w:val="center"/>
              <w:rPr>
                <w:szCs w:val="21"/>
              </w:rPr>
            </w:pPr>
            <w:r>
              <w:rPr>
                <w:szCs w:val="21"/>
              </w:rPr>
              <w:t>4#</w:t>
            </w:r>
          </w:p>
        </w:tc>
        <w:tc>
          <w:tcPr>
            <w:tcW w:w="2392" w:type="dxa"/>
            <w:vAlign w:val="center"/>
          </w:tcPr>
          <w:p w:rsidR="00475650" w:rsidRDefault="00475650" w:rsidP="00BD74CB">
            <w:pPr>
              <w:snapToGrid w:val="0"/>
              <w:spacing w:beforeLines="20" w:afterLines="20" w:line="240" w:lineRule="exact"/>
              <w:jc w:val="center"/>
              <w:rPr>
                <w:szCs w:val="21"/>
              </w:rPr>
            </w:pPr>
            <w:r>
              <w:rPr>
                <w:rFonts w:hAnsi="宋体"/>
                <w:szCs w:val="21"/>
              </w:rPr>
              <w:t>厂界北</w:t>
            </w:r>
          </w:p>
        </w:tc>
        <w:tc>
          <w:tcPr>
            <w:tcW w:w="1527" w:type="dxa"/>
            <w:vAlign w:val="center"/>
          </w:tcPr>
          <w:p w:rsidR="00475650" w:rsidRDefault="00475650" w:rsidP="00BD74CB">
            <w:pPr>
              <w:snapToGrid w:val="0"/>
              <w:spacing w:beforeLines="20" w:afterLines="20" w:line="240" w:lineRule="exact"/>
              <w:jc w:val="center"/>
              <w:rPr>
                <w:szCs w:val="21"/>
              </w:rPr>
            </w:pPr>
            <w:r>
              <w:rPr>
                <w:szCs w:val="21"/>
              </w:rPr>
              <w:t>49.4</w:t>
            </w:r>
          </w:p>
        </w:tc>
        <w:tc>
          <w:tcPr>
            <w:tcW w:w="1134" w:type="dxa"/>
            <w:vAlign w:val="center"/>
          </w:tcPr>
          <w:p w:rsidR="00475650" w:rsidRDefault="00475650" w:rsidP="00BD74CB">
            <w:pPr>
              <w:adjustRightInd w:val="0"/>
              <w:snapToGrid w:val="0"/>
              <w:spacing w:beforeLines="20" w:afterLines="20" w:line="240" w:lineRule="exact"/>
              <w:jc w:val="center"/>
              <w:rPr>
                <w:szCs w:val="21"/>
              </w:rPr>
            </w:pPr>
            <w:r>
              <w:rPr>
                <w:szCs w:val="21"/>
              </w:rPr>
              <w:t>65</w:t>
            </w:r>
          </w:p>
        </w:tc>
        <w:tc>
          <w:tcPr>
            <w:tcW w:w="1406" w:type="dxa"/>
            <w:vAlign w:val="center"/>
          </w:tcPr>
          <w:p w:rsidR="00475650" w:rsidRDefault="00475650" w:rsidP="00BD74CB">
            <w:pPr>
              <w:snapToGrid w:val="0"/>
              <w:spacing w:beforeLines="20" w:afterLines="20" w:line="240" w:lineRule="exact"/>
              <w:jc w:val="center"/>
              <w:rPr>
                <w:szCs w:val="21"/>
              </w:rPr>
            </w:pPr>
            <w:r>
              <w:rPr>
                <w:szCs w:val="21"/>
              </w:rPr>
              <w:t>47.7-47.8</w:t>
            </w:r>
          </w:p>
        </w:tc>
        <w:tc>
          <w:tcPr>
            <w:tcW w:w="1128" w:type="dxa"/>
            <w:vAlign w:val="center"/>
          </w:tcPr>
          <w:p w:rsidR="00475650" w:rsidRDefault="00475650" w:rsidP="00BD74CB">
            <w:pPr>
              <w:adjustRightInd w:val="0"/>
              <w:snapToGrid w:val="0"/>
              <w:spacing w:beforeLines="20" w:afterLines="20" w:line="240" w:lineRule="exact"/>
              <w:jc w:val="center"/>
              <w:rPr>
                <w:szCs w:val="21"/>
              </w:rPr>
            </w:pPr>
            <w:r>
              <w:rPr>
                <w:szCs w:val="21"/>
              </w:rPr>
              <w:t>55</w:t>
            </w:r>
          </w:p>
        </w:tc>
      </w:tr>
      <w:bookmarkEnd w:id="630"/>
      <w:bookmarkEnd w:id="631"/>
      <w:bookmarkEnd w:id="632"/>
      <w:bookmarkEnd w:id="633"/>
      <w:bookmarkEnd w:id="671"/>
      <w:bookmarkEnd w:id="672"/>
    </w:tbl>
    <w:p w:rsidR="00475650" w:rsidRDefault="00475650">
      <w:pPr>
        <w:pStyle w:val="1ffc"/>
        <w:snapToGrid w:val="0"/>
        <w:ind w:firstLineChars="0" w:firstLine="0"/>
      </w:pPr>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708" w:name="_Toc465677022"/>
      <w:bookmarkStart w:id="709" w:name="_Toc25964"/>
      <w:r>
        <w:rPr>
          <w:rStyle w:val="2Char1Char"/>
          <w:rFonts w:ascii="Times New Roman" w:eastAsia="宋体" w:hAnsi="Times New Roman" w:cs="Times New Roman"/>
          <w:b w:val="0"/>
          <w:sz w:val="28"/>
          <w:szCs w:val="28"/>
        </w:rPr>
        <w:t>4.3.5</w:t>
      </w:r>
      <w:r>
        <w:rPr>
          <w:rStyle w:val="2Char1Char"/>
          <w:rFonts w:ascii="Times New Roman" w:eastAsia="宋体" w:hAnsi="宋体" w:cs="Times New Roman"/>
          <w:b w:val="0"/>
          <w:sz w:val="28"/>
          <w:szCs w:val="28"/>
        </w:rPr>
        <w:t>土壤环境质量现状评价</w:t>
      </w:r>
      <w:bookmarkEnd w:id="708"/>
      <w:bookmarkEnd w:id="709"/>
    </w:p>
    <w:p w:rsidR="00475650" w:rsidRDefault="00475650">
      <w:pPr>
        <w:widowControl/>
        <w:spacing w:line="360" w:lineRule="auto"/>
        <w:ind w:firstLineChars="200" w:firstLine="480"/>
        <w:jc w:val="left"/>
        <w:rPr>
          <w:kern w:val="0"/>
          <w:sz w:val="24"/>
        </w:rPr>
      </w:pPr>
      <w:r>
        <w:rPr>
          <w:rFonts w:hAnsi="宋体"/>
          <w:kern w:val="0"/>
          <w:sz w:val="24"/>
        </w:rPr>
        <w:t>引用《岳阳市宇恒化工有限公司年产</w:t>
      </w:r>
      <w:r>
        <w:rPr>
          <w:kern w:val="0"/>
          <w:sz w:val="24"/>
        </w:rPr>
        <w:t>2000</w:t>
      </w:r>
      <w:r>
        <w:rPr>
          <w:rFonts w:hAnsi="宋体"/>
          <w:kern w:val="0"/>
          <w:sz w:val="24"/>
        </w:rPr>
        <w:t>吨</w:t>
      </w:r>
      <w:r>
        <w:rPr>
          <w:kern w:val="0"/>
          <w:sz w:val="24"/>
        </w:rPr>
        <w:t>2-</w:t>
      </w:r>
      <w:r>
        <w:rPr>
          <w:rFonts w:hAnsi="宋体"/>
          <w:kern w:val="0"/>
          <w:sz w:val="24"/>
        </w:rPr>
        <w:t>氯</w:t>
      </w:r>
      <w:r>
        <w:rPr>
          <w:kern w:val="0"/>
          <w:sz w:val="24"/>
        </w:rPr>
        <w:t>-5-</w:t>
      </w:r>
      <w:r>
        <w:rPr>
          <w:rFonts w:hAnsi="宋体"/>
          <w:kern w:val="0"/>
          <w:sz w:val="24"/>
        </w:rPr>
        <w:t>氯甲基噻唑、</w:t>
      </w:r>
      <w:r>
        <w:rPr>
          <w:kern w:val="0"/>
          <w:sz w:val="24"/>
        </w:rPr>
        <w:t>2000</w:t>
      </w:r>
      <w:r>
        <w:rPr>
          <w:rFonts w:hAnsi="宋体"/>
          <w:kern w:val="0"/>
          <w:sz w:val="24"/>
        </w:rPr>
        <w:t>吨亚氨基二嗪项目环境影响报告书》</w:t>
      </w:r>
      <w:r>
        <w:rPr>
          <w:kern w:val="0"/>
          <w:sz w:val="24"/>
        </w:rPr>
        <w:t>2014</w:t>
      </w:r>
      <w:r>
        <w:rPr>
          <w:rFonts w:hAnsi="宋体"/>
          <w:kern w:val="0"/>
          <w:sz w:val="24"/>
        </w:rPr>
        <w:t>年</w:t>
      </w:r>
      <w:r>
        <w:rPr>
          <w:kern w:val="0"/>
          <w:sz w:val="24"/>
        </w:rPr>
        <w:t>7</w:t>
      </w:r>
      <w:r>
        <w:rPr>
          <w:rFonts w:hAnsi="宋体"/>
          <w:kern w:val="0"/>
          <w:sz w:val="24"/>
        </w:rPr>
        <w:t>月</w:t>
      </w:r>
      <w:r>
        <w:rPr>
          <w:kern w:val="0"/>
          <w:sz w:val="24"/>
        </w:rPr>
        <w:t>12</w:t>
      </w:r>
      <w:r>
        <w:rPr>
          <w:rFonts w:hAnsi="宋体"/>
          <w:kern w:val="0"/>
          <w:sz w:val="24"/>
        </w:rPr>
        <w:t>日的土壤监测数据及《临湘工业园滨江产业园规划环境影响报告书》</w:t>
      </w:r>
      <w:r>
        <w:rPr>
          <w:kern w:val="0"/>
          <w:sz w:val="24"/>
        </w:rPr>
        <w:t>2015</w:t>
      </w:r>
      <w:r>
        <w:rPr>
          <w:rFonts w:hAnsi="宋体"/>
          <w:kern w:val="0"/>
          <w:sz w:val="24"/>
        </w:rPr>
        <w:t>年</w:t>
      </w:r>
      <w:r>
        <w:rPr>
          <w:kern w:val="0"/>
          <w:sz w:val="24"/>
        </w:rPr>
        <w:t>11</w:t>
      </w:r>
      <w:r>
        <w:rPr>
          <w:rFonts w:hAnsi="宋体"/>
          <w:kern w:val="0"/>
          <w:sz w:val="24"/>
        </w:rPr>
        <w:t>月</w:t>
      </w:r>
      <w:r>
        <w:rPr>
          <w:kern w:val="0"/>
          <w:sz w:val="24"/>
        </w:rPr>
        <w:t>11</w:t>
      </w:r>
      <w:r>
        <w:rPr>
          <w:rFonts w:hAnsi="宋体"/>
          <w:kern w:val="0"/>
          <w:sz w:val="24"/>
        </w:rPr>
        <w:t>日的土壤监测数据。</w:t>
      </w:r>
    </w:p>
    <w:p w:rsidR="00475650" w:rsidRDefault="00475650">
      <w:pPr>
        <w:widowControl/>
        <w:spacing w:line="360" w:lineRule="auto"/>
        <w:ind w:firstLineChars="200" w:firstLine="480"/>
        <w:jc w:val="left"/>
        <w:rPr>
          <w:kern w:val="0"/>
          <w:sz w:val="24"/>
        </w:rPr>
      </w:pPr>
      <w:r>
        <w:rPr>
          <w:kern w:val="0"/>
          <w:sz w:val="24"/>
        </w:rPr>
        <w:t>4.3.5.1  2014</w:t>
      </w:r>
      <w:r>
        <w:rPr>
          <w:rFonts w:hAnsi="宋体"/>
          <w:kern w:val="0"/>
          <w:sz w:val="24"/>
        </w:rPr>
        <w:t>年</w:t>
      </w:r>
      <w:r>
        <w:rPr>
          <w:kern w:val="0"/>
          <w:sz w:val="24"/>
        </w:rPr>
        <w:t>7</w:t>
      </w:r>
      <w:r>
        <w:rPr>
          <w:rFonts w:hAnsi="宋体"/>
          <w:kern w:val="0"/>
          <w:sz w:val="24"/>
        </w:rPr>
        <w:t>月历史监测数据</w:t>
      </w:r>
    </w:p>
    <w:p w:rsidR="00475650" w:rsidRDefault="00475650">
      <w:pPr>
        <w:widowControl/>
        <w:spacing w:line="360" w:lineRule="auto"/>
        <w:ind w:firstLineChars="200" w:firstLine="480"/>
        <w:jc w:val="left"/>
        <w:rPr>
          <w:kern w:val="0"/>
          <w:sz w:val="24"/>
        </w:rPr>
      </w:pPr>
      <w:r>
        <w:rPr>
          <w:kern w:val="0"/>
          <w:sz w:val="24"/>
        </w:rPr>
        <w:t>(1)</w:t>
      </w:r>
      <w:r>
        <w:rPr>
          <w:rFonts w:hAnsi="宋体"/>
          <w:kern w:val="0"/>
          <w:sz w:val="24"/>
        </w:rPr>
        <w:t>监测因子</w:t>
      </w:r>
    </w:p>
    <w:p w:rsidR="00475650" w:rsidRDefault="00475650">
      <w:pPr>
        <w:widowControl/>
        <w:spacing w:line="360" w:lineRule="auto"/>
        <w:ind w:firstLineChars="200" w:firstLine="480"/>
        <w:jc w:val="left"/>
        <w:rPr>
          <w:kern w:val="0"/>
          <w:sz w:val="24"/>
        </w:rPr>
      </w:pPr>
      <w:r>
        <w:rPr>
          <w:kern w:val="0"/>
          <w:sz w:val="24"/>
        </w:rPr>
        <w:t>pH</w:t>
      </w:r>
      <w:r>
        <w:rPr>
          <w:rFonts w:hAnsi="宋体"/>
          <w:kern w:val="0"/>
          <w:sz w:val="24"/>
        </w:rPr>
        <w:t>、锌、铜、铅、砷、镉、汞、铬共</w:t>
      </w:r>
      <w:r>
        <w:rPr>
          <w:rFonts w:hint="eastAsia"/>
          <w:kern w:val="0"/>
          <w:sz w:val="24"/>
        </w:rPr>
        <w:t>8</w:t>
      </w:r>
      <w:r>
        <w:rPr>
          <w:rFonts w:hAnsi="宋体"/>
          <w:kern w:val="0"/>
          <w:sz w:val="24"/>
        </w:rPr>
        <w:t>项。</w:t>
      </w:r>
    </w:p>
    <w:p w:rsidR="00475650" w:rsidRDefault="00475650">
      <w:pPr>
        <w:widowControl/>
        <w:spacing w:line="360" w:lineRule="auto"/>
        <w:ind w:firstLineChars="200" w:firstLine="480"/>
        <w:jc w:val="left"/>
        <w:rPr>
          <w:kern w:val="0"/>
          <w:sz w:val="24"/>
        </w:rPr>
      </w:pPr>
      <w:r>
        <w:rPr>
          <w:kern w:val="0"/>
          <w:sz w:val="24"/>
        </w:rPr>
        <w:t>(2)</w:t>
      </w:r>
      <w:r>
        <w:rPr>
          <w:rFonts w:hAnsi="宋体"/>
          <w:kern w:val="0"/>
          <w:sz w:val="24"/>
        </w:rPr>
        <w:t>监测点位</w:t>
      </w:r>
    </w:p>
    <w:p w:rsidR="00475650" w:rsidRDefault="00475650">
      <w:pPr>
        <w:widowControl/>
        <w:spacing w:line="360" w:lineRule="auto"/>
        <w:ind w:firstLineChars="200" w:firstLine="480"/>
        <w:jc w:val="left"/>
        <w:rPr>
          <w:kern w:val="0"/>
          <w:sz w:val="24"/>
        </w:rPr>
      </w:pPr>
      <w:r>
        <w:rPr>
          <w:rFonts w:hAnsi="宋体"/>
          <w:kern w:val="0"/>
          <w:sz w:val="24"/>
        </w:rPr>
        <w:t>宇恒化工厂址内主装置区</w:t>
      </w:r>
      <w:r>
        <w:rPr>
          <w:kern w:val="0"/>
          <w:sz w:val="24"/>
        </w:rPr>
        <w:t>(</w:t>
      </w:r>
      <w:r>
        <w:rPr>
          <w:rFonts w:hAnsi="宋体"/>
          <w:kern w:val="0"/>
          <w:sz w:val="24"/>
        </w:rPr>
        <w:t>规划区化工组团内</w:t>
      </w:r>
      <w:r>
        <w:rPr>
          <w:kern w:val="0"/>
          <w:sz w:val="24"/>
        </w:rPr>
        <w:t>)</w:t>
      </w:r>
    </w:p>
    <w:p w:rsidR="00475650" w:rsidRDefault="00475650">
      <w:pPr>
        <w:widowControl/>
        <w:spacing w:line="360" w:lineRule="auto"/>
        <w:ind w:firstLineChars="200" w:firstLine="480"/>
        <w:jc w:val="left"/>
        <w:rPr>
          <w:kern w:val="0"/>
          <w:sz w:val="24"/>
        </w:rPr>
      </w:pPr>
      <w:r>
        <w:rPr>
          <w:kern w:val="0"/>
          <w:sz w:val="24"/>
        </w:rPr>
        <w:t>(3)</w:t>
      </w:r>
      <w:r>
        <w:rPr>
          <w:rFonts w:hAnsi="宋体"/>
          <w:kern w:val="0"/>
          <w:sz w:val="24"/>
        </w:rPr>
        <w:t>监测时间与频次</w:t>
      </w:r>
    </w:p>
    <w:p w:rsidR="00475650" w:rsidRDefault="00475650">
      <w:pPr>
        <w:widowControl/>
        <w:spacing w:line="360" w:lineRule="auto"/>
        <w:ind w:firstLineChars="200" w:firstLine="480"/>
        <w:jc w:val="left"/>
        <w:rPr>
          <w:kern w:val="0"/>
          <w:sz w:val="24"/>
        </w:rPr>
      </w:pPr>
      <w:r>
        <w:rPr>
          <w:rFonts w:hAnsi="宋体"/>
          <w:kern w:val="0"/>
          <w:sz w:val="24"/>
        </w:rPr>
        <w:t>进行一期监测，监测</w:t>
      </w:r>
      <w:r>
        <w:rPr>
          <w:kern w:val="0"/>
          <w:sz w:val="24"/>
        </w:rPr>
        <w:t>1</w:t>
      </w:r>
      <w:r>
        <w:rPr>
          <w:rFonts w:hAnsi="宋体"/>
          <w:kern w:val="0"/>
          <w:sz w:val="24"/>
        </w:rPr>
        <w:t>次</w:t>
      </w:r>
    </w:p>
    <w:p w:rsidR="00475650" w:rsidRDefault="00475650">
      <w:pPr>
        <w:widowControl/>
        <w:spacing w:line="360" w:lineRule="auto"/>
        <w:ind w:firstLineChars="200" w:firstLine="480"/>
        <w:jc w:val="left"/>
        <w:rPr>
          <w:kern w:val="0"/>
          <w:sz w:val="24"/>
        </w:rPr>
      </w:pPr>
      <w:r>
        <w:rPr>
          <w:kern w:val="0"/>
          <w:sz w:val="24"/>
        </w:rPr>
        <w:t>(4)</w:t>
      </w:r>
      <w:r>
        <w:rPr>
          <w:rFonts w:hAnsi="宋体"/>
          <w:kern w:val="0"/>
          <w:sz w:val="24"/>
        </w:rPr>
        <w:t>监测结果统计</w:t>
      </w:r>
    </w:p>
    <w:p w:rsidR="00475650" w:rsidRDefault="00475650">
      <w:pPr>
        <w:widowControl/>
        <w:spacing w:line="360" w:lineRule="auto"/>
        <w:ind w:firstLineChars="200" w:firstLine="480"/>
        <w:jc w:val="left"/>
        <w:rPr>
          <w:rFonts w:hAnsi="宋体"/>
          <w:kern w:val="0"/>
          <w:sz w:val="24"/>
        </w:rPr>
      </w:pPr>
      <w:r>
        <w:rPr>
          <w:rFonts w:hAnsi="宋体"/>
          <w:kern w:val="0"/>
          <w:sz w:val="24"/>
        </w:rPr>
        <w:t>监测及评价结果表明：土壤监测各监测点位被监测因子均达到《土壤环境质量标准》</w:t>
      </w:r>
      <w:r>
        <w:rPr>
          <w:kern w:val="0"/>
          <w:sz w:val="24"/>
        </w:rPr>
        <w:t>(GB15618-1995)</w:t>
      </w:r>
      <w:r>
        <w:rPr>
          <w:rFonts w:hAnsi="宋体"/>
          <w:kern w:val="0"/>
          <w:sz w:val="24"/>
        </w:rPr>
        <w:t>中的二级标准。</w:t>
      </w:r>
    </w:p>
    <w:p w:rsidR="00475650" w:rsidRDefault="00475650">
      <w:pPr>
        <w:widowControl/>
        <w:spacing w:line="360" w:lineRule="auto"/>
        <w:ind w:firstLineChars="200" w:firstLine="480"/>
        <w:jc w:val="left"/>
        <w:rPr>
          <w:rFonts w:hAnsi="宋体"/>
          <w:kern w:val="0"/>
          <w:sz w:val="24"/>
        </w:rPr>
      </w:pPr>
    </w:p>
    <w:p w:rsidR="00475650" w:rsidRDefault="00475650">
      <w:pPr>
        <w:widowControl/>
        <w:spacing w:line="360" w:lineRule="auto"/>
        <w:ind w:firstLineChars="200" w:firstLine="480"/>
        <w:jc w:val="left"/>
        <w:rPr>
          <w:kern w:val="0"/>
          <w:sz w:val="24"/>
        </w:rPr>
      </w:pPr>
    </w:p>
    <w:p w:rsidR="00475650" w:rsidRDefault="00475650">
      <w:pPr>
        <w:pStyle w:val="1ffc"/>
        <w:snapToGrid w:val="0"/>
        <w:ind w:firstLineChars="0" w:firstLine="0"/>
        <w:jc w:val="center"/>
        <w:rPr>
          <w:bCs/>
        </w:rPr>
      </w:pPr>
      <w:r>
        <w:rPr>
          <w:rFonts w:hAnsi="宋体"/>
          <w:bCs/>
        </w:rPr>
        <w:lastRenderedPageBreak/>
        <w:t>表</w:t>
      </w:r>
      <w:r>
        <w:rPr>
          <w:bCs/>
        </w:rPr>
        <w:t>4.3-1</w:t>
      </w:r>
      <w:r>
        <w:rPr>
          <w:rFonts w:hint="eastAsia"/>
          <w:bCs/>
        </w:rPr>
        <w:t>6</w:t>
      </w:r>
      <w:r>
        <w:rPr>
          <w:rFonts w:hAnsi="宋体"/>
          <w:bCs/>
        </w:rPr>
        <w:t>土壤现状监测结果表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119"/>
        <w:gridCol w:w="1056"/>
        <w:gridCol w:w="1744"/>
        <w:gridCol w:w="1239"/>
        <w:gridCol w:w="1391"/>
        <w:gridCol w:w="1100"/>
        <w:gridCol w:w="1411"/>
      </w:tblGrid>
      <w:tr w:rsidR="00475650">
        <w:trPr>
          <w:trHeight w:val="340"/>
          <w:jc w:val="center"/>
        </w:trPr>
        <w:tc>
          <w:tcPr>
            <w:tcW w:w="1119" w:type="dxa"/>
            <w:vMerge w:val="restart"/>
            <w:vAlign w:val="center"/>
          </w:tcPr>
          <w:p w:rsidR="00475650" w:rsidRDefault="00475650">
            <w:pPr>
              <w:jc w:val="center"/>
              <w:rPr>
                <w:szCs w:val="21"/>
              </w:rPr>
            </w:pPr>
            <w:r>
              <w:rPr>
                <w:rFonts w:hAnsi="宋体"/>
                <w:szCs w:val="21"/>
              </w:rPr>
              <w:t>检测点位</w:t>
            </w:r>
          </w:p>
        </w:tc>
        <w:tc>
          <w:tcPr>
            <w:tcW w:w="1056" w:type="dxa"/>
            <w:vMerge w:val="restart"/>
            <w:vAlign w:val="center"/>
          </w:tcPr>
          <w:p w:rsidR="00475650" w:rsidRDefault="00475650">
            <w:pPr>
              <w:jc w:val="center"/>
              <w:rPr>
                <w:szCs w:val="21"/>
              </w:rPr>
            </w:pPr>
            <w:r>
              <w:rPr>
                <w:rFonts w:hAnsi="宋体"/>
                <w:szCs w:val="21"/>
              </w:rPr>
              <w:t>检测日期</w:t>
            </w:r>
          </w:p>
        </w:tc>
        <w:tc>
          <w:tcPr>
            <w:tcW w:w="1744" w:type="dxa"/>
            <w:vMerge w:val="restart"/>
            <w:vAlign w:val="center"/>
          </w:tcPr>
          <w:p w:rsidR="00475650" w:rsidRDefault="00475650">
            <w:pPr>
              <w:jc w:val="center"/>
              <w:rPr>
                <w:szCs w:val="21"/>
              </w:rPr>
            </w:pPr>
            <w:r>
              <w:rPr>
                <w:rFonts w:hAnsi="宋体"/>
                <w:szCs w:val="21"/>
              </w:rPr>
              <w:t>检测项目</w:t>
            </w:r>
          </w:p>
        </w:tc>
        <w:tc>
          <w:tcPr>
            <w:tcW w:w="3730" w:type="dxa"/>
            <w:gridSpan w:val="3"/>
            <w:vAlign w:val="center"/>
          </w:tcPr>
          <w:p w:rsidR="00475650" w:rsidRDefault="00475650">
            <w:pPr>
              <w:jc w:val="center"/>
              <w:rPr>
                <w:szCs w:val="21"/>
              </w:rPr>
            </w:pPr>
            <w:r>
              <w:rPr>
                <w:rFonts w:hAnsi="宋体"/>
                <w:szCs w:val="21"/>
              </w:rPr>
              <w:t>检测结果</w:t>
            </w:r>
          </w:p>
        </w:tc>
        <w:tc>
          <w:tcPr>
            <w:tcW w:w="1411" w:type="dxa"/>
            <w:vMerge w:val="restart"/>
            <w:vAlign w:val="center"/>
          </w:tcPr>
          <w:p w:rsidR="00475650" w:rsidRDefault="00475650">
            <w:pPr>
              <w:jc w:val="center"/>
              <w:rPr>
                <w:szCs w:val="21"/>
              </w:rPr>
            </w:pPr>
            <w:r>
              <w:rPr>
                <w:szCs w:val="21"/>
              </w:rPr>
              <w:t>GB15618-</w:t>
            </w:r>
          </w:p>
          <w:p w:rsidR="00475650" w:rsidRDefault="00475650">
            <w:pPr>
              <w:jc w:val="center"/>
              <w:rPr>
                <w:szCs w:val="21"/>
              </w:rPr>
            </w:pPr>
            <w:r>
              <w:rPr>
                <w:szCs w:val="21"/>
              </w:rPr>
              <w:t>1995</w:t>
            </w:r>
            <w:r>
              <w:rPr>
                <w:rFonts w:hAnsi="宋体"/>
                <w:szCs w:val="21"/>
              </w:rPr>
              <w:t>二级</w:t>
            </w:r>
          </w:p>
        </w:tc>
      </w:tr>
      <w:tr w:rsidR="00475650">
        <w:trPr>
          <w:trHeight w:val="340"/>
          <w:jc w:val="center"/>
        </w:trPr>
        <w:tc>
          <w:tcPr>
            <w:tcW w:w="1119" w:type="dxa"/>
            <w:vMerge/>
            <w:vAlign w:val="center"/>
          </w:tcPr>
          <w:p w:rsidR="00475650" w:rsidRDefault="00475650">
            <w:pPr>
              <w:jc w:val="center"/>
              <w:rPr>
                <w:szCs w:val="21"/>
              </w:rPr>
            </w:pPr>
          </w:p>
        </w:tc>
        <w:tc>
          <w:tcPr>
            <w:tcW w:w="1056" w:type="dxa"/>
            <w:vMerge/>
            <w:vAlign w:val="center"/>
          </w:tcPr>
          <w:p w:rsidR="00475650" w:rsidRDefault="00475650">
            <w:pPr>
              <w:jc w:val="center"/>
              <w:rPr>
                <w:szCs w:val="21"/>
              </w:rPr>
            </w:pPr>
          </w:p>
        </w:tc>
        <w:tc>
          <w:tcPr>
            <w:tcW w:w="1744" w:type="dxa"/>
            <w:vMerge/>
            <w:vAlign w:val="center"/>
          </w:tcPr>
          <w:p w:rsidR="00475650" w:rsidRDefault="00475650">
            <w:pPr>
              <w:jc w:val="center"/>
              <w:rPr>
                <w:szCs w:val="21"/>
              </w:rPr>
            </w:pPr>
          </w:p>
        </w:tc>
        <w:tc>
          <w:tcPr>
            <w:tcW w:w="1239" w:type="dxa"/>
            <w:vAlign w:val="center"/>
          </w:tcPr>
          <w:p w:rsidR="00475650" w:rsidRDefault="00475650">
            <w:pPr>
              <w:jc w:val="center"/>
              <w:rPr>
                <w:szCs w:val="21"/>
              </w:rPr>
            </w:pPr>
            <w:r>
              <w:rPr>
                <w:rFonts w:hAnsi="宋体"/>
                <w:szCs w:val="21"/>
              </w:rPr>
              <w:t>表层</w:t>
            </w:r>
          </w:p>
        </w:tc>
        <w:tc>
          <w:tcPr>
            <w:tcW w:w="1391" w:type="dxa"/>
            <w:vAlign w:val="center"/>
          </w:tcPr>
          <w:p w:rsidR="00475650" w:rsidRDefault="00475650">
            <w:pPr>
              <w:jc w:val="center"/>
              <w:rPr>
                <w:szCs w:val="21"/>
              </w:rPr>
            </w:pPr>
            <w:r>
              <w:rPr>
                <w:rFonts w:hAnsi="宋体"/>
                <w:szCs w:val="21"/>
              </w:rPr>
              <w:t>中层</w:t>
            </w:r>
          </w:p>
        </w:tc>
        <w:tc>
          <w:tcPr>
            <w:tcW w:w="1100" w:type="dxa"/>
            <w:vAlign w:val="center"/>
          </w:tcPr>
          <w:p w:rsidR="00475650" w:rsidRDefault="00475650">
            <w:pPr>
              <w:jc w:val="center"/>
              <w:rPr>
                <w:szCs w:val="21"/>
              </w:rPr>
            </w:pPr>
            <w:r>
              <w:rPr>
                <w:rFonts w:hAnsi="宋体"/>
                <w:szCs w:val="21"/>
              </w:rPr>
              <w:t>深层</w:t>
            </w:r>
          </w:p>
        </w:tc>
        <w:tc>
          <w:tcPr>
            <w:tcW w:w="1411" w:type="dxa"/>
            <w:vMerge/>
            <w:vAlign w:val="center"/>
          </w:tcPr>
          <w:p w:rsidR="00475650" w:rsidRDefault="00475650">
            <w:pPr>
              <w:jc w:val="center"/>
              <w:rPr>
                <w:szCs w:val="21"/>
              </w:rPr>
            </w:pPr>
          </w:p>
        </w:tc>
      </w:tr>
      <w:tr w:rsidR="00475650">
        <w:trPr>
          <w:trHeight w:val="340"/>
          <w:jc w:val="center"/>
        </w:trPr>
        <w:tc>
          <w:tcPr>
            <w:tcW w:w="1119" w:type="dxa"/>
            <w:vMerge w:val="restart"/>
            <w:vAlign w:val="center"/>
          </w:tcPr>
          <w:p w:rsidR="00475650" w:rsidRDefault="00475650">
            <w:pPr>
              <w:jc w:val="center"/>
              <w:rPr>
                <w:szCs w:val="21"/>
              </w:rPr>
            </w:pPr>
            <w:r>
              <w:rPr>
                <w:rFonts w:hAnsi="宋体"/>
                <w:szCs w:val="21"/>
              </w:rPr>
              <w:t>宇恒化工厂界内主装置区（</w:t>
            </w:r>
            <w:r>
              <w:rPr>
                <w:szCs w:val="21"/>
              </w:rPr>
              <w:t>T1</w:t>
            </w:r>
            <w:r>
              <w:rPr>
                <w:rFonts w:hAnsi="宋体"/>
                <w:szCs w:val="21"/>
              </w:rPr>
              <w:t>）</w:t>
            </w:r>
          </w:p>
        </w:tc>
        <w:tc>
          <w:tcPr>
            <w:tcW w:w="1056" w:type="dxa"/>
            <w:vMerge w:val="restart"/>
            <w:vAlign w:val="center"/>
          </w:tcPr>
          <w:p w:rsidR="00475650" w:rsidRDefault="00475650">
            <w:pPr>
              <w:jc w:val="center"/>
              <w:rPr>
                <w:szCs w:val="21"/>
              </w:rPr>
            </w:pPr>
            <w:r>
              <w:rPr>
                <w:szCs w:val="21"/>
              </w:rPr>
              <w:t>2014.7.12</w:t>
            </w:r>
          </w:p>
        </w:tc>
        <w:tc>
          <w:tcPr>
            <w:tcW w:w="1744" w:type="dxa"/>
            <w:vAlign w:val="center"/>
          </w:tcPr>
          <w:p w:rsidR="00475650" w:rsidRDefault="00475650">
            <w:pPr>
              <w:jc w:val="center"/>
              <w:rPr>
                <w:szCs w:val="21"/>
              </w:rPr>
            </w:pPr>
            <w:r>
              <w:rPr>
                <w:szCs w:val="21"/>
              </w:rPr>
              <w:t>pH</w:t>
            </w:r>
            <w:r>
              <w:rPr>
                <w:rFonts w:hAnsi="宋体"/>
                <w:szCs w:val="21"/>
              </w:rPr>
              <w:t>值</w:t>
            </w:r>
            <w:r>
              <w:rPr>
                <w:szCs w:val="21"/>
              </w:rPr>
              <w:t>(</w:t>
            </w:r>
            <w:r>
              <w:rPr>
                <w:rFonts w:hAnsi="宋体"/>
                <w:szCs w:val="21"/>
              </w:rPr>
              <w:t>无量纲</w:t>
            </w:r>
            <w:r>
              <w:rPr>
                <w:szCs w:val="21"/>
              </w:rPr>
              <w:t>)</w:t>
            </w:r>
          </w:p>
        </w:tc>
        <w:tc>
          <w:tcPr>
            <w:tcW w:w="1239" w:type="dxa"/>
            <w:vAlign w:val="center"/>
          </w:tcPr>
          <w:p w:rsidR="00475650" w:rsidRDefault="00475650">
            <w:pPr>
              <w:jc w:val="center"/>
              <w:rPr>
                <w:szCs w:val="21"/>
              </w:rPr>
            </w:pPr>
            <w:r>
              <w:rPr>
                <w:szCs w:val="21"/>
              </w:rPr>
              <w:t>7.13</w:t>
            </w:r>
          </w:p>
        </w:tc>
        <w:tc>
          <w:tcPr>
            <w:tcW w:w="1391" w:type="dxa"/>
            <w:vAlign w:val="center"/>
          </w:tcPr>
          <w:p w:rsidR="00475650" w:rsidRDefault="00475650">
            <w:pPr>
              <w:jc w:val="center"/>
              <w:rPr>
                <w:szCs w:val="21"/>
              </w:rPr>
            </w:pPr>
            <w:r>
              <w:rPr>
                <w:szCs w:val="21"/>
              </w:rPr>
              <w:t>7.09</w:t>
            </w:r>
          </w:p>
        </w:tc>
        <w:tc>
          <w:tcPr>
            <w:tcW w:w="1100" w:type="dxa"/>
            <w:vAlign w:val="center"/>
          </w:tcPr>
          <w:p w:rsidR="00475650" w:rsidRDefault="00475650">
            <w:pPr>
              <w:jc w:val="center"/>
              <w:rPr>
                <w:szCs w:val="21"/>
              </w:rPr>
            </w:pPr>
            <w:r>
              <w:rPr>
                <w:szCs w:val="21"/>
              </w:rPr>
              <w:t>7.12</w:t>
            </w:r>
          </w:p>
        </w:tc>
        <w:tc>
          <w:tcPr>
            <w:tcW w:w="1411" w:type="dxa"/>
            <w:vAlign w:val="center"/>
          </w:tcPr>
          <w:p w:rsidR="00475650" w:rsidRDefault="00475650">
            <w:pPr>
              <w:jc w:val="center"/>
              <w:rPr>
                <w:szCs w:val="21"/>
              </w:rPr>
            </w:pPr>
            <w:r>
              <w:rPr>
                <w:szCs w:val="21"/>
              </w:rPr>
              <w:t>6.5~7.5</w:t>
            </w:r>
          </w:p>
        </w:tc>
      </w:tr>
      <w:tr w:rsidR="00475650">
        <w:trPr>
          <w:trHeight w:val="340"/>
          <w:jc w:val="center"/>
        </w:trPr>
        <w:tc>
          <w:tcPr>
            <w:tcW w:w="1119" w:type="dxa"/>
            <w:vMerge/>
            <w:vAlign w:val="center"/>
          </w:tcPr>
          <w:p w:rsidR="00475650" w:rsidRDefault="00475650">
            <w:pPr>
              <w:jc w:val="center"/>
              <w:rPr>
                <w:szCs w:val="21"/>
              </w:rPr>
            </w:pPr>
          </w:p>
        </w:tc>
        <w:tc>
          <w:tcPr>
            <w:tcW w:w="1056" w:type="dxa"/>
            <w:vMerge/>
            <w:vAlign w:val="center"/>
          </w:tcPr>
          <w:p w:rsidR="00475650" w:rsidRDefault="00475650">
            <w:pPr>
              <w:jc w:val="center"/>
              <w:rPr>
                <w:szCs w:val="21"/>
              </w:rPr>
            </w:pPr>
          </w:p>
        </w:tc>
        <w:tc>
          <w:tcPr>
            <w:tcW w:w="1744" w:type="dxa"/>
            <w:vAlign w:val="center"/>
          </w:tcPr>
          <w:p w:rsidR="00475650" w:rsidRDefault="00475650">
            <w:pPr>
              <w:jc w:val="center"/>
              <w:rPr>
                <w:szCs w:val="21"/>
              </w:rPr>
            </w:pPr>
            <w:r>
              <w:rPr>
                <w:rFonts w:hAnsi="宋体"/>
                <w:szCs w:val="21"/>
              </w:rPr>
              <w:t>锌</w:t>
            </w:r>
            <w:r>
              <w:rPr>
                <w:szCs w:val="21"/>
              </w:rPr>
              <w:t>(mg/kg)</w:t>
            </w:r>
          </w:p>
        </w:tc>
        <w:tc>
          <w:tcPr>
            <w:tcW w:w="1239" w:type="dxa"/>
            <w:vAlign w:val="center"/>
          </w:tcPr>
          <w:p w:rsidR="00475650" w:rsidRDefault="00475650">
            <w:pPr>
              <w:jc w:val="center"/>
              <w:rPr>
                <w:szCs w:val="21"/>
              </w:rPr>
            </w:pPr>
            <w:r>
              <w:rPr>
                <w:szCs w:val="21"/>
              </w:rPr>
              <w:t>134</w:t>
            </w:r>
          </w:p>
        </w:tc>
        <w:tc>
          <w:tcPr>
            <w:tcW w:w="1391" w:type="dxa"/>
            <w:vAlign w:val="center"/>
          </w:tcPr>
          <w:p w:rsidR="00475650" w:rsidRDefault="00475650">
            <w:pPr>
              <w:jc w:val="center"/>
              <w:rPr>
                <w:szCs w:val="21"/>
              </w:rPr>
            </w:pPr>
            <w:r>
              <w:rPr>
                <w:szCs w:val="21"/>
              </w:rPr>
              <w:t>125</w:t>
            </w:r>
          </w:p>
        </w:tc>
        <w:tc>
          <w:tcPr>
            <w:tcW w:w="1100" w:type="dxa"/>
            <w:vAlign w:val="center"/>
          </w:tcPr>
          <w:p w:rsidR="00475650" w:rsidRDefault="00475650">
            <w:pPr>
              <w:jc w:val="center"/>
              <w:rPr>
                <w:szCs w:val="21"/>
              </w:rPr>
            </w:pPr>
            <w:r>
              <w:rPr>
                <w:szCs w:val="21"/>
              </w:rPr>
              <w:t>123</w:t>
            </w:r>
          </w:p>
        </w:tc>
        <w:tc>
          <w:tcPr>
            <w:tcW w:w="1411" w:type="dxa"/>
            <w:vAlign w:val="center"/>
          </w:tcPr>
          <w:p w:rsidR="00475650" w:rsidRDefault="00475650">
            <w:pPr>
              <w:jc w:val="center"/>
              <w:rPr>
                <w:szCs w:val="21"/>
              </w:rPr>
            </w:pPr>
            <w:r>
              <w:rPr>
                <w:szCs w:val="21"/>
              </w:rPr>
              <w:t>250</w:t>
            </w:r>
          </w:p>
        </w:tc>
      </w:tr>
      <w:tr w:rsidR="00475650">
        <w:trPr>
          <w:trHeight w:val="340"/>
          <w:jc w:val="center"/>
        </w:trPr>
        <w:tc>
          <w:tcPr>
            <w:tcW w:w="1119" w:type="dxa"/>
            <w:vMerge/>
            <w:vAlign w:val="center"/>
          </w:tcPr>
          <w:p w:rsidR="00475650" w:rsidRDefault="00475650">
            <w:pPr>
              <w:jc w:val="center"/>
              <w:rPr>
                <w:szCs w:val="21"/>
              </w:rPr>
            </w:pPr>
          </w:p>
        </w:tc>
        <w:tc>
          <w:tcPr>
            <w:tcW w:w="1056" w:type="dxa"/>
            <w:vMerge/>
            <w:vAlign w:val="center"/>
          </w:tcPr>
          <w:p w:rsidR="00475650" w:rsidRDefault="00475650">
            <w:pPr>
              <w:jc w:val="center"/>
              <w:rPr>
                <w:szCs w:val="21"/>
              </w:rPr>
            </w:pPr>
          </w:p>
        </w:tc>
        <w:tc>
          <w:tcPr>
            <w:tcW w:w="1744" w:type="dxa"/>
            <w:vAlign w:val="center"/>
          </w:tcPr>
          <w:p w:rsidR="00475650" w:rsidRDefault="00475650">
            <w:pPr>
              <w:jc w:val="center"/>
              <w:rPr>
                <w:szCs w:val="21"/>
              </w:rPr>
            </w:pPr>
            <w:r>
              <w:rPr>
                <w:rFonts w:hAnsi="宋体"/>
                <w:szCs w:val="21"/>
              </w:rPr>
              <w:t>铜</w:t>
            </w:r>
            <w:r>
              <w:rPr>
                <w:szCs w:val="21"/>
              </w:rPr>
              <w:t>(mg/kg)</w:t>
            </w:r>
          </w:p>
        </w:tc>
        <w:tc>
          <w:tcPr>
            <w:tcW w:w="1239" w:type="dxa"/>
            <w:vAlign w:val="center"/>
          </w:tcPr>
          <w:p w:rsidR="00475650" w:rsidRDefault="00475650">
            <w:pPr>
              <w:jc w:val="center"/>
              <w:rPr>
                <w:szCs w:val="21"/>
              </w:rPr>
            </w:pPr>
            <w:r>
              <w:rPr>
                <w:szCs w:val="21"/>
              </w:rPr>
              <w:t>23</w:t>
            </w:r>
          </w:p>
        </w:tc>
        <w:tc>
          <w:tcPr>
            <w:tcW w:w="1391" w:type="dxa"/>
            <w:vAlign w:val="center"/>
          </w:tcPr>
          <w:p w:rsidR="00475650" w:rsidRDefault="00475650">
            <w:pPr>
              <w:jc w:val="center"/>
              <w:rPr>
                <w:szCs w:val="21"/>
              </w:rPr>
            </w:pPr>
            <w:r>
              <w:rPr>
                <w:szCs w:val="21"/>
              </w:rPr>
              <w:t>21</w:t>
            </w:r>
          </w:p>
        </w:tc>
        <w:tc>
          <w:tcPr>
            <w:tcW w:w="1100" w:type="dxa"/>
            <w:vAlign w:val="center"/>
          </w:tcPr>
          <w:p w:rsidR="00475650" w:rsidRDefault="00475650">
            <w:pPr>
              <w:jc w:val="center"/>
              <w:rPr>
                <w:szCs w:val="21"/>
              </w:rPr>
            </w:pPr>
            <w:r>
              <w:rPr>
                <w:szCs w:val="21"/>
              </w:rPr>
              <w:t>18</w:t>
            </w:r>
          </w:p>
        </w:tc>
        <w:tc>
          <w:tcPr>
            <w:tcW w:w="1411" w:type="dxa"/>
            <w:vAlign w:val="center"/>
          </w:tcPr>
          <w:p w:rsidR="00475650" w:rsidRDefault="00475650">
            <w:pPr>
              <w:jc w:val="center"/>
              <w:rPr>
                <w:szCs w:val="21"/>
              </w:rPr>
            </w:pPr>
            <w:r>
              <w:rPr>
                <w:szCs w:val="21"/>
              </w:rPr>
              <w:t>100</w:t>
            </w:r>
          </w:p>
        </w:tc>
      </w:tr>
      <w:tr w:rsidR="00475650">
        <w:trPr>
          <w:trHeight w:val="340"/>
          <w:jc w:val="center"/>
        </w:trPr>
        <w:tc>
          <w:tcPr>
            <w:tcW w:w="1119" w:type="dxa"/>
            <w:vMerge/>
            <w:vAlign w:val="center"/>
          </w:tcPr>
          <w:p w:rsidR="00475650" w:rsidRDefault="00475650">
            <w:pPr>
              <w:jc w:val="center"/>
              <w:rPr>
                <w:szCs w:val="21"/>
              </w:rPr>
            </w:pPr>
          </w:p>
        </w:tc>
        <w:tc>
          <w:tcPr>
            <w:tcW w:w="1056" w:type="dxa"/>
            <w:vMerge/>
            <w:vAlign w:val="center"/>
          </w:tcPr>
          <w:p w:rsidR="00475650" w:rsidRDefault="00475650">
            <w:pPr>
              <w:jc w:val="center"/>
              <w:rPr>
                <w:szCs w:val="21"/>
              </w:rPr>
            </w:pPr>
          </w:p>
        </w:tc>
        <w:tc>
          <w:tcPr>
            <w:tcW w:w="1744" w:type="dxa"/>
            <w:vAlign w:val="center"/>
          </w:tcPr>
          <w:p w:rsidR="00475650" w:rsidRDefault="00475650">
            <w:pPr>
              <w:jc w:val="center"/>
              <w:rPr>
                <w:szCs w:val="21"/>
              </w:rPr>
            </w:pPr>
            <w:r>
              <w:rPr>
                <w:rFonts w:hAnsi="宋体"/>
                <w:szCs w:val="21"/>
              </w:rPr>
              <w:t>铅</w:t>
            </w:r>
            <w:r>
              <w:rPr>
                <w:szCs w:val="21"/>
              </w:rPr>
              <w:t>(mg/kg)</w:t>
            </w:r>
          </w:p>
        </w:tc>
        <w:tc>
          <w:tcPr>
            <w:tcW w:w="1239" w:type="dxa"/>
            <w:vAlign w:val="center"/>
          </w:tcPr>
          <w:p w:rsidR="00475650" w:rsidRDefault="00475650">
            <w:pPr>
              <w:jc w:val="center"/>
              <w:rPr>
                <w:szCs w:val="21"/>
              </w:rPr>
            </w:pPr>
            <w:r>
              <w:rPr>
                <w:szCs w:val="21"/>
              </w:rPr>
              <w:t>19.7</w:t>
            </w:r>
          </w:p>
        </w:tc>
        <w:tc>
          <w:tcPr>
            <w:tcW w:w="1391" w:type="dxa"/>
            <w:vAlign w:val="center"/>
          </w:tcPr>
          <w:p w:rsidR="00475650" w:rsidRDefault="00475650">
            <w:pPr>
              <w:jc w:val="center"/>
              <w:rPr>
                <w:szCs w:val="21"/>
              </w:rPr>
            </w:pPr>
            <w:r>
              <w:rPr>
                <w:szCs w:val="21"/>
              </w:rPr>
              <w:t>18.8</w:t>
            </w:r>
          </w:p>
        </w:tc>
        <w:tc>
          <w:tcPr>
            <w:tcW w:w="1100" w:type="dxa"/>
            <w:vAlign w:val="center"/>
          </w:tcPr>
          <w:p w:rsidR="00475650" w:rsidRDefault="00475650">
            <w:pPr>
              <w:jc w:val="center"/>
              <w:rPr>
                <w:szCs w:val="21"/>
              </w:rPr>
            </w:pPr>
            <w:r>
              <w:rPr>
                <w:szCs w:val="21"/>
              </w:rPr>
              <w:t>18.5</w:t>
            </w:r>
          </w:p>
        </w:tc>
        <w:tc>
          <w:tcPr>
            <w:tcW w:w="1411" w:type="dxa"/>
            <w:vAlign w:val="center"/>
          </w:tcPr>
          <w:p w:rsidR="00475650" w:rsidRDefault="00475650">
            <w:pPr>
              <w:jc w:val="center"/>
              <w:rPr>
                <w:szCs w:val="21"/>
              </w:rPr>
            </w:pPr>
            <w:r>
              <w:rPr>
                <w:szCs w:val="21"/>
              </w:rPr>
              <w:t>300</w:t>
            </w:r>
          </w:p>
        </w:tc>
      </w:tr>
      <w:tr w:rsidR="00475650">
        <w:trPr>
          <w:trHeight w:val="340"/>
          <w:jc w:val="center"/>
        </w:trPr>
        <w:tc>
          <w:tcPr>
            <w:tcW w:w="1119" w:type="dxa"/>
            <w:vMerge/>
            <w:vAlign w:val="center"/>
          </w:tcPr>
          <w:p w:rsidR="00475650" w:rsidRDefault="00475650">
            <w:pPr>
              <w:jc w:val="center"/>
              <w:rPr>
                <w:szCs w:val="21"/>
              </w:rPr>
            </w:pPr>
          </w:p>
        </w:tc>
        <w:tc>
          <w:tcPr>
            <w:tcW w:w="1056" w:type="dxa"/>
            <w:vMerge/>
            <w:vAlign w:val="center"/>
          </w:tcPr>
          <w:p w:rsidR="00475650" w:rsidRDefault="00475650">
            <w:pPr>
              <w:jc w:val="center"/>
              <w:rPr>
                <w:szCs w:val="21"/>
              </w:rPr>
            </w:pPr>
          </w:p>
        </w:tc>
        <w:tc>
          <w:tcPr>
            <w:tcW w:w="1744" w:type="dxa"/>
            <w:vAlign w:val="center"/>
          </w:tcPr>
          <w:p w:rsidR="00475650" w:rsidRDefault="00475650">
            <w:pPr>
              <w:jc w:val="center"/>
              <w:rPr>
                <w:szCs w:val="21"/>
              </w:rPr>
            </w:pPr>
            <w:r>
              <w:rPr>
                <w:rFonts w:hAnsi="宋体"/>
                <w:szCs w:val="21"/>
              </w:rPr>
              <w:t>砷</w:t>
            </w:r>
            <w:r>
              <w:rPr>
                <w:szCs w:val="21"/>
              </w:rPr>
              <w:t>(mg/kg)</w:t>
            </w:r>
          </w:p>
        </w:tc>
        <w:tc>
          <w:tcPr>
            <w:tcW w:w="1239" w:type="dxa"/>
            <w:vAlign w:val="center"/>
          </w:tcPr>
          <w:p w:rsidR="00475650" w:rsidRDefault="00475650">
            <w:pPr>
              <w:jc w:val="center"/>
              <w:rPr>
                <w:szCs w:val="21"/>
              </w:rPr>
            </w:pPr>
            <w:r>
              <w:rPr>
                <w:szCs w:val="21"/>
              </w:rPr>
              <w:t>7.6</w:t>
            </w:r>
          </w:p>
        </w:tc>
        <w:tc>
          <w:tcPr>
            <w:tcW w:w="1391" w:type="dxa"/>
            <w:vAlign w:val="center"/>
          </w:tcPr>
          <w:p w:rsidR="00475650" w:rsidRDefault="00475650">
            <w:pPr>
              <w:jc w:val="center"/>
              <w:rPr>
                <w:szCs w:val="21"/>
              </w:rPr>
            </w:pPr>
            <w:r>
              <w:rPr>
                <w:szCs w:val="21"/>
              </w:rPr>
              <w:t>7.2</w:t>
            </w:r>
          </w:p>
        </w:tc>
        <w:tc>
          <w:tcPr>
            <w:tcW w:w="1100" w:type="dxa"/>
            <w:vAlign w:val="center"/>
          </w:tcPr>
          <w:p w:rsidR="00475650" w:rsidRDefault="00475650">
            <w:pPr>
              <w:jc w:val="center"/>
              <w:rPr>
                <w:szCs w:val="21"/>
              </w:rPr>
            </w:pPr>
            <w:r>
              <w:rPr>
                <w:szCs w:val="21"/>
              </w:rPr>
              <w:t>6.9</w:t>
            </w:r>
          </w:p>
        </w:tc>
        <w:tc>
          <w:tcPr>
            <w:tcW w:w="1411" w:type="dxa"/>
            <w:vAlign w:val="center"/>
          </w:tcPr>
          <w:p w:rsidR="00475650" w:rsidRDefault="00475650">
            <w:pPr>
              <w:jc w:val="center"/>
              <w:rPr>
                <w:szCs w:val="21"/>
              </w:rPr>
            </w:pPr>
            <w:r>
              <w:rPr>
                <w:szCs w:val="21"/>
              </w:rPr>
              <w:t>25</w:t>
            </w:r>
          </w:p>
        </w:tc>
      </w:tr>
      <w:tr w:rsidR="00475650">
        <w:trPr>
          <w:trHeight w:val="340"/>
          <w:jc w:val="center"/>
        </w:trPr>
        <w:tc>
          <w:tcPr>
            <w:tcW w:w="1119" w:type="dxa"/>
            <w:vMerge/>
            <w:vAlign w:val="center"/>
          </w:tcPr>
          <w:p w:rsidR="00475650" w:rsidRDefault="00475650">
            <w:pPr>
              <w:jc w:val="center"/>
              <w:rPr>
                <w:szCs w:val="21"/>
              </w:rPr>
            </w:pPr>
          </w:p>
        </w:tc>
        <w:tc>
          <w:tcPr>
            <w:tcW w:w="1056" w:type="dxa"/>
            <w:vMerge/>
            <w:vAlign w:val="center"/>
          </w:tcPr>
          <w:p w:rsidR="00475650" w:rsidRDefault="00475650">
            <w:pPr>
              <w:jc w:val="center"/>
              <w:rPr>
                <w:szCs w:val="21"/>
              </w:rPr>
            </w:pPr>
          </w:p>
        </w:tc>
        <w:tc>
          <w:tcPr>
            <w:tcW w:w="1744" w:type="dxa"/>
            <w:vAlign w:val="center"/>
          </w:tcPr>
          <w:p w:rsidR="00475650" w:rsidRDefault="00475650">
            <w:pPr>
              <w:jc w:val="center"/>
              <w:rPr>
                <w:szCs w:val="21"/>
              </w:rPr>
            </w:pPr>
            <w:r>
              <w:rPr>
                <w:rFonts w:hAnsi="宋体"/>
                <w:szCs w:val="21"/>
              </w:rPr>
              <w:t>镉</w:t>
            </w:r>
            <w:r>
              <w:rPr>
                <w:szCs w:val="21"/>
              </w:rPr>
              <w:t>(mg/kg)</w:t>
            </w:r>
          </w:p>
        </w:tc>
        <w:tc>
          <w:tcPr>
            <w:tcW w:w="1239" w:type="dxa"/>
            <w:vAlign w:val="center"/>
          </w:tcPr>
          <w:p w:rsidR="00475650" w:rsidRDefault="00475650">
            <w:pPr>
              <w:jc w:val="center"/>
              <w:rPr>
                <w:szCs w:val="21"/>
              </w:rPr>
            </w:pPr>
            <w:r>
              <w:rPr>
                <w:szCs w:val="21"/>
              </w:rPr>
              <w:t>0.19</w:t>
            </w:r>
          </w:p>
        </w:tc>
        <w:tc>
          <w:tcPr>
            <w:tcW w:w="1391" w:type="dxa"/>
            <w:vAlign w:val="center"/>
          </w:tcPr>
          <w:p w:rsidR="00475650" w:rsidRDefault="00475650">
            <w:pPr>
              <w:jc w:val="center"/>
              <w:rPr>
                <w:szCs w:val="21"/>
              </w:rPr>
            </w:pPr>
            <w:r>
              <w:rPr>
                <w:szCs w:val="21"/>
              </w:rPr>
              <w:t>0.18</w:t>
            </w:r>
          </w:p>
        </w:tc>
        <w:tc>
          <w:tcPr>
            <w:tcW w:w="1100" w:type="dxa"/>
            <w:vAlign w:val="center"/>
          </w:tcPr>
          <w:p w:rsidR="00475650" w:rsidRDefault="00475650">
            <w:pPr>
              <w:jc w:val="center"/>
              <w:rPr>
                <w:szCs w:val="21"/>
              </w:rPr>
            </w:pPr>
            <w:r>
              <w:rPr>
                <w:szCs w:val="21"/>
              </w:rPr>
              <w:t>0.15</w:t>
            </w:r>
          </w:p>
        </w:tc>
        <w:tc>
          <w:tcPr>
            <w:tcW w:w="1411" w:type="dxa"/>
            <w:vAlign w:val="center"/>
          </w:tcPr>
          <w:p w:rsidR="00475650" w:rsidRDefault="00475650">
            <w:pPr>
              <w:jc w:val="center"/>
              <w:rPr>
                <w:szCs w:val="21"/>
              </w:rPr>
            </w:pPr>
            <w:r>
              <w:rPr>
                <w:szCs w:val="21"/>
              </w:rPr>
              <w:t>0.3</w:t>
            </w:r>
          </w:p>
        </w:tc>
      </w:tr>
      <w:tr w:rsidR="00475650">
        <w:trPr>
          <w:trHeight w:val="340"/>
          <w:jc w:val="center"/>
        </w:trPr>
        <w:tc>
          <w:tcPr>
            <w:tcW w:w="1119" w:type="dxa"/>
            <w:vMerge/>
            <w:vAlign w:val="center"/>
          </w:tcPr>
          <w:p w:rsidR="00475650" w:rsidRDefault="00475650">
            <w:pPr>
              <w:jc w:val="center"/>
              <w:rPr>
                <w:szCs w:val="21"/>
              </w:rPr>
            </w:pPr>
          </w:p>
        </w:tc>
        <w:tc>
          <w:tcPr>
            <w:tcW w:w="1056" w:type="dxa"/>
            <w:vMerge/>
            <w:vAlign w:val="center"/>
          </w:tcPr>
          <w:p w:rsidR="00475650" w:rsidRDefault="00475650">
            <w:pPr>
              <w:jc w:val="center"/>
              <w:rPr>
                <w:szCs w:val="21"/>
              </w:rPr>
            </w:pPr>
          </w:p>
        </w:tc>
        <w:tc>
          <w:tcPr>
            <w:tcW w:w="1744" w:type="dxa"/>
            <w:vAlign w:val="center"/>
          </w:tcPr>
          <w:p w:rsidR="00475650" w:rsidRDefault="00475650">
            <w:pPr>
              <w:jc w:val="center"/>
              <w:rPr>
                <w:szCs w:val="21"/>
              </w:rPr>
            </w:pPr>
            <w:r>
              <w:rPr>
                <w:rFonts w:hAnsi="宋体"/>
                <w:szCs w:val="21"/>
              </w:rPr>
              <w:t>汞</w:t>
            </w:r>
            <w:r>
              <w:rPr>
                <w:szCs w:val="21"/>
              </w:rPr>
              <w:t>(mg/kg)</w:t>
            </w:r>
          </w:p>
        </w:tc>
        <w:tc>
          <w:tcPr>
            <w:tcW w:w="1239" w:type="dxa"/>
            <w:vAlign w:val="center"/>
          </w:tcPr>
          <w:p w:rsidR="00475650" w:rsidRDefault="00475650">
            <w:pPr>
              <w:jc w:val="center"/>
              <w:rPr>
                <w:szCs w:val="21"/>
              </w:rPr>
            </w:pPr>
            <w:r>
              <w:rPr>
                <w:szCs w:val="21"/>
              </w:rPr>
              <w:t>0.113</w:t>
            </w:r>
          </w:p>
        </w:tc>
        <w:tc>
          <w:tcPr>
            <w:tcW w:w="1391" w:type="dxa"/>
            <w:vAlign w:val="center"/>
          </w:tcPr>
          <w:p w:rsidR="00475650" w:rsidRDefault="00475650">
            <w:pPr>
              <w:jc w:val="center"/>
              <w:rPr>
                <w:szCs w:val="21"/>
              </w:rPr>
            </w:pPr>
            <w:r>
              <w:rPr>
                <w:szCs w:val="21"/>
              </w:rPr>
              <w:t>0.108</w:t>
            </w:r>
          </w:p>
        </w:tc>
        <w:tc>
          <w:tcPr>
            <w:tcW w:w="1100" w:type="dxa"/>
            <w:vAlign w:val="center"/>
          </w:tcPr>
          <w:p w:rsidR="00475650" w:rsidRDefault="00475650">
            <w:pPr>
              <w:jc w:val="center"/>
              <w:rPr>
                <w:szCs w:val="21"/>
              </w:rPr>
            </w:pPr>
            <w:r>
              <w:rPr>
                <w:szCs w:val="21"/>
              </w:rPr>
              <w:t>0.125</w:t>
            </w:r>
          </w:p>
        </w:tc>
        <w:tc>
          <w:tcPr>
            <w:tcW w:w="1411" w:type="dxa"/>
            <w:vAlign w:val="center"/>
          </w:tcPr>
          <w:p w:rsidR="00475650" w:rsidRDefault="00475650">
            <w:pPr>
              <w:jc w:val="center"/>
              <w:rPr>
                <w:szCs w:val="21"/>
              </w:rPr>
            </w:pPr>
            <w:r>
              <w:rPr>
                <w:szCs w:val="21"/>
              </w:rPr>
              <w:t>0.5</w:t>
            </w:r>
          </w:p>
        </w:tc>
      </w:tr>
      <w:tr w:rsidR="00475650">
        <w:trPr>
          <w:trHeight w:val="340"/>
          <w:jc w:val="center"/>
        </w:trPr>
        <w:tc>
          <w:tcPr>
            <w:tcW w:w="1119" w:type="dxa"/>
            <w:vMerge/>
            <w:vAlign w:val="center"/>
          </w:tcPr>
          <w:p w:rsidR="00475650" w:rsidRDefault="00475650">
            <w:pPr>
              <w:jc w:val="center"/>
              <w:rPr>
                <w:szCs w:val="21"/>
              </w:rPr>
            </w:pPr>
          </w:p>
        </w:tc>
        <w:tc>
          <w:tcPr>
            <w:tcW w:w="1056" w:type="dxa"/>
            <w:vMerge/>
            <w:vAlign w:val="center"/>
          </w:tcPr>
          <w:p w:rsidR="00475650" w:rsidRDefault="00475650">
            <w:pPr>
              <w:jc w:val="center"/>
              <w:rPr>
                <w:szCs w:val="21"/>
              </w:rPr>
            </w:pPr>
          </w:p>
        </w:tc>
        <w:tc>
          <w:tcPr>
            <w:tcW w:w="1744" w:type="dxa"/>
            <w:vAlign w:val="center"/>
          </w:tcPr>
          <w:p w:rsidR="00475650" w:rsidRDefault="00475650">
            <w:pPr>
              <w:jc w:val="center"/>
              <w:rPr>
                <w:szCs w:val="21"/>
              </w:rPr>
            </w:pPr>
            <w:r>
              <w:rPr>
                <w:rFonts w:hAnsi="宋体"/>
                <w:szCs w:val="21"/>
              </w:rPr>
              <w:t>铬</w:t>
            </w:r>
            <w:r>
              <w:rPr>
                <w:szCs w:val="21"/>
              </w:rPr>
              <w:t>(mg/kg)</w:t>
            </w:r>
          </w:p>
        </w:tc>
        <w:tc>
          <w:tcPr>
            <w:tcW w:w="1239" w:type="dxa"/>
            <w:vAlign w:val="center"/>
          </w:tcPr>
          <w:p w:rsidR="00475650" w:rsidRDefault="00475650">
            <w:pPr>
              <w:jc w:val="center"/>
              <w:rPr>
                <w:szCs w:val="21"/>
              </w:rPr>
            </w:pPr>
            <w:r>
              <w:rPr>
                <w:szCs w:val="21"/>
              </w:rPr>
              <w:t>97</w:t>
            </w:r>
          </w:p>
        </w:tc>
        <w:tc>
          <w:tcPr>
            <w:tcW w:w="1391" w:type="dxa"/>
            <w:vAlign w:val="center"/>
          </w:tcPr>
          <w:p w:rsidR="00475650" w:rsidRDefault="00475650">
            <w:pPr>
              <w:jc w:val="center"/>
              <w:rPr>
                <w:szCs w:val="21"/>
              </w:rPr>
            </w:pPr>
            <w:r>
              <w:rPr>
                <w:szCs w:val="21"/>
              </w:rPr>
              <w:t>93</w:t>
            </w:r>
          </w:p>
        </w:tc>
        <w:tc>
          <w:tcPr>
            <w:tcW w:w="1100" w:type="dxa"/>
            <w:vAlign w:val="center"/>
          </w:tcPr>
          <w:p w:rsidR="00475650" w:rsidRDefault="00475650">
            <w:pPr>
              <w:jc w:val="center"/>
              <w:rPr>
                <w:szCs w:val="21"/>
              </w:rPr>
            </w:pPr>
            <w:r>
              <w:rPr>
                <w:szCs w:val="21"/>
              </w:rPr>
              <w:t>92</w:t>
            </w:r>
          </w:p>
        </w:tc>
        <w:tc>
          <w:tcPr>
            <w:tcW w:w="1411" w:type="dxa"/>
            <w:vAlign w:val="center"/>
          </w:tcPr>
          <w:p w:rsidR="00475650" w:rsidRDefault="00475650">
            <w:pPr>
              <w:jc w:val="center"/>
              <w:rPr>
                <w:szCs w:val="21"/>
              </w:rPr>
            </w:pPr>
            <w:r>
              <w:rPr>
                <w:szCs w:val="21"/>
              </w:rPr>
              <w:t>200</w:t>
            </w:r>
          </w:p>
        </w:tc>
      </w:tr>
    </w:tbl>
    <w:p w:rsidR="00475650" w:rsidRDefault="00475650">
      <w:pPr>
        <w:widowControl/>
        <w:spacing w:line="360" w:lineRule="auto"/>
        <w:ind w:firstLineChars="200" w:firstLine="480"/>
        <w:jc w:val="left"/>
        <w:rPr>
          <w:kern w:val="0"/>
          <w:sz w:val="24"/>
        </w:rPr>
      </w:pPr>
      <w:r>
        <w:rPr>
          <w:kern w:val="0"/>
          <w:sz w:val="24"/>
        </w:rPr>
        <w:t>4.3.5.2  2015</w:t>
      </w:r>
      <w:r>
        <w:rPr>
          <w:rFonts w:hAnsi="宋体"/>
          <w:kern w:val="0"/>
          <w:sz w:val="24"/>
        </w:rPr>
        <w:t>年</w:t>
      </w:r>
      <w:r>
        <w:rPr>
          <w:kern w:val="0"/>
          <w:sz w:val="24"/>
        </w:rPr>
        <w:t>11</w:t>
      </w:r>
      <w:r>
        <w:rPr>
          <w:rFonts w:hAnsi="宋体"/>
          <w:kern w:val="0"/>
          <w:sz w:val="24"/>
        </w:rPr>
        <w:t>月历史监测数据</w:t>
      </w:r>
    </w:p>
    <w:p w:rsidR="00475650" w:rsidRDefault="00475650">
      <w:pPr>
        <w:widowControl/>
        <w:spacing w:line="360" w:lineRule="auto"/>
        <w:ind w:firstLineChars="200" w:firstLine="480"/>
        <w:jc w:val="left"/>
        <w:rPr>
          <w:kern w:val="0"/>
          <w:sz w:val="24"/>
        </w:rPr>
      </w:pPr>
      <w:r>
        <w:rPr>
          <w:kern w:val="0"/>
          <w:sz w:val="24"/>
        </w:rPr>
        <w:t>(1)</w:t>
      </w:r>
      <w:r>
        <w:rPr>
          <w:rFonts w:hAnsi="宋体"/>
          <w:kern w:val="0"/>
          <w:sz w:val="24"/>
        </w:rPr>
        <w:t>监测因子</w:t>
      </w:r>
    </w:p>
    <w:p w:rsidR="00475650" w:rsidRDefault="00475650">
      <w:pPr>
        <w:widowControl/>
        <w:spacing w:line="360" w:lineRule="auto"/>
        <w:ind w:firstLineChars="200" w:firstLine="480"/>
        <w:jc w:val="left"/>
        <w:rPr>
          <w:kern w:val="0"/>
          <w:sz w:val="24"/>
        </w:rPr>
      </w:pPr>
      <w:r>
        <w:rPr>
          <w:kern w:val="0"/>
          <w:sz w:val="24"/>
        </w:rPr>
        <w:t>pH</w:t>
      </w:r>
      <w:r>
        <w:rPr>
          <w:rFonts w:hAnsi="宋体"/>
          <w:kern w:val="0"/>
          <w:sz w:val="24"/>
        </w:rPr>
        <w:t>、</w:t>
      </w:r>
      <w:r>
        <w:rPr>
          <w:kern w:val="0"/>
          <w:sz w:val="24"/>
        </w:rPr>
        <w:t>Pb</w:t>
      </w:r>
      <w:r>
        <w:rPr>
          <w:rFonts w:hAnsi="宋体"/>
          <w:kern w:val="0"/>
          <w:sz w:val="24"/>
        </w:rPr>
        <w:t>、</w:t>
      </w:r>
      <w:r>
        <w:rPr>
          <w:kern w:val="0"/>
          <w:sz w:val="24"/>
        </w:rPr>
        <w:t>Cd</w:t>
      </w:r>
      <w:r>
        <w:rPr>
          <w:rFonts w:hAnsi="宋体"/>
          <w:kern w:val="0"/>
          <w:sz w:val="24"/>
        </w:rPr>
        <w:t>、</w:t>
      </w:r>
      <w:r>
        <w:rPr>
          <w:kern w:val="0"/>
          <w:sz w:val="24"/>
        </w:rPr>
        <w:t>Hg</w:t>
      </w:r>
      <w:r>
        <w:rPr>
          <w:rFonts w:hAnsi="宋体"/>
          <w:kern w:val="0"/>
          <w:sz w:val="24"/>
        </w:rPr>
        <w:t>、</w:t>
      </w:r>
      <w:r>
        <w:rPr>
          <w:kern w:val="0"/>
          <w:sz w:val="24"/>
        </w:rPr>
        <w:t>As</w:t>
      </w:r>
      <w:r>
        <w:rPr>
          <w:rFonts w:hAnsi="宋体"/>
          <w:kern w:val="0"/>
          <w:sz w:val="24"/>
        </w:rPr>
        <w:t>、</w:t>
      </w:r>
      <w:r>
        <w:rPr>
          <w:kern w:val="0"/>
          <w:sz w:val="24"/>
        </w:rPr>
        <w:t>Cr</w:t>
      </w:r>
      <w:r>
        <w:rPr>
          <w:rFonts w:hAnsi="宋体"/>
          <w:kern w:val="0"/>
          <w:sz w:val="24"/>
        </w:rPr>
        <w:t>、</w:t>
      </w:r>
      <w:r>
        <w:rPr>
          <w:kern w:val="0"/>
          <w:sz w:val="24"/>
        </w:rPr>
        <w:t>Cu</w:t>
      </w:r>
      <w:r>
        <w:rPr>
          <w:rFonts w:hAnsi="宋体"/>
          <w:kern w:val="0"/>
          <w:sz w:val="24"/>
        </w:rPr>
        <w:t>、</w:t>
      </w:r>
      <w:r>
        <w:rPr>
          <w:kern w:val="0"/>
          <w:sz w:val="24"/>
        </w:rPr>
        <w:t>Zn</w:t>
      </w:r>
      <w:r>
        <w:rPr>
          <w:rFonts w:hAnsi="宋体"/>
          <w:kern w:val="0"/>
          <w:sz w:val="24"/>
        </w:rPr>
        <w:t>、</w:t>
      </w:r>
      <w:r>
        <w:rPr>
          <w:kern w:val="0"/>
          <w:sz w:val="24"/>
        </w:rPr>
        <w:t>Ni</w:t>
      </w:r>
      <w:r>
        <w:rPr>
          <w:rFonts w:hAnsi="宋体"/>
          <w:kern w:val="0"/>
          <w:sz w:val="24"/>
        </w:rPr>
        <w:t>共</w:t>
      </w:r>
      <w:r>
        <w:rPr>
          <w:rFonts w:hint="eastAsia"/>
          <w:kern w:val="0"/>
          <w:sz w:val="24"/>
        </w:rPr>
        <w:t>9</w:t>
      </w:r>
      <w:r>
        <w:rPr>
          <w:rFonts w:hAnsi="宋体"/>
          <w:kern w:val="0"/>
          <w:sz w:val="24"/>
        </w:rPr>
        <w:t>项。</w:t>
      </w:r>
    </w:p>
    <w:p w:rsidR="00475650" w:rsidRDefault="00475650">
      <w:pPr>
        <w:widowControl/>
        <w:spacing w:line="360" w:lineRule="auto"/>
        <w:ind w:firstLineChars="200" w:firstLine="480"/>
        <w:jc w:val="left"/>
        <w:rPr>
          <w:kern w:val="0"/>
          <w:sz w:val="24"/>
        </w:rPr>
      </w:pPr>
      <w:r>
        <w:rPr>
          <w:kern w:val="0"/>
          <w:sz w:val="24"/>
        </w:rPr>
        <w:t>(2)</w:t>
      </w:r>
      <w:r>
        <w:rPr>
          <w:rFonts w:hAnsi="宋体"/>
          <w:kern w:val="0"/>
          <w:sz w:val="24"/>
        </w:rPr>
        <w:t>监测点位</w:t>
      </w:r>
    </w:p>
    <w:p w:rsidR="00475650" w:rsidRDefault="00475650">
      <w:pPr>
        <w:widowControl/>
        <w:spacing w:line="360" w:lineRule="auto"/>
        <w:ind w:firstLineChars="200" w:firstLine="480"/>
        <w:jc w:val="left"/>
        <w:rPr>
          <w:kern w:val="0"/>
          <w:sz w:val="24"/>
        </w:rPr>
      </w:pPr>
      <w:r>
        <w:rPr>
          <w:kern w:val="0"/>
          <w:sz w:val="24"/>
        </w:rPr>
        <w:t>T2</w:t>
      </w:r>
      <w:r>
        <w:rPr>
          <w:rFonts w:hAnsi="宋体"/>
          <w:kern w:val="0"/>
          <w:sz w:val="24"/>
        </w:rPr>
        <w:t>：鸭栏村农田</w:t>
      </w:r>
      <w:r>
        <w:rPr>
          <w:kern w:val="0"/>
          <w:sz w:val="24"/>
        </w:rPr>
        <w:t>(</w:t>
      </w:r>
      <w:r>
        <w:rPr>
          <w:rFonts w:hAnsi="宋体"/>
          <w:kern w:val="0"/>
          <w:sz w:val="24"/>
        </w:rPr>
        <w:t>园区东北边界</w:t>
      </w:r>
      <w:r>
        <w:rPr>
          <w:kern w:val="0"/>
          <w:sz w:val="24"/>
        </w:rPr>
        <w:t>)</w:t>
      </w:r>
    </w:p>
    <w:p w:rsidR="00475650" w:rsidRDefault="00475650">
      <w:pPr>
        <w:widowControl/>
        <w:spacing w:line="360" w:lineRule="auto"/>
        <w:ind w:firstLineChars="200" w:firstLine="480"/>
        <w:jc w:val="left"/>
        <w:rPr>
          <w:kern w:val="0"/>
          <w:sz w:val="24"/>
        </w:rPr>
      </w:pPr>
      <w:r>
        <w:rPr>
          <w:kern w:val="0"/>
          <w:sz w:val="24"/>
        </w:rPr>
        <w:t>T3</w:t>
      </w:r>
      <w:r>
        <w:rPr>
          <w:rFonts w:hAnsi="宋体"/>
          <w:kern w:val="0"/>
          <w:sz w:val="24"/>
        </w:rPr>
        <w:t>：园区管委会处</w:t>
      </w:r>
      <w:r>
        <w:rPr>
          <w:kern w:val="0"/>
          <w:sz w:val="24"/>
        </w:rPr>
        <w:t>(</w:t>
      </w:r>
      <w:r>
        <w:rPr>
          <w:rFonts w:hAnsi="宋体"/>
          <w:kern w:val="0"/>
          <w:sz w:val="24"/>
        </w:rPr>
        <w:t>项目区东北面</w:t>
      </w:r>
      <w:r>
        <w:rPr>
          <w:kern w:val="0"/>
          <w:sz w:val="24"/>
        </w:rPr>
        <w:t>)</w:t>
      </w:r>
    </w:p>
    <w:p w:rsidR="00475650" w:rsidRDefault="00475650">
      <w:pPr>
        <w:widowControl/>
        <w:spacing w:line="360" w:lineRule="auto"/>
        <w:ind w:firstLineChars="200" w:firstLine="480"/>
        <w:jc w:val="left"/>
        <w:rPr>
          <w:kern w:val="0"/>
          <w:sz w:val="24"/>
        </w:rPr>
      </w:pPr>
      <w:r>
        <w:rPr>
          <w:kern w:val="0"/>
          <w:sz w:val="24"/>
        </w:rPr>
        <w:t>T4</w:t>
      </w:r>
      <w:r>
        <w:rPr>
          <w:rFonts w:hAnsi="宋体"/>
          <w:kern w:val="0"/>
          <w:sz w:val="24"/>
        </w:rPr>
        <w:t>：杨桥村</w:t>
      </w:r>
      <w:r>
        <w:rPr>
          <w:kern w:val="0"/>
          <w:sz w:val="24"/>
        </w:rPr>
        <w:t>(</w:t>
      </w:r>
      <w:r>
        <w:rPr>
          <w:rFonts w:hAnsi="宋体"/>
          <w:kern w:val="0"/>
          <w:sz w:val="24"/>
        </w:rPr>
        <w:t>项目区东南面</w:t>
      </w:r>
      <w:r>
        <w:rPr>
          <w:kern w:val="0"/>
          <w:sz w:val="24"/>
        </w:rPr>
        <w:t>)</w:t>
      </w:r>
    </w:p>
    <w:p w:rsidR="00475650" w:rsidRDefault="00475650">
      <w:pPr>
        <w:widowControl/>
        <w:spacing w:line="360" w:lineRule="auto"/>
        <w:ind w:firstLineChars="200" w:firstLine="480"/>
        <w:jc w:val="left"/>
        <w:rPr>
          <w:kern w:val="0"/>
          <w:sz w:val="24"/>
        </w:rPr>
      </w:pPr>
      <w:r>
        <w:rPr>
          <w:kern w:val="0"/>
          <w:sz w:val="24"/>
        </w:rPr>
        <w:t>(3)</w:t>
      </w:r>
      <w:r>
        <w:rPr>
          <w:rFonts w:hAnsi="宋体"/>
          <w:kern w:val="0"/>
          <w:sz w:val="24"/>
        </w:rPr>
        <w:t>监测时间与频次</w:t>
      </w:r>
    </w:p>
    <w:p w:rsidR="00475650" w:rsidRDefault="00475650">
      <w:pPr>
        <w:widowControl/>
        <w:spacing w:line="360" w:lineRule="auto"/>
        <w:ind w:firstLineChars="200" w:firstLine="480"/>
        <w:jc w:val="left"/>
        <w:rPr>
          <w:kern w:val="0"/>
          <w:sz w:val="24"/>
        </w:rPr>
      </w:pPr>
      <w:r>
        <w:rPr>
          <w:rFonts w:hAnsi="宋体"/>
          <w:kern w:val="0"/>
          <w:sz w:val="24"/>
        </w:rPr>
        <w:t>进行一期监测，监测</w:t>
      </w:r>
      <w:r>
        <w:rPr>
          <w:kern w:val="0"/>
          <w:sz w:val="24"/>
        </w:rPr>
        <w:t>1</w:t>
      </w:r>
      <w:r>
        <w:rPr>
          <w:rFonts w:hAnsi="宋体"/>
          <w:kern w:val="0"/>
          <w:sz w:val="24"/>
        </w:rPr>
        <w:t>次；</w:t>
      </w:r>
    </w:p>
    <w:p w:rsidR="00475650" w:rsidRDefault="00475650">
      <w:pPr>
        <w:widowControl/>
        <w:spacing w:line="360" w:lineRule="auto"/>
        <w:ind w:firstLineChars="200" w:firstLine="480"/>
        <w:jc w:val="left"/>
        <w:rPr>
          <w:kern w:val="0"/>
          <w:sz w:val="24"/>
        </w:rPr>
      </w:pPr>
      <w:r>
        <w:rPr>
          <w:kern w:val="0"/>
          <w:sz w:val="24"/>
        </w:rPr>
        <w:t xml:space="preserve">(4) </w:t>
      </w:r>
      <w:r>
        <w:rPr>
          <w:rFonts w:hAnsi="宋体"/>
          <w:kern w:val="0"/>
          <w:sz w:val="24"/>
        </w:rPr>
        <w:t>监测结果统计</w:t>
      </w:r>
    </w:p>
    <w:p w:rsidR="00475650" w:rsidRDefault="00475650">
      <w:pPr>
        <w:widowControl/>
        <w:spacing w:line="360" w:lineRule="auto"/>
        <w:ind w:firstLineChars="200" w:firstLine="480"/>
        <w:jc w:val="left"/>
        <w:rPr>
          <w:kern w:val="0"/>
          <w:sz w:val="24"/>
        </w:rPr>
      </w:pPr>
      <w:r>
        <w:rPr>
          <w:rFonts w:hAnsi="宋体"/>
          <w:kern w:val="0"/>
          <w:sz w:val="24"/>
        </w:rPr>
        <w:t>监测结果见表</w:t>
      </w:r>
      <w:r>
        <w:rPr>
          <w:kern w:val="0"/>
          <w:sz w:val="24"/>
        </w:rPr>
        <w:t>4.3-</w:t>
      </w:r>
      <w:r>
        <w:rPr>
          <w:rFonts w:hint="eastAsia"/>
          <w:kern w:val="0"/>
          <w:sz w:val="24"/>
        </w:rPr>
        <w:t>17</w:t>
      </w:r>
      <w:r>
        <w:rPr>
          <w:rFonts w:hAnsi="宋体"/>
          <w:kern w:val="0"/>
          <w:sz w:val="24"/>
        </w:rPr>
        <w:t>和表</w:t>
      </w:r>
      <w:r>
        <w:rPr>
          <w:kern w:val="0"/>
          <w:sz w:val="24"/>
        </w:rPr>
        <w:t>4.3-1</w:t>
      </w:r>
      <w:r>
        <w:rPr>
          <w:rFonts w:hint="eastAsia"/>
          <w:kern w:val="0"/>
          <w:sz w:val="24"/>
        </w:rPr>
        <w:t>8</w:t>
      </w:r>
      <w:r>
        <w:rPr>
          <w:rFonts w:hAnsi="宋体"/>
          <w:kern w:val="0"/>
          <w:sz w:val="24"/>
        </w:rPr>
        <w:t>。</w:t>
      </w:r>
    </w:p>
    <w:p w:rsidR="00475650" w:rsidRDefault="00475650">
      <w:pPr>
        <w:jc w:val="center"/>
        <w:rPr>
          <w:b/>
          <w:bCs/>
          <w:sz w:val="24"/>
        </w:rPr>
      </w:pPr>
      <w:r>
        <w:rPr>
          <w:rFonts w:hAnsi="宋体"/>
          <w:b/>
          <w:bCs/>
          <w:sz w:val="24"/>
        </w:rPr>
        <w:t>表</w:t>
      </w:r>
      <w:r>
        <w:rPr>
          <w:b/>
          <w:bCs/>
          <w:sz w:val="24"/>
        </w:rPr>
        <w:t>4.3-1</w:t>
      </w:r>
      <w:r>
        <w:rPr>
          <w:rFonts w:hint="eastAsia"/>
          <w:b/>
          <w:bCs/>
          <w:sz w:val="24"/>
        </w:rPr>
        <w:t>7</w:t>
      </w:r>
      <w:r>
        <w:rPr>
          <w:rFonts w:hAnsi="宋体"/>
          <w:b/>
          <w:bCs/>
          <w:sz w:val="24"/>
        </w:rPr>
        <w:t>土壤环境监测数据表</w:t>
      </w:r>
      <w:r>
        <w:rPr>
          <w:b/>
          <w:bCs/>
          <w:sz w:val="24"/>
        </w:rPr>
        <w:t xml:space="preserve">  </w:t>
      </w:r>
      <w:r>
        <w:rPr>
          <w:rFonts w:hAnsi="宋体"/>
          <w:b/>
          <w:bCs/>
          <w:sz w:val="24"/>
        </w:rPr>
        <w:t>单位：</w:t>
      </w:r>
      <w:r>
        <w:rPr>
          <w:b/>
          <w:bCs/>
          <w:sz w:val="24"/>
        </w:rPr>
        <w:t>mg/kg</w:t>
      </w:r>
      <w:r>
        <w:rPr>
          <w:rFonts w:hAnsi="宋体"/>
          <w:b/>
          <w:bCs/>
          <w:sz w:val="24"/>
        </w:rPr>
        <w:t>（</w:t>
      </w:r>
      <w:r>
        <w:rPr>
          <w:b/>
          <w:bCs/>
          <w:sz w:val="24"/>
        </w:rPr>
        <w:t>pH</w:t>
      </w:r>
      <w:r>
        <w:rPr>
          <w:rFonts w:hAnsi="宋体"/>
          <w:b/>
          <w:bCs/>
          <w:sz w:val="24"/>
        </w:rPr>
        <w:t>值为无量纲）</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488"/>
        <w:gridCol w:w="1056"/>
        <w:gridCol w:w="1884"/>
        <w:gridCol w:w="1297"/>
        <w:gridCol w:w="1337"/>
        <w:gridCol w:w="1884"/>
      </w:tblGrid>
      <w:tr w:rsidR="00475650">
        <w:trPr>
          <w:trHeight w:val="340"/>
          <w:jc w:val="center"/>
        </w:trPr>
        <w:tc>
          <w:tcPr>
            <w:tcW w:w="1488" w:type="dxa"/>
            <w:vAlign w:val="center"/>
          </w:tcPr>
          <w:p w:rsidR="00475650" w:rsidRDefault="00475650">
            <w:pPr>
              <w:jc w:val="right"/>
              <w:rPr>
                <w:szCs w:val="21"/>
              </w:rPr>
            </w:pPr>
            <w:r>
              <w:rPr>
                <w:szCs w:val="21"/>
              </w:rPr>
              <w:t xml:space="preserve">  </w:t>
            </w:r>
            <w:r>
              <w:rPr>
                <w:rFonts w:hAnsi="宋体"/>
                <w:szCs w:val="21"/>
              </w:rPr>
              <w:t>取样点</w:t>
            </w:r>
          </w:p>
          <w:p w:rsidR="00475650" w:rsidRDefault="00475650">
            <w:pPr>
              <w:ind w:right="420"/>
              <w:rPr>
                <w:szCs w:val="21"/>
              </w:rPr>
            </w:pPr>
            <w:r>
              <w:rPr>
                <w:rFonts w:hAnsi="宋体"/>
                <w:szCs w:val="21"/>
              </w:rPr>
              <w:t>因子</w:t>
            </w:r>
          </w:p>
        </w:tc>
        <w:tc>
          <w:tcPr>
            <w:tcW w:w="1056" w:type="dxa"/>
            <w:vAlign w:val="center"/>
          </w:tcPr>
          <w:p w:rsidR="00475650" w:rsidRDefault="00475650">
            <w:pPr>
              <w:jc w:val="center"/>
              <w:rPr>
                <w:szCs w:val="21"/>
              </w:rPr>
            </w:pPr>
            <w:r>
              <w:rPr>
                <w:szCs w:val="21"/>
              </w:rPr>
              <w:t>T2</w:t>
            </w:r>
          </w:p>
        </w:tc>
        <w:tc>
          <w:tcPr>
            <w:tcW w:w="1884" w:type="dxa"/>
            <w:vAlign w:val="center"/>
          </w:tcPr>
          <w:p w:rsidR="00475650" w:rsidRDefault="00475650">
            <w:pPr>
              <w:jc w:val="center"/>
              <w:rPr>
                <w:szCs w:val="21"/>
              </w:rPr>
            </w:pPr>
            <w:r>
              <w:rPr>
                <w:szCs w:val="21"/>
              </w:rPr>
              <w:t>GB15618—1995</w:t>
            </w:r>
            <w:r>
              <w:rPr>
                <w:rFonts w:hAnsi="宋体"/>
                <w:szCs w:val="21"/>
              </w:rPr>
              <w:t>二级标准</w:t>
            </w:r>
          </w:p>
        </w:tc>
        <w:tc>
          <w:tcPr>
            <w:tcW w:w="1297" w:type="dxa"/>
            <w:vAlign w:val="center"/>
          </w:tcPr>
          <w:p w:rsidR="00475650" w:rsidRDefault="00475650">
            <w:pPr>
              <w:jc w:val="center"/>
              <w:rPr>
                <w:szCs w:val="21"/>
              </w:rPr>
            </w:pPr>
            <w:r>
              <w:rPr>
                <w:szCs w:val="21"/>
              </w:rPr>
              <w:t>T3</w:t>
            </w:r>
          </w:p>
        </w:tc>
        <w:tc>
          <w:tcPr>
            <w:tcW w:w="1337" w:type="dxa"/>
            <w:vAlign w:val="center"/>
          </w:tcPr>
          <w:p w:rsidR="00475650" w:rsidRDefault="00475650">
            <w:pPr>
              <w:jc w:val="center"/>
              <w:rPr>
                <w:szCs w:val="21"/>
              </w:rPr>
            </w:pPr>
            <w:r>
              <w:rPr>
                <w:szCs w:val="21"/>
              </w:rPr>
              <w:t>T4</w:t>
            </w:r>
          </w:p>
        </w:tc>
        <w:tc>
          <w:tcPr>
            <w:tcW w:w="1884" w:type="dxa"/>
            <w:vAlign w:val="center"/>
          </w:tcPr>
          <w:p w:rsidR="00475650" w:rsidRDefault="00475650">
            <w:pPr>
              <w:jc w:val="center"/>
              <w:rPr>
                <w:szCs w:val="21"/>
              </w:rPr>
            </w:pPr>
            <w:r>
              <w:rPr>
                <w:szCs w:val="21"/>
              </w:rPr>
              <w:t>GB15618—1995</w:t>
            </w:r>
            <w:r>
              <w:rPr>
                <w:rFonts w:hAnsi="宋体"/>
                <w:szCs w:val="21"/>
              </w:rPr>
              <w:t>二级标准</w:t>
            </w:r>
          </w:p>
        </w:tc>
      </w:tr>
      <w:tr w:rsidR="00475650">
        <w:trPr>
          <w:trHeight w:val="340"/>
          <w:jc w:val="center"/>
        </w:trPr>
        <w:tc>
          <w:tcPr>
            <w:tcW w:w="1488" w:type="dxa"/>
            <w:vAlign w:val="center"/>
          </w:tcPr>
          <w:p w:rsidR="00475650" w:rsidRDefault="00475650">
            <w:pPr>
              <w:jc w:val="center"/>
              <w:rPr>
                <w:szCs w:val="21"/>
              </w:rPr>
            </w:pPr>
            <w:r>
              <w:rPr>
                <w:szCs w:val="21"/>
              </w:rPr>
              <w:t>pH</w:t>
            </w:r>
          </w:p>
        </w:tc>
        <w:tc>
          <w:tcPr>
            <w:tcW w:w="1056" w:type="dxa"/>
            <w:vAlign w:val="center"/>
          </w:tcPr>
          <w:p w:rsidR="00475650" w:rsidRDefault="00475650">
            <w:pPr>
              <w:jc w:val="center"/>
              <w:rPr>
                <w:szCs w:val="21"/>
              </w:rPr>
            </w:pPr>
            <w:r>
              <w:rPr>
                <w:szCs w:val="21"/>
              </w:rPr>
              <w:t>7.86</w:t>
            </w:r>
          </w:p>
        </w:tc>
        <w:tc>
          <w:tcPr>
            <w:tcW w:w="1884" w:type="dxa"/>
            <w:vAlign w:val="center"/>
          </w:tcPr>
          <w:p w:rsidR="00475650" w:rsidRDefault="00475650">
            <w:pPr>
              <w:jc w:val="center"/>
              <w:rPr>
                <w:szCs w:val="21"/>
              </w:rPr>
            </w:pPr>
            <w:r>
              <w:rPr>
                <w:rFonts w:hAnsi="宋体"/>
                <w:szCs w:val="21"/>
              </w:rPr>
              <w:t>＞</w:t>
            </w:r>
            <w:r>
              <w:rPr>
                <w:szCs w:val="21"/>
              </w:rPr>
              <w:t>7.5</w:t>
            </w:r>
          </w:p>
        </w:tc>
        <w:tc>
          <w:tcPr>
            <w:tcW w:w="1297" w:type="dxa"/>
            <w:vAlign w:val="center"/>
          </w:tcPr>
          <w:p w:rsidR="00475650" w:rsidRDefault="00475650">
            <w:pPr>
              <w:jc w:val="center"/>
              <w:rPr>
                <w:szCs w:val="21"/>
              </w:rPr>
            </w:pPr>
            <w:r>
              <w:rPr>
                <w:szCs w:val="21"/>
              </w:rPr>
              <w:t>6.2</w:t>
            </w:r>
          </w:p>
        </w:tc>
        <w:tc>
          <w:tcPr>
            <w:tcW w:w="1337" w:type="dxa"/>
            <w:vAlign w:val="center"/>
          </w:tcPr>
          <w:p w:rsidR="00475650" w:rsidRDefault="00475650">
            <w:pPr>
              <w:jc w:val="center"/>
              <w:rPr>
                <w:szCs w:val="21"/>
              </w:rPr>
            </w:pPr>
            <w:r>
              <w:rPr>
                <w:szCs w:val="21"/>
              </w:rPr>
              <w:t>6.41</w:t>
            </w:r>
          </w:p>
        </w:tc>
        <w:tc>
          <w:tcPr>
            <w:tcW w:w="1884" w:type="dxa"/>
            <w:vAlign w:val="bottom"/>
          </w:tcPr>
          <w:p w:rsidR="00475650" w:rsidRDefault="00475650">
            <w:pPr>
              <w:jc w:val="center"/>
              <w:rPr>
                <w:szCs w:val="21"/>
              </w:rPr>
            </w:pPr>
            <w:r>
              <w:rPr>
                <w:rFonts w:hAnsi="宋体"/>
                <w:szCs w:val="21"/>
              </w:rPr>
              <w:t>＜</w:t>
            </w:r>
            <w:r>
              <w:rPr>
                <w:szCs w:val="21"/>
              </w:rPr>
              <w:t>6.5</w:t>
            </w:r>
          </w:p>
        </w:tc>
      </w:tr>
      <w:tr w:rsidR="00475650">
        <w:trPr>
          <w:trHeight w:val="340"/>
          <w:jc w:val="center"/>
        </w:trPr>
        <w:tc>
          <w:tcPr>
            <w:tcW w:w="1488" w:type="dxa"/>
            <w:vAlign w:val="center"/>
          </w:tcPr>
          <w:p w:rsidR="00475650" w:rsidRDefault="00475650">
            <w:pPr>
              <w:jc w:val="center"/>
              <w:rPr>
                <w:szCs w:val="21"/>
              </w:rPr>
            </w:pPr>
            <w:r>
              <w:rPr>
                <w:rFonts w:hAnsi="宋体"/>
                <w:szCs w:val="21"/>
              </w:rPr>
              <w:t>铅</w:t>
            </w:r>
          </w:p>
        </w:tc>
        <w:tc>
          <w:tcPr>
            <w:tcW w:w="1056" w:type="dxa"/>
            <w:vAlign w:val="center"/>
          </w:tcPr>
          <w:p w:rsidR="00475650" w:rsidRDefault="00475650">
            <w:pPr>
              <w:jc w:val="center"/>
              <w:rPr>
                <w:szCs w:val="21"/>
              </w:rPr>
            </w:pPr>
            <w:r>
              <w:rPr>
                <w:szCs w:val="21"/>
              </w:rPr>
              <w:t>27.7</w:t>
            </w:r>
          </w:p>
        </w:tc>
        <w:tc>
          <w:tcPr>
            <w:tcW w:w="1884" w:type="dxa"/>
            <w:vAlign w:val="center"/>
          </w:tcPr>
          <w:p w:rsidR="00475650" w:rsidRDefault="00475650">
            <w:pPr>
              <w:jc w:val="center"/>
              <w:rPr>
                <w:szCs w:val="21"/>
              </w:rPr>
            </w:pPr>
            <w:r>
              <w:rPr>
                <w:szCs w:val="21"/>
              </w:rPr>
              <w:t>≤350</w:t>
            </w:r>
          </w:p>
        </w:tc>
        <w:tc>
          <w:tcPr>
            <w:tcW w:w="1297" w:type="dxa"/>
            <w:vAlign w:val="center"/>
          </w:tcPr>
          <w:p w:rsidR="00475650" w:rsidRDefault="00475650">
            <w:pPr>
              <w:jc w:val="center"/>
              <w:rPr>
                <w:szCs w:val="21"/>
              </w:rPr>
            </w:pPr>
            <w:r>
              <w:rPr>
                <w:szCs w:val="21"/>
              </w:rPr>
              <w:t>22.4</w:t>
            </w:r>
          </w:p>
        </w:tc>
        <w:tc>
          <w:tcPr>
            <w:tcW w:w="1337" w:type="dxa"/>
            <w:vAlign w:val="center"/>
          </w:tcPr>
          <w:p w:rsidR="00475650" w:rsidRDefault="00475650">
            <w:pPr>
              <w:jc w:val="center"/>
              <w:rPr>
                <w:szCs w:val="21"/>
              </w:rPr>
            </w:pPr>
            <w:r>
              <w:rPr>
                <w:szCs w:val="21"/>
              </w:rPr>
              <w:t>23.8</w:t>
            </w:r>
          </w:p>
        </w:tc>
        <w:tc>
          <w:tcPr>
            <w:tcW w:w="1884" w:type="dxa"/>
            <w:vAlign w:val="bottom"/>
          </w:tcPr>
          <w:p w:rsidR="00475650" w:rsidRDefault="00475650">
            <w:pPr>
              <w:jc w:val="center"/>
              <w:rPr>
                <w:szCs w:val="21"/>
              </w:rPr>
            </w:pPr>
            <w:r>
              <w:rPr>
                <w:szCs w:val="21"/>
              </w:rPr>
              <w:t>≤250</w:t>
            </w:r>
          </w:p>
        </w:tc>
      </w:tr>
      <w:tr w:rsidR="00475650">
        <w:trPr>
          <w:trHeight w:val="340"/>
          <w:jc w:val="center"/>
        </w:trPr>
        <w:tc>
          <w:tcPr>
            <w:tcW w:w="1488" w:type="dxa"/>
            <w:vAlign w:val="center"/>
          </w:tcPr>
          <w:p w:rsidR="00475650" w:rsidRDefault="00475650">
            <w:pPr>
              <w:jc w:val="center"/>
              <w:rPr>
                <w:szCs w:val="21"/>
              </w:rPr>
            </w:pPr>
            <w:r>
              <w:rPr>
                <w:rFonts w:hAnsi="宋体"/>
                <w:szCs w:val="21"/>
              </w:rPr>
              <w:t>镉</w:t>
            </w:r>
          </w:p>
        </w:tc>
        <w:tc>
          <w:tcPr>
            <w:tcW w:w="1056" w:type="dxa"/>
            <w:vAlign w:val="center"/>
          </w:tcPr>
          <w:p w:rsidR="00475650" w:rsidRDefault="00475650">
            <w:pPr>
              <w:jc w:val="center"/>
              <w:rPr>
                <w:szCs w:val="21"/>
              </w:rPr>
            </w:pPr>
            <w:r>
              <w:rPr>
                <w:szCs w:val="21"/>
              </w:rPr>
              <w:t>0.239</w:t>
            </w:r>
          </w:p>
        </w:tc>
        <w:tc>
          <w:tcPr>
            <w:tcW w:w="1884" w:type="dxa"/>
            <w:vAlign w:val="center"/>
          </w:tcPr>
          <w:p w:rsidR="00475650" w:rsidRDefault="00475650">
            <w:pPr>
              <w:jc w:val="center"/>
              <w:rPr>
                <w:szCs w:val="21"/>
              </w:rPr>
            </w:pPr>
            <w:r>
              <w:rPr>
                <w:szCs w:val="21"/>
              </w:rPr>
              <w:t>≤0.3</w:t>
            </w:r>
          </w:p>
        </w:tc>
        <w:tc>
          <w:tcPr>
            <w:tcW w:w="1297" w:type="dxa"/>
            <w:vAlign w:val="center"/>
          </w:tcPr>
          <w:p w:rsidR="00475650" w:rsidRDefault="00475650">
            <w:pPr>
              <w:jc w:val="center"/>
              <w:rPr>
                <w:szCs w:val="21"/>
              </w:rPr>
            </w:pPr>
            <w:r>
              <w:rPr>
                <w:szCs w:val="21"/>
              </w:rPr>
              <w:t>0.234</w:t>
            </w:r>
          </w:p>
        </w:tc>
        <w:tc>
          <w:tcPr>
            <w:tcW w:w="1337" w:type="dxa"/>
            <w:vAlign w:val="center"/>
          </w:tcPr>
          <w:p w:rsidR="00475650" w:rsidRDefault="00475650">
            <w:pPr>
              <w:jc w:val="center"/>
              <w:rPr>
                <w:szCs w:val="21"/>
              </w:rPr>
            </w:pPr>
            <w:r>
              <w:rPr>
                <w:szCs w:val="21"/>
              </w:rPr>
              <w:t>0.252</w:t>
            </w:r>
          </w:p>
        </w:tc>
        <w:tc>
          <w:tcPr>
            <w:tcW w:w="1884" w:type="dxa"/>
            <w:vAlign w:val="bottom"/>
          </w:tcPr>
          <w:p w:rsidR="00475650" w:rsidRDefault="00475650">
            <w:pPr>
              <w:jc w:val="center"/>
              <w:rPr>
                <w:szCs w:val="21"/>
              </w:rPr>
            </w:pPr>
            <w:r>
              <w:rPr>
                <w:szCs w:val="21"/>
              </w:rPr>
              <w:t>≤0.3</w:t>
            </w:r>
          </w:p>
        </w:tc>
      </w:tr>
      <w:tr w:rsidR="00475650">
        <w:trPr>
          <w:trHeight w:val="340"/>
          <w:jc w:val="center"/>
        </w:trPr>
        <w:tc>
          <w:tcPr>
            <w:tcW w:w="1488" w:type="dxa"/>
            <w:vAlign w:val="center"/>
          </w:tcPr>
          <w:p w:rsidR="00475650" w:rsidRDefault="00475650">
            <w:pPr>
              <w:jc w:val="center"/>
              <w:rPr>
                <w:szCs w:val="21"/>
              </w:rPr>
            </w:pPr>
            <w:r>
              <w:rPr>
                <w:rFonts w:hAnsi="宋体"/>
                <w:szCs w:val="21"/>
              </w:rPr>
              <w:t>汞</w:t>
            </w:r>
          </w:p>
        </w:tc>
        <w:tc>
          <w:tcPr>
            <w:tcW w:w="1056" w:type="dxa"/>
            <w:vAlign w:val="center"/>
          </w:tcPr>
          <w:p w:rsidR="00475650" w:rsidRDefault="00475650">
            <w:pPr>
              <w:jc w:val="center"/>
              <w:rPr>
                <w:szCs w:val="21"/>
              </w:rPr>
            </w:pPr>
            <w:r>
              <w:rPr>
                <w:szCs w:val="21"/>
              </w:rPr>
              <w:t>0.0387</w:t>
            </w:r>
          </w:p>
        </w:tc>
        <w:tc>
          <w:tcPr>
            <w:tcW w:w="1884" w:type="dxa"/>
            <w:vAlign w:val="center"/>
          </w:tcPr>
          <w:p w:rsidR="00475650" w:rsidRDefault="00475650">
            <w:pPr>
              <w:jc w:val="center"/>
              <w:rPr>
                <w:szCs w:val="21"/>
              </w:rPr>
            </w:pPr>
            <w:r>
              <w:rPr>
                <w:szCs w:val="21"/>
              </w:rPr>
              <w:t>≤1</w:t>
            </w:r>
          </w:p>
        </w:tc>
        <w:tc>
          <w:tcPr>
            <w:tcW w:w="1297" w:type="dxa"/>
            <w:vAlign w:val="center"/>
          </w:tcPr>
          <w:p w:rsidR="00475650" w:rsidRDefault="00475650">
            <w:pPr>
              <w:jc w:val="center"/>
              <w:rPr>
                <w:szCs w:val="21"/>
              </w:rPr>
            </w:pPr>
            <w:r>
              <w:rPr>
                <w:szCs w:val="21"/>
              </w:rPr>
              <w:t>0.0165</w:t>
            </w:r>
          </w:p>
        </w:tc>
        <w:tc>
          <w:tcPr>
            <w:tcW w:w="1337" w:type="dxa"/>
            <w:vAlign w:val="center"/>
          </w:tcPr>
          <w:p w:rsidR="00475650" w:rsidRDefault="00475650">
            <w:pPr>
              <w:jc w:val="center"/>
              <w:rPr>
                <w:szCs w:val="21"/>
              </w:rPr>
            </w:pPr>
            <w:r>
              <w:rPr>
                <w:szCs w:val="21"/>
              </w:rPr>
              <w:t>0.0253</w:t>
            </w:r>
          </w:p>
        </w:tc>
        <w:tc>
          <w:tcPr>
            <w:tcW w:w="1884" w:type="dxa"/>
            <w:vAlign w:val="bottom"/>
          </w:tcPr>
          <w:p w:rsidR="00475650" w:rsidRDefault="00475650">
            <w:pPr>
              <w:jc w:val="center"/>
              <w:rPr>
                <w:szCs w:val="21"/>
              </w:rPr>
            </w:pPr>
            <w:r>
              <w:rPr>
                <w:szCs w:val="21"/>
              </w:rPr>
              <w:t>≤0.3</w:t>
            </w:r>
          </w:p>
        </w:tc>
      </w:tr>
      <w:tr w:rsidR="00475650">
        <w:trPr>
          <w:trHeight w:val="340"/>
          <w:jc w:val="center"/>
        </w:trPr>
        <w:tc>
          <w:tcPr>
            <w:tcW w:w="1488" w:type="dxa"/>
            <w:vAlign w:val="center"/>
          </w:tcPr>
          <w:p w:rsidR="00475650" w:rsidRDefault="00475650">
            <w:pPr>
              <w:jc w:val="center"/>
              <w:rPr>
                <w:szCs w:val="21"/>
              </w:rPr>
            </w:pPr>
            <w:r>
              <w:rPr>
                <w:rFonts w:hAnsi="宋体"/>
                <w:szCs w:val="21"/>
              </w:rPr>
              <w:t>砷</w:t>
            </w:r>
          </w:p>
        </w:tc>
        <w:tc>
          <w:tcPr>
            <w:tcW w:w="1056" w:type="dxa"/>
            <w:vAlign w:val="center"/>
          </w:tcPr>
          <w:p w:rsidR="00475650" w:rsidRDefault="00475650">
            <w:pPr>
              <w:jc w:val="center"/>
              <w:rPr>
                <w:szCs w:val="21"/>
              </w:rPr>
            </w:pPr>
            <w:r>
              <w:rPr>
                <w:szCs w:val="21"/>
              </w:rPr>
              <w:t>8.06</w:t>
            </w:r>
          </w:p>
        </w:tc>
        <w:tc>
          <w:tcPr>
            <w:tcW w:w="1884" w:type="dxa"/>
            <w:vAlign w:val="center"/>
          </w:tcPr>
          <w:p w:rsidR="00475650" w:rsidRDefault="00475650">
            <w:pPr>
              <w:jc w:val="center"/>
              <w:rPr>
                <w:szCs w:val="21"/>
              </w:rPr>
            </w:pPr>
            <w:r>
              <w:rPr>
                <w:szCs w:val="21"/>
              </w:rPr>
              <w:t>≤25</w:t>
            </w:r>
            <w:r>
              <w:rPr>
                <w:rFonts w:hAnsi="宋体"/>
                <w:szCs w:val="21"/>
              </w:rPr>
              <w:t>（旱地）</w:t>
            </w:r>
          </w:p>
        </w:tc>
        <w:tc>
          <w:tcPr>
            <w:tcW w:w="1297" w:type="dxa"/>
            <w:vAlign w:val="center"/>
          </w:tcPr>
          <w:p w:rsidR="00475650" w:rsidRDefault="00475650">
            <w:pPr>
              <w:jc w:val="center"/>
              <w:rPr>
                <w:szCs w:val="21"/>
              </w:rPr>
            </w:pPr>
            <w:r>
              <w:rPr>
                <w:szCs w:val="21"/>
              </w:rPr>
              <w:t>17.6</w:t>
            </w:r>
          </w:p>
        </w:tc>
        <w:tc>
          <w:tcPr>
            <w:tcW w:w="1337" w:type="dxa"/>
            <w:vAlign w:val="center"/>
          </w:tcPr>
          <w:p w:rsidR="00475650" w:rsidRDefault="00475650">
            <w:pPr>
              <w:jc w:val="center"/>
              <w:rPr>
                <w:szCs w:val="21"/>
              </w:rPr>
            </w:pPr>
            <w:r>
              <w:rPr>
                <w:szCs w:val="21"/>
              </w:rPr>
              <w:t>11.9</w:t>
            </w:r>
          </w:p>
        </w:tc>
        <w:tc>
          <w:tcPr>
            <w:tcW w:w="1884" w:type="dxa"/>
            <w:vAlign w:val="bottom"/>
          </w:tcPr>
          <w:p w:rsidR="00475650" w:rsidRDefault="00475650">
            <w:pPr>
              <w:jc w:val="center"/>
              <w:rPr>
                <w:szCs w:val="21"/>
              </w:rPr>
            </w:pPr>
            <w:r>
              <w:rPr>
                <w:szCs w:val="21"/>
              </w:rPr>
              <w:t>≤40</w:t>
            </w:r>
            <w:r>
              <w:rPr>
                <w:rFonts w:hAnsi="宋体"/>
                <w:szCs w:val="21"/>
              </w:rPr>
              <w:t>（旱地）</w:t>
            </w:r>
          </w:p>
        </w:tc>
      </w:tr>
      <w:tr w:rsidR="00475650">
        <w:trPr>
          <w:trHeight w:val="340"/>
          <w:jc w:val="center"/>
        </w:trPr>
        <w:tc>
          <w:tcPr>
            <w:tcW w:w="1488" w:type="dxa"/>
            <w:vAlign w:val="center"/>
          </w:tcPr>
          <w:p w:rsidR="00475650" w:rsidRDefault="00475650">
            <w:pPr>
              <w:jc w:val="center"/>
              <w:rPr>
                <w:szCs w:val="21"/>
              </w:rPr>
            </w:pPr>
            <w:r>
              <w:rPr>
                <w:rFonts w:hAnsi="宋体"/>
                <w:szCs w:val="21"/>
              </w:rPr>
              <w:t>铬</w:t>
            </w:r>
          </w:p>
        </w:tc>
        <w:tc>
          <w:tcPr>
            <w:tcW w:w="1056" w:type="dxa"/>
            <w:vAlign w:val="center"/>
          </w:tcPr>
          <w:p w:rsidR="00475650" w:rsidRDefault="00475650">
            <w:pPr>
              <w:jc w:val="center"/>
              <w:rPr>
                <w:szCs w:val="21"/>
              </w:rPr>
            </w:pPr>
            <w:r>
              <w:rPr>
                <w:szCs w:val="21"/>
              </w:rPr>
              <w:t>71.7</w:t>
            </w:r>
          </w:p>
        </w:tc>
        <w:tc>
          <w:tcPr>
            <w:tcW w:w="1884" w:type="dxa"/>
            <w:vAlign w:val="center"/>
          </w:tcPr>
          <w:p w:rsidR="00475650" w:rsidRDefault="00475650">
            <w:pPr>
              <w:jc w:val="center"/>
              <w:rPr>
                <w:szCs w:val="21"/>
              </w:rPr>
            </w:pPr>
            <w:r>
              <w:rPr>
                <w:szCs w:val="21"/>
              </w:rPr>
              <w:t>≤250</w:t>
            </w:r>
            <w:r>
              <w:rPr>
                <w:rFonts w:hAnsi="宋体"/>
                <w:szCs w:val="21"/>
              </w:rPr>
              <w:t>（旱地）</w:t>
            </w:r>
          </w:p>
        </w:tc>
        <w:tc>
          <w:tcPr>
            <w:tcW w:w="1297" w:type="dxa"/>
            <w:vAlign w:val="center"/>
          </w:tcPr>
          <w:p w:rsidR="00475650" w:rsidRDefault="00475650">
            <w:pPr>
              <w:jc w:val="center"/>
              <w:rPr>
                <w:szCs w:val="21"/>
              </w:rPr>
            </w:pPr>
            <w:r>
              <w:rPr>
                <w:szCs w:val="21"/>
              </w:rPr>
              <w:t>72.2</w:t>
            </w:r>
          </w:p>
        </w:tc>
        <w:tc>
          <w:tcPr>
            <w:tcW w:w="1337" w:type="dxa"/>
            <w:vAlign w:val="center"/>
          </w:tcPr>
          <w:p w:rsidR="00475650" w:rsidRDefault="00475650">
            <w:pPr>
              <w:jc w:val="center"/>
              <w:rPr>
                <w:szCs w:val="21"/>
              </w:rPr>
            </w:pPr>
            <w:r>
              <w:rPr>
                <w:szCs w:val="21"/>
              </w:rPr>
              <w:t>77.1</w:t>
            </w:r>
          </w:p>
        </w:tc>
        <w:tc>
          <w:tcPr>
            <w:tcW w:w="1884" w:type="dxa"/>
            <w:vAlign w:val="bottom"/>
          </w:tcPr>
          <w:p w:rsidR="00475650" w:rsidRDefault="00475650">
            <w:pPr>
              <w:jc w:val="center"/>
              <w:rPr>
                <w:szCs w:val="21"/>
              </w:rPr>
            </w:pPr>
            <w:r>
              <w:rPr>
                <w:szCs w:val="21"/>
              </w:rPr>
              <w:t>≤150</w:t>
            </w:r>
            <w:r>
              <w:rPr>
                <w:rFonts w:hAnsi="宋体"/>
                <w:szCs w:val="21"/>
              </w:rPr>
              <w:t>（旱地）</w:t>
            </w:r>
          </w:p>
        </w:tc>
      </w:tr>
      <w:tr w:rsidR="00475650">
        <w:trPr>
          <w:trHeight w:val="340"/>
          <w:jc w:val="center"/>
        </w:trPr>
        <w:tc>
          <w:tcPr>
            <w:tcW w:w="1488" w:type="dxa"/>
            <w:vAlign w:val="center"/>
          </w:tcPr>
          <w:p w:rsidR="00475650" w:rsidRDefault="00475650">
            <w:pPr>
              <w:jc w:val="center"/>
              <w:rPr>
                <w:szCs w:val="21"/>
              </w:rPr>
            </w:pPr>
            <w:r>
              <w:rPr>
                <w:rFonts w:hAnsi="宋体"/>
                <w:szCs w:val="21"/>
              </w:rPr>
              <w:t>铜</w:t>
            </w:r>
          </w:p>
        </w:tc>
        <w:tc>
          <w:tcPr>
            <w:tcW w:w="1056" w:type="dxa"/>
            <w:vAlign w:val="center"/>
          </w:tcPr>
          <w:p w:rsidR="00475650" w:rsidRDefault="00475650">
            <w:pPr>
              <w:jc w:val="center"/>
              <w:rPr>
                <w:szCs w:val="21"/>
              </w:rPr>
            </w:pPr>
            <w:r>
              <w:rPr>
                <w:szCs w:val="21"/>
              </w:rPr>
              <w:t>31.3</w:t>
            </w:r>
          </w:p>
        </w:tc>
        <w:tc>
          <w:tcPr>
            <w:tcW w:w="1884" w:type="dxa"/>
            <w:vAlign w:val="center"/>
          </w:tcPr>
          <w:p w:rsidR="00475650" w:rsidRDefault="00475650">
            <w:pPr>
              <w:jc w:val="center"/>
              <w:rPr>
                <w:szCs w:val="21"/>
              </w:rPr>
            </w:pPr>
            <w:r>
              <w:rPr>
                <w:szCs w:val="21"/>
              </w:rPr>
              <w:t>≤200</w:t>
            </w:r>
            <w:r>
              <w:rPr>
                <w:rFonts w:hAnsi="宋体"/>
                <w:szCs w:val="21"/>
              </w:rPr>
              <w:t>（果林）</w:t>
            </w:r>
          </w:p>
        </w:tc>
        <w:tc>
          <w:tcPr>
            <w:tcW w:w="1297" w:type="dxa"/>
            <w:vAlign w:val="center"/>
          </w:tcPr>
          <w:p w:rsidR="00475650" w:rsidRDefault="00475650">
            <w:pPr>
              <w:jc w:val="center"/>
              <w:rPr>
                <w:szCs w:val="21"/>
              </w:rPr>
            </w:pPr>
            <w:r>
              <w:rPr>
                <w:szCs w:val="21"/>
              </w:rPr>
              <w:t>26.6</w:t>
            </w:r>
          </w:p>
        </w:tc>
        <w:tc>
          <w:tcPr>
            <w:tcW w:w="1337" w:type="dxa"/>
            <w:vAlign w:val="center"/>
          </w:tcPr>
          <w:p w:rsidR="00475650" w:rsidRDefault="00475650">
            <w:pPr>
              <w:jc w:val="center"/>
              <w:rPr>
                <w:szCs w:val="21"/>
              </w:rPr>
            </w:pPr>
            <w:r>
              <w:rPr>
                <w:szCs w:val="21"/>
              </w:rPr>
              <w:t>40.7</w:t>
            </w:r>
          </w:p>
        </w:tc>
        <w:tc>
          <w:tcPr>
            <w:tcW w:w="1884" w:type="dxa"/>
            <w:vAlign w:val="bottom"/>
          </w:tcPr>
          <w:p w:rsidR="00475650" w:rsidRDefault="00475650">
            <w:pPr>
              <w:jc w:val="center"/>
              <w:rPr>
                <w:szCs w:val="21"/>
              </w:rPr>
            </w:pPr>
            <w:r>
              <w:rPr>
                <w:szCs w:val="21"/>
              </w:rPr>
              <w:t>≤150</w:t>
            </w:r>
            <w:r>
              <w:rPr>
                <w:rFonts w:hAnsi="宋体"/>
                <w:szCs w:val="21"/>
              </w:rPr>
              <w:t>（果林）</w:t>
            </w:r>
          </w:p>
        </w:tc>
      </w:tr>
      <w:tr w:rsidR="00475650">
        <w:trPr>
          <w:trHeight w:val="340"/>
          <w:jc w:val="center"/>
        </w:trPr>
        <w:tc>
          <w:tcPr>
            <w:tcW w:w="1488" w:type="dxa"/>
            <w:vAlign w:val="center"/>
          </w:tcPr>
          <w:p w:rsidR="00475650" w:rsidRDefault="00475650">
            <w:pPr>
              <w:jc w:val="center"/>
              <w:rPr>
                <w:szCs w:val="21"/>
              </w:rPr>
            </w:pPr>
            <w:r>
              <w:rPr>
                <w:rFonts w:hAnsi="宋体"/>
                <w:szCs w:val="21"/>
              </w:rPr>
              <w:t>锌</w:t>
            </w:r>
          </w:p>
        </w:tc>
        <w:tc>
          <w:tcPr>
            <w:tcW w:w="1056" w:type="dxa"/>
            <w:vAlign w:val="center"/>
          </w:tcPr>
          <w:p w:rsidR="00475650" w:rsidRDefault="00475650">
            <w:pPr>
              <w:jc w:val="center"/>
              <w:rPr>
                <w:szCs w:val="21"/>
              </w:rPr>
            </w:pPr>
            <w:r>
              <w:rPr>
                <w:szCs w:val="21"/>
              </w:rPr>
              <w:t>93.5</w:t>
            </w:r>
          </w:p>
        </w:tc>
        <w:tc>
          <w:tcPr>
            <w:tcW w:w="1884" w:type="dxa"/>
            <w:vAlign w:val="center"/>
          </w:tcPr>
          <w:p w:rsidR="00475650" w:rsidRDefault="00475650">
            <w:pPr>
              <w:jc w:val="center"/>
              <w:rPr>
                <w:szCs w:val="21"/>
              </w:rPr>
            </w:pPr>
            <w:r>
              <w:rPr>
                <w:szCs w:val="21"/>
              </w:rPr>
              <w:t>≤300</w:t>
            </w:r>
          </w:p>
        </w:tc>
        <w:tc>
          <w:tcPr>
            <w:tcW w:w="1297" w:type="dxa"/>
            <w:vAlign w:val="center"/>
          </w:tcPr>
          <w:p w:rsidR="00475650" w:rsidRDefault="00475650">
            <w:pPr>
              <w:jc w:val="center"/>
              <w:rPr>
                <w:szCs w:val="21"/>
              </w:rPr>
            </w:pPr>
            <w:r>
              <w:rPr>
                <w:szCs w:val="21"/>
              </w:rPr>
              <w:t>85.1</w:t>
            </w:r>
          </w:p>
        </w:tc>
        <w:tc>
          <w:tcPr>
            <w:tcW w:w="1337" w:type="dxa"/>
            <w:vAlign w:val="center"/>
          </w:tcPr>
          <w:p w:rsidR="00475650" w:rsidRDefault="00475650">
            <w:pPr>
              <w:jc w:val="center"/>
              <w:rPr>
                <w:szCs w:val="21"/>
              </w:rPr>
            </w:pPr>
            <w:r>
              <w:rPr>
                <w:szCs w:val="21"/>
              </w:rPr>
              <w:t>80</w:t>
            </w:r>
          </w:p>
        </w:tc>
        <w:tc>
          <w:tcPr>
            <w:tcW w:w="1884" w:type="dxa"/>
            <w:vAlign w:val="bottom"/>
          </w:tcPr>
          <w:p w:rsidR="00475650" w:rsidRDefault="00475650">
            <w:pPr>
              <w:jc w:val="center"/>
              <w:rPr>
                <w:szCs w:val="21"/>
              </w:rPr>
            </w:pPr>
            <w:r>
              <w:rPr>
                <w:szCs w:val="21"/>
              </w:rPr>
              <w:t>≤200</w:t>
            </w:r>
          </w:p>
        </w:tc>
      </w:tr>
      <w:tr w:rsidR="00475650">
        <w:trPr>
          <w:trHeight w:val="340"/>
          <w:jc w:val="center"/>
        </w:trPr>
        <w:tc>
          <w:tcPr>
            <w:tcW w:w="1488" w:type="dxa"/>
            <w:vAlign w:val="center"/>
          </w:tcPr>
          <w:p w:rsidR="00475650" w:rsidRDefault="00475650">
            <w:pPr>
              <w:jc w:val="center"/>
              <w:rPr>
                <w:szCs w:val="21"/>
              </w:rPr>
            </w:pPr>
            <w:r>
              <w:rPr>
                <w:rFonts w:hAnsi="宋体"/>
                <w:szCs w:val="21"/>
              </w:rPr>
              <w:t>镍</w:t>
            </w:r>
          </w:p>
        </w:tc>
        <w:tc>
          <w:tcPr>
            <w:tcW w:w="1056" w:type="dxa"/>
            <w:vAlign w:val="center"/>
          </w:tcPr>
          <w:p w:rsidR="00475650" w:rsidRDefault="00475650">
            <w:pPr>
              <w:jc w:val="center"/>
              <w:rPr>
                <w:szCs w:val="21"/>
              </w:rPr>
            </w:pPr>
            <w:r>
              <w:rPr>
                <w:szCs w:val="21"/>
              </w:rPr>
              <w:t>29.5</w:t>
            </w:r>
          </w:p>
        </w:tc>
        <w:tc>
          <w:tcPr>
            <w:tcW w:w="1884" w:type="dxa"/>
            <w:vAlign w:val="center"/>
          </w:tcPr>
          <w:p w:rsidR="00475650" w:rsidRDefault="00475650">
            <w:pPr>
              <w:jc w:val="center"/>
              <w:rPr>
                <w:szCs w:val="21"/>
              </w:rPr>
            </w:pPr>
            <w:r>
              <w:rPr>
                <w:szCs w:val="21"/>
              </w:rPr>
              <w:t>≤60</w:t>
            </w:r>
          </w:p>
        </w:tc>
        <w:tc>
          <w:tcPr>
            <w:tcW w:w="1297" w:type="dxa"/>
            <w:vAlign w:val="center"/>
          </w:tcPr>
          <w:p w:rsidR="00475650" w:rsidRDefault="00475650">
            <w:pPr>
              <w:jc w:val="center"/>
              <w:rPr>
                <w:szCs w:val="21"/>
              </w:rPr>
            </w:pPr>
            <w:r>
              <w:rPr>
                <w:szCs w:val="21"/>
              </w:rPr>
              <w:t>33.8</w:t>
            </w:r>
          </w:p>
        </w:tc>
        <w:tc>
          <w:tcPr>
            <w:tcW w:w="1337" w:type="dxa"/>
            <w:vAlign w:val="center"/>
          </w:tcPr>
          <w:p w:rsidR="00475650" w:rsidRDefault="00475650">
            <w:pPr>
              <w:jc w:val="center"/>
              <w:rPr>
                <w:szCs w:val="21"/>
              </w:rPr>
            </w:pPr>
            <w:r>
              <w:rPr>
                <w:szCs w:val="21"/>
              </w:rPr>
              <w:t>23.3</w:t>
            </w:r>
          </w:p>
        </w:tc>
        <w:tc>
          <w:tcPr>
            <w:tcW w:w="1884" w:type="dxa"/>
            <w:vAlign w:val="bottom"/>
          </w:tcPr>
          <w:p w:rsidR="00475650" w:rsidRDefault="00475650">
            <w:pPr>
              <w:jc w:val="center"/>
              <w:rPr>
                <w:szCs w:val="21"/>
              </w:rPr>
            </w:pPr>
            <w:r>
              <w:rPr>
                <w:szCs w:val="21"/>
              </w:rPr>
              <w:t>≤40</w:t>
            </w:r>
          </w:p>
        </w:tc>
      </w:tr>
    </w:tbl>
    <w:p w:rsidR="00475650" w:rsidRDefault="00475650">
      <w:pPr>
        <w:jc w:val="center"/>
        <w:rPr>
          <w:b/>
          <w:bCs/>
          <w:sz w:val="24"/>
        </w:rPr>
      </w:pPr>
    </w:p>
    <w:p w:rsidR="00475650" w:rsidRDefault="00475650">
      <w:pPr>
        <w:jc w:val="center"/>
        <w:rPr>
          <w:b/>
          <w:bCs/>
          <w:sz w:val="24"/>
        </w:rPr>
      </w:pPr>
      <w:r>
        <w:rPr>
          <w:rFonts w:hAnsi="宋体"/>
          <w:b/>
          <w:bCs/>
          <w:sz w:val="24"/>
        </w:rPr>
        <w:lastRenderedPageBreak/>
        <w:t>表</w:t>
      </w:r>
      <w:r>
        <w:rPr>
          <w:b/>
          <w:bCs/>
          <w:sz w:val="24"/>
        </w:rPr>
        <w:t>4.3-1</w:t>
      </w:r>
      <w:r>
        <w:rPr>
          <w:rFonts w:hint="eastAsia"/>
          <w:b/>
          <w:bCs/>
          <w:sz w:val="24"/>
        </w:rPr>
        <w:t>8</w:t>
      </w:r>
      <w:r>
        <w:rPr>
          <w:b/>
          <w:bCs/>
          <w:sz w:val="24"/>
        </w:rPr>
        <w:t xml:space="preserve">  </w:t>
      </w:r>
      <w:r>
        <w:rPr>
          <w:rFonts w:hAnsi="宋体"/>
          <w:b/>
          <w:bCs/>
          <w:sz w:val="24"/>
        </w:rPr>
        <w:t>土壤环境质量标准指数</w:t>
      </w:r>
      <w:r>
        <w:rPr>
          <w:b/>
          <w:bCs/>
          <w:sz w:val="24"/>
        </w:rPr>
        <w:t>S</w:t>
      </w:r>
      <w:r>
        <w:rPr>
          <w:b/>
          <w:bCs/>
          <w:sz w:val="24"/>
          <w:vertAlign w:val="subscript"/>
        </w:rPr>
        <w:t>ij</w:t>
      </w:r>
      <w:r>
        <w:rPr>
          <w:rFonts w:hAnsi="宋体"/>
          <w:b/>
          <w:bCs/>
          <w:sz w:val="24"/>
        </w:rPr>
        <w:t>计算结果表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569"/>
        <w:gridCol w:w="1823"/>
        <w:gridCol w:w="2419"/>
        <w:gridCol w:w="2135"/>
      </w:tblGrid>
      <w:tr w:rsidR="00475650">
        <w:trPr>
          <w:trHeight w:val="624"/>
          <w:jc w:val="center"/>
        </w:trPr>
        <w:tc>
          <w:tcPr>
            <w:tcW w:w="2569" w:type="dxa"/>
            <w:vAlign w:val="center"/>
          </w:tcPr>
          <w:p w:rsidR="00475650" w:rsidRDefault="00475650">
            <w:pPr>
              <w:jc w:val="center"/>
              <w:rPr>
                <w:szCs w:val="21"/>
              </w:rPr>
            </w:pPr>
            <w:r>
              <w:rPr>
                <w:szCs w:val="21"/>
              </w:rPr>
              <w:t xml:space="preserve">           </w:t>
            </w:r>
            <w:r>
              <w:rPr>
                <w:rFonts w:hAnsi="宋体"/>
                <w:szCs w:val="21"/>
              </w:rPr>
              <w:t>取样点</w:t>
            </w:r>
          </w:p>
          <w:p w:rsidR="00475650" w:rsidRDefault="00475650">
            <w:pPr>
              <w:rPr>
                <w:szCs w:val="21"/>
              </w:rPr>
            </w:pPr>
            <w:r>
              <w:rPr>
                <w:rFonts w:hAnsi="宋体"/>
                <w:szCs w:val="21"/>
              </w:rPr>
              <w:t>因子</w:t>
            </w:r>
          </w:p>
        </w:tc>
        <w:tc>
          <w:tcPr>
            <w:tcW w:w="1823" w:type="dxa"/>
            <w:vAlign w:val="center"/>
          </w:tcPr>
          <w:p w:rsidR="00475650" w:rsidRDefault="00475650">
            <w:pPr>
              <w:jc w:val="center"/>
              <w:rPr>
                <w:szCs w:val="21"/>
              </w:rPr>
            </w:pPr>
            <w:r>
              <w:rPr>
                <w:szCs w:val="21"/>
              </w:rPr>
              <w:t>T2</w:t>
            </w:r>
          </w:p>
        </w:tc>
        <w:tc>
          <w:tcPr>
            <w:tcW w:w="2419" w:type="dxa"/>
            <w:vAlign w:val="center"/>
          </w:tcPr>
          <w:p w:rsidR="00475650" w:rsidRDefault="00475650">
            <w:pPr>
              <w:jc w:val="center"/>
              <w:rPr>
                <w:szCs w:val="21"/>
              </w:rPr>
            </w:pPr>
            <w:r>
              <w:rPr>
                <w:szCs w:val="21"/>
              </w:rPr>
              <w:t>T3</w:t>
            </w:r>
          </w:p>
        </w:tc>
        <w:tc>
          <w:tcPr>
            <w:tcW w:w="2135" w:type="dxa"/>
            <w:vAlign w:val="center"/>
          </w:tcPr>
          <w:p w:rsidR="00475650" w:rsidRDefault="00475650">
            <w:pPr>
              <w:jc w:val="center"/>
              <w:rPr>
                <w:szCs w:val="21"/>
              </w:rPr>
            </w:pPr>
            <w:r>
              <w:rPr>
                <w:szCs w:val="21"/>
              </w:rPr>
              <w:t>T4</w:t>
            </w:r>
          </w:p>
        </w:tc>
      </w:tr>
      <w:tr w:rsidR="00475650">
        <w:trPr>
          <w:trHeight w:val="340"/>
          <w:jc w:val="center"/>
        </w:trPr>
        <w:tc>
          <w:tcPr>
            <w:tcW w:w="2569" w:type="dxa"/>
            <w:vAlign w:val="center"/>
          </w:tcPr>
          <w:p w:rsidR="00475650" w:rsidRDefault="00475650">
            <w:pPr>
              <w:jc w:val="center"/>
              <w:rPr>
                <w:szCs w:val="21"/>
              </w:rPr>
            </w:pPr>
            <w:r>
              <w:rPr>
                <w:rFonts w:hAnsi="宋体"/>
                <w:szCs w:val="21"/>
              </w:rPr>
              <w:t>铅</w:t>
            </w:r>
          </w:p>
        </w:tc>
        <w:tc>
          <w:tcPr>
            <w:tcW w:w="1823" w:type="dxa"/>
            <w:vAlign w:val="center"/>
          </w:tcPr>
          <w:p w:rsidR="00475650" w:rsidRDefault="00475650">
            <w:pPr>
              <w:jc w:val="center"/>
              <w:rPr>
                <w:szCs w:val="21"/>
              </w:rPr>
            </w:pPr>
            <w:r>
              <w:rPr>
                <w:szCs w:val="21"/>
              </w:rPr>
              <w:t>0.079</w:t>
            </w:r>
          </w:p>
        </w:tc>
        <w:tc>
          <w:tcPr>
            <w:tcW w:w="2419" w:type="dxa"/>
            <w:vAlign w:val="center"/>
          </w:tcPr>
          <w:p w:rsidR="00475650" w:rsidRDefault="00475650">
            <w:pPr>
              <w:jc w:val="center"/>
              <w:rPr>
                <w:szCs w:val="21"/>
              </w:rPr>
            </w:pPr>
            <w:r>
              <w:rPr>
                <w:szCs w:val="21"/>
              </w:rPr>
              <w:t>0.090</w:t>
            </w:r>
          </w:p>
        </w:tc>
        <w:tc>
          <w:tcPr>
            <w:tcW w:w="2135" w:type="dxa"/>
            <w:vAlign w:val="center"/>
          </w:tcPr>
          <w:p w:rsidR="00475650" w:rsidRDefault="00475650">
            <w:pPr>
              <w:jc w:val="center"/>
              <w:rPr>
                <w:szCs w:val="21"/>
              </w:rPr>
            </w:pPr>
            <w:r>
              <w:rPr>
                <w:szCs w:val="21"/>
              </w:rPr>
              <w:t>0.095</w:t>
            </w:r>
          </w:p>
        </w:tc>
      </w:tr>
      <w:tr w:rsidR="00475650">
        <w:trPr>
          <w:trHeight w:val="340"/>
          <w:jc w:val="center"/>
        </w:trPr>
        <w:tc>
          <w:tcPr>
            <w:tcW w:w="2569" w:type="dxa"/>
            <w:vAlign w:val="center"/>
          </w:tcPr>
          <w:p w:rsidR="00475650" w:rsidRDefault="00475650">
            <w:pPr>
              <w:jc w:val="center"/>
              <w:rPr>
                <w:szCs w:val="21"/>
              </w:rPr>
            </w:pPr>
            <w:r>
              <w:rPr>
                <w:rFonts w:hAnsi="宋体"/>
                <w:szCs w:val="21"/>
              </w:rPr>
              <w:t>镉</w:t>
            </w:r>
          </w:p>
        </w:tc>
        <w:tc>
          <w:tcPr>
            <w:tcW w:w="1823" w:type="dxa"/>
            <w:vAlign w:val="center"/>
          </w:tcPr>
          <w:p w:rsidR="00475650" w:rsidRDefault="00475650">
            <w:pPr>
              <w:jc w:val="center"/>
              <w:rPr>
                <w:szCs w:val="21"/>
              </w:rPr>
            </w:pPr>
            <w:r>
              <w:rPr>
                <w:szCs w:val="21"/>
              </w:rPr>
              <w:t>0.797</w:t>
            </w:r>
          </w:p>
        </w:tc>
        <w:tc>
          <w:tcPr>
            <w:tcW w:w="2419" w:type="dxa"/>
            <w:vAlign w:val="center"/>
          </w:tcPr>
          <w:p w:rsidR="00475650" w:rsidRDefault="00475650">
            <w:pPr>
              <w:jc w:val="center"/>
              <w:rPr>
                <w:szCs w:val="21"/>
              </w:rPr>
            </w:pPr>
            <w:r>
              <w:rPr>
                <w:szCs w:val="21"/>
              </w:rPr>
              <w:t>0.780</w:t>
            </w:r>
          </w:p>
        </w:tc>
        <w:tc>
          <w:tcPr>
            <w:tcW w:w="2135" w:type="dxa"/>
            <w:vAlign w:val="center"/>
          </w:tcPr>
          <w:p w:rsidR="00475650" w:rsidRDefault="00475650">
            <w:pPr>
              <w:jc w:val="center"/>
              <w:rPr>
                <w:szCs w:val="21"/>
              </w:rPr>
            </w:pPr>
            <w:r>
              <w:rPr>
                <w:szCs w:val="21"/>
              </w:rPr>
              <w:t>0.840</w:t>
            </w:r>
          </w:p>
        </w:tc>
      </w:tr>
      <w:tr w:rsidR="00475650">
        <w:trPr>
          <w:trHeight w:val="340"/>
          <w:jc w:val="center"/>
        </w:trPr>
        <w:tc>
          <w:tcPr>
            <w:tcW w:w="2569" w:type="dxa"/>
            <w:vAlign w:val="center"/>
          </w:tcPr>
          <w:p w:rsidR="00475650" w:rsidRDefault="00475650">
            <w:pPr>
              <w:jc w:val="center"/>
              <w:rPr>
                <w:szCs w:val="21"/>
              </w:rPr>
            </w:pPr>
            <w:r>
              <w:rPr>
                <w:rFonts w:hAnsi="宋体"/>
                <w:szCs w:val="21"/>
              </w:rPr>
              <w:t>汞</w:t>
            </w:r>
          </w:p>
        </w:tc>
        <w:tc>
          <w:tcPr>
            <w:tcW w:w="1823" w:type="dxa"/>
            <w:vAlign w:val="center"/>
          </w:tcPr>
          <w:p w:rsidR="00475650" w:rsidRDefault="00475650">
            <w:pPr>
              <w:jc w:val="center"/>
              <w:rPr>
                <w:szCs w:val="21"/>
              </w:rPr>
            </w:pPr>
            <w:r>
              <w:rPr>
                <w:szCs w:val="21"/>
              </w:rPr>
              <w:t>0.039</w:t>
            </w:r>
          </w:p>
        </w:tc>
        <w:tc>
          <w:tcPr>
            <w:tcW w:w="2419" w:type="dxa"/>
            <w:vAlign w:val="center"/>
          </w:tcPr>
          <w:p w:rsidR="00475650" w:rsidRDefault="00475650">
            <w:pPr>
              <w:jc w:val="center"/>
              <w:rPr>
                <w:szCs w:val="21"/>
              </w:rPr>
            </w:pPr>
            <w:r>
              <w:rPr>
                <w:szCs w:val="21"/>
              </w:rPr>
              <w:t>0.055</w:t>
            </w:r>
          </w:p>
        </w:tc>
        <w:tc>
          <w:tcPr>
            <w:tcW w:w="2135" w:type="dxa"/>
            <w:vAlign w:val="center"/>
          </w:tcPr>
          <w:p w:rsidR="00475650" w:rsidRDefault="00475650">
            <w:pPr>
              <w:jc w:val="center"/>
              <w:rPr>
                <w:szCs w:val="21"/>
              </w:rPr>
            </w:pPr>
            <w:r>
              <w:rPr>
                <w:szCs w:val="21"/>
              </w:rPr>
              <w:t>0.084</w:t>
            </w:r>
          </w:p>
        </w:tc>
      </w:tr>
      <w:tr w:rsidR="00475650">
        <w:trPr>
          <w:trHeight w:val="340"/>
          <w:jc w:val="center"/>
        </w:trPr>
        <w:tc>
          <w:tcPr>
            <w:tcW w:w="2569" w:type="dxa"/>
            <w:vAlign w:val="center"/>
          </w:tcPr>
          <w:p w:rsidR="00475650" w:rsidRDefault="00475650">
            <w:pPr>
              <w:jc w:val="center"/>
              <w:rPr>
                <w:szCs w:val="21"/>
              </w:rPr>
            </w:pPr>
            <w:r>
              <w:rPr>
                <w:rFonts w:hAnsi="宋体"/>
                <w:szCs w:val="21"/>
              </w:rPr>
              <w:t>砷</w:t>
            </w:r>
          </w:p>
        </w:tc>
        <w:tc>
          <w:tcPr>
            <w:tcW w:w="1823" w:type="dxa"/>
            <w:vAlign w:val="center"/>
          </w:tcPr>
          <w:p w:rsidR="00475650" w:rsidRDefault="00475650">
            <w:pPr>
              <w:jc w:val="center"/>
              <w:rPr>
                <w:szCs w:val="21"/>
              </w:rPr>
            </w:pPr>
            <w:r>
              <w:rPr>
                <w:szCs w:val="21"/>
              </w:rPr>
              <w:t>0.322</w:t>
            </w:r>
          </w:p>
        </w:tc>
        <w:tc>
          <w:tcPr>
            <w:tcW w:w="2419" w:type="dxa"/>
            <w:vAlign w:val="center"/>
          </w:tcPr>
          <w:p w:rsidR="00475650" w:rsidRDefault="00475650">
            <w:pPr>
              <w:jc w:val="center"/>
              <w:rPr>
                <w:szCs w:val="21"/>
              </w:rPr>
            </w:pPr>
            <w:r>
              <w:rPr>
                <w:szCs w:val="21"/>
              </w:rPr>
              <w:t>0.440</w:t>
            </w:r>
          </w:p>
        </w:tc>
        <w:tc>
          <w:tcPr>
            <w:tcW w:w="2135" w:type="dxa"/>
            <w:vAlign w:val="center"/>
          </w:tcPr>
          <w:p w:rsidR="00475650" w:rsidRDefault="00475650">
            <w:pPr>
              <w:jc w:val="center"/>
              <w:rPr>
                <w:szCs w:val="21"/>
              </w:rPr>
            </w:pPr>
            <w:r>
              <w:rPr>
                <w:szCs w:val="21"/>
              </w:rPr>
              <w:t>0.298</w:t>
            </w:r>
          </w:p>
        </w:tc>
      </w:tr>
      <w:tr w:rsidR="00475650">
        <w:trPr>
          <w:trHeight w:val="340"/>
          <w:jc w:val="center"/>
        </w:trPr>
        <w:tc>
          <w:tcPr>
            <w:tcW w:w="2569" w:type="dxa"/>
            <w:vAlign w:val="center"/>
          </w:tcPr>
          <w:p w:rsidR="00475650" w:rsidRDefault="00475650">
            <w:pPr>
              <w:jc w:val="center"/>
              <w:rPr>
                <w:szCs w:val="21"/>
              </w:rPr>
            </w:pPr>
            <w:r>
              <w:rPr>
                <w:rFonts w:hAnsi="宋体"/>
                <w:szCs w:val="21"/>
              </w:rPr>
              <w:t>铬</w:t>
            </w:r>
          </w:p>
        </w:tc>
        <w:tc>
          <w:tcPr>
            <w:tcW w:w="1823" w:type="dxa"/>
            <w:vAlign w:val="center"/>
          </w:tcPr>
          <w:p w:rsidR="00475650" w:rsidRDefault="00475650">
            <w:pPr>
              <w:jc w:val="center"/>
              <w:rPr>
                <w:szCs w:val="21"/>
              </w:rPr>
            </w:pPr>
            <w:r>
              <w:rPr>
                <w:szCs w:val="21"/>
              </w:rPr>
              <w:t>0.287</w:t>
            </w:r>
          </w:p>
        </w:tc>
        <w:tc>
          <w:tcPr>
            <w:tcW w:w="2419" w:type="dxa"/>
            <w:vAlign w:val="center"/>
          </w:tcPr>
          <w:p w:rsidR="00475650" w:rsidRDefault="00475650">
            <w:pPr>
              <w:jc w:val="center"/>
              <w:rPr>
                <w:szCs w:val="21"/>
              </w:rPr>
            </w:pPr>
            <w:r>
              <w:rPr>
                <w:szCs w:val="21"/>
              </w:rPr>
              <w:t>0.481</w:t>
            </w:r>
          </w:p>
        </w:tc>
        <w:tc>
          <w:tcPr>
            <w:tcW w:w="2135" w:type="dxa"/>
            <w:vAlign w:val="center"/>
          </w:tcPr>
          <w:p w:rsidR="00475650" w:rsidRDefault="00475650">
            <w:pPr>
              <w:jc w:val="center"/>
              <w:rPr>
                <w:szCs w:val="21"/>
              </w:rPr>
            </w:pPr>
            <w:r>
              <w:rPr>
                <w:szCs w:val="21"/>
              </w:rPr>
              <w:t>0.514</w:t>
            </w:r>
          </w:p>
        </w:tc>
      </w:tr>
      <w:tr w:rsidR="00475650">
        <w:trPr>
          <w:trHeight w:val="340"/>
          <w:jc w:val="center"/>
        </w:trPr>
        <w:tc>
          <w:tcPr>
            <w:tcW w:w="2569" w:type="dxa"/>
            <w:vAlign w:val="center"/>
          </w:tcPr>
          <w:p w:rsidR="00475650" w:rsidRDefault="00475650">
            <w:pPr>
              <w:jc w:val="center"/>
              <w:rPr>
                <w:szCs w:val="21"/>
              </w:rPr>
            </w:pPr>
            <w:r>
              <w:rPr>
                <w:rFonts w:hAnsi="宋体"/>
                <w:szCs w:val="21"/>
              </w:rPr>
              <w:t>铜</w:t>
            </w:r>
          </w:p>
        </w:tc>
        <w:tc>
          <w:tcPr>
            <w:tcW w:w="1823" w:type="dxa"/>
            <w:vAlign w:val="center"/>
          </w:tcPr>
          <w:p w:rsidR="00475650" w:rsidRDefault="00475650">
            <w:pPr>
              <w:jc w:val="center"/>
              <w:rPr>
                <w:szCs w:val="21"/>
              </w:rPr>
            </w:pPr>
            <w:r>
              <w:rPr>
                <w:szCs w:val="21"/>
              </w:rPr>
              <w:t>0.157</w:t>
            </w:r>
          </w:p>
        </w:tc>
        <w:tc>
          <w:tcPr>
            <w:tcW w:w="2419" w:type="dxa"/>
            <w:vAlign w:val="center"/>
          </w:tcPr>
          <w:p w:rsidR="00475650" w:rsidRDefault="00475650">
            <w:pPr>
              <w:jc w:val="center"/>
              <w:rPr>
                <w:szCs w:val="21"/>
              </w:rPr>
            </w:pPr>
            <w:r>
              <w:rPr>
                <w:szCs w:val="21"/>
              </w:rPr>
              <w:t>0.177</w:t>
            </w:r>
          </w:p>
        </w:tc>
        <w:tc>
          <w:tcPr>
            <w:tcW w:w="2135" w:type="dxa"/>
            <w:vAlign w:val="center"/>
          </w:tcPr>
          <w:p w:rsidR="00475650" w:rsidRDefault="00475650">
            <w:pPr>
              <w:jc w:val="center"/>
              <w:rPr>
                <w:szCs w:val="21"/>
              </w:rPr>
            </w:pPr>
            <w:r>
              <w:rPr>
                <w:szCs w:val="21"/>
              </w:rPr>
              <w:t>0.271</w:t>
            </w:r>
          </w:p>
        </w:tc>
      </w:tr>
      <w:tr w:rsidR="00475650">
        <w:trPr>
          <w:trHeight w:val="340"/>
          <w:jc w:val="center"/>
        </w:trPr>
        <w:tc>
          <w:tcPr>
            <w:tcW w:w="2569" w:type="dxa"/>
            <w:vAlign w:val="center"/>
          </w:tcPr>
          <w:p w:rsidR="00475650" w:rsidRDefault="00475650">
            <w:pPr>
              <w:jc w:val="center"/>
              <w:rPr>
                <w:szCs w:val="21"/>
              </w:rPr>
            </w:pPr>
            <w:r>
              <w:rPr>
                <w:rFonts w:hAnsi="宋体"/>
                <w:szCs w:val="21"/>
              </w:rPr>
              <w:t>锌</w:t>
            </w:r>
          </w:p>
        </w:tc>
        <w:tc>
          <w:tcPr>
            <w:tcW w:w="1823" w:type="dxa"/>
            <w:vAlign w:val="center"/>
          </w:tcPr>
          <w:p w:rsidR="00475650" w:rsidRDefault="00475650">
            <w:pPr>
              <w:jc w:val="center"/>
              <w:rPr>
                <w:szCs w:val="21"/>
              </w:rPr>
            </w:pPr>
            <w:r>
              <w:rPr>
                <w:szCs w:val="21"/>
              </w:rPr>
              <w:t>0.312</w:t>
            </w:r>
          </w:p>
        </w:tc>
        <w:tc>
          <w:tcPr>
            <w:tcW w:w="2419" w:type="dxa"/>
            <w:vAlign w:val="center"/>
          </w:tcPr>
          <w:p w:rsidR="00475650" w:rsidRDefault="00475650">
            <w:pPr>
              <w:jc w:val="center"/>
              <w:rPr>
                <w:szCs w:val="21"/>
              </w:rPr>
            </w:pPr>
            <w:r>
              <w:rPr>
                <w:szCs w:val="21"/>
              </w:rPr>
              <w:t>0.426</w:t>
            </w:r>
          </w:p>
        </w:tc>
        <w:tc>
          <w:tcPr>
            <w:tcW w:w="2135" w:type="dxa"/>
            <w:vAlign w:val="center"/>
          </w:tcPr>
          <w:p w:rsidR="00475650" w:rsidRDefault="00475650">
            <w:pPr>
              <w:jc w:val="center"/>
              <w:rPr>
                <w:szCs w:val="21"/>
              </w:rPr>
            </w:pPr>
            <w:r>
              <w:rPr>
                <w:szCs w:val="21"/>
              </w:rPr>
              <w:t>0.400</w:t>
            </w:r>
          </w:p>
        </w:tc>
      </w:tr>
      <w:tr w:rsidR="00475650">
        <w:trPr>
          <w:trHeight w:val="340"/>
          <w:jc w:val="center"/>
        </w:trPr>
        <w:tc>
          <w:tcPr>
            <w:tcW w:w="2569" w:type="dxa"/>
            <w:vAlign w:val="center"/>
          </w:tcPr>
          <w:p w:rsidR="00475650" w:rsidRDefault="00475650">
            <w:pPr>
              <w:jc w:val="center"/>
              <w:rPr>
                <w:szCs w:val="21"/>
              </w:rPr>
            </w:pPr>
            <w:r>
              <w:rPr>
                <w:rFonts w:hAnsi="宋体"/>
                <w:szCs w:val="21"/>
              </w:rPr>
              <w:t>镍</w:t>
            </w:r>
          </w:p>
        </w:tc>
        <w:tc>
          <w:tcPr>
            <w:tcW w:w="1823" w:type="dxa"/>
            <w:vAlign w:val="center"/>
          </w:tcPr>
          <w:p w:rsidR="00475650" w:rsidRDefault="00475650">
            <w:pPr>
              <w:jc w:val="center"/>
              <w:rPr>
                <w:szCs w:val="21"/>
              </w:rPr>
            </w:pPr>
            <w:r>
              <w:rPr>
                <w:szCs w:val="21"/>
              </w:rPr>
              <w:t>0.492</w:t>
            </w:r>
          </w:p>
        </w:tc>
        <w:tc>
          <w:tcPr>
            <w:tcW w:w="2419" w:type="dxa"/>
            <w:vAlign w:val="center"/>
          </w:tcPr>
          <w:p w:rsidR="00475650" w:rsidRDefault="00475650">
            <w:pPr>
              <w:jc w:val="center"/>
              <w:rPr>
                <w:szCs w:val="21"/>
              </w:rPr>
            </w:pPr>
            <w:r>
              <w:rPr>
                <w:szCs w:val="21"/>
              </w:rPr>
              <w:t>0.845</w:t>
            </w:r>
          </w:p>
        </w:tc>
        <w:tc>
          <w:tcPr>
            <w:tcW w:w="2135" w:type="dxa"/>
            <w:vAlign w:val="center"/>
          </w:tcPr>
          <w:p w:rsidR="00475650" w:rsidRDefault="00475650">
            <w:pPr>
              <w:jc w:val="center"/>
              <w:rPr>
                <w:szCs w:val="21"/>
              </w:rPr>
            </w:pPr>
            <w:r>
              <w:rPr>
                <w:szCs w:val="21"/>
              </w:rPr>
              <w:t>0.583</w:t>
            </w:r>
          </w:p>
        </w:tc>
      </w:tr>
    </w:tbl>
    <w:p w:rsidR="00475650" w:rsidRDefault="00475650">
      <w:pPr>
        <w:widowControl/>
        <w:spacing w:line="360" w:lineRule="auto"/>
        <w:ind w:firstLineChars="200" w:firstLine="480"/>
        <w:jc w:val="left"/>
        <w:rPr>
          <w:kern w:val="0"/>
          <w:sz w:val="24"/>
        </w:rPr>
      </w:pPr>
      <w:r>
        <w:rPr>
          <w:kern w:val="0"/>
          <w:sz w:val="24"/>
        </w:rPr>
        <w:t>目前，滨江产业区用地范围内的土地利用类型较为多样，有耕地、林地、田地等农业生产用地，也有村庄居住用地和工业生产用地，根据引用数据及本次土壤环境的监测结果，对照《土壤环境质量标准》</w:t>
      </w:r>
      <w:r>
        <w:rPr>
          <w:kern w:val="0"/>
          <w:sz w:val="24"/>
        </w:rPr>
        <w:t>(GB15618-1995)</w:t>
      </w:r>
      <w:r>
        <w:rPr>
          <w:kern w:val="0"/>
          <w:sz w:val="24"/>
        </w:rPr>
        <w:t>，评价区范围内各土壤监测因子均可达到二级标准。</w:t>
      </w:r>
    </w:p>
    <w:p w:rsidR="00475650" w:rsidRDefault="00475650">
      <w:pPr>
        <w:widowControl/>
        <w:spacing w:line="360" w:lineRule="auto"/>
        <w:ind w:firstLineChars="200" w:firstLine="480"/>
        <w:jc w:val="left"/>
        <w:rPr>
          <w:kern w:val="0"/>
          <w:sz w:val="24"/>
        </w:rPr>
      </w:pPr>
    </w:p>
    <w:p w:rsidR="00475650" w:rsidRDefault="00475650">
      <w:pPr>
        <w:widowControl/>
        <w:spacing w:line="360" w:lineRule="auto"/>
        <w:ind w:firstLineChars="200" w:firstLine="480"/>
        <w:jc w:val="left"/>
        <w:rPr>
          <w:kern w:val="0"/>
          <w:sz w:val="24"/>
        </w:rPr>
      </w:pPr>
    </w:p>
    <w:p w:rsidR="00475650" w:rsidRDefault="00475650">
      <w:pPr>
        <w:widowControl/>
        <w:spacing w:line="360" w:lineRule="auto"/>
        <w:ind w:firstLineChars="200" w:firstLine="560"/>
        <w:jc w:val="left"/>
        <w:rPr>
          <w:rStyle w:val="2Char1Char"/>
          <w:rFonts w:ascii="Times New Roman" w:eastAsia="宋体" w:hAnsi="Times New Roman"/>
          <w:b w:val="0"/>
          <w:sz w:val="28"/>
          <w:szCs w:val="28"/>
        </w:rPr>
        <w:sectPr w:rsidR="00475650">
          <w:headerReference w:type="default" r:id="rId49"/>
          <w:footerReference w:type="default" r:id="rId50"/>
          <w:pgSz w:w="11906" w:h="16838"/>
          <w:pgMar w:top="1418" w:right="1588" w:bottom="1701" w:left="1588" w:header="851" w:footer="1021" w:gutter="0"/>
          <w:paperSrc w:first="7" w:other="7"/>
          <w:cols w:space="720"/>
          <w:docGrid w:linePitch="312"/>
        </w:sectPr>
      </w:pPr>
    </w:p>
    <w:p w:rsidR="00475650" w:rsidRDefault="00475650">
      <w:pPr>
        <w:pStyle w:val="13"/>
        <w:spacing w:before="100" w:beforeAutospacing="1" w:after="100" w:afterAutospacing="1" w:line="360" w:lineRule="auto"/>
        <w:rPr>
          <w:rFonts w:eastAsia="宋体"/>
          <w:b w:val="0"/>
          <w:sz w:val="32"/>
          <w:szCs w:val="32"/>
        </w:rPr>
      </w:pPr>
      <w:bookmarkStart w:id="710" w:name="_Toc332293019"/>
      <w:bookmarkStart w:id="711" w:name="_Toc300305685"/>
      <w:bookmarkStart w:id="712" w:name="_Toc9410"/>
      <w:bookmarkStart w:id="713" w:name="_Toc300305681"/>
      <w:r>
        <w:rPr>
          <w:rFonts w:eastAsia="宋体"/>
          <w:b w:val="0"/>
          <w:sz w:val="32"/>
          <w:szCs w:val="32"/>
        </w:rPr>
        <w:lastRenderedPageBreak/>
        <w:t>5</w:t>
      </w:r>
      <w:r>
        <w:rPr>
          <w:rFonts w:eastAsia="宋体" w:hAnsi="宋体"/>
          <w:b w:val="0"/>
          <w:sz w:val="32"/>
          <w:szCs w:val="32"/>
        </w:rPr>
        <w:t>环境影响预测与评价</w:t>
      </w:r>
      <w:bookmarkEnd w:id="710"/>
      <w:bookmarkEnd w:id="711"/>
      <w:bookmarkEnd w:id="712"/>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714" w:name="_Toc332293020"/>
      <w:bookmarkStart w:id="715" w:name="_Toc300305686"/>
      <w:bookmarkStart w:id="716" w:name="_Toc23428"/>
      <w:r>
        <w:rPr>
          <w:rStyle w:val="2Char1Char"/>
          <w:rFonts w:ascii="Times New Roman" w:eastAsia="宋体" w:hAnsi="Times New Roman" w:cs="Times New Roman"/>
          <w:b w:val="0"/>
          <w:sz w:val="28"/>
          <w:szCs w:val="28"/>
        </w:rPr>
        <w:t xml:space="preserve">5.1 </w:t>
      </w:r>
      <w:r>
        <w:rPr>
          <w:rStyle w:val="2Char1Char"/>
          <w:rFonts w:ascii="Times New Roman" w:eastAsia="宋体" w:hAnsi="宋体" w:cs="Times New Roman"/>
          <w:b w:val="0"/>
          <w:sz w:val="28"/>
          <w:szCs w:val="28"/>
        </w:rPr>
        <w:t>施工期环境影响分析</w:t>
      </w:r>
      <w:bookmarkEnd w:id="714"/>
      <w:bookmarkEnd w:id="715"/>
      <w:bookmarkEnd w:id="716"/>
    </w:p>
    <w:p w:rsidR="00475650" w:rsidRDefault="00475650">
      <w:pPr>
        <w:spacing w:line="360" w:lineRule="auto"/>
        <w:ind w:firstLineChars="200" w:firstLine="480"/>
        <w:rPr>
          <w:sz w:val="24"/>
        </w:rPr>
      </w:pPr>
      <w:r>
        <w:rPr>
          <w:rFonts w:hAnsi="宋体"/>
          <w:sz w:val="24"/>
        </w:rPr>
        <w:t>本项目位于公司预留场地内，</w:t>
      </w:r>
      <w:bookmarkStart w:id="717" w:name="_Toc300305687"/>
      <w:r>
        <w:rPr>
          <w:rFonts w:hAnsi="宋体"/>
          <w:sz w:val="24"/>
        </w:rPr>
        <w:t>车间建筑构造物等均已建成，场地已平整，目前污水处理站暂未建设。施工期植被破坏影响已经结束，施工期主要影响为污水处理站池体开挖</w:t>
      </w:r>
      <w:r>
        <w:rPr>
          <w:rFonts w:hAnsi="宋体" w:hint="eastAsia"/>
          <w:sz w:val="24"/>
        </w:rPr>
        <w:t>及设备安装</w:t>
      </w:r>
      <w:r>
        <w:rPr>
          <w:rFonts w:hAnsi="宋体"/>
          <w:sz w:val="24"/>
        </w:rPr>
        <w:t>等产生的噪声、扬尘污染及施工废水影响，其中施工废水尽可能循环使用，不能回用处理的废水通过界区外排水管网送园区污水处理厂处理；通过合理安排施工时间减少噪声影响，夜间应禁止卡车运输等高噪声设备的运行，项目区</w:t>
      </w:r>
      <w:r>
        <w:rPr>
          <w:rFonts w:hint="eastAsia"/>
          <w:sz w:val="24"/>
        </w:rPr>
        <w:t>2</w:t>
      </w:r>
      <w:r>
        <w:rPr>
          <w:sz w:val="24"/>
        </w:rPr>
        <w:t>00m</w:t>
      </w:r>
      <w:r>
        <w:rPr>
          <w:rFonts w:hAnsi="宋体"/>
          <w:sz w:val="24"/>
        </w:rPr>
        <w:t>范围内无声环境敏感点，施工噪声影响较小；通过对运输线路、施工现场等加强洒水，对粉状物料采取加盖毡布或封闭运输等方式可减少施工期扬尘影响；此外，开挖产生的土石方暂存期应覆膜以防止水土流失及扬尘影响，可由园区统一调配用于其他公司建设及市政建设，施工期影响随施工期的结束而结束。</w:t>
      </w:r>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718" w:name="_Toc332293025"/>
      <w:bookmarkStart w:id="719" w:name="_Toc23522"/>
      <w:r>
        <w:rPr>
          <w:rStyle w:val="2Char1Char"/>
          <w:rFonts w:ascii="Times New Roman" w:eastAsia="宋体" w:hAnsi="Times New Roman" w:cs="Times New Roman"/>
          <w:b w:val="0"/>
          <w:sz w:val="28"/>
          <w:szCs w:val="28"/>
        </w:rPr>
        <w:t xml:space="preserve">5.2 </w:t>
      </w:r>
      <w:r>
        <w:rPr>
          <w:rStyle w:val="2Char1Char"/>
          <w:rFonts w:ascii="Times New Roman" w:eastAsia="宋体" w:hAnsi="宋体" w:cs="Times New Roman"/>
          <w:b w:val="0"/>
          <w:sz w:val="28"/>
          <w:szCs w:val="28"/>
        </w:rPr>
        <w:t>营运期环境影响预测</w:t>
      </w:r>
      <w:bookmarkEnd w:id="717"/>
      <w:bookmarkEnd w:id="718"/>
      <w:bookmarkEnd w:id="719"/>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720" w:name="_Toc333230036"/>
      <w:bookmarkStart w:id="721" w:name="_Toc334080854"/>
      <w:bookmarkStart w:id="722" w:name="_Toc332293026"/>
      <w:bookmarkStart w:id="723" w:name="_Toc302936822"/>
      <w:bookmarkStart w:id="724" w:name="_Toc334014212"/>
      <w:bookmarkStart w:id="725" w:name="_Toc465677026"/>
      <w:bookmarkStart w:id="726" w:name="_Toc9227"/>
      <w:r>
        <w:rPr>
          <w:rStyle w:val="2Char1Char"/>
          <w:rFonts w:ascii="Times New Roman" w:eastAsia="宋体" w:hAnsi="Times New Roman" w:cs="Times New Roman"/>
          <w:b w:val="0"/>
          <w:sz w:val="24"/>
          <w:szCs w:val="24"/>
        </w:rPr>
        <w:t xml:space="preserve">5.2.1 </w:t>
      </w:r>
      <w:r>
        <w:rPr>
          <w:rStyle w:val="2Char1Char"/>
          <w:rFonts w:ascii="Times New Roman" w:eastAsia="宋体" w:hAnsi="宋体" w:cs="Times New Roman"/>
          <w:b w:val="0"/>
          <w:sz w:val="24"/>
          <w:szCs w:val="24"/>
        </w:rPr>
        <w:t>水环境影响分析</w:t>
      </w:r>
      <w:bookmarkEnd w:id="720"/>
      <w:bookmarkEnd w:id="721"/>
      <w:bookmarkEnd w:id="722"/>
      <w:bookmarkEnd w:id="723"/>
      <w:bookmarkEnd w:id="724"/>
      <w:bookmarkEnd w:id="725"/>
      <w:bookmarkEnd w:id="726"/>
    </w:p>
    <w:p w:rsidR="00475650" w:rsidRDefault="00475650">
      <w:pPr>
        <w:pStyle w:val="33Char111H3BHeadBSH-3h33rdlevel"/>
        <w:outlineLvl w:val="0"/>
        <w:rPr>
          <w:b w:val="0"/>
        </w:rPr>
      </w:pPr>
      <w:bookmarkStart w:id="727" w:name="_Toc302936823"/>
      <w:bookmarkStart w:id="728" w:name="_Toc333230037"/>
      <w:bookmarkStart w:id="729" w:name="_Toc334014213"/>
      <w:bookmarkStart w:id="730" w:name="_Toc334080855"/>
      <w:bookmarkStart w:id="731" w:name="_Toc448999126"/>
      <w:bookmarkStart w:id="732" w:name="_Toc465677027"/>
      <w:bookmarkStart w:id="733" w:name="_Toc2613"/>
      <w:r>
        <w:rPr>
          <w:b w:val="0"/>
        </w:rPr>
        <w:t xml:space="preserve">5.2.1.1 </w:t>
      </w:r>
      <w:bookmarkEnd w:id="727"/>
      <w:bookmarkEnd w:id="728"/>
      <w:bookmarkEnd w:id="729"/>
      <w:bookmarkEnd w:id="730"/>
      <w:r>
        <w:rPr>
          <w:rFonts w:hAnsi="宋体"/>
          <w:b w:val="0"/>
        </w:rPr>
        <w:t>对地表水的影响</w:t>
      </w:r>
      <w:bookmarkEnd w:id="731"/>
      <w:bookmarkEnd w:id="732"/>
      <w:bookmarkEnd w:id="733"/>
    </w:p>
    <w:p w:rsidR="00475650" w:rsidRDefault="00475650">
      <w:pPr>
        <w:tabs>
          <w:tab w:val="left" w:pos="484"/>
        </w:tabs>
        <w:autoSpaceDE w:val="0"/>
        <w:autoSpaceDN w:val="0"/>
        <w:adjustRightInd w:val="0"/>
        <w:snapToGrid w:val="0"/>
        <w:spacing w:line="360" w:lineRule="auto"/>
        <w:ind w:firstLineChars="200" w:firstLine="480"/>
        <w:rPr>
          <w:sz w:val="24"/>
        </w:rPr>
      </w:pPr>
      <w:r>
        <w:rPr>
          <w:rFonts w:hAnsi="宋体"/>
          <w:sz w:val="24"/>
        </w:rPr>
        <w:t>本项目生产废水经自建的污水处理站处理达园区污水处理厂进水水质标准后由总排口至园区污水处理厂处理，主要考虑对园区污水处理厂的影响。根据工程分析，</w:t>
      </w:r>
      <w:r>
        <w:rPr>
          <w:rFonts w:hAnsi="宋体" w:hint="eastAsia"/>
          <w:sz w:val="24"/>
        </w:rPr>
        <w:t>正常情况下，</w:t>
      </w:r>
      <w:r>
        <w:rPr>
          <w:rFonts w:hAnsi="宋体"/>
          <w:sz w:val="24"/>
        </w:rPr>
        <w:t>项目废水经处理后水质及水量满足园区污水处理厂接纳条件，不会对园区污水处理厂产生冲击影响，废水经处理后达标外排对项目区地表水体的影响已在园区污水处理厂的建设论证方案中予以考虑，因此，正常运行的前提下本项目废水外排对地表水的影响较小。在污水处理设施出现故障情况下，本项目高浓度废水未经处理或处理未能达标，高浓度有机废水的并入将影响园区污水处理厂的进水水质，造成冲击负荷，</w:t>
      </w:r>
      <w:r>
        <w:rPr>
          <w:rFonts w:hAnsi="宋体" w:hint="eastAsia"/>
          <w:sz w:val="24"/>
        </w:rPr>
        <w:t>且废水中盐分较高，对园区污水处理厂生化细菌有毒害作用，</w:t>
      </w:r>
      <w:r>
        <w:rPr>
          <w:rFonts w:hAnsi="宋体"/>
          <w:sz w:val="24"/>
        </w:rPr>
        <w:t>严重情况下将影响污水处理厂</w:t>
      </w:r>
      <w:r>
        <w:rPr>
          <w:rFonts w:hAnsi="宋体" w:hint="eastAsia"/>
          <w:sz w:val="24"/>
        </w:rPr>
        <w:t>的正常运行及</w:t>
      </w:r>
      <w:r>
        <w:rPr>
          <w:rFonts w:hAnsi="宋体"/>
          <w:sz w:val="24"/>
        </w:rPr>
        <w:t>出水水质的稳定达标，大量不达标废水的外排对</w:t>
      </w:r>
      <w:r>
        <w:rPr>
          <w:rFonts w:hAnsi="宋体" w:hint="eastAsia"/>
          <w:sz w:val="24"/>
        </w:rPr>
        <w:t>长江</w:t>
      </w:r>
      <w:r>
        <w:rPr>
          <w:rFonts w:hAnsi="宋体"/>
          <w:sz w:val="24"/>
        </w:rPr>
        <w:t>地表水水质的影响远远大于本项目不达标废水的外排影响</w:t>
      </w:r>
      <w:r>
        <w:rPr>
          <w:rFonts w:hAnsi="宋体" w:hint="eastAsia"/>
          <w:sz w:val="24"/>
        </w:rPr>
        <w:t>；而高盐度高色度的废水一旦进入接纳水体长江，将造成长江水体自净能力下降，毒害水体中</w:t>
      </w:r>
      <w:r>
        <w:rPr>
          <w:rFonts w:hAnsi="宋体" w:hint="eastAsia"/>
          <w:sz w:val="24"/>
        </w:rPr>
        <w:lastRenderedPageBreak/>
        <w:t>的水生生物，高色度废水严重影响长江水体的感官环境，造成有色污染带，其生态影响较大</w:t>
      </w:r>
      <w:r>
        <w:rPr>
          <w:rFonts w:hAnsi="宋体"/>
          <w:sz w:val="24"/>
        </w:rPr>
        <w:t>。</w:t>
      </w:r>
    </w:p>
    <w:p w:rsidR="00475650" w:rsidRDefault="00475650">
      <w:pPr>
        <w:tabs>
          <w:tab w:val="left" w:pos="484"/>
        </w:tabs>
        <w:autoSpaceDE w:val="0"/>
        <w:autoSpaceDN w:val="0"/>
        <w:adjustRightInd w:val="0"/>
        <w:snapToGrid w:val="0"/>
        <w:spacing w:line="360" w:lineRule="auto"/>
        <w:ind w:firstLineChars="200" w:firstLine="480"/>
        <w:rPr>
          <w:rFonts w:hAnsi="宋体"/>
          <w:sz w:val="24"/>
        </w:rPr>
      </w:pPr>
      <w:r>
        <w:rPr>
          <w:rFonts w:hAnsi="宋体" w:hint="eastAsia"/>
          <w:sz w:val="24"/>
        </w:rPr>
        <w:t>公司现设有一座</w:t>
      </w:r>
      <w:r>
        <w:rPr>
          <w:rFonts w:hAnsi="宋体" w:hint="eastAsia"/>
          <w:sz w:val="24"/>
        </w:rPr>
        <w:t>500</w:t>
      </w:r>
      <w:r>
        <w:rPr>
          <w:rFonts w:hAnsi="宋体" w:hint="eastAsia"/>
          <w:sz w:val="24"/>
        </w:rPr>
        <w:t>立方米的事故池，可满足本项目</w:t>
      </w:r>
      <w:r>
        <w:rPr>
          <w:rFonts w:hAnsi="宋体" w:hint="eastAsia"/>
          <w:sz w:val="24"/>
        </w:rPr>
        <w:t>8</w:t>
      </w:r>
      <w:r>
        <w:rPr>
          <w:rFonts w:hAnsi="宋体" w:hint="eastAsia"/>
          <w:sz w:val="24"/>
        </w:rPr>
        <w:t>小时以上的废水水量的暂存；污水处理设施应按照《染料工业废水治理工程技术规范（</w:t>
      </w:r>
      <w:r>
        <w:rPr>
          <w:rFonts w:hAnsi="宋体" w:hint="eastAsia"/>
          <w:sz w:val="24"/>
        </w:rPr>
        <w:t>HJ 2036-2013</w:t>
      </w:r>
      <w:r>
        <w:rPr>
          <w:rFonts w:hAnsi="宋体" w:hint="eastAsia"/>
          <w:sz w:val="24"/>
        </w:rPr>
        <w:t>）》的要求进行建设，其中综合废水处理站调节池的容量按最大日流量计算，工业废水在调节池内贮存时间不宜少于</w:t>
      </w:r>
      <w:r>
        <w:rPr>
          <w:rFonts w:hAnsi="宋体" w:hint="eastAsia"/>
          <w:sz w:val="24"/>
        </w:rPr>
        <w:t>2</w:t>
      </w:r>
      <w:r>
        <w:rPr>
          <w:rFonts w:hAnsi="宋体" w:hint="eastAsia"/>
          <w:sz w:val="24"/>
        </w:rPr>
        <w:t>天</w:t>
      </w:r>
      <w:r>
        <w:rPr>
          <w:rFonts w:hAnsi="宋体"/>
          <w:sz w:val="24"/>
        </w:rPr>
        <w:t>，一旦污水处理站发生故障，应采取停工检修的方式防止后续排水作业，</w:t>
      </w:r>
      <w:r>
        <w:rPr>
          <w:rFonts w:hAnsi="宋体" w:hint="eastAsia"/>
          <w:sz w:val="24"/>
        </w:rPr>
        <w:t>将废水控制在调节池内，</w:t>
      </w:r>
      <w:r>
        <w:rPr>
          <w:rFonts w:hAnsi="宋体"/>
          <w:sz w:val="24"/>
        </w:rPr>
        <w:t>关闭总排口，待污水处理站正常运行后恢复生产</w:t>
      </w:r>
      <w:r>
        <w:rPr>
          <w:rFonts w:hAnsi="宋体" w:hint="eastAsia"/>
          <w:sz w:val="24"/>
        </w:rPr>
        <w:t>及废水的外排</w:t>
      </w:r>
      <w:r>
        <w:rPr>
          <w:rFonts w:hAnsi="宋体"/>
          <w:sz w:val="24"/>
        </w:rPr>
        <w:t>。</w:t>
      </w:r>
    </w:p>
    <w:p w:rsidR="00475650" w:rsidRDefault="00475650">
      <w:pPr>
        <w:tabs>
          <w:tab w:val="left" w:pos="484"/>
        </w:tabs>
        <w:autoSpaceDE w:val="0"/>
        <w:autoSpaceDN w:val="0"/>
        <w:adjustRightInd w:val="0"/>
        <w:snapToGrid w:val="0"/>
        <w:spacing w:line="360" w:lineRule="auto"/>
        <w:ind w:firstLineChars="200" w:firstLine="480"/>
        <w:rPr>
          <w:rFonts w:hAnsi="宋体"/>
          <w:sz w:val="24"/>
        </w:rPr>
      </w:pPr>
      <w:r>
        <w:rPr>
          <w:rFonts w:hAnsi="宋体" w:hint="eastAsia"/>
          <w:sz w:val="24"/>
        </w:rPr>
        <w:t>目前，公司排污管网单独接至园区污水处理厂，接入口设有监测井，正在安装在线监控设施，公司应确保在线监测设施的有效性及正常运行，一旦发现超标排水，园区污水处理厂将立即关闭接入阀门，并通知鹏程公司排查污染源、关闭排水阀门，直到废水满足园区进水标准后方可打开排水阀门，必要情况下应采取停产检修。</w:t>
      </w:r>
    </w:p>
    <w:p w:rsidR="00475650" w:rsidRDefault="00475650">
      <w:pPr>
        <w:spacing w:line="360" w:lineRule="auto"/>
        <w:ind w:firstLine="480"/>
        <w:rPr>
          <w:sz w:val="24"/>
        </w:rPr>
      </w:pPr>
      <w:bookmarkStart w:id="734" w:name="_Toc302936824"/>
      <w:r>
        <w:rPr>
          <w:sz w:val="24"/>
        </w:rPr>
        <w:t xml:space="preserve">5.2.1.2 </w:t>
      </w:r>
      <w:r>
        <w:rPr>
          <w:rFonts w:hAnsi="宋体"/>
          <w:sz w:val="24"/>
        </w:rPr>
        <w:t>对地下水的影响</w:t>
      </w:r>
      <w:bookmarkEnd w:id="734"/>
    </w:p>
    <w:p w:rsidR="00475650" w:rsidRDefault="00475650">
      <w:pPr>
        <w:pStyle w:val="G"/>
        <w:tabs>
          <w:tab w:val="left" w:pos="1021"/>
        </w:tabs>
        <w:rPr>
          <w:rFonts w:ascii="Times New Roman" w:hAnsi="Times New Roman"/>
          <w:color w:val="auto"/>
          <w:u w:val="single"/>
        </w:rPr>
      </w:pPr>
      <w:r>
        <w:rPr>
          <w:rFonts w:ascii="Times New Roman" w:hAnsi="Times New Roman" w:hint="eastAsia"/>
          <w:color w:val="auto"/>
          <w:u w:val="single"/>
        </w:rPr>
        <w:t>1</w:t>
      </w:r>
      <w:r>
        <w:rPr>
          <w:rFonts w:ascii="Times New Roman" w:hAnsi="Times New Roman" w:hint="eastAsia"/>
          <w:color w:val="auto"/>
          <w:u w:val="single"/>
        </w:rPr>
        <w:t>、现有地下水水质基本情况</w:t>
      </w:r>
    </w:p>
    <w:p w:rsidR="00475650" w:rsidRDefault="00475650">
      <w:pPr>
        <w:pStyle w:val="G"/>
        <w:tabs>
          <w:tab w:val="left" w:pos="1021"/>
        </w:tabs>
        <w:rPr>
          <w:rFonts w:ascii="Times New Roman" w:hAnsi="Times New Roman"/>
          <w:color w:val="auto"/>
          <w:u w:val="single"/>
        </w:rPr>
      </w:pPr>
      <w:r>
        <w:rPr>
          <w:rFonts w:ascii="Times New Roman" w:hAnsi="Times New Roman"/>
          <w:color w:val="auto"/>
          <w:u w:val="single"/>
        </w:rPr>
        <w:t>根据地下水现状调查结果，厂址区域</w:t>
      </w:r>
      <w:r>
        <w:rPr>
          <w:rFonts w:ascii="Times New Roman" w:hAnsi="Times New Roman"/>
          <w:color w:val="auto"/>
          <w:kern w:val="20"/>
          <w:u w:val="single"/>
        </w:rPr>
        <w:t>范围地下水</w:t>
      </w:r>
      <w:r>
        <w:rPr>
          <w:rFonts w:ascii="Times New Roman" w:hAnsi="Times New Roman" w:hint="eastAsia"/>
          <w:color w:val="auto"/>
          <w:kern w:val="20"/>
          <w:u w:val="single"/>
        </w:rPr>
        <w:t>监测因子浓度基本</w:t>
      </w:r>
      <w:r>
        <w:rPr>
          <w:rFonts w:ascii="Times New Roman" w:hAnsi="Times New Roman"/>
          <w:color w:val="auto"/>
          <w:kern w:val="20"/>
          <w:u w:val="single"/>
        </w:rPr>
        <w:t>符合《地下水质量标准》（</w:t>
      </w:r>
      <w:r>
        <w:rPr>
          <w:rFonts w:ascii="Times New Roman" w:hAnsi="Times New Roman"/>
          <w:color w:val="auto"/>
          <w:kern w:val="20"/>
          <w:u w:val="single"/>
        </w:rPr>
        <w:t>GB/T14848-93</w:t>
      </w:r>
      <w:r>
        <w:rPr>
          <w:rFonts w:ascii="Times New Roman" w:hAnsi="Times New Roman"/>
          <w:color w:val="auto"/>
          <w:kern w:val="20"/>
          <w:u w:val="single"/>
        </w:rPr>
        <w:t>）</w:t>
      </w:r>
      <w:r>
        <w:rPr>
          <w:rFonts w:ascii="宋体" w:hAnsi="宋体" w:cs="宋体" w:hint="eastAsia"/>
          <w:color w:val="auto"/>
          <w:kern w:val="20"/>
          <w:u w:val="single"/>
        </w:rPr>
        <w:t>Ⅲ</w:t>
      </w:r>
      <w:r>
        <w:rPr>
          <w:rFonts w:ascii="Times New Roman" w:hAnsi="Times New Roman"/>
          <w:color w:val="auto"/>
          <w:kern w:val="20"/>
          <w:u w:val="single"/>
        </w:rPr>
        <w:t>类标准，区域地下水水质良好。</w:t>
      </w:r>
      <w:r>
        <w:rPr>
          <w:rFonts w:hAnsi="宋体"/>
          <w:color w:val="auto"/>
          <w:u w:val="single"/>
        </w:rPr>
        <w:t>本项目生产及生活用水来自园区给水，不开采地下水资源，对地下水水位无影响。</w:t>
      </w:r>
    </w:p>
    <w:p w:rsidR="00475650" w:rsidRDefault="00475650">
      <w:pPr>
        <w:pStyle w:val="G"/>
        <w:tabs>
          <w:tab w:val="left" w:pos="1021"/>
        </w:tabs>
        <w:rPr>
          <w:rFonts w:ascii="Times New Roman" w:hAnsi="Times New Roman"/>
          <w:color w:val="auto"/>
          <w:u w:val="single"/>
        </w:rPr>
      </w:pPr>
      <w:r>
        <w:rPr>
          <w:rFonts w:ascii="Times New Roman" w:hAnsi="Times New Roman" w:hint="eastAsia"/>
          <w:color w:val="auto"/>
          <w:u w:val="single"/>
        </w:rPr>
        <w:t>2</w:t>
      </w:r>
      <w:r>
        <w:rPr>
          <w:rFonts w:ascii="Times New Roman" w:hAnsi="Times New Roman" w:hint="eastAsia"/>
          <w:color w:val="auto"/>
          <w:u w:val="single"/>
        </w:rPr>
        <w:t>、现有地下水污染措施</w:t>
      </w:r>
    </w:p>
    <w:p w:rsidR="00475650" w:rsidRDefault="00475650">
      <w:pPr>
        <w:pStyle w:val="G"/>
        <w:tabs>
          <w:tab w:val="left" w:pos="1021"/>
        </w:tabs>
        <w:rPr>
          <w:rFonts w:ascii="Times New Roman" w:hAnsi="Times New Roman"/>
          <w:color w:val="auto"/>
          <w:u w:val="single"/>
        </w:rPr>
      </w:pPr>
      <w:r>
        <w:rPr>
          <w:rFonts w:ascii="Times New Roman" w:hAnsi="Times New Roman" w:hint="eastAsia"/>
          <w:color w:val="auto"/>
          <w:u w:val="single"/>
        </w:rPr>
        <w:t>根据现场情况来看，</w:t>
      </w:r>
      <w:r>
        <w:rPr>
          <w:rFonts w:ascii="Times New Roman" w:hAnsi="Times New Roman"/>
          <w:color w:val="auto"/>
          <w:u w:val="single"/>
        </w:rPr>
        <w:t>项目</w:t>
      </w:r>
      <w:r>
        <w:rPr>
          <w:rFonts w:ascii="Times New Roman" w:hAnsi="Times New Roman" w:hint="eastAsia"/>
          <w:color w:val="auto"/>
          <w:u w:val="single"/>
        </w:rPr>
        <w:t>生产区地面为水泥硬化地面；采取了“雨污分流”措施，污水采用专用的管道进行输送，利旧现有的事故废水水池对风险情况下产生的事故液及渗漏液体进行收集及处理，减少了污水通过壤土进入地下水的概率。</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hint="eastAsia"/>
          <w:color w:val="auto"/>
          <w:u w:val="single"/>
        </w:rPr>
        <w:t>3</w:t>
      </w:r>
      <w:r>
        <w:rPr>
          <w:rFonts w:ascii="Times New Roman" w:hAnsi="Times New Roman" w:hint="eastAsia"/>
          <w:color w:val="auto"/>
          <w:u w:val="single"/>
        </w:rPr>
        <w:t>、工程实施对地下水污染分析</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hint="eastAsia"/>
          <w:color w:val="auto"/>
          <w:u w:val="single"/>
        </w:rPr>
        <w:t>营运期内潜在地下水污染源主要有生活污水和生产废水超标外排、设备的跑冒滴漏、固体废弃物不规范暂存等。生产过程中产生的废水主要来源于地面及设备冲洗废水、压滤废水、初期雨水、事故废液等，公司现涉污区域与绿化地之间部分地带未有明显的隔离设施，事故情况下或暴雨天气超标废水易通过厂外壤土地面下渗或通过厂区周边的地表水体进入地下水，造成含污废水进入壤土污染地下水，势必会影响地下水水质。设备连接不紧密处，主要是加料口、阀门、管道连接处等由于监管或操作不当，容易造成跑、冒、滴、漏污染，泄漏液体在地面长期积累，腐蚀</w:t>
      </w:r>
      <w:r>
        <w:rPr>
          <w:rFonts w:ascii="Times New Roman" w:hAnsi="Times New Roman" w:hint="eastAsia"/>
          <w:color w:val="auto"/>
          <w:u w:val="single"/>
        </w:rPr>
        <w:lastRenderedPageBreak/>
        <w:t>性物料对地面材料有腐蚀作用，长期腐蚀作用下污染物下渗至厂区地面下的壤土环境，将污染地下水体；固体废物，尤其是危险废物在运输及暂存过程中如未采取有效的防风防雨防渗措施，渗滤液将蔓入周围未设防渗地面，污染地下水体；涉酸碱区域，在仅有防渗措施无防腐措施的情况下，一旦发生酸碱液的泄漏或跑冒滴漏，在长期腐蚀作用下，防渗层将被破坏，造成酸碱等污染液直接进入防渗层以外的区域，污染地下水体。</w:t>
      </w:r>
      <w:r>
        <w:rPr>
          <w:rFonts w:ascii="Times New Roman" w:hAnsi="Times New Roman" w:hint="eastAsia"/>
          <w:color w:val="auto"/>
          <w:u w:val="single"/>
        </w:rPr>
        <w:t xml:space="preserve"> </w:t>
      </w:r>
    </w:p>
    <w:p w:rsidR="00475650" w:rsidRDefault="00475650">
      <w:pPr>
        <w:pStyle w:val="G"/>
        <w:tabs>
          <w:tab w:val="left" w:pos="1021"/>
        </w:tabs>
        <w:rPr>
          <w:rFonts w:ascii="Times New Roman" w:hAnsi="Times New Roman"/>
          <w:color w:val="auto"/>
          <w:u w:val="single"/>
        </w:rPr>
      </w:pPr>
      <w:r>
        <w:rPr>
          <w:rFonts w:ascii="Times New Roman" w:hAnsi="Times New Roman" w:hint="eastAsia"/>
          <w:color w:val="auto"/>
          <w:u w:val="single"/>
        </w:rPr>
        <w:t>根据对项目废水中污染物分析，废水中主要污染物为</w:t>
      </w:r>
      <w:r>
        <w:rPr>
          <w:rFonts w:ascii="Times New Roman" w:hAnsi="Times New Roman"/>
          <w:color w:val="auto"/>
          <w:u w:val="single"/>
        </w:rPr>
        <w:t>SS</w:t>
      </w:r>
      <w:r>
        <w:rPr>
          <w:rFonts w:ascii="Times New Roman" w:hAnsi="Times New Roman" w:hint="eastAsia"/>
          <w:color w:val="auto"/>
          <w:u w:val="single"/>
        </w:rPr>
        <w:t>、</w:t>
      </w:r>
      <w:r>
        <w:rPr>
          <w:rFonts w:ascii="Times New Roman" w:hAnsi="Times New Roman"/>
          <w:color w:val="auto"/>
          <w:u w:val="single"/>
        </w:rPr>
        <w:t>COD</w:t>
      </w:r>
      <w:r>
        <w:rPr>
          <w:rFonts w:ascii="Times New Roman" w:hAnsi="Times New Roman" w:hint="eastAsia"/>
          <w:color w:val="auto"/>
          <w:u w:val="single"/>
        </w:rPr>
        <w:t>、</w:t>
      </w:r>
      <w:r>
        <w:rPr>
          <w:rFonts w:ascii="Times New Roman" w:hAnsi="Times New Roman"/>
          <w:color w:val="auto"/>
          <w:u w:val="single"/>
        </w:rPr>
        <w:t>NH</w:t>
      </w:r>
      <w:r>
        <w:rPr>
          <w:rFonts w:ascii="Times New Roman" w:hAnsi="Times New Roman"/>
          <w:color w:val="auto"/>
          <w:u w:val="single"/>
          <w:vertAlign w:val="subscript"/>
        </w:rPr>
        <w:t>3</w:t>
      </w:r>
      <w:r>
        <w:rPr>
          <w:rFonts w:ascii="Times New Roman" w:hAnsi="Times New Roman"/>
          <w:color w:val="auto"/>
          <w:u w:val="single"/>
        </w:rPr>
        <w:t>-N</w:t>
      </w:r>
      <w:r>
        <w:rPr>
          <w:rFonts w:ascii="Times New Roman" w:hAnsi="Times New Roman" w:hint="eastAsia"/>
          <w:color w:val="auto"/>
          <w:u w:val="single"/>
        </w:rPr>
        <w:t>、酸碱等。在正常情况下，污水通过管网输送，集中处理后送园区污水处理厂，不会进入地下水。但在生产过程中难免存在着设备的无组织泄漏以及其它方式的无组织排放（如冲洗地面等），甚至存在着由于自然灾害及人为因素引起的事故性排放的可能性，如污水管网、污水池、固废暂存场防渗层等设施出现裂缝甚至破裂而发生渗漏，废水可能通过渗漏作用对厂址区域地下水产生污染，是对区域内地下水产生污染的主要污染源。</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hint="eastAsia"/>
          <w:color w:val="auto"/>
          <w:u w:val="single"/>
        </w:rPr>
        <w:t>4</w:t>
      </w:r>
      <w:r>
        <w:rPr>
          <w:rFonts w:ascii="Times New Roman" w:hAnsi="Times New Roman" w:hint="eastAsia"/>
          <w:color w:val="auto"/>
          <w:u w:val="single"/>
        </w:rPr>
        <w:t>、本次环评要求新增污染防治措施</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hint="eastAsia"/>
          <w:color w:val="auto"/>
          <w:u w:val="single"/>
        </w:rPr>
        <w:t>由于原辅材料中涉及酸碱物质，应加强生产监管，本项目生产车间涉酸碱区域、管网及池体应加强防渗措施，新增防腐措施，将“跑、冒、滴、漏”污染降低到最低限度；增设初期雨水收集管网，对初期雨水进行收集后并入公司现有初期雨水收集池，禁止超标含污废水进入周边水体；增设危险废物暂存库，暂存库的防渗措施及危险废物的暂存要求应满足</w:t>
      </w:r>
      <w:r>
        <w:rPr>
          <w:rFonts w:hAnsi="宋体" w:hint="eastAsia"/>
          <w:u w:val="single"/>
        </w:rPr>
        <w:t>《危险废物贮存污染控制标准》（</w:t>
      </w:r>
      <w:r>
        <w:rPr>
          <w:rFonts w:hAnsi="宋体" w:hint="eastAsia"/>
          <w:u w:val="single"/>
        </w:rPr>
        <w:t>GB 18597-2001</w:t>
      </w:r>
      <w:r>
        <w:rPr>
          <w:rFonts w:hAnsi="宋体" w:hint="eastAsia"/>
          <w:u w:val="single"/>
        </w:rPr>
        <w:t>）</w:t>
      </w:r>
      <w:r>
        <w:rPr>
          <w:rFonts w:ascii="Times New Roman" w:hAnsi="Times New Roman" w:hint="eastAsia"/>
          <w:color w:val="auto"/>
          <w:u w:val="single"/>
        </w:rPr>
        <w:t>；加快建设污水处理设施，废水经处理后经专用管网外排园区污水处理厂处理，禁止直接外排周边水体；盐酸中间罐区及乙酸酐暂存区域应设围堰、碱液喷淋装置及碱液池，加强员工安全防护知识及应急响应能力、事故处理能力，一旦发生泄漏事故，应立即采取有效的措施堵漏、对泄漏物质采取有针对性的有效处理措施，避免污染事故的进一步扩大；增设公司现有事故池及初期雨水收集池连接至拟建设的污水处理站管网，确保事故废液经处理后外排园区污水处理厂；公司总排口应增设监测孔及在线监控设施，确保公司外排水水质满足园区污水处理厂的接纳水水质标准。涉污区域与车间外未硬化地面间应设隔断设施，如挡水坎、排水沟等，</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hint="eastAsia"/>
          <w:color w:val="auto"/>
          <w:u w:val="single"/>
        </w:rPr>
        <w:t>6</w:t>
      </w:r>
      <w:r>
        <w:rPr>
          <w:rFonts w:ascii="Times New Roman" w:hAnsi="Times New Roman" w:hint="eastAsia"/>
          <w:color w:val="auto"/>
          <w:u w:val="single"/>
        </w:rPr>
        <w:t>、本项目完成后，污染防治措施应达到的整体要求</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hint="eastAsia"/>
          <w:color w:val="auto"/>
          <w:u w:val="single"/>
        </w:rPr>
        <w:t>综合以上分析，在采取现有及新增的地下水污染防治措施后，整个项目的污染</w:t>
      </w:r>
      <w:r>
        <w:rPr>
          <w:rFonts w:ascii="Times New Roman" w:hAnsi="Times New Roman" w:hint="eastAsia"/>
          <w:color w:val="auto"/>
          <w:u w:val="single"/>
        </w:rPr>
        <w:lastRenderedPageBreak/>
        <w:t>防治措施应达到以下要求：按照“源头控制、分区防控、污染监控、应急响应”相结合的原则，从污染物的产生、入渗、扩散、应急响应全方位进行控制。</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hint="eastAsia"/>
          <w:color w:val="auto"/>
          <w:u w:val="single"/>
        </w:rPr>
        <w:t>（</w:t>
      </w:r>
      <w:r>
        <w:rPr>
          <w:rFonts w:ascii="Times New Roman" w:hAnsi="Times New Roman" w:hint="eastAsia"/>
          <w:color w:val="auto"/>
          <w:u w:val="single"/>
        </w:rPr>
        <w:t>1</w:t>
      </w:r>
      <w:r>
        <w:rPr>
          <w:rFonts w:ascii="Times New Roman" w:hAnsi="Times New Roman" w:hint="eastAsia"/>
          <w:color w:val="auto"/>
          <w:u w:val="single"/>
        </w:rPr>
        <w:t>）原则</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hint="eastAsia"/>
          <w:color w:val="auto"/>
          <w:u w:val="single"/>
        </w:rPr>
        <w:t>为防止项目涉及的有毒、有害物料及含有污染物的介质泄</w:t>
      </w:r>
      <w:r>
        <w:rPr>
          <w:rFonts w:ascii="Times New Roman" w:hAnsi="Times New Roman" w:hint="eastAsia"/>
          <w:color w:val="auto"/>
          <w:u w:val="single"/>
        </w:rPr>
        <w:t>/</w:t>
      </w:r>
      <w:r>
        <w:rPr>
          <w:rFonts w:ascii="Times New Roman" w:hAnsi="Times New Roman" w:hint="eastAsia"/>
          <w:color w:val="auto"/>
          <w:u w:val="single"/>
        </w:rPr>
        <w:t>渗漏对地下水造成污染，应从原料产品储存、装卸、运输、生产过程、污染处理设施等全过程进行控制，同时对有害物质可能泄漏到地面的区域采取防渗措施，阻止其渗入地下水，即从源头到末端全方位采取控制措施。</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hint="eastAsia"/>
          <w:color w:val="auto"/>
          <w:u w:val="single"/>
        </w:rPr>
        <w:t>防止地下水污染应遵循下列原则：</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hint="eastAsia"/>
          <w:color w:val="auto"/>
          <w:u w:val="single"/>
        </w:rPr>
        <w:t>1</w:t>
      </w:r>
      <w:r>
        <w:rPr>
          <w:rFonts w:ascii="Times New Roman" w:hAnsi="Times New Roman" w:hint="eastAsia"/>
          <w:color w:val="auto"/>
          <w:u w:val="single"/>
        </w:rPr>
        <w:t>）源头控制、防止渗漏、污染监测及事故应急处理的主动及被动防渗相结合；</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hint="eastAsia"/>
          <w:color w:val="auto"/>
          <w:u w:val="single"/>
        </w:rPr>
        <w:t>2</w:t>
      </w:r>
      <w:r>
        <w:rPr>
          <w:rFonts w:ascii="Times New Roman" w:hAnsi="Times New Roman" w:hint="eastAsia"/>
          <w:color w:val="auto"/>
          <w:u w:val="single"/>
        </w:rPr>
        <w:t>）地上污染地上治理，地下污染地下治理；</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hint="eastAsia"/>
          <w:color w:val="auto"/>
          <w:u w:val="single"/>
        </w:rPr>
        <w:t>3</w:t>
      </w:r>
      <w:r>
        <w:rPr>
          <w:rFonts w:ascii="Times New Roman" w:hAnsi="Times New Roman" w:hint="eastAsia"/>
          <w:color w:val="auto"/>
          <w:u w:val="single"/>
        </w:rPr>
        <w:t>）按污染物渗漏的可能性严格划分为污染区和非污染区；</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hint="eastAsia"/>
          <w:color w:val="auto"/>
          <w:u w:val="single"/>
        </w:rPr>
        <w:t>4</w:t>
      </w:r>
      <w:r>
        <w:rPr>
          <w:rFonts w:ascii="Times New Roman" w:hAnsi="Times New Roman" w:hint="eastAsia"/>
          <w:color w:val="auto"/>
          <w:u w:val="single"/>
        </w:rPr>
        <w:t>）污染区应根据可能泄露污染物的性质划分为非污染区、一般污染防治区和重点污染防治区；</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hint="eastAsia"/>
          <w:color w:val="auto"/>
          <w:u w:val="single"/>
        </w:rPr>
        <w:t>5</w:t>
      </w:r>
      <w:r>
        <w:rPr>
          <w:rFonts w:ascii="Times New Roman" w:hAnsi="Times New Roman" w:hint="eastAsia"/>
          <w:color w:val="auto"/>
          <w:u w:val="single"/>
        </w:rPr>
        <w:t>）不同的污染防治区应结合包气带天然防渗性能采取相应的防渗措施；</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hint="eastAsia"/>
          <w:color w:val="auto"/>
          <w:u w:val="single"/>
        </w:rPr>
        <w:t>6</w:t>
      </w:r>
      <w:r>
        <w:rPr>
          <w:rFonts w:ascii="Times New Roman" w:hAnsi="Times New Roman" w:hint="eastAsia"/>
          <w:color w:val="auto"/>
          <w:u w:val="single"/>
        </w:rPr>
        <w:t>）污染区内应根据可能泄露污染物的性质、数量及场所的不同，设置相应的污染物收集及排放系统；</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hint="eastAsia"/>
          <w:color w:val="auto"/>
          <w:u w:val="single"/>
        </w:rPr>
        <w:t>7</w:t>
      </w:r>
      <w:r>
        <w:rPr>
          <w:rFonts w:ascii="Times New Roman" w:hAnsi="Times New Roman" w:hint="eastAsia"/>
          <w:color w:val="auto"/>
          <w:u w:val="single"/>
        </w:rPr>
        <w:t>）污染区内应设置污染物泄</w:t>
      </w:r>
      <w:r>
        <w:rPr>
          <w:rFonts w:ascii="Times New Roman" w:hAnsi="Times New Roman" w:hint="eastAsia"/>
          <w:color w:val="auto"/>
          <w:u w:val="single"/>
        </w:rPr>
        <w:t>/</w:t>
      </w:r>
      <w:r>
        <w:rPr>
          <w:rFonts w:ascii="Times New Roman" w:hAnsi="Times New Roman" w:hint="eastAsia"/>
          <w:color w:val="auto"/>
          <w:u w:val="single"/>
        </w:rPr>
        <w:t>渗漏检测设施，及时发现并处理泄</w:t>
      </w:r>
      <w:r>
        <w:rPr>
          <w:rFonts w:ascii="Times New Roman" w:hAnsi="Times New Roman" w:hint="eastAsia"/>
          <w:color w:val="auto"/>
          <w:u w:val="single"/>
        </w:rPr>
        <w:t>/</w:t>
      </w:r>
      <w:r>
        <w:rPr>
          <w:rFonts w:ascii="Times New Roman" w:hAnsi="Times New Roman" w:hint="eastAsia"/>
          <w:color w:val="auto"/>
          <w:u w:val="single"/>
        </w:rPr>
        <w:t>渗漏的污染物。</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hint="eastAsia"/>
          <w:color w:val="auto"/>
          <w:u w:val="single"/>
        </w:rPr>
        <w:t>按照上述原则并按照《危险废物贮存污染控制标准》（</w:t>
      </w:r>
      <w:r>
        <w:rPr>
          <w:rFonts w:ascii="Times New Roman" w:hAnsi="Times New Roman" w:hint="eastAsia"/>
          <w:color w:val="auto"/>
          <w:u w:val="single"/>
        </w:rPr>
        <w:t>GB18597-2001</w:t>
      </w:r>
      <w:r>
        <w:rPr>
          <w:rFonts w:ascii="Times New Roman" w:hAnsi="Times New Roman" w:hint="eastAsia"/>
          <w:color w:val="auto"/>
          <w:u w:val="single"/>
        </w:rPr>
        <w:t>）相关要求，提出合理可行的地下水防渗方案，避免污染厂区附近地下水。</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hint="eastAsia"/>
          <w:color w:val="auto"/>
          <w:u w:val="single"/>
        </w:rPr>
        <w:t>（</w:t>
      </w:r>
      <w:r>
        <w:rPr>
          <w:rFonts w:ascii="Times New Roman" w:hAnsi="Times New Roman" w:hint="eastAsia"/>
          <w:color w:val="auto"/>
          <w:u w:val="single"/>
        </w:rPr>
        <w:t>2</w:t>
      </w:r>
      <w:r>
        <w:rPr>
          <w:rFonts w:ascii="Times New Roman" w:hAnsi="Times New Roman" w:hint="eastAsia"/>
          <w:color w:val="auto"/>
          <w:u w:val="single"/>
        </w:rPr>
        <w:t>）源头控制措施</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hint="eastAsia"/>
          <w:color w:val="auto"/>
          <w:u w:val="single"/>
        </w:rPr>
        <w:t>采取先进的生产设备，工艺、管道、设备、废水储存及处理构筑物采取相应措施，防止和降低污染物跑、冒、滴、漏；尽量“可视化”，做到污染物“早发现、早处理”。污水泵的轴封应优先选配机械密封，当机械密封不满足安全、健康、环保要求时，可考虑选用无密封离心泵。输送有毒有害物质的设备法兰及接管法兰的密封面和垫片适当提高密封等级，必要时采用焊接连接。对输送有毒有害介质的泵选用无密封泵。所有输送工艺物料的离心泵及回转泵采用机械密封，对输送重组分介质的离心泵及回转泵，适当提高密封等级（如增加停车密封、干气密封或采用串联密封等措施）。所有转动设备均提供集液盆式底座，并能将集液全部收集并集中排放。</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hint="eastAsia"/>
          <w:color w:val="auto"/>
          <w:u w:val="single"/>
        </w:rPr>
        <w:t>目前厂房至污水处理站的污水管网暂未建设，输送污水压力管道尽量采用地上</w:t>
      </w:r>
      <w:r>
        <w:rPr>
          <w:rFonts w:ascii="Times New Roman" w:hAnsi="Times New Roman" w:hint="eastAsia"/>
          <w:color w:val="auto"/>
          <w:u w:val="single"/>
        </w:rPr>
        <w:lastRenderedPageBreak/>
        <w:t>敷设，重力收集管道可采用埋地敷设，埋地敷设的排水管道在穿越厂（库）区干道时采用套管保护。所有穿过污水处理构筑物壁的管道预先设置防水套管，防水套管的环缝隙采用不透水的柔性材料填塞。埋地管线宜采用钢管，连接方式应采用焊接，焊缝质量等级不应低于Ⅱ级，管道设计壁厚应加厚，当设计没有要求时，腐蚀余量可取</w:t>
      </w:r>
      <w:r>
        <w:rPr>
          <w:rFonts w:ascii="Times New Roman" w:hAnsi="Times New Roman" w:hint="eastAsia"/>
          <w:color w:val="auto"/>
          <w:u w:val="single"/>
        </w:rPr>
        <w:t>2mm</w:t>
      </w:r>
      <w:r>
        <w:rPr>
          <w:rFonts w:ascii="Times New Roman" w:hAnsi="Times New Roman" w:hint="eastAsia"/>
          <w:color w:val="auto"/>
          <w:u w:val="single"/>
        </w:rPr>
        <w:t>，且外防腐的防腐等级应提高一级。</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hint="eastAsia"/>
          <w:color w:val="auto"/>
          <w:u w:val="single"/>
        </w:rPr>
        <w:t>（</w:t>
      </w:r>
      <w:r>
        <w:rPr>
          <w:rFonts w:ascii="Times New Roman" w:hAnsi="Times New Roman" w:hint="eastAsia"/>
          <w:color w:val="auto"/>
          <w:u w:val="single"/>
        </w:rPr>
        <w:t>3</w:t>
      </w:r>
      <w:r>
        <w:rPr>
          <w:rFonts w:ascii="Times New Roman" w:hAnsi="Times New Roman" w:hint="eastAsia"/>
          <w:color w:val="auto"/>
          <w:u w:val="single"/>
        </w:rPr>
        <w:t>）分区防控措施</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hint="eastAsia"/>
          <w:color w:val="auto"/>
          <w:u w:val="single"/>
        </w:rPr>
        <w:t>场地以水平防渗为主，防控措施应满足《危险废物贮存污染控制标准》（</w:t>
      </w:r>
      <w:r>
        <w:rPr>
          <w:rFonts w:ascii="Times New Roman" w:hAnsi="Times New Roman" w:hint="eastAsia"/>
          <w:color w:val="auto"/>
          <w:u w:val="single"/>
        </w:rPr>
        <w:t>GB18597-2001</w:t>
      </w:r>
      <w:r>
        <w:rPr>
          <w:rFonts w:ascii="Times New Roman" w:hAnsi="Times New Roman" w:hint="eastAsia"/>
          <w:color w:val="auto"/>
          <w:u w:val="single"/>
        </w:rPr>
        <w:t>）的要求。建议项目污染控制难易程度按“难”考虑、天然包气带防污性能按“弱”，厂区划为重点防渗区和一般防渗区。</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color w:val="auto"/>
          <w:u w:val="single"/>
        </w:rPr>
        <w:t>1</w:t>
      </w:r>
      <w:r>
        <w:rPr>
          <w:rFonts w:ascii="Times New Roman" w:hAnsi="Times New Roman" w:hint="eastAsia"/>
          <w:color w:val="auto"/>
          <w:u w:val="single"/>
        </w:rPr>
        <w:t>）重点防渗区</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hint="eastAsia"/>
          <w:color w:val="auto"/>
          <w:u w:val="single"/>
        </w:rPr>
        <w:t>重点防渗区指位于地下或者半地下的生产功能单元，污染地下水环境的污染物泄漏后不容易被及时发现和处理的区域或部位。</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hint="eastAsia"/>
          <w:color w:val="auto"/>
          <w:u w:val="single"/>
        </w:rPr>
        <w:t>根据本项目的特点，重点防渗区主要包括生产车间、酸罐区、污水管网、危险废物贮存场、污水处理站、事故水池等，应达到如下防渗技术要求：等效黏土防渗层</w:t>
      </w:r>
      <w:r>
        <w:rPr>
          <w:rFonts w:ascii="Times New Roman" w:hAnsi="Times New Roman" w:hint="eastAsia"/>
          <w:color w:val="auto"/>
          <w:u w:val="single"/>
        </w:rPr>
        <w:t>Mb</w:t>
      </w:r>
      <w:r>
        <w:rPr>
          <w:rFonts w:ascii="Times New Roman" w:hAnsi="Times New Roman" w:hint="eastAsia"/>
          <w:color w:val="auto"/>
          <w:u w:val="single"/>
        </w:rPr>
        <w:t>≥</w:t>
      </w:r>
      <w:r>
        <w:rPr>
          <w:rFonts w:ascii="Times New Roman" w:hAnsi="Times New Roman" w:hint="eastAsia"/>
          <w:color w:val="auto"/>
          <w:u w:val="single"/>
        </w:rPr>
        <w:t>6.0m</w:t>
      </w:r>
      <w:r>
        <w:rPr>
          <w:rFonts w:ascii="Times New Roman" w:hAnsi="Times New Roman" w:hint="eastAsia"/>
          <w:color w:val="auto"/>
          <w:u w:val="single"/>
        </w:rPr>
        <w:t>，渗透系数</w:t>
      </w:r>
      <w:r>
        <w:rPr>
          <w:rFonts w:ascii="Times New Roman" w:hAnsi="Times New Roman" w:hint="eastAsia"/>
          <w:color w:val="auto"/>
          <w:u w:val="single"/>
        </w:rPr>
        <w:t>K</w:t>
      </w:r>
      <w:r>
        <w:rPr>
          <w:rFonts w:ascii="Times New Roman" w:hAnsi="Times New Roman" w:hint="eastAsia"/>
          <w:color w:val="auto"/>
          <w:u w:val="single"/>
        </w:rPr>
        <w:t>≤</w:t>
      </w:r>
      <w:r>
        <w:rPr>
          <w:rFonts w:ascii="Times New Roman" w:hAnsi="Times New Roman" w:hint="eastAsia"/>
          <w:color w:val="auto"/>
          <w:u w:val="single"/>
        </w:rPr>
        <w:t>1.0</w:t>
      </w:r>
      <w:r>
        <w:rPr>
          <w:rFonts w:ascii="Times New Roman" w:hAnsi="Times New Roman" w:hint="eastAsia"/>
          <w:color w:val="auto"/>
          <w:u w:val="single"/>
        </w:rPr>
        <w:t>×</w:t>
      </w:r>
      <w:r>
        <w:rPr>
          <w:rFonts w:ascii="Times New Roman" w:hAnsi="Times New Roman" w:hint="eastAsia"/>
          <w:color w:val="auto"/>
          <w:u w:val="single"/>
        </w:rPr>
        <w:t>10</w:t>
      </w:r>
      <w:r>
        <w:rPr>
          <w:rFonts w:ascii="Times New Roman" w:hAnsi="Times New Roman" w:hint="eastAsia"/>
          <w:color w:val="auto"/>
          <w:u w:val="single"/>
          <w:vertAlign w:val="superscript"/>
        </w:rPr>
        <w:t xml:space="preserve">-7 </w:t>
      </w:r>
      <w:r>
        <w:rPr>
          <w:rFonts w:ascii="Times New Roman" w:hAnsi="Times New Roman" w:hint="eastAsia"/>
          <w:color w:val="auto"/>
          <w:u w:val="single"/>
        </w:rPr>
        <w:t>cm/s</w:t>
      </w:r>
      <w:r>
        <w:rPr>
          <w:rFonts w:ascii="Times New Roman" w:hAnsi="Times New Roman" w:hint="eastAsia"/>
          <w:color w:val="auto"/>
          <w:u w:val="single"/>
        </w:rPr>
        <w:t>，或参照《危险废物填埋污染控制标准》（</w:t>
      </w:r>
      <w:r>
        <w:rPr>
          <w:rFonts w:ascii="Times New Roman" w:hAnsi="Times New Roman" w:hint="eastAsia"/>
          <w:color w:val="auto"/>
          <w:u w:val="single"/>
        </w:rPr>
        <w:t>GB18598-2001</w:t>
      </w:r>
      <w:r>
        <w:rPr>
          <w:rFonts w:ascii="Times New Roman" w:hAnsi="Times New Roman" w:hint="eastAsia"/>
          <w:color w:val="auto"/>
          <w:u w:val="single"/>
        </w:rPr>
        <w:t>）。建议措施如下：</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hint="eastAsia"/>
          <w:color w:val="auto"/>
          <w:u w:val="single"/>
        </w:rPr>
        <w:t>①生产车间、危险废物贮存场、酸罐区等防渗：地面采用水泥硬化，涉酸碱区域设严格防渗、防腐和防爆措施，且罐区周围设置具有强防渗性围堰和集水沟。</w:t>
      </w:r>
      <w:r>
        <w:rPr>
          <w:rFonts w:ascii="Times New Roman" w:hAnsi="Times New Roman"/>
          <w:color w:val="auto"/>
          <w:u w:val="single"/>
        </w:rPr>
        <w:t xml:space="preserve"> </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hint="eastAsia"/>
          <w:color w:val="auto"/>
          <w:u w:val="single"/>
        </w:rPr>
        <w:t>②污水处理站池体防渗：混凝土池体采用防渗钢筋混凝土，池体内表面涂刷水泥基渗透结晶型防渗涂料（渗透系数不大于</w:t>
      </w:r>
      <w:r>
        <w:rPr>
          <w:rFonts w:ascii="Times New Roman" w:hAnsi="Times New Roman"/>
          <w:color w:val="auto"/>
          <w:u w:val="single"/>
        </w:rPr>
        <w:t>1.0×10</w:t>
      </w:r>
      <w:r>
        <w:rPr>
          <w:rFonts w:ascii="Times New Roman" w:hAnsi="Times New Roman"/>
          <w:color w:val="auto"/>
          <w:u w:val="single"/>
          <w:vertAlign w:val="superscript"/>
        </w:rPr>
        <w:t>-12</w:t>
      </w:r>
      <w:r>
        <w:rPr>
          <w:rFonts w:ascii="Times New Roman" w:hAnsi="Times New Roman"/>
          <w:color w:val="auto"/>
          <w:u w:val="single"/>
        </w:rPr>
        <w:t>cm/s</w:t>
      </w:r>
      <w:r>
        <w:rPr>
          <w:rFonts w:ascii="Times New Roman" w:hAnsi="Times New Roman" w:hint="eastAsia"/>
          <w:color w:val="auto"/>
          <w:u w:val="single"/>
        </w:rPr>
        <w:t>）。</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hint="eastAsia"/>
          <w:color w:val="auto"/>
          <w:u w:val="single"/>
        </w:rPr>
        <w:t>③污水管网铺设防渗：污水管道尽量架空铺设，如采用地下管道，应加强地下管道及设施的固化和密封，采用防腐蚀、防爆材料，防止发生沉降引起渗漏，并按明渠明沟敷设。</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color w:val="auto"/>
          <w:u w:val="single"/>
        </w:rPr>
        <w:t>2</w:t>
      </w:r>
      <w:r>
        <w:rPr>
          <w:rFonts w:ascii="Times New Roman" w:hAnsi="Times New Roman" w:hint="eastAsia"/>
          <w:color w:val="auto"/>
          <w:u w:val="single"/>
        </w:rPr>
        <w:t>）一般防渗区</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hint="eastAsia"/>
          <w:color w:val="auto"/>
          <w:u w:val="single"/>
        </w:rPr>
        <w:t>上述重点防渗区以外的其它建筑区，如厂区道路、一般物质区等，应达到如下防渗技术要求：等效黏土防渗层</w:t>
      </w:r>
      <w:r>
        <w:rPr>
          <w:rFonts w:ascii="Times New Roman" w:hAnsi="Times New Roman" w:hint="eastAsia"/>
          <w:color w:val="auto"/>
          <w:u w:val="single"/>
        </w:rPr>
        <w:t>Mb</w:t>
      </w:r>
      <w:r>
        <w:rPr>
          <w:rFonts w:ascii="Times New Roman" w:hAnsi="Times New Roman" w:hint="eastAsia"/>
          <w:color w:val="auto"/>
          <w:u w:val="single"/>
        </w:rPr>
        <w:t>≥</w:t>
      </w:r>
      <w:r>
        <w:rPr>
          <w:rFonts w:ascii="Times New Roman" w:hAnsi="Times New Roman" w:hint="eastAsia"/>
          <w:color w:val="auto"/>
          <w:u w:val="single"/>
        </w:rPr>
        <w:t>1.5m</w:t>
      </w:r>
      <w:r>
        <w:rPr>
          <w:rFonts w:ascii="Times New Roman" w:hAnsi="Times New Roman" w:hint="eastAsia"/>
          <w:color w:val="auto"/>
          <w:u w:val="single"/>
        </w:rPr>
        <w:t>，</w:t>
      </w:r>
      <w:r>
        <w:rPr>
          <w:rFonts w:ascii="Times New Roman" w:hAnsi="Times New Roman"/>
          <w:color w:val="auto"/>
          <w:u w:val="single"/>
        </w:rPr>
        <w:t>渗透系数</w:t>
      </w:r>
      <w:r>
        <w:rPr>
          <w:rFonts w:ascii="Times New Roman" w:hAnsi="Times New Roman" w:hint="eastAsia"/>
          <w:color w:val="auto"/>
          <w:u w:val="single"/>
        </w:rPr>
        <w:t>K</w:t>
      </w:r>
      <w:r>
        <w:rPr>
          <w:rFonts w:ascii="Times New Roman" w:hAnsi="Times New Roman"/>
          <w:color w:val="auto"/>
          <w:u w:val="single"/>
        </w:rPr>
        <w:t>≤1.0×10</w:t>
      </w:r>
      <w:r>
        <w:rPr>
          <w:rFonts w:ascii="Times New Roman" w:hAnsi="Times New Roman"/>
          <w:color w:val="auto"/>
          <w:u w:val="single"/>
          <w:vertAlign w:val="superscript"/>
        </w:rPr>
        <w:t xml:space="preserve">-7 </w:t>
      </w:r>
      <w:r>
        <w:rPr>
          <w:rFonts w:ascii="Times New Roman" w:hAnsi="Times New Roman"/>
          <w:color w:val="auto"/>
          <w:u w:val="single"/>
        </w:rPr>
        <w:t>cm/s</w:t>
      </w:r>
      <w:r>
        <w:rPr>
          <w:rFonts w:ascii="Times New Roman" w:hAnsi="Times New Roman" w:hint="eastAsia"/>
          <w:color w:val="auto"/>
          <w:u w:val="single"/>
        </w:rPr>
        <w:t>，或参照《生活垃圾填埋场污染控制标准》（</w:t>
      </w:r>
      <w:r>
        <w:rPr>
          <w:rFonts w:ascii="Times New Roman" w:hAnsi="Times New Roman" w:hint="eastAsia"/>
          <w:color w:val="auto"/>
          <w:u w:val="single"/>
        </w:rPr>
        <w:t>GB16889-2008</w:t>
      </w:r>
      <w:r>
        <w:rPr>
          <w:rFonts w:ascii="Times New Roman" w:hAnsi="Times New Roman" w:hint="eastAsia"/>
          <w:color w:val="auto"/>
          <w:u w:val="single"/>
        </w:rPr>
        <w:t>），建议措施如下：</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hint="eastAsia"/>
          <w:color w:val="auto"/>
          <w:u w:val="single"/>
        </w:rPr>
        <w:t>厂区道路、一般物质区等，在抗渗钢纤维混凝土面层中掺水泥基渗透结晶型防水剂，其下铺砌砂石基层，原土夯实，可达到防渗的目的。对于混凝土中间的伸缩</w:t>
      </w:r>
      <w:r>
        <w:rPr>
          <w:rFonts w:ascii="Times New Roman" w:hAnsi="Times New Roman" w:hint="eastAsia"/>
          <w:color w:val="auto"/>
          <w:u w:val="single"/>
        </w:rPr>
        <w:lastRenderedPageBreak/>
        <w:t>缝和与实体基础的缝隙，通过填充柔性材料达到防渗的目的（渗透系数不大于</w:t>
      </w:r>
      <w:r>
        <w:rPr>
          <w:rFonts w:ascii="Times New Roman" w:hAnsi="Times New Roman"/>
          <w:color w:val="auto"/>
          <w:u w:val="single"/>
        </w:rPr>
        <w:t>1.0×10</w:t>
      </w:r>
      <w:r>
        <w:rPr>
          <w:rFonts w:ascii="Times New Roman" w:hAnsi="Times New Roman"/>
          <w:color w:val="auto"/>
          <w:u w:val="single"/>
          <w:vertAlign w:val="superscript"/>
        </w:rPr>
        <w:t>-7</w:t>
      </w:r>
      <w:r>
        <w:rPr>
          <w:rFonts w:ascii="Times New Roman" w:hAnsi="Times New Roman"/>
          <w:color w:val="auto"/>
          <w:u w:val="single"/>
        </w:rPr>
        <w:t>cm/s</w:t>
      </w:r>
      <w:r>
        <w:rPr>
          <w:rFonts w:ascii="Times New Roman" w:hAnsi="Times New Roman" w:hint="eastAsia"/>
          <w:color w:val="auto"/>
          <w:u w:val="single"/>
        </w:rPr>
        <w:t>）。</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color w:val="auto"/>
          <w:u w:val="single"/>
        </w:rPr>
        <w:t>本项目</w:t>
      </w:r>
      <w:r>
        <w:rPr>
          <w:rFonts w:ascii="Times New Roman" w:hAnsi="Times New Roman" w:hint="eastAsia"/>
          <w:color w:val="auto"/>
          <w:u w:val="single"/>
        </w:rPr>
        <w:t>在采取以上防渗措施的前提下，可缓解本工程生产区</w:t>
      </w:r>
      <w:r>
        <w:rPr>
          <w:rFonts w:ascii="Times New Roman" w:hAnsi="Times New Roman"/>
          <w:color w:val="auto"/>
          <w:u w:val="single"/>
        </w:rPr>
        <w:t>对地下水渗漏；</w:t>
      </w:r>
      <w:r>
        <w:rPr>
          <w:rFonts w:ascii="Times New Roman" w:hAnsi="Times New Roman" w:hint="eastAsia"/>
          <w:color w:val="auto"/>
          <w:u w:val="single"/>
        </w:rPr>
        <w:t>在规范生产、废水处理及物料堆存的前提下</w:t>
      </w:r>
      <w:r>
        <w:rPr>
          <w:rFonts w:ascii="Times New Roman" w:hAnsi="Times New Roman"/>
          <w:color w:val="auto"/>
          <w:u w:val="single"/>
        </w:rPr>
        <w:t>，本项目建设不会影响地下水位，不会改变区域地下水流向和地质结构，对区域地下水水质不会造成大的影响。</w:t>
      </w:r>
    </w:p>
    <w:p w:rsidR="00475650" w:rsidRDefault="00475650">
      <w:pPr>
        <w:pStyle w:val="G"/>
        <w:tabs>
          <w:tab w:val="left" w:pos="1021"/>
        </w:tabs>
        <w:ind w:firstLineChars="0"/>
        <w:rPr>
          <w:rFonts w:ascii="Times New Roman" w:hAnsi="Times New Roman"/>
          <w:color w:val="auto"/>
          <w:u w:val="single"/>
        </w:rPr>
      </w:pPr>
      <w:r>
        <w:rPr>
          <w:rFonts w:ascii="Times New Roman" w:hAnsi="Times New Roman" w:hint="eastAsia"/>
          <w:color w:val="auto"/>
          <w:u w:val="single"/>
        </w:rPr>
        <w:t>6</w:t>
      </w:r>
      <w:r>
        <w:rPr>
          <w:rFonts w:ascii="Times New Roman" w:hAnsi="Times New Roman" w:hint="eastAsia"/>
          <w:color w:val="auto"/>
          <w:u w:val="single"/>
        </w:rPr>
        <w:t>、地下水环境跟踪监测与管理</w:t>
      </w:r>
    </w:p>
    <w:p w:rsidR="00475650" w:rsidRDefault="00475650">
      <w:pPr>
        <w:pStyle w:val="G"/>
        <w:tabs>
          <w:tab w:val="left" w:pos="1021"/>
        </w:tabs>
        <w:rPr>
          <w:rFonts w:ascii="Times New Roman" w:hAnsi="Times New Roman"/>
          <w:color w:val="auto"/>
          <w:u w:val="single"/>
        </w:rPr>
      </w:pPr>
      <w:r>
        <w:rPr>
          <w:rFonts w:ascii="Times New Roman" w:hAnsi="Times New Roman" w:hint="eastAsia"/>
          <w:color w:val="auto"/>
          <w:u w:val="single"/>
        </w:rPr>
        <w:t>为了及时准确地掌握厂址及下游地区地下水环境质量状况和地下水体中污染物的动态变化，本项目应建立地下水环境监测管理体系，包括制定地下水环境影响跟踪监测计划、建立地下水环境影响跟踪监测制度，以便及时发现并及时控制。</w:t>
      </w:r>
    </w:p>
    <w:p w:rsidR="00475650" w:rsidRDefault="00475650">
      <w:pPr>
        <w:pStyle w:val="G"/>
        <w:tabs>
          <w:tab w:val="left" w:pos="1021"/>
        </w:tabs>
        <w:rPr>
          <w:rFonts w:ascii="Times New Roman" w:hAnsi="Times New Roman"/>
          <w:color w:val="auto"/>
          <w:u w:val="single"/>
        </w:rPr>
      </w:pPr>
      <w:r>
        <w:rPr>
          <w:rFonts w:ascii="Times New Roman" w:hAnsi="Times New Roman" w:hint="eastAsia"/>
          <w:color w:val="auto"/>
          <w:u w:val="single"/>
        </w:rPr>
        <w:t>根据《环境影响评价技术导则</w:t>
      </w:r>
      <w:r>
        <w:rPr>
          <w:rFonts w:ascii="Times New Roman" w:hAnsi="Times New Roman" w:hint="eastAsia"/>
          <w:color w:val="auto"/>
          <w:u w:val="single"/>
        </w:rPr>
        <w:t xml:space="preserve"> </w:t>
      </w:r>
      <w:r>
        <w:rPr>
          <w:rFonts w:ascii="Times New Roman" w:hAnsi="Times New Roman" w:hint="eastAsia"/>
          <w:color w:val="auto"/>
          <w:u w:val="single"/>
        </w:rPr>
        <w:t>地下水环境》（</w:t>
      </w:r>
      <w:r>
        <w:rPr>
          <w:rFonts w:ascii="Times New Roman" w:hAnsi="Times New Roman" w:hint="eastAsia"/>
          <w:color w:val="auto"/>
          <w:u w:val="single"/>
        </w:rPr>
        <w:t>HJ610-2016</w:t>
      </w:r>
      <w:r>
        <w:rPr>
          <w:rFonts w:ascii="Times New Roman" w:hAnsi="Times New Roman" w:hint="eastAsia"/>
          <w:color w:val="auto"/>
          <w:u w:val="single"/>
        </w:rPr>
        <w:t>）和《地下水环境监测技术规范》（</w:t>
      </w:r>
      <w:r>
        <w:rPr>
          <w:rFonts w:ascii="Times New Roman" w:hAnsi="Times New Roman" w:hint="eastAsia"/>
          <w:color w:val="auto"/>
          <w:u w:val="single"/>
        </w:rPr>
        <w:t>HJ/T164-2004</w:t>
      </w:r>
      <w:r>
        <w:rPr>
          <w:rFonts w:ascii="Times New Roman" w:hAnsi="Times New Roman" w:hint="eastAsia"/>
          <w:color w:val="auto"/>
          <w:u w:val="single"/>
        </w:rPr>
        <w:t>），结合评价区含水层系统和地下水径流系统特征，考虑潜在污染源、环境保护目标等因素，结合园区现有的监控系统，布置地下水监测点。</w:t>
      </w:r>
    </w:p>
    <w:p w:rsidR="00475650" w:rsidRDefault="00475650">
      <w:pPr>
        <w:pStyle w:val="G"/>
        <w:tabs>
          <w:tab w:val="left" w:pos="1021"/>
        </w:tabs>
        <w:rPr>
          <w:rFonts w:ascii="Times New Roman" w:hAnsi="Times New Roman"/>
          <w:color w:val="auto"/>
          <w:u w:val="single"/>
        </w:rPr>
      </w:pPr>
      <w:r>
        <w:rPr>
          <w:rFonts w:ascii="Times New Roman" w:hAnsi="Times New Roman" w:hint="eastAsia"/>
          <w:color w:val="auto"/>
          <w:u w:val="single"/>
        </w:rPr>
        <w:t>（</w:t>
      </w:r>
      <w:r>
        <w:rPr>
          <w:rFonts w:ascii="Times New Roman" w:hAnsi="Times New Roman" w:hint="eastAsia"/>
          <w:color w:val="auto"/>
          <w:u w:val="single"/>
        </w:rPr>
        <w:t>1</w:t>
      </w:r>
      <w:r>
        <w:rPr>
          <w:rFonts w:ascii="Times New Roman" w:hAnsi="Times New Roman" w:hint="eastAsia"/>
          <w:color w:val="auto"/>
          <w:u w:val="single"/>
        </w:rPr>
        <w:t>）地下水监测原则</w:t>
      </w:r>
    </w:p>
    <w:p w:rsidR="00475650" w:rsidRDefault="00475650">
      <w:pPr>
        <w:pStyle w:val="G"/>
        <w:tabs>
          <w:tab w:val="left" w:pos="1021"/>
        </w:tabs>
        <w:rPr>
          <w:rFonts w:ascii="Times New Roman" w:hAnsi="Times New Roman"/>
          <w:color w:val="auto"/>
          <w:u w:val="single"/>
        </w:rPr>
      </w:pPr>
      <w:r>
        <w:rPr>
          <w:rFonts w:ascii="Times New Roman" w:hAnsi="Times New Roman" w:hint="eastAsia"/>
          <w:color w:val="auto"/>
          <w:u w:val="single"/>
        </w:rPr>
        <w:t>1</w:t>
      </w:r>
      <w:r>
        <w:rPr>
          <w:rFonts w:ascii="Times New Roman" w:hAnsi="Times New Roman" w:hint="eastAsia"/>
          <w:color w:val="auto"/>
          <w:u w:val="single"/>
        </w:rPr>
        <w:t>）重点防渗区加密监测原则；</w:t>
      </w:r>
    </w:p>
    <w:p w:rsidR="00475650" w:rsidRDefault="00475650">
      <w:pPr>
        <w:pStyle w:val="G"/>
        <w:tabs>
          <w:tab w:val="left" w:pos="1021"/>
        </w:tabs>
        <w:rPr>
          <w:rFonts w:ascii="Times New Roman" w:hAnsi="Times New Roman"/>
          <w:color w:val="auto"/>
          <w:u w:val="single"/>
        </w:rPr>
      </w:pPr>
      <w:r>
        <w:rPr>
          <w:rFonts w:ascii="Times New Roman" w:hAnsi="Times New Roman" w:hint="eastAsia"/>
          <w:color w:val="auto"/>
          <w:u w:val="single"/>
        </w:rPr>
        <w:t>2</w:t>
      </w:r>
      <w:r>
        <w:rPr>
          <w:rFonts w:ascii="Times New Roman" w:hAnsi="Times New Roman" w:hint="eastAsia"/>
          <w:color w:val="auto"/>
          <w:u w:val="single"/>
        </w:rPr>
        <w:t>）以浅层地下水监测为主的原则；</w:t>
      </w:r>
      <w:r>
        <w:rPr>
          <w:rFonts w:ascii="Times New Roman" w:hAnsi="Times New Roman" w:hint="eastAsia"/>
          <w:color w:val="auto"/>
          <w:u w:val="single"/>
        </w:rPr>
        <w:t>3</w:t>
      </w:r>
      <w:r>
        <w:rPr>
          <w:rFonts w:ascii="Times New Roman" w:hAnsi="Times New Roman" w:hint="eastAsia"/>
          <w:color w:val="auto"/>
          <w:u w:val="single"/>
        </w:rPr>
        <w:t>）上、下游同步对比监测原则；</w:t>
      </w:r>
    </w:p>
    <w:p w:rsidR="00475650" w:rsidRDefault="00475650">
      <w:pPr>
        <w:pStyle w:val="G"/>
        <w:tabs>
          <w:tab w:val="left" w:pos="1021"/>
        </w:tabs>
        <w:rPr>
          <w:rFonts w:ascii="Times New Roman" w:hAnsi="Times New Roman"/>
          <w:color w:val="auto"/>
          <w:u w:val="single"/>
        </w:rPr>
      </w:pPr>
      <w:r>
        <w:rPr>
          <w:rFonts w:ascii="Times New Roman" w:hAnsi="Times New Roman" w:hint="eastAsia"/>
          <w:color w:val="auto"/>
          <w:u w:val="single"/>
        </w:rPr>
        <w:t>4</w:t>
      </w:r>
      <w:r>
        <w:rPr>
          <w:rFonts w:ascii="Times New Roman" w:hAnsi="Times New Roman" w:hint="eastAsia"/>
          <w:color w:val="auto"/>
          <w:u w:val="single"/>
        </w:rPr>
        <w:t>）水质监测项目参照《地下水质量标准》相关要求和潜在污染源特征污染因子确定，各监测井可依据监测目的的不同适当增加和减少监测项目。</w:t>
      </w:r>
    </w:p>
    <w:p w:rsidR="00475650" w:rsidRDefault="00475650">
      <w:pPr>
        <w:pStyle w:val="G"/>
        <w:tabs>
          <w:tab w:val="left" w:pos="1021"/>
        </w:tabs>
        <w:rPr>
          <w:rFonts w:ascii="Times New Roman" w:hAnsi="Times New Roman"/>
          <w:color w:val="auto"/>
          <w:u w:val="single"/>
        </w:rPr>
      </w:pPr>
      <w:r>
        <w:rPr>
          <w:rFonts w:ascii="Times New Roman" w:hAnsi="Times New Roman" w:hint="eastAsia"/>
          <w:color w:val="auto"/>
          <w:u w:val="single"/>
        </w:rPr>
        <w:t>（</w:t>
      </w:r>
      <w:r>
        <w:rPr>
          <w:rFonts w:ascii="Times New Roman" w:hAnsi="Times New Roman" w:hint="eastAsia"/>
          <w:color w:val="auto"/>
          <w:u w:val="single"/>
        </w:rPr>
        <w:t>2</w:t>
      </w:r>
      <w:r>
        <w:rPr>
          <w:rFonts w:ascii="Times New Roman" w:hAnsi="Times New Roman" w:hint="eastAsia"/>
          <w:color w:val="auto"/>
          <w:u w:val="single"/>
        </w:rPr>
        <w:t>）监测计划如下：</w:t>
      </w:r>
    </w:p>
    <w:p w:rsidR="00475650" w:rsidRDefault="00475650">
      <w:pPr>
        <w:pStyle w:val="G"/>
        <w:tabs>
          <w:tab w:val="left" w:pos="1021"/>
        </w:tabs>
        <w:rPr>
          <w:rFonts w:ascii="Times New Roman" w:hAnsi="Times New Roman"/>
          <w:color w:val="auto"/>
          <w:u w:val="single"/>
        </w:rPr>
      </w:pPr>
      <w:r>
        <w:rPr>
          <w:rFonts w:ascii="Times New Roman" w:hAnsi="Times New Roman" w:hint="eastAsia"/>
          <w:color w:val="auto"/>
          <w:u w:val="single"/>
        </w:rPr>
        <w:t>1</w:t>
      </w:r>
      <w:r>
        <w:rPr>
          <w:rFonts w:ascii="Times New Roman" w:hAnsi="Times New Roman" w:hint="eastAsia"/>
          <w:color w:val="auto"/>
          <w:u w:val="single"/>
        </w:rPr>
        <w:t>）监测频率：半年监测一次。</w:t>
      </w:r>
    </w:p>
    <w:p w:rsidR="00475650" w:rsidRDefault="00475650">
      <w:pPr>
        <w:pStyle w:val="G"/>
        <w:tabs>
          <w:tab w:val="left" w:pos="1021"/>
        </w:tabs>
        <w:rPr>
          <w:rFonts w:ascii="Times New Roman" w:hAnsi="Times New Roman"/>
          <w:color w:val="auto"/>
          <w:u w:val="single"/>
        </w:rPr>
      </w:pPr>
      <w:r>
        <w:rPr>
          <w:rFonts w:ascii="Times New Roman" w:hAnsi="Times New Roman" w:hint="eastAsia"/>
          <w:color w:val="auto"/>
          <w:u w:val="single"/>
        </w:rPr>
        <w:t>监测项目：</w:t>
      </w:r>
      <w:r>
        <w:rPr>
          <w:rFonts w:ascii="Times New Roman" w:hAnsi="Times New Roman" w:hint="eastAsia"/>
          <w:color w:val="auto"/>
          <w:u w:val="single"/>
        </w:rPr>
        <w:t>pH</w:t>
      </w:r>
      <w:r>
        <w:rPr>
          <w:rFonts w:ascii="Times New Roman" w:hAnsi="Times New Roman" w:hint="eastAsia"/>
          <w:color w:val="auto"/>
          <w:u w:val="single"/>
        </w:rPr>
        <w:t>、高锰酸盐指数、氨氮、挥发酚、色度、总大肠菌群等。</w:t>
      </w:r>
    </w:p>
    <w:p w:rsidR="00475650" w:rsidRDefault="00475650">
      <w:pPr>
        <w:pStyle w:val="G"/>
        <w:tabs>
          <w:tab w:val="left" w:pos="1021"/>
        </w:tabs>
        <w:rPr>
          <w:rFonts w:ascii="Times New Roman" w:hAnsi="Times New Roman"/>
          <w:color w:val="auto"/>
          <w:u w:val="single"/>
        </w:rPr>
      </w:pPr>
      <w:r>
        <w:rPr>
          <w:rFonts w:ascii="Times New Roman" w:hAnsi="Times New Roman" w:hint="eastAsia"/>
          <w:color w:val="auto"/>
          <w:u w:val="single"/>
        </w:rPr>
        <w:t>2</w:t>
      </w:r>
      <w:r>
        <w:rPr>
          <w:rFonts w:ascii="Times New Roman" w:hAnsi="Times New Roman" w:hint="eastAsia"/>
          <w:color w:val="auto"/>
          <w:u w:val="single"/>
        </w:rPr>
        <w:t>）监测单位：委托第三方监测单位。</w:t>
      </w:r>
    </w:p>
    <w:p w:rsidR="00475650" w:rsidRDefault="00475650">
      <w:pPr>
        <w:pStyle w:val="G"/>
        <w:tabs>
          <w:tab w:val="left" w:pos="1021"/>
        </w:tabs>
        <w:rPr>
          <w:rFonts w:ascii="Times New Roman" w:hAnsi="Times New Roman"/>
          <w:color w:val="auto"/>
          <w:u w:val="single"/>
        </w:rPr>
      </w:pPr>
      <w:r>
        <w:rPr>
          <w:rFonts w:ascii="Times New Roman" w:hAnsi="Times New Roman" w:hint="eastAsia"/>
          <w:color w:val="auto"/>
          <w:u w:val="single"/>
        </w:rPr>
        <w:t>3</w:t>
      </w:r>
      <w:r>
        <w:rPr>
          <w:rFonts w:ascii="Times New Roman" w:hAnsi="Times New Roman" w:hint="eastAsia"/>
          <w:color w:val="auto"/>
          <w:u w:val="single"/>
        </w:rPr>
        <w:t>）监测井布置</w:t>
      </w:r>
    </w:p>
    <w:p w:rsidR="00475650" w:rsidRDefault="00475650">
      <w:pPr>
        <w:pStyle w:val="G"/>
        <w:tabs>
          <w:tab w:val="left" w:pos="1021"/>
        </w:tabs>
        <w:rPr>
          <w:rFonts w:ascii="Times New Roman" w:hAnsi="Times New Roman"/>
          <w:color w:val="auto"/>
          <w:u w:val="single"/>
        </w:rPr>
      </w:pPr>
      <w:r>
        <w:rPr>
          <w:rFonts w:ascii="Times New Roman" w:hAnsi="Times New Roman" w:hint="eastAsia"/>
          <w:color w:val="auto"/>
          <w:u w:val="single"/>
        </w:rPr>
        <w:t>依据地下水监测原则，参照《地下水环境监测技术规范》（</w:t>
      </w:r>
      <w:r>
        <w:rPr>
          <w:rFonts w:ascii="Times New Roman" w:hAnsi="Times New Roman" w:hint="eastAsia"/>
          <w:color w:val="auto"/>
          <w:u w:val="single"/>
        </w:rPr>
        <w:t>HJ/T164-2004</w:t>
      </w:r>
      <w:r>
        <w:rPr>
          <w:rFonts w:ascii="Times New Roman" w:hAnsi="Times New Roman" w:hint="eastAsia"/>
          <w:color w:val="auto"/>
          <w:u w:val="single"/>
        </w:rPr>
        <w:t>）的要求，结合评价区水文地质条件，在厂区及周边共布设地下水水质监测井</w:t>
      </w:r>
      <w:r>
        <w:rPr>
          <w:rFonts w:ascii="Times New Roman" w:hAnsi="Times New Roman" w:hint="eastAsia"/>
          <w:color w:val="auto"/>
          <w:u w:val="single"/>
        </w:rPr>
        <w:t>3</w:t>
      </w:r>
      <w:r>
        <w:rPr>
          <w:rFonts w:ascii="Times New Roman" w:hAnsi="Times New Roman" w:hint="eastAsia"/>
          <w:color w:val="auto"/>
          <w:u w:val="single"/>
        </w:rPr>
        <w:t>眼，其中上游布设</w:t>
      </w:r>
      <w:r>
        <w:rPr>
          <w:rFonts w:ascii="Times New Roman" w:hAnsi="Times New Roman" w:hint="eastAsia"/>
          <w:color w:val="auto"/>
          <w:u w:val="single"/>
        </w:rPr>
        <w:t>1</w:t>
      </w:r>
      <w:r>
        <w:rPr>
          <w:rFonts w:ascii="Times New Roman" w:hAnsi="Times New Roman" w:hint="eastAsia"/>
          <w:color w:val="auto"/>
          <w:u w:val="single"/>
        </w:rPr>
        <w:t>个点、下游布设</w:t>
      </w:r>
      <w:r>
        <w:rPr>
          <w:rFonts w:ascii="Times New Roman" w:hAnsi="Times New Roman" w:hint="eastAsia"/>
          <w:color w:val="auto"/>
          <w:u w:val="single"/>
        </w:rPr>
        <w:t>2</w:t>
      </w:r>
      <w:r>
        <w:rPr>
          <w:rFonts w:ascii="Times New Roman" w:hAnsi="Times New Roman" w:hint="eastAsia"/>
          <w:color w:val="auto"/>
          <w:u w:val="single"/>
        </w:rPr>
        <w:t>个点，本项目位于园区内，监测点位考虑为园区外已有井水点位。</w:t>
      </w:r>
    </w:p>
    <w:p w:rsidR="00475650" w:rsidRDefault="00475650">
      <w:pPr>
        <w:pStyle w:val="G"/>
        <w:tabs>
          <w:tab w:val="left" w:pos="1021"/>
        </w:tabs>
        <w:rPr>
          <w:rFonts w:ascii="Times New Roman" w:hAnsi="Times New Roman"/>
          <w:color w:val="auto"/>
          <w:u w:val="single"/>
        </w:rPr>
      </w:pPr>
      <w:r>
        <w:rPr>
          <w:rFonts w:ascii="Times New Roman" w:hAnsi="Times New Roman" w:hint="eastAsia"/>
          <w:color w:val="auto"/>
          <w:u w:val="single"/>
        </w:rPr>
        <w:t>（</w:t>
      </w:r>
      <w:r>
        <w:rPr>
          <w:rFonts w:ascii="Times New Roman" w:hAnsi="Times New Roman" w:hint="eastAsia"/>
          <w:color w:val="auto"/>
          <w:u w:val="single"/>
        </w:rPr>
        <w:t>3</w:t>
      </w:r>
      <w:r>
        <w:rPr>
          <w:rFonts w:ascii="Times New Roman" w:hAnsi="Times New Roman" w:hint="eastAsia"/>
          <w:color w:val="auto"/>
          <w:u w:val="single"/>
        </w:rPr>
        <w:t>）监测数据管理</w:t>
      </w:r>
    </w:p>
    <w:p w:rsidR="00475650" w:rsidRDefault="00475650">
      <w:pPr>
        <w:pStyle w:val="G"/>
        <w:tabs>
          <w:tab w:val="left" w:pos="1021"/>
        </w:tabs>
        <w:rPr>
          <w:rFonts w:ascii="Times New Roman" w:hAnsi="Times New Roman"/>
          <w:color w:val="auto"/>
          <w:u w:val="single"/>
        </w:rPr>
      </w:pPr>
      <w:r>
        <w:rPr>
          <w:rFonts w:ascii="Times New Roman" w:hAnsi="Times New Roman" w:hint="eastAsia"/>
          <w:color w:val="auto"/>
          <w:u w:val="single"/>
        </w:rPr>
        <w:t>上述监测结果应按项目有关规定及时建立档案，并定期向园区安全环保部门汇报，监测数据应对外公开。如发现异常或发生事故，加密监测频次，并分析污染原</w:t>
      </w:r>
      <w:r>
        <w:rPr>
          <w:rFonts w:ascii="Times New Roman" w:hAnsi="Times New Roman" w:hint="eastAsia"/>
          <w:color w:val="auto"/>
          <w:u w:val="single"/>
        </w:rPr>
        <w:lastRenderedPageBreak/>
        <w:t>因，确定泄漏污染源，及时采取应急措施。</w:t>
      </w:r>
    </w:p>
    <w:p w:rsidR="00475650" w:rsidRDefault="00475650">
      <w:pPr>
        <w:pStyle w:val="G"/>
        <w:tabs>
          <w:tab w:val="left" w:pos="1021"/>
        </w:tabs>
        <w:rPr>
          <w:rFonts w:ascii="Times New Roman" w:hAnsi="Times New Roman"/>
          <w:color w:val="auto"/>
          <w:u w:val="single"/>
        </w:rPr>
      </w:pPr>
      <w:r>
        <w:rPr>
          <w:rFonts w:ascii="Times New Roman" w:hAnsi="Times New Roman" w:hint="eastAsia"/>
          <w:color w:val="auto"/>
          <w:u w:val="single"/>
        </w:rPr>
        <w:t>在采取以上污染防治措施后</w:t>
      </w:r>
      <w:r>
        <w:rPr>
          <w:rFonts w:ascii="Times New Roman" w:hAnsi="Times New Roman"/>
          <w:color w:val="auto"/>
          <w:u w:val="single"/>
        </w:rPr>
        <w:t>，正常情况下不会发生废水渗漏影响地下水的情况，装置区实施了清污分流、污污分流体制，后期洁净雨水随污水管网外排，</w:t>
      </w:r>
      <w:r>
        <w:rPr>
          <w:rFonts w:ascii="Times New Roman" w:hAnsi="Times New Roman" w:hint="eastAsia"/>
          <w:color w:val="auto"/>
          <w:u w:val="single"/>
        </w:rPr>
        <w:t>固废废物规范暂存（防风防雨防渗），</w:t>
      </w:r>
      <w:r>
        <w:rPr>
          <w:rFonts w:ascii="Times New Roman" w:hAnsi="Times New Roman"/>
          <w:color w:val="auto"/>
          <w:u w:val="single"/>
        </w:rPr>
        <w:t>不会造成雨水直接冲刷及渗漏影响地下水；泄露风险设有三级防控措施（车间内围堰、污水处理设施、园区污水处理厂）</w:t>
      </w:r>
      <w:r>
        <w:rPr>
          <w:rFonts w:ascii="Times New Roman" w:hAnsi="Times New Roman" w:hint="eastAsia"/>
          <w:color w:val="auto"/>
          <w:u w:val="single"/>
        </w:rPr>
        <w:t>，本项目不取用地下水</w:t>
      </w:r>
      <w:r>
        <w:rPr>
          <w:rFonts w:ascii="Times New Roman" w:hAnsi="Times New Roman"/>
          <w:color w:val="auto"/>
          <w:u w:val="single"/>
        </w:rPr>
        <w:t>；综合分析</w:t>
      </w:r>
      <w:r>
        <w:rPr>
          <w:rFonts w:ascii="Times New Roman" w:hAnsi="Times New Roman" w:hint="eastAsia"/>
          <w:color w:val="auto"/>
          <w:u w:val="single"/>
        </w:rPr>
        <w:t>，正常情况下</w:t>
      </w:r>
      <w:r>
        <w:rPr>
          <w:rFonts w:ascii="Times New Roman" w:hAnsi="Times New Roman"/>
          <w:color w:val="auto"/>
          <w:u w:val="single"/>
        </w:rPr>
        <w:t>项目建设对区域地下水环境水质影响较小。</w:t>
      </w:r>
      <w:r>
        <w:rPr>
          <w:rFonts w:ascii="Times New Roman" w:hAnsi="Times New Roman" w:hint="eastAsia"/>
          <w:color w:val="auto"/>
          <w:u w:val="single"/>
        </w:rPr>
        <w:t>应加强风险防范措施及监管力度，避免非正常事故情况对项目区地下水的影响。</w:t>
      </w:r>
    </w:p>
    <w:p w:rsidR="00475650" w:rsidRDefault="00475650">
      <w:pPr>
        <w:pStyle w:val="h"/>
        <w:spacing w:before="0" w:after="0" w:line="360" w:lineRule="auto"/>
        <w:ind w:firstLine="0"/>
        <w:outlineLvl w:val="0"/>
        <w:rPr>
          <w:rStyle w:val="2Char1Char"/>
          <w:rFonts w:ascii="Times New Roman" w:eastAsia="宋体" w:hAnsi="Times New Roman" w:cs="Times New Roman"/>
          <w:b w:val="0"/>
          <w:bCs w:val="0"/>
          <w:sz w:val="24"/>
          <w:szCs w:val="24"/>
        </w:rPr>
      </w:pPr>
      <w:bookmarkStart w:id="735" w:name="_Toc334080856"/>
      <w:bookmarkStart w:id="736" w:name="_Toc302936825"/>
      <w:bookmarkStart w:id="737" w:name="_Toc333230038"/>
      <w:bookmarkStart w:id="738" w:name="_Toc334014214"/>
      <w:bookmarkStart w:id="739" w:name="_Toc332293027"/>
      <w:bookmarkStart w:id="740" w:name="_Toc465677028"/>
      <w:bookmarkStart w:id="741" w:name="_Toc3192"/>
      <w:r>
        <w:rPr>
          <w:rStyle w:val="2Char1Char"/>
          <w:rFonts w:ascii="Times New Roman" w:eastAsia="宋体" w:hAnsi="Times New Roman" w:cs="Times New Roman"/>
          <w:b w:val="0"/>
          <w:bCs w:val="0"/>
          <w:sz w:val="24"/>
          <w:szCs w:val="24"/>
        </w:rPr>
        <w:t xml:space="preserve">5.2.2 </w:t>
      </w:r>
      <w:r>
        <w:rPr>
          <w:rStyle w:val="2Char1Char"/>
          <w:rFonts w:ascii="Times New Roman" w:eastAsia="宋体" w:hAnsi="宋体" w:cs="Times New Roman"/>
          <w:b w:val="0"/>
          <w:bCs w:val="0"/>
          <w:sz w:val="24"/>
          <w:szCs w:val="24"/>
        </w:rPr>
        <w:t>环境空气影响预测与评价</w:t>
      </w:r>
      <w:bookmarkEnd w:id="735"/>
      <w:bookmarkEnd w:id="736"/>
      <w:bookmarkEnd w:id="737"/>
      <w:bookmarkEnd w:id="738"/>
      <w:bookmarkEnd w:id="739"/>
      <w:bookmarkEnd w:id="740"/>
      <w:bookmarkEnd w:id="741"/>
    </w:p>
    <w:p w:rsidR="00475650" w:rsidRDefault="00475650">
      <w:pPr>
        <w:spacing w:line="360" w:lineRule="auto"/>
        <w:ind w:firstLineChars="200" w:firstLine="480"/>
        <w:outlineLvl w:val="0"/>
        <w:rPr>
          <w:sz w:val="24"/>
        </w:rPr>
      </w:pPr>
      <w:bookmarkStart w:id="742" w:name="_Toc334014215"/>
      <w:bookmarkStart w:id="743" w:name="_Toc334080857"/>
      <w:bookmarkStart w:id="744" w:name="_Toc333230039"/>
      <w:bookmarkStart w:id="745" w:name="_Toc448999128"/>
      <w:bookmarkStart w:id="746" w:name="_Toc465677029"/>
      <w:bookmarkStart w:id="747" w:name="_Toc21846"/>
      <w:r>
        <w:rPr>
          <w:sz w:val="24"/>
        </w:rPr>
        <w:t xml:space="preserve">5.2.2.1 </w:t>
      </w:r>
      <w:r>
        <w:rPr>
          <w:rFonts w:hAnsi="宋体"/>
          <w:sz w:val="24"/>
        </w:rPr>
        <w:t>污染源数据</w:t>
      </w:r>
      <w:bookmarkEnd w:id="742"/>
      <w:bookmarkEnd w:id="743"/>
      <w:bookmarkEnd w:id="744"/>
      <w:bookmarkEnd w:id="745"/>
      <w:bookmarkEnd w:id="746"/>
      <w:bookmarkEnd w:id="747"/>
    </w:p>
    <w:p w:rsidR="00475650" w:rsidRDefault="00475650">
      <w:pPr>
        <w:spacing w:line="360" w:lineRule="auto"/>
        <w:ind w:firstLineChars="200" w:firstLine="480"/>
        <w:rPr>
          <w:sz w:val="24"/>
        </w:rPr>
      </w:pPr>
      <w:r>
        <w:rPr>
          <w:rFonts w:hAnsi="宋体"/>
          <w:sz w:val="24"/>
        </w:rPr>
        <w:t>本项目主要外排的气型污染源分为有组织废气源和无组织废气源。其排放源基本情况见表</w:t>
      </w:r>
      <w:r>
        <w:rPr>
          <w:sz w:val="24"/>
        </w:rPr>
        <w:t>5.2-1</w:t>
      </w:r>
      <w:r>
        <w:rPr>
          <w:rFonts w:hAnsi="宋体"/>
          <w:sz w:val="24"/>
        </w:rPr>
        <w:t>。</w:t>
      </w:r>
    </w:p>
    <w:p w:rsidR="00475650" w:rsidRDefault="00475650">
      <w:pPr>
        <w:spacing w:line="360" w:lineRule="auto"/>
        <w:jc w:val="center"/>
        <w:rPr>
          <w:sz w:val="24"/>
        </w:rPr>
      </w:pPr>
      <w:r>
        <w:rPr>
          <w:rFonts w:hAnsi="宋体"/>
          <w:sz w:val="24"/>
        </w:rPr>
        <w:t>表</w:t>
      </w:r>
      <w:r>
        <w:rPr>
          <w:sz w:val="24"/>
        </w:rPr>
        <w:t xml:space="preserve">5.2-1  </w:t>
      </w:r>
      <w:r>
        <w:rPr>
          <w:rFonts w:hAnsi="宋体"/>
          <w:sz w:val="24"/>
        </w:rPr>
        <w:t>气型污染物的排放一览表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484"/>
        <w:gridCol w:w="1861"/>
        <w:gridCol w:w="1102"/>
        <w:gridCol w:w="1013"/>
        <w:gridCol w:w="1267"/>
        <w:gridCol w:w="1333"/>
        <w:gridCol w:w="467"/>
        <w:gridCol w:w="723"/>
        <w:gridCol w:w="696"/>
      </w:tblGrid>
      <w:tr w:rsidR="00475650">
        <w:trPr>
          <w:trHeight w:val="255"/>
          <w:jc w:val="center"/>
        </w:trPr>
        <w:tc>
          <w:tcPr>
            <w:tcW w:w="484" w:type="dxa"/>
            <w:vMerge w:val="restart"/>
            <w:tcBorders>
              <w:right w:val="single" w:sz="4" w:space="0" w:color="auto"/>
            </w:tcBorders>
            <w:vAlign w:val="center"/>
          </w:tcPr>
          <w:p w:rsidR="00475650" w:rsidRDefault="00475650">
            <w:pPr>
              <w:snapToGrid w:val="0"/>
              <w:spacing w:line="240" w:lineRule="exact"/>
              <w:jc w:val="center"/>
              <w:rPr>
                <w:szCs w:val="21"/>
              </w:rPr>
            </w:pPr>
            <w:r>
              <w:rPr>
                <w:rFonts w:hAnsi="宋体"/>
                <w:szCs w:val="21"/>
              </w:rPr>
              <w:t>废气</w:t>
            </w:r>
            <w:r>
              <w:rPr>
                <w:rFonts w:hAnsi="宋体" w:hint="eastAsia"/>
                <w:szCs w:val="21"/>
              </w:rPr>
              <w:t>类型</w:t>
            </w:r>
          </w:p>
        </w:tc>
        <w:tc>
          <w:tcPr>
            <w:tcW w:w="1861" w:type="dxa"/>
            <w:vMerge w:val="restart"/>
            <w:tcBorders>
              <w:left w:val="single" w:sz="4" w:space="0" w:color="auto"/>
              <w:right w:val="single" w:sz="4" w:space="0" w:color="auto"/>
            </w:tcBorders>
            <w:vAlign w:val="center"/>
          </w:tcPr>
          <w:p w:rsidR="00475650" w:rsidRDefault="00475650">
            <w:pPr>
              <w:jc w:val="center"/>
              <w:rPr>
                <w:szCs w:val="21"/>
              </w:rPr>
            </w:pPr>
            <w:r>
              <w:rPr>
                <w:rFonts w:hAnsi="宋体"/>
                <w:szCs w:val="21"/>
              </w:rPr>
              <w:t>废气来源</w:t>
            </w:r>
          </w:p>
        </w:tc>
        <w:tc>
          <w:tcPr>
            <w:tcW w:w="1102" w:type="dxa"/>
            <w:vMerge w:val="restart"/>
            <w:tcBorders>
              <w:right w:val="single" w:sz="4" w:space="0" w:color="auto"/>
            </w:tcBorders>
            <w:vAlign w:val="center"/>
          </w:tcPr>
          <w:p w:rsidR="00475650" w:rsidRDefault="00475650">
            <w:pPr>
              <w:snapToGrid w:val="0"/>
              <w:spacing w:line="240" w:lineRule="exact"/>
              <w:jc w:val="center"/>
              <w:rPr>
                <w:szCs w:val="21"/>
              </w:rPr>
            </w:pPr>
            <w:r>
              <w:rPr>
                <w:rFonts w:hAnsi="宋体"/>
                <w:szCs w:val="21"/>
              </w:rPr>
              <w:t>气量</w:t>
            </w:r>
            <w:r>
              <w:rPr>
                <w:szCs w:val="21"/>
              </w:rPr>
              <w:t>m</w:t>
            </w:r>
            <w:r>
              <w:rPr>
                <w:szCs w:val="21"/>
                <w:vertAlign w:val="superscript"/>
              </w:rPr>
              <w:t>3</w:t>
            </w:r>
            <w:r>
              <w:rPr>
                <w:szCs w:val="21"/>
              </w:rPr>
              <w:t>/h</w:t>
            </w:r>
          </w:p>
        </w:tc>
        <w:tc>
          <w:tcPr>
            <w:tcW w:w="1013" w:type="dxa"/>
            <w:vMerge w:val="restart"/>
            <w:tcBorders>
              <w:left w:val="single" w:sz="4" w:space="0" w:color="auto"/>
              <w:right w:val="single" w:sz="4" w:space="0" w:color="auto"/>
            </w:tcBorders>
            <w:vAlign w:val="center"/>
          </w:tcPr>
          <w:p w:rsidR="00475650" w:rsidRDefault="00475650">
            <w:pPr>
              <w:snapToGrid w:val="0"/>
              <w:spacing w:line="240" w:lineRule="exact"/>
              <w:jc w:val="center"/>
              <w:rPr>
                <w:szCs w:val="21"/>
              </w:rPr>
            </w:pPr>
            <w:r>
              <w:rPr>
                <w:rFonts w:hAnsi="宋体"/>
                <w:szCs w:val="21"/>
              </w:rPr>
              <w:t>主要污染物</w:t>
            </w:r>
          </w:p>
        </w:tc>
        <w:tc>
          <w:tcPr>
            <w:tcW w:w="1267" w:type="dxa"/>
            <w:vMerge w:val="restart"/>
            <w:tcBorders>
              <w:left w:val="single" w:sz="4" w:space="0" w:color="auto"/>
              <w:right w:val="single" w:sz="4" w:space="0" w:color="auto"/>
            </w:tcBorders>
            <w:vAlign w:val="center"/>
          </w:tcPr>
          <w:p w:rsidR="00475650" w:rsidRDefault="00475650">
            <w:pPr>
              <w:snapToGrid w:val="0"/>
              <w:spacing w:line="240" w:lineRule="exact"/>
              <w:jc w:val="center"/>
              <w:rPr>
                <w:szCs w:val="21"/>
              </w:rPr>
            </w:pPr>
            <w:r>
              <w:rPr>
                <w:rFonts w:hAnsi="宋体"/>
                <w:szCs w:val="21"/>
              </w:rPr>
              <w:t>排放浓度</w:t>
            </w:r>
            <w:r>
              <w:rPr>
                <w:szCs w:val="21"/>
              </w:rPr>
              <w:t>mg/m</w:t>
            </w:r>
            <w:r>
              <w:rPr>
                <w:szCs w:val="21"/>
                <w:vertAlign w:val="superscript"/>
              </w:rPr>
              <w:t>3</w:t>
            </w:r>
          </w:p>
        </w:tc>
        <w:tc>
          <w:tcPr>
            <w:tcW w:w="1333" w:type="dxa"/>
            <w:vMerge w:val="restart"/>
            <w:tcBorders>
              <w:right w:val="single" w:sz="4" w:space="0" w:color="auto"/>
            </w:tcBorders>
            <w:vAlign w:val="center"/>
          </w:tcPr>
          <w:p w:rsidR="00475650" w:rsidRDefault="00475650">
            <w:pPr>
              <w:snapToGrid w:val="0"/>
              <w:spacing w:line="240" w:lineRule="exact"/>
              <w:ind w:firstLineChars="50" w:firstLine="105"/>
              <w:jc w:val="center"/>
              <w:rPr>
                <w:szCs w:val="21"/>
              </w:rPr>
            </w:pPr>
            <w:r>
              <w:rPr>
                <w:rFonts w:hAnsi="宋体"/>
                <w:szCs w:val="21"/>
              </w:rPr>
              <w:t>排放速度</w:t>
            </w:r>
            <w:r>
              <w:rPr>
                <w:szCs w:val="21"/>
              </w:rPr>
              <w:t>g/h</w:t>
            </w:r>
          </w:p>
        </w:tc>
        <w:tc>
          <w:tcPr>
            <w:tcW w:w="1886" w:type="dxa"/>
            <w:gridSpan w:val="3"/>
            <w:tcBorders>
              <w:left w:val="single" w:sz="4" w:space="0" w:color="auto"/>
              <w:bottom w:val="single" w:sz="4" w:space="0" w:color="auto"/>
              <w:right w:val="single" w:sz="4" w:space="0" w:color="auto"/>
            </w:tcBorders>
            <w:vAlign w:val="center"/>
          </w:tcPr>
          <w:p w:rsidR="00475650" w:rsidRDefault="00475650">
            <w:pPr>
              <w:jc w:val="center"/>
              <w:rPr>
                <w:szCs w:val="21"/>
              </w:rPr>
            </w:pPr>
            <w:r>
              <w:rPr>
                <w:rFonts w:hAnsi="宋体"/>
                <w:szCs w:val="21"/>
              </w:rPr>
              <w:t>排气筒参数</w:t>
            </w:r>
          </w:p>
        </w:tc>
      </w:tr>
      <w:tr w:rsidR="00475650">
        <w:trPr>
          <w:trHeight w:val="210"/>
          <w:jc w:val="center"/>
        </w:trPr>
        <w:tc>
          <w:tcPr>
            <w:tcW w:w="484" w:type="dxa"/>
            <w:vMerge/>
            <w:tcBorders>
              <w:right w:val="single" w:sz="4" w:space="0" w:color="auto"/>
            </w:tcBorders>
            <w:vAlign w:val="center"/>
          </w:tcPr>
          <w:p w:rsidR="00475650" w:rsidRDefault="00475650">
            <w:pPr>
              <w:jc w:val="center"/>
              <w:rPr>
                <w:szCs w:val="21"/>
              </w:rPr>
            </w:pPr>
          </w:p>
        </w:tc>
        <w:tc>
          <w:tcPr>
            <w:tcW w:w="1861" w:type="dxa"/>
            <w:vMerge/>
            <w:tcBorders>
              <w:left w:val="single" w:sz="4" w:space="0" w:color="auto"/>
              <w:right w:val="single" w:sz="4" w:space="0" w:color="auto"/>
            </w:tcBorders>
            <w:vAlign w:val="center"/>
          </w:tcPr>
          <w:p w:rsidR="00475650" w:rsidRDefault="00475650">
            <w:pPr>
              <w:jc w:val="center"/>
              <w:rPr>
                <w:szCs w:val="21"/>
              </w:rPr>
            </w:pPr>
          </w:p>
        </w:tc>
        <w:tc>
          <w:tcPr>
            <w:tcW w:w="1102" w:type="dxa"/>
            <w:vMerge/>
            <w:tcBorders>
              <w:right w:val="single" w:sz="4" w:space="0" w:color="auto"/>
            </w:tcBorders>
            <w:vAlign w:val="center"/>
          </w:tcPr>
          <w:p w:rsidR="00475650" w:rsidRDefault="00475650">
            <w:pPr>
              <w:jc w:val="center"/>
              <w:rPr>
                <w:szCs w:val="21"/>
              </w:rPr>
            </w:pPr>
          </w:p>
        </w:tc>
        <w:tc>
          <w:tcPr>
            <w:tcW w:w="1013" w:type="dxa"/>
            <w:vMerge/>
            <w:tcBorders>
              <w:left w:val="single" w:sz="4" w:space="0" w:color="auto"/>
              <w:right w:val="single" w:sz="4" w:space="0" w:color="auto"/>
            </w:tcBorders>
            <w:vAlign w:val="center"/>
          </w:tcPr>
          <w:p w:rsidR="00475650" w:rsidRDefault="00475650">
            <w:pPr>
              <w:jc w:val="center"/>
              <w:rPr>
                <w:szCs w:val="21"/>
              </w:rPr>
            </w:pPr>
          </w:p>
        </w:tc>
        <w:tc>
          <w:tcPr>
            <w:tcW w:w="1267" w:type="dxa"/>
            <w:vMerge/>
            <w:tcBorders>
              <w:left w:val="single" w:sz="4" w:space="0" w:color="auto"/>
              <w:right w:val="single" w:sz="4" w:space="0" w:color="auto"/>
            </w:tcBorders>
            <w:vAlign w:val="center"/>
          </w:tcPr>
          <w:p w:rsidR="00475650" w:rsidRDefault="00475650">
            <w:pPr>
              <w:jc w:val="center"/>
              <w:rPr>
                <w:szCs w:val="21"/>
              </w:rPr>
            </w:pPr>
          </w:p>
        </w:tc>
        <w:tc>
          <w:tcPr>
            <w:tcW w:w="1333" w:type="dxa"/>
            <w:vMerge/>
            <w:tcBorders>
              <w:right w:val="single" w:sz="4" w:space="0" w:color="auto"/>
            </w:tcBorders>
            <w:vAlign w:val="center"/>
          </w:tcPr>
          <w:p w:rsidR="00475650" w:rsidRDefault="00475650">
            <w:pPr>
              <w:jc w:val="center"/>
              <w:rPr>
                <w:szCs w:val="21"/>
              </w:rPr>
            </w:pPr>
          </w:p>
        </w:tc>
        <w:tc>
          <w:tcPr>
            <w:tcW w:w="467" w:type="dxa"/>
            <w:tcBorders>
              <w:top w:val="single" w:sz="4" w:space="0" w:color="auto"/>
              <w:left w:val="single" w:sz="4" w:space="0" w:color="auto"/>
              <w:right w:val="single" w:sz="4" w:space="0" w:color="auto"/>
            </w:tcBorders>
            <w:vAlign w:val="center"/>
          </w:tcPr>
          <w:p w:rsidR="00475650" w:rsidRDefault="00475650">
            <w:pPr>
              <w:jc w:val="center"/>
              <w:rPr>
                <w:szCs w:val="21"/>
              </w:rPr>
            </w:pPr>
            <w:r>
              <w:rPr>
                <w:rFonts w:hAnsi="宋体"/>
                <w:szCs w:val="21"/>
              </w:rPr>
              <w:t>高</w:t>
            </w:r>
            <w:r>
              <w:rPr>
                <w:szCs w:val="21"/>
              </w:rPr>
              <w:t>m</w:t>
            </w:r>
          </w:p>
        </w:tc>
        <w:tc>
          <w:tcPr>
            <w:tcW w:w="723" w:type="dxa"/>
            <w:tcBorders>
              <w:top w:val="single" w:sz="4" w:space="0" w:color="auto"/>
              <w:left w:val="single" w:sz="4" w:space="0" w:color="auto"/>
              <w:right w:val="single" w:sz="4" w:space="0" w:color="auto"/>
            </w:tcBorders>
            <w:vAlign w:val="center"/>
          </w:tcPr>
          <w:p w:rsidR="00475650" w:rsidRDefault="00475650">
            <w:pPr>
              <w:jc w:val="center"/>
              <w:rPr>
                <w:szCs w:val="21"/>
              </w:rPr>
            </w:pPr>
            <w:r>
              <w:rPr>
                <w:rFonts w:hAnsi="宋体"/>
                <w:szCs w:val="21"/>
              </w:rPr>
              <w:t>口径</w:t>
            </w:r>
            <w:r>
              <w:rPr>
                <w:szCs w:val="21"/>
              </w:rPr>
              <w:t>m</w:t>
            </w:r>
          </w:p>
        </w:tc>
        <w:tc>
          <w:tcPr>
            <w:tcW w:w="696" w:type="dxa"/>
            <w:tcBorders>
              <w:top w:val="single" w:sz="4" w:space="0" w:color="auto"/>
              <w:left w:val="single" w:sz="4" w:space="0" w:color="auto"/>
              <w:right w:val="single" w:sz="4" w:space="0" w:color="auto"/>
            </w:tcBorders>
            <w:vAlign w:val="center"/>
          </w:tcPr>
          <w:p w:rsidR="00475650" w:rsidRDefault="00475650">
            <w:pPr>
              <w:jc w:val="center"/>
              <w:rPr>
                <w:szCs w:val="21"/>
              </w:rPr>
            </w:pPr>
            <w:r>
              <w:rPr>
                <w:rFonts w:hAnsi="宋体"/>
                <w:szCs w:val="21"/>
              </w:rPr>
              <w:t>温度℃</w:t>
            </w:r>
          </w:p>
        </w:tc>
      </w:tr>
      <w:tr w:rsidR="00475650">
        <w:trPr>
          <w:trHeight w:val="340"/>
          <w:jc w:val="center"/>
        </w:trPr>
        <w:tc>
          <w:tcPr>
            <w:tcW w:w="484" w:type="dxa"/>
            <w:vMerge w:val="restart"/>
            <w:tcBorders>
              <w:right w:val="single" w:sz="4" w:space="0" w:color="auto"/>
            </w:tcBorders>
            <w:vAlign w:val="center"/>
          </w:tcPr>
          <w:p w:rsidR="00475650" w:rsidRDefault="00475650">
            <w:pPr>
              <w:jc w:val="center"/>
              <w:rPr>
                <w:szCs w:val="21"/>
              </w:rPr>
            </w:pPr>
            <w:r>
              <w:rPr>
                <w:rFonts w:hint="eastAsia"/>
                <w:szCs w:val="21"/>
              </w:rPr>
              <w:t>有组织废气</w:t>
            </w:r>
          </w:p>
        </w:tc>
        <w:tc>
          <w:tcPr>
            <w:tcW w:w="1861" w:type="dxa"/>
            <w:tcBorders>
              <w:left w:val="single" w:sz="4" w:space="0" w:color="auto"/>
              <w:right w:val="single" w:sz="4" w:space="0" w:color="auto"/>
            </w:tcBorders>
            <w:vAlign w:val="center"/>
          </w:tcPr>
          <w:p w:rsidR="00475650" w:rsidRDefault="00475650">
            <w:pPr>
              <w:ind w:firstLineChars="150" w:firstLine="315"/>
              <w:rPr>
                <w:szCs w:val="21"/>
              </w:rPr>
            </w:pPr>
            <w:r>
              <w:rPr>
                <w:rFonts w:hAnsi="宋体" w:hint="eastAsia"/>
                <w:szCs w:val="21"/>
              </w:rPr>
              <w:t>反应釜废气</w:t>
            </w:r>
          </w:p>
        </w:tc>
        <w:tc>
          <w:tcPr>
            <w:tcW w:w="1102" w:type="dxa"/>
            <w:vMerge w:val="restart"/>
            <w:tcBorders>
              <w:right w:val="single" w:sz="4" w:space="0" w:color="auto"/>
            </w:tcBorders>
            <w:vAlign w:val="center"/>
          </w:tcPr>
          <w:p w:rsidR="00475650" w:rsidRDefault="00475650">
            <w:pPr>
              <w:jc w:val="center"/>
              <w:rPr>
                <w:szCs w:val="21"/>
              </w:rPr>
            </w:pPr>
            <w:r>
              <w:rPr>
                <w:rFonts w:hint="eastAsia"/>
                <w:szCs w:val="21"/>
              </w:rPr>
              <w:t>15000</w:t>
            </w:r>
          </w:p>
          <w:p w:rsidR="00475650" w:rsidRDefault="00475650">
            <w:pPr>
              <w:jc w:val="center"/>
              <w:rPr>
                <w:szCs w:val="21"/>
              </w:rPr>
            </w:pPr>
            <w:r>
              <w:rPr>
                <w:rFonts w:hint="eastAsia"/>
                <w:szCs w:val="21"/>
              </w:rPr>
              <w:t>（</w:t>
            </w:r>
            <w:r>
              <w:rPr>
                <w:rFonts w:hint="eastAsia"/>
                <w:szCs w:val="21"/>
              </w:rPr>
              <w:t>4.1667</w:t>
            </w:r>
          </w:p>
          <w:p w:rsidR="00475650" w:rsidRDefault="00475650">
            <w:pPr>
              <w:rPr>
                <w:szCs w:val="21"/>
              </w:rPr>
            </w:pPr>
            <w:r>
              <w:rPr>
                <w:rFonts w:hint="eastAsia"/>
                <w:szCs w:val="21"/>
              </w:rPr>
              <w:t>）</w:t>
            </w:r>
          </w:p>
        </w:tc>
        <w:tc>
          <w:tcPr>
            <w:tcW w:w="1013" w:type="dxa"/>
            <w:vMerge w:val="restart"/>
            <w:tcBorders>
              <w:left w:val="single" w:sz="4" w:space="0" w:color="auto"/>
              <w:right w:val="single" w:sz="4" w:space="0" w:color="auto"/>
            </w:tcBorders>
            <w:vAlign w:val="center"/>
          </w:tcPr>
          <w:p w:rsidR="00475650" w:rsidRDefault="00475650">
            <w:pPr>
              <w:jc w:val="center"/>
              <w:rPr>
                <w:szCs w:val="21"/>
              </w:rPr>
            </w:pPr>
            <w:r>
              <w:rPr>
                <w:rFonts w:hint="eastAsia"/>
                <w:szCs w:val="21"/>
              </w:rPr>
              <w:t>氯化氢</w:t>
            </w:r>
          </w:p>
        </w:tc>
        <w:tc>
          <w:tcPr>
            <w:tcW w:w="1267" w:type="dxa"/>
            <w:vMerge w:val="restart"/>
            <w:tcBorders>
              <w:left w:val="single" w:sz="4" w:space="0" w:color="auto"/>
              <w:right w:val="single" w:sz="4" w:space="0" w:color="auto"/>
            </w:tcBorders>
            <w:vAlign w:val="center"/>
          </w:tcPr>
          <w:p w:rsidR="00475650" w:rsidRDefault="00475650">
            <w:pPr>
              <w:jc w:val="center"/>
              <w:rPr>
                <w:szCs w:val="21"/>
              </w:rPr>
            </w:pPr>
            <w:r>
              <w:rPr>
                <w:rFonts w:hint="eastAsia"/>
                <w:szCs w:val="21"/>
              </w:rPr>
              <w:t>6.733</w:t>
            </w:r>
          </w:p>
        </w:tc>
        <w:tc>
          <w:tcPr>
            <w:tcW w:w="1333" w:type="dxa"/>
            <w:vMerge w:val="restart"/>
            <w:tcBorders>
              <w:right w:val="single" w:sz="4" w:space="0" w:color="auto"/>
            </w:tcBorders>
            <w:vAlign w:val="center"/>
          </w:tcPr>
          <w:p w:rsidR="00475650" w:rsidRDefault="00475650">
            <w:pPr>
              <w:jc w:val="center"/>
              <w:rPr>
                <w:szCs w:val="21"/>
              </w:rPr>
            </w:pPr>
            <w:r>
              <w:rPr>
                <w:rFonts w:hint="eastAsia"/>
                <w:szCs w:val="21"/>
              </w:rPr>
              <w:t>101</w:t>
            </w:r>
          </w:p>
          <w:p w:rsidR="00475650" w:rsidRDefault="00475650">
            <w:pPr>
              <w:jc w:val="center"/>
              <w:rPr>
                <w:szCs w:val="21"/>
              </w:rPr>
            </w:pPr>
            <w:r>
              <w:rPr>
                <w:rFonts w:hint="eastAsia"/>
                <w:szCs w:val="21"/>
              </w:rPr>
              <w:t>（</w:t>
            </w:r>
            <w:r>
              <w:rPr>
                <w:rFonts w:hint="eastAsia"/>
                <w:szCs w:val="21"/>
              </w:rPr>
              <w:t>0.0281</w:t>
            </w:r>
            <w:r>
              <w:rPr>
                <w:rFonts w:hint="eastAsia"/>
                <w:szCs w:val="21"/>
              </w:rPr>
              <w:t>）</w:t>
            </w:r>
          </w:p>
        </w:tc>
        <w:tc>
          <w:tcPr>
            <w:tcW w:w="467" w:type="dxa"/>
            <w:vMerge w:val="restart"/>
            <w:tcBorders>
              <w:left w:val="single" w:sz="4" w:space="0" w:color="auto"/>
              <w:right w:val="single" w:sz="4" w:space="0" w:color="auto"/>
            </w:tcBorders>
            <w:vAlign w:val="center"/>
          </w:tcPr>
          <w:p w:rsidR="00475650" w:rsidRDefault="00475650">
            <w:pPr>
              <w:jc w:val="center"/>
              <w:rPr>
                <w:szCs w:val="21"/>
              </w:rPr>
            </w:pPr>
            <w:r>
              <w:rPr>
                <w:rFonts w:hint="eastAsia"/>
                <w:szCs w:val="21"/>
              </w:rPr>
              <w:t>15</w:t>
            </w:r>
          </w:p>
        </w:tc>
        <w:tc>
          <w:tcPr>
            <w:tcW w:w="723" w:type="dxa"/>
            <w:vMerge w:val="restart"/>
            <w:tcBorders>
              <w:left w:val="single" w:sz="4" w:space="0" w:color="auto"/>
              <w:right w:val="single" w:sz="4" w:space="0" w:color="auto"/>
            </w:tcBorders>
            <w:vAlign w:val="center"/>
          </w:tcPr>
          <w:p w:rsidR="00475650" w:rsidRDefault="00475650">
            <w:pPr>
              <w:jc w:val="center"/>
              <w:rPr>
                <w:szCs w:val="21"/>
              </w:rPr>
            </w:pPr>
            <w:r>
              <w:rPr>
                <w:szCs w:val="21"/>
              </w:rPr>
              <w:t>0.</w:t>
            </w:r>
            <w:r>
              <w:rPr>
                <w:rFonts w:hint="eastAsia"/>
                <w:szCs w:val="21"/>
              </w:rPr>
              <w:t>6</w:t>
            </w:r>
          </w:p>
        </w:tc>
        <w:tc>
          <w:tcPr>
            <w:tcW w:w="696" w:type="dxa"/>
            <w:vMerge w:val="restart"/>
            <w:tcBorders>
              <w:left w:val="single" w:sz="4" w:space="0" w:color="auto"/>
              <w:right w:val="single" w:sz="4" w:space="0" w:color="auto"/>
            </w:tcBorders>
            <w:vAlign w:val="center"/>
          </w:tcPr>
          <w:p w:rsidR="00475650" w:rsidRDefault="00475650">
            <w:pPr>
              <w:jc w:val="center"/>
              <w:rPr>
                <w:szCs w:val="21"/>
              </w:rPr>
            </w:pPr>
            <w:r>
              <w:rPr>
                <w:rFonts w:hint="eastAsia"/>
                <w:szCs w:val="21"/>
              </w:rPr>
              <w:t>25</w:t>
            </w:r>
          </w:p>
        </w:tc>
      </w:tr>
      <w:tr w:rsidR="00475650">
        <w:trPr>
          <w:trHeight w:val="340"/>
          <w:jc w:val="center"/>
        </w:trPr>
        <w:tc>
          <w:tcPr>
            <w:tcW w:w="484" w:type="dxa"/>
            <w:vMerge/>
            <w:tcBorders>
              <w:right w:val="single" w:sz="4" w:space="0" w:color="auto"/>
            </w:tcBorders>
            <w:vAlign w:val="center"/>
          </w:tcPr>
          <w:p w:rsidR="00475650" w:rsidRDefault="00475650">
            <w:pPr>
              <w:jc w:val="center"/>
              <w:rPr>
                <w:szCs w:val="21"/>
              </w:rPr>
            </w:pPr>
          </w:p>
        </w:tc>
        <w:tc>
          <w:tcPr>
            <w:tcW w:w="1861" w:type="dxa"/>
            <w:tcBorders>
              <w:left w:val="single" w:sz="4" w:space="0" w:color="auto"/>
              <w:right w:val="single" w:sz="4" w:space="0" w:color="auto"/>
            </w:tcBorders>
            <w:vAlign w:val="center"/>
          </w:tcPr>
          <w:p w:rsidR="00475650" w:rsidRDefault="00475650">
            <w:pPr>
              <w:jc w:val="center"/>
              <w:rPr>
                <w:szCs w:val="21"/>
              </w:rPr>
            </w:pPr>
            <w:r>
              <w:rPr>
                <w:rFonts w:hAnsi="宋体" w:hint="eastAsia"/>
                <w:szCs w:val="21"/>
              </w:rPr>
              <w:t>烘干废气</w:t>
            </w:r>
          </w:p>
        </w:tc>
        <w:tc>
          <w:tcPr>
            <w:tcW w:w="1102" w:type="dxa"/>
            <w:vMerge/>
            <w:tcBorders>
              <w:right w:val="single" w:sz="4" w:space="0" w:color="auto"/>
            </w:tcBorders>
            <w:vAlign w:val="center"/>
          </w:tcPr>
          <w:p w:rsidR="00475650" w:rsidRDefault="00475650">
            <w:pPr>
              <w:jc w:val="center"/>
              <w:rPr>
                <w:szCs w:val="21"/>
              </w:rPr>
            </w:pPr>
          </w:p>
        </w:tc>
        <w:tc>
          <w:tcPr>
            <w:tcW w:w="1013" w:type="dxa"/>
            <w:vMerge/>
            <w:tcBorders>
              <w:left w:val="single" w:sz="4" w:space="0" w:color="auto"/>
              <w:right w:val="single" w:sz="4" w:space="0" w:color="auto"/>
            </w:tcBorders>
            <w:vAlign w:val="center"/>
          </w:tcPr>
          <w:p w:rsidR="00475650" w:rsidRDefault="00475650">
            <w:pPr>
              <w:jc w:val="center"/>
              <w:rPr>
                <w:szCs w:val="21"/>
              </w:rPr>
            </w:pPr>
          </w:p>
        </w:tc>
        <w:tc>
          <w:tcPr>
            <w:tcW w:w="1267" w:type="dxa"/>
            <w:vMerge/>
            <w:tcBorders>
              <w:left w:val="single" w:sz="4" w:space="0" w:color="auto"/>
              <w:right w:val="single" w:sz="4" w:space="0" w:color="auto"/>
            </w:tcBorders>
            <w:vAlign w:val="center"/>
          </w:tcPr>
          <w:p w:rsidR="00475650" w:rsidRDefault="00475650">
            <w:pPr>
              <w:jc w:val="center"/>
              <w:rPr>
                <w:szCs w:val="21"/>
              </w:rPr>
            </w:pPr>
          </w:p>
        </w:tc>
        <w:tc>
          <w:tcPr>
            <w:tcW w:w="1333" w:type="dxa"/>
            <w:vMerge/>
            <w:tcBorders>
              <w:right w:val="single" w:sz="4" w:space="0" w:color="auto"/>
            </w:tcBorders>
            <w:vAlign w:val="center"/>
          </w:tcPr>
          <w:p w:rsidR="00475650" w:rsidRDefault="00475650">
            <w:pPr>
              <w:jc w:val="center"/>
              <w:rPr>
                <w:szCs w:val="21"/>
              </w:rPr>
            </w:pPr>
          </w:p>
        </w:tc>
        <w:tc>
          <w:tcPr>
            <w:tcW w:w="467" w:type="dxa"/>
            <w:vMerge/>
            <w:tcBorders>
              <w:left w:val="single" w:sz="4" w:space="0" w:color="auto"/>
              <w:right w:val="single" w:sz="4" w:space="0" w:color="auto"/>
            </w:tcBorders>
            <w:vAlign w:val="center"/>
          </w:tcPr>
          <w:p w:rsidR="00475650" w:rsidRDefault="00475650">
            <w:pPr>
              <w:jc w:val="center"/>
              <w:rPr>
                <w:szCs w:val="21"/>
              </w:rPr>
            </w:pPr>
          </w:p>
        </w:tc>
        <w:tc>
          <w:tcPr>
            <w:tcW w:w="723" w:type="dxa"/>
            <w:vMerge/>
            <w:tcBorders>
              <w:left w:val="single" w:sz="4" w:space="0" w:color="auto"/>
              <w:right w:val="single" w:sz="4" w:space="0" w:color="auto"/>
            </w:tcBorders>
            <w:vAlign w:val="center"/>
          </w:tcPr>
          <w:p w:rsidR="00475650" w:rsidRDefault="00475650">
            <w:pPr>
              <w:jc w:val="center"/>
              <w:rPr>
                <w:szCs w:val="21"/>
              </w:rPr>
            </w:pPr>
          </w:p>
        </w:tc>
        <w:tc>
          <w:tcPr>
            <w:tcW w:w="696" w:type="dxa"/>
            <w:vMerge/>
            <w:tcBorders>
              <w:left w:val="single" w:sz="4" w:space="0" w:color="auto"/>
              <w:right w:val="single" w:sz="4" w:space="0" w:color="auto"/>
            </w:tcBorders>
            <w:vAlign w:val="center"/>
          </w:tcPr>
          <w:p w:rsidR="00475650" w:rsidRDefault="00475650">
            <w:pPr>
              <w:jc w:val="center"/>
              <w:rPr>
                <w:szCs w:val="21"/>
              </w:rPr>
            </w:pPr>
          </w:p>
        </w:tc>
      </w:tr>
      <w:tr w:rsidR="00475650">
        <w:trPr>
          <w:trHeight w:val="340"/>
          <w:jc w:val="center"/>
        </w:trPr>
        <w:tc>
          <w:tcPr>
            <w:tcW w:w="484" w:type="dxa"/>
            <w:vMerge/>
            <w:tcBorders>
              <w:right w:val="single" w:sz="4" w:space="0" w:color="auto"/>
            </w:tcBorders>
            <w:vAlign w:val="center"/>
          </w:tcPr>
          <w:p w:rsidR="00475650" w:rsidRDefault="00475650">
            <w:pPr>
              <w:jc w:val="center"/>
              <w:rPr>
                <w:szCs w:val="21"/>
              </w:rPr>
            </w:pPr>
          </w:p>
        </w:tc>
        <w:tc>
          <w:tcPr>
            <w:tcW w:w="1861" w:type="dxa"/>
            <w:tcBorders>
              <w:left w:val="single" w:sz="4" w:space="0" w:color="auto"/>
              <w:right w:val="single" w:sz="4" w:space="0" w:color="auto"/>
            </w:tcBorders>
            <w:vAlign w:val="center"/>
          </w:tcPr>
          <w:p w:rsidR="00475650" w:rsidRDefault="00475650">
            <w:pPr>
              <w:jc w:val="center"/>
              <w:rPr>
                <w:rFonts w:hAnsi="宋体"/>
                <w:szCs w:val="21"/>
              </w:rPr>
            </w:pPr>
            <w:r>
              <w:rPr>
                <w:rFonts w:hAnsi="宋体" w:hint="eastAsia"/>
                <w:szCs w:val="21"/>
              </w:rPr>
              <w:t>破碎废气</w:t>
            </w:r>
          </w:p>
        </w:tc>
        <w:tc>
          <w:tcPr>
            <w:tcW w:w="1102" w:type="dxa"/>
            <w:vMerge/>
            <w:tcBorders>
              <w:right w:val="single" w:sz="4" w:space="0" w:color="auto"/>
            </w:tcBorders>
            <w:vAlign w:val="center"/>
          </w:tcPr>
          <w:p w:rsidR="00475650" w:rsidRDefault="00475650">
            <w:pPr>
              <w:jc w:val="center"/>
              <w:rPr>
                <w:szCs w:val="21"/>
              </w:rPr>
            </w:pPr>
          </w:p>
        </w:tc>
        <w:tc>
          <w:tcPr>
            <w:tcW w:w="1013" w:type="dxa"/>
            <w:vMerge w:val="restart"/>
            <w:tcBorders>
              <w:left w:val="single" w:sz="4" w:space="0" w:color="auto"/>
              <w:right w:val="single" w:sz="4" w:space="0" w:color="auto"/>
            </w:tcBorders>
            <w:vAlign w:val="center"/>
          </w:tcPr>
          <w:p w:rsidR="00475650" w:rsidRDefault="00475650">
            <w:pPr>
              <w:jc w:val="center"/>
              <w:rPr>
                <w:szCs w:val="21"/>
              </w:rPr>
            </w:pPr>
            <w:r>
              <w:rPr>
                <w:rFonts w:hint="eastAsia"/>
                <w:szCs w:val="21"/>
              </w:rPr>
              <w:t>氨气</w:t>
            </w:r>
          </w:p>
        </w:tc>
        <w:tc>
          <w:tcPr>
            <w:tcW w:w="1267" w:type="dxa"/>
            <w:vMerge w:val="restart"/>
            <w:tcBorders>
              <w:left w:val="single" w:sz="4" w:space="0" w:color="auto"/>
              <w:right w:val="single" w:sz="4" w:space="0" w:color="auto"/>
            </w:tcBorders>
            <w:vAlign w:val="center"/>
          </w:tcPr>
          <w:p w:rsidR="00475650" w:rsidRDefault="00475650">
            <w:pPr>
              <w:jc w:val="center"/>
              <w:rPr>
                <w:szCs w:val="21"/>
              </w:rPr>
            </w:pPr>
            <w:r>
              <w:rPr>
                <w:rFonts w:hint="eastAsia"/>
                <w:szCs w:val="21"/>
              </w:rPr>
              <w:t>2.4</w:t>
            </w:r>
          </w:p>
        </w:tc>
        <w:tc>
          <w:tcPr>
            <w:tcW w:w="1333" w:type="dxa"/>
            <w:vMerge w:val="restart"/>
            <w:tcBorders>
              <w:right w:val="single" w:sz="4" w:space="0" w:color="auto"/>
            </w:tcBorders>
            <w:vAlign w:val="center"/>
          </w:tcPr>
          <w:p w:rsidR="00475650" w:rsidRDefault="00475650">
            <w:pPr>
              <w:jc w:val="center"/>
              <w:rPr>
                <w:szCs w:val="21"/>
              </w:rPr>
            </w:pPr>
            <w:r>
              <w:rPr>
                <w:rFonts w:hint="eastAsia"/>
                <w:szCs w:val="21"/>
              </w:rPr>
              <w:t>36</w:t>
            </w:r>
          </w:p>
          <w:p w:rsidR="00475650" w:rsidRDefault="00475650">
            <w:pPr>
              <w:jc w:val="center"/>
              <w:rPr>
                <w:szCs w:val="21"/>
              </w:rPr>
            </w:pPr>
            <w:r>
              <w:rPr>
                <w:rFonts w:hint="eastAsia"/>
                <w:szCs w:val="21"/>
              </w:rPr>
              <w:t>（</w:t>
            </w:r>
            <w:r>
              <w:rPr>
                <w:rFonts w:hint="eastAsia"/>
                <w:szCs w:val="21"/>
              </w:rPr>
              <w:t>0.01</w:t>
            </w:r>
            <w:r>
              <w:rPr>
                <w:rFonts w:hint="eastAsia"/>
                <w:szCs w:val="21"/>
              </w:rPr>
              <w:t>）</w:t>
            </w:r>
          </w:p>
        </w:tc>
        <w:tc>
          <w:tcPr>
            <w:tcW w:w="467" w:type="dxa"/>
            <w:vMerge/>
            <w:tcBorders>
              <w:left w:val="single" w:sz="4" w:space="0" w:color="auto"/>
              <w:right w:val="single" w:sz="4" w:space="0" w:color="auto"/>
            </w:tcBorders>
            <w:vAlign w:val="center"/>
          </w:tcPr>
          <w:p w:rsidR="00475650" w:rsidRDefault="00475650">
            <w:pPr>
              <w:jc w:val="center"/>
              <w:rPr>
                <w:szCs w:val="21"/>
              </w:rPr>
            </w:pPr>
          </w:p>
        </w:tc>
        <w:tc>
          <w:tcPr>
            <w:tcW w:w="723" w:type="dxa"/>
            <w:vMerge/>
            <w:tcBorders>
              <w:left w:val="single" w:sz="4" w:space="0" w:color="auto"/>
              <w:right w:val="single" w:sz="4" w:space="0" w:color="auto"/>
            </w:tcBorders>
            <w:vAlign w:val="center"/>
          </w:tcPr>
          <w:p w:rsidR="00475650" w:rsidRDefault="00475650">
            <w:pPr>
              <w:jc w:val="center"/>
              <w:rPr>
                <w:szCs w:val="21"/>
              </w:rPr>
            </w:pPr>
          </w:p>
        </w:tc>
        <w:tc>
          <w:tcPr>
            <w:tcW w:w="696" w:type="dxa"/>
            <w:vMerge/>
            <w:tcBorders>
              <w:left w:val="single" w:sz="4" w:space="0" w:color="auto"/>
              <w:right w:val="single" w:sz="4" w:space="0" w:color="auto"/>
            </w:tcBorders>
            <w:vAlign w:val="center"/>
          </w:tcPr>
          <w:p w:rsidR="00475650" w:rsidRDefault="00475650">
            <w:pPr>
              <w:jc w:val="center"/>
              <w:rPr>
                <w:szCs w:val="21"/>
              </w:rPr>
            </w:pPr>
          </w:p>
        </w:tc>
      </w:tr>
      <w:tr w:rsidR="00475650">
        <w:trPr>
          <w:trHeight w:val="340"/>
          <w:jc w:val="center"/>
        </w:trPr>
        <w:tc>
          <w:tcPr>
            <w:tcW w:w="484" w:type="dxa"/>
            <w:vMerge/>
            <w:tcBorders>
              <w:right w:val="single" w:sz="4" w:space="0" w:color="auto"/>
            </w:tcBorders>
            <w:vAlign w:val="center"/>
          </w:tcPr>
          <w:p w:rsidR="00475650" w:rsidRDefault="00475650">
            <w:pPr>
              <w:jc w:val="center"/>
              <w:rPr>
                <w:szCs w:val="21"/>
              </w:rPr>
            </w:pPr>
          </w:p>
        </w:tc>
        <w:tc>
          <w:tcPr>
            <w:tcW w:w="1861" w:type="dxa"/>
            <w:tcBorders>
              <w:left w:val="single" w:sz="4" w:space="0" w:color="auto"/>
              <w:right w:val="single" w:sz="4" w:space="0" w:color="auto"/>
            </w:tcBorders>
            <w:vAlign w:val="center"/>
          </w:tcPr>
          <w:p w:rsidR="00475650" w:rsidRDefault="00475650">
            <w:pPr>
              <w:jc w:val="center"/>
              <w:rPr>
                <w:rFonts w:hAnsi="宋体"/>
                <w:szCs w:val="21"/>
              </w:rPr>
            </w:pPr>
            <w:r>
              <w:rPr>
                <w:rFonts w:hAnsi="宋体" w:hint="eastAsia"/>
                <w:szCs w:val="21"/>
              </w:rPr>
              <w:t>包装废气</w:t>
            </w:r>
          </w:p>
        </w:tc>
        <w:tc>
          <w:tcPr>
            <w:tcW w:w="1102" w:type="dxa"/>
            <w:vMerge/>
            <w:tcBorders>
              <w:right w:val="single" w:sz="4" w:space="0" w:color="auto"/>
            </w:tcBorders>
            <w:vAlign w:val="center"/>
          </w:tcPr>
          <w:p w:rsidR="00475650" w:rsidRDefault="00475650">
            <w:pPr>
              <w:jc w:val="center"/>
              <w:rPr>
                <w:szCs w:val="21"/>
              </w:rPr>
            </w:pPr>
          </w:p>
        </w:tc>
        <w:tc>
          <w:tcPr>
            <w:tcW w:w="1013" w:type="dxa"/>
            <w:vMerge/>
            <w:tcBorders>
              <w:left w:val="single" w:sz="4" w:space="0" w:color="auto"/>
              <w:right w:val="single" w:sz="4" w:space="0" w:color="auto"/>
            </w:tcBorders>
            <w:vAlign w:val="center"/>
          </w:tcPr>
          <w:p w:rsidR="00475650" w:rsidRDefault="00475650">
            <w:pPr>
              <w:jc w:val="center"/>
              <w:rPr>
                <w:rFonts w:hAnsi="宋体"/>
                <w:szCs w:val="21"/>
              </w:rPr>
            </w:pPr>
          </w:p>
        </w:tc>
        <w:tc>
          <w:tcPr>
            <w:tcW w:w="1267" w:type="dxa"/>
            <w:vMerge/>
            <w:tcBorders>
              <w:left w:val="single" w:sz="4" w:space="0" w:color="auto"/>
              <w:right w:val="single" w:sz="4" w:space="0" w:color="auto"/>
            </w:tcBorders>
            <w:vAlign w:val="center"/>
          </w:tcPr>
          <w:p w:rsidR="00475650" w:rsidRDefault="00475650">
            <w:pPr>
              <w:jc w:val="center"/>
              <w:rPr>
                <w:szCs w:val="21"/>
              </w:rPr>
            </w:pPr>
          </w:p>
        </w:tc>
        <w:tc>
          <w:tcPr>
            <w:tcW w:w="1333" w:type="dxa"/>
            <w:vMerge/>
            <w:tcBorders>
              <w:right w:val="single" w:sz="4" w:space="0" w:color="auto"/>
            </w:tcBorders>
            <w:vAlign w:val="center"/>
          </w:tcPr>
          <w:p w:rsidR="00475650" w:rsidRDefault="00475650">
            <w:pPr>
              <w:jc w:val="center"/>
              <w:rPr>
                <w:szCs w:val="21"/>
              </w:rPr>
            </w:pPr>
          </w:p>
        </w:tc>
        <w:tc>
          <w:tcPr>
            <w:tcW w:w="467" w:type="dxa"/>
            <w:vMerge/>
            <w:tcBorders>
              <w:left w:val="single" w:sz="4" w:space="0" w:color="auto"/>
              <w:right w:val="single" w:sz="4" w:space="0" w:color="auto"/>
            </w:tcBorders>
            <w:vAlign w:val="center"/>
          </w:tcPr>
          <w:p w:rsidR="00475650" w:rsidRDefault="00475650">
            <w:pPr>
              <w:jc w:val="center"/>
              <w:rPr>
                <w:szCs w:val="21"/>
              </w:rPr>
            </w:pPr>
          </w:p>
        </w:tc>
        <w:tc>
          <w:tcPr>
            <w:tcW w:w="723" w:type="dxa"/>
            <w:vMerge/>
            <w:tcBorders>
              <w:left w:val="single" w:sz="4" w:space="0" w:color="auto"/>
              <w:right w:val="single" w:sz="4" w:space="0" w:color="auto"/>
            </w:tcBorders>
            <w:vAlign w:val="center"/>
          </w:tcPr>
          <w:p w:rsidR="00475650" w:rsidRDefault="00475650">
            <w:pPr>
              <w:jc w:val="center"/>
              <w:rPr>
                <w:szCs w:val="21"/>
              </w:rPr>
            </w:pPr>
          </w:p>
        </w:tc>
        <w:tc>
          <w:tcPr>
            <w:tcW w:w="696" w:type="dxa"/>
            <w:vMerge/>
            <w:tcBorders>
              <w:left w:val="single" w:sz="4" w:space="0" w:color="auto"/>
              <w:right w:val="single" w:sz="4" w:space="0" w:color="auto"/>
            </w:tcBorders>
            <w:vAlign w:val="center"/>
          </w:tcPr>
          <w:p w:rsidR="00475650" w:rsidRDefault="00475650">
            <w:pPr>
              <w:jc w:val="center"/>
              <w:rPr>
                <w:szCs w:val="21"/>
              </w:rPr>
            </w:pPr>
          </w:p>
        </w:tc>
      </w:tr>
      <w:tr w:rsidR="00475650">
        <w:trPr>
          <w:trHeight w:val="340"/>
          <w:jc w:val="center"/>
        </w:trPr>
        <w:tc>
          <w:tcPr>
            <w:tcW w:w="484" w:type="dxa"/>
            <w:vMerge/>
            <w:tcBorders>
              <w:right w:val="single" w:sz="4" w:space="0" w:color="auto"/>
            </w:tcBorders>
            <w:vAlign w:val="center"/>
          </w:tcPr>
          <w:p w:rsidR="00475650" w:rsidRDefault="00475650">
            <w:pPr>
              <w:jc w:val="center"/>
              <w:rPr>
                <w:szCs w:val="21"/>
              </w:rPr>
            </w:pPr>
          </w:p>
        </w:tc>
        <w:tc>
          <w:tcPr>
            <w:tcW w:w="1861" w:type="dxa"/>
            <w:tcBorders>
              <w:left w:val="single" w:sz="4" w:space="0" w:color="auto"/>
              <w:right w:val="single" w:sz="4" w:space="0" w:color="auto"/>
            </w:tcBorders>
            <w:vAlign w:val="center"/>
          </w:tcPr>
          <w:p w:rsidR="00475650" w:rsidRDefault="00475650">
            <w:pPr>
              <w:jc w:val="center"/>
              <w:rPr>
                <w:rFonts w:hAnsi="宋体"/>
                <w:szCs w:val="21"/>
              </w:rPr>
            </w:pPr>
            <w:r>
              <w:rPr>
                <w:rFonts w:hAnsi="宋体" w:hint="eastAsia"/>
                <w:szCs w:val="21"/>
              </w:rPr>
              <w:t>污水处理站废气</w:t>
            </w:r>
          </w:p>
        </w:tc>
        <w:tc>
          <w:tcPr>
            <w:tcW w:w="1102" w:type="dxa"/>
            <w:vMerge/>
            <w:tcBorders>
              <w:right w:val="single" w:sz="4" w:space="0" w:color="auto"/>
            </w:tcBorders>
            <w:vAlign w:val="center"/>
          </w:tcPr>
          <w:p w:rsidR="00475650" w:rsidRDefault="00475650">
            <w:pPr>
              <w:jc w:val="center"/>
              <w:rPr>
                <w:szCs w:val="21"/>
              </w:rPr>
            </w:pPr>
          </w:p>
        </w:tc>
        <w:tc>
          <w:tcPr>
            <w:tcW w:w="1013" w:type="dxa"/>
            <w:vMerge w:val="restart"/>
            <w:tcBorders>
              <w:left w:val="single" w:sz="4" w:space="0" w:color="auto"/>
              <w:right w:val="single" w:sz="4" w:space="0" w:color="auto"/>
            </w:tcBorders>
            <w:vAlign w:val="center"/>
          </w:tcPr>
          <w:p w:rsidR="00475650" w:rsidRDefault="00475650">
            <w:pPr>
              <w:jc w:val="center"/>
              <w:rPr>
                <w:szCs w:val="21"/>
              </w:rPr>
            </w:pPr>
            <w:r>
              <w:rPr>
                <w:rFonts w:hint="eastAsia"/>
                <w:szCs w:val="21"/>
              </w:rPr>
              <w:t>粉尘</w:t>
            </w:r>
          </w:p>
        </w:tc>
        <w:tc>
          <w:tcPr>
            <w:tcW w:w="1267" w:type="dxa"/>
            <w:vMerge w:val="restart"/>
            <w:tcBorders>
              <w:left w:val="single" w:sz="4" w:space="0" w:color="auto"/>
              <w:right w:val="single" w:sz="4" w:space="0" w:color="auto"/>
            </w:tcBorders>
            <w:vAlign w:val="center"/>
          </w:tcPr>
          <w:p w:rsidR="00475650" w:rsidRDefault="00475650">
            <w:pPr>
              <w:jc w:val="center"/>
              <w:rPr>
                <w:szCs w:val="21"/>
              </w:rPr>
            </w:pPr>
            <w:r>
              <w:rPr>
                <w:rFonts w:hint="eastAsia"/>
                <w:szCs w:val="21"/>
              </w:rPr>
              <w:t>10.533</w:t>
            </w:r>
          </w:p>
        </w:tc>
        <w:tc>
          <w:tcPr>
            <w:tcW w:w="1333" w:type="dxa"/>
            <w:vMerge w:val="restart"/>
            <w:tcBorders>
              <w:right w:val="single" w:sz="4" w:space="0" w:color="auto"/>
            </w:tcBorders>
            <w:vAlign w:val="center"/>
          </w:tcPr>
          <w:p w:rsidR="00475650" w:rsidRDefault="00475650">
            <w:pPr>
              <w:jc w:val="center"/>
              <w:rPr>
                <w:szCs w:val="21"/>
              </w:rPr>
            </w:pPr>
            <w:r>
              <w:rPr>
                <w:rFonts w:hint="eastAsia"/>
                <w:szCs w:val="21"/>
              </w:rPr>
              <w:t>158</w:t>
            </w:r>
          </w:p>
          <w:p w:rsidR="00475650" w:rsidRDefault="00475650">
            <w:pPr>
              <w:jc w:val="center"/>
              <w:rPr>
                <w:szCs w:val="21"/>
              </w:rPr>
            </w:pPr>
            <w:r>
              <w:rPr>
                <w:rFonts w:hint="eastAsia"/>
                <w:szCs w:val="21"/>
              </w:rPr>
              <w:t>（</w:t>
            </w:r>
            <w:r>
              <w:rPr>
                <w:rFonts w:hint="eastAsia"/>
                <w:szCs w:val="21"/>
              </w:rPr>
              <w:t>0.044</w:t>
            </w:r>
            <w:r>
              <w:rPr>
                <w:rFonts w:hint="eastAsia"/>
                <w:szCs w:val="21"/>
              </w:rPr>
              <w:t>）</w:t>
            </w:r>
          </w:p>
        </w:tc>
        <w:tc>
          <w:tcPr>
            <w:tcW w:w="467" w:type="dxa"/>
            <w:vMerge/>
            <w:tcBorders>
              <w:left w:val="single" w:sz="4" w:space="0" w:color="auto"/>
              <w:right w:val="single" w:sz="4" w:space="0" w:color="auto"/>
            </w:tcBorders>
            <w:vAlign w:val="center"/>
          </w:tcPr>
          <w:p w:rsidR="00475650" w:rsidRDefault="00475650">
            <w:pPr>
              <w:jc w:val="center"/>
              <w:rPr>
                <w:szCs w:val="21"/>
              </w:rPr>
            </w:pPr>
          </w:p>
        </w:tc>
        <w:tc>
          <w:tcPr>
            <w:tcW w:w="723" w:type="dxa"/>
            <w:vMerge/>
            <w:tcBorders>
              <w:left w:val="single" w:sz="4" w:space="0" w:color="auto"/>
              <w:right w:val="single" w:sz="4" w:space="0" w:color="auto"/>
            </w:tcBorders>
            <w:vAlign w:val="center"/>
          </w:tcPr>
          <w:p w:rsidR="00475650" w:rsidRDefault="00475650">
            <w:pPr>
              <w:jc w:val="center"/>
              <w:rPr>
                <w:szCs w:val="21"/>
              </w:rPr>
            </w:pPr>
          </w:p>
        </w:tc>
        <w:tc>
          <w:tcPr>
            <w:tcW w:w="696" w:type="dxa"/>
            <w:vMerge/>
            <w:tcBorders>
              <w:left w:val="single" w:sz="4" w:space="0" w:color="auto"/>
              <w:right w:val="single" w:sz="4" w:space="0" w:color="auto"/>
            </w:tcBorders>
            <w:vAlign w:val="center"/>
          </w:tcPr>
          <w:p w:rsidR="00475650" w:rsidRDefault="00475650">
            <w:pPr>
              <w:jc w:val="center"/>
              <w:rPr>
                <w:szCs w:val="21"/>
              </w:rPr>
            </w:pPr>
          </w:p>
        </w:tc>
      </w:tr>
      <w:tr w:rsidR="00475650">
        <w:trPr>
          <w:trHeight w:val="340"/>
          <w:jc w:val="center"/>
        </w:trPr>
        <w:tc>
          <w:tcPr>
            <w:tcW w:w="484" w:type="dxa"/>
            <w:vMerge/>
            <w:tcBorders>
              <w:right w:val="single" w:sz="4" w:space="0" w:color="auto"/>
            </w:tcBorders>
            <w:vAlign w:val="center"/>
          </w:tcPr>
          <w:p w:rsidR="00475650" w:rsidRDefault="00475650">
            <w:pPr>
              <w:jc w:val="center"/>
              <w:rPr>
                <w:szCs w:val="21"/>
              </w:rPr>
            </w:pPr>
          </w:p>
        </w:tc>
        <w:tc>
          <w:tcPr>
            <w:tcW w:w="1861" w:type="dxa"/>
            <w:tcBorders>
              <w:left w:val="single" w:sz="4" w:space="0" w:color="auto"/>
              <w:right w:val="single" w:sz="4" w:space="0" w:color="auto"/>
            </w:tcBorders>
            <w:vAlign w:val="center"/>
          </w:tcPr>
          <w:p w:rsidR="00475650" w:rsidRDefault="00475650">
            <w:pPr>
              <w:jc w:val="center"/>
              <w:rPr>
                <w:rFonts w:hAnsi="宋体"/>
                <w:szCs w:val="21"/>
              </w:rPr>
            </w:pPr>
            <w:r>
              <w:rPr>
                <w:rFonts w:hAnsi="宋体" w:hint="eastAsia"/>
                <w:szCs w:val="21"/>
              </w:rPr>
              <w:t>隔膜压滤废气</w:t>
            </w:r>
          </w:p>
        </w:tc>
        <w:tc>
          <w:tcPr>
            <w:tcW w:w="1102" w:type="dxa"/>
            <w:vMerge/>
            <w:tcBorders>
              <w:right w:val="single" w:sz="4" w:space="0" w:color="auto"/>
            </w:tcBorders>
            <w:vAlign w:val="center"/>
          </w:tcPr>
          <w:p w:rsidR="00475650" w:rsidRDefault="00475650">
            <w:pPr>
              <w:jc w:val="center"/>
              <w:rPr>
                <w:szCs w:val="21"/>
              </w:rPr>
            </w:pPr>
          </w:p>
        </w:tc>
        <w:tc>
          <w:tcPr>
            <w:tcW w:w="1013" w:type="dxa"/>
            <w:vMerge/>
            <w:tcBorders>
              <w:left w:val="single" w:sz="4" w:space="0" w:color="auto"/>
              <w:right w:val="single" w:sz="4" w:space="0" w:color="auto"/>
            </w:tcBorders>
            <w:vAlign w:val="center"/>
          </w:tcPr>
          <w:p w:rsidR="00475650" w:rsidRDefault="00475650">
            <w:pPr>
              <w:jc w:val="center"/>
              <w:rPr>
                <w:rFonts w:hAnsi="宋体"/>
                <w:szCs w:val="21"/>
              </w:rPr>
            </w:pPr>
          </w:p>
        </w:tc>
        <w:tc>
          <w:tcPr>
            <w:tcW w:w="1267" w:type="dxa"/>
            <w:vMerge/>
            <w:tcBorders>
              <w:left w:val="single" w:sz="4" w:space="0" w:color="auto"/>
              <w:right w:val="single" w:sz="4" w:space="0" w:color="auto"/>
            </w:tcBorders>
            <w:vAlign w:val="center"/>
          </w:tcPr>
          <w:p w:rsidR="00475650" w:rsidRDefault="00475650">
            <w:pPr>
              <w:jc w:val="center"/>
              <w:rPr>
                <w:szCs w:val="21"/>
              </w:rPr>
            </w:pPr>
          </w:p>
        </w:tc>
        <w:tc>
          <w:tcPr>
            <w:tcW w:w="1333" w:type="dxa"/>
            <w:vMerge/>
            <w:tcBorders>
              <w:right w:val="single" w:sz="4" w:space="0" w:color="auto"/>
            </w:tcBorders>
            <w:vAlign w:val="center"/>
          </w:tcPr>
          <w:p w:rsidR="00475650" w:rsidRDefault="00475650">
            <w:pPr>
              <w:jc w:val="center"/>
              <w:rPr>
                <w:szCs w:val="21"/>
              </w:rPr>
            </w:pPr>
          </w:p>
        </w:tc>
        <w:tc>
          <w:tcPr>
            <w:tcW w:w="467" w:type="dxa"/>
            <w:vMerge/>
            <w:tcBorders>
              <w:left w:val="single" w:sz="4" w:space="0" w:color="auto"/>
              <w:right w:val="single" w:sz="4" w:space="0" w:color="auto"/>
            </w:tcBorders>
            <w:vAlign w:val="center"/>
          </w:tcPr>
          <w:p w:rsidR="00475650" w:rsidRDefault="00475650">
            <w:pPr>
              <w:jc w:val="center"/>
              <w:rPr>
                <w:szCs w:val="21"/>
              </w:rPr>
            </w:pPr>
          </w:p>
        </w:tc>
        <w:tc>
          <w:tcPr>
            <w:tcW w:w="723" w:type="dxa"/>
            <w:vMerge/>
            <w:tcBorders>
              <w:left w:val="single" w:sz="4" w:space="0" w:color="auto"/>
              <w:right w:val="single" w:sz="4" w:space="0" w:color="auto"/>
            </w:tcBorders>
            <w:vAlign w:val="center"/>
          </w:tcPr>
          <w:p w:rsidR="00475650" w:rsidRDefault="00475650">
            <w:pPr>
              <w:jc w:val="center"/>
              <w:rPr>
                <w:szCs w:val="21"/>
              </w:rPr>
            </w:pPr>
          </w:p>
        </w:tc>
        <w:tc>
          <w:tcPr>
            <w:tcW w:w="696" w:type="dxa"/>
            <w:vMerge/>
            <w:tcBorders>
              <w:left w:val="single" w:sz="4" w:space="0" w:color="auto"/>
              <w:right w:val="single" w:sz="4" w:space="0" w:color="auto"/>
            </w:tcBorders>
            <w:vAlign w:val="center"/>
          </w:tcPr>
          <w:p w:rsidR="00475650" w:rsidRDefault="00475650">
            <w:pPr>
              <w:jc w:val="center"/>
              <w:rPr>
                <w:szCs w:val="21"/>
              </w:rPr>
            </w:pPr>
          </w:p>
        </w:tc>
      </w:tr>
      <w:tr w:rsidR="00475650">
        <w:trPr>
          <w:trHeight w:val="340"/>
          <w:jc w:val="center"/>
        </w:trPr>
        <w:tc>
          <w:tcPr>
            <w:tcW w:w="484" w:type="dxa"/>
            <w:vMerge w:val="restart"/>
            <w:tcBorders>
              <w:right w:val="single" w:sz="4" w:space="0" w:color="auto"/>
            </w:tcBorders>
            <w:vAlign w:val="center"/>
          </w:tcPr>
          <w:p w:rsidR="00475650" w:rsidRDefault="00475650">
            <w:pPr>
              <w:jc w:val="center"/>
              <w:rPr>
                <w:szCs w:val="21"/>
              </w:rPr>
            </w:pPr>
            <w:r>
              <w:rPr>
                <w:rFonts w:hint="eastAsia"/>
                <w:szCs w:val="21"/>
              </w:rPr>
              <w:t>无组织废气</w:t>
            </w:r>
          </w:p>
        </w:tc>
        <w:tc>
          <w:tcPr>
            <w:tcW w:w="1861" w:type="dxa"/>
            <w:vMerge w:val="restart"/>
            <w:tcBorders>
              <w:left w:val="single" w:sz="4" w:space="0" w:color="auto"/>
              <w:right w:val="single" w:sz="4" w:space="0" w:color="auto"/>
            </w:tcBorders>
            <w:vAlign w:val="center"/>
          </w:tcPr>
          <w:p w:rsidR="00475650" w:rsidRDefault="00475650">
            <w:pPr>
              <w:jc w:val="center"/>
              <w:rPr>
                <w:szCs w:val="21"/>
              </w:rPr>
            </w:pPr>
            <w:r>
              <w:rPr>
                <w:rFonts w:hint="eastAsia"/>
                <w:szCs w:val="21"/>
              </w:rPr>
              <w:t>生产车间</w:t>
            </w:r>
          </w:p>
        </w:tc>
        <w:tc>
          <w:tcPr>
            <w:tcW w:w="1102" w:type="dxa"/>
            <w:tcBorders>
              <w:right w:val="single" w:sz="4" w:space="0" w:color="auto"/>
            </w:tcBorders>
            <w:vAlign w:val="center"/>
          </w:tcPr>
          <w:p w:rsidR="00475650" w:rsidRDefault="00475650">
            <w:pPr>
              <w:jc w:val="center"/>
              <w:rPr>
                <w:szCs w:val="21"/>
              </w:rPr>
            </w:pPr>
          </w:p>
        </w:tc>
        <w:tc>
          <w:tcPr>
            <w:tcW w:w="1013" w:type="dxa"/>
            <w:tcBorders>
              <w:left w:val="single" w:sz="4" w:space="0" w:color="auto"/>
              <w:right w:val="single" w:sz="4" w:space="0" w:color="auto"/>
            </w:tcBorders>
            <w:vAlign w:val="center"/>
          </w:tcPr>
          <w:p w:rsidR="00475650" w:rsidRDefault="00475650">
            <w:pPr>
              <w:jc w:val="center"/>
              <w:rPr>
                <w:szCs w:val="21"/>
              </w:rPr>
            </w:pPr>
            <w:r>
              <w:rPr>
                <w:rFonts w:hint="eastAsia"/>
                <w:szCs w:val="21"/>
              </w:rPr>
              <w:t>氯化氢</w:t>
            </w:r>
          </w:p>
        </w:tc>
        <w:tc>
          <w:tcPr>
            <w:tcW w:w="1267" w:type="dxa"/>
            <w:tcBorders>
              <w:left w:val="single" w:sz="4" w:space="0" w:color="auto"/>
              <w:right w:val="single" w:sz="4" w:space="0" w:color="auto"/>
            </w:tcBorders>
            <w:vAlign w:val="center"/>
          </w:tcPr>
          <w:p w:rsidR="00475650" w:rsidRDefault="00475650">
            <w:pPr>
              <w:jc w:val="center"/>
              <w:rPr>
                <w:szCs w:val="21"/>
              </w:rPr>
            </w:pPr>
          </w:p>
        </w:tc>
        <w:tc>
          <w:tcPr>
            <w:tcW w:w="1333" w:type="dxa"/>
            <w:tcBorders>
              <w:right w:val="single" w:sz="4" w:space="0" w:color="auto"/>
            </w:tcBorders>
            <w:vAlign w:val="center"/>
          </w:tcPr>
          <w:p w:rsidR="00475650" w:rsidRDefault="00475650">
            <w:pPr>
              <w:jc w:val="center"/>
              <w:rPr>
                <w:szCs w:val="21"/>
              </w:rPr>
            </w:pPr>
            <w:r>
              <w:rPr>
                <w:rFonts w:hint="eastAsia"/>
                <w:szCs w:val="21"/>
              </w:rPr>
              <w:t>0.25t/a</w:t>
            </w:r>
          </w:p>
        </w:tc>
        <w:tc>
          <w:tcPr>
            <w:tcW w:w="467" w:type="dxa"/>
            <w:tcBorders>
              <w:left w:val="single" w:sz="4" w:space="0" w:color="auto"/>
              <w:right w:val="single" w:sz="4" w:space="0" w:color="auto"/>
            </w:tcBorders>
            <w:vAlign w:val="center"/>
          </w:tcPr>
          <w:p w:rsidR="00475650" w:rsidRDefault="00475650">
            <w:pPr>
              <w:jc w:val="center"/>
              <w:rPr>
                <w:szCs w:val="21"/>
              </w:rPr>
            </w:pPr>
            <w:r>
              <w:rPr>
                <w:rFonts w:hint="eastAsia"/>
                <w:szCs w:val="21"/>
              </w:rPr>
              <w:t>/</w:t>
            </w:r>
          </w:p>
        </w:tc>
        <w:tc>
          <w:tcPr>
            <w:tcW w:w="723" w:type="dxa"/>
            <w:tcBorders>
              <w:left w:val="single" w:sz="4" w:space="0" w:color="auto"/>
              <w:right w:val="single" w:sz="4" w:space="0" w:color="auto"/>
            </w:tcBorders>
            <w:vAlign w:val="center"/>
          </w:tcPr>
          <w:p w:rsidR="00475650" w:rsidRDefault="00475650">
            <w:pPr>
              <w:jc w:val="center"/>
              <w:rPr>
                <w:szCs w:val="21"/>
              </w:rPr>
            </w:pPr>
            <w:r>
              <w:rPr>
                <w:rFonts w:hint="eastAsia"/>
                <w:szCs w:val="21"/>
              </w:rPr>
              <w:t>/</w:t>
            </w:r>
          </w:p>
        </w:tc>
        <w:tc>
          <w:tcPr>
            <w:tcW w:w="696" w:type="dxa"/>
            <w:tcBorders>
              <w:left w:val="single" w:sz="4" w:space="0" w:color="auto"/>
              <w:right w:val="single" w:sz="4" w:space="0" w:color="auto"/>
            </w:tcBorders>
            <w:vAlign w:val="center"/>
          </w:tcPr>
          <w:p w:rsidR="00475650" w:rsidRDefault="00475650">
            <w:pPr>
              <w:jc w:val="center"/>
              <w:rPr>
                <w:szCs w:val="21"/>
              </w:rPr>
            </w:pPr>
            <w:r>
              <w:rPr>
                <w:rFonts w:hint="eastAsia"/>
                <w:szCs w:val="21"/>
              </w:rPr>
              <w:t>/</w:t>
            </w:r>
          </w:p>
        </w:tc>
      </w:tr>
      <w:tr w:rsidR="00475650">
        <w:trPr>
          <w:trHeight w:val="340"/>
          <w:jc w:val="center"/>
        </w:trPr>
        <w:tc>
          <w:tcPr>
            <w:tcW w:w="484" w:type="dxa"/>
            <w:vMerge/>
            <w:tcBorders>
              <w:right w:val="single" w:sz="4" w:space="0" w:color="auto"/>
            </w:tcBorders>
            <w:vAlign w:val="center"/>
          </w:tcPr>
          <w:p w:rsidR="00475650" w:rsidRDefault="00475650">
            <w:pPr>
              <w:jc w:val="center"/>
              <w:rPr>
                <w:szCs w:val="21"/>
              </w:rPr>
            </w:pPr>
          </w:p>
        </w:tc>
        <w:tc>
          <w:tcPr>
            <w:tcW w:w="1861" w:type="dxa"/>
            <w:vMerge/>
            <w:tcBorders>
              <w:left w:val="single" w:sz="4" w:space="0" w:color="auto"/>
              <w:right w:val="single" w:sz="4" w:space="0" w:color="auto"/>
            </w:tcBorders>
            <w:vAlign w:val="center"/>
          </w:tcPr>
          <w:p w:rsidR="00475650" w:rsidRDefault="00475650">
            <w:pPr>
              <w:jc w:val="center"/>
              <w:rPr>
                <w:szCs w:val="21"/>
              </w:rPr>
            </w:pPr>
          </w:p>
        </w:tc>
        <w:tc>
          <w:tcPr>
            <w:tcW w:w="1102" w:type="dxa"/>
            <w:tcBorders>
              <w:right w:val="single" w:sz="4" w:space="0" w:color="auto"/>
            </w:tcBorders>
            <w:vAlign w:val="center"/>
          </w:tcPr>
          <w:p w:rsidR="00475650" w:rsidRDefault="00475650">
            <w:pPr>
              <w:jc w:val="center"/>
              <w:rPr>
                <w:szCs w:val="21"/>
              </w:rPr>
            </w:pPr>
          </w:p>
        </w:tc>
        <w:tc>
          <w:tcPr>
            <w:tcW w:w="1013" w:type="dxa"/>
            <w:tcBorders>
              <w:left w:val="single" w:sz="4" w:space="0" w:color="auto"/>
              <w:right w:val="single" w:sz="4" w:space="0" w:color="auto"/>
            </w:tcBorders>
            <w:vAlign w:val="center"/>
          </w:tcPr>
          <w:p w:rsidR="00475650" w:rsidRDefault="00475650">
            <w:pPr>
              <w:jc w:val="center"/>
              <w:rPr>
                <w:szCs w:val="21"/>
              </w:rPr>
            </w:pPr>
            <w:r>
              <w:rPr>
                <w:rFonts w:hint="eastAsia"/>
                <w:szCs w:val="21"/>
              </w:rPr>
              <w:t>氨气</w:t>
            </w:r>
          </w:p>
        </w:tc>
        <w:tc>
          <w:tcPr>
            <w:tcW w:w="1267" w:type="dxa"/>
            <w:tcBorders>
              <w:left w:val="single" w:sz="4" w:space="0" w:color="auto"/>
              <w:right w:val="single" w:sz="4" w:space="0" w:color="auto"/>
            </w:tcBorders>
            <w:vAlign w:val="center"/>
          </w:tcPr>
          <w:p w:rsidR="00475650" w:rsidRDefault="00475650">
            <w:pPr>
              <w:jc w:val="center"/>
              <w:rPr>
                <w:szCs w:val="21"/>
              </w:rPr>
            </w:pPr>
          </w:p>
        </w:tc>
        <w:tc>
          <w:tcPr>
            <w:tcW w:w="1333" w:type="dxa"/>
            <w:tcBorders>
              <w:right w:val="single" w:sz="4" w:space="0" w:color="auto"/>
            </w:tcBorders>
            <w:vAlign w:val="center"/>
          </w:tcPr>
          <w:p w:rsidR="00475650" w:rsidRDefault="00475650">
            <w:pPr>
              <w:jc w:val="center"/>
              <w:rPr>
                <w:szCs w:val="21"/>
              </w:rPr>
            </w:pPr>
            <w:r>
              <w:rPr>
                <w:rFonts w:hint="eastAsia"/>
                <w:szCs w:val="21"/>
              </w:rPr>
              <w:t>0.014 t/a</w:t>
            </w:r>
          </w:p>
        </w:tc>
        <w:tc>
          <w:tcPr>
            <w:tcW w:w="467" w:type="dxa"/>
            <w:tcBorders>
              <w:left w:val="single" w:sz="4" w:space="0" w:color="auto"/>
              <w:right w:val="single" w:sz="4" w:space="0" w:color="auto"/>
            </w:tcBorders>
            <w:vAlign w:val="center"/>
          </w:tcPr>
          <w:p w:rsidR="00475650" w:rsidRDefault="00475650">
            <w:pPr>
              <w:jc w:val="center"/>
              <w:rPr>
                <w:szCs w:val="21"/>
              </w:rPr>
            </w:pPr>
            <w:r>
              <w:rPr>
                <w:rFonts w:hint="eastAsia"/>
                <w:szCs w:val="21"/>
              </w:rPr>
              <w:t>/</w:t>
            </w:r>
          </w:p>
        </w:tc>
        <w:tc>
          <w:tcPr>
            <w:tcW w:w="723" w:type="dxa"/>
            <w:tcBorders>
              <w:left w:val="single" w:sz="4" w:space="0" w:color="auto"/>
              <w:right w:val="single" w:sz="4" w:space="0" w:color="auto"/>
            </w:tcBorders>
            <w:vAlign w:val="center"/>
          </w:tcPr>
          <w:p w:rsidR="00475650" w:rsidRDefault="00475650">
            <w:pPr>
              <w:jc w:val="center"/>
              <w:rPr>
                <w:szCs w:val="21"/>
              </w:rPr>
            </w:pPr>
            <w:r>
              <w:rPr>
                <w:rFonts w:hint="eastAsia"/>
                <w:szCs w:val="21"/>
              </w:rPr>
              <w:t>/</w:t>
            </w:r>
          </w:p>
        </w:tc>
        <w:tc>
          <w:tcPr>
            <w:tcW w:w="696" w:type="dxa"/>
            <w:tcBorders>
              <w:left w:val="single" w:sz="4" w:space="0" w:color="auto"/>
              <w:right w:val="single" w:sz="4" w:space="0" w:color="auto"/>
            </w:tcBorders>
            <w:vAlign w:val="center"/>
          </w:tcPr>
          <w:p w:rsidR="00475650" w:rsidRDefault="00475650">
            <w:pPr>
              <w:jc w:val="center"/>
              <w:rPr>
                <w:szCs w:val="21"/>
              </w:rPr>
            </w:pPr>
            <w:r>
              <w:rPr>
                <w:rFonts w:hint="eastAsia"/>
                <w:szCs w:val="21"/>
              </w:rPr>
              <w:t>/</w:t>
            </w:r>
          </w:p>
        </w:tc>
      </w:tr>
      <w:tr w:rsidR="00475650">
        <w:trPr>
          <w:trHeight w:val="340"/>
          <w:jc w:val="center"/>
        </w:trPr>
        <w:tc>
          <w:tcPr>
            <w:tcW w:w="484" w:type="dxa"/>
            <w:vMerge/>
            <w:tcBorders>
              <w:right w:val="single" w:sz="4" w:space="0" w:color="auto"/>
            </w:tcBorders>
            <w:vAlign w:val="center"/>
          </w:tcPr>
          <w:p w:rsidR="00475650" w:rsidRDefault="00475650">
            <w:pPr>
              <w:jc w:val="center"/>
              <w:rPr>
                <w:szCs w:val="21"/>
              </w:rPr>
            </w:pPr>
          </w:p>
        </w:tc>
        <w:tc>
          <w:tcPr>
            <w:tcW w:w="1861" w:type="dxa"/>
            <w:vMerge/>
            <w:tcBorders>
              <w:left w:val="single" w:sz="4" w:space="0" w:color="auto"/>
              <w:right w:val="single" w:sz="4" w:space="0" w:color="auto"/>
            </w:tcBorders>
            <w:vAlign w:val="center"/>
          </w:tcPr>
          <w:p w:rsidR="00475650" w:rsidRDefault="00475650">
            <w:pPr>
              <w:jc w:val="center"/>
              <w:rPr>
                <w:szCs w:val="21"/>
              </w:rPr>
            </w:pPr>
          </w:p>
        </w:tc>
        <w:tc>
          <w:tcPr>
            <w:tcW w:w="1102" w:type="dxa"/>
            <w:tcBorders>
              <w:right w:val="single" w:sz="4" w:space="0" w:color="auto"/>
            </w:tcBorders>
            <w:vAlign w:val="center"/>
          </w:tcPr>
          <w:p w:rsidR="00475650" w:rsidRDefault="00475650">
            <w:pPr>
              <w:jc w:val="center"/>
              <w:rPr>
                <w:szCs w:val="21"/>
              </w:rPr>
            </w:pPr>
          </w:p>
        </w:tc>
        <w:tc>
          <w:tcPr>
            <w:tcW w:w="1013" w:type="dxa"/>
            <w:tcBorders>
              <w:left w:val="single" w:sz="4" w:space="0" w:color="auto"/>
              <w:right w:val="single" w:sz="4" w:space="0" w:color="auto"/>
            </w:tcBorders>
            <w:vAlign w:val="center"/>
          </w:tcPr>
          <w:p w:rsidR="00475650" w:rsidRDefault="00475650">
            <w:pPr>
              <w:jc w:val="center"/>
              <w:rPr>
                <w:szCs w:val="21"/>
              </w:rPr>
            </w:pPr>
            <w:r>
              <w:rPr>
                <w:rFonts w:hint="eastAsia"/>
                <w:szCs w:val="21"/>
              </w:rPr>
              <w:t>粉尘</w:t>
            </w:r>
          </w:p>
        </w:tc>
        <w:tc>
          <w:tcPr>
            <w:tcW w:w="1267" w:type="dxa"/>
            <w:tcBorders>
              <w:left w:val="single" w:sz="4" w:space="0" w:color="auto"/>
              <w:right w:val="single" w:sz="4" w:space="0" w:color="auto"/>
            </w:tcBorders>
            <w:vAlign w:val="center"/>
          </w:tcPr>
          <w:p w:rsidR="00475650" w:rsidRDefault="00475650">
            <w:pPr>
              <w:jc w:val="center"/>
              <w:rPr>
                <w:szCs w:val="21"/>
              </w:rPr>
            </w:pPr>
          </w:p>
        </w:tc>
        <w:tc>
          <w:tcPr>
            <w:tcW w:w="1333" w:type="dxa"/>
            <w:tcBorders>
              <w:right w:val="single" w:sz="4" w:space="0" w:color="auto"/>
            </w:tcBorders>
            <w:vAlign w:val="center"/>
          </w:tcPr>
          <w:p w:rsidR="00475650" w:rsidRDefault="00475650">
            <w:pPr>
              <w:jc w:val="center"/>
              <w:rPr>
                <w:szCs w:val="21"/>
              </w:rPr>
            </w:pPr>
            <w:r>
              <w:rPr>
                <w:rFonts w:hint="eastAsia"/>
                <w:szCs w:val="21"/>
              </w:rPr>
              <w:t>0.71 t/a</w:t>
            </w:r>
          </w:p>
        </w:tc>
        <w:tc>
          <w:tcPr>
            <w:tcW w:w="467" w:type="dxa"/>
            <w:tcBorders>
              <w:left w:val="single" w:sz="4" w:space="0" w:color="auto"/>
              <w:right w:val="single" w:sz="4" w:space="0" w:color="auto"/>
            </w:tcBorders>
            <w:vAlign w:val="center"/>
          </w:tcPr>
          <w:p w:rsidR="00475650" w:rsidRDefault="00475650">
            <w:pPr>
              <w:jc w:val="center"/>
              <w:rPr>
                <w:szCs w:val="21"/>
              </w:rPr>
            </w:pPr>
            <w:r>
              <w:rPr>
                <w:szCs w:val="21"/>
              </w:rPr>
              <w:t>/</w:t>
            </w:r>
          </w:p>
        </w:tc>
        <w:tc>
          <w:tcPr>
            <w:tcW w:w="723" w:type="dxa"/>
            <w:tcBorders>
              <w:left w:val="single" w:sz="4" w:space="0" w:color="auto"/>
              <w:right w:val="single" w:sz="4" w:space="0" w:color="auto"/>
            </w:tcBorders>
            <w:vAlign w:val="center"/>
          </w:tcPr>
          <w:p w:rsidR="00475650" w:rsidRDefault="00475650">
            <w:pPr>
              <w:jc w:val="center"/>
              <w:rPr>
                <w:szCs w:val="21"/>
              </w:rPr>
            </w:pPr>
            <w:r>
              <w:rPr>
                <w:szCs w:val="21"/>
              </w:rPr>
              <w:t>/</w:t>
            </w:r>
          </w:p>
        </w:tc>
        <w:tc>
          <w:tcPr>
            <w:tcW w:w="696" w:type="dxa"/>
            <w:tcBorders>
              <w:left w:val="single" w:sz="4" w:space="0" w:color="auto"/>
              <w:right w:val="single" w:sz="4" w:space="0" w:color="auto"/>
            </w:tcBorders>
            <w:vAlign w:val="center"/>
          </w:tcPr>
          <w:p w:rsidR="00475650" w:rsidRDefault="00475650">
            <w:pPr>
              <w:jc w:val="center"/>
              <w:rPr>
                <w:szCs w:val="21"/>
              </w:rPr>
            </w:pPr>
            <w:r>
              <w:rPr>
                <w:szCs w:val="21"/>
              </w:rPr>
              <w:t>/</w:t>
            </w:r>
          </w:p>
        </w:tc>
      </w:tr>
    </w:tbl>
    <w:p w:rsidR="00475650" w:rsidRDefault="00475650">
      <w:pPr>
        <w:spacing w:line="360" w:lineRule="auto"/>
        <w:jc w:val="center"/>
        <w:rPr>
          <w:sz w:val="24"/>
        </w:rPr>
      </w:pPr>
    </w:p>
    <w:p w:rsidR="00475650" w:rsidRDefault="00475650">
      <w:pPr>
        <w:snapToGrid w:val="0"/>
        <w:spacing w:line="360" w:lineRule="auto"/>
        <w:outlineLvl w:val="2"/>
        <w:rPr>
          <w:sz w:val="24"/>
        </w:rPr>
      </w:pPr>
      <w:bookmarkStart w:id="748" w:name="_Toc302936828"/>
      <w:r>
        <w:rPr>
          <w:sz w:val="24"/>
        </w:rPr>
        <w:t xml:space="preserve">5.2.2.4 </w:t>
      </w:r>
      <w:r>
        <w:rPr>
          <w:rFonts w:hAnsi="宋体"/>
          <w:sz w:val="24"/>
        </w:rPr>
        <w:t>正常工况下废气有组织外排的预测与评价</w:t>
      </w:r>
      <w:bookmarkEnd w:id="748"/>
    </w:p>
    <w:p w:rsidR="00475650" w:rsidRDefault="00475650">
      <w:pPr>
        <w:spacing w:line="360" w:lineRule="auto"/>
        <w:ind w:firstLine="482"/>
        <w:rPr>
          <w:rFonts w:hAnsi="宋体"/>
          <w:sz w:val="24"/>
        </w:rPr>
      </w:pPr>
      <w:bookmarkStart w:id="749" w:name="_Toc334080858"/>
      <w:bookmarkStart w:id="750" w:name="_Toc334014216"/>
      <w:bookmarkStart w:id="751" w:name="_Toc501"/>
      <w:bookmarkStart w:id="752" w:name="_Toc333230040"/>
      <w:bookmarkStart w:id="753" w:name="_Toc448999129"/>
      <w:bookmarkStart w:id="754" w:name="_Toc465677030"/>
      <w:r>
        <w:rPr>
          <w:rFonts w:hAnsi="宋体"/>
          <w:sz w:val="24"/>
        </w:rPr>
        <w:t>1</w:t>
      </w:r>
      <w:r>
        <w:rPr>
          <w:rFonts w:hAnsi="宋体"/>
          <w:sz w:val="24"/>
        </w:rPr>
        <w:t>、最大小时地面浓度</w:t>
      </w:r>
      <w:bookmarkEnd w:id="749"/>
      <w:bookmarkEnd w:id="750"/>
      <w:bookmarkEnd w:id="751"/>
      <w:bookmarkEnd w:id="752"/>
      <w:bookmarkEnd w:id="753"/>
      <w:bookmarkEnd w:id="754"/>
    </w:p>
    <w:p w:rsidR="00475650" w:rsidRDefault="00475650">
      <w:pPr>
        <w:spacing w:line="360" w:lineRule="auto"/>
        <w:ind w:firstLine="482"/>
        <w:rPr>
          <w:sz w:val="24"/>
        </w:rPr>
      </w:pPr>
      <w:r>
        <w:rPr>
          <w:rFonts w:hAnsi="宋体"/>
          <w:sz w:val="24"/>
        </w:rPr>
        <w:t>本项目大气环境评价工作等级为三级，因此根据导则要求，对大气污染源的影响以估算模式的计算结果进行分析，不另作预测评价。按《环境影响评价技术导则</w:t>
      </w:r>
      <w:r>
        <w:rPr>
          <w:sz w:val="24"/>
        </w:rPr>
        <w:t xml:space="preserve"> </w:t>
      </w:r>
      <w:r>
        <w:rPr>
          <w:rFonts w:hAnsi="宋体"/>
          <w:sz w:val="24"/>
        </w:rPr>
        <w:t>大气环境》</w:t>
      </w:r>
      <w:r>
        <w:rPr>
          <w:sz w:val="24"/>
        </w:rPr>
        <w:t>(HJ2.2</w:t>
      </w:r>
      <w:r>
        <w:rPr>
          <w:rFonts w:hAnsi="宋体"/>
          <w:sz w:val="24"/>
        </w:rPr>
        <w:t>－</w:t>
      </w:r>
      <w:r>
        <w:rPr>
          <w:sz w:val="24"/>
        </w:rPr>
        <w:t>2008)</w:t>
      </w:r>
      <w:r>
        <w:rPr>
          <w:rFonts w:hAnsi="宋体"/>
          <w:sz w:val="24"/>
        </w:rPr>
        <w:t>，估算模式推荐公式如下：</w:t>
      </w:r>
    </w:p>
    <w:p w:rsidR="00475650" w:rsidRDefault="007C19B0">
      <w:pPr>
        <w:spacing w:line="360" w:lineRule="auto"/>
        <w:ind w:firstLine="482"/>
        <w:rPr>
          <w:sz w:val="24"/>
        </w:rPr>
      </w:pPr>
      <w:r>
        <w:rPr>
          <w:noProof/>
          <w:sz w:val="24"/>
        </w:rPr>
        <w:drawing>
          <wp:inline distT="0" distB="0" distL="0" distR="0">
            <wp:extent cx="1028700" cy="449580"/>
            <wp:effectExtent l="19050" t="0" r="0"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noChangeArrowheads="1"/>
                    </pic:cNvPicPr>
                  </pic:nvPicPr>
                  <pic:blipFill>
                    <a:blip r:embed="rId51" cstate="print"/>
                    <a:srcRect/>
                    <a:stretch>
                      <a:fillRect/>
                    </a:stretch>
                  </pic:blipFill>
                  <pic:spPr>
                    <a:xfrm>
                      <a:off x="0" y="0"/>
                      <a:ext cx="1028700" cy="449580"/>
                    </a:xfrm>
                    <a:prstGeom prst="rect">
                      <a:avLst/>
                    </a:prstGeom>
                    <a:noFill/>
                    <a:ln w="9525">
                      <a:noFill/>
                      <a:miter lim="800000"/>
                      <a:headEnd/>
                      <a:tailEnd/>
                    </a:ln>
                  </pic:spPr>
                </pic:pic>
              </a:graphicData>
            </a:graphic>
          </wp:inline>
        </w:drawing>
      </w:r>
    </w:p>
    <w:p w:rsidR="00475650" w:rsidRDefault="00475650">
      <w:pPr>
        <w:spacing w:line="360" w:lineRule="auto"/>
        <w:ind w:firstLine="482"/>
        <w:rPr>
          <w:sz w:val="24"/>
        </w:rPr>
      </w:pPr>
      <w:r>
        <w:rPr>
          <w:rFonts w:hAnsi="宋体"/>
          <w:sz w:val="24"/>
        </w:rPr>
        <w:lastRenderedPageBreak/>
        <w:t>式中：</w:t>
      </w:r>
      <w:r>
        <w:rPr>
          <w:sz w:val="24"/>
        </w:rPr>
        <w:t>Pi——</w:t>
      </w:r>
      <w:r>
        <w:rPr>
          <w:rFonts w:hAnsi="宋体"/>
          <w:sz w:val="24"/>
        </w:rPr>
        <w:t>第</w:t>
      </w:r>
      <w:r>
        <w:rPr>
          <w:sz w:val="24"/>
        </w:rPr>
        <w:t xml:space="preserve">i </w:t>
      </w:r>
      <w:r>
        <w:rPr>
          <w:rFonts w:hAnsi="宋体"/>
          <w:sz w:val="24"/>
        </w:rPr>
        <w:t>个污染物的最大地面浓度占标率，</w:t>
      </w:r>
      <w:r>
        <w:rPr>
          <w:sz w:val="24"/>
        </w:rPr>
        <w:t>%</w:t>
      </w:r>
      <w:r>
        <w:rPr>
          <w:rFonts w:hAnsi="宋体"/>
          <w:sz w:val="24"/>
        </w:rPr>
        <w:t>；</w:t>
      </w:r>
      <w:r>
        <w:rPr>
          <w:sz w:val="24"/>
        </w:rPr>
        <w:t xml:space="preserve"> </w:t>
      </w:r>
    </w:p>
    <w:p w:rsidR="00475650" w:rsidRDefault="00475650">
      <w:pPr>
        <w:spacing w:line="360" w:lineRule="auto"/>
        <w:ind w:firstLine="482"/>
        <w:rPr>
          <w:sz w:val="24"/>
        </w:rPr>
      </w:pPr>
      <w:r>
        <w:rPr>
          <w:sz w:val="24"/>
        </w:rPr>
        <w:t xml:space="preserve">      Ci——</w:t>
      </w:r>
      <w:r>
        <w:rPr>
          <w:rFonts w:hAnsi="宋体"/>
          <w:sz w:val="24"/>
        </w:rPr>
        <w:t>采用估算模式计算出的第</w:t>
      </w:r>
      <w:r>
        <w:rPr>
          <w:sz w:val="24"/>
        </w:rPr>
        <w:t xml:space="preserve">i </w:t>
      </w:r>
      <w:r>
        <w:rPr>
          <w:rFonts w:hAnsi="宋体"/>
          <w:sz w:val="24"/>
        </w:rPr>
        <w:t>个污染物的最大地面浓度，</w:t>
      </w:r>
      <w:r>
        <w:rPr>
          <w:sz w:val="24"/>
        </w:rPr>
        <w:t>mg/m</w:t>
      </w:r>
      <w:r>
        <w:rPr>
          <w:sz w:val="24"/>
          <w:vertAlign w:val="superscript"/>
        </w:rPr>
        <w:t>3</w:t>
      </w:r>
      <w:r>
        <w:rPr>
          <w:rFonts w:hAnsi="宋体"/>
          <w:sz w:val="24"/>
        </w:rPr>
        <w:t>；</w:t>
      </w:r>
    </w:p>
    <w:p w:rsidR="00475650" w:rsidRDefault="00475650">
      <w:pPr>
        <w:spacing w:line="360" w:lineRule="auto"/>
        <w:ind w:firstLine="482"/>
        <w:rPr>
          <w:sz w:val="24"/>
        </w:rPr>
      </w:pPr>
      <w:r>
        <w:rPr>
          <w:sz w:val="24"/>
        </w:rPr>
        <w:t xml:space="preserve">      C0i——</w:t>
      </w:r>
      <w:r>
        <w:rPr>
          <w:rFonts w:hAnsi="宋体"/>
          <w:sz w:val="24"/>
        </w:rPr>
        <w:t>第</w:t>
      </w:r>
      <w:r>
        <w:rPr>
          <w:sz w:val="24"/>
        </w:rPr>
        <w:t xml:space="preserve">i </w:t>
      </w:r>
      <w:r>
        <w:rPr>
          <w:rFonts w:hAnsi="宋体"/>
          <w:sz w:val="24"/>
        </w:rPr>
        <w:t>个污染物的环境大气质量标准，</w:t>
      </w:r>
      <w:r>
        <w:rPr>
          <w:sz w:val="24"/>
        </w:rPr>
        <w:t>mg/m</w:t>
      </w:r>
      <w:r>
        <w:rPr>
          <w:sz w:val="24"/>
          <w:vertAlign w:val="superscript"/>
        </w:rPr>
        <w:t>3</w:t>
      </w:r>
      <w:r>
        <w:rPr>
          <w:rFonts w:hAnsi="宋体"/>
          <w:sz w:val="24"/>
        </w:rPr>
        <w:t>。</w:t>
      </w:r>
    </w:p>
    <w:p w:rsidR="00475650" w:rsidRDefault="00475650">
      <w:pPr>
        <w:spacing w:line="360" w:lineRule="auto"/>
        <w:ind w:firstLine="482"/>
        <w:rPr>
          <w:sz w:val="24"/>
        </w:rPr>
      </w:pPr>
      <w:r>
        <w:rPr>
          <w:rFonts w:hAnsi="宋体"/>
          <w:sz w:val="24"/>
        </w:rPr>
        <w:t>模式采用乡村、平坦地形模式；不考虑熏烟和建筑物下洗；考虑所有气象条件下</w:t>
      </w:r>
      <w:r>
        <w:rPr>
          <w:sz w:val="24"/>
        </w:rPr>
        <w:t>(</w:t>
      </w:r>
      <w:r>
        <w:rPr>
          <w:rFonts w:hAnsi="宋体"/>
          <w:sz w:val="24"/>
        </w:rPr>
        <w:t>包括最不利气象条件下</w:t>
      </w:r>
      <w:r>
        <w:rPr>
          <w:sz w:val="24"/>
        </w:rPr>
        <w:t>)</w:t>
      </w:r>
      <w:r>
        <w:rPr>
          <w:rFonts w:hAnsi="宋体"/>
          <w:sz w:val="24"/>
        </w:rPr>
        <w:t>的最大地面浓度；环境温度取</w:t>
      </w:r>
      <w:r>
        <w:rPr>
          <w:sz w:val="24"/>
        </w:rPr>
        <w:t>20</w:t>
      </w:r>
      <w:r>
        <w:rPr>
          <w:rFonts w:ascii="宋体" w:hAnsi="宋体"/>
          <w:sz w:val="24"/>
        </w:rPr>
        <w:t>℃</w:t>
      </w:r>
      <w:r>
        <w:rPr>
          <w:rFonts w:hAnsi="宋体"/>
          <w:sz w:val="24"/>
        </w:rPr>
        <w:t>；采用估算模式计算的结果见表</w:t>
      </w:r>
      <w:r>
        <w:rPr>
          <w:sz w:val="24"/>
        </w:rPr>
        <w:t>5.2-2</w:t>
      </w:r>
      <w:r>
        <w:rPr>
          <w:rFonts w:hAnsi="宋体"/>
          <w:sz w:val="24"/>
        </w:rPr>
        <w:t>。</w:t>
      </w:r>
    </w:p>
    <w:p w:rsidR="00475650" w:rsidRDefault="00475650">
      <w:pPr>
        <w:spacing w:line="360" w:lineRule="auto"/>
        <w:ind w:firstLine="482"/>
        <w:rPr>
          <w:sz w:val="24"/>
        </w:rPr>
      </w:pPr>
      <w:r>
        <w:rPr>
          <w:rFonts w:hAnsi="宋体"/>
          <w:sz w:val="24"/>
        </w:rPr>
        <w:t>根据估算结果知，</w:t>
      </w:r>
      <w:r>
        <w:rPr>
          <w:rFonts w:hAnsi="宋体" w:hint="eastAsia"/>
          <w:sz w:val="24"/>
        </w:rPr>
        <w:t>生产废气</w:t>
      </w:r>
      <w:r>
        <w:rPr>
          <w:rFonts w:hAnsi="宋体"/>
          <w:sz w:val="24"/>
        </w:rPr>
        <w:t>正常外排情况下不会造成污染因子下风向地面浓度超标。各污染因子最大地面浓度占标率在</w:t>
      </w:r>
      <w:r>
        <w:rPr>
          <w:rFonts w:hint="eastAsia"/>
          <w:sz w:val="24"/>
        </w:rPr>
        <w:t>5</w:t>
      </w:r>
      <w:r>
        <w:rPr>
          <w:sz w:val="24"/>
        </w:rPr>
        <w:t>%</w:t>
      </w:r>
      <w:r>
        <w:rPr>
          <w:rFonts w:hAnsi="宋体"/>
          <w:sz w:val="24"/>
        </w:rPr>
        <w:t>以下，最大落地浓度距离</w:t>
      </w:r>
      <w:r>
        <w:rPr>
          <w:rFonts w:hAnsi="宋体" w:hint="eastAsia"/>
          <w:sz w:val="24"/>
        </w:rPr>
        <w:t>在</w:t>
      </w:r>
      <w:r>
        <w:rPr>
          <w:rFonts w:hint="eastAsia"/>
          <w:sz w:val="24"/>
        </w:rPr>
        <w:t>325</w:t>
      </w:r>
      <w:r>
        <w:rPr>
          <w:sz w:val="24"/>
        </w:rPr>
        <w:t>m</w:t>
      </w:r>
      <w:r>
        <w:rPr>
          <w:rFonts w:hAnsi="宋体" w:hint="eastAsia"/>
          <w:sz w:val="24"/>
        </w:rPr>
        <w:t>处</w:t>
      </w:r>
      <w:r>
        <w:rPr>
          <w:rFonts w:hAnsi="宋体"/>
          <w:sz w:val="24"/>
        </w:rPr>
        <w:t>。</w:t>
      </w:r>
      <w:r>
        <w:rPr>
          <w:rFonts w:hAnsi="宋体" w:hint="eastAsia"/>
          <w:sz w:val="24"/>
        </w:rPr>
        <w:t>根据项目周边分布情况，敏感点分布在</w:t>
      </w:r>
      <w:r>
        <w:rPr>
          <w:rFonts w:hAnsi="宋体" w:hint="eastAsia"/>
          <w:sz w:val="24"/>
        </w:rPr>
        <w:t>500m</w:t>
      </w:r>
      <w:r>
        <w:rPr>
          <w:rFonts w:hAnsi="宋体" w:hint="eastAsia"/>
          <w:sz w:val="24"/>
        </w:rPr>
        <w:t>以外的地方，最大落地浓度处为园区的装置区及长江水体。</w:t>
      </w:r>
    </w:p>
    <w:p w:rsidR="00475650" w:rsidRDefault="00475650">
      <w:pPr>
        <w:spacing w:line="360" w:lineRule="auto"/>
        <w:ind w:firstLine="480"/>
        <w:jc w:val="center"/>
        <w:rPr>
          <w:sz w:val="24"/>
        </w:rPr>
      </w:pPr>
      <w:r>
        <w:rPr>
          <w:rFonts w:hAnsi="宋体"/>
          <w:sz w:val="24"/>
        </w:rPr>
        <w:t>表</w:t>
      </w:r>
      <w:r>
        <w:rPr>
          <w:sz w:val="24"/>
        </w:rPr>
        <w:t>5.2-</w:t>
      </w:r>
      <w:r>
        <w:rPr>
          <w:rFonts w:hint="eastAsia"/>
          <w:sz w:val="24"/>
        </w:rPr>
        <w:t>2</w:t>
      </w:r>
      <w:r>
        <w:rPr>
          <w:rFonts w:hAnsi="宋体"/>
          <w:sz w:val="24"/>
        </w:rPr>
        <w:t xml:space="preserve">　废气正常外排情况下污染物下风向轴线浓度预测结果表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547"/>
        <w:gridCol w:w="1396"/>
        <w:gridCol w:w="993"/>
        <w:gridCol w:w="1417"/>
        <w:gridCol w:w="1134"/>
        <w:gridCol w:w="1378"/>
        <w:gridCol w:w="1081"/>
      </w:tblGrid>
      <w:tr w:rsidR="00475650">
        <w:trPr>
          <w:trHeight w:hRule="exact" w:val="502"/>
          <w:tblHeader/>
        </w:trPr>
        <w:tc>
          <w:tcPr>
            <w:tcW w:w="1547" w:type="dxa"/>
            <w:vMerge w:val="restart"/>
            <w:tcMar>
              <w:top w:w="28" w:type="dxa"/>
              <w:bottom w:w="28" w:type="dxa"/>
            </w:tcMar>
            <w:vAlign w:val="center"/>
          </w:tcPr>
          <w:p w:rsidR="00475650" w:rsidRDefault="00475650" w:rsidP="00BD74CB">
            <w:pPr>
              <w:snapToGrid w:val="0"/>
              <w:spacing w:beforeLines="20" w:afterLines="20" w:line="240" w:lineRule="exact"/>
              <w:jc w:val="center"/>
              <w:rPr>
                <w:szCs w:val="21"/>
              </w:rPr>
            </w:pPr>
            <w:r>
              <w:rPr>
                <w:rFonts w:hAnsi="宋体" w:hint="eastAsia"/>
                <w:szCs w:val="21"/>
              </w:rPr>
              <w:t>距离</w:t>
            </w:r>
          </w:p>
        </w:tc>
        <w:tc>
          <w:tcPr>
            <w:tcW w:w="7399" w:type="dxa"/>
            <w:gridSpan w:val="6"/>
            <w:tcBorders>
              <w:bottom w:val="single" w:sz="4" w:space="0" w:color="auto"/>
            </w:tcBorders>
            <w:tcMar>
              <w:top w:w="28" w:type="dxa"/>
              <w:bottom w:w="28" w:type="dxa"/>
            </w:tcMar>
            <w:vAlign w:val="center"/>
          </w:tcPr>
          <w:p w:rsidR="00475650" w:rsidRDefault="00475650" w:rsidP="00BD74CB">
            <w:pPr>
              <w:snapToGrid w:val="0"/>
              <w:spacing w:beforeLines="20" w:afterLines="20" w:line="240" w:lineRule="exact"/>
              <w:jc w:val="center"/>
              <w:rPr>
                <w:rFonts w:hAnsi="宋体"/>
                <w:szCs w:val="21"/>
              </w:rPr>
            </w:pPr>
            <w:r>
              <w:rPr>
                <w:rFonts w:hint="eastAsia"/>
                <w:szCs w:val="21"/>
              </w:rPr>
              <w:t>污染因子</w:t>
            </w:r>
          </w:p>
        </w:tc>
      </w:tr>
      <w:tr w:rsidR="00475650">
        <w:trPr>
          <w:trHeight w:hRule="exact" w:val="506"/>
          <w:tblHeader/>
        </w:trPr>
        <w:tc>
          <w:tcPr>
            <w:tcW w:w="1547" w:type="dxa"/>
            <w:vMerge/>
            <w:tcMar>
              <w:top w:w="28" w:type="dxa"/>
              <w:bottom w:w="28" w:type="dxa"/>
            </w:tcMar>
            <w:vAlign w:val="center"/>
          </w:tcPr>
          <w:p w:rsidR="00475650" w:rsidRDefault="00475650" w:rsidP="00BD74CB">
            <w:pPr>
              <w:snapToGrid w:val="0"/>
              <w:spacing w:beforeLines="20" w:afterLines="20" w:line="240" w:lineRule="exact"/>
              <w:jc w:val="center"/>
              <w:rPr>
                <w:rFonts w:hAnsi="宋体"/>
                <w:szCs w:val="21"/>
              </w:rPr>
            </w:pPr>
          </w:p>
        </w:tc>
        <w:tc>
          <w:tcPr>
            <w:tcW w:w="2389" w:type="dxa"/>
            <w:gridSpan w:val="2"/>
            <w:tcBorders>
              <w:top w:val="single" w:sz="4" w:space="0" w:color="auto"/>
            </w:tcBorders>
            <w:tcMar>
              <w:top w:w="28" w:type="dxa"/>
              <w:bottom w:w="28" w:type="dxa"/>
            </w:tcMar>
            <w:vAlign w:val="center"/>
          </w:tcPr>
          <w:p w:rsidR="00475650" w:rsidRDefault="00475650" w:rsidP="00BD74CB">
            <w:pPr>
              <w:snapToGrid w:val="0"/>
              <w:spacing w:beforeLines="20" w:afterLines="20" w:line="240" w:lineRule="exact"/>
              <w:jc w:val="center"/>
              <w:rPr>
                <w:szCs w:val="21"/>
              </w:rPr>
            </w:pPr>
            <w:r>
              <w:rPr>
                <w:rFonts w:hAnsi="宋体" w:hint="eastAsia"/>
                <w:szCs w:val="21"/>
              </w:rPr>
              <w:t>氯化氢</w:t>
            </w:r>
          </w:p>
        </w:tc>
        <w:tc>
          <w:tcPr>
            <w:tcW w:w="2551" w:type="dxa"/>
            <w:gridSpan w:val="2"/>
            <w:tcBorders>
              <w:top w:val="single" w:sz="4" w:space="0" w:color="auto"/>
            </w:tcBorders>
            <w:vAlign w:val="center"/>
          </w:tcPr>
          <w:p w:rsidR="00475650" w:rsidRDefault="00475650" w:rsidP="00BD74CB">
            <w:pPr>
              <w:snapToGrid w:val="0"/>
              <w:spacing w:beforeLines="20" w:afterLines="20" w:line="240" w:lineRule="exact"/>
              <w:jc w:val="center"/>
              <w:rPr>
                <w:szCs w:val="21"/>
              </w:rPr>
            </w:pPr>
            <w:r>
              <w:rPr>
                <w:rFonts w:hAnsi="宋体" w:hint="eastAsia"/>
                <w:szCs w:val="21"/>
              </w:rPr>
              <w:t>氨气</w:t>
            </w:r>
          </w:p>
        </w:tc>
        <w:tc>
          <w:tcPr>
            <w:tcW w:w="2459" w:type="dxa"/>
            <w:gridSpan w:val="2"/>
            <w:tcBorders>
              <w:top w:val="single" w:sz="4" w:space="0" w:color="auto"/>
            </w:tcBorders>
            <w:vAlign w:val="center"/>
          </w:tcPr>
          <w:p w:rsidR="00475650" w:rsidRDefault="00475650" w:rsidP="00BD74CB">
            <w:pPr>
              <w:snapToGrid w:val="0"/>
              <w:spacing w:beforeLines="20" w:afterLines="20" w:line="240" w:lineRule="exact"/>
              <w:jc w:val="center"/>
              <w:rPr>
                <w:rFonts w:hAnsi="宋体"/>
                <w:szCs w:val="21"/>
              </w:rPr>
            </w:pPr>
            <w:r>
              <w:rPr>
                <w:rFonts w:hAnsi="宋体" w:hint="eastAsia"/>
                <w:szCs w:val="21"/>
              </w:rPr>
              <w:t>粉尘</w:t>
            </w:r>
          </w:p>
        </w:tc>
      </w:tr>
      <w:tr w:rsidR="00475650">
        <w:trPr>
          <w:trHeight w:hRule="exact" w:val="676"/>
          <w:tblHeader/>
        </w:trPr>
        <w:tc>
          <w:tcPr>
            <w:tcW w:w="1547" w:type="dxa"/>
            <w:tcMar>
              <w:top w:w="28" w:type="dxa"/>
              <w:bottom w:w="28" w:type="dxa"/>
            </w:tcMar>
            <w:vAlign w:val="center"/>
          </w:tcPr>
          <w:p w:rsidR="00475650" w:rsidRDefault="00475650" w:rsidP="00BD74CB">
            <w:pPr>
              <w:snapToGrid w:val="0"/>
              <w:spacing w:beforeLines="20" w:afterLines="20" w:line="240" w:lineRule="exact"/>
              <w:jc w:val="center"/>
              <w:rPr>
                <w:szCs w:val="21"/>
              </w:rPr>
            </w:pPr>
            <w:r>
              <w:rPr>
                <w:rFonts w:hAnsi="宋体"/>
                <w:szCs w:val="21"/>
              </w:rPr>
              <w:t>下风向轴线距离</w:t>
            </w:r>
            <w:r>
              <w:rPr>
                <w:szCs w:val="21"/>
              </w:rPr>
              <w:t>(m)</w:t>
            </w:r>
          </w:p>
        </w:tc>
        <w:tc>
          <w:tcPr>
            <w:tcW w:w="1396" w:type="dxa"/>
            <w:tcMar>
              <w:top w:w="28" w:type="dxa"/>
              <w:bottom w:w="28" w:type="dxa"/>
            </w:tcMar>
            <w:vAlign w:val="center"/>
          </w:tcPr>
          <w:p w:rsidR="00475650" w:rsidRDefault="00475650" w:rsidP="00BD74CB">
            <w:pPr>
              <w:snapToGrid w:val="0"/>
              <w:spacing w:beforeLines="20" w:afterLines="20" w:line="240" w:lineRule="exact"/>
              <w:jc w:val="center"/>
              <w:rPr>
                <w:szCs w:val="21"/>
              </w:rPr>
            </w:pPr>
            <w:r>
              <w:rPr>
                <w:rFonts w:hAnsi="宋体"/>
                <w:szCs w:val="21"/>
              </w:rPr>
              <w:t>小时浓度贡献值</w:t>
            </w:r>
            <w:r>
              <w:rPr>
                <w:szCs w:val="21"/>
              </w:rPr>
              <w:t>(ug/m</w:t>
            </w:r>
            <w:r>
              <w:rPr>
                <w:szCs w:val="21"/>
                <w:vertAlign w:val="superscript"/>
              </w:rPr>
              <w:t>3</w:t>
            </w:r>
            <w:r>
              <w:rPr>
                <w:szCs w:val="21"/>
              </w:rPr>
              <w:t>)</w:t>
            </w:r>
          </w:p>
        </w:tc>
        <w:tc>
          <w:tcPr>
            <w:tcW w:w="993" w:type="dxa"/>
            <w:vAlign w:val="center"/>
          </w:tcPr>
          <w:p w:rsidR="00475650" w:rsidRDefault="00475650" w:rsidP="00BD74CB">
            <w:pPr>
              <w:snapToGrid w:val="0"/>
              <w:spacing w:beforeLines="20" w:afterLines="20" w:line="240" w:lineRule="exact"/>
              <w:jc w:val="center"/>
              <w:rPr>
                <w:szCs w:val="21"/>
              </w:rPr>
            </w:pPr>
            <w:r>
              <w:rPr>
                <w:rFonts w:hAnsi="宋体"/>
                <w:szCs w:val="21"/>
              </w:rPr>
              <w:t>占标率</w:t>
            </w:r>
            <w:r>
              <w:rPr>
                <w:szCs w:val="21"/>
              </w:rPr>
              <w:t>(%)</w:t>
            </w:r>
          </w:p>
        </w:tc>
        <w:tc>
          <w:tcPr>
            <w:tcW w:w="1417" w:type="dxa"/>
            <w:vAlign w:val="center"/>
          </w:tcPr>
          <w:p w:rsidR="00475650" w:rsidRDefault="00475650" w:rsidP="00BD74CB">
            <w:pPr>
              <w:snapToGrid w:val="0"/>
              <w:spacing w:beforeLines="20" w:afterLines="20" w:line="240" w:lineRule="exact"/>
              <w:jc w:val="center"/>
              <w:rPr>
                <w:szCs w:val="21"/>
              </w:rPr>
            </w:pPr>
            <w:r>
              <w:rPr>
                <w:rFonts w:hAnsi="宋体"/>
                <w:szCs w:val="21"/>
              </w:rPr>
              <w:t>小时浓度贡献值</w:t>
            </w:r>
            <w:r>
              <w:rPr>
                <w:szCs w:val="21"/>
              </w:rPr>
              <w:t>(ug/m</w:t>
            </w:r>
            <w:r>
              <w:rPr>
                <w:szCs w:val="21"/>
                <w:vertAlign w:val="superscript"/>
              </w:rPr>
              <w:t>3</w:t>
            </w:r>
            <w:r>
              <w:rPr>
                <w:szCs w:val="21"/>
              </w:rPr>
              <w:t>)</w:t>
            </w:r>
          </w:p>
        </w:tc>
        <w:tc>
          <w:tcPr>
            <w:tcW w:w="1134" w:type="dxa"/>
            <w:tcMar>
              <w:top w:w="28" w:type="dxa"/>
              <w:bottom w:w="28" w:type="dxa"/>
            </w:tcMar>
            <w:vAlign w:val="center"/>
          </w:tcPr>
          <w:p w:rsidR="00475650" w:rsidRDefault="00475650" w:rsidP="00BD74CB">
            <w:pPr>
              <w:snapToGrid w:val="0"/>
              <w:spacing w:beforeLines="20" w:afterLines="20" w:line="240" w:lineRule="exact"/>
              <w:jc w:val="center"/>
              <w:rPr>
                <w:szCs w:val="21"/>
              </w:rPr>
            </w:pPr>
            <w:r>
              <w:rPr>
                <w:rFonts w:hAnsi="宋体"/>
                <w:szCs w:val="21"/>
              </w:rPr>
              <w:t>占标率</w:t>
            </w:r>
            <w:r>
              <w:rPr>
                <w:szCs w:val="21"/>
              </w:rPr>
              <w:t>(%)</w:t>
            </w:r>
          </w:p>
        </w:tc>
        <w:tc>
          <w:tcPr>
            <w:tcW w:w="1378" w:type="dxa"/>
            <w:tcBorders>
              <w:right w:val="single" w:sz="4" w:space="0" w:color="auto"/>
            </w:tcBorders>
            <w:vAlign w:val="center"/>
          </w:tcPr>
          <w:p w:rsidR="00475650" w:rsidRDefault="00475650" w:rsidP="00BD74CB">
            <w:pPr>
              <w:snapToGrid w:val="0"/>
              <w:spacing w:beforeLines="20" w:afterLines="20" w:line="240" w:lineRule="exact"/>
              <w:jc w:val="center"/>
              <w:rPr>
                <w:szCs w:val="21"/>
              </w:rPr>
            </w:pPr>
            <w:r>
              <w:rPr>
                <w:rFonts w:hAnsi="宋体"/>
                <w:szCs w:val="21"/>
              </w:rPr>
              <w:t>小时浓度贡献值</w:t>
            </w:r>
            <w:r>
              <w:rPr>
                <w:szCs w:val="21"/>
              </w:rPr>
              <w:t>(ug/m</w:t>
            </w:r>
            <w:r>
              <w:rPr>
                <w:szCs w:val="21"/>
                <w:vertAlign w:val="superscript"/>
              </w:rPr>
              <w:t>3</w:t>
            </w:r>
            <w:r>
              <w:rPr>
                <w:szCs w:val="21"/>
              </w:rPr>
              <w:t>)</w:t>
            </w:r>
          </w:p>
        </w:tc>
        <w:tc>
          <w:tcPr>
            <w:tcW w:w="1081" w:type="dxa"/>
            <w:tcBorders>
              <w:left w:val="single" w:sz="4" w:space="0" w:color="auto"/>
            </w:tcBorders>
            <w:vAlign w:val="center"/>
          </w:tcPr>
          <w:p w:rsidR="00475650" w:rsidRDefault="00475650" w:rsidP="00BD74CB">
            <w:pPr>
              <w:snapToGrid w:val="0"/>
              <w:spacing w:beforeLines="20" w:afterLines="20" w:line="240" w:lineRule="exact"/>
              <w:jc w:val="center"/>
              <w:rPr>
                <w:szCs w:val="21"/>
              </w:rPr>
            </w:pPr>
            <w:r>
              <w:rPr>
                <w:rFonts w:hAnsi="宋体"/>
                <w:szCs w:val="21"/>
              </w:rPr>
              <w:t>占标率</w:t>
            </w:r>
            <w:r>
              <w:rPr>
                <w:szCs w:val="21"/>
              </w:rPr>
              <w:t>(%)</w:t>
            </w:r>
          </w:p>
        </w:tc>
      </w:tr>
      <w:tr w:rsidR="00475650">
        <w:trPr>
          <w:trHeight w:hRule="exact" w:val="312"/>
        </w:trPr>
        <w:tc>
          <w:tcPr>
            <w:tcW w:w="1547" w:type="dxa"/>
            <w:tcMar>
              <w:top w:w="28" w:type="dxa"/>
              <w:bottom w:w="28" w:type="dxa"/>
            </w:tcMar>
            <w:vAlign w:val="center"/>
          </w:tcPr>
          <w:p w:rsidR="00475650" w:rsidRDefault="00475650">
            <w:pPr>
              <w:jc w:val="center"/>
              <w:rPr>
                <w:szCs w:val="21"/>
              </w:rPr>
            </w:pPr>
            <w:r>
              <w:rPr>
                <w:szCs w:val="21"/>
              </w:rPr>
              <w:t>100</w:t>
            </w:r>
          </w:p>
        </w:tc>
        <w:tc>
          <w:tcPr>
            <w:tcW w:w="1396" w:type="dxa"/>
            <w:tcMar>
              <w:top w:w="28" w:type="dxa"/>
              <w:bottom w:w="28" w:type="dxa"/>
            </w:tcMar>
            <w:vAlign w:val="bottom"/>
          </w:tcPr>
          <w:p w:rsidR="00475650" w:rsidRDefault="00475650">
            <w:pPr>
              <w:jc w:val="center"/>
              <w:rPr>
                <w:szCs w:val="21"/>
              </w:rPr>
            </w:pPr>
            <w:r>
              <w:rPr>
                <w:szCs w:val="21"/>
              </w:rPr>
              <w:t xml:space="preserve">1.894 </w:t>
            </w:r>
          </w:p>
        </w:tc>
        <w:tc>
          <w:tcPr>
            <w:tcW w:w="993" w:type="dxa"/>
            <w:vAlign w:val="bottom"/>
          </w:tcPr>
          <w:p w:rsidR="00475650" w:rsidRDefault="00475650">
            <w:pPr>
              <w:jc w:val="center"/>
              <w:rPr>
                <w:szCs w:val="21"/>
              </w:rPr>
            </w:pPr>
            <w:r>
              <w:rPr>
                <w:szCs w:val="21"/>
              </w:rPr>
              <w:t xml:space="preserve">3.788 </w:t>
            </w:r>
          </w:p>
        </w:tc>
        <w:tc>
          <w:tcPr>
            <w:tcW w:w="1417" w:type="dxa"/>
            <w:vAlign w:val="bottom"/>
          </w:tcPr>
          <w:p w:rsidR="00475650" w:rsidRDefault="00475650">
            <w:pPr>
              <w:jc w:val="center"/>
              <w:rPr>
                <w:szCs w:val="21"/>
              </w:rPr>
            </w:pPr>
            <w:r>
              <w:rPr>
                <w:szCs w:val="21"/>
              </w:rPr>
              <w:t xml:space="preserve">0.674 </w:t>
            </w:r>
          </w:p>
        </w:tc>
        <w:tc>
          <w:tcPr>
            <w:tcW w:w="1134" w:type="dxa"/>
            <w:tcMar>
              <w:top w:w="28" w:type="dxa"/>
              <w:bottom w:w="28" w:type="dxa"/>
            </w:tcMar>
            <w:vAlign w:val="bottom"/>
          </w:tcPr>
          <w:p w:rsidR="00475650" w:rsidRDefault="00475650">
            <w:pPr>
              <w:jc w:val="center"/>
              <w:rPr>
                <w:sz w:val="24"/>
              </w:rPr>
            </w:pPr>
            <w:r>
              <w:t xml:space="preserve">0.337 </w:t>
            </w:r>
          </w:p>
        </w:tc>
        <w:tc>
          <w:tcPr>
            <w:tcW w:w="1378" w:type="dxa"/>
            <w:tcBorders>
              <w:right w:val="single" w:sz="4" w:space="0" w:color="auto"/>
            </w:tcBorders>
            <w:vAlign w:val="bottom"/>
          </w:tcPr>
          <w:p w:rsidR="00475650" w:rsidRDefault="00475650">
            <w:pPr>
              <w:jc w:val="center"/>
              <w:rPr>
                <w:szCs w:val="21"/>
              </w:rPr>
            </w:pPr>
            <w:r>
              <w:rPr>
                <w:szCs w:val="21"/>
              </w:rPr>
              <w:t xml:space="preserve">2.966 </w:t>
            </w:r>
          </w:p>
        </w:tc>
        <w:tc>
          <w:tcPr>
            <w:tcW w:w="1081" w:type="dxa"/>
            <w:tcBorders>
              <w:left w:val="single" w:sz="4" w:space="0" w:color="auto"/>
            </w:tcBorders>
            <w:vAlign w:val="bottom"/>
          </w:tcPr>
          <w:p w:rsidR="00475650" w:rsidRDefault="00475650">
            <w:pPr>
              <w:jc w:val="center"/>
              <w:rPr>
                <w:szCs w:val="21"/>
              </w:rPr>
            </w:pPr>
            <w:r>
              <w:rPr>
                <w:szCs w:val="21"/>
              </w:rPr>
              <w:t xml:space="preserve">0.659 </w:t>
            </w:r>
          </w:p>
        </w:tc>
      </w:tr>
      <w:tr w:rsidR="00475650">
        <w:trPr>
          <w:trHeight w:hRule="exact" w:val="312"/>
        </w:trPr>
        <w:tc>
          <w:tcPr>
            <w:tcW w:w="1547" w:type="dxa"/>
            <w:tcMar>
              <w:top w:w="28" w:type="dxa"/>
              <w:bottom w:w="28" w:type="dxa"/>
            </w:tcMar>
            <w:vAlign w:val="center"/>
          </w:tcPr>
          <w:p w:rsidR="00475650" w:rsidRDefault="00475650">
            <w:pPr>
              <w:jc w:val="center"/>
              <w:rPr>
                <w:szCs w:val="21"/>
              </w:rPr>
            </w:pPr>
            <w:r>
              <w:rPr>
                <w:szCs w:val="21"/>
              </w:rPr>
              <w:t>200</w:t>
            </w:r>
          </w:p>
        </w:tc>
        <w:tc>
          <w:tcPr>
            <w:tcW w:w="1396" w:type="dxa"/>
            <w:tcMar>
              <w:top w:w="28" w:type="dxa"/>
              <w:bottom w:w="28" w:type="dxa"/>
            </w:tcMar>
            <w:vAlign w:val="bottom"/>
          </w:tcPr>
          <w:p w:rsidR="00475650" w:rsidRDefault="00475650">
            <w:pPr>
              <w:jc w:val="center"/>
              <w:rPr>
                <w:szCs w:val="21"/>
              </w:rPr>
            </w:pPr>
            <w:r>
              <w:rPr>
                <w:szCs w:val="21"/>
              </w:rPr>
              <w:t xml:space="preserve">2.318 </w:t>
            </w:r>
          </w:p>
        </w:tc>
        <w:tc>
          <w:tcPr>
            <w:tcW w:w="993" w:type="dxa"/>
            <w:vAlign w:val="bottom"/>
          </w:tcPr>
          <w:p w:rsidR="00475650" w:rsidRDefault="00475650">
            <w:pPr>
              <w:jc w:val="center"/>
              <w:rPr>
                <w:szCs w:val="21"/>
              </w:rPr>
            </w:pPr>
            <w:r>
              <w:rPr>
                <w:szCs w:val="21"/>
              </w:rPr>
              <w:t xml:space="preserve">4.636 </w:t>
            </w:r>
          </w:p>
        </w:tc>
        <w:tc>
          <w:tcPr>
            <w:tcW w:w="1417" w:type="dxa"/>
            <w:vAlign w:val="bottom"/>
          </w:tcPr>
          <w:p w:rsidR="00475650" w:rsidRDefault="00475650">
            <w:pPr>
              <w:jc w:val="center"/>
              <w:rPr>
                <w:szCs w:val="21"/>
              </w:rPr>
            </w:pPr>
            <w:r>
              <w:rPr>
                <w:szCs w:val="21"/>
              </w:rPr>
              <w:t xml:space="preserve">0.825 </w:t>
            </w:r>
          </w:p>
        </w:tc>
        <w:tc>
          <w:tcPr>
            <w:tcW w:w="1134" w:type="dxa"/>
            <w:tcMar>
              <w:top w:w="28" w:type="dxa"/>
              <w:bottom w:w="28" w:type="dxa"/>
            </w:tcMar>
            <w:vAlign w:val="bottom"/>
          </w:tcPr>
          <w:p w:rsidR="00475650" w:rsidRDefault="00475650">
            <w:pPr>
              <w:jc w:val="center"/>
              <w:rPr>
                <w:sz w:val="24"/>
              </w:rPr>
            </w:pPr>
            <w:r>
              <w:t xml:space="preserve">0.412 </w:t>
            </w:r>
          </w:p>
        </w:tc>
        <w:tc>
          <w:tcPr>
            <w:tcW w:w="1378" w:type="dxa"/>
            <w:tcBorders>
              <w:right w:val="single" w:sz="4" w:space="0" w:color="auto"/>
            </w:tcBorders>
            <w:vAlign w:val="bottom"/>
          </w:tcPr>
          <w:p w:rsidR="00475650" w:rsidRDefault="00475650">
            <w:pPr>
              <w:jc w:val="center"/>
              <w:rPr>
                <w:szCs w:val="21"/>
              </w:rPr>
            </w:pPr>
            <w:r>
              <w:rPr>
                <w:szCs w:val="21"/>
              </w:rPr>
              <w:t xml:space="preserve">3.629 </w:t>
            </w:r>
          </w:p>
        </w:tc>
        <w:tc>
          <w:tcPr>
            <w:tcW w:w="1081" w:type="dxa"/>
            <w:tcBorders>
              <w:left w:val="single" w:sz="4" w:space="0" w:color="auto"/>
            </w:tcBorders>
            <w:vAlign w:val="bottom"/>
          </w:tcPr>
          <w:p w:rsidR="00475650" w:rsidRDefault="00475650">
            <w:pPr>
              <w:jc w:val="center"/>
              <w:rPr>
                <w:szCs w:val="21"/>
              </w:rPr>
            </w:pPr>
            <w:r>
              <w:rPr>
                <w:szCs w:val="21"/>
              </w:rPr>
              <w:t xml:space="preserve">0.806 </w:t>
            </w:r>
          </w:p>
        </w:tc>
      </w:tr>
      <w:tr w:rsidR="00475650">
        <w:trPr>
          <w:trHeight w:hRule="exact" w:val="312"/>
        </w:trPr>
        <w:tc>
          <w:tcPr>
            <w:tcW w:w="1547" w:type="dxa"/>
            <w:tcMar>
              <w:top w:w="28" w:type="dxa"/>
              <w:bottom w:w="28" w:type="dxa"/>
            </w:tcMar>
            <w:vAlign w:val="center"/>
          </w:tcPr>
          <w:p w:rsidR="00475650" w:rsidRDefault="00475650">
            <w:pPr>
              <w:jc w:val="center"/>
              <w:rPr>
                <w:szCs w:val="21"/>
              </w:rPr>
            </w:pPr>
            <w:r>
              <w:rPr>
                <w:szCs w:val="21"/>
              </w:rPr>
              <w:t>300</w:t>
            </w:r>
          </w:p>
        </w:tc>
        <w:tc>
          <w:tcPr>
            <w:tcW w:w="1396" w:type="dxa"/>
            <w:tcMar>
              <w:top w:w="28" w:type="dxa"/>
              <w:bottom w:w="28" w:type="dxa"/>
            </w:tcMar>
            <w:vAlign w:val="bottom"/>
          </w:tcPr>
          <w:p w:rsidR="00475650" w:rsidRDefault="00475650">
            <w:pPr>
              <w:jc w:val="center"/>
              <w:rPr>
                <w:szCs w:val="21"/>
              </w:rPr>
            </w:pPr>
            <w:r>
              <w:rPr>
                <w:szCs w:val="21"/>
              </w:rPr>
              <w:t xml:space="preserve">2.453 </w:t>
            </w:r>
          </w:p>
        </w:tc>
        <w:tc>
          <w:tcPr>
            <w:tcW w:w="993" w:type="dxa"/>
            <w:vAlign w:val="bottom"/>
          </w:tcPr>
          <w:p w:rsidR="00475650" w:rsidRDefault="00475650">
            <w:pPr>
              <w:jc w:val="center"/>
              <w:rPr>
                <w:szCs w:val="21"/>
              </w:rPr>
            </w:pPr>
            <w:r>
              <w:rPr>
                <w:szCs w:val="21"/>
              </w:rPr>
              <w:t xml:space="preserve">4.906 </w:t>
            </w:r>
          </w:p>
        </w:tc>
        <w:tc>
          <w:tcPr>
            <w:tcW w:w="1417" w:type="dxa"/>
            <w:vAlign w:val="bottom"/>
          </w:tcPr>
          <w:p w:rsidR="00475650" w:rsidRDefault="00475650">
            <w:pPr>
              <w:jc w:val="center"/>
              <w:rPr>
                <w:szCs w:val="21"/>
              </w:rPr>
            </w:pPr>
            <w:r>
              <w:rPr>
                <w:szCs w:val="21"/>
              </w:rPr>
              <w:t xml:space="preserve">0.873 </w:t>
            </w:r>
          </w:p>
        </w:tc>
        <w:tc>
          <w:tcPr>
            <w:tcW w:w="1134" w:type="dxa"/>
            <w:tcMar>
              <w:top w:w="28" w:type="dxa"/>
              <w:bottom w:w="28" w:type="dxa"/>
            </w:tcMar>
            <w:vAlign w:val="bottom"/>
          </w:tcPr>
          <w:p w:rsidR="00475650" w:rsidRDefault="00475650">
            <w:pPr>
              <w:jc w:val="center"/>
              <w:rPr>
                <w:sz w:val="24"/>
              </w:rPr>
            </w:pPr>
            <w:r>
              <w:t xml:space="preserve">0.437 </w:t>
            </w:r>
          </w:p>
        </w:tc>
        <w:tc>
          <w:tcPr>
            <w:tcW w:w="1378" w:type="dxa"/>
            <w:tcBorders>
              <w:right w:val="single" w:sz="4" w:space="0" w:color="auto"/>
            </w:tcBorders>
            <w:vAlign w:val="bottom"/>
          </w:tcPr>
          <w:p w:rsidR="00475650" w:rsidRDefault="00475650">
            <w:pPr>
              <w:jc w:val="center"/>
              <w:rPr>
                <w:szCs w:val="21"/>
              </w:rPr>
            </w:pPr>
            <w:r>
              <w:rPr>
                <w:szCs w:val="21"/>
              </w:rPr>
              <w:t xml:space="preserve">3.841 </w:t>
            </w:r>
          </w:p>
        </w:tc>
        <w:tc>
          <w:tcPr>
            <w:tcW w:w="1081" w:type="dxa"/>
            <w:tcBorders>
              <w:left w:val="single" w:sz="4" w:space="0" w:color="auto"/>
            </w:tcBorders>
            <w:vAlign w:val="bottom"/>
          </w:tcPr>
          <w:p w:rsidR="00475650" w:rsidRDefault="00475650">
            <w:pPr>
              <w:jc w:val="center"/>
              <w:rPr>
                <w:szCs w:val="21"/>
              </w:rPr>
            </w:pPr>
            <w:r>
              <w:rPr>
                <w:szCs w:val="21"/>
              </w:rPr>
              <w:t xml:space="preserve">0.854 </w:t>
            </w:r>
          </w:p>
        </w:tc>
      </w:tr>
      <w:tr w:rsidR="00475650">
        <w:trPr>
          <w:trHeight w:hRule="exact" w:val="424"/>
        </w:trPr>
        <w:tc>
          <w:tcPr>
            <w:tcW w:w="1547" w:type="dxa"/>
            <w:tcMar>
              <w:top w:w="28" w:type="dxa"/>
              <w:bottom w:w="28" w:type="dxa"/>
            </w:tcMar>
            <w:vAlign w:val="center"/>
          </w:tcPr>
          <w:p w:rsidR="00475650" w:rsidRDefault="00475650">
            <w:pPr>
              <w:jc w:val="center"/>
              <w:rPr>
                <w:szCs w:val="21"/>
              </w:rPr>
            </w:pPr>
            <w:r>
              <w:rPr>
                <w:szCs w:val="21"/>
              </w:rPr>
              <w:t>400</w:t>
            </w:r>
          </w:p>
        </w:tc>
        <w:tc>
          <w:tcPr>
            <w:tcW w:w="1396" w:type="dxa"/>
            <w:tcMar>
              <w:top w:w="28" w:type="dxa"/>
              <w:bottom w:w="28" w:type="dxa"/>
            </w:tcMar>
            <w:vAlign w:val="bottom"/>
          </w:tcPr>
          <w:p w:rsidR="00475650" w:rsidRDefault="00475650">
            <w:pPr>
              <w:jc w:val="center"/>
              <w:rPr>
                <w:szCs w:val="21"/>
              </w:rPr>
            </w:pPr>
            <w:r>
              <w:rPr>
                <w:szCs w:val="21"/>
              </w:rPr>
              <w:t xml:space="preserve">2.337 </w:t>
            </w:r>
          </w:p>
        </w:tc>
        <w:tc>
          <w:tcPr>
            <w:tcW w:w="993" w:type="dxa"/>
            <w:vAlign w:val="bottom"/>
          </w:tcPr>
          <w:p w:rsidR="00475650" w:rsidRDefault="00475650">
            <w:pPr>
              <w:jc w:val="center"/>
              <w:rPr>
                <w:szCs w:val="21"/>
              </w:rPr>
            </w:pPr>
            <w:r>
              <w:rPr>
                <w:szCs w:val="21"/>
              </w:rPr>
              <w:t xml:space="preserve">4.674 </w:t>
            </w:r>
          </w:p>
        </w:tc>
        <w:tc>
          <w:tcPr>
            <w:tcW w:w="1417" w:type="dxa"/>
            <w:vAlign w:val="bottom"/>
          </w:tcPr>
          <w:p w:rsidR="00475650" w:rsidRDefault="00475650">
            <w:pPr>
              <w:jc w:val="center"/>
              <w:rPr>
                <w:szCs w:val="21"/>
              </w:rPr>
            </w:pPr>
            <w:r>
              <w:rPr>
                <w:szCs w:val="21"/>
              </w:rPr>
              <w:t xml:space="preserve">0.832 </w:t>
            </w:r>
          </w:p>
        </w:tc>
        <w:tc>
          <w:tcPr>
            <w:tcW w:w="1134" w:type="dxa"/>
            <w:tcMar>
              <w:top w:w="28" w:type="dxa"/>
              <w:bottom w:w="28" w:type="dxa"/>
            </w:tcMar>
            <w:vAlign w:val="bottom"/>
          </w:tcPr>
          <w:p w:rsidR="00475650" w:rsidRDefault="00475650">
            <w:pPr>
              <w:jc w:val="center"/>
              <w:rPr>
                <w:sz w:val="24"/>
              </w:rPr>
            </w:pPr>
            <w:r>
              <w:t xml:space="preserve">0.416 </w:t>
            </w:r>
          </w:p>
        </w:tc>
        <w:tc>
          <w:tcPr>
            <w:tcW w:w="1378" w:type="dxa"/>
            <w:tcBorders>
              <w:right w:val="single" w:sz="4" w:space="0" w:color="auto"/>
            </w:tcBorders>
            <w:vAlign w:val="bottom"/>
          </w:tcPr>
          <w:p w:rsidR="00475650" w:rsidRDefault="00475650">
            <w:pPr>
              <w:jc w:val="center"/>
              <w:rPr>
                <w:szCs w:val="21"/>
              </w:rPr>
            </w:pPr>
            <w:r>
              <w:rPr>
                <w:szCs w:val="21"/>
              </w:rPr>
              <w:t xml:space="preserve">3.660 </w:t>
            </w:r>
          </w:p>
        </w:tc>
        <w:tc>
          <w:tcPr>
            <w:tcW w:w="1081" w:type="dxa"/>
            <w:tcBorders>
              <w:left w:val="single" w:sz="4" w:space="0" w:color="auto"/>
            </w:tcBorders>
            <w:vAlign w:val="bottom"/>
          </w:tcPr>
          <w:p w:rsidR="00475650" w:rsidRDefault="00475650">
            <w:pPr>
              <w:jc w:val="center"/>
              <w:rPr>
                <w:szCs w:val="21"/>
              </w:rPr>
            </w:pPr>
            <w:r>
              <w:rPr>
                <w:szCs w:val="21"/>
              </w:rPr>
              <w:t xml:space="preserve">0.813 </w:t>
            </w:r>
          </w:p>
        </w:tc>
      </w:tr>
      <w:tr w:rsidR="00475650">
        <w:trPr>
          <w:trHeight w:hRule="exact" w:val="312"/>
        </w:trPr>
        <w:tc>
          <w:tcPr>
            <w:tcW w:w="1547" w:type="dxa"/>
            <w:tcMar>
              <w:top w:w="28" w:type="dxa"/>
              <w:bottom w:w="28" w:type="dxa"/>
            </w:tcMar>
            <w:vAlign w:val="center"/>
          </w:tcPr>
          <w:p w:rsidR="00475650" w:rsidRDefault="00475650">
            <w:pPr>
              <w:jc w:val="center"/>
              <w:rPr>
                <w:szCs w:val="21"/>
              </w:rPr>
            </w:pPr>
            <w:r>
              <w:rPr>
                <w:szCs w:val="21"/>
              </w:rPr>
              <w:t>500</w:t>
            </w:r>
          </w:p>
        </w:tc>
        <w:tc>
          <w:tcPr>
            <w:tcW w:w="1396" w:type="dxa"/>
            <w:tcMar>
              <w:top w:w="28" w:type="dxa"/>
              <w:bottom w:w="28" w:type="dxa"/>
            </w:tcMar>
            <w:vAlign w:val="bottom"/>
          </w:tcPr>
          <w:p w:rsidR="00475650" w:rsidRDefault="00475650">
            <w:pPr>
              <w:jc w:val="center"/>
              <w:rPr>
                <w:szCs w:val="21"/>
              </w:rPr>
            </w:pPr>
            <w:r>
              <w:rPr>
                <w:szCs w:val="21"/>
              </w:rPr>
              <w:t xml:space="preserve">2.229 </w:t>
            </w:r>
          </w:p>
        </w:tc>
        <w:tc>
          <w:tcPr>
            <w:tcW w:w="993" w:type="dxa"/>
            <w:vAlign w:val="bottom"/>
          </w:tcPr>
          <w:p w:rsidR="00475650" w:rsidRDefault="00475650">
            <w:pPr>
              <w:jc w:val="center"/>
              <w:rPr>
                <w:szCs w:val="21"/>
              </w:rPr>
            </w:pPr>
            <w:r>
              <w:rPr>
                <w:szCs w:val="21"/>
              </w:rPr>
              <w:t xml:space="preserve">4.458 </w:t>
            </w:r>
          </w:p>
        </w:tc>
        <w:tc>
          <w:tcPr>
            <w:tcW w:w="1417" w:type="dxa"/>
            <w:vAlign w:val="bottom"/>
          </w:tcPr>
          <w:p w:rsidR="00475650" w:rsidRDefault="00475650">
            <w:pPr>
              <w:jc w:val="center"/>
              <w:rPr>
                <w:szCs w:val="21"/>
              </w:rPr>
            </w:pPr>
            <w:r>
              <w:rPr>
                <w:szCs w:val="21"/>
              </w:rPr>
              <w:t xml:space="preserve">0.793 </w:t>
            </w:r>
          </w:p>
        </w:tc>
        <w:tc>
          <w:tcPr>
            <w:tcW w:w="1134" w:type="dxa"/>
            <w:tcMar>
              <w:top w:w="28" w:type="dxa"/>
              <w:bottom w:w="28" w:type="dxa"/>
            </w:tcMar>
            <w:vAlign w:val="bottom"/>
          </w:tcPr>
          <w:p w:rsidR="00475650" w:rsidRDefault="00475650">
            <w:pPr>
              <w:jc w:val="center"/>
              <w:rPr>
                <w:sz w:val="24"/>
              </w:rPr>
            </w:pPr>
            <w:r>
              <w:t xml:space="preserve">0.397 </w:t>
            </w:r>
          </w:p>
        </w:tc>
        <w:tc>
          <w:tcPr>
            <w:tcW w:w="1378" w:type="dxa"/>
            <w:tcBorders>
              <w:right w:val="single" w:sz="4" w:space="0" w:color="auto"/>
            </w:tcBorders>
            <w:vAlign w:val="bottom"/>
          </w:tcPr>
          <w:p w:rsidR="00475650" w:rsidRDefault="00475650">
            <w:pPr>
              <w:jc w:val="center"/>
              <w:rPr>
                <w:szCs w:val="21"/>
              </w:rPr>
            </w:pPr>
            <w:r>
              <w:rPr>
                <w:szCs w:val="21"/>
              </w:rPr>
              <w:t xml:space="preserve">3.490 </w:t>
            </w:r>
          </w:p>
        </w:tc>
        <w:tc>
          <w:tcPr>
            <w:tcW w:w="1081" w:type="dxa"/>
            <w:tcBorders>
              <w:left w:val="single" w:sz="4" w:space="0" w:color="auto"/>
            </w:tcBorders>
            <w:vAlign w:val="bottom"/>
          </w:tcPr>
          <w:p w:rsidR="00475650" w:rsidRDefault="00475650">
            <w:pPr>
              <w:jc w:val="center"/>
              <w:rPr>
                <w:szCs w:val="21"/>
              </w:rPr>
            </w:pPr>
            <w:r>
              <w:rPr>
                <w:szCs w:val="21"/>
              </w:rPr>
              <w:t xml:space="preserve">0.776 </w:t>
            </w:r>
          </w:p>
        </w:tc>
      </w:tr>
      <w:tr w:rsidR="00475650">
        <w:trPr>
          <w:trHeight w:hRule="exact" w:val="312"/>
        </w:trPr>
        <w:tc>
          <w:tcPr>
            <w:tcW w:w="1547" w:type="dxa"/>
            <w:tcMar>
              <w:top w:w="28" w:type="dxa"/>
              <w:bottom w:w="28" w:type="dxa"/>
            </w:tcMar>
            <w:vAlign w:val="center"/>
          </w:tcPr>
          <w:p w:rsidR="00475650" w:rsidRDefault="00475650">
            <w:pPr>
              <w:jc w:val="center"/>
              <w:rPr>
                <w:szCs w:val="21"/>
              </w:rPr>
            </w:pPr>
            <w:r>
              <w:rPr>
                <w:szCs w:val="21"/>
              </w:rPr>
              <w:t>600</w:t>
            </w:r>
          </w:p>
        </w:tc>
        <w:tc>
          <w:tcPr>
            <w:tcW w:w="1396" w:type="dxa"/>
            <w:tcMar>
              <w:top w:w="28" w:type="dxa"/>
              <w:bottom w:w="28" w:type="dxa"/>
            </w:tcMar>
            <w:vAlign w:val="bottom"/>
          </w:tcPr>
          <w:p w:rsidR="00475650" w:rsidRDefault="00475650">
            <w:pPr>
              <w:jc w:val="center"/>
              <w:rPr>
                <w:szCs w:val="21"/>
              </w:rPr>
            </w:pPr>
            <w:r>
              <w:rPr>
                <w:szCs w:val="21"/>
              </w:rPr>
              <w:t xml:space="preserve">2.082 </w:t>
            </w:r>
          </w:p>
        </w:tc>
        <w:tc>
          <w:tcPr>
            <w:tcW w:w="993" w:type="dxa"/>
            <w:vAlign w:val="bottom"/>
          </w:tcPr>
          <w:p w:rsidR="00475650" w:rsidRDefault="00475650">
            <w:pPr>
              <w:jc w:val="center"/>
              <w:rPr>
                <w:szCs w:val="21"/>
              </w:rPr>
            </w:pPr>
            <w:r>
              <w:rPr>
                <w:szCs w:val="21"/>
              </w:rPr>
              <w:t xml:space="preserve">4.164 </w:t>
            </w:r>
          </w:p>
        </w:tc>
        <w:tc>
          <w:tcPr>
            <w:tcW w:w="1417" w:type="dxa"/>
            <w:vAlign w:val="bottom"/>
          </w:tcPr>
          <w:p w:rsidR="00475650" w:rsidRDefault="00475650">
            <w:pPr>
              <w:jc w:val="center"/>
              <w:rPr>
                <w:szCs w:val="21"/>
              </w:rPr>
            </w:pPr>
            <w:r>
              <w:rPr>
                <w:szCs w:val="21"/>
              </w:rPr>
              <w:t xml:space="preserve">0.741 </w:t>
            </w:r>
          </w:p>
        </w:tc>
        <w:tc>
          <w:tcPr>
            <w:tcW w:w="1134" w:type="dxa"/>
            <w:tcMar>
              <w:top w:w="28" w:type="dxa"/>
              <w:bottom w:w="28" w:type="dxa"/>
            </w:tcMar>
            <w:vAlign w:val="bottom"/>
          </w:tcPr>
          <w:p w:rsidR="00475650" w:rsidRDefault="00475650">
            <w:pPr>
              <w:jc w:val="center"/>
              <w:rPr>
                <w:sz w:val="24"/>
              </w:rPr>
            </w:pPr>
            <w:r>
              <w:t xml:space="preserve">0.371 </w:t>
            </w:r>
          </w:p>
        </w:tc>
        <w:tc>
          <w:tcPr>
            <w:tcW w:w="1378" w:type="dxa"/>
            <w:tcBorders>
              <w:right w:val="single" w:sz="4" w:space="0" w:color="auto"/>
            </w:tcBorders>
            <w:vAlign w:val="bottom"/>
          </w:tcPr>
          <w:p w:rsidR="00475650" w:rsidRDefault="00475650">
            <w:pPr>
              <w:jc w:val="center"/>
              <w:rPr>
                <w:szCs w:val="21"/>
              </w:rPr>
            </w:pPr>
            <w:r>
              <w:rPr>
                <w:szCs w:val="21"/>
              </w:rPr>
              <w:t xml:space="preserve">3.260 </w:t>
            </w:r>
          </w:p>
        </w:tc>
        <w:tc>
          <w:tcPr>
            <w:tcW w:w="1081" w:type="dxa"/>
            <w:tcBorders>
              <w:left w:val="single" w:sz="4" w:space="0" w:color="auto"/>
            </w:tcBorders>
            <w:vAlign w:val="bottom"/>
          </w:tcPr>
          <w:p w:rsidR="00475650" w:rsidRDefault="00475650">
            <w:pPr>
              <w:jc w:val="center"/>
              <w:rPr>
                <w:szCs w:val="21"/>
              </w:rPr>
            </w:pPr>
            <w:r>
              <w:rPr>
                <w:szCs w:val="21"/>
              </w:rPr>
              <w:t xml:space="preserve">0.724 </w:t>
            </w:r>
          </w:p>
        </w:tc>
      </w:tr>
      <w:tr w:rsidR="00475650">
        <w:trPr>
          <w:trHeight w:hRule="exact" w:val="312"/>
        </w:trPr>
        <w:tc>
          <w:tcPr>
            <w:tcW w:w="1547" w:type="dxa"/>
            <w:tcMar>
              <w:top w:w="28" w:type="dxa"/>
              <w:bottom w:w="28" w:type="dxa"/>
            </w:tcMar>
            <w:vAlign w:val="center"/>
          </w:tcPr>
          <w:p w:rsidR="00475650" w:rsidRDefault="00475650">
            <w:pPr>
              <w:jc w:val="center"/>
              <w:rPr>
                <w:szCs w:val="21"/>
              </w:rPr>
            </w:pPr>
            <w:r>
              <w:rPr>
                <w:szCs w:val="21"/>
              </w:rPr>
              <w:t>700</w:t>
            </w:r>
          </w:p>
        </w:tc>
        <w:tc>
          <w:tcPr>
            <w:tcW w:w="1396" w:type="dxa"/>
            <w:tcMar>
              <w:top w:w="28" w:type="dxa"/>
              <w:bottom w:w="28" w:type="dxa"/>
            </w:tcMar>
            <w:vAlign w:val="bottom"/>
          </w:tcPr>
          <w:p w:rsidR="00475650" w:rsidRDefault="00475650">
            <w:pPr>
              <w:jc w:val="center"/>
              <w:rPr>
                <w:szCs w:val="21"/>
              </w:rPr>
            </w:pPr>
            <w:r>
              <w:rPr>
                <w:szCs w:val="21"/>
              </w:rPr>
              <w:t xml:space="preserve">2.145 </w:t>
            </w:r>
          </w:p>
        </w:tc>
        <w:tc>
          <w:tcPr>
            <w:tcW w:w="993" w:type="dxa"/>
            <w:vAlign w:val="bottom"/>
          </w:tcPr>
          <w:p w:rsidR="00475650" w:rsidRDefault="00475650">
            <w:pPr>
              <w:jc w:val="center"/>
              <w:rPr>
                <w:szCs w:val="21"/>
              </w:rPr>
            </w:pPr>
            <w:r>
              <w:rPr>
                <w:szCs w:val="21"/>
              </w:rPr>
              <w:t xml:space="preserve">4.290 </w:t>
            </w:r>
          </w:p>
        </w:tc>
        <w:tc>
          <w:tcPr>
            <w:tcW w:w="1417" w:type="dxa"/>
            <w:vAlign w:val="bottom"/>
          </w:tcPr>
          <w:p w:rsidR="00475650" w:rsidRDefault="00475650">
            <w:pPr>
              <w:jc w:val="center"/>
              <w:rPr>
                <w:szCs w:val="21"/>
              </w:rPr>
            </w:pPr>
            <w:r>
              <w:rPr>
                <w:szCs w:val="21"/>
              </w:rPr>
              <w:t xml:space="preserve">0.763 </w:t>
            </w:r>
          </w:p>
        </w:tc>
        <w:tc>
          <w:tcPr>
            <w:tcW w:w="1134" w:type="dxa"/>
            <w:tcMar>
              <w:top w:w="28" w:type="dxa"/>
              <w:bottom w:w="28" w:type="dxa"/>
            </w:tcMar>
            <w:vAlign w:val="bottom"/>
          </w:tcPr>
          <w:p w:rsidR="00475650" w:rsidRDefault="00475650">
            <w:pPr>
              <w:jc w:val="center"/>
              <w:rPr>
                <w:sz w:val="24"/>
              </w:rPr>
            </w:pPr>
            <w:r>
              <w:t xml:space="preserve">0.382 </w:t>
            </w:r>
          </w:p>
        </w:tc>
        <w:tc>
          <w:tcPr>
            <w:tcW w:w="1378" w:type="dxa"/>
            <w:tcBorders>
              <w:right w:val="single" w:sz="4" w:space="0" w:color="auto"/>
            </w:tcBorders>
            <w:vAlign w:val="bottom"/>
          </w:tcPr>
          <w:p w:rsidR="00475650" w:rsidRDefault="00475650">
            <w:pPr>
              <w:jc w:val="center"/>
              <w:rPr>
                <w:szCs w:val="21"/>
              </w:rPr>
            </w:pPr>
            <w:r>
              <w:rPr>
                <w:szCs w:val="21"/>
              </w:rPr>
              <w:t xml:space="preserve">3.359 </w:t>
            </w:r>
          </w:p>
        </w:tc>
        <w:tc>
          <w:tcPr>
            <w:tcW w:w="1081" w:type="dxa"/>
            <w:tcBorders>
              <w:left w:val="single" w:sz="4" w:space="0" w:color="auto"/>
            </w:tcBorders>
            <w:vAlign w:val="bottom"/>
          </w:tcPr>
          <w:p w:rsidR="00475650" w:rsidRDefault="00475650">
            <w:pPr>
              <w:jc w:val="center"/>
              <w:rPr>
                <w:szCs w:val="21"/>
              </w:rPr>
            </w:pPr>
            <w:r>
              <w:rPr>
                <w:szCs w:val="21"/>
              </w:rPr>
              <w:t xml:space="preserve">0.746 </w:t>
            </w:r>
          </w:p>
        </w:tc>
      </w:tr>
      <w:tr w:rsidR="00475650">
        <w:trPr>
          <w:trHeight w:hRule="exact" w:val="312"/>
        </w:trPr>
        <w:tc>
          <w:tcPr>
            <w:tcW w:w="1547" w:type="dxa"/>
            <w:tcMar>
              <w:top w:w="28" w:type="dxa"/>
              <w:bottom w:w="28" w:type="dxa"/>
            </w:tcMar>
            <w:vAlign w:val="center"/>
          </w:tcPr>
          <w:p w:rsidR="00475650" w:rsidRDefault="00475650">
            <w:pPr>
              <w:jc w:val="center"/>
              <w:rPr>
                <w:szCs w:val="21"/>
              </w:rPr>
            </w:pPr>
            <w:r>
              <w:rPr>
                <w:szCs w:val="21"/>
              </w:rPr>
              <w:t>800</w:t>
            </w:r>
          </w:p>
        </w:tc>
        <w:tc>
          <w:tcPr>
            <w:tcW w:w="1396" w:type="dxa"/>
            <w:tcMar>
              <w:top w:w="28" w:type="dxa"/>
              <w:bottom w:w="28" w:type="dxa"/>
            </w:tcMar>
            <w:vAlign w:val="bottom"/>
          </w:tcPr>
          <w:p w:rsidR="00475650" w:rsidRDefault="00475650">
            <w:pPr>
              <w:jc w:val="center"/>
              <w:rPr>
                <w:szCs w:val="21"/>
              </w:rPr>
            </w:pPr>
            <w:r>
              <w:rPr>
                <w:szCs w:val="21"/>
              </w:rPr>
              <w:t xml:space="preserve">2.329 </w:t>
            </w:r>
          </w:p>
        </w:tc>
        <w:tc>
          <w:tcPr>
            <w:tcW w:w="993" w:type="dxa"/>
            <w:vAlign w:val="bottom"/>
          </w:tcPr>
          <w:p w:rsidR="00475650" w:rsidRDefault="00475650">
            <w:pPr>
              <w:jc w:val="center"/>
              <w:rPr>
                <w:szCs w:val="21"/>
              </w:rPr>
            </w:pPr>
            <w:r>
              <w:rPr>
                <w:szCs w:val="21"/>
              </w:rPr>
              <w:t xml:space="preserve">4.658 </w:t>
            </w:r>
          </w:p>
        </w:tc>
        <w:tc>
          <w:tcPr>
            <w:tcW w:w="1417" w:type="dxa"/>
            <w:vAlign w:val="bottom"/>
          </w:tcPr>
          <w:p w:rsidR="00475650" w:rsidRDefault="00475650">
            <w:pPr>
              <w:jc w:val="center"/>
              <w:rPr>
                <w:szCs w:val="21"/>
              </w:rPr>
            </w:pPr>
            <w:r>
              <w:rPr>
                <w:szCs w:val="21"/>
              </w:rPr>
              <w:t xml:space="preserve">0.829 </w:t>
            </w:r>
          </w:p>
        </w:tc>
        <w:tc>
          <w:tcPr>
            <w:tcW w:w="1134" w:type="dxa"/>
            <w:tcMar>
              <w:top w:w="28" w:type="dxa"/>
              <w:bottom w:w="28" w:type="dxa"/>
            </w:tcMar>
            <w:vAlign w:val="bottom"/>
          </w:tcPr>
          <w:p w:rsidR="00475650" w:rsidRDefault="00475650">
            <w:pPr>
              <w:jc w:val="center"/>
              <w:rPr>
                <w:sz w:val="24"/>
              </w:rPr>
            </w:pPr>
            <w:r>
              <w:t xml:space="preserve">0.414 </w:t>
            </w:r>
          </w:p>
        </w:tc>
        <w:tc>
          <w:tcPr>
            <w:tcW w:w="1378" w:type="dxa"/>
            <w:tcBorders>
              <w:right w:val="single" w:sz="4" w:space="0" w:color="auto"/>
            </w:tcBorders>
            <w:vAlign w:val="bottom"/>
          </w:tcPr>
          <w:p w:rsidR="00475650" w:rsidRDefault="00475650">
            <w:pPr>
              <w:jc w:val="center"/>
              <w:rPr>
                <w:szCs w:val="21"/>
              </w:rPr>
            </w:pPr>
            <w:r>
              <w:rPr>
                <w:szCs w:val="21"/>
              </w:rPr>
              <w:t xml:space="preserve">3.647 </w:t>
            </w:r>
          </w:p>
        </w:tc>
        <w:tc>
          <w:tcPr>
            <w:tcW w:w="1081" w:type="dxa"/>
            <w:tcBorders>
              <w:left w:val="single" w:sz="4" w:space="0" w:color="auto"/>
            </w:tcBorders>
            <w:vAlign w:val="bottom"/>
          </w:tcPr>
          <w:p w:rsidR="00475650" w:rsidRDefault="00475650">
            <w:pPr>
              <w:jc w:val="center"/>
              <w:rPr>
                <w:szCs w:val="21"/>
              </w:rPr>
            </w:pPr>
            <w:r>
              <w:rPr>
                <w:szCs w:val="21"/>
              </w:rPr>
              <w:t xml:space="preserve">0.810 </w:t>
            </w:r>
          </w:p>
        </w:tc>
      </w:tr>
      <w:tr w:rsidR="00475650">
        <w:trPr>
          <w:trHeight w:hRule="exact" w:val="312"/>
        </w:trPr>
        <w:tc>
          <w:tcPr>
            <w:tcW w:w="1547" w:type="dxa"/>
            <w:tcMar>
              <w:top w:w="28" w:type="dxa"/>
              <w:bottom w:w="28" w:type="dxa"/>
            </w:tcMar>
            <w:vAlign w:val="center"/>
          </w:tcPr>
          <w:p w:rsidR="00475650" w:rsidRDefault="00475650">
            <w:pPr>
              <w:jc w:val="center"/>
              <w:rPr>
                <w:szCs w:val="21"/>
              </w:rPr>
            </w:pPr>
            <w:r>
              <w:rPr>
                <w:szCs w:val="21"/>
              </w:rPr>
              <w:t>900</w:t>
            </w:r>
          </w:p>
        </w:tc>
        <w:tc>
          <w:tcPr>
            <w:tcW w:w="1396" w:type="dxa"/>
            <w:tcMar>
              <w:top w:w="28" w:type="dxa"/>
              <w:bottom w:w="28" w:type="dxa"/>
            </w:tcMar>
            <w:vAlign w:val="bottom"/>
          </w:tcPr>
          <w:p w:rsidR="00475650" w:rsidRDefault="00475650">
            <w:pPr>
              <w:jc w:val="center"/>
              <w:rPr>
                <w:szCs w:val="21"/>
              </w:rPr>
            </w:pPr>
            <w:r>
              <w:rPr>
                <w:szCs w:val="21"/>
              </w:rPr>
              <w:t xml:space="preserve">2.404 </w:t>
            </w:r>
          </w:p>
        </w:tc>
        <w:tc>
          <w:tcPr>
            <w:tcW w:w="993" w:type="dxa"/>
            <w:vAlign w:val="bottom"/>
          </w:tcPr>
          <w:p w:rsidR="00475650" w:rsidRDefault="00475650">
            <w:pPr>
              <w:jc w:val="center"/>
              <w:rPr>
                <w:szCs w:val="21"/>
              </w:rPr>
            </w:pPr>
            <w:r>
              <w:rPr>
                <w:szCs w:val="21"/>
              </w:rPr>
              <w:t xml:space="preserve">4.808 </w:t>
            </w:r>
          </w:p>
        </w:tc>
        <w:tc>
          <w:tcPr>
            <w:tcW w:w="1417" w:type="dxa"/>
            <w:vAlign w:val="bottom"/>
          </w:tcPr>
          <w:p w:rsidR="00475650" w:rsidRDefault="00475650">
            <w:pPr>
              <w:jc w:val="center"/>
              <w:rPr>
                <w:szCs w:val="21"/>
              </w:rPr>
            </w:pPr>
            <w:r>
              <w:rPr>
                <w:szCs w:val="21"/>
              </w:rPr>
              <w:t xml:space="preserve">0.855 </w:t>
            </w:r>
          </w:p>
        </w:tc>
        <w:tc>
          <w:tcPr>
            <w:tcW w:w="1134" w:type="dxa"/>
            <w:tcMar>
              <w:top w:w="28" w:type="dxa"/>
              <w:bottom w:w="28" w:type="dxa"/>
            </w:tcMar>
            <w:vAlign w:val="bottom"/>
          </w:tcPr>
          <w:p w:rsidR="00475650" w:rsidRDefault="00475650">
            <w:pPr>
              <w:jc w:val="center"/>
              <w:rPr>
                <w:sz w:val="24"/>
              </w:rPr>
            </w:pPr>
            <w:r>
              <w:t xml:space="preserve">0.428 </w:t>
            </w:r>
          </w:p>
        </w:tc>
        <w:tc>
          <w:tcPr>
            <w:tcW w:w="1378" w:type="dxa"/>
            <w:tcBorders>
              <w:right w:val="single" w:sz="4" w:space="0" w:color="auto"/>
            </w:tcBorders>
            <w:vAlign w:val="bottom"/>
          </w:tcPr>
          <w:p w:rsidR="00475650" w:rsidRDefault="00475650">
            <w:pPr>
              <w:jc w:val="center"/>
              <w:rPr>
                <w:szCs w:val="21"/>
              </w:rPr>
            </w:pPr>
            <w:r>
              <w:rPr>
                <w:szCs w:val="21"/>
              </w:rPr>
              <w:t xml:space="preserve">3.764 </w:t>
            </w:r>
          </w:p>
        </w:tc>
        <w:tc>
          <w:tcPr>
            <w:tcW w:w="1081" w:type="dxa"/>
            <w:tcBorders>
              <w:left w:val="single" w:sz="4" w:space="0" w:color="auto"/>
            </w:tcBorders>
            <w:vAlign w:val="bottom"/>
          </w:tcPr>
          <w:p w:rsidR="00475650" w:rsidRDefault="00475650">
            <w:pPr>
              <w:jc w:val="center"/>
              <w:rPr>
                <w:szCs w:val="21"/>
              </w:rPr>
            </w:pPr>
            <w:r>
              <w:rPr>
                <w:szCs w:val="21"/>
              </w:rPr>
              <w:t xml:space="preserve">0.836 </w:t>
            </w:r>
          </w:p>
        </w:tc>
      </w:tr>
      <w:tr w:rsidR="00475650">
        <w:trPr>
          <w:trHeight w:hRule="exact" w:val="312"/>
        </w:trPr>
        <w:tc>
          <w:tcPr>
            <w:tcW w:w="1547" w:type="dxa"/>
            <w:tcMar>
              <w:top w:w="28" w:type="dxa"/>
              <w:bottom w:w="28" w:type="dxa"/>
            </w:tcMar>
            <w:vAlign w:val="center"/>
          </w:tcPr>
          <w:p w:rsidR="00475650" w:rsidRDefault="00475650">
            <w:pPr>
              <w:jc w:val="center"/>
              <w:rPr>
                <w:szCs w:val="21"/>
              </w:rPr>
            </w:pPr>
            <w:r>
              <w:rPr>
                <w:szCs w:val="21"/>
              </w:rPr>
              <w:t>1000</w:t>
            </w:r>
          </w:p>
        </w:tc>
        <w:tc>
          <w:tcPr>
            <w:tcW w:w="1396" w:type="dxa"/>
            <w:tcMar>
              <w:top w:w="28" w:type="dxa"/>
              <w:bottom w:w="28" w:type="dxa"/>
            </w:tcMar>
            <w:vAlign w:val="bottom"/>
          </w:tcPr>
          <w:p w:rsidR="00475650" w:rsidRDefault="00475650">
            <w:pPr>
              <w:jc w:val="center"/>
              <w:rPr>
                <w:szCs w:val="21"/>
              </w:rPr>
            </w:pPr>
            <w:r>
              <w:rPr>
                <w:szCs w:val="21"/>
              </w:rPr>
              <w:t xml:space="preserve">2.403 </w:t>
            </w:r>
          </w:p>
        </w:tc>
        <w:tc>
          <w:tcPr>
            <w:tcW w:w="993" w:type="dxa"/>
            <w:vAlign w:val="bottom"/>
          </w:tcPr>
          <w:p w:rsidR="00475650" w:rsidRDefault="00475650">
            <w:pPr>
              <w:jc w:val="center"/>
              <w:rPr>
                <w:szCs w:val="21"/>
              </w:rPr>
            </w:pPr>
            <w:r>
              <w:rPr>
                <w:szCs w:val="21"/>
              </w:rPr>
              <w:t xml:space="preserve">4.806 </w:t>
            </w:r>
          </w:p>
        </w:tc>
        <w:tc>
          <w:tcPr>
            <w:tcW w:w="1417" w:type="dxa"/>
            <w:vAlign w:val="bottom"/>
          </w:tcPr>
          <w:p w:rsidR="00475650" w:rsidRDefault="00475650">
            <w:pPr>
              <w:jc w:val="center"/>
              <w:rPr>
                <w:szCs w:val="21"/>
              </w:rPr>
            </w:pPr>
            <w:r>
              <w:rPr>
                <w:szCs w:val="21"/>
              </w:rPr>
              <w:t xml:space="preserve">0.855 </w:t>
            </w:r>
          </w:p>
        </w:tc>
        <w:tc>
          <w:tcPr>
            <w:tcW w:w="1134" w:type="dxa"/>
            <w:tcMar>
              <w:top w:w="28" w:type="dxa"/>
              <w:bottom w:w="28" w:type="dxa"/>
            </w:tcMar>
            <w:vAlign w:val="bottom"/>
          </w:tcPr>
          <w:p w:rsidR="00475650" w:rsidRDefault="00475650">
            <w:pPr>
              <w:jc w:val="center"/>
              <w:rPr>
                <w:sz w:val="24"/>
              </w:rPr>
            </w:pPr>
            <w:r>
              <w:t xml:space="preserve">0.428 </w:t>
            </w:r>
          </w:p>
        </w:tc>
        <w:tc>
          <w:tcPr>
            <w:tcW w:w="1378" w:type="dxa"/>
            <w:tcBorders>
              <w:right w:val="single" w:sz="4" w:space="0" w:color="auto"/>
            </w:tcBorders>
            <w:vAlign w:val="bottom"/>
          </w:tcPr>
          <w:p w:rsidR="00475650" w:rsidRDefault="00475650">
            <w:pPr>
              <w:jc w:val="center"/>
              <w:rPr>
                <w:szCs w:val="21"/>
              </w:rPr>
            </w:pPr>
            <w:r>
              <w:rPr>
                <w:szCs w:val="21"/>
              </w:rPr>
              <w:t xml:space="preserve">3.763 </w:t>
            </w:r>
          </w:p>
        </w:tc>
        <w:tc>
          <w:tcPr>
            <w:tcW w:w="1081" w:type="dxa"/>
            <w:tcBorders>
              <w:left w:val="single" w:sz="4" w:space="0" w:color="auto"/>
            </w:tcBorders>
            <w:vAlign w:val="bottom"/>
          </w:tcPr>
          <w:p w:rsidR="00475650" w:rsidRDefault="00475650">
            <w:pPr>
              <w:jc w:val="center"/>
              <w:rPr>
                <w:szCs w:val="21"/>
              </w:rPr>
            </w:pPr>
            <w:r>
              <w:rPr>
                <w:szCs w:val="21"/>
              </w:rPr>
              <w:t xml:space="preserve">0.836 </w:t>
            </w:r>
          </w:p>
        </w:tc>
      </w:tr>
      <w:tr w:rsidR="00475650">
        <w:trPr>
          <w:trHeight w:hRule="exact" w:val="312"/>
        </w:trPr>
        <w:tc>
          <w:tcPr>
            <w:tcW w:w="1547" w:type="dxa"/>
            <w:tcMar>
              <w:top w:w="28" w:type="dxa"/>
              <w:bottom w:w="28" w:type="dxa"/>
            </w:tcMar>
            <w:vAlign w:val="center"/>
          </w:tcPr>
          <w:p w:rsidR="00475650" w:rsidRDefault="00475650">
            <w:pPr>
              <w:jc w:val="center"/>
              <w:rPr>
                <w:szCs w:val="21"/>
              </w:rPr>
            </w:pPr>
            <w:r>
              <w:rPr>
                <w:szCs w:val="21"/>
              </w:rPr>
              <w:t>1100</w:t>
            </w:r>
          </w:p>
        </w:tc>
        <w:tc>
          <w:tcPr>
            <w:tcW w:w="1396" w:type="dxa"/>
            <w:tcMar>
              <w:top w:w="28" w:type="dxa"/>
              <w:bottom w:w="28" w:type="dxa"/>
            </w:tcMar>
            <w:vAlign w:val="bottom"/>
          </w:tcPr>
          <w:p w:rsidR="00475650" w:rsidRDefault="00475650">
            <w:pPr>
              <w:jc w:val="center"/>
              <w:rPr>
                <w:szCs w:val="21"/>
              </w:rPr>
            </w:pPr>
            <w:r>
              <w:rPr>
                <w:szCs w:val="21"/>
              </w:rPr>
              <w:t xml:space="preserve">2.332 </w:t>
            </w:r>
          </w:p>
        </w:tc>
        <w:tc>
          <w:tcPr>
            <w:tcW w:w="993" w:type="dxa"/>
            <w:vAlign w:val="bottom"/>
          </w:tcPr>
          <w:p w:rsidR="00475650" w:rsidRDefault="00475650">
            <w:pPr>
              <w:jc w:val="center"/>
              <w:rPr>
                <w:szCs w:val="21"/>
              </w:rPr>
            </w:pPr>
            <w:r>
              <w:rPr>
                <w:szCs w:val="21"/>
              </w:rPr>
              <w:t xml:space="preserve">4.664 </w:t>
            </w:r>
          </w:p>
        </w:tc>
        <w:tc>
          <w:tcPr>
            <w:tcW w:w="1417" w:type="dxa"/>
            <w:vAlign w:val="bottom"/>
          </w:tcPr>
          <w:p w:rsidR="00475650" w:rsidRDefault="00475650">
            <w:pPr>
              <w:jc w:val="center"/>
              <w:rPr>
                <w:szCs w:val="21"/>
              </w:rPr>
            </w:pPr>
            <w:r>
              <w:rPr>
                <w:szCs w:val="21"/>
              </w:rPr>
              <w:t xml:space="preserve">0.830 </w:t>
            </w:r>
          </w:p>
        </w:tc>
        <w:tc>
          <w:tcPr>
            <w:tcW w:w="1134" w:type="dxa"/>
            <w:tcMar>
              <w:top w:w="28" w:type="dxa"/>
              <w:bottom w:w="28" w:type="dxa"/>
            </w:tcMar>
            <w:vAlign w:val="bottom"/>
          </w:tcPr>
          <w:p w:rsidR="00475650" w:rsidRDefault="00475650">
            <w:pPr>
              <w:jc w:val="center"/>
              <w:rPr>
                <w:sz w:val="24"/>
              </w:rPr>
            </w:pPr>
            <w:r>
              <w:t xml:space="preserve">0.415 </w:t>
            </w:r>
          </w:p>
        </w:tc>
        <w:tc>
          <w:tcPr>
            <w:tcW w:w="1378" w:type="dxa"/>
            <w:tcBorders>
              <w:right w:val="single" w:sz="4" w:space="0" w:color="auto"/>
            </w:tcBorders>
            <w:vAlign w:val="bottom"/>
          </w:tcPr>
          <w:p w:rsidR="00475650" w:rsidRDefault="00475650">
            <w:pPr>
              <w:jc w:val="center"/>
              <w:rPr>
                <w:szCs w:val="21"/>
              </w:rPr>
            </w:pPr>
            <w:r>
              <w:rPr>
                <w:szCs w:val="21"/>
              </w:rPr>
              <w:t xml:space="preserve">3.652 </w:t>
            </w:r>
          </w:p>
        </w:tc>
        <w:tc>
          <w:tcPr>
            <w:tcW w:w="1081" w:type="dxa"/>
            <w:tcBorders>
              <w:left w:val="single" w:sz="4" w:space="0" w:color="auto"/>
            </w:tcBorders>
            <w:vAlign w:val="bottom"/>
          </w:tcPr>
          <w:p w:rsidR="00475650" w:rsidRDefault="00475650">
            <w:pPr>
              <w:jc w:val="center"/>
              <w:rPr>
                <w:szCs w:val="21"/>
              </w:rPr>
            </w:pPr>
            <w:r>
              <w:rPr>
                <w:szCs w:val="21"/>
              </w:rPr>
              <w:t xml:space="preserve">0.812 </w:t>
            </w:r>
          </w:p>
        </w:tc>
      </w:tr>
      <w:tr w:rsidR="00475650">
        <w:trPr>
          <w:trHeight w:hRule="exact" w:val="376"/>
        </w:trPr>
        <w:tc>
          <w:tcPr>
            <w:tcW w:w="1547" w:type="dxa"/>
            <w:tcMar>
              <w:top w:w="28" w:type="dxa"/>
              <w:bottom w:w="28" w:type="dxa"/>
            </w:tcMar>
            <w:vAlign w:val="center"/>
          </w:tcPr>
          <w:p w:rsidR="00475650" w:rsidRDefault="00475650">
            <w:pPr>
              <w:jc w:val="center"/>
              <w:rPr>
                <w:szCs w:val="21"/>
              </w:rPr>
            </w:pPr>
            <w:r>
              <w:rPr>
                <w:szCs w:val="21"/>
              </w:rPr>
              <w:t>1200</w:t>
            </w:r>
          </w:p>
        </w:tc>
        <w:tc>
          <w:tcPr>
            <w:tcW w:w="1396" w:type="dxa"/>
            <w:tcMar>
              <w:top w:w="28" w:type="dxa"/>
              <w:bottom w:w="28" w:type="dxa"/>
            </w:tcMar>
            <w:vAlign w:val="bottom"/>
          </w:tcPr>
          <w:p w:rsidR="00475650" w:rsidRDefault="00475650">
            <w:pPr>
              <w:jc w:val="center"/>
              <w:rPr>
                <w:szCs w:val="21"/>
              </w:rPr>
            </w:pPr>
            <w:r>
              <w:rPr>
                <w:szCs w:val="21"/>
              </w:rPr>
              <w:t xml:space="preserve">2.250 </w:t>
            </w:r>
          </w:p>
        </w:tc>
        <w:tc>
          <w:tcPr>
            <w:tcW w:w="993" w:type="dxa"/>
            <w:vAlign w:val="bottom"/>
          </w:tcPr>
          <w:p w:rsidR="00475650" w:rsidRDefault="00475650">
            <w:pPr>
              <w:jc w:val="center"/>
              <w:rPr>
                <w:szCs w:val="21"/>
              </w:rPr>
            </w:pPr>
            <w:r>
              <w:rPr>
                <w:szCs w:val="21"/>
              </w:rPr>
              <w:t xml:space="preserve">4.500 </w:t>
            </w:r>
          </w:p>
        </w:tc>
        <w:tc>
          <w:tcPr>
            <w:tcW w:w="1417" w:type="dxa"/>
            <w:vAlign w:val="bottom"/>
          </w:tcPr>
          <w:p w:rsidR="00475650" w:rsidRDefault="00475650">
            <w:pPr>
              <w:jc w:val="center"/>
              <w:rPr>
                <w:szCs w:val="21"/>
              </w:rPr>
            </w:pPr>
            <w:r>
              <w:rPr>
                <w:szCs w:val="21"/>
              </w:rPr>
              <w:t xml:space="preserve">0.801 </w:t>
            </w:r>
          </w:p>
        </w:tc>
        <w:tc>
          <w:tcPr>
            <w:tcW w:w="1134" w:type="dxa"/>
            <w:tcMar>
              <w:top w:w="28" w:type="dxa"/>
              <w:bottom w:w="28" w:type="dxa"/>
            </w:tcMar>
            <w:vAlign w:val="bottom"/>
          </w:tcPr>
          <w:p w:rsidR="00475650" w:rsidRDefault="00475650">
            <w:pPr>
              <w:jc w:val="center"/>
              <w:rPr>
                <w:sz w:val="24"/>
              </w:rPr>
            </w:pPr>
            <w:r>
              <w:t xml:space="preserve">0.400 </w:t>
            </w:r>
          </w:p>
        </w:tc>
        <w:tc>
          <w:tcPr>
            <w:tcW w:w="1378" w:type="dxa"/>
            <w:tcBorders>
              <w:right w:val="single" w:sz="4" w:space="0" w:color="auto"/>
            </w:tcBorders>
            <w:vAlign w:val="bottom"/>
          </w:tcPr>
          <w:p w:rsidR="00475650" w:rsidRDefault="00475650">
            <w:pPr>
              <w:jc w:val="center"/>
              <w:rPr>
                <w:szCs w:val="21"/>
              </w:rPr>
            </w:pPr>
            <w:r>
              <w:rPr>
                <w:szCs w:val="21"/>
              </w:rPr>
              <w:t xml:space="preserve">3.523 </w:t>
            </w:r>
          </w:p>
        </w:tc>
        <w:tc>
          <w:tcPr>
            <w:tcW w:w="1081" w:type="dxa"/>
            <w:tcBorders>
              <w:left w:val="single" w:sz="4" w:space="0" w:color="auto"/>
            </w:tcBorders>
            <w:vAlign w:val="bottom"/>
          </w:tcPr>
          <w:p w:rsidR="00475650" w:rsidRDefault="00475650">
            <w:pPr>
              <w:jc w:val="center"/>
              <w:rPr>
                <w:szCs w:val="21"/>
              </w:rPr>
            </w:pPr>
            <w:r>
              <w:rPr>
                <w:szCs w:val="21"/>
              </w:rPr>
              <w:t xml:space="preserve">0.783 </w:t>
            </w:r>
          </w:p>
        </w:tc>
      </w:tr>
      <w:tr w:rsidR="00475650">
        <w:trPr>
          <w:trHeight w:hRule="exact" w:val="312"/>
        </w:trPr>
        <w:tc>
          <w:tcPr>
            <w:tcW w:w="1547" w:type="dxa"/>
            <w:tcMar>
              <w:top w:w="28" w:type="dxa"/>
              <w:bottom w:w="28" w:type="dxa"/>
            </w:tcMar>
            <w:vAlign w:val="center"/>
          </w:tcPr>
          <w:p w:rsidR="00475650" w:rsidRDefault="00475650">
            <w:pPr>
              <w:jc w:val="center"/>
              <w:rPr>
                <w:szCs w:val="21"/>
              </w:rPr>
            </w:pPr>
            <w:r>
              <w:rPr>
                <w:szCs w:val="21"/>
              </w:rPr>
              <w:t>1300</w:t>
            </w:r>
          </w:p>
        </w:tc>
        <w:tc>
          <w:tcPr>
            <w:tcW w:w="1396" w:type="dxa"/>
            <w:tcMar>
              <w:top w:w="28" w:type="dxa"/>
              <w:bottom w:w="28" w:type="dxa"/>
            </w:tcMar>
            <w:vAlign w:val="bottom"/>
          </w:tcPr>
          <w:p w:rsidR="00475650" w:rsidRDefault="00475650">
            <w:pPr>
              <w:jc w:val="center"/>
              <w:rPr>
                <w:szCs w:val="21"/>
              </w:rPr>
            </w:pPr>
            <w:r>
              <w:rPr>
                <w:szCs w:val="21"/>
              </w:rPr>
              <w:t xml:space="preserve">2.306 </w:t>
            </w:r>
          </w:p>
        </w:tc>
        <w:tc>
          <w:tcPr>
            <w:tcW w:w="993" w:type="dxa"/>
            <w:vAlign w:val="bottom"/>
          </w:tcPr>
          <w:p w:rsidR="00475650" w:rsidRDefault="00475650">
            <w:pPr>
              <w:jc w:val="center"/>
              <w:rPr>
                <w:szCs w:val="21"/>
              </w:rPr>
            </w:pPr>
            <w:r>
              <w:rPr>
                <w:szCs w:val="21"/>
              </w:rPr>
              <w:t xml:space="preserve">4.612 </w:t>
            </w:r>
          </w:p>
        </w:tc>
        <w:tc>
          <w:tcPr>
            <w:tcW w:w="1417" w:type="dxa"/>
            <w:vAlign w:val="bottom"/>
          </w:tcPr>
          <w:p w:rsidR="00475650" w:rsidRDefault="00475650">
            <w:pPr>
              <w:jc w:val="center"/>
              <w:rPr>
                <w:szCs w:val="21"/>
              </w:rPr>
            </w:pPr>
            <w:r>
              <w:rPr>
                <w:szCs w:val="21"/>
              </w:rPr>
              <w:t xml:space="preserve">0.821 </w:t>
            </w:r>
          </w:p>
        </w:tc>
        <w:tc>
          <w:tcPr>
            <w:tcW w:w="1134" w:type="dxa"/>
            <w:tcMar>
              <w:top w:w="28" w:type="dxa"/>
              <w:bottom w:w="28" w:type="dxa"/>
            </w:tcMar>
            <w:vAlign w:val="bottom"/>
          </w:tcPr>
          <w:p w:rsidR="00475650" w:rsidRDefault="00475650">
            <w:pPr>
              <w:jc w:val="center"/>
              <w:rPr>
                <w:sz w:val="24"/>
              </w:rPr>
            </w:pPr>
            <w:r>
              <w:t xml:space="preserve">0.410 </w:t>
            </w:r>
          </w:p>
        </w:tc>
        <w:tc>
          <w:tcPr>
            <w:tcW w:w="1378" w:type="dxa"/>
            <w:tcBorders>
              <w:right w:val="single" w:sz="4" w:space="0" w:color="auto"/>
            </w:tcBorders>
            <w:vAlign w:val="bottom"/>
          </w:tcPr>
          <w:p w:rsidR="00475650" w:rsidRDefault="00475650">
            <w:pPr>
              <w:jc w:val="center"/>
              <w:rPr>
                <w:szCs w:val="21"/>
              </w:rPr>
            </w:pPr>
            <w:r>
              <w:rPr>
                <w:szCs w:val="21"/>
              </w:rPr>
              <w:t xml:space="preserve">3.611 </w:t>
            </w:r>
          </w:p>
        </w:tc>
        <w:tc>
          <w:tcPr>
            <w:tcW w:w="1081" w:type="dxa"/>
            <w:tcBorders>
              <w:left w:val="single" w:sz="4" w:space="0" w:color="auto"/>
            </w:tcBorders>
            <w:vAlign w:val="bottom"/>
          </w:tcPr>
          <w:p w:rsidR="00475650" w:rsidRDefault="00475650">
            <w:pPr>
              <w:jc w:val="center"/>
              <w:rPr>
                <w:szCs w:val="21"/>
              </w:rPr>
            </w:pPr>
            <w:r>
              <w:rPr>
                <w:szCs w:val="21"/>
              </w:rPr>
              <w:t xml:space="preserve">0.802 </w:t>
            </w:r>
          </w:p>
        </w:tc>
      </w:tr>
      <w:tr w:rsidR="00475650">
        <w:trPr>
          <w:trHeight w:hRule="exact" w:val="312"/>
        </w:trPr>
        <w:tc>
          <w:tcPr>
            <w:tcW w:w="1547" w:type="dxa"/>
            <w:tcMar>
              <w:top w:w="28" w:type="dxa"/>
              <w:bottom w:w="28" w:type="dxa"/>
            </w:tcMar>
            <w:vAlign w:val="center"/>
          </w:tcPr>
          <w:p w:rsidR="00475650" w:rsidRDefault="00475650">
            <w:pPr>
              <w:jc w:val="center"/>
              <w:rPr>
                <w:szCs w:val="21"/>
              </w:rPr>
            </w:pPr>
            <w:r>
              <w:rPr>
                <w:szCs w:val="21"/>
              </w:rPr>
              <w:t>1400</w:t>
            </w:r>
          </w:p>
        </w:tc>
        <w:tc>
          <w:tcPr>
            <w:tcW w:w="1396" w:type="dxa"/>
            <w:tcMar>
              <w:top w:w="28" w:type="dxa"/>
              <w:bottom w:w="28" w:type="dxa"/>
            </w:tcMar>
            <w:vAlign w:val="bottom"/>
          </w:tcPr>
          <w:p w:rsidR="00475650" w:rsidRDefault="00475650">
            <w:pPr>
              <w:jc w:val="center"/>
              <w:rPr>
                <w:szCs w:val="21"/>
              </w:rPr>
            </w:pPr>
            <w:r>
              <w:rPr>
                <w:szCs w:val="21"/>
              </w:rPr>
              <w:t xml:space="preserve">2.332 </w:t>
            </w:r>
          </w:p>
        </w:tc>
        <w:tc>
          <w:tcPr>
            <w:tcW w:w="993" w:type="dxa"/>
            <w:vAlign w:val="bottom"/>
          </w:tcPr>
          <w:p w:rsidR="00475650" w:rsidRDefault="00475650">
            <w:pPr>
              <w:jc w:val="center"/>
              <w:rPr>
                <w:szCs w:val="21"/>
              </w:rPr>
            </w:pPr>
            <w:r>
              <w:rPr>
                <w:szCs w:val="21"/>
              </w:rPr>
              <w:t xml:space="preserve">4.664 </w:t>
            </w:r>
          </w:p>
        </w:tc>
        <w:tc>
          <w:tcPr>
            <w:tcW w:w="1417" w:type="dxa"/>
            <w:vAlign w:val="bottom"/>
          </w:tcPr>
          <w:p w:rsidR="00475650" w:rsidRDefault="00475650">
            <w:pPr>
              <w:jc w:val="center"/>
              <w:rPr>
                <w:szCs w:val="21"/>
              </w:rPr>
            </w:pPr>
            <w:r>
              <w:rPr>
                <w:szCs w:val="21"/>
              </w:rPr>
              <w:t xml:space="preserve">0.830 </w:t>
            </w:r>
          </w:p>
        </w:tc>
        <w:tc>
          <w:tcPr>
            <w:tcW w:w="1134" w:type="dxa"/>
            <w:tcMar>
              <w:top w:w="28" w:type="dxa"/>
              <w:bottom w:w="28" w:type="dxa"/>
            </w:tcMar>
            <w:vAlign w:val="bottom"/>
          </w:tcPr>
          <w:p w:rsidR="00475650" w:rsidRDefault="00475650">
            <w:pPr>
              <w:jc w:val="center"/>
              <w:rPr>
                <w:sz w:val="24"/>
              </w:rPr>
            </w:pPr>
            <w:r>
              <w:t xml:space="preserve">0.415 </w:t>
            </w:r>
          </w:p>
        </w:tc>
        <w:tc>
          <w:tcPr>
            <w:tcW w:w="1378" w:type="dxa"/>
            <w:tcBorders>
              <w:right w:val="single" w:sz="4" w:space="0" w:color="auto"/>
            </w:tcBorders>
            <w:vAlign w:val="bottom"/>
          </w:tcPr>
          <w:p w:rsidR="00475650" w:rsidRDefault="00475650">
            <w:pPr>
              <w:jc w:val="center"/>
              <w:rPr>
                <w:szCs w:val="21"/>
              </w:rPr>
            </w:pPr>
            <w:r>
              <w:rPr>
                <w:szCs w:val="21"/>
              </w:rPr>
              <w:t xml:space="preserve">3.652 </w:t>
            </w:r>
          </w:p>
        </w:tc>
        <w:tc>
          <w:tcPr>
            <w:tcW w:w="1081" w:type="dxa"/>
            <w:tcBorders>
              <w:left w:val="single" w:sz="4" w:space="0" w:color="auto"/>
            </w:tcBorders>
            <w:vAlign w:val="bottom"/>
          </w:tcPr>
          <w:p w:rsidR="00475650" w:rsidRDefault="00475650">
            <w:pPr>
              <w:jc w:val="center"/>
              <w:rPr>
                <w:szCs w:val="21"/>
              </w:rPr>
            </w:pPr>
            <w:r>
              <w:rPr>
                <w:szCs w:val="21"/>
              </w:rPr>
              <w:t xml:space="preserve">0.812 </w:t>
            </w:r>
          </w:p>
        </w:tc>
      </w:tr>
      <w:tr w:rsidR="00475650">
        <w:trPr>
          <w:trHeight w:hRule="exact" w:val="312"/>
        </w:trPr>
        <w:tc>
          <w:tcPr>
            <w:tcW w:w="1547" w:type="dxa"/>
            <w:tcMar>
              <w:top w:w="28" w:type="dxa"/>
              <w:bottom w:w="28" w:type="dxa"/>
            </w:tcMar>
            <w:vAlign w:val="center"/>
          </w:tcPr>
          <w:p w:rsidR="00475650" w:rsidRDefault="00475650">
            <w:pPr>
              <w:jc w:val="center"/>
              <w:rPr>
                <w:szCs w:val="21"/>
              </w:rPr>
            </w:pPr>
            <w:r>
              <w:rPr>
                <w:szCs w:val="21"/>
              </w:rPr>
              <w:t>1500</w:t>
            </w:r>
          </w:p>
        </w:tc>
        <w:tc>
          <w:tcPr>
            <w:tcW w:w="1396" w:type="dxa"/>
            <w:tcMar>
              <w:top w:w="28" w:type="dxa"/>
              <w:bottom w:w="28" w:type="dxa"/>
            </w:tcMar>
            <w:vAlign w:val="bottom"/>
          </w:tcPr>
          <w:p w:rsidR="00475650" w:rsidRDefault="00475650">
            <w:pPr>
              <w:jc w:val="center"/>
              <w:rPr>
                <w:szCs w:val="21"/>
              </w:rPr>
            </w:pPr>
            <w:r>
              <w:rPr>
                <w:szCs w:val="21"/>
              </w:rPr>
              <w:t xml:space="preserve">2.336 </w:t>
            </w:r>
          </w:p>
        </w:tc>
        <w:tc>
          <w:tcPr>
            <w:tcW w:w="993" w:type="dxa"/>
            <w:vAlign w:val="bottom"/>
          </w:tcPr>
          <w:p w:rsidR="00475650" w:rsidRDefault="00475650">
            <w:pPr>
              <w:jc w:val="center"/>
              <w:rPr>
                <w:szCs w:val="21"/>
              </w:rPr>
            </w:pPr>
            <w:r>
              <w:rPr>
                <w:szCs w:val="21"/>
              </w:rPr>
              <w:t xml:space="preserve">4.672 </w:t>
            </w:r>
          </w:p>
        </w:tc>
        <w:tc>
          <w:tcPr>
            <w:tcW w:w="1417" w:type="dxa"/>
            <w:vAlign w:val="bottom"/>
          </w:tcPr>
          <w:p w:rsidR="00475650" w:rsidRDefault="00475650">
            <w:pPr>
              <w:jc w:val="center"/>
              <w:rPr>
                <w:szCs w:val="21"/>
              </w:rPr>
            </w:pPr>
            <w:r>
              <w:rPr>
                <w:szCs w:val="21"/>
              </w:rPr>
              <w:t xml:space="preserve">0.831 </w:t>
            </w:r>
          </w:p>
        </w:tc>
        <w:tc>
          <w:tcPr>
            <w:tcW w:w="1134" w:type="dxa"/>
            <w:tcMar>
              <w:top w:w="28" w:type="dxa"/>
              <w:bottom w:w="28" w:type="dxa"/>
            </w:tcMar>
            <w:vAlign w:val="bottom"/>
          </w:tcPr>
          <w:p w:rsidR="00475650" w:rsidRDefault="00475650">
            <w:pPr>
              <w:jc w:val="center"/>
              <w:rPr>
                <w:sz w:val="24"/>
              </w:rPr>
            </w:pPr>
            <w:r>
              <w:t xml:space="preserve">0.416 </w:t>
            </w:r>
          </w:p>
        </w:tc>
        <w:tc>
          <w:tcPr>
            <w:tcW w:w="1378" w:type="dxa"/>
            <w:tcBorders>
              <w:right w:val="single" w:sz="4" w:space="0" w:color="auto"/>
            </w:tcBorders>
            <w:vAlign w:val="bottom"/>
          </w:tcPr>
          <w:p w:rsidR="00475650" w:rsidRDefault="00475650">
            <w:pPr>
              <w:jc w:val="center"/>
              <w:rPr>
                <w:szCs w:val="21"/>
              </w:rPr>
            </w:pPr>
            <w:r>
              <w:rPr>
                <w:szCs w:val="21"/>
              </w:rPr>
              <w:t xml:space="preserve">3.658 </w:t>
            </w:r>
          </w:p>
        </w:tc>
        <w:tc>
          <w:tcPr>
            <w:tcW w:w="1081" w:type="dxa"/>
            <w:tcBorders>
              <w:left w:val="single" w:sz="4" w:space="0" w:color="auto"/>
            </w:tcBorders>
            <w:vAlign w:val="bottom"/>
          </w:tcPr>
          <w:p w:rsidR="00475650" w:rsidRDefault="00475650">
            <w:pPr>
              <w:jc w:val="center"/>
              <w:rPr>
                <w:szCs w:val="21"/>
              </w:rPr>
            </w:pPr>
            <w:r>
              <w:rPr>
                <w:szCs w:val="21"/>
              </w:rPr>
              <w:t xml:space="preserve">0.813 </w:t>
            </w:r>
          </w:p>
        </w:tc>
      </w:tr>
      <w:tr w:rsidR="00475650">
        <w:trPr>
          <w:trHeight w:hRule="exact" w:val="312"/>
        </w:trPr>
        <w:tc>
          <w:tcPr>
            <w:tcW w:w="1547" w:type="dxa"/>
            <w:tcMar>
              <w:top w:w="28" w:type="dxa"/>
              <w:bottom w:w="28" w:type="dxa"/>
            </w:tcMar>
            <w:vAlign w:val="center"/>
          </w:tcPr>
          <w:p w:rsidR="00475650" w:rsidRDefault="00475650">
            <w:pPr>
              <w:jc w:val="center"/>
              <w:rPr>
                <w:szCs w:val="21"/>
              </w:rPr>
            </w:pPr>
            <w:r>
              <w:rPr>
                <w:szCs w:val="21"/>
              </w:rPr>
              <w:t>2000</w:t>
            </w:r>
          </w:p>
        </w:tc>
        <w:tc>
          <w:tcPr>
            <w:tcW w:w="1396" w:type="dxa"/>
            <w:tcMar>
              <w:top w:w="28" w:type="dxa"/>
              <w:bottom w:w="28" w:type="dxa"/>
            </w:tcMar>
            <w:vAlign w:val="bottom"/>
          </w:tcPr>
          <w:p w:rsidR="00475650" w:rsidRDefault="00475650">
            <w:pPr>
              <w:jc w:val="center"/>
              <w:rPr>
                <w:szCs w:val="21"/>
              </w:rPr>
            </w:pPr>
            <w:r>
              <w:rPr>
                <w:szCs w:val="21"/>
              </w:rPr>
              <w:t xml:space="preserve">2.165 </w:t>
            </w:r>
          </w:p>
        </w:tc>
        <w:tc>
          <w:tcPr>
            <w:tcW w:w="993" w:type="dxa"/>
            <w:vAlign w:val="bottom"/>
          </w:tcPr>
          <w:p w:rsidR="00475650" w:rsidRDefault="00475650">
            <w:pPr>
              <w:jc w:val="center"/>
              <w:rPr>
                <w:szCs w:val="21"/>
              </w:rPr>
            </w:pPr>
            <w:r>
              <w:rPr>
                <w:szCs w:val="21"/>
              </w:rPr>
              <w:t xml:space="preserve">4.330 </w:t>
            </w:r>
          </w:p>
        </w:tc>
        <w:tc>
          <w:tcPr>
            <w:tcW w:w="1417" w:type="dxa"/>
            <w:vAlign w:val="bottom"/>
          </w:tcPr>
          <w:p w:rsidR="00475650" w:rsidRDefault="00475650">
            <w:pPr>
              <w:jc w:val="center"/>
              <w:rPr>
                <w:szCs w:val="21"/>
              </w:rPr>
            </w:pPr>
            <w:r>
              <w:rPr>
                <w:szCs w:val="21"/>
              </w:rPr>
              <w:t xml:space="preserve">0.771 </w:t>
            </w:r>
          </w:p>
        </w:tc>
        <w:tc>
          <w:tcPr>
            <w:tcW w:w="1134" w:type="dxa"/>
            <w:tcMar>
              <w:top w:w="28" w:type="dxa"/>
              <w:bottom w:w="28" w:type="dxa"/>
            </w:tcMar>
            <w:vAlign w:val="bottom"/>
          </w:tcPr>
          <w:p w:rsidR="00475650" w:rsidRDefault="00475650">
            <w:pPr>
              <w:jc w:val="center"/>
              <w:rPr>
                <w:sz w:val="24"/>
              </w:rPr>
            </w:pPr>
            <w:r>
              <w:t xml:space="preserve">0.385 </w:t>
            </w:r>
          </w:p>
        </w:tc>
        <w:tc>
          <w:tcPr>
            <w:tcW w:w="1378" w:type="dxa"/>
            <w:tcBorders>
              <w:right w:val="single" w:sz="4" w:space="0" w:color="auto"/>
            </w:tcBorders>
            <w:vAlign w:val="bottom"/>
          </w:tcPr>
          <w:p w:rsidR="00475650" w:rsidRDefault="00475650">
            <w:pPr>
              <w:jc w:val="center"/>
              <w:rPr>
                <w:szCs w:val="21"/>
              </w:rPr>
            </w:pPr>
            <w:r>
              <w:rPr>
                <w:szCs w:val="21"/>
              </w:rPr>
              <w:t xml:space="preserve">3.390 </w:t>
            </w:r>
          </w:p>
        </w:tc>
        <w:tc>
          <w:tcPr>
            <w:tcW w:w="1081" w:type="dxa"/>
            <w:tcBorders>
              <w:left w:val="single" w:sz="4" w:space="0" w:color="auto"/>
            </w:tcBorders>
            <w:vAlign w:val="bottom"/>
          </w:tcPr>
          <w:p w:rsidR="00475650" w:rsidRDefault="00475650">
            <w:pPr>
              <w:jc w:val="center"/>
              <w:rPr>
                <w:szCs w:val="21"/>
              </w:rPr>
            </w:pPr>
            <w:r>
              <w:rPr>
                <w:szCs w:val="21"/>
              </w:rPr>
              <w:t xml:space="preserve">0.753 </w:t>
            </w:r>
          </w:p>
        </w:tc>
      </w:tr>
      <w:tr w:rsidR="00475650">
        <w:trPr>
          <w:trHeight w:hRule="exact" w:val="312"/>
        </w:trPr>
        <w:tc>
          <w:tcPr>
            <w:tcW w:w="1547" w:type="dxa"/>
            <w:tcMar>
              <w:top w:w="28" w:type="dxa"/>
              <w:bottom w:w="28" w:type="dxa"/>
            </w:tcMar>
            <w:vAlign w:val="center"/>
          </w:tcPr>
          <w:p w:rsidR="00475650" w:rsidRDefault="00475650">
            <w:pPr>
              <w:jc w:val="center"/>
              <w:rPr>
                <w:szCs w:val="21"/>
              </w:rPr>
            </w:pPr>
            <w:r>
              <w:rPr>
                <w:szCs w:val="21"/>
              </w:rPr>
              <w:t>2500</w:t>
            </w:r>
          </w:p>
        </w:tc>
        <w:tc>
          <w:tcPr>
            <w:tcW w:w="1396" w:type="dxa"/>
            <w:tcMar>
              <w:top w:w="28" w:type="dxa"/>
              <w:bottom w:w="28" w:type="dxa"/>
            </w:tcMar>
            <w:vAlign w:val="bottom"/>
          </w:tcPr>
          <w:p w:rsidR="00475650" w:rsidRDefault="00475650">
            <w:pPr>
              <w:jc w:val="center"/>
              <w:rPr>
                <w:szCs w:val="21"/>
              </w:rPr>
            </w:pPr>
            <w:r>
              <w:rPr>
                <w:szCs w:val="21"/>
              </w:rPr>
              <w:t xml:space="preserve">1.884 </w:t>
            </w:r>
          </w:p>
        </w:tc>
        <w:tc>
          <w:tcPr>
            <w:tcW w:w="993" w:type="dxa"/>
            <w:vAlign w:val="bottom"/>
          </w:tcPr>
          <w:p w:rsidR="00475650" w:rsidRDefault="00475650">
            <w:pPr>
              <w:jc w:val="center"/>
              <w:rPr>
                <w:szCs w:val="21"/>
              </w:rPr>
            </w:pPr>
            <w:r>
              <w:rPr>
                <w:szCs w:val="21"/>
              </w:rPr>
              <w:t xml:space="preserve">3.768 </w:t>
            </w:r>
          </w:p>
        </w:tc>
        <w:tc>
          <w:tcPr>
            <w:tcW w:w="1417" w:type="dxa"/>
            <w:vAlign w:val="bottom"/>
          </w:tcPr>
          <w:p w:rsidR="00475650" w:rsidRDefault="00475650">
            <w:pPr>
              <w:jc w:val="center"/>
              <w:rPr>
                <w:szCs w:val="21"/>
              </w:rPr>
            </w:pPr>
            <w:r>
              <w:rPr>
                <w:szCs w:val="21"/>
              </w:rPr>
              <w:t xml:space="preserve">0.670 </w:t>
            </w:r>
          </w:p>
        </w:tc>
        <w:tc>
          <w:tcPr>
            <w:tcW w:w="1134" w:type="dxa"/>
            <w:tcMar>
              <w:top w:w="28" w:type="dxa"/>
              <w:bottom w:w="28" w:type="dxa"/>
            </w:tcMar>
            <w:vAlign w:val="bottom"/>
          </w:tcPr>
          <w:p w:rsidR="00475650" w:rsidRDefault="00475650">
            <w:pPr>
              <w:jc w:val="center"/>
              <w:rPr>
                <w:sz w:val="24"/>
              </w:rPr>
            </w:pPr>
            <w:r>
              <w:t xml:space="preserve">0.335 </w:t>
            </w:r>
          </w:p>
        </w:tc>
        <w:tc>
          <w:tcPr>
            <w:tcW w:w="1378" w:type="dxa"/>
            <w:tcBorders>
              <w:right w:val="single" w:sz="4" w:space="0" w:color="auto"/>
            </w:tcBorders>
            <w:vAlign w:val="bottom"/>
          </w:tcPr>
          <w:p w:rsidR="00475650" w:rsidRDefault="00475650">
            <w:pPr>
              <w:jc w:val="center"/>
              <w:rPr>
                <w:szCs w:val="21"/>
              </w:rPr>
            </w:pPr>
            <w:r>
              <w:rPr>
                <w:szCs w:val="21"/>
              </w:rPr>
              <w:t xml:space="preserve">2.949 </w:t>
            </w:r>
          </w:p>
        </w:tc>
        <w:tc>
          <w:tcPr>
            <w:tcW w:w="1081" w:type="dxa"/>
            <w:tcBorders>
              <w:left w:val="single" w:sz="4" w:space="0" w:color="auto"/>
            </w:tcBorders>
            <w:vAlign w:val="bottom"/>
          </w:tcPr>
          <w:p w:rsidR="00475650" w:rsidRDefault="00475650">
            <w:pPr>
              <w:jc w:val="center"/>
              <w:rPr>
                <w:szCs w:val="21"/>
              </w:rPr>
            </w:pPr>
            <w:r>
              <w:rPr>
                <w:szCs w:val="21"/>
              </w:rPr>
              <w:t xml:space="preserve">0.655 </w:t>
            </w:r>
          </w:p>
        </w:tc>
      </w:tr>
      <w:tr w:rsidR="00475650">
        <w:trPr>
          <w:trHeight w:hRule="exact" w:val="647"/>
        </w:trPr>
        <w:tc>
          <w:tcPr>
            <w:tcW w:w="1547" w:type="dxa"/>
            <w:tcMar>
              <w:top w:w="28" w:type="dxa"/>
              <w:bottom w:w="28" w:type="dxa"/>
            </w:tcMar>
            <w:vAlign w:val="center"/>
          </w:tcPr>
          <w:p w:rsidR="00475650" w:rsidRDefault="00475650">
            <w:pPr>
              <w:jc w:val="center"/>
              <w:rPr>
                <w:rFonts w:ascii="宋体" w:hAnsi="宋体" w:cs="宋体"/>
                <w:szCs w:val="21"/>
              </w:rPr>
            </w:pPr>
            <w:r>
              <w:rPr>
                <w:rFonts w:ascii="宋体" w:hAnsi="宋体" w:cs="宋体" w:hint="eastAsia"/>
                <w:szCs w:val="21"/>
              </w:rPr>
              <w:t>最大地面浓度</w:t>
            </w:r>
          </w:p>
        </w:tc>
        <w:tc>
          <w:tcPr>
            <w:tcW w:w="1396" w:type="dxa"/>
            <w:tcMar>
              <w:top w:w="28" w:type="dxa"/>
              <w:bottom w:w="28" w:type="dxa"/>
            </w:tcMar>
            <w:vAlign w:val="center"/>
          </w:tcPr>
          <w:p w:rsidR="00475650" w:rsidRDefault="00475650">
            <w:pPr>
              <w:jc w:val="center"/>
              <w:rPr>
                <w:szCs w:val="21"/>
              </w:rPr>
            </w:pPr>
            <w:r>
              <w:rPr>
                <w:rFonts w:hint="eastAsia"/>
                <w:szCs w:val="21"/>
              </w:rPr>
              <w:t>2.479</w:t>
            </w:r>
          </w:p>
          <w:p w:rsidR="00475650" w:rsidRDefault="00475650">
            <w:pPr>
              <w:jc w:val="center"/>
              <w:rPr>
                <w:szCs w:val="21"/>
              </w:rPr>
            </w:pPr>
            <w:r>
              <w:rPr>
                <w:rFonts w:ascii="宋体" w:hAnsi="宋体" w:cs="宋体" w:hint="eastAsia"/>
                <w:szCs w:val="21"/>
              </w:rPr>
              <w:t>（</w:t>
            </w:r>
            <w:r>
              <w:rPr>
                <w:rFonts w:hint="eastAsia"/>
                <w:szCs w:val="21"/>
              </w:rPr>
              <w:t>325</w:t>
            </w:r>
            <w:r>
              <w:rPr>
                <w:szCs w:val="21"/>
              </w:rPr>
              <w:t>m</w:t>
            </w:r>
            <w:r>
              <w:rPr>
                <w:rFonts w:ascii="宋体" w:hAnsi="宋体" w:cs="宋体" w:hint="eastAsia"/>
                <w:szCs w:val="21"/>
              </w:rPr>
              <w:t>）</w:t>
            </w:r>
          </w:p>
        </w:tc>
        <w:tc>
          <w:tcPr>
            <w:tcW w:w="993" w:type="dxa"/>
            <w:vAlign w:val="center"/>
          </w:tcPr>
          <w:p w:rsidR="00475650" w:rsidRDefault="00475650">
            <w:pPr>
              <w:jc w:val="center"/>
              <w:rPr>
                <w:szCs w:val="21"/>
              </w:rPr>
            </w:pPr>
            <w:r>
              <w:rPr>
                <w:rFonts w:hint="eastAsia"/>
                <w:szCs w:val="21"/>
              </w:rPr>
              <w:t>4.958</w:t>
            </w:r>
          </w:p>
        </w:tc>
        <w:tc>
          <w:tcPr>
            <w:tcW w:w="1417" w:type="dxa"/>
            <w:vAlign w:val="center"/>
          </w:tcPr>
          <w:p w:rsidR="00475650" w:rsidRDefault="00475650">
            <w:pPr>
              <w:jc w:val="center"/>
              <w:rPr>
                <w:szCs w:val="21"/>
              </w:rPr>
            </w:pPr>
            <w:r>
              <w:rPr>
                <w:rFonts w:hint="eastAsia"/>
                <w:szCs w:val="21"/>
              </w:rPr>
              <w:t>0.882</w:t>
            </w:r>
          </w:p>
          <w:p w:rsidR="00475650" w:rsidRDefault="00475650">
            <w:pPr>
              <w:jc w:val="center"/>
              <w:rPr>
                <w:szCs w:val="21"/>
              </w:rPr>
            </w:pPr>
            <w:r>
              <w:rPr>
                <w:rFonts w:ascii="宋体" w:hAnsi="宋体" w:cs="宋体" w:hint="eastAsia"/>
                <w:szCs w:val="21"/>
              </w:rPr>
              <w:t>（</w:t>
            </w:r>
            <w:r>
              <w:rPr>
                <w:rFonts w:hint="eastAsia"/>
                <w:szCs w:val="21"/>
              </w:rPr>
              <w:t>325</w:t>
            </w:r>
            <w:r>
              <w:rPr>
                <w:szCs w:val="21"/>
              </w:rPr>
              <w:t xml:space="preserve">m </w:t>
            </w:r>
            <w:r>
              <w:rPr>
                <w:rFonts w:ascii="宋体" w:hAnsi="宋体" w:cs="宋体" w:hint="eastAsia"/>
                <w:szCs w:val="21"/>
              </w:rPr>
              <w:t>）</w:t>
            </w:r>
          </w:p>
        </w:tc>
        <w:tc>
          <w:tcPr>
            <w:tcW w:w="1134" w:type="dxa"/>
            <w:tcMar>
              <w:top w:w="28" w:type="dxa"/>
              <w:bottom w:w="28" w:type="dxa"/>
            </w:tcMar>
            <w:vAlign w:val="center"/>
          </w:tcPr>
          <w:p w:rsidR="00475650" w:rsidRDefault="00475650">
            <w:pPr>
              <w:jc w:val="center"/>
              <w:rPr>
                <w:sz w:val="24"/>
              </w:rPr>
            </w:pPr>
            <w:r>
              <w:rPr>
                <w:rFonts w:hint="eastAsia"/>
                <w:sz w:val="24"/>
              </w:rPr>
              <w:t>0.441</w:t>
            </w:r>
          </w:p>
        </w:tc>
        <w:tc>
          <w:tcPr>
            <w:tcW w:w="1378" w:type="dxa"/>
            <w:tcBorders>
              <w:right w:val="single" w:sz="4" w:space="0" w:color="auto"/>
            </w:tcBorders>
            <w:vAlign w:val="center"/>
          </w:tcPr>
          <w:p w:rsidR="00475650" w:rsidRDefault="00475650">
            <w:pPr>
              <w:jc w:val="center"/>
              <w:rPr>
                <w:szCs w:val="21"/>
              </w:rPr>
            </w:pPr>
            <w:r>
              <w:rPr>
                <w:rFonts w:hint="eastAsia"/>
                <w:szCs w:val="21"/>
              </w:rPr>
              <w:t>3.881</w:t>
            </w:r>
          </w:p>
          <w:p w:rsidR="00475650" w:rsidRDefault="00475650">
            <w:pPr>
              <w:jc w:val="center"/>
              <w:rPr>
                <w:szCs w:val="21"/>
              </w:rPr>
            </w:pPr>
            <w:r>
              <w:rPr>
                <w:rFonts w:ascii="宋体" w:hAnsi="宋体" w:cs="宋体" w:hint="eastAsia"/>
                <w:szCs w:val="21"/>
              </w:rPr>
              <w:t>（</w:t>
            </w:r>
            <w:r>
              <w:rPr>
                <w:rFonts w:hint="eastAsia"/>
                <w:szCs w:val="21"/>
              </w:rPr>
              <w:t>325</w:t>
            </w:r>
            <w:r>
              <w:rPr>
                <w:rFonts w:ascii="宋体" w:hAnsi="宋体" w:cs="宋体" w:hint="eastAsia"/>
                <w:szCs w:val="21"/>
              </w:rPr>
              <w:t>）</w:t>
            </w:r>
          </w:p>
        </w:tc>
        <w:tc>
          <w:tcPr>
            <w:tcW w:w="1081" w:type="dxa"/>
            <w:tcBorders>
              <w:left w:val="single" w:sz="4" w:space="0" w:color="auto"/>
            </w:tcBorders>
            <w:vAlign w:val="center"/>
          </w:tcPr>
          <w:p w:rsidR="00475650" w:rsidRDefault="00475650">
            <w:pPr>
              <w:jc w:val="center"/>
              <w:rPr>
                <w:szCs w:val="21"/>
              </w:rPr>
            </w:pPr>
            <w:r>
              <w:rPr>
                <w:rFonts w:hint="eastAsia"/>
                <w:szCs w:val="21"/>
              </w:rPr>
              <w:t>0.862</w:t>
            </w:r>
          </w:p>
        </w:tc>
      </w:tr>
      <w:tr w:rsidR="00475650">
        <w:trPr>
          <w:trHeight w:hRule="exact" w:val="617"/>
        </w:trPr>
        <w:tc>
          <w:tcPr>
            <w:tcW w:w="1547" w:type="dxa"/>
            <w:tcMar>
              <w:top w:w="28" w:type="dxa"/>
              <w:bottom w:w="28" w:type="dxa"/>
            </w:tcMar>
            <w:vAlign w:val="center"/>
          </w:tcPr>
          <w:p w:rsidR="00475650" w:rsidRDefault="00475650">
            <w:pPr>
              <w:jc w:val="center"/>
              <w:rPr>
                <w:rFonts w:ascii="宋体" w:hAnsi="宋体" w:cs="宋体"/>
                <w:szCs w:val="21"/>
              </w:rPr>
            </w:pPr>
            <w:r>
              <w:rPr>
                <w:rFonts w:hint="eastAsia"/>
                <w:szCs w:val="21"/>
              </w:rPr>
              <w:lastRenderedPageBreak/>
              <w:t>标准</w:t>
            </w:r>
          </w:p>
        </w:tc>
        <w:tc>
          <w:tcPr>
            <w:tcW w:w="2389" w:type="dxa"/>
            <w:gridSpan w:val="2"/>
            <w:tcMar>
              <w:top w:w="28" w:type="dxa"/>
              <w:bottom w:w="28" w:type="dxa"/>
            </w:tcMar>
            <w:vAlign w:val="center"/>
          </w:tcPr>
          <w:p w:rsidR="00475650" w:rsidRDefault="00475650">
            <w:pPr>
              <w:jc w:val="center"/>
              <w:rPr>
                <w:szCs w:val="21"/>
              </w:rPr>
            </w:pPr>
            <w:r>
              <w:rPr>
                <w:rFonts w:hint="eastAsia"/>
                <w:szCs w:val="21"/>
              </w:rPr>
              <w:t>50</w:t>
            </w:r>
            <w:r>
              <w:rPr>
                <w:rFonts w:hint="eastAsia"/>
                <w:szCs w:val="21"/>
              </w:rPr>
              <w:t>（</w:t>
            </w:r>
            <w:r>
              <w:rPr>
                <w:szCs w:val="21"/>
              </w:rPr>
              <w:t>TJ36-79</w:t>
            </w:r>
            <w:r>
              <w:rPr>
                <w:rFonts w:hint="eastAsia"/>
                <w:szCs w:val="21"/>
              </w:rPr>
              <w:t>）</w:t>
            </w:r>
          </w:p>
        </w:tc>
        <w:tc>
          <w:tcPr>
            <w:tcW w:w="2551" w:type="dxa"/>
            <w:gridSpan w:val="2"/>
            <w:vAlign w:val="center"/>
          </w:tcPr>
          <w:p w:rsidR="00475650" w:rsidRDefault="00475650">
            <w:pPr>
              <w:jc w:val="center"/>
              <w:rPr>
                <w:szCs w:val="21"/>
              </w:rPr>
            </w:pPr>
            <w:r>
              <w:rPr>
                <w:rFonts w:hint="eastAsia"/>
                <w:szCs w:val="21"/>
              </w:rPr>
              <w:t>200</w:t>
            </w:r>
            <w:r>
              <w:rPr>
                <w:rFonts w:hint="eastAsia"/>
                <w:szCs w:val="21"/>
              </w:rPr>
              <w:t>（</w:t>
            </w:r>
            <w:r>
              <w:rPr>
                <w:szCs w:val="21"/>
              </w:rPr>
              <w:t>TJ36-79</w:t>
            </w:r>
            <w:r>
              <w:rPr>
                <w:rFonts w:hint="eastAsia"/>
                <w:szCs w:val="21"/>
              </w:rPr>
              <w:t>）</w:t>
            </w:r>
          </w:p>
        </w:tc>
        <w:tc>
          <w:tcPr>
            <w:tcW w:w="2459" w:type="dxa"/>
            <w:gridSpan w:val="2"/>
            <w:vAlign w:val="center"/>
          </w:tcPr>
          <w:p w:rsidR="00475650" w:rsidRDefault="00475650">
            <w:pPr>
              <w:jc w:val="center"/>
            </w:pPr>
            <w:r>
              <w:t>450</w:t>
            </w:r>
            <w:r>
              <w:rPr>
                <w:rFonts w:hAnsi="宋体"/>
              </w:rPr>
              <w:t>（参考日均值的</w:t>
            </w:r>
            <w:r>
              <w:t>3</w:t>
            </w:r>
            <w:r>
              <w:rPr>
                <w:rFonts w:hAnsi="宋体"/>
              </w:rPr>
              <w:t>倍值）</w:t>
            </w:r>
          </w:p>
          <w:p w:rsidR="00475650" w:rsidRDefault="00475650">
            <w:pPr>
              <w:jc w:val="center"/>
              <w:rPr>
                <w:szCs w:val="21"/>
              </w:rPr>
            </w:pPr>
          </w:p>
        </w:tc>
      </w:tr>
    </w:tbl>
    <w:p w:rsidR="00475650" w:rsidRDefault="00475650">
      <w:pPr>
        <w:tabs>
          <w:tab w:val="left" w:pos="2377"/>
          <w:tab w:val="center" w:pos="4605"/>
        </w:tabs>
        <w:spacing w:line="360" w:lineRule="auto"/>
        <w:ind w:firstLine="480"/>
        <w:jc w:val="left"/>
        <w:rPr>
          <w:sz w:val="24"/>
        </w:rPr>
      </w:pPr>
      <w:r>
        <w:rPr>
          <w:sz w:val="24"/>
        </w:rPr>
        <w:tab/>
      </w:r>
    </w:p>
    <w:p w:rsidR="00475650" w:rsidRDefault="00475650">
      <w:pPr>
        <w:tabs>
          <w:tab w:val="left" w:pos="2377"/>
          <w:tab w:val="center" w:pos="4605"/>
        </w:tabs>
        <w:spacing w:line="360" w:lineRule="auto"/>
        <w:ind w:firstLine="480"/>
        <w:jc w:val="left"/>
        <w:rPr>
          <w:sz w:val="24"/>
        </w:rPr>
      </w:pPr>
      <w:r>
        <w:rPr>
          <w:sz w:val="24"/>
        </w:rPr>
        <w:t>2</w:t>
      </w:r>
      <w:r>
        <w:rPr>
          <w:rFonts w:hAnsi="宋体"/>
          <w:sz w:val="24"/>
        </w:rPr>
        <w:t>、关心点的影响</w:t>
      </w:r>
    </w:p>
    <w:p w:rsidR="00475650" w:rsidRDefault="00475650">
      <w:pPr>
        <w:spacing w:line="360" w:lineRule="auto"/>
        <w:ind w:firstLine="482"/>
        <w:rPr>
          <w:rFonts w:hAnsi="宋体"/>
          <w:sz w:val="24"/>
        </w:rPr>
      </w:pPr>
      <w:r>
        <w:rPr>
          <w:rFonts w:hAnsi="宋体"/>
          <w:sz w:val="24"/>
        </w:rPr>
        <w:t>根据项目周边居民分布情况来看，最近的居民点为南侧的</w:t>
      </w:r>
      <w:r>
        <w:rPr>
          <w:rFonts w:hAnsi="宋体"/>
          <w:kern w:val="0"/>
          <w:sz w:val="24"/>
        </w:rPr>
        <w:t>儒溪村</w:t>
      </w:r>
      <w:r>
        <w:rPr>
          <w:kern w:val="0"/>
          <w:sz w:val="24"/>
        </w:rPr>
        <w:t>8</w:t>
      </w:r>
      <w:r>
        <w:rPr>
          <w:rFonts w:hAnsi="宋体"/>
          <w:kern w:val="0"/>
          <w:sz w:val="24"/>
        </w:rPr>
        <w:t>组，最近距离约</w:t>
      </w:r>
      <w:r>
        <w:rPr>
          <w:kern w:val="0"/>
          <w:sz w:val="24"/>
        </w:rPr>
        <w:t>650m</w:t>
      </w:r>
      <w:r>
        <w:rPr>
          <w:rFonts w:hAnsi="宋体"/>
          <w:kern w:val="0"/>
          <w:sz w:val="24"/>
        </w:rPr>
        <w:t>，</w:t>
      </w:r>
      <w:r>
        <w:rPr>
          <w:rFonts w:hAnsi="宋体" w:hint="eastAsia"/>
          <w:kern w:val="0"/>
          <w:sz w:val="24"/>
        </w:rPr>
        <w:t>项目区</w:t>
      </w:r>
      <w:r>
        <w:rPr>
          <w:rFonts w:hAnsi="宋体"/>
          <w:kern w:val="0"/>
          <w:sz w:val="24"/>
        </w:rPr>
        <w:t>氯化氢</w:t>
      </w:r>
      <w:r>
        <w:rPr>
          <w:rFonts w:hAnsi="宋体" w:hint="eastAsia"/>
          <w:kern w:val="0"/>
          <w:sz w:val="24"/>
        </w:rPr>
        <w:t>、</w:t>
      </w:r>
      <w:r>
        <w:rPr>
          <w:rFonts w:hAnsi="宋体"/>
          <w:kern w:val="0"/>
          <w:sz w:val="24"/>
        </w:rPr>
        <w:t>氨气及粉尘的最大背景浓度值分别为</w:t>
      </w:r>
      <w:r>
        <w:rPr>
          <w:rFonts w:hAnsi="宋体" w:hint="eastAsia"/>
          <w:kern w:val="0"/>
          <w:sz w:val="24"/>
        </w:rPr>
        <w:t>0.013</w:t>
      </w:r>
      <w:r>
        <w:rPr>
          <w:kern w:val="0"/>
          <w:sz w:val="24"/>
        </w:rPr>
        <w:t xml:space="preserve"> </w:t>
      </w:r>
      <w:r>
        <w:rPr>
          <w:rFonts w:hint="eastAsia"/>
          <w:kern w:val="0"/>
          <w:sz w:val="24"/>
        </w:rPr>
        <w:t>m</w:t>
      </w:r>
      <w:r>
        <w:rPr>
          <w:kern w:val="0"/>
          <w:sz w:val="24"/>
        </w:rPr>
        <w:t>g/m</w:t>
      </w:r>
      <w:r>
        <w:rPr>
          <w:kern w:val="0"/>
          <w:sz w:val="24"/>
          <w:vertAlign w:val="superscript"/>
        </w:rPr>
        <w:t>3</w:t>
      </w:r>
      <w:r>
        <w:rPr>
          <w:rFonts w:hAnsi="宋体" w:hint="eastAsia"/>
          <w:kern w:val="0"/>
          <w:sz w:val="24"/>
        </w:rPr>
        <w:t>、</w:t>
      </w:r>
      <w:r>
        <w:rPr>
          <w:rFonts w:hAnsi="宋体" w:hint="eastAsia"/>
          <w:kern w:val="0"/>
          <w:sz w:val="24"/>
        </w:rPr>
        <w:t>0.07</w:t>
      </w:r>
      <w:r>
        <w:rPr>
          <w:rFonts w:hint="eastAsia"/>
          <w:kern w:val="0"/>
          <w:sz w:val="24"/>
        </w:rPr>
        <w:t xml:space="preserve"> m</w:t>
      </w:r>
      <w:r>
        <w:rPr>
          <w:kern w:val="0"/>
          <w:sz w:val="24"/>
        </w:rPr>
        <w:t>g/m</w:t>
      </w:r>
      <w:r>
        <w:rPr>
          <w:kern w:val="0"/>
          <w:sz w:val="24"/>
          <w:vertAlign w:val="superscript"/>
        </w:rPr>
        <w:t>3</w:t>
      </w:r>
      <w:r>
        <w:rPr>
          <w:rFonts w:hAnsi="宋体" w:hint="eastAsia"/>
          <w:kern w:val="0"/>
          <w:sz w:val="24"/>
        </w:rPr>
        <w:t>、</w:t>
      </w:r>
      <w:r>
        <w:rPr>
          <w:rFonts w:hAnsi="宋体" w:hint="eastAsia"/>
          <w:kern w:val="0"/>
          <w:sz w:val="24"/>
        </w:rPr>
        <w:t>0.133</w:t>
      </w:r>
      <w:r>
        <w:rPr>
          <w:rFonts w:hint="eastAsia"/>
          <w:kern w:val="0"/>
          <w:sz w:val="24"/>
        </w:rPr>
        <w:t xml:space="preserve"> m</w:t>
      </w:r>
      <w:r>
        <w:rPr>
          <w:kern w:val="0"/>
          <w:sz w:val="24"/>
        </w:rPr>
        <w:t>g/m</w:t>
      </w:r>
      <w:r>
        <w:rPr>
          <w:kern w:val="0"/>
          <w:sz w:val="24"/>
          <w:vertAlign w:val="superscript"/>
        </w:rPr>
        <w:t>3</w:t>
      </w:r>
      <w:r>
        <w:rPr>
          <w:rFonts w:hAnsi="宋体"/>
          <w:sz w:val="24"/>
        </w:rPr>
        <w:t>，</w:t>
      </w:r>
      <w:r>
        <w:rPr>
          <w:rFonts w:hAnsi="宋体" w:hint="eastAsia"/>
          <w:sz w:val="24"/>
        </w:rPr>
        <w:t>叠加本项目贡献值后（</w:t>
      </w:r>
      <w:r>
        <w:rPr>
          <w:rFonts w:hAnsi="宋体" w:hint="eastAsia"/>
          <w:sz w:val="24"/>
        </w:rPr>
        <w:t>0.002479</w:t>
      </w:r>
      <w:r>
        <w:rPr>
          <w:rFonts w:hint="eastAsia"/>
          <w:kern w:val="0"/>
          <w:sz w:val="24"/>
        </w:rPr>
        <w:t xml:space="preserve"> m</w:t>
      </w:r>
      <w:r>
        <w:rPr>
          <w:kern w:val="0"/>
          <w:sz w:val="24"/>
        </w:rPr>
        <w:t>g /m</w:t>
      </w:r>
      <w:r>
        <w:rPr>
          <w:kern w:val="0"/>
          <w:sz w:val="24"/>
          <w:vertAlign w:val="superscript"/>
        </w:rPr>
        <w:t>3</w:t>
      </w:r>
      <w:r>
        <w:rPr>
          <w:rFonts w:hAnsi="宋体" w:hint="eastAsia"/>
          <w:kern w:val="0"/>
          <w:sz w:val="24"/>
        </w:rPr>
        <w:t>、</w:t>
      </w:r>
      <w:r>
        <w:rPr>
          <w:rFonts w:hAnsi="宋体" w:hint="eastAsia"/>
          <w:kern w:val="0"/>
          <w:sz w:val="24"/>
        </w:rPr>
        <w:t>0.000882</w:t>
      </w:r>
      <w:r>
        <w:rPr>
          <w:rFonts w:hint="eastAsia"/>
          <w:kern w:val="0"/>
          <w:sz w:val="24"/>
        </w:rPr>
        <w:t xml:space="preserve"> m</w:t>
      </w:r>
      <w:r>
        <w:rPr>
          <w:kern w:val="0"/>
          <w:sz w:val="24"/>
        </w:rPr>
        <w:t>g /m</w:t>
      </w:r>
      <w:r>
        <w:rPr>
          <w:kern w:val="0"/>
          <w:sz w:val="24"/>
          <w:vertAlign w:val="superscript"/>
        </w:rPr>
        <w:t>3</w:t>
      </w:r>
      <w:r>
        <w:rPr>
          <w:rFonts w:hAnsi="宋体" w:hint="eastAsia"/>
          <w:kern w:val="0"/>
          <w:sz w:val="24"/>
        </w:rPr>
        <w:t>、</w:t>
      </w:r>
      <w:r>
        <w:rPr>
          <w:rFonts w:hAnsi="宋体" w:hint="eastAsia"/>
          <w:kern w:val="0"/>
          <w:sz w:val="24"/>
        </w:rPr>
        <w:t>0.003881</w:t>
      </w:r>
      <w:r>
        <w:rPr>
          <w:rFonts w:hint="eastAsia"/>
          <w:kern w:val="0"/>
          <w:sz w:val="24"/>
        </w:rPr>
        <w:t xml:space="preserve"> m</w:t>
      </w:r>
      <w:r>
        <w:rPr>
          <w:kern w:val="0"/>
          <w:sz w:val="24"/>
        </w:rPr>
        <w:t>g /m</w:t>
      </w:r>
      <w:r>
        <w:rPr>
          <w:kern w:val="0"/>
          <w:sz w:val="24"/>
          <w:vertAlign w:val="superscript"/>
        </w:rPr>
        <w:t>3</w:t>
      </w:r>
      <w:r>
        <w:rPr>
          <w:rFonts w:hAnsi="宋体" w:hint="eastAsia"/>
          <w:sz w:val="24"/>
        </w:rPr>
        <w:t>），区域最大污染物浓度值分别为</w:t>
      </w:r>
      <w:r>
        <w:rPr>
          <w:rFonts w:hAnsi="宋体" w:hint="eastAsia"/>
          <w:sz w:val="24"/>
        </w:rPr>
        <w:t>0.0155</w:t>
      </w:r>
      <w:r>
        <w:rPr>
          <w:rFonts w:hint="eastAsia"/>
          <w:kern w:val="0"/>
          <w:sz w:val="24"/>
        </w:rPr>
        <w:t xml:space="preserve"> m</w:t>
      </w:r>
      <w:r>
        <w:rPr>
          <w:kern w:val="0"/>
          <w:sz w:val="24"/>
        </w:rPr>
        <w:t>g/m</w:t>
      </w:r>
      <w:r>
        <w:rPr>
          <w:kern w:val="0"/>
          <w:sz w:val="24"/>
          <w:vertAlign w:val="superscript"/>
        </w:rPr>
        <w:t>3</w:t>
      </w:r>
      <w:r>
        <w:rPr>
          <w:rFonts w:hAnsi="宋体" w:hint="eastAsia"/>
          <w:kern w:val="0"/>
          <w:sz w:val="24"/>
        </w:rPr>
        <w:t>、</w:t>
      </w:r>
      <w:r>
        <w:rPr>
          <w:rFonts w:hAnsi="宋体" w:hint="eastAsia"/>
          <w:kern w:val="0"/>
          <w:sz w:val="24"/>
        </w:rPr>
        <w:t>0.071</w:t>
      </w:r>
      <w:r>
        <w:rPr>
          <w:rFonts w:hint="eastAsia"/>
          <w:kern w:val="0"/>
          <w:sz w:val="24"/>
        </w:rPr>
        <w:t xml:space="preserve"> m</w:t>
      </w:r>
      <w:r>
        <w:rPr>
          <w:kern w:val="0"/>
          <w:sz w:val="24"/>
        </w:rPr>
        <w:t>g/m</w:t>
      </w:r>
      <w:r>
        <w:rPr>
          <w:kern w:val="0"/>
          <w:sz w:val="24"/>
          <w:vertAlign w:val="superscript"/>
        </w:rPr>
        <w:t>3</w:t>
      </w:r>
      <w:r>
        <w:rPr>
          <w:rFonts w:hAnsi="宋体" w:hint="eastAsia"/>
          <w:kern w:val="0"/>
          <w:sz w:val="24"/>
        </w:rPr>
        <w:t>、</w:t>
      </w:r>
      <w:r>
        <w:rPr>
          <w:rFonts w:hAnsi="宋体" w:hint="eastAsia"/>
          <w:kern w:val="0"/>
          <w:sz w:val="24"/>
        </w:rPr>
        <w:t>0.137</w:t>
      </w:r>
      <w:r>
        <w:rPr>
          <w:rFonts w:hint="eastAsia"/>
          <w:kern w:val="0"/>
          <w:sz w:val="24"/>
        </w:rPr>
        <w:t xml:space="preserve"> m</w:t>
      </w:r>
      <w:r>
        <w:rPr>
          <w:kern w:val="0"/>
          <w:sz w:val="24"/>
        </w:rPr>
        <w:t>g/m</w:t>
      </w:r>
      <w:r>
        <w:rPr>
          <w:kern w:val="0"/>
          <w:sz w:val="24"/>
          <w:vertAlign w:val="superscript"/>
        </w:rPr>
        <w:t>3</w:t>
      </w:r>
      <w:r>
        <w:rPr>
          <w:rFonts w:hAnsi="宋体"/>
          <w:sz w:val="24"/>
        </w:rPr>
        <w:t>，</w:t>
      </w:r>
      <w:r>
        <w:rPr>
          <w:rFonts w:hAnsi="宋体" w:hint="eastAsia"/>
          <w:sz w:val="24"/>
        </w:rPr>
        <w:t>占标率分别为</w:t>
      </w:r>
      <w:r>
        <w:rPr>
          <w:rFonts w:hAnsi="宋体" w:hint="eastAsia"/>
          <w:sz w:val="24"/>
        </w:rPr>
        <w:t>31%</w:t>
      </w:r>
      <w:r>
        <w:rPr>
          <w:rFonts w:hAnsi="宋体" w:hint="eastAsia"/>
          <w:sz w:val="24"/>
        </w:rPr>
        <w:t>、</w:t>
      </w:r>
      <w:r>
        <w:rPr>
          <w:rFonts w:hAnsi="宋体" w:hint="eastAsia"/>
          <w:sz w:val="24"/>
        </w:rPr>
        <w:t>35.5%</w:t>
      </w:r>
      <w:r>
        <w:rPr>
          <w:rFonts w:hAnsi="宋体" w:hint="eastAsia"/>
          <w:sz w:val="24"/>
        </w:rPr>
        <w:t>和</w:t>
      </w:r>
      <w:r>
        <w:rPr>
          <w:rFonts w:hAnsi="宋体" w:hint="eastAsia"/>
          <w:sz w:val="24"/>
        </w:rPr>
        <w:t>30.4%</w:t>
      </w:r>
      <w:r>
        <w:rPr>
          <w:rFonts w:hAnsi="宋体" w:hint="eastAsia"/>
          <w:sz w:val="24"/>
        </w:rPr>
        <w:t>，本项目建成后，污染因子的区域环境质量浓度未超过质量标准。</w:t>
      </w:r>
    </w:p>
    <w:p w:rsidR="00475650" w:rsidRDefault="00475650">
      <w:pPr>
        <w:snapToGrid w:val="0"/>
        <w:spacing w:line="336" w:lineRule="auto"/>
        <w:outlineLvl w:val="2"/>
        <w:rPr>
          <w:sz w:val="24"/>
        </w:rPr>
      </w:pPr>
      <w:bookmarkStart w:id="755" w:name="_Toc302936829"/>
      <w:r>
        <w:rPr>
          <w:sz w:val="24"/>
        </w:rPr>
        <w:t xml:space="preserve">5.2.2.5 </w:t>
      </w:r>
      <w:r>
        <w:rPr>
          <w:rFonts w:hAnsi="宋体"/>
          <w:sz w:val="24"/>
        </w:rPr>
        <w:t>排气筒核算</w:t>
      </w:r>
      <w:bookmarkEnd w:id="755"/>
    </w:p>
    <w:p w:rsidR="00475650" w:rsidRDefault="00475650">
      <w:pPr>
        <w:spacing w:line="360" w:lineRule="auto"/>
        <w:ind w:firstLineChars="200" w:firstLine="480"/>
        <w:rPr>
          <w:sz w:val="24"/>
        </w:rPr>
      </w:pPr>
      <w:r>
        <w:rPr>
          <w:rFonts w:hAnsi="宋体"/>
          <w:sz w:val="24"/>
        </w:rPr>
        <w:t>根据工程分析章节的计算结果，本项目有组织废气通过配套的布袋收尘器排放口外排，污染物的浓度及烟囱高度均满足《大气污染物综合物排放标准》（</w:t>
      </w:r>
      <w:r>
        <w:rPr>
          <w:sz w:val="24"/>
        </w:rPr>
        <w:t>GB16297-1996</w:t>
      </w:r>
      <w:r>
        <w:rPr>
          <w:rFonts w:hAnsi="宋体"/>
          <w:sz w:val="24"/>
        </w:rPr>
        <w:t>）的标准要求，其内径设置为</w:t>
      </w:r>
      <w:r>
        <w:rPr>
          <w:sz w:val="24"/>
        </w:rPr>
        <w:t>0.</w:t>
      </w:r>
      <w:r>
        <w:rPr>
          <w:rFonts w:hint="eastAsia"/>
          <w:sz w:val="24"/>
        </w:rPr>
        <w:t>6</w:t>
      </w:r>
      <w:r>
        <w:rPr>
          <w:sz w:val="24"/>
        </w:rPr>
        <w:t>m</w:t>
      </w:r>
      <w:r>
        <w:rPr>
          <w:rFonts w:hAnsi="宋体"/>
          <w:sz w:val="24"/>
        </w:rPr>
        <w:t>时，</w:t>
      </w:r>
      <w:r>
        <w:rPr>
          <w:rFonts w:hAnsi="宋体" w:hint="eastAsia"/>
          <w:sz w:val="24"/>
        </w:rPr>
        <w:t>废气</w:t>
      </w:r>
      <w:r>
        <w:rPr>
          <w:rFonts w:hAnsi="宋体"/>
          <w:sz w:val="24"/>
        </w:rPr>
        <w:t>的外排速率为</w:t>
      </w:r>
      <w:r>
        <w:rPr>
          <w:rFonts w:hint="eastAsia"/>
          <w:sz w:val="24"/>
        </w:rPr>
        <w:t>14.74</w:t>
      </w:r>
      <w:r>
        <w:rPr>
          <w:sz w:val="24"/>
        </w:rPr>
        <w:t>m/s</w:t>
      </w:r>
      <w:r>
        <w:rPr>
          <w:rFonts w:hAnsi="宋体"/>
          <w:sz w:val="24"/>
        </w:rPr>
        <w:t>，满足大于平均风速（</w:t>
      </w:r>
      <w:r>
        <w:rPr>
          <w:sz w:val="24"/>
        </w:rPr>
        <w:t>2.2m/s</w:t>
      </w:r>
      <w:r>
        <w:rPr>
          <w:rFonts w:hAnsi="宋体"/>
          <w:sz w:val="24"/>
        </w:rPr>
        <w:t>）</w:t>
      </w:r>
      <w:r>
        <w:rPr>
          <w:sz w:val="24"/>
        </w:rPr>
        <w:t>1.5</w:t>
      </w:r>
      <w:r>
        <w:rPr>
          <w:rFonts w:hAnsi="宋体"/>
          <w:sz w:val="24"/>
        </w:rPr>
        <w:t>倍要求，排气筒的高度及内径设置是合理的。</w:t>
      </w:r>
    </w:p>
    <w:p w:rsidR="00CA1345" w:rsidRDefault="00475650">
      <w:pPr>
        <w:snapToGrid w:val="0"/>
        <w:spacing w:line="360" w:lineRule="auto"/>
        <w:outlineLvl w:val="0"/>
        <w:rPr>
          <w:rFonts w:hint="eastAsia"/>
          <w:sz w:val="24"/>
        </w:rPr>
      </w:pPr>
      <w:bookmarkStart w:id="756" w:name="_Toc334080859"/>
      <w:bookmarkStart w:id="757" w:name="_Toc302936830"/>
      <w:bookmarkStart w:id="758" w:name="_Toc334014217"/>
      <w:bookmarkStart w:id="759" w:name="_Toc333230041"/>
      <w:bookmarkStart w:id="760" w:name="_Toc448999130"/>
      <w:bookmarkStart w:id="761" w:name="_Toc17374"/>
      <w:bookmarkStart w:id="762" w:name="_Toc465677031"/>
      <w:r>
        <w:rPr>
          <w:sz w:val="24"/>
        </w:rPr>
        <w:t>5.2.2.6</w:t>
      </w:r>
      <w:r w:rsidR="00CA1345">
        <w:rPr>
          <w:rFonts w:hint="eastAsia"/>
          <w:sz w:val="24"/>
        </w:rPr>
        <w:t>厂外防护距离</w:t>
      </w:r>
    </w:p>
    <w:p w:rsidR="00CA1345" w:rsidRDefault="00CA1345">
      <w:pPr>
        <w:snapToGrid w:val="0"/>
        <w:spacing w:line="360" w:lineRule="auto"/>
        <w:outlineLvl w:val="0"/>
        <w:rPr>
          <w:rFonts w:hint="eastAsia"/>
          <w:sz w:val="24"/>
        </w:rPr>
      </w:pPr>
      <w:r>
        <w:rPr>
          <w:rFonts w:hint="eastAsia"/>
          <w:sz w:val="24"/>
        </w:rPr>
        <w:t>1</w:t>
      </w:r>
      <w:r>
        <w:rPr>
          <w:rFonts w:hint="eastAsia"/>
          <w:sz w:val="24"/>
        </w:rPr>
        <w:t>、大气环境防护距离</w:t>
      </w:r>
    </w:p>
    <w:bookmarkEnd w:id="756"/>
    <w:bookmarkEnd w:id="757"/>
    <w:bookmarkEnd w:id="758"/>
    <w:bookmarkEnd w:id="759"/>
    <w:bookmarkEnd w:id="760"/>
    <w:bookmarkEnd w:id="761"/>
    <w:bookmarkEnd w:id="762"/>
    <w:p w:rsidR="00475650" w:rsidRDefault="00475650">
      <w:pPr>
        <w:spacing w:line="360" w:lineRule="auto"/>
        <w:ind w:firstLineChars="200" w:firstLine="480"/>
        <w:rPr>
          <w:sz w:val="24"/>
        </w:rPr>
      </w:pPr>
      <w:r>
        <w:rPr>
          <w:rFonts w:hAnsi="宋体"/>
          <w:sz w:val="24"/>
        </w:rPr>
        <w:t>根据工程分析，本项目产生的含污无组织排放气来自装置区，采用导则推荐的大气环境防护距离标准计算程序（环境保护部环境工程评估中心环境质量模拟重点实验室发布）核算，拟建工程大气环境防护距离核算结果见表</w:t>
      </w:r>
      <w:r>
        <w:rPr>
          <w:sz w:val="24"/>
        </w:rPr>
        <w:t>5.2-</w:t>
      </w:r>
      <w:r>
        <w:rPr>
          <w:rFonts w:hint="eastAsia"/>
          <w:sz w:val="24"/>
        </w:rPr>
        <w:t>3</w:t>
      </w:r>
      <w:r>
        <w:rPr>
          <w:rFonts w:hint="eastAsia"/>
          <w:sz w:val="24"/>
        </w:rPr>
        <w:t>，在采取可研及环评提出的负压收集及污染治理的措施后，本项目大气环境防护距离为</w:t>
      </w:r>
      <w:r>
        <w:rPr>
          <w:rFonts w:hint="eastAsia"/>
          <w:sz w:val="24"/>
        </w:rPr>
        <w:t>0m</w:t>
      </w:r>
      <w:r>
        <w:rPr>
          <w:rFonts w:hAnsi="宋体"/>
          <w:sz w:val="24"/>
        </w:rPr>
        <w:t>。</w:t>
      </w:r>
    </w:p>
    <w:p w:rsidR="00475650" w:rsidRDefault="00475650">
      <w:pPr>
        <w:spacing w:line="360" w:lineRule="auto"/>
        <w:ind w:firstLineChars="200" w:firstLine="480"/>
        <w:jc w:val="center"/>
        <w:rPr>
          <w:bCs/>
          <w:sz w:val="24"/>
        </w:rPr>
      </w:pPr>
      <w:r>
        <w:rPr>
          <w:rFonts w:hAnsi="宋体"/>
          <w:bCs/>
          <w:sz w:val="24"/>
        </w:rPr>
        <w:t>表</w:t>
      </w:r>
      <w:r>
        <w:rPr>
          <w:bCs/>
          <w:sz w:val="24"/>
        </w:rPr>
        <w:t>5.2-</w:t>
      </w:r>
      <w:r>
        <w:rPr>
          <w:rFonts w:hint="eastAsia"/>
          <w:bCs/>
          <w:sz w:val="24"/>
        </w:rPr>
        <w:t>3</w:t>
      </w:r>
      <w:r>
        <w:rPr>
          <w:rFonts w:hAnsi="宋体"/>
          <w:bCs/>
          <w:sz w:val="24"/>
        </w:rPr>
        <w:t xml:space="preserve">　预测参数和结果表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507"/>
        <w:gridCol w:w="1845"/>
        <w:gridCol w:w="1434"/>
        <w:gridCol w:w="1965"/>
        <w:gridCol w:w="2195"/>
      </w:tblGrid>
      <w:tr w:rsidR="00475650">
        <w:tc>
          <w:tcPr>
            <w:tcW w:w="1507" w:type="dxa"/>
            <w:vAlign w:val="center"/>
          </w:tcPr>
          <w:p w:rsidR="00475650" w:rsidRDefault="00475650" w:rsidP="00BD74CB">
            <w:pPr>
              <w:snapToGrid w:val="0"/>
              <w:spacing w:beforeLines="20" w:afterLines="20" w:line="216" w:lineRule="auto"/>
              <w:jc w:val="center"/>
              <w:rPr>
                <w:szCs w:val="21"/>
              </w:rPr>
            </w:pPr>
            <w:r>
              <w:rPr>
                <w:rFonts w:hAnsi="宋体"/>
                <w:szCs w:val="21"/>
              </w:rPr>
              <w:t>源点</w:t>
            </w:r>
          </w:p>
        </w:tc>
        <w:tc>
          <w:tcPr>
            <w:tcW w:w="1845" w:type="dxa"/>
            <w:tcBorders>
              <w:right w:val="single" w:sz="4" w:space="0" w:color="auto"/>
            </w:tcBorders>
            <w:vAlign w:val="center"/>
          </w:tcPr>
          <w:p w:rsidR="00475650" w:rsidRDefault="00475650" w:rsidP="00BD74CB">
            <w:pPr>
              <w:snapToGrid w:val="0"/>
              <w:spacing w:beforeLines="20" w:afterLines="20" w:line="216" w:lineRule="auto"/>
              <w:jc w:val="center"/>
              <w:rPr>
                <w:szCs w:val="21"/>
              </w:rPr>
            </w:pPr>
            <w:r>
              <w:rPr>
                <w:rFonts w:hAnsi="宋体"/>
                <w:szCs w:val="21"/>
              </w:rPr>
              <w:t>源强</w:t>
            </w:r>
          </w:p>
        </w:tc>
        <w:tc>
          <w:tcPr>
            <w:tcW w:w="1434" w:type="dxa"/>
            <w:tcBorders>
              <w:left w:val="single" w:sz="4" w:space="0" w:color="auto"/>
            </w:tcBorders>
            <w:vAlign w:val="center"/>
          </w:tcPr>
          <w:p w:rsidR="00475650" w:rsidRDefault="00475650" w:rsidP="00BD74CB">
            <w:pPr>
              <w:snapToGrid w:val="0"/>
              <w:spacing w:beforeLines="20" w:afterLines="20" w:line="216" w:lineRule="auto"/>
              <w:jc w:val="center"/>
              <w:rPr>
                <w:szCs w:val="21"/>
              </w:rPr>
            </w:pPr>
            <w:r>
              <w:rPr>
                <w:rFonts w:hint="eastAsia"/>
                <w:szCs w:val="21"/>
              </w:rPr>
              <w:t>标准</w:t>
            </w:r>
          </w:p>
        </w:tc>
        <w:tc>
          <w:tcPr>
            <w:tcW w:w="1965" w:type="dxa"/>
            <w:vAlign w:val="center"/>
          </w:tcPr>
          <w:p w:rsidR="00475650" w:rsidRDefault="00475650" w:rsidP="00BD74CB">
            <w:pPr>
              <w:snapToGrid w:val="0"/>
              <w:spacing w:beforeLines="20" w:afterLines="20" w:line="216" w:lineRule="auto"/>
              <w:jc w:val="center"/>
              <w:rPr>
                <w:szCs w:val="21"/>
              </w:rPr>
            </w:pPr>
            <w:r>
              <w:rPr>
                <w:rFonts w:hAnsi="宋体"/>
                <w:szCs w:val="21"/>
              </w:rPr>
              <w:t>面积（</w:t>
            </w:r>
            <w:r>
              <w:rPr>
                <w:szCs w:val="21"/>
              </w:rPr>
              <w:t>m×m</w:t>
            </w:r>
            <w:r>
              <w:rPr>
                <w:rFonts w:hAnsi="宋体"/>
                <w:szCs w:val="21"/>
              </w:rPr>
              <w:t>）</w:t>
            </w:r>
          </w:p>
        </w:tc>
        <w:tc>
          <w:tcPr>
            <w:tcW w:w="2195" w:type="dxa"/>
            <w:vAlign w:val="center"/>
          </w:tcPr>
          <w:p w:rsidR="00475650" w:rsidRDefault="00475650" w:rsidP="00BD74CB">
            <w:pPr>
              <w:snapToGrid w:val="0"/>
              <w:spacing w:beforeLines="20" w:afterLines="20" w:line="216" w:lineRule="auto"/>
              <w:jc w:val="center"/>
              <w:rPr>
                <w:szCs w:val="21"/>
              </w:rPr>
            </w:pPr>
            <w:r>
              <w:rPr>
                <w:rFonts w:hAnsi="宋体"/>
                <w:szCs w:val="21"/>
              </w:rPr>
              <w:t>核定大气防护距离</w:t>
            </w:r>
            <w:r>
              <w:rPr>
                <w:szCs w:val="21"/>
              </w:rPr>
              <w:t>m</w:t>
            </w:r>
          </w:p>
        </w:tc>
      </w:tr>
      <w:tr w:rsidR="00475650">
        <w:tc>
          <w:tcPr>
            <w:tcW w:w="1507" w:type="dxa"/>
            <w:vMerge w:val="restart"/>
            <w:vAlign w:val="center"/>
          </w:tcPr>
          <w:p w:rsidR="00475650" w:rsidRDefault="00BD74CB" w:rsidP="00BD74CB">
            <w:pPr>
              <w:snapToGrid w:val="0"/>
              <w:spacing w:beforeLines="20" w:afterLines="20" w:line="216" w:lineRule="auto"/>
              <w:jc w:val="center"/>
              <w:rPr>
                <w:szCs w:val="21"/>
              </w:rPr>
            </w:pPr>
            <w:r>
              <w:rPr>
                <w:rFonts w:hAnsi="宋体" w:hint="eastAsia"/>
                <w:szCs w:val="21"/>
              </w:rPr>
              <w:t>项目区</w:t>
            </w:r>
          </w:p>
        </w:tc>
        <w:tc>
          <w:tcPr>
            <w:tcW w:w="1845" w:type="dxa"/>
            <w:tcBorders>
              <w:right w:val="single" w:sz="4" w:space="0" w:color="auto"/>
            </w:tcBorders>
            <w:vAlign w:val="center"/>
          </w:tcPr>
          <w:p w:rsidR="00475650" w:rsidRDefault="00475650" w:rsidP="00BD74CB">
            <w:pPr>
              <w:snapToGrid w:val="0"/>
              <w:spacing w:beforeLines="20" w:afterLines="20" w:line="216" w:lineRule="auto"/>
              <w:jc w:val="center"/>
              <w:rPr>
                <w:szCs w:val="21"/>
              </w:rPr>
            </w:pPr>
            <w:r>
              <w:rPr>
                <w:rFonts w:hAnsi="宋体" w:hint="eastAsia"/>
                <w:szCs w:val="21"/>
              </w:rPr>
              <w:t>氯化氢</w:t>
            </w:r>
            <w:r>
              <w:rPr>
                <w:rFonts w:hint="eastAsia"/>
                <w:szCs w:val="21"/>
              </w:rPr>
              <w:t>0.25</w:t>
            </w:r>
            <w:r>
              <w:rPr>
                <w:szCs w:val="21"/>
              </w:rPr>
              <w:t>t/a</w:t>
            </w:r>
          </w:p>
        </w:tc>
        <w:tc>
          <w:tcPr>
            <w:tcW w:w="1434" w:type="dxa"/>
            <w:tcBorders>
              <w:left w:val="single" w:sz="4" w:space="0" w:color="auto"/>
            </w:tcBorders>
            <w:vAlign w:val="center"/>
          </w:tcPr>
          <w:p w:rsidR="00475650" w:rsidRDefault="00475650" w:rsidP="00BD74CB">
            <w:pPr>
              <w:snapToGrid w:val="0"/>
              <w:spacing w:beforeLines="20" w:afterLines="20" w:line="216" w:lineRule="auto"/>
              <w:jc w:val="center"/>
              <w:rPr>
                <w:szCs w:val="21"/>
              </w:rPr>
            </w:pPr>
            <w:r>
              <w:rPr>
                <w:rFonts w:hint="eastAsia"/>
                <w:szCs w:val="21"/>
              </w:rPr>
              <w:t>0.05mg/m</w:t>
            </w:r>
            <w:r>
              <w:rPr>
                <w:rFonts w:hint="eastAsia"/>
                <w:szCs w:val="21"/>
                <w:vertAlign w:val="superscript"/>
              </w:rPr>
              <w:t>3</w:t>
            </w:r>
          </w:p>
        </w:tc>
        <w:tc>
          <w:tcPr>
            <w:tcW w:w="1965" w:type="dxa"/>
            <w:vMerge w:val="restart"/>
            <w:vAlign w:val="center"/>
          </w:tcPr>
          <w:p w:rsidR="00475650" w:rsidRDefault="00475650" w:rsidP="00BD74CB">
            <w:pPr>
              <w:snapToGrid w:val="0"/>
              <w:spacing w:beforeLines="20" w:afterLines="20" w:line="216" w:lineRule="auto"/>
              <w:jc w:val="center"/>
              <w:rPr>
                <w:szCs w:val="21"/>
              </w:rPr>
            </w:pPr>
            <w:r>
              <w:rPr>
                <w:szCs w:val="21"/>
              </w:rPr>
              <w:t>47m×30m×3m</w:t>
            </w:r>
          </w:p>
        </w:tc>
        <w:tc>
          <w:tcPr>
            <w:tcW w:w="2195" w:type="dxa"/>
            <w:vAlign w:val="center"/>
          </w:tcPr>
          <w:p w:rsidR="00475650" w:rsidRDefault="00475650" w:rsidP="00BD74CB">
            <w:pPr>
              <w:snapToGrid w:val="0"/>
              <w:spacing w:beforeLines="20" w:afterLines="20" w:line="216" w:lineRule="auto"/>
              <w:jc w:val="center"/>
              <w:rPr>
                <w:szCs w:val="21"/>
              </w:rPr>
            </w:pPr>
            <w:r>
              <w:rPr>
                <w:rFonts w:hint="eastAsia"/>
                <w:szCs w:val="21"/>
              </w:rPr>
              <w:t>0</w:t>
            </w:r>
          </w:p>
        </w:tc>
      </w:tr>
      <w:tr w:rsidR="00475650">
        <w:tc>
          <w:tcPr>
            <w:tcW w:w="1507" w:type="dxa"/>
            <w:vMerge/>
            <w:vAlign w:val="center"/>
          </w:tcPr>
          <w:p w:rsidR="00475650" w:rsidRDefault="00475650" w:rsidP="00BD74CB">
            <w:pPr>
              <w:snapToGrid w:val="0"/>
              <w:spacing w:beforeLines="20" w:afterLines="20" w:line="216" w:lineRule="auto"/>
              <w:jc w:val="center"/>
              <w:rPr>
                <w:szCs w:val="21"/>
              </w:rPr>
            </w:pPr>
          </w:p>
        </w:tc>
        <w:tc>
          <w:tcPr>
            <w:tcW w:w="1845" w:type="dxa"/>
            <w:tcBorders>
              <w:right w:val="single" w:sz="4" w:space="0" w:color="auto"/>
            </w:tcBorders>
            <w:vAlign w:val="center"/>
          </w:tcPr>
          <w:p w:rsidR="00475650" w:rsidRDefault="00475650" w:rsidP="00BD74CB">
            <w:pPr>
              <w:snapToGrid w:val="0"/>
              <w:spacing w:beforeLines="20" w:afterLines="20" w:line="216" w:lineRule="auto"/>
              <w:jc w:val="center"/>
              <w:rPr>
                <w:szCs w:val="21"/>
              </w:rPr>
            </w:pPr>
            <w:r>
              <w:rPr>
                <w:rFonts w:hAnsi="宋体"/>
                <w:szCs w:val="21"/>
              </w:rPr>
              <w:t>氨气</w:t>
            </w:r>
            <w:r>
              <w:rPr>
                <w:rFonts w:hint="eastAsia"/>
                <w:szCs w:val="21"/>
              </w:rPr>
              <w:t>0.014</w:t>
            </w:r>
            <w:r>
              <w:rPr>
                <w:szCs w:val="21"/>
              </w:rPr>
              <w:t>t/a</w:t>
            </w:r>
          </w:p>
        </w:tc>
        <w:tc>
          <w:tcPr>
            <w:tcW w:w="1434" w:type="dxa"/>
            <w:tcBorders>
              <w:left w:val="single" w:sz="4" w:space="0" w:color="auto"/>
            </w:tcBorders>
            <w:vAlign w:val="center"/>
          </w:tcPr>
          <w:p w:rsidR="00475650" w:rsidRDefault="00475650" w:rsidP="00BD74CB">
            <w:pPr>
              <w:snapToGrid w:val="0"/>
              <w:spacing w:beforeLines="20" w:afterLines="20" w:line="216" w:lineRule="auto"/>
              <w:jc w:val="center"/>
              <w:rPr>
                <w:szCs w:val="21"/>
              </w:rPr>
            </w:pPr>
            <w:r>
              <w:rPr>
                <w:rFonts w:hint="eastAsia"/>
                <w:szCs w:val="21"/>
              </w:rPr>
              <w:t>0.2 mg/m</w:t>
            </w:r>
            <w:r>
              <w:rPr>
                <w:rFonts w:hint="eastAsia"/>
                <w:szCs w:val="21"/>
                <w:vertAlign w:val="superscript"/>
              </w:rPr>
              <w:t>3</w:t>
            </w:r>
          </w:p>
        </w:tc>
        <w:tc>
          <w:tcPr>
            <w:tcW w:w="1965" w:type="dxa"/>
            <w:vMerge/>
            <w:vAlign w:val="center"/>
          </w:tcPr>
          <w:p w:rsidR="00475650" w:rsidRDefault="00475650" w:rsidP="00BD74CB">
            <w:pPr>
              <w:snapToGrid w:val="0"/>
              <w:spacing w:beforeLines="20" w:afterLines="20" w:line="216" w:lineRule="auto"/>
              <w:jc w:val="center"/>
              <w:rPr>
                <w:szCs w:val="21"/>
              </w:rPr>
            </w:pPr>
          </w:p>
        </w:tc>
        <w:tc>
          <w:tcPr>
            <w:tcW w:w="2195" w:type="dxa"/>
            <w:vAlign w:val="center"/>
          </w:tcPr>
          <w:p w:rsidR="00475650" w:rsidRDefault="00475650" w:rsidP="00BD74CB">
            <w:pPr>
              <w:snapToGrid w:val="0"/>
              <w:spacing w:beforeLines="20" w:afterLines="20" w:line="216" w:lineRule="auto"/>
              <w:jc w:val="center"/>
              <w:rPr>
                <w:szCs w:val="21"/>
              </w:rPr>
            </w:pPr>
            <w:r>
              <w:rPr>
                <w:szCs w:val="21"/>
              </w:rPr>
              <w:t>0</w:t>
            </w:r>
          </w:p>
        </w:tc>
      </w:tr>
      <w:tr w:rsidR="00475650">
        <w:tc>
          <w:tcPr>
            <w:tcW w:w="1507" w:type="dxa"/>
            <w:vMerge/>
            <w:vAlign w:val="center"/>
          </w:tcPr>
          <w:p w:rsidR="00475650" w:rsidRDefault="00475650" w:rsidP="00BD74CB">
            <w:pPr>
              <w:snapToGrid w:val="0"/>
              <w:spacing w:beforeLines="20" w:afterLines="20" w:line="216" w:lineRule="auto"/>
              <w:jc w:val="center"/>
              <w:rPr>
                <w:szCs w:val="21"/>
              </w:rPr>
            </w:pPr>
          </w:p>
        </w:tc>
        <w:tc>
          <w:tcPr>
            <w:tcW w:w="1845" w:type="dxa"/>
            <w:tcBorders>
              <w:right w:val="single" w:sz="4" w:space="0" w:color="auto"/>
            </w:tcBorders>
            <w:vAlign w:val="center"/>
          </w:tcPr>
          <w:p w:rsidR="00475650" w:rsidRDefault="00475650" w:rsidP="00BD74CB">
            <w:pPr>
              <w:snapToGrid w:val="0"/>
              <w:spacing w:beforeLines="20" w:afterLines="20" w:line="216" w:lineRule="auto"/>
              <w:jc w:val="center"/>
              <w:rPr>
                <w:szCs w:val="21"/>
              </w:rPr>
            </w:pPr>
            <w:r>
              <w:rPr>
                <w:rFonts w:hAnsi="宋体"/>
                <w:szCs w:val="21"/>
              </w:rPr>
              <w:t>粉尘</w:t>
            </w:r>
            <w:r>
              <w:rPr>
                <w:rFonts w:hint="eastAsia"/>
                <w:szCs w:val="21"/>
              </w:rPr>
              <w:t>0.71</w:t>
            </w:r>
            <w:r>
              <w:rPr>
                <w:szCs w:val="21"/>
              </w:rPr>
              <w:t>t/a</w:t>
            </w:r>
          </w:p>
        </w:tc>
        <w:tc>
          <w:tcPr>
            <w:tcW w:w="1434" w:type="dxa"/>
            <w:tcBorders>
              <w:left w:val="single" w:sz="4" w:space="0" w:color="auto"/>
            </w:tcBorders>
            <w:vAlign w:val="center"/>
          </w:tcPr>
          <w:p w:rsidR="00475650" w:rsidRDefault="00475650" w:rsidP="00BD74CB">
            <w:pPr>
              <w:snapToGrid w:val="0"/>
              <w:spacing w:beforeLines="20" w:afterLines="20" w:line="216" w:lineRule="auto"/>
              <w:jc w:val="center"/>
              <w:rPr>
                <w:szCs w:val="21"/>
              </w:rPr>
            </w:pPr>
            <w:r>
              <w:rPr>
                <w:rFonts w:hint="eastAsia"/>
                <w:szCs w:val="21"/>
              </w:rPr>
              <w:t>0.45 mg/m</w:t>
            </w:r>
            <w:r>
              <w:rPr>
                <w:rFonts w:hint="eastAsia"/>
                <w:szCs w:val="21"/>
                <w:vertAlign w:val="superscript"/>
              </w:rPr>
              <w:t>3</w:t>
            </w:r>
          </w:p>
        </w:tc>
        <w:tc>
          <w:tcPr>
            <w:tcW w:w="1965" w:type="dxa"/>
            <w:vMerge/>
            <w:vAlign w:val="center"/>
          </w:tcPr>
          <w:p w:rsidR="00475650" w:rsidRDefault="00475650" w:rsidP="00BD74CB">
            <w:pPr>
              <w:snapToGrid w:val="0"/>
              <w:spacing w:beforeLines="20" w:afterLines="20" w:line="216" w:lineRule="auto"/>
              <w:jc w:val="center"/>
              <w:rPr>
                <w:szCs w:val="21"/>
              </w:rPr>
            </w:pPr>
          </w:p>
        </w:tc>
        <w:tc>
          <w:tcPr>
            <w:tcW w:w="2195" w:type="dxa"/>
            <w:vAlign w:val="center"/>
          </w:tcPr>
          <w:p w:rsidR="00475650" w:rsidRDefault="00475650" w:rsidP="00BD74CB">
            <w:pPr>
              <w:snapToGrid w:val="0"/>
              <w:spacing w:beforeLines="20" w:afterLines="20" w:line="216" w:lineRule="auto"/>
              <w:jc w:val="center"/>
              <w:rPr>
                <w:szCs w:val="21"/>
              </w:rPr>
            </w:pPr>
            <w:r>
              <w:rPr>
                <w:rFonts w:hint="eastAsia"/>
                <w:szCs w:val="21"/>
              </w:rPr>
              <w:t>0</w:t>
            </w:r>
          </w:p>
        </w:tc>
      </w:tr>
    </w:tbl>
    <w:p w:rsidR="00BD74CB" w:rsidRDefault="00CA1345">
      <w:pPr>
        <w:snapToGrid w:val="0"/>
        <w:spacing w:line="360" w:lineRule="auto"/>
        <w:outlineLvl w:val="2"/>
        <w:rPr>
          <w:rFonts w:hint="eastAsia"/>
          <w:sz w:val="24"/>
        </w:rPr>
      </w:pPr>
      <w:bookmarkStart w:id="763" w:name="_Toc302936831"/>
      <w:r>
        <w:rPr>
          <w:rFonts w:hint="eastAsia"/>
          <w:sz w:val="24"/>
        </w:rPr>
        <w:t>2</w:t>
      </w:r>
      <w:r>
        <w:rPr>
          <w:rFonts w:hint="eastAsia"/>
          <w:sz w:val="24"/>
        </w:rPr>
        <w:t>、</w:t>
      </w:r>
      <w:r w:rsidR="00BD74CB">
        <w:rPr>
          <w:rFonts w:hint="eastAsia"/>
          <w:sz w:val="24"/>
        </w:rPr>
        <w:t>卫生防护距离</w:t>
      </w:r>
    </w:p>
    <w:p w:rsidR="00BD74CB" w:rsidRDefault="00BD74CB" w:rsidP="00BD74CB">
      <w:pPr>
        <w:spacing w:line="360" w:lineRule="auto"/>
        <w:ind w:firstLineChars="200" w:firstLine="420"/>
        <w:rPr>
          <w:color w:val="000000"/>
        </w:rPr>
      </w:pPr>
      <w:r>
        <w:rPr>
          <w:rFonts w:hAnsi="宋体"/>
          <w:color w:val="000000"/>
        </w:rPr>
        <w:lastRenderedPageBreak/>
        <w:t>根据《制定地方大气污染物排放标准的技术方法》（</w:t>
      </w:r>
      <w:r>
        <w:rPr>
          <w:color w:val="000000"/>
        </w:rPr>
        <w:t>GB/T 3</w:t>
      </w:r>
      <w:r>
        <w:rPr>
          <w:rFonts w:hint="eastAsia"/>
          <w:color w:val="000000"/>
        </w:rPr>
        <w:t>840</w:t>
      </w:r>
      <w:r>
        <w:rPr>
          <w:color w:val="000000"/>
        </w:rPr>
        <w:t>-9</w:t>
      </w:r>
      <w:r>
        <w:rPr>
          <w:rFonts w:hint="eastAsia"/>
          <w:color w:val="000000"/>
        </w:rPr>
        <w:t>1</w:t>
      </w:r>
      <w:r>
        <w:rPr>
          <w:rFonts w:hAnsi="宋体"/>
          <w:color w:val="000000"/>
        </w:rPr>
        <w:t>）规定，无组织排入有害气体的生产单元（生产区、车间、工段）超出</w:t>
      </w:r>
      <w:r>
        <w:rPr>
          <w:color w:val="000000"/>
        </w:rPr>
        <w:t>GB 3095</w:t>
      </w:r>
      <w:r>
        <w:rPr>
          <w:rFonts w:hAnsi="宋体"/>
          <w:color w:val="000000"/>
        </w:rPr>
        <w:t>与</w:t>
      </w:r>
      <w:r>
        <w:rPr>
          <w:color w:val="000000"/>
        </w:rPr>
        <w:t>TJ36</w:t>
      </w:r>
      <w:r>
        <w:rPr>
          <w:rFonts w:hAnsi="宋体"/>
          <w:color w:val="000000"/>
        </w:rPr>
        <w:t>规定的居住区容许浓度限值，则需要与居民区之间应设置卫生防护距离，计算公式如下：</w:t>
      </w:r>
    </w:p>
    <w:p w:rsidR="00BD74CB" w:rsidRDefault="00BD74CB" w:rsidP="00BD74CB">
      <w:pPr>
        <w:spacing w:line="360" w:lineRule="auto"/>
        <w:jc w:val="center"/>
        <w:rPr>
          <w:color w:val="000000"/>
        </w:rPr>
      </w:pPr>
      <w:r>
        <w:rPr>
          <w:color w:val="000000"/>
          <w:position w:val="-30"/>
        </w:rPr>
        <w:object w:dxaOrig="2820" w:dyaOrig="699">
          <v:shape id="_x0000_i1054" type="#_x0000_t75" style="width:2in;height:35.4pt;mso-position-horizontal-relative:page;mso-position-vertical-relative:page" o:ole="" fillcolor="#001">
            <v:imagedata r:id="rId52" o:title=""/>
          </v:shape>
          <o:OLEObject Type="Embed" ProgID="Equation.3" ShapeID="_x0000_i1054" DrawAspect="Content" ObjectID="_1546063758" r:id="rId53"/>
        </w:object>
      </w:r>
    </w:p>
    <w:p w:rsidR="00BD74CB" w:rsidRDefault="00BD74CB" w:rsidP="00BD74CB">
      <w:pPr>
        <w:spacing w:line="360" w:lineRule="auto"/>
        <w:ind w:firstLineChars="200" w:firstLine="420"/>
        <w:rPr>
          <w:color w:val="000000"/>
        </w:rPr>
      </w:pPr>
      <w:r>
        <w:rPr>
          <w:rFonts w:hAnsi="宋体"/>
          <w:color w:val="000000"/>
        </w:rPr>
        <w:t>式中：</w:t>
      </w:r>
      <w:r>
        <w:rPr>
          <w:color w:val="000000"/>
        </w:rPr>
        <w:t>C</w:t>
      </w:r>
      <w:r>
        <w:rPr>
          <w:color w:val="000000"/>
          <w:vertAlign w:val="subscript"/>
        </w:rPr>
        <w:t>m</w:t>
      </w:r>
      <w:r>
        <w:rPr>
          <w:color w:val="000000"/>
        </w:rPr>
        <w:t>--</w:t>
      </w:r>
      <w:r>
        <w:rPr>
          <w:rFonts w:hAnsi="宋体"/>
          <w:color w:val="000000"/>
        </w:rPr>
        <w:t>为标准浓度限值（</w:t>
      </w:r>
      <w:r>
        <w:rPr>
          <w:color w:val="000000"/>
        </w:rPr>
        <w:t>mg/m</w:t>
      </w:r>
      <w:r>
        <w:rPr>
          <w:color w:val="000000"/>
          <w:vertAlign w:val="superscript"/>
        </w:rPr>
        <w:t>3</w:t>
      </w:r>
      <w:r>
        <w:rPr>
          <w:rFonts w:hAnsi="宋体"/>
          <w:color w:val="000000"/>
        </w:rPr>
        <w:t>）；</w:t>
      </w:r>
    </w:p>
    <w:p w:rsidR="00BD74CB" w:rsidRDefault="00BD74CB" w:rsidP="00BD74CB">
      <w:pPr>
        <w:spacing w:line="360" w:lineRule="auto"/>
        <w:ind w:firstLineChars="500" w:firstLine="1050"/>
        <w:rPr>
          <w:color w:val="000000"/>
        </w:rPr>
      </w:pPr>
      <w:r>
        <w:rPr>
          <w:color w:val="000000"/>
        </w:rPr>
        <w:t>Q</w:t>
      </w:r>
      <w:r>
        <w:rPr>
          <w:color w:val="000000"/>
          <w:vertAlign w:val="subscript"/>
        </w:rPr>
        <w:t>c</w:t>
      </w:r>
      <w:r>
        <w:rPr>
          <w:color w:val="000000"/>
        </w:rPr>
        <w:t>--</w:t>
      </w:r>
      <w:r>
        <w:rPr>
          <w:rFonts w:hAnsi="宋体"/>
          <w:color w:val="000000"/>
        </w:rPr>
        <w:t>有害气体无组织排放量可达到的控制水平（</w:t>
      </w:r>
      <w:r>
        <w:rPr>
          <w:color w:val="000000"/>
        </w:rPr>
        <w:t>kg/h</w:t>
      </w:r>
      <w:r>
        <w:rPr>
          <w:rFonts w:hAnsi="宋体"/>
          <w:color w:val="000000"/>
        </w:rPr>
        <w:t>）；</w:t>
      </w:r>
    </w:p>
    <w:p w:rsidR="00BD74CB" w:rsidRDefault="00BD74CB" w:rsidP="00BD74CB">
      <w:pPr>
        <w:spacing w:line="360" w:lineRule="auto"/>
        <w:ind w:firstLineChars="550" w:firstLine="1155"/>
        <w:rPr>
          <w:color w:val="000000"/>
        </w:rPr>
      </w:pPr>
      <w:r>
        <w:rPr>
          <w:color w:val="000000"/>
        </w:rPr>
        <w:t>r--</w:t>
      </w:r>
      <w:r>
        <w:rPr>
          <w:rFonts w:hAnsi="宋体"/>
          <w:color w:val="000000"/>
        </w:rPr>
        <w:t>为有害气体无组织排放源所在生产单元的等效半径（</w:t>
      </w:r>
      <w:r>
        <w:rPr>
          <w:color w:val="000000"/>
        </w:rPr>
        <w:t>m</w:t>
      </w:r>
      <w:r>
        <w:rPr>
          <w:rFonts w:hAnsi="宋体"/>
          <w:color w:val="000000"/>
        </w:rPr>
        <w:t>）；</w:t>
      </w:r>
    </w:p>
    <w:p w:rsidR="00BD74CB" w:rsidRDefault="00BD74CB" w:rsidP="00BD74CB">
      <w:pPr>
        <w:spacing w:line="360" w:lineRule="auto"/>
        <w:ind w:firstLineChars="500" w:firstLine="1050"/>
        <w:rPr>
          <w:color w:val="000000"/>
        </w:rPr>
      </w:pPr>
      <w:r>
        <w:rPr>
          <w:rFonts w:hint="eastAsia"/>
          <w:color w:val="000000"/>
        </w:rPr>
        <w:t xml:space="preserve"> </w:t>
      </w:r>
      <w:r>
        <w:rPr>
          <w:color w:val="000000"/>
        </w:rPr>
        <w:t>L--</w:t>
      </w:r>
      <w:r>
        <w:rPr>
          <w:rFonts w:hAnsi="宋体"/>
          <w:color w:val="000000"/>
        </w:rPr>
        <w:t>为工业企业所需的卫生防护距离（</w:t>
      </w:r>
      <w:r>
        <w:rPr>
          <w:color w:val="000000"/>
        </w:rPr>
        <w:t>m</w:t>
      </w:r>
      <w:r>
        <w:rPr>
          <w:rFonts w:hAnsi="宋体"/>
          <w:color w:val="000000"/>
        </w:rPr>
        <w:t>）；</w:t>
      </w:r>
    </w:p>
    <w:p w:rsidR="00BD74CB" w:rsidRDefault="00BD74CB" w:rsidP="00BD74CB">
      <w:pPr>
        <w:numPr>
          <w:ilvl w:val="0"/>
          <w:numId w:val="86"/>
        </w:numPr>
        <w:spacing w:line="360" w:lineRule="auto"/>
        <w:ind w:firstLineChars="500" w:firstLine="1050"/>
        <w:rPr>
          <w:rFonts w:hAnsi="宋体"/>
          <w:color w:val="000000"/>
        </w:rPr>
      </w:pPr>
      <w:r>
        <w:rPr>
          <w:color w:val="000000"/>
        </w:rPr>
        <w:t>B</w:t>
      </w:r>
      <w:r>
        <w:rPr>
          <w:rFonts w:hAnsi="宋体"/>
          <w:color w:val="000000"/>
        </w:rPr>
        <w:t>、</w:t>
      </w:r>
      <w:r>
        <w:rPr>
          <w:color w:val="000000"/>
        </w:rPr>
        <w:t>C</w:t>
      </w:r>
      <w:r>
        <w:rPr>
          <w:rFonts w:hAnsi="宋体"/>
          <w:color w:val="000000"/>
        </w:rPr>
        <w:t>、</w:t>
      </w:r>
      <w:r>
        <w:rPr>
          <w:color w:val="000000"/>
        </w:rPr>
        <w:t>D</w:t>
      </w:r>
      <w:r>
        <w:rPr>
          <w:rFonts w:hAnsi="宋体"/>
          <w:color w:val="000000"/>
        </w:rPr>
        <w:t>为计算系数</w:t>
      </w:r>
      <w:r>
        <w:rPr>
          <w:rFonts w:hAnsi="宋体" w:hint="eastAsia"/>
          <w:color w:val="000000"/>
        </w:rPr>
        <w:t>，</w:t>
      </w:r>
      <w:r>
        <w:rPr>
          <w:rFonts w:hAnsi="宋体"/>
          <w:color w:val="000000"/>
        </w:rPr>
        <w:t>根据所在地平均风速及工业企业大气污染源构成类别查取。</w:t>
      </w:r>
    </w:p>
    <w:p w:rsidR="00BD74CB" w:rsidRDefault="00BD74CB" w:rsidP="00BD74CB">
      <w:pPr>
        <w:jc w:val="center"/>
        <w:rPr>
          <w:rFonts w:hint="eastAsia"/>
          <w:color w:val="000000"/>
        </w:rPr>
      </w:pPr>
      <w:r>
        <w:rPr>
          <w:rFonts w:ascii="宋体" w:hAnsi="宋体"/>
          <w:b/>
          <w:color w:val="000000"/>
        </w:rPr>
        <w:t>表</w:t>
      </w:r>
      <w:r w:rsidR="00CA1345">
        <w:rPr>
          <w:rFonts w:ascii="宋体" w:hAnsi="宋体" w:hint="eastAsia"/>
          <w:b/>
          <w:color w:val="000000"/>
        </w:rPr>
        <w:t>5.2-4</w:t>
      </w:r>
      <w:r>
        <w:rPr>
          <w:rFonts w:ascii="宋体" w:hAnsi="宋体"/>
          <w:b/>
          <w:color w:val="000000"/>
        </w:rPr>
        <w:t xml:space="preserve"> </w:t>
      </w:r>
      <w:r>
        <w:rPr>
          <w:rFonts w:ascii="宋体" w:hAnsi="宋体" w:hint="eastAsia"/>
          <w:b/>
          <w:color w:val="000000"/>
        </w:rPr>
        <w:t xml:space="preserve"> 卫生环境防护距离一览</w:t>
      </w:r>
      <w:r>
        <w:rPr>
          <w:rFonts w:ascii="宋体" w:hAnsi="宋体"/>
          <w:b/>
          <w:color w:val="000000"/>
        </w:rPr>
        <w:t>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5"/>
        <w:gridCol w:w="1714"/>
        <w:gridCol w:w="1248"/>
        <w:gridCol w:w="1029"/>
        <w:gridCol w:w="1353"/>
        <w:gridCol w:w="1335"/>
        <w:gridCol w:w="1336"/>
      </w:tblGrid>
      <w:tr w:rsidR="00BD74CB" w:rsidTr="00BD74CB">
        <w:trPr>
          <w:trHeight w:val="580"/>
          <w:jc w:val="center"/>
        </w:trPr>
        <w:tc>
          <w:tcPr>
            <w:tcW w:w="785" w:type="dxa"/>
            <w:tcBorders>
              <w:tl2br w:val="nil"/>
              <w:tr2bl w:val="nil"/>
            </w:tcBorders>
            <w:vAlign w:val="center"/>
          </w:tcPr>
          <w:p w:rsidR="00BD74CB" w:rsidRDefault="00BD74CB" w:rsidP="00BD74CB">
            <w:pPr>
              <w:jc w:val="center"/>
              <w:rPr>
                <w:rFonts w:ascii="宋体" w:hAnsi="宋体"/>
                <w:color w:val="000000"/>
                <w:szCs w:val="21"/>
              </w:rPr>
            </w:pPr>
            <w:r>
              <w:rPr>
                <w:rFonts w:ascii="宋体" w:hAnsi="宋体"/>
                <w:color w:val="000000"/>
                <w:szCs w:val="21"/>
              </w:rPr>
              <w:t>序号</w:t>
            </w:r>
          </w:p>
        </w:tc>
        <w:tc>
          <w:tcPr>
            <w:tcW w:w="1714" w:type="dxa"/>
            <w:tcBorders>
              <w:tl2br w:val="nil"/>
              <w:tr2bl w:val="nil"/>
            </w:tcBorders>
            <w:vAlign w:val="center"/>
          </w:tcPr>
          <w:p w:rsidR="00BD74CB" w:rsidRDefault="00BD74CB" w:rsidP="00BD74CB">
            <w:pPr>
              <w:jc w:val="center"/>
              <w:rPr>
                <w:rFonts w:ascii="宋体" w:hAnsi="宋体"/>
                <w:color w:val="000000"/>
                <w:szCs w:val="21"/>
              </w:rPr>
            </w:pPr>
            <w:r>
              <w:rPr>
                <w:rFonts w:ascii="宋体" w:hAnsi="宋体"/>
                <w:color w:val="000000"/>
                <w:szCs w:val="21"/>
              </w:rPr>
              <w:t>污染物名称</w:t>
            </w:r>
          </w:p>
        </w:tc>
        <w:tc>
          <w:tcPr>
            <w:tcW w:w="1248" w:type="dxa"/>
            <w:tcBorders>
              <w:tl2br w:val="nil"/>
              <w:tr2bl w:val="nil"/>
            </w:tcBorders>
            <w:vAlign w:val="center"/>
          </w:tcPr>
          <w:p w:rsidR="00BD74CB" w:rsidRDefault="00BD74CB" w:rsidP="00BD74CB">
            <w:pPr>
              <w:jc w:val="center"/>
              <w:rPr>
                <w:rFonts w:ascii="宋体" w:hAnsi="宋体"/>
                <w:color w:val="000000"/>
                <w:szCs w:val="21"/>
              </w:rPr>
            </w:pPr>
            <w:r>
              <w:rPr>
                <w:rFonts w:ascii="宋体" w:hAnsi="宋体"/>
                <w:color w:val="000000"/>
                <w:szCs w:val="21"/>
              </w:rPr>
              <w:t>排放量</w:t>
            </w:r>
          </w:p>
          <w:p w:rsidR="00BD74CB" w:rsidRDefault="00BD74CB" w:rsidP="00BD74CB">
            <w:pPr>
              <w:jc w:val="center"/>
              <w:rPr>
                <w:rFonts w:ascii="宋体" w:hAnsi="宋体"/>
                <w:color w:val="000000"/>
                <w:szCs w:val="21"/>
              </w:rPr>
            </w:pPr>
            <w:r>
              <w:rPr>
                <w:rFonts w:ascii="宋体" w:hAnsi="宋体"/>
                <w:color w:val="000000"/>
                <w:szCs w:val="21"/>
              </w:rPr>
              <w:t>（</w:t>
            </w:r>
            <w:r>
              <w:rPr>
                <w:rFonts w:ascii="宋体" w:hAnsi="宋体" w:hint="eastAsia"/>
                <w:color w:val="000000"/>
                <w:szCs w:val="21"/>
              </w:rPr>
              <w:t>t/a</w:t>
            </w:r>
            <w:r>
              <w:rPr>
                <w:rFonts w:ascii="宋体" w:hAnsi="宋体"/>
                <w:color w:val="000000"/>
                <w:szCs w:val="21"/>
              </w:rPr>
              <w:t>）</w:t>
            </w:r>
          </w:p>
        </w:tc>
        <w:tc>
          <w:tcPr>
            <w:tcW w:w="1029" w:type="dxa"/>
            <w:tcBorders>
              <w:tl2br w:val="nil"/>
              <w:tr2bl w:val="nil"/>
            </w:tcBorders>
            <w:vAlign w:val="center"/>
          </w:tcPr>
          <w:p w:rsidR="00BD74CB" w:rsidRDefault="00BD74CB" w:rsidP="00BD74CB">
            <w:pPr>
              <w:jc w:val="center"/>
              <w:rPr>
                <w:rFonts w:ascii="宋体" w:hAnsi="宋体"/>
                <w:color w:val="000000"/>
                <w:szCs w:val="21"/>
              </w:rPr>
            </w:pPr>
            <w:r>
              <w:rPr>
                <w:rFonts w:ascii="宋体" w:hAnsi="宋体"/>
                <w:color w:val="000000"/>
                <w:szCs w:val="21"/>
              </w:rPr>
              <w:t>面积</w:t>
            </w:r>
          </w:p>
          <w:p w:rsidR="00BD74CB" w:rsidRDefault="00BD74CB" w:rsidP="00BD74CB">
            <w:pPr>
              <w:jc w:val="center"/>
              <w:rPr>
                <w:rFonts w:ascii="宋体" w:hAnsi="宋体"/>
                <w:color w:val="000000"/>
                <w:szCs w:val="21"/>
              </w:rPr>
            </w:pPr>
            <w:r>
              <w:rPr>
                <w:rFonts w:ascii="宋体" w:hAnsi="宋体"/>
                <w:color w:val="000000"/>
                <w:szCs w:val="21"/>
              </w:rPr>
              <w:t>（m</w:t>
            </w:r>
            <w:r>
              <w:rPr>
                <w:rFonts w:ascii="宋体" w:hAnsi="宋体"/>
                <w:color w:val="000000"/>
                <w:szCs w:val="21"/>
                <w:vertAlign w:val="superscript"/>
              </w:rPr>
              <w:t>2</w:t>
            </w:r>
            <w:r>
              <w:rPr>
                <w:rFonts w:ascii="宋体" w:hAnsi="宋体"/>
                <w:color w:val="000000"/>
                <w:szCs w:val="21"/>
              </w:rPr>
              <w:t>）</w:t>
            </w:r>
          </w:p>
        </w:tc>
        <w:tc>
          <w:tcPr>
            <w:tcW w:w="1353" w:type="dxa"/>
            <w:tcBorders>
              <w:tl2br w:val="nil"/>
              <w:tr2bl w:val="nil"/>
            </w:tcBorders>
            <w:vAlign w:val="center"/>
          </w:tcPr>
          <w:p w:rsidR="00BD74CB" w:rsidRDefault="00BD74CB" w:rsidP="00BD74CB">
            <w:pPr>
              <w:jc w:val="center"/>
              <w:rPr>
                <w:rFonts w:ascii="宋体" w:hAnsi="宋体"/>
                <w:color w:val="000000"/>
                <w:szCs w:val="21"/>
              </w:rPr>
            </w:pPr>
            <w:r>
              <w:rPr>
                <w:rFonts w:ascii="宋体" w:hAnsi="宋体"/>
                <w:color w:val="000000"/>
                <w:szCs w:val="21"/>
              </w:rPr>
              <w:t>质量标准</w:t>
            </w:r>
          </w:p>
          <w:p w:rsidR="00BD74CB" w:rsidRDefault="00BD74CB" w:rsidP="00BD74CB">
            <w:pPr>
              <w:jc w:val="center"/>
              <w:rPr>
                <w:rFonts w:ascii="宋体" w:hAnsi="宋体"/>
                <w:color w:val="000000"/>
                <w:szCs w:val="21"/>
              </w:rPr>
            </w:pPr>
            <w:r>
              <w:rPr>
                <w:rFonts w:ascii="宋体" w:hAnsi="宋体"/>
                <w:color w:val="000000"/>
                <w:szCs w:val="21"/>
              </w:rPr>
              <w:t>（mg/m</w:t>
            </w:r>
            <w:r>
              <w:rPr>
                <w:rFonts w:ascii="宋体" w:hAnsi="宋体"/>
                <w:color w:val="000000"/>
                <w:szCs w:val="21"/>
                <w:vertAlign w:val="superscript"/>
              </w:rPr>
              <w:t>3</w:t>
            </w:r>
            <w:r>
              <w:rPr>
                <w:rFonts w:ascii="宋体" w:hAnsi="宋体"/>
                <w:color w:val="000000"/>
                <w:szCs w:val="21"/>
              </w:rPr>
              <w:t>）</w:t>
            </w:r>
          </w:p>
        </w:tc>
        <w:tc>
          <w:tcPr>
            <w:tcW w:w="1335" w:type="dxa"/>
            <w:tcBorders>
              <w:tl2br w:val="nil"/>
              <w:tr2bl w:val="nil"/>
            </w:tcBorders>
            <w:vAlign w:val="center"/>
          </w:tcPr>
          <w:p w:rsidR="00BD74CB" w:rsidRDefault="00BD74CB" w:rsidP="00BD74CB">
            <w:pPr>
              <w:jc w:val="center"/>
              <w:rPr>
                <w:rFonts w:ascii="宋体" w:hAnsi="宋体"/>
                <w:color w:val="000000"/>
                <w:szCs w:val="21"/>
              </w:rPr>
            </w:pPr>
            <w:r>
              <w:rPr>
                <w:rFonts w:ascii="宋体" w:hAnsi="宋体" w:hint="eastAsia"/>
                <w:color w:val="000000"/>
                <w:szCs w:val="21"/>
              </w:rPr>
              <w:t>计算结果</w:t>
            </w:r>
          </w:p>
          <w:p w:rsidR="00BD74CB" w:rsidRDefault="00BD74CB" w:rsidP="00BD74CB">
            <w:pPr>
              <w:jc w:val="center"/>
              <w:rPr>
                <w:rFonts w:ascii="宋体" w:hAnsi="宋体"/>
                <w:color w:val="000000"/>
                <w:szCs w:val="21"/>
              </w:rPr>
            </w:pPr>
            <w:r>
              <w:rPr>
                <w:rFonts w:ascii="宋体" w:hAnsi="宋体"/>
                <w:color w:val="000000"/>
                <w:szCs w:val="21"/>
              </w:rPr>
              <w:t>（m）</w:t>
            </w:r>
          </w:p>
        </w:tc>
        <w:tc>
          <w:tcPr>
            <w:tcW w:w="1336" w:type="dxa"/>
            <w:tcBorders>
              <w:tl2br w:val="nil"/>
              <w:tr2bl w:val="nil"/>
            </w:tcBorders>
          </w:tcPr>
          <w:p w:rsidR="00BD74CB" w:rsidRDefault="00BD74CB" w:rsidP="00BD74CB">
            <w:pPr>
              <w:jc w:val="center"/>
              <w:rPr>
                <w:rFonts w:ascii="宋体" w:hAnsi="宋体" w:hint="eastAsia"/>
                <w:color w:val="000000"/>
                <w:szCs w:val="21"/>
              </w:rPr>
            </w:pPr>
            <w:r>
              <w:rPr>
                <w:rFonts w:ascii="宋体" w:hAnsi="宋体" w:hint="eastAsia"/>
                <w:color w:val="000000"/>
                <w:szCs w:val="21"/>
              </w:rPr>
              <w:t>卫生防护距离结果（m）</w:t>
            </w:r>
          </w:p>
        </w:tc>
      </w:tr>
      <w:tr w:rsidR="002463F7" w:rsidTr="00BD74CB">
        <w:trPr>
          <w:trHeight w:val="285"/>
          <w:jc w:val="center"/>
        </w:trPr>
        <w:tc>
          <w:tcPr>
            <w:tcW w:w="785" w:type="dxa"/>
            <w:tcBorders>
              <w:tl2br w:val="nil"/>
              <w:tr2bl w:val="nil"/>
            </w:tcBorders>
            <w:vAlign w:val="center"/>
          </w:tcPr>
          <w:p w:rsidR="002463F7" w:rsidRDefault="002463F7" w:rsidP="00BD74CB">
            <w:pPr>
              <w:jc w:val="center"/>
              <w:rPr>
                <w:rFonts w:ascii="宋体" w:hAnsi="宋体"/>
                <w:color w:val="000000"/>
                <w:szCs w:val="21"/>
              </w:rPr>
            </w:pPr>
            <w:r>
              <w:rPr>
                <w:rFonts w:ascii="宋体" w:hAnsi="宋体"/>
                <w:color w:val="000000"/>
                <w:szCs w:val="21"/>
              </w:rPr>
              <w:t>1</w:t>
            </w:r>
          </w:p>
        </w:tc>
        <w:tc>
          <w:tcPr>
            <w:tcW w:w="1714" w:type="dxa"/>
            <w:tcBorders>
              <w:tl2br w:val="nil"/>
              <w:tr2bl w:val="nil"/>
            </w:tcBorders>
            <w:vAlign w:val="center"/>
          </w:tcPr>
          <w:p w:rsidR="002463F7" w:rsidRDefault="002463F7" w:rsidP="00BD74CB">
            <w:pPr>
              <w:snapToGrid w:val="0"/>
              <w:spacing w:beforeLines="20" w:afterLines="20" w:line="216" w:lineRule="auto"/>
              <w:jc w:val="center"/>
              <w:rPr>
                <w:szCs w:val="21"/>
              </w:rPr>
            </w:pPr>
            <w:r>
              <w:rPr>
                <w:rFonts w:hAnsi="宋体" w:hint="eastAsia"/>
                <w:szCs w:val="21"/>
              </w:rPr>
              <w:t>氯化氢</w:t>
            </w:r>
          </w:p>
        </w:tc>
        <w:tc>
          <w:tcPr>
            <w:tcW w:w="1248" w:type="dxa"/>
            <w:tcBorders>
              <w:tl2br w:val="nil"/>
              <w:tr2bl w:val="nil"/>
            </w:tcBorders>
            <w:vAlign w:val="center"/>
          </w:tcPr>
          <w:p w:rsidR="002463F7" w:rsidRDefault="002463F7" w:rsidP="00BD74CB">
            <w:pPr>
              <w:jc w:val="center"/>
              <w:rPr>
                <w:rFonts w:ascii="宋体" w:hAnsi="宋体" w:hint="eastAsia"/>
                <w:color w:val="000000"/>
                <w:szCs w:val="21"/>
              </w:rPr>
            </w:pPr>
            <w:r>
              <w:rPr>
                <w:rFonts w:hint="eastAsia"/>
                <w:color w:val="000000"/>
                <w:szCs w:val="21"/>
              </w:rPr>
              <w:t>0.25</w:t>
            </w:r>
          </w:p>
        </w:tc>
        <w:tc>
          <w:tcPr>
            <w:tcW w:w="1029" w:type="dxa"/>
            <w:tcBorders>
              <w:tl2br w:val="nil"/>
              <w:tr2bl w:val="nil"/>
            </w:tcBorders>
            <w:vAlign w:val="center"/>
          </w:tcPr>
          <w:p w:rsidR="002463F7" w:rsidRDefault="002463F7" w:rsidP="00BD74CB">
            <w:pPr>
              <w:jc w:val="center"/>
              <w:rPr>
                <w:rFonts w:ascii="宋体" w:hAnsi="宋体" w:hint="eastAsia"/>
                <w:color w:val="000000"/>
                <w:szCs w:val="21"/>
              </w:rPr>
            </w:pPr>
            <w:r>
              <w:rPr>
                <w:rFonts w:ascii="宋体" w:hAnsi="宋体" w:hint="eastAsia"/>
                <w:color w:val="000000"/>
                <w:szCs w:val="21"/>
              </w:rPr>
              <w:t>1410</w:t>
            </w:r>
          </w:p>
        </w:tc>
        <w:tc>
          <w:tcPr>
            <w:tcW w:w="1353" w:type="dxa"/>
            <w:tcBorders>
              <w:tl2br w:val="nil"/>
              <w:tr2bl w:val="nil"/>
            </w:tcBorders>
            <w:vAlign w:val="center"/>
          </w:tcPr>
          <w:p w:rsidR="002463F7" w:rsidRDefault="002463F7" w:rsidP="002463F7">
            <w:pPr>
              <w:snapToGrid w:val="0"/>
              <w:spacing w:beforeLines="20" w:afterLines="20" w:line="216" w:lineRule="auto"/>
              <w:jc w:val="center"/>
              <w:rPr>
                <w:szCs w:val="21"/>
              </w:rPr>
            </w:pPr>
            <w:r>
              <w:rPr>
                <w:rFonts w:hint="eastAsia"/>
                <w:szCs w:val="21"/>
              </w:rPr>
              <w:t>0.05</w:t>
            </w:r>
          </w:p>
        </w:tc>
        <w:tc>
          <w:tcPr>
            <w:tcW w:w="1335" w:type="dxa"/>
            <w:tcBorders>
              <w:tl2br w:val="nil"/>
              <w:tr2bl w:val="nil"/>
            </w:tcBorders>
            <w:vAlign w:val="center"/>
          </w:tcPr>
          <w:p w:rsidR="002463F7" w:rsidRDefault="002463F7" w:rsidP="00BD74CB">
            <w:pPr>
              <w:jc w:val="center"/>
              <w:rPr>
                <w:rFonts w:ascii="宋体" w:hAnsi="宋体" w:hint="eastAsia"/>
                <w:color w:val="000000"/>
                <w:szCs w:val="21"/>
              </w:rPr>
            </w:pPr>
            <w:r>
              <w:rPr>
                <w:rFonts w:ascii="宋体" w:hAnsi="宋体" w:hint="eastAsia"/>
                <w:color w:val="000000"/>
                <w:szCs w:val="21"/>
              </w:rPr>
              <w:t>37</w:t>
            </w:r>
          </w:p>
        </w:tc>
        <w:tc>
          <w:tcPr>
            <w:tcW w:w="1336" w:type="dxa"/>
            <w:tcBorders>
              <w:tl2br w:val="nil"/>
              <w:tr2bl w:val="nil"/>
            </w:tcBorders>
          </w:tcPr>
          <w:p w:rsidR="002463F7" w:rsidRDefault="002463F7" w:rsidP="00BD74CB">
            <w:pPr>
              <w:jc w:val="center"/>
              <w:rPr>
                <w:rFonts w:ascii="宋体" w:hAnsi="宋体" w:hint="eastAsia"/>
                <w:color w:val="000000"/>
                <w:szCs w:val="21"/>
              </w:rPr>
            </w:pPr>
            <w:r>
              <w:rPr>
                <w:rFonts w:ascii="宋体" w:hAnsi="宋体" w:hint="eastAsia"/>
                <w:color w:val="000000"/>
                <w:szCs w:val="21"/>
              </w:rPr>
              <w:t>50</w:t>
            </w:r>
          </w:p>
        </w:tc>
      </w:tr>
      <w:tr w:rsidR="002463F7" w:rsidTr="00BD74CB">
        <w:trPr>
          <w:trHeight w:val="285"/>
          <w:jc w:val="center"/>
        </w:trPr>
        <w:tc>
          <w:tcPr>
            <w:tcW w:w="785" w:type="dxa"/>
            <w:tcBorders>
              <w:tl2br w:val="nil"/>
              <w:tr2bl w:val="nil"/>
            </w:tcBorders>
            <w:vAlign w:val="center"/>
          </w:tcPr>
          <w:p w:rsidR="002463F7" w:rsidRDefault="002463F7" w:rsidP="00BD74CB">
            <w:pPr>
              <w:jc w:val="center"/>
              <w:rPr>
                <w:rFonts w:ascii="宋体" w:hAnsi="宋体"/>
                <w:color w:val="000000"/>
                <w:szCs w:val="21"/>
              </w:rPr>
            </w:pPr>
            <w:r>
              <w:rPr>
                <w:rFonts w:ascii="宋体" w:hAnsi="宋体" w:hint="eastAsia"/>
                <w:color w:val="000000"/>
                <w:szCs w:val="21"/>
              </w:rPr>
              <w:t>2</w:t>
            </w:r>
          </w:p>
        </w:tc>
        <w:tc>
          <w:tcPr>
            <w:tcW w:w="1714" w:type="dxa"/>
            <w:tcBorders>
              <w:tl2br w:val="nil"/>
              <w:tr2bl w:val="nil"/>
            </w:tcBorders>
            <w:vAlign w:val="center"/>
          </w:tcPr>
          <w:p w:rsidR="002463F7" w:rsidRDefault="002463F7" w:rsidP="00BD74CB">
            <w:pPr>
              <w:snapToGrid w:val="0"/>
              <w:spacing w:beforeLines="20" w:afterLines="20" w:line="216" w:lineRule="auto"/>
              <w:jc w:val="center"/>
              <w:rPr>
                <w:szCs w:val="21"/>
              </w:rPr>
            </w:pPr>
            <w:r>
              <w:rPr>
                <w:rFonts w:hAnsi="宋体"/>
                <w:szCs w:val="21"/>
              </w:rPr>
              <w:t>氨气</w:t>
            </w:r>
          </w:p>
        </w:tc>
        <w:tc>
          <w:tcPr>
            <w:tcW w:w="1248" w:type="dxa"/>
            <w:tcBorders>
              <w:tl2br w:val="nil"/>
              <w:tr2bl w:val="nil"/>
            </w:tcBorders>
            <w:vAlign w:val="center"/>
          </w:tcPr>
          <w:p w:rsidR="002463F7" w:rsidRDefault="002463F7" w:rsidP="00BD74CB">
            <w:pPr>
              <w:jc w:val="center"/>
              <w:rPr>
                <w:rFonts w:ascii="宋体" w:hAnsi="宋体" w:hint="eastAsia"/>
                <w:color w:val="000000"/>
                <w:szCs w:val="21"/>
              </w:rPr>
            </w:pPr>
            <w:r>
              <w:rPr>
                <w:color w:val="000000"/>
                <w:szCs w:val="21"/>
              </w:rPr>
              <w:t>0.0</w:t>
            </w:r>
            <w:r>
              <w:rPr>
                <w:rFonts w:hint="eastAsia"/>
                <w:color w:val="000000"/>
                <w:szCs w:val="21"/>
              </w:rPr>
              <w:t>14</w:t>
            </w:r>
          </w:p>
        </w:tc>
        <w:tc>
          <w:tcPr>
            <w:tcW w:w="1029" w:type="dxa"/>
            <w:tcBorders>
              <w:tl2br w:val="nil"/>
              <w:tr2bl w:val="nil"/>
            </w:tcBorders>
            <w:vAlign w:val="center"/>
          </w:tcPr>
          <w:p w:rsidR="002463F7" w:rsidRDefault="002463F7" w:rsidP="00BD74CB">
            <w:pPr>
              <w:jc w:val="center"/>
              <w:rPr>
                <w:rFonts w:ascii="宋体" w:hAnsi="宋体" w:hint="eastAsia"/>
                <w:color w:val="000000"/>
                <w:szCs w:val="21"/>
              </w:rPr>
            </w:pPr>
            <w:r>
              <w:rPr>
                <w:rFonts w:ascii="宋体" w:hAnsi="宋体" w:hint="eastAsia"/>
                <w:color w:val="000000"/>
                <w:szCs w:val="21"/>
              </w:rPr>
              <w:t>1410</w:t>
            </w:r>
          </w:p>
        </w:tc>
        <w:tc>
          <w:tcPr>
            <w:tcW w:w="1353" w:type="dxa"/>
            <w:tcBorders>
              <w:tl2br w:val="nil"/>
              <w:tr2bl w:val="nil"/>
            </w:tcBorders>
            <w:vAlign w:val="center"/>
          </w:tcPr>
          <w:p w:rsidR="002463F7" w:rsidRDefault="002463F7" w:rsidP="002463F7">
            <w:pPr>
              <w:snapToGrid w:val="0"/>
              <w:spacing w:beforeLines="20" w:afterLines="20" w:line="216" w:lineRule="auto"/>
              <w:jc w:val="center"/>
              <w:rPr>
                <w:szCs w:val="21"/>
              </w:rPr>
            </w:pPr>
            <w:r>
              <w:rPr>
                <w:rFonts w:hint="eastAsia"/>
                <w:szCs w:val="21"/>
              </w:rPr>
              <w:t xml:space="preserve">0.2 </w:t>
            </w:r>
          </w:p>
        </w:tc>
        <w:tc>
          <w:tcPr>
            <w:tcW w:w="1335" w:type="dxa"/>
            <w:tcBorders>
              <w:tl2br w:val="nil"/>
              <w:tr2bl w:val="nil"/>
            </w:tcBorders>
            <w:vAlign w:val="center"/>
          </w:tcPr>
          <w:p w:rsidR="002463F7" w:rsidRDefault="002463F7" w:rsidP="00BD74CB">
            <w:pPr>
              <w:jc w:val="center"/>
              <w:rPr>
                <w:rFonts w:ascii="宋体" w:hAnsi="宋体" w:hint="eastAsia"/>
                <w:color w:val="000000"/>
                <w:szCs w:val="21"/>
              </w:rPr>
            </w:pPr>
            <w:r>
              <w:rPr>
                <w:rFonts w:ascii="宋体" w:hAnsi="宋体" w:hint="eastAsia"/>
                <w:color w:val="000000"/>
                <w:szCs w:val="21"/>
              </w:rPr>
              <w:t>0.5</w:t>
            </w:r>
          </w:p>
        </w:tc>
        <w:tc>
          <w:tcPr>
            <w:tcW w:w="1336" w:type="dxa"/>
            <w:tcBorders>
              <w:tl2br w:val="nil"/>
              <w:tr2bl w:val="nil"/>
            </w:tcBorders>
          </w:tcPr>
          <w:p w:rsidR="002463F7" w:rsidRDefault="002463F7" w:rsidP="00BD74CB">
            <w:pPr>
              <w:jc w:val="center"/>
              <w:rPr>
                <w:rFonts w:ascii="宋体" w:hAnsi="宋体" w:hint="eastAsia"/>
                <w:color w:val="000000"/>
                <w:szCs w:val="21"/>
              </w:rPr>
            </w:pPr>
            <w:r>
              <w:rPr>
                <w:rFonts w:ascii="宋体" w:hAnsi="宋体" w:hint="eastAsia"/>
                <w:color w:val="000000"/>
                <w:szCs w:val="21"/>
              </w:rPr>
              <w:t>50</w:t>
            </w:r>
          </w:p>
        </w:tc>
      </w:tr>
      <w:tr w:rsidR="002463F7" w:rsidTr="00BD74CB">
        <w:trPr>
          <w:trHeight w:val="285"/>
          <w:jc w:val="center"/>
        </w:trPr>
        <w:tc>
          <w:tcPr>
            <w:tcW w:w="785" w:type="dxa"/>
            <w:tcBorders>
              <w:tl2br w:val="nil"/>
              <w:tr2bl w:val="nil"/>
            </w:tcBorders>
            <w:vAlign w:val="center"/>
          </w:tcPr>
          <w:p w:rsidR="002463F7" w:rsidRDefault="002463F7" w:rsidP="00BD74CB">
            <w:pPr>
              <w:jc w:val="center"/>
              <w:rPr>
                <w:rFonts w:ascii="宋体" w:hAnsi="宋体"/>
                <w:color w:val="000000"/>
                <w:szCs w:val="21"/>
              </w:rPr>
            </w:pPr>
            <w:r>
              <w:rPr>
                <w:rFonts w:ascii="宋体" w:hAnsi="宋体" w:hint="eastAsia"/>
                <w:color w:val="000000"/>
                <w:szCs w:val="21"/>
              </w:rPr>
              <w:t>3</w:t>
            </w:r>
          </w:p>
        </w:tc>
        <w:tc>
          <w:tcPr>
            <w:tcW w:w="1714" w:type="dxa"/>
            <w:tcBorders>
              <w:tl2br w:val="nil"/>
              <w:tr2bl w:val="nil"/>
            </w:tcBorders>
            <w:vAlign w:val="center"/>
          </w:tcPr>
          <w:p w:rsidR="002463F7" w:rsidRDefault="002463F7" w:rsidP="00BD74CB">
            <w:pPr>
              <w:snapToGrid w:val="0"/>
              <w:spacing w:beforeLines="20" w:afterLines="20" w:line="216" w:lineRule="auto"/>
              <w:jc w:val="center"/>
              <w:rPr>
                <w:szCs w:val="21"/>
              </w:rPr>
            </w:pPr>
            <w:r>
              <w:rPr>
                <w:rFonts w:hAnsi="宋体"/>
                <w:szCs w:val="21"/>
              </w:rPr>
              <w:t>粉尘</w:t>
            </w:r>
          </w:p>
        </w:tc>
        <w:tc>
          <w:tcPr>
            <w:tcW w:w="1248" w:type="dxa"/>
            <w:tcBorders>
              <w:tl2br w:val="nil"/>
              <w:tr2bl w:val="nil"/>
            </w:tcBorders>
            <w:vAlign w:val="center"/>
          </w:tcPr>
          <w:p w:rsidR="002463F7" w:rsidRDefault="002463F7" w:rsidP="00BD74CB">
            <w:pPr>
              <w:jc w:val="center"/>
              <w:rPr>
                <w:rFonts w:ascii="宋体" w:hAnsi="宋体" w:hint="eastAsia"/>
                <w:color w:val="000000"/>
                <w:szCs w:val="21"/>
              </w:rPr>
            </w:pPr>
            <w:r>
              <w:rPr>
                <w:color w:val="000000"/>
                <w:szCs w:val="21"/>
              </w:rPr>
              <w:t>0.</w:t>
            </w:r>
            <w:r>
              <w:rPr>
                <w:rFonts w:hint="eastAsia"/>
                <w:color w:val="000000"/>
                <w:szCs w:val="21"/>
              </w:rPr>
              <w:t>71</w:t>
            </w:r>
          </w:p>
        </w:tc>
        <w:tc>
          <w:tcPr>
            <w:tcW w:w="1029" w:type="dxa"/>
            <w:tcBorders>
              <w:tl2br w:val="nil"/>
              <w:tr2bl w:val="nil"/>
            </w:tcBorders>
            <w:vAlign w:val="center"/>
          </w:tcPr>
          <w:p w:rsidR="002463F7" w:rsidRDefault="002463F7" w:rsidP="00BD74CB">
            <w:pPr>
              <w:jc w:val="center"/>
              <w:rPr>
                <w:rFonts w:ascii="宋体" w:hAnsi="宋体" w:hint="eastAsia"/>
                <w:color w:val="000000"/>
                <w:szCs w:val="21"/>
              </w:rPr>
            </w:pPr>
            <w:r>
              <w:rPr>
                <w:rFonts w:ascii="宋体" w:hAnsi="宋体" w:hint="eastAsia"/>
                <w:color w:val="000000"/>
                <w:szCs w:val="21"/>
              </w:rPr>
              <w:t>1410</w:t>
            </w:r>
          </w:p>
        </w:tc>
        <w:tc>
          <w:tcPr>
            <w:tcW w:w="1353" w:type="dxa"/>
            <w:tcBorders>
              <w:tl2br w:val="nil"/>
              <w:tr2bl w:val="nil"/>
            </w:tcBorders>
            <w:vAlign w:val="center"/>
          </w:tcPr>
          <w:p w:rsidR="002463F7" w:rsidRDefault="002463F7" w:rsidP="002463F7">
            <w:pPr>
              <w:snapToGrid w:val="0"/>
              <w:spacing w:beforeLines="20" w:afterLines="20" w:line="216" w:lineRule="auto"/>
              <w:jc w:val="center"/>
              <w:rPr>
                <w:szCs w:val="21"/>
              </w:rPr>
            </w:pPr>
            <w:r>
              <w:rPr>
                <w:rFonts w:hint="eastAsia"/>
                <w:szCs w:val="21"/>
              </w:rPr>
              <w:t>0.45</w:t>
            </w:r>
          </w:p>
        </w:tc>
        <w:tc>
          <w:tcPr>
            <w:tcW w:w="1335" w:type="dxa"/>
            <w:tcBorders>
              <w:tl2br w:val="nil"/>
              <w:tr2bl w:val="nil"/>
            </w:tcBorders>
            <w:vAlign w:val="center"/>
          </w:tcPr>
          <w:p w:rsidR="002463F7" w:rsidRDefault="002463F7" w:rsidP="00BD74CB">
            <w:pPr>
              <w:jc w:val="center"/>
              <w:rPr>
                <w:rFonts w:ascii="宋体" w:hAnsi="宋体" w:hint="eastAsia"/>
                <w:color w:val="000000"/>
                <w:szCs w:val="21"/>
              </w:rPr>
            </w:pPr>
            <w:r>
              <w:rPr>
                <w:rFonts w:ascii="宋体" w:hAnsi="宋体" w:hint="eastAsia"/>
                <w:color w:val="000000"/>
                <w:szCs w:val="21"/>
              </w:rPr>
              <w:t>10.5</w:t>
            </w:r>
          </w:p>
        </w:tc>
        <w:tc>
          <w:tcPr>
            <w:tcW w:w="1336" w:type="dxa"/>
            <w:tcBorders>
              <w:tl2br w:val="nil"/>
              <w:tr2bl w:val="nil"/>
            </w:tcBorders>
          </w:tcPr>
          <w:p w:rsidR="002463F7" w:rsidRDefault="002463F7" w:rsidP="00BD74CB">
            <w:pPr>
              <w:jc w:val="center"/>
              <w:rPr>
                <w:rFonts w:ascii="宋体" w:hAnsi="宋体" w:hint="eastAsia"/>
                <w:color w:val="000000"/>
                <w:szCs w:val="21"/>
              </w:rPr>
            </w:pPr>
            <w:r>
              <w:rPr>
                <w:rFonts w:ascii="宋体" w:hAnsi="宋体" w:hint="eastAsia"/>
                <w:color w:val="000000"/>
                <w:szCs w:val="21"/>
              </w:rPr>
              <w:t>50</w:t>
            </w:r>
          </w:p>
        </w:tc>
      </w:tr>
    </w:tbl>
    <w:p w:rsidR="00BD74CB" w:rsidRDefault="00BD74CB" w:rsidP="00BD74CB">
      <w:pPr>
        <w:pStyle w:val="affffffffff5"/>
        <w:autoSpaceDE w:val="0"/>
        <w:spacing w:line="360" w:lineRule="auto"/>
        <w:ind w:firstLineChars="200" w:firstLine="480"/>
        <w:rPr>
          <w:rFonts w:hint="eastAsia"/>
          <w:color w:val="000000"/>
        </w:rPr>
      </w:pPr>
      <w:r>
        <w:rPr>
          <w:rFonts w:hint="eastAsia"/>
          <w:color w:val="000000"/>
        </w:rPr>
        <w:t>根据</w:t>
      </w:r>
      <w:r>
        <w:rPr>
          <w:color w:val="000000"/>
        </w:rPr>
        <w:t>GB/T 3</w:t>
      </w:r>
      <w:r>
        <w:rPr>
          <w:rFonts w:hint="eastAsia"/>
          <w:color w:val="000000"/>
        </w:rPr>
        <w:t>840“无组织排放多种有害气体的工业企业，按Qc/Cm的最大值计算其所需卫生防护距离；但当按两种或两种以上的有害气体的Qc/Cm值计算的卫生防护距离在同一级别时，该类工业企业的卫生防护距离级别应该高一级”；</w:t>
      </w:r>
      <w:r w:rsidR="00CA1345">
        <w:rPr>
          <w:rFonts w:hint="eastAsia"/>
          <w:color w:val="000000"/>
        </w:rPr>
        <w:t>本项目卫生防护距离为100m。</w:t>
      </w:r>
    </w:p>
    <w:p w:rsidR="00BD74CB" w:rsidRDefault="00BD74CB" w:rsidP="00BD74CB">
      <w:pPr>
        <w:pStyle w:val="affffffffff5"/>
        <w:spacing w:line="360" w:lineRule="auto"/>
        <w:ind w:firstLineChars="200" w:firstLine="480"/>
        <w:rPr>
          <w:rFonts w:hint="eastAsia"/>
          <w:color w:val="000000"/>
        </w:rPr>
      </w:pPr>
      <w:r>
        <w:rPr>
          <w:color w:val="000000"/>
        </w:rPr>
        <w:t>根据本项目大气防护距离与卫生防护距离的计算结果最终确定，本项目的卫生防护距离以</w:t>
      </w:r>
      <w:r>
        <w:rPr>
          <w:rFonts w:hint="eastAsia"/>
          <w:color w:val="000000"/>
        </w:rPr>
        <w:t>生产车间</w:t>
      </w:r>
      <w:r>
        <w:rPr>
          <w:color w:val="000000"/>
        </w:rPr>
        <w:t>为中心向外延伸100m的厂界外区域。结合</w:t>
      </w:r>
      <w:r>
        <w:rPr>
          <w:rFonts w:hint="eastAsia"/>
          <w:color w:val="000000"/>
        </w:rPr>
        <w:t>项目的平面布置图和</w:t>
      </w:r>
      <w:r>
        <w:rPr>
          <w:color w:val="000000"/>
        </w:rPr>
        <w:t>周围敏感点分布情况，本项目卫生防护距离范围内无居民集中区、医</w:t>
      </w:r>
      <w:r w:rsidR="00CA1345">
        <w:rPr>
          <w:color w:val="000000"/>
        </w:rPr>
        <w:t>院、学校及食品、药品企业等环境敏感目标，符合卫生防护距离的要求</w:t>
      </w:r>
      <w:r>
        <w:rPr>
          <w:rFonts w:hint="eastAsia"/>
          <w:color w:val="000000"/>
        </w:rPr>
        <w:t>。</w:t>
      </w:r>
    </w:p>
    <w:p w:rsidR="00BD74CB" w:rsidRDefault="00CA1345">
      <w:pPr>
        <w:snapToGrid w:val="0"/>
        <w:spacing w:line="360" w:lineRule="auto"/>
        <w:outlineLvl w:val="2"/>
        <w:rPr>
          <w:rFonts w:hint="eastAsia"/>
          <w:sz w:val="24"/>
        </w:rPr>
      </w:pPr>
      <w:r>
        <w:rPr>
          <w:rFonts w:hint="eastAsia"/>
          <w:sz w:val="24"/>
        </w:rPr>
        <w:t>3</w:t>
      </w:r>
      <w:r>
        <w:rPr>
          <w:rFonts w:hint="eastAsia"/>
          <w:sz w:val="24"/>
        </w:rPr>
        <w:t>、厂外控制距离</w:t>
      </w:r>
    </w:p>
    <w:p w:rsidR="00CA1345" w:rsidRDefault="00CA1345" w:rsidP="00CA1345">
      <w:pPr>
        <w:spacing w:line="360" w:lineRule="auto"/>
        <w:ind w:firstLineChars="200" w:firstLine="480"/>
        <w:rPr>
          <w:rFonts w:hAnsi="宋体" w:hint="eastAsia"/>
          <w:sz w:val="24"/>
        </w:rPr>
      </w:pPr>
      <w:r>
        <w:rPr>
          <w:rFonts w:hAnsi="宋体" w:hint="eastAsia"/>
          <w:sz w:val="24"/>
        </w:rPr>
        <w:t>本项目厂外控制距离情况见表</w:t>
      </w:r>
      <w:r>
        <w:rPr>
          <w:rFonts w:hAnsi="宋体" w:hint="eastAsia"/>
          <w:sz w:val="24"/>
        </w:rPr>
        <w:t>5.2-5</w:t>
      </w:r>
      <w:r>
        <w:rPr>
          <w:rFonts w:hAnsi="宋体" w:hint="eastAsia"/>
          <w:sz w:val="24"/>
        </w:rPr>
        <w:t>，公司现有工程大气环境防护距离为</w:t>
      </w:r>
      <w:r>
        <w:rPr>
          <w:rFonts w:hAnsi="宋体" w:hint="eastAsia"/>
          <w:sz w:val="24"/>
        </w:rPr>
        <w:t>250m</w:t>
      </w:r>
      <w:r w:rsidR="00C82ED7">
        <w:rPr>
          <w:rFonts w:hAnsi="宋体" w:hint="eastAsia"/>
          <w:sz w:val="24"/>
        </w:rPr>
        <w:t>，本次项目厂外控制距离在现在大气环境防护距离内</w:t>
      </w:r>
      <w:r>
        <w:rPr>
          <w:rFonts w:hAnsi="宋体" w:hint="eastAsia"/>
          <w:sz w:val="24"/>
        </w:rPr>
        <w:t>。</w:t>
      </w:r>
      <w:r w:rsidR="00C82ED7">
        <w:rPr>
          <w:rFonts w:hAnsi="宋体" w:hint="eastAsia"/>
          <w:sz w:val="24"/>
        </w:rPr>
        <w:t>控制距离内禁止新建学校、医院等环境敏感区。</w:t>
      </w:r>
    </w:p>
    <w:p w:rsidR="00CA1345" w:rsidRDefault="00CA1345" w:rsidP="00CA1345">
      <w:pPr>
        <w:spacing w:line="360" w:lineRule="auto"/>
        <w:ind w:firstLineChars="200" w:firstLine="480"/>
        <w:jc w:val="center"/>
        <w:rPr>
          <w:sz w:val="24"/>
        </w:rPr>
      </w:pPr>
      <w:r>
        <w:rPr>
          <w:rFonts w:hAnsi="宋体"/>
          <w:sz w:val="24"/>
        </w:rPr>
        <w:t>表</w:t>
      </w:r>
      <w:r>
        <w:rPr>
          <w:sz w:val="24"/>
        </w:rPr>
        <w:t>5.2-</w:t>
      </w:r>
      <w:r>
        <w:rPr>
          <w:rFonts w:hint="eastAsia"/>
          <w:sz w:val="24"/>
        </w:rPr>
        <w:t>5</w:t>
      </w:r>
      <w:r>
        <w:rPr>
          <w:sz w:val="24"/>
        </w:rPr>
        <w:t xml:space="preserve">  </w:t>
      </w:r>
      <w:r>
        <w:rPr>
          <w:rFonts w:hAnsi="宋体"/>
          <w:sz w:val="24"/>
        </w:rPr>
        <w:t>拟建工程</w:t>
      </w:r>
      <w:r>
        <w:rPr>
          <w:rFonts w:hAnsi="宋体" w:hint="eastAsia"/>
          <w:sz w:val="24"/>
        </w:rPr>
        <w:t>厂外控制距离</w:t>
      </w:r>
      <w:r>
        <w:rPr>
          <w:rFonts w:hAnsi="宋体"/>
          <w:sz w:val="24"/>
        </w:rPr>
        <w:t>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953"/>
        <w:gridCol w:w="2761"/>
        <w:gridCol w:w="1263"/>
        <w:gridCol w:w="1623"/>
        <w:gridCol w:w="2346"/>
      </w:tblGrid>
      <w:tr w:rsidR="00C82ED7" w:rsidTr="00C82ED7">
        <w:trPr>
          <w:trHeight w:val="300"/>
          <w:jc w:val="center"/>
        </w:trPr>
        <w:tc>
          <w:tcPr>
            <w:tcW w:w="533" w:type="pct"/>
            <w:vAlign w:val="center"/>
          </w:tcPr>
          <w:p w:rsidR="00C82ED7" w:rsidRDefault="00C82ED7" w:rsidP="00757137">
            <w:pPr>
              <w:pStyle w:val="afff7"/>
              <w:spacing w:line="240" w:lineRule="exact"/>
              <w:rPr>
                <w:sz w:val="21"/>
                <w:szCs w:val="21"/>
              </w:rPr>
            </w:pPr>
            <w:r>
              <w:rPr>
                <w:rFonts w:hAnsi="宋体"/>
                <w:sz w:val="21"/>
                <w:szCs w:val="21"/>
              </w:rPr>
              <w:t>方位</w:t>
            </w:r>
          </w:p>
        </w:tc>
        <w:tc>
          <w:tcPr>
            <w:tcW w:w="1543" w:type="pct"/>
            <w:vAlign w:val="center"/>
          </w:tcPr>
          <w:p w:rsidR="00C82ED7" w:rsidRDefault="00C82ED7" w:rsidP="00757137">
            <w:pPr>
              <w:pStyle w:val="afff7"/>
              <w:spacing w:line="240" w:lineRule="exact"/>
              <w:rPr>
                <w:sz w:val="21"/>
                <w:szCs w:val="21"/>
              </w:rPr>
            </w:pPr>
            <w:r>
              <w:rPr>
                <w:rFonts w:hAnsi="宋体"/>
                <w:sz w:val="21"/>
                <w:szCs w:val="21"/>
              </w:rPr>
              <w:t>厂边界与生产单元面</w:t>
            </w:r>
          </w:p>
          <w:p w:rsidR="00C82ED7" w:rsidRDefault="00C82ED7" w:rsidP="00757137">
            <w:pPr>
              <w:pStyle w:val="afff7"/>
              <w:spacing w:line="240" w:lineRule="exact"/>
              <w:rPr>
                <w:sz w:val="21"/>
                <w:szCs w:val="21"/>
              </w:rPr>
            </w:pPr>
            <w:r>
              <w:rPr>
                <w:rFonts w:hAnsi="宋体"/>
                <w:sz w:val="21"/>
                <w:szCs w:val="21"/>
              </w:rPr>
              <w:t>源中心的距离（</w:t>
            </w:r>
            <w:r>
              <w:rPr>
                <w:sz w:val="21"/>
                <w:szCs w:val="21"/>
              </w:rPr>
              <w:t>m</w:t>
            </w:r>
            <w:r>
              <w:rPr>
                <w:rFonts w:hAnsi="宋体"/>
                <w:sz w:val="21"/>
                <w:szCs w:val="21"/>
              </w:rPr>
              <w:t>）</w:t>
            </w:r>
          </w:p>
        </w:tc>
        <w:tc>
          <w:tcPr>
            <w:tcW w:w="706" w:type="pct"/>
            <w:vAlign w:val="center"/>
          </w:tcPr>
          <w:p w:rsidR="00C82ED7" w:rsidRDefault="00C82ED7" w:rsidP="00757137">
            <w:pPr>
              <w:pStyle w:val="afff7"/>
              <w:spacing w:line="240" w:lineRule="exact"/>
              <w:rPr>
                <w:sz w:val="21"/>
                <w:szCs w:val="21"/>
              </w:rPr>
            </w:pPr>
            <w:r>
              <w:rPr>
                <w:rFonts w:hAnsi="宋体" w:hint="eastAsia"/>
                <w:sz w:val="21"/>
                <w:szCs w:val="21"/>
              </w:rPr>
              <w:t>防护</w:t>
            </w:r>
            <w:r>
              <w:rPr>
                <w:rFonts w:hAnsi="宋体"/>
                <w:sz w:val="21"/>
                <w:szCs w:val="21"/>
              </w:rPr>
              <w:t>距离（</w:t>
            </w:r>
            <w:r>
              <w:rPr>
                <w:sz w:val="21"/>
                <w:szCs w:val="21"/>
              </w:rPr>
              <w:t>m</w:t>
            </w:r>
            <w:r>
              <w:rPr>
                <w:rFonts w:hAnsi="宋体"/>
                <w:sz w:val="21"/>
                <w:szCs w:val="21"/>
              </w:rPr>
              <w:t>）</w:t>
            </w:r>
          </w:p>
        </w:tc>
        <w:tc>
          <w:tcPr>
            <w:tcW w:w="907" w:type="pct"/>
            <w:vAlign w:val="center"/>
          </w:tcPr>
          <w:p w:rsidR="00C82ED7" w:rsidRDefault="00C82ED7" w:rsidP="00757137">
            <w:pPr>
              <w:pStyle w:val="afff7"/>
              <w:spacing w:line="240" w:lineRule="exact"/>
              <w:rPr>
                <w:sz w:val="21"/>
                <w:szCs w:val="21"/>
              </w:rPr>
            </w:pPr>
            <w:r>
              <w:rPr>
                <w:rFonts w:hAnsi="宋体"/>
                <w:sz w:val="21"/>
                <w:szCs w:val="21"/>
              </w:rPr>
              <w:t>厂界外控制距离（</w:t>
            </w:r>
            <w:r>
              <w:rPr>
                <w:sz w:val="21"/>
                <w:szCs w:val="21"/>
              </w:rPr>
              <w:t>m</w:t>
            </w:r>
            <w:r>
              <w:rPr>
                <w:rFonts w:hAnsi="宋体"/>
                <w:sz w:val="21"/>
                <w:szCs w:val="21"/>
              </w:rPr>
              <w:t>）</w:t>
            </w:r>
          </w:p>
        </w:tc>
        <w:tc>
          <w:tcPr>
            <w:tcW w:w="1311" w:type="pct"/>
            <w:tcBorders>
              <w:left w:val="single" w:sz="4" w:space="0" w:color="auto"/>
            </w:tcBorders>
            <w:vAlign w:val="center"/>
          </w:tcPr>
          <w:p w:rsidR="00C82ED7" w:rsidRDefault="00C82ED7" w:rsidP="00757137">
            <w:pPr>
              <w:pStyle w:val="afff7"/>
              <w:spacing w:line="240" w:lineRule="exact"/>
              <w:rPr>
                <w:sz w:val="21"/>
                <w:szCs w:val="21"/>
              </w:rPr>
            </w:pPr>
            <w:r>
              <w:rPr>
                <w:rFonts w:hAnsi="宋体"/>
                <w:sz w:val="21"/>
                <w:szCs w:val="21"/>
              </w:rPr>
              <w:t>厂外现状</w:t>
            </w:r>
          </w:p>
        </w:tc>
      </w:tr>
      <w:tr w:rsidR="00C82ED7" w:rsidTr="00C82ED7">
        <w:trPr>
          <w:trHeight w:val="204"/>
          <w:jc w:val="center"/>
        </w:trPr>
        <w:tc>
          <w:tcPr>
            <w:tcW w:w="533" w:type="pct"/>
            <w:vAlign w:val="center"/>
          </w:tcPr>
          <w:p w:rsidR="00C82ED7" w:rsidRDefault="00C82ED7" w:rsidP="00757137">
            <w:pPr>
              <w:pStyle w:val="afff7"/>
              <w:spacing w:before="20" w:after="20" w:line="240" w:lineRule="auto"/>
              <w:rPr>
                <w:sz w:val="21"/>
                <w:szCs w:val="21"/>
              </w:rPr>
            </w:pPr>
            <w:r>
              <w:rPr>
                <w:rFonts w:hAnsi="宋体"/>
                <w:sz w:val="21"/>
                <w:szCs w:val="21"/>
              </w:rPr>
              <w:t>东</w:t>
            </w:r>
          </w:p>
        </w:tc>
        <w:tc>
          <w:tcPr>
            <w:tcW w:w="1543" w:type="pct"/>
            <w:vAlign w:val="center"/>
          </w:tcPr>
          <w:p w:rsidR="00C82ED7" w:rsidRDefault="00C82ED7" w:rsidP="00757137">
            <w:pPr>
              <w:pStyle w:val="afff7"/>
              <w:spacing w:line="240" w:lineRule="exact"/>
              <w:rPr>
                <w:sz w:val="21"/>
                <w:szCs w:val="21"/>
              </w:rPr>
            </w:pPr>
            <w:r>
              <w:rPr>
                <w:rFonts w:hint="eastAsia"/>
                <w:sz w:val="21"/>
                <w:szCs w:val="21"/>
              </w:rPr>
              <w:t>10</w:t>
            </w:r>
          </w:p>
        </w:tc>
        <w:tc>
          <w:tcPr>
            <w:tcW w:w="706" w:type="pct"/>
            <w:vAlign w:val="center"/>
          </w:tcPr>
          <w:p w:rsidR="00C82ED7" w:rsidRDefault="00C82ED7" w:rsidP="00757137">
            <w:pPr>
              <w:pStyle w:val="afff7"/>
              <w:spacing w:line="240" w:lineRule="exact"/>
              <w:rPr>
                <w:sz w:val="21"/>
                <w:szCs w:val="21"/>
              </w:rPr>
            </w:pPr>
            <w:r>
              <w:rPr>
                <w:rFonts w:hint="eastAsia"/>
                <w:sz w:val="21"/>
                <w:szCs w:val="21"/>
              </w:rPr>
              <w:t>100</w:t>
            </w:r>
          </w:p>
        </w:tc>
        <w:tc>
          <w:tcPr>
            <w:tcW w:w="907" w:type="pct"/>
            <w:vAlign w:val="center"/>
          </w:tcPr>
          <w:p w:rsidR="00C82ED7" w:rsidRDefault="00C82ED7" w:rsidP="00757137">
            <w:pPr>
              <w:pStyle w:val="afff7"/>
              <w:spacing w:before="20" w:after="20" w:line="240" w:lineRule="auto"/>
              <w:rPr>
                <w:sz w:val="21"/>
                <w:szCs w:val="21"/>
              </w:rPr>
            </w:pPr>
            <w:r>
              <w:rPr>
                <w:rFonts w:hint="eastAsia"/>
                <w:sz w:val="21"/>
                <w:szCs w:val="21"/>
              </w:rPr>
              <w:t>90</w:t>
            </w:r>
          </w:p>
        </w:tc>
        <w:tc>
          <w:tcPr>
            <w:tcW w:w="1311" w:type="pct"/>
            <w:tcBorders>
              <w:left w:val="single" w:sz="4" w:space="0" w:color="auto"/>
            </w:tcBorders>
            <w:vAlign w:val="center"/>
          </w:tcPr>
          <w:p w:rsidR="00C82ED7" w:rsidRDefault="00C82ED7" w:rsidP="00757137">
            <w:pPr>
              <w:snapToGrid w:val="0"/>
              <w:spacing w:beforeLines="20" w:afterLines="20"/>
              <w:jc w:val="center"/>
              <w:rPr>
                <w:szCs w:val="21"/>
              </w:rPr>
            </w:pPr>
            <w:r>
              <w:rPr>
                <w:rFonts w:hAnsi="宋体"/>
                <w:szCs w:val="21"/>
              </w:rPr>
              <w:t>湖南森泰化工科技有限公司（原长兴公司）用地</w:t>
            </w:r>
          </w:p>
        </w:tc>
      </w:tr>
      <w:tr w:rsidR="00C82ED7" w:rsidTr="00C82ED7">
        <w:trPr>
          <w:trHeight w:val="204"/>
          <w:jc w:val="center"/>
        </w:trPr>
        <w:tc>
          <w:tcPr>
            <w:tcW w:w="533" w:type="pct"/>
            <w:vAlign w:val="center"/>
          </w:tcPr>
          <w:p w:rsidR="00C82ED7" w:rsidRDefault="00C82ED7" w:rsidP="00757137">
            <w:pPr>
              <w:pStyle w:val="afff7"/>
              <w:spacing w:before="20" w:after="20" w:line="240" w:lineRule="auto"/>
              <w:rPr>
                <w:sz w:val="21"/>
                <w:szCs w:val="21"/>
              </w:rPr>
            </w:pPr>
            <w:r>
              <w:rPr>
                <w:rFonts w:hAnsi="宋体"/>
                <w:sz w:val="21"/>
                <w:szCs w:val="21"/>
              </w:rPr>
              <w:lastRenderedPageBreak/>
              <w:t>南</w:t>
            </w:r>
          </w:p>
        </w:tc>
        <w:tc>
          <w:tcPr>
            <w:tcW w:w="1543" w:type="pct"/>
            <w:vAlign w:val="center"/>
          </w:tcPr>
          <w:p w:rsidR="00C82ED7" w:rsidRDefault="00C82ED7" w:rsidP="00757137">
            <w:pPr>
              <w:pStyle w:val="afff7"/>
              <w:spacing w:line="240" w:lineRule="exact"/>
              <w:rPr>
                <w:sz w:val="21"/>
                <w:szCs w:val="21"/>
              </w:rPr>
            </w:pPr>
            <w:r>
              <w:rPr>
                <w:rFonts w:hint="eastAsia"/>
                <w:sz w:val="21"/>
                <w:szCs w:val="21"/>
              </w:rPr>
              <w:t>30</w:t>
            </w:r>
          </w:p>
        </w:tc>
        <w:tc>
          <w:tcPr>
            <w:tcW w:w="706" w:type="pct"/>
            <w:vAlign w:val="center"/>
          </w:tcPr>
          <w:p w:rsidR="00C82ED7" w:rsidRDefault="00C82ED7" w:rsidP="00757137">
            <w:pPr>
              <w:pStyle w:val="afff7"/>
              <w:spacing w:line="240" w:lineRule="exact"/>
              <w:rPr>
                <w:sz w:val="21"/>
                <w:szCs w:val="21"/>
              </w:rPr>
            </w:pPr>
            <w:r>
              <w:rPr>
                <w:rFonts w:hint="eastAsia"/>
                <w:sz w:val="21"/>
                <w:szCs w:val="21"/>
              </w:rPr>
              <w:t>100</w:t>
            </w:r>
          </w:p>
        </w:tc>
        <w:tc>
          <w:tcPr>
            <w:tcW w:w="907" w:type="pct"/>
            <w:vAlign w:val="center"/>
          </w:tcPr>
          <w:p w:rsidR="00C82ED7" w:rsidRDefault="00C82ED7" w:rsidP="00757137">
            <w:pPr>
              <w:pStyle w:val="afff7"/>
              <w:spacing w:before="20" w:after="20" w:line="240" w:lineRule="auto"/>
              <w:rPr>
                <w:sz w:val="21"/>
                <w:szCs w:val="21"/>
              </w:rPr>
            </w:pPr>
            <w:r>
              <w:rPr>
                <w:rFonts w:hint="eastAsia"/>
                <w:sz w:val="21"/>
                <w:szCs w:val="21"/>
              </w:rPr>
              <w:t>70</w:t>
            </w:r>
          </w:p>
        </w:tc>
        <w:tc>
          <w:tcPr>
            <w:tcW w:w="1311" w:type="pct"/>
            <w:tcBorders>
              <w:left w:val="single" w:sz="4" w:space="0" w:color="auto"/>
            </w:tcBorders>
            <w:vAlign w:val="center"/>
          </w:tcPr>
          <w:p w:rsidR="00C82ED7" w:rsidRDefault="00C82ED7" w:rsidP="00757137">
            <w:pPr>
              <w:snapToGrid w:val="0"/>
              <w:spacing w:beforeLines="20" w:afterLines="20"/>
              <w:jc w:val="center"/>
              <w:rPr>
                <w:szCs w:val="21"/>
              </w:rPr>
            </w:pPr>
            <w:r>
              <w:rPr>
                <w:rFonts w:hAnsi="宋体"/>
                <w:szCs w:val="21"/>
              </w:rPr>
              <w:t>比德生化科技有限公司工业装置区</w:t>
            </w:r>
          </w:p>
        </w:tc>
      </w:tr>
      <w:tr w:rsidR="00C82ED7" w:rsidTr="00C82ED7">
        <w:trPr>
          <w:trHeight w:val="204"/>
          <w:jc w:val="center"/>
        </w:trPr>
        <w:tc>
          <w:tcPr>
            <w:tcW w:w="533" w:type="pct"/>
            <w:vAlign w:val="center"/>
          </w:tcPr>
          <w:p w:rsidR="00C82ED7" w:rsidRDefault="00C82ED7" w:rsidP="00757137">
            <w:pPr>
              <w:pStyle w:val="afff7"/>
              <w:spacing w:before="20" w:after="20" w:line="240" w:lineRule="auto"/>
              <w:rPr>
                <w:sz w:val="21"/>
                <w:szCs w:val="21"/>
              </w:rPr>
            </w:pPr>
            <w:r>
              <w:rPr>
                <w:rFonts w:hAnsi="宋体"/>
                <w:sz w:val="21"/>
                <w:szCs w:val="21"/>
              </w:rPr>
              <w:t>西</w:t>
            </w:r>
          </w:p>
        </w:tc>
        <w:tc>
          <w:tcPr>
            <w:tcW w:w="1543" w:type="pct"/>
            <w:vAlign w:val="center"/>
          </w:tcPr>
          <w:p w:rsidR="00C82ED7" w:rsidRDefault="00C82ED7" w:rsidP="00757137">
            <w:pPr>
              <w:pStyle w:val="afff7"/>
              <w:spacing w:line="240" w:lineRule="exact"/>
              <w:rPr>
                <w:sz w:val="21"/>
                <w:szCs w:val="21"/>
              </w:rPr>
            </w:pPr>
            <w:r>
              <w:rPr>
                <w:rFonts w:hint="eastAsia"/>
                <w:sz w:val="21"/>
                <w:szCs w:val="21"/>
              </w:rPr>
              <w:t>5</w:t>
            </w:r>
          </w:p>
        </w:tc>
        <w:tc>
          <w:tcPr>
            <w:tcW w:w="706" w:type="pct"/>
            <w:vAlign w:val="center"/>
          </w:tcPr>
          <w:p w:rsidR="00C82ED7" w:rsidRDefault="00C82ED7" w:rsidP="00757137">
            <w:pPr>
              <w:pStyle w:val="afff7"/>
              <w:spacing w:line="240" w:lineRule="exact"/>
              <w:rPr>
                <w:sz w:val="21"/>
                <w:szCs w:val="21"/>
              </w:rPr>
            </w:pPr>
            <w:r>
              <w:rPr>
                <w:rFonts w:hint="eastAsia"/>
                <w:sz w:val="21"/>
                <w:szCs w:val="21"/>
              </w:rPr>
              <w:t>100</w:t>
            </w:r>
          </w:p>
        </w:tc>
        <w:tc>
          <w:tcPr>
            <w:tcW w:w="907" w:type="pct"/>
            <w:vAlign w:val="center"/>
          </w:tcPr>
          <w:p w:rsidR="00C82ED7" w:rsidRDefault="00C82ED7" w:rsidP="00757137">
            <w:pPr>
              <w:pStyle w:val="afff7"/>
              <w:spacing w:before="20" w:after="20" w:line="240" w:lineRule="auto"/>
              <w:rPr>
                <w:sz w:val="21"/>
                <w:szCs w:val="21"/>
              </w:rPr>
            </w:pPr>
            <w:r>
              <w:rPr>
                <w:rFonts w:hint="eastAsia"/>
                <w:sz w:val="21"/>
                <w:szCs w:val="21"/>
              </w:rPr>
              <w:t>95</w:t>
            </w:r>
          </w:p>
        </w:tc>
        <w:tc>
          <w:tcPr>
            <w:tcW w:w="1311" w:type="pct"/>
            <w:tcBorders>
              <w:left w:val="single" w:sz="4" w:space="0" w:color="auto"/>
            </w:tcBorders>
            <w:vAlign w:val="center"/>
          </w:tcPr>
          <w:p w:rsidR="00C82ED7" w:rsidRDefault="00C82ED7" w:rsidP="00757137">
            <w:pPr>
              <w:snapToGrid w:val="0"/>
              <w:spacing w:beforeLines="20" w:afterLines="20"/>
              <w:jc w:val="center"/>
              <w:rPr>
                <w:szCs w:val="21"/>
              </w:rPr>
            </w:pPr>
            <w:r>
              <w:rPr>
                <w:rFonts w:hAnsi="宋体"/>
                <w:szCs w:val="21"/>
              </w:rPr>
              <w:t>西面为长江大堤</w:t>
            </w:r>
          </w:p>
        </w:tc>
      </w:tr>
      <w:tr w:rsidR="00C82ED7" w:rsidTr="00C82ED7">
        <w:trPr>
          <w:trHeight w:val="204"/>
          <w:jc w:val="center"/>
        </w:trPr>
        <w:tc>
          <w:tcPr>
            <w:tcW w:w="533" w:type="pct"/>
            <w:vAlign w:val="center"/>
          </w:tcPr>
          <w:p w:rsidR="00C82ED7" w:rsidRDefault="00C82ED7" w:rsidP="00757137">
            <w:pPr>
              <w:pStyle w:val="afff7"/>
              <w:spacing w:before="20" w:after="20" w:line="240" w:lineRule="auto"/>
              <w:rPr>
                <w:sz w:val="21"/>
                <w:szCs w:val="21"/>
              </w:rPr>
            </w:pPr>
            <w:r>
              <w:rPr>
                <w:rFonts w:hAnsi="宋体"/>
                <w:sz w:val="21"/>
                <w:szCs w:val="21"/>
              </w:rPr>
              <w:t>北</w:t>
            </w:r>
          </w:p>
        </w:tc>
        <w:tc>
          <w:tcPr>
            <w:tcW w:w="1543" w:type="pct"/>
            <w:vAlign w:val="center"/>
          </w:tcPr>
          <w:p w:rsidR="00C82ED7" w:rsidRDefault="00C82ED7" w:rsidP="00757137">
            <w:pPr>
              <w:pStyle w:val="afff7"/>
              <w:spacing w:line="240" w:lineRule="exact"/>
              <w:rPr>
                <w:sz w:val="21"/>
                <w:szCs w:val="21"/>
              </w:rPr>
            </w:pPr>
            <w:r>
              <w:rPr>
                <w:rFonts w:hint="eastAsia"/>
                <w:sz w:val="21"/>
                <w:szCs w:val="21"/>
              </w:rPr>
              <w:t>5</w:t>
            </w:r>
          </w:p>
        </w:tc>
        <w:tc>
          <w:tcPr>
            <w:tcW w:w="706" w:type="pct"/>
            <w:vAlign w:val="center"/>
          </w:tcPr>
          <w:p w:rsidR="00C82ED7" w:rsidRDefault="00C82ED7" w:rsidP="00757137">
            <w:pPr>
              <w:pStyle w:val="afff7"/>
              <w:spacing w:line="240" w:lineRule="exact"/>
              <w:rPr>
                <w:sz w:val="21"/>
                <w:szCs w:val="21"/>
              </w:rPr>
            </w:pPr>
            <w:r>
              <w:rPr>
                <w:rFonts w:hint="eastAsia"/>
                <w:sz w:val="21"/>
                <w:szCs w:val="21"/>
              </w:rPr>
              <w:t>100</w:t>
            </w:r>
          </w:p>
        </w:tc>
        <w:tc>
          <w:tcPr>
            <w:tcW w:w="907" w:type="pct"/>
            <w:vAlign w:val="center"/>
          </w:tcPr>
          <w:p w:rsidR="00C82ED7" w:rsidRDefault="00C82ED7" w:rsidP="00757137">
            <w:pPr>
              <w:pStyle w:val="afff7"/>
              <w:spacing w:before="20" w:after="20" w:line="240" w:lineRule="auto"/>
              <w:rPr>
                <w:sz w:val="21"/>
                <w:szCs w:val="21"/>
              </w:rPr>
            </w:pPr>
            <w:r>
              <w:rPr>
                <w:rFonts w:hint="eastAsia"/>
                <w:sz w:val="21"/>
                <w:szCs w:val="21"/>
              </w:rPr>
              <w:t>95</w:t>
            </w:r>
          </w:p>
        </w:tc>
        <w:tc>
          <w:tcPr>
            <w:tcW w:w="1311" w:type="pct"/>
            <w:tcBorders>
              <w:left w:val="single" w:sz="4" w:space="0" w:color="auto"/>
            </w:tcBorders>
            <w:vAlign w:val="center"/>
          </w:tcPr>
          <w:p w:rsidR="00C82ED7" w:rsidRDefault="00C82ED7" w:rsidP="00C82ED7">
            <w:pPr>
              <w:snapToGrid w:val="0"/>
              <w:spacing w:beforeLines="20" w:afterLines="20"/>
              <w:jc w:val="center"/>
              <w:rPr>
                <w:szCs w:val="21"/>
              </w:rPr>
            </w:pPr>
            <w:r>
              <w:rPr>
                <w:rFonts w:hAnsi="宋体"/>
                <w:szCs w:val="21"/>
              </w:rPr>
              <w:t>工业园区三类工业用地</w:t>
            </w:r>
          </w:p>
        </w:tc>
      </w:tr>
    </w:tbl>
    <w:p w:rsidR="00CA1345" w:rsidRDefault="00CA1345" w:rsidP="00CA1345">
      <w:pPr>
        <w:spacing w:line="360" w:lineRule="auto"/>
        <w:ind w:firstLineChars="200" w:firstLine="480"/>
        <w:rPr>
          <w:sz w:val="24"/>
        </w:rPr>
      </w:pPr>
    </w:p>
    <w:p w:rsidR="00475650" w:rsidRDefault="00BD74CB">
      <w:pPr>
        <w:snapToGrid w:val="0"/>
        <w:spacing w:line="360" w:lineRule="auto"/>
        <w:outlineLvl w:val="2"/>
        <w:rPr>
          <w:sz w:val="24"/>
        </w:rPr>
      </w:pPr>
      <w:r>
        <w:rPr>
          <w:rFonts w:hint="eastAsia"/>
          <w:sz w:val="24"/>
        </w:rPr>
        <w:t>5.2.2.</w:t>
      </w:r>
      <w:r w:rsidR="00C82ED7">
        <w:rPr>
          <w:rFonts w:hint="eastAsia"/>
          <w:sz w:val="24"/>
        </w:rPr>
        <w:t>7</w:t>
      </w:r>
      <w:r w:rsidR="00475650">
        <w:rPr>
          <w:rFonts w:hAnsi="宋体"/>
          <w:sz w:val="24"/>
        </w:rPr>
        <w:t>大气环境影响评价结论</w:t>
      </w:r>
      <w:bookmarkEnd w:id="763"/>
    </w:p>
    <w:p w:rsidR="00475650" w:rsidRDefault="00475650">
      <w:pPr>
        <w:spacing w:line="360" w:lineRule="auto"/>
        <w:ind w:firstLine="482"/>
        <w:rPr>
          <w:rFonts w:hAnsi="宋体" w:hint="eastAsia"/>
          <w:sz w:val="24"/>
        </w:rPr>
      </w:pPr>
      <w:r>
        <w:rPr>
          <w:rFonts w:hAnsi="宋体"/>
          <w:sz w:val="24"/>
        </w:rPr>
        <w:t>根据估算模式预测得到的结果各污染物的贡献值较小，对各关心点的影响不大，排气筒高度设置符合《大气污染物综合排放标准》</w:t>
      </w:r>
      <w:r>
        <w:rPr>
          <w:sz w:val="24"/>
        </w:rPr>
        <w:t>16297-1996</w:t>
      </w:r>
      <w:r>
        <w:rPr>
          <w:rFonts w:hAnsi="宋体"/>
          <w:sz w:val="24"/>
        </w:rPr>
        <w:t>的相关要求，</w:t>
      </w:r>
      <w:r>
        <w:rPr>
          <w:rFonts w:hAnsi="宋体" w:hint="eastAsia"/>
          <w:sz w:val="24"/>
        </w:rPr>
        <w:t>在满足可研及环评提出的污染防治措施后，无组织污染影响较小</w:t>
      </w:r>
      <w:r>
        <w:rPr>
          <w:rFonts w:hAnsi="宋体"/>
          <w:sz w:val="24"/>
        </w:rPr>
        <w:t>。综合以上结论，正常情况下，本项目废气的排放对外环境的影响较小。</w:t>
      </w:r>
    </w:p>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764" w:name="_Toc334080860"/>
      <w:bookmarkStart w:id="765" w:name="_Toc333230042"/>
      <w:bookmarkStart w:id="766" w:name="_Toc302936832"/>
      <w:bookmarkStart w:id="767" w:name="_Toc332293028"/>
      <w:bookmarkStart w:id="768" w:name="_Toc334014218"/>
      <w:bookmarkStart w:id="769" w:name="_Toc465677032"/>
      <w:bookmarkStart w:id="770" w:name="_Toc20097"/>
      <w:r>
        <w:rPr>
          <w:rStyle w:val="2Char1Char"/>
          <w:rFonts w:ascii="Times New Roman" w:eastAsia="宋体" w:hAnsi="Times New Roman" w:cs="Times New Roman"/>
          <w:b w:val="0"/>
          <w:sz w:val="24"/>
          <w:szCs w:val="24"/>
        </w:rPr>
        <w:t>5.2.3</w:t>
      </w:r>
      <w:r>
        <w:rPr>
          <w:rStyle w:val="2Char1Char"/>
          <w:rFonts w:ascii="Times New Roman" w:eastAsia="宋体" w:hAnsi="宋体" w:cs="Times New Roman"/>
          <w:b w:val="0"/>
          <w:sz w:val="24"/>
          <w:szCs w:val="24"/>
        </w:rPr>
        <w:t>声环境影响预测与评价</w:t>
      </w:r>
      <w:bookmarkEnd w:id="764"/>
      <w:bookmarkEnd w:id="765"/>
      <w:bookmarkEnd w:id="766"/>
      <w:bookmarkEnd w:id="767"/>
      <w:bookmarkEnd w:id="768"/>
      <w:bookmarkEnd w:id="769"/>
      <w:bookmarkEnd w:id="770"/>
    </w:p>
    <w:p w:rsidR="00475650" w:rsidRDefault="00475650">
      <w:pPr>
        <w:pStyle w:val="h"/>
        <w:spacing w:before="0" w:after="0" w:line="360" w:lineRule="auto"/>
        <w:ind w:firstLine="0"/>
        <w:outlineLvl w:val="2"/>
        <w:rPr>
          <w:rStyle w:val="2Char1Char"/>
          <w:rFonts w:ascii="Times New Roman" w:eastAsia="宋体" w:hAnsi="Times New Roman" w:cs="Times New Roman"/>
          <w:b w:val="0"/>
          <w:sz w:val="24"/>
          <w:szCs w:val="24"/>
        </w:rPr>
      </w:pPr>
      <w:r>
        <w:rPr>
          <w:rStyle w:val="2Char1Char"/>
          <w:rFonts w:ascii="Times New Roman" w:eastAsia="宋体" w:hAnsi="Times New Roman" w:cs="Times New Roman"/>
          <w:b w:val="0"/>
          <w:bCs w:val="0"/>
          <w:sz w:val="24"/>
          <w:szCs w:val="24"/>
        </w:rPr>
        <w:t>5.2.3.1</w:t>
      </w:r>
      <w:r>
        <w:rPr>
          <w:rStyle w:val="2Char1Char"/>
          <w:rFonts w:ascii="Times New Roman" w:eastAsia="宋体" w:hAnsi="宋体" w:cs="Times New Roman"/>
          <w:b w:val="0"/>
          <w:sz w:val="24"/>
          <w:szCs w:val="24"/>
        </w:rPr>
        <w:t>噪声源强及与各预测点的距离</w:t>
      </w:r>
    </w:p>
    <w:p w:rsidR="00475650" w:rsidRDefault="00475650">
      <w:pPr>
        <w:pStyle w:val="aff7"/>
        <w:ind w:firstLine="480"/>
        <w:rPr>
          <w:sz w:val="24"/>
          <w:szCs w:val="24"/>
        </w:rPr>
      </w:pPr>
      <w:r>
        <w:rPr>
          <w:rFonts w:hAnsi="宋体"/>
          <w:sz w:val="24"/>
          <w:szCs w:val="24"/>
        </w:rPr>
        <w:t>本项目噪声污染主要来自于生产过程中各高噪声设备运转时产生的设备噪声，主要的噪声源有压缩机、</w:t>
      </w:r>
      <w:r>
        <w:rPr>
          <w:rFonts w:hAnsi="宋体"/>
          <w:sz w:val="24"/>
        </w:rPr>
        <w:t>泵、风机</w:t>
      </w:r>
      <w:r>
        <w:rPr>
          <w:rFonts w:hAnsi="宋体"/>
          <w:sz w:val="24"/>
          <w:szCs w:val="24"/>
        </w:rPr>
        <w:t>，源强在</w:t>
      </w:r>
      <w:r>
        <w:rPr>
          <w:sz w:val="24"/>
          <w:szCs w:val="24"/>
        </w:rPr>
        <w:t>70~90dB(A)</w:t>
      </w:r>
      <w:r>
        <w:rPr>
          <w:rFonts w:hAnsi="宋体"/>
          <w:sz w:val="24"/>
          <w:szCs w:val="24"/>
        </w:rPr>
        <w:t>之间，主要噪声源见表</w:t>
      </w:r>
      <w:r>
        <w:rPr>
          <w:sz w:val="24"/>
          <w:szCs w:val="24"/>
        </w:rPr>
        <w:t>5.2-</w:t>
      </w:r>
      <w:r>
        <w:rPr>
          <w:rFonts w:hint="eastAsia"/>
          <w:sz w:val="24"/>
          <w:szCs w:val="24"/>
        </w:rPr>
        <w:t>5</w:t>
      </w:r>
      <w:r>
        <w:rPr>
          <w:rFonts w:hAnsi="宋体"/>
          <w:sz w:val="24"/>
          <w:szCs w:val="24"/>
        </w:rPr>
        <w:t>。</w:t>
      </w:r>
    </w:p>
    <w:p w:rsidR="00475650" w:rsidRDefault="00475650">
      <w:pPr>
        <w:pStyle w:val="af4"/>
        <w:ind w:firstLine="480"/>
        <w:jc w:val="center"/>
        <w:rPr>
          <w:sz w:val="24"/>
          <w:szCs w:val="24"/>
        </w:rPr>
      </w:pPr>
      <w:r>
        <w:rPr>
          <w:rFonts w:hAnsi="宋体"/>
          <w:sz w:val="24"/>
          <w:szCs w:val="24"/>
        </w:rPr>
        <w:t>表</w:t>
      </w:r>
      <w:r>
        <w:rPr>
          <w:sz w:val="24"/>
          <w:szCs w:val="24"/>
        </w:rPr>
        <w:t>5.2-</w:t>
      </w:r>
      <w:r>
        <w:rPr>
          <w:rFonts w:hint="eastAsia"/>
          <w:sz w:val="24"/>
          <w:szCs w:val="24"/>
        </w:rPr>
        <w:t>5</w:t>
      </w:r>
      <w:r>
        <w:rPr>
          <w:sz w:val="24"/>
          <w:szCs w:val="24"/>
        </w:rPr>
        <w:t xml:space="preserve">   </w:t>
      </w:r>
      <w:r>
        <w:rPr>
          <w:rFonts w:hAnsi="宋体"/>
          <w:sz w:val="24"/>
          <w:szCs w:val="24"/>
        </w:rPr>
        <w:t>主要噪声设备源强、位置一览表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471"/>
        <w:gridCol w:w="1288"/>
        <w:gridCol w:w="1149"/>
        <w:gridCol w:w="1014"/>
        <w:gridCol w:w="2213"/>
        <w:gridCol w:w="1811"/>
      </w:tblGrid>
      <w:tr w:rsidR="004446A0" w:rsidTr="004446A0">
        <w:trPr>
          <w:trHeight w:val="345"/>
          <w:jc w:val="center"/>
        </w:trPr>
        <w:tc>
          <w:tcPr>
            <w:tcW w:w="822" w:type="pct"/>
            <w:vMerge w:val="restart"/>
            <w:vAlign w:val="center"/>
          </w:tcPr>
          <w:p w:rsidR="004446A0" w:rsidRDefault="004446A0">
            <w:pPr>
              <w:pStyle w:val="afffff6"/>
              <w:spacing w:before="0" w:after="0" w:line="216" w:lineRule="auto"/>
              <w:rPr>
                <w:rFonts w:hAnsi="Times New Roman"/>
              </w:rPr>
            </w:pPr>
            <w:r>
              <w:t>噪声源</w:t>
            </w:r>
          </w:p>
        </w:tc>
        <w:tc>
          <w:tcPr>
            <w:tcW w:w="720" w:type="pct"/>
            <w:vMerge w:val="restart"/>
            <w:vAlign w:val="center"/>
          </w:tcPr>
          <w:p w:rsidR="004446A0" w:rsidRDefault="004446A0">
            <w:pPr>
              <w:pStyle w:val="afffff6"/>
              <w:spacing w:before="0" w:after="0" w:line="216" w:lineRule="auto"/>
              <w:rPr>
                <w:rFonts w:hAnsi="Times New Roman"/>
              </w:rPr>
            </w:pPr>
            <w:r>
              <w:t>数量</w:t>
            </w:r>
          </w:p>
          <w:p w:rsidR="004446A0" w:rsidRDefault="004446A0">
            <w:pPr>
              <w:pStyle w:val="afffff6"/>
              <w:spacing w:before="0" w:after="0" w:line="216" w:lineRule="auto"/>
              <w:rPr>
                <w:rFonts w:hAnsi="Times New Roman"/>
              </w:rPr>
            </w:pPr>
            <w:r>
              <w:t>（台）</w:t>
            </w:r>
          </w:p>
        </w:tc>
        <w:tc>
          <w:tcPr>
            <w:tcW w:w="642" w:type="pct"/>
            <w:vMerge w:val="restart"/>
            <w:tcMar>
              <w:top w:w="28" w:type="dxa"/>
              <w:bottom w:w="28" w:type="dxa"/>
            </w:tcMar>
            <w:vAlign w:val="center"/>
          </w:tcPr>
          <w:p w:rsidR="004446A0" w:rsidRDefault="004446A0">
            <w:pPr>
              <w:pStyle w:val="afffff6"/>
              <w:spacing w:before="0" w:after="0" w:line="216" w:lineRule="auto"/>
              <w:rPr>
                <w:rFonts w:hAnsi="Times New Roman"/>
              </w:rPr>
            </w:pPr>
            <w:r>
              <w:t>源强</w:t>
            </w:r>
            <w:r>
              <w:rPr>
                <w:rFonts w:hAnsi="Times New Roman"/>
              </w:rPr>
              <w:t>dB(A)</w:t>
            </w:r>
          </w:p>
        </w:tc>
        <w:tc>
          <w:tcPr>
            <w:tcW w:w="567" w:type="pct"/>
            <w:vMerge w:val="restart"/>
            <w:vAlign w:val="center"/>
          </w:tcPr>
          <w:p w:rsidR="004446A0" w:rsidRDefault="004446A0">
            <w:pPr>
              <w:pStyle w:val="afffff6"/>
              <w:spacing w:before="0" w:after="0" w:line="216" w:lineRule="auto"/>
              <w:rPr>
                <w:rFonts w:hAnsi="Times New Roman"/>
              </w:rPr>
            </w:pPr>
            <w:r>
              <w:t>工作情况</w:t>
            </w:r>
          </w:p>
        </w:tc>
        <w:tc>
          <w:tcPr>
            <w:tcW w:w="1237" w:type="pct"/>
            <w:vMerge w:val="restart"/>
            <w:tcMar>
              <w:top w:w="28" w:type="dxa"/>
              <w:bottom w:w="28" w:type="dxa"/>
            </w:tcMar>
            <w:vAlign w:val="center"/>
          </w:tcPr>
          <w:p w:rsidR="004446A0" w:rsidRDefault="004446A0">
            <w:pPr>
              <w:pStyle w:val="afffff6"/>
              <w:spacing w:before="0" w:after="0" w:line="216" w:lineRule="auto"/>
              <w:rPr>
                <w:rFonts w:hAnsi="Times New Roman"/>
              </w:rPr>
            </w:pPr>
            <w:r>
              <w:t>降噪措施</w:t>
            </w:r>
          </w:p>
        </w:tc>
        <w:tc>
          <w:tcPr>
            <w:tcW w:w="1012" w:type="pct"/>
            <w:vMerge w:val="restart"/>
            <w:vAlign w:val="center"/>
          </w:tcPr>
          <w:p w:rsidR="004446A0" w:rsidRDefault="004446A0">
            <w:pPr>
              <w:pStyle w:val="afffff6"/>
              <w:spacing w:before="0" w:after="0" w:line="216" w:lineRule="auto"/>
              <w:rPr>
                <w:rFonts w:hAnsi="Times New Roman"/>
              </w:rPr>
            </w:pPr>
            <w:r>
              <w:t>降噪后源强</w:t>
            </w:r>
            <w:r>
              <w:rPr>
                <w:rFonts w:hAnsi="Times New Roman"/>
              </w:rPr>
              <w:t>dB(A)</w:t>
            </w:r>
          </w:p>
        </w:tc>
      </w:tr>
      <w:tr w:rsidR="004446A0" w:rsidTr="004446A0">
        <w:trPr>
          <w:trHeight w:val="257"/>
          <w:jc w:val="center"/>
        </w:trPr>
        <w:tc>
          <w:tcPr>
            <w:tcW w:w="822" w:type="pct"/>
            <w:vMerge/>
            <w:vAlign w:val="center"/>
          </w:tcPr>
          <w:p w:rsidR="004446A0" w:rsidRDefault="004446A0">
            <w:pPr>
              <w:pStyle w:val="afffff6"/>
              <w:spacing w:before="0" w:after="0" w:line="216" w:lineRule="auto"/>
              <w:rPr>
                <w:rFonts w:hAnsi="Times New Roman"/>
              </w:rPr>
            </w:pPr>
          </w:p>
        </w:tc>
        <w:tc>
          <w:tcPr>
            <w:tcW w:w="720" w:type="pct"/>
            <w:vMerge/>
            <w:vAlign w:val="center"/>
          </w:tcPr>
          <w:p w:rsidR="004446A0" w:rsidRDefault="004446A0">
            <w:pPr>
              <w:pStyle w:val="afffff6"/>
              <w:spacing w:before="0" w:after="0" w:line="216" w:lineRule="auto"/>
              <w:rPr>
                <w:rFonts w:hAnsi="Times New Roman"/>
              </w:rPr>
            </w:pPr>
          </w:p>
        </w:tc>
        <w:tc>
          <w:tcPr>
            <w:tcW w:w="642" w:type="pct"/>
            <w:vMerge/>
            <w:tcMar>
              <w:top w:w="28" w:type="dxa"/>
              <w:bottom w:w="28" w:type="dxa"/>
            </w:tcMar>
            <w:vAlign w:val="center"/>
          </w:tcPr>
          <w:p w:rsidR="004446A0" w:rsidRDefault="004446A0">
            <w:pPr>
              <w:pStyle w:val="afffff6"/>
              <w:spacing w:before="0" w:after="0" w:line="216" w:lineRule="auto"/>
              <w:rPr>
                <w:rFonts w:hAnsi="Times New Roman"/>
              </w:rPr>
            </w:pPr>
          </w:p>
        </w:tc>
        <w:tc>
          <w:tcPr>
            <w:tcW w:w="567" w:type="pct"/>
            <w:vMerge/>
            <w:vAlign w:val="center"/>
          </w:tcPr>
          <w:p w:rsidR="004446A0" w:rsidRDefault="004446A0">
            <w:pPr>
              <w:pStyle w:val="afffff6"/>
              <w:spacing w:before="0" w:after="0" w:line="216" w:lineRule="auto"/>
              <w:rPr>
                <w:rFonts w:hAnsi="Times New Roman"/>
              </w:rPr>
            </w:pPr>
          </w:p>
        </w:tc>
        <w:tc>
          <w:tcPr>
            <w:tcW w:w="1237" w:type="pct"/>
            <w:vMerge/>
            <w:tcMar>
              <w:top w:w="28" w:type="dxa"/>
              <w:bottom w:w="28" w:type="dxa"/>
            </w:tcMar>
            <w:vAlign w:val="center"/>
          </w:tcPr>
          <w:p w:rsidR="004446A0" w:rsidRDefault="004446A0">
            <w:pPr>
              <w:pStyle w:val="afffff6"/>
              <w:spacing w:before="0" w:after="0" w:line="216" w:lineRule="auto"/>
              <w:rPr>
                <w:rFonts w:hAnsi="Times New Roman"/>
              </w:rPr>
            </w:pPr>
          </w:p>
        </w:tc>
        <w:tc>
          <w:tcPr>
            <w:tcW w:w="1012" w:type="pct"/>
            <w:vMerge/>
            <w:vAlign w:val="center"/>
          </w:tcPr>
          <w:p w:rsidR="004446A0" w:rsidRDefault="004446A0">
            <w:pPr>
              <w:pStyle w:val="afffff6"/>
              <w:spacing w:before="0" w:after="0" w:line="216" w:lineRule="auto"/>
              <w:rPr>
                <w:rFonts w:hAnsi="Times New Roman"/>
              </w:rPr>
            </w:pPr>
          </w:p>
        </w:tc>
      </w:tr>
      <w:tr w:rsidR="004446A0" w:rsidTr="004446A0">
        <w:trPr>
          <w:jc w:val="center"/>
        </w:trPr>
        <w:tc>
          <w:tcPr>
            <w:tcW w:w="822" w:type="pct"/>
            <w:vAlign w:val="center"/>
          </w:tcPr>
          <w:p w:rsidR="004446A0" w:rsidRDefault="004446A0">
            <w:pPr>
              <w:pStyle w:val="afffff6"/>
              <w:spacing w:before="0" w:after="0" w:line="216" w:lineRule="auto"/>
              <w:rPr>
                <w:rFonts w:hAnsi="Times New Roman"/>
              </w:rPr>
            </w:pPr>
            <w:r>
              <w:t>泵</w:t>
            </w:r>
          </w:p>
        </w:tc>
        <w:tc>
          <w:tcPr>
            <w:tcW w:w="720" w:type="pct"/>
            <w:vAlign w:val="center"/>
          </w:tcPr>
          <w:p w:rsidR="004446A0" w:rsidRDefault="004446A0">
            <w:pPr>
              <w:pStyle w:val="afffff6"/>
              <w:spacing w:before="0" w:after="0" w:line="216" w:lineRule="auto"/>
              <w:rPr>
                <w:rFonts w:hAnsi="Times New Roman"/>
              </w:rPr>
            </w:pPr>
            <w:r>
              <w:rPr>
                <w:rFonts w:hAnsi="Times New Roman"/>
              </w:rPr>
              <w:t>20</w:t>
            </w:r>
          </w:p>
        </w:tc>
        <w:tc>
          <w:tcPr>
            <w:tcW w:w="642" w:type="pct"/>
            <w:tcMar>
              <w:top w:w="28" w:type="dxa"/>
              <w:bottom w:w="28" w:type="dxa"/>
            </w:tcMar>
            <w:vAlign w:val="center"/>
          </w:tcPr>
          <w:p w:rsidR="004446A0" w:rsidRDefault="004446A0">
            <w:pPr>
              <w:pStyle w:val="afffff6"/>
              <w:spacing w:before="0" w:after="0" w:line="216" w:lineRule="auto"/>
              <w:rPr>
                <w:rFonts w:hAnsi="Times New Roman"/>
              </w:rPr>
            </w:pPr>
            <w:r>
              <w:rPr>
                <w:rFonts w:hAnsi="Times New Roman"/>
              </w:rPr>
              <w:t>70-75</w:t>
            </w:r>
          </w:p>
        </w:tc>
        <w:tc>
          <w:tcPr>
            <w:tcW w:w="567" w:type="pct"/>
            <w:vAlign w:val="center"/>
          </w:tcPr>
          <w:p w:rsidR="004446A0" w:rsidRDefault="004446A0">
            <w:pPr>
              <w:pStyle w:val="afffff6"/>
              <w:spacing w:before="0" w:after="0" w:line="216" w:lineRule="auto"/>
              <w:rPr>
                <w:rFonts w:hAnsi="Times New Roman"/>
              </w:rPr>
            </w:pPr>
            <w:r>
              <w:t>室内</w:t>
            </w:r>
          </w:p>
        </w:tc>
        <w:tc>
          <w:tcPr>
            <w:tcW w:w="1237" w:type="pct"/>
            <w:tcMar>
              <w:top w:w="28" w:type="dxa"/>
              <w:bottom w:w="28" w:type="dxa"/>
            </w:tcMar>
            <w:vAlign w:val="center"/>
          </w:tcPr>
          <w:p w:rsidR="004446A0" w:rsidRDefault="004446A0">
            <w:pPr>
              <w:pStyle w:val="afffff6"/>
              <w:spacing w:before="0" w:after="0" w:line="216" w:lineRule="auto"/>
              <w:rPr>
                <w:rFonts w:hAnsi="Times New Roman"/>
              </w:rPr>
            </w:pPr>
            <w:r>
              <w:t>低噪声设备</w:t>
            </w:r>
            <w:r>
              <w:rPr>
                <w:rFonts w:hAnsi="Times New Roman"/>
              </w:rPr>
              <w:t>+</w:t>
            </w:r>
            <w:r>
              <w:t>隔声</w:t>
            </w:r>
            <w:r>
              <w:rPr>
                <w:rFonts w:hAnsi="Times New Roman"/>
              </w:rPr>
              <w:t>+</w:t>
            </w:r>
            <w:r>
              <w:t>减震</w:t>
            </w:r>
          </w:p>
        </w:tc>
        <w:tc>
          <w:tcPr>
            <w:tcW w:w="1012" w:type="pct"/>
            <w:vAlign w:val="center"/>
          </w:tcPr>
          <w:p w:rsidR="004446A0" w:rsidRDefault="004446A0">
            <w:pPr>
              <w:pStyle w:val="afffff6"/>
              <w:spacing w:before="0" w:after="0" w:line="216" w:lineRule="auto"/>
              <w:rPr>
                <w:rFonts w:hAnsi="Times New Roman"/>
              </w:rPr>
            </w:pPr>
            <w:r>
              <w:rPr>
                <w:rFonts w:hAnsi="Times New Roman"/>
              </w:rPr>
              <w:t xml:space="preserve">   60</w:t>
            </w:r>
          </w:p>
        </w:tc>
      </w:tr>
      <w:tr w:rsidR="004446A0" w:rsidTr="004446A0">
        <w:trPr>
          <w:jc w:val="center"/>
        </w:trPr>
        <w:tc>
          <w:tcPr>
            <w:tcW w:w="822" w:type="pct"/>
            <w:vAlign w:val="center"/>
          </w:tcPr>
          <w:p w:rsidR="004446A0" w:rsidRDefault="004446A0">
            <w:pPr>
              <w:pStyle w:val="afffff6"/>
              <w:spacing w:before="0" w:after="0" w:line="216" w:lineRule="auto"/>
              <w:rPr>
                <w:rFonts w:hAnsi="Times New Roman"/>
              </w:rPr>
            </w:pPr>
            <w:r>
              <w:t>鼓风机</w:t>
            </w:r>
          </w:p>
        </w:tc>
        <w:tc>
          <w:tcPr>
            <w:tcW w:w="720" w:type="pct"/>
            <w:vAlign w:val="center"/>
          </w:tcPr>
          <w:p w:rsidR="004446A0" w:rsidRDefault="004446A0">
            <w:pPr>
              <w:pStyle w:val="afffff6"/>
              <w:spacing w:before="0" w:after="0" w:line="216" w:lineRule="auto"/>
              <w:rPr>
                <w:rFonts w:hAnsi="Times New Roman"/>
              </w:rPr>
            </w:pPr>
            <w:r>
              <w:rPr>
                <w:rFonts w:hAnsi="Times New Roman"/>
              </w:rPr>
              <w:t>1</w:t>
            </w:r>
          </w:p>
        </w:tc>
        <w:tc>
          <w:tcPr>
            <w:tcW w:w="642" w:type="pct"/>
            <w:tcMar>
              <w:top w:w="28" w:type="dxa"/>
              <w:bottom w:w="28" w:type="dxa"/>
            </w:tcMar>
            <w:vAlign w:val="center"/>
          </w:tcPr>
          <w:p w:rsidR="004446A0" w:rsidRDefault="004446A0">
            <w:pPr>
              <w:pStyle w:val="afffff6"/>
              <w:spacing w:before="0" w:after="0" w:line="216" w:lineRule="auto"/>
              <w:rPr>
                <w:rFonts w:hAnsi="Times New Roman"/>
              </w:rPr>
            </w:pPr>
            <w:r>
              <w:rPr>
                <w:rFonts w:hAnsi="Times New Roman"/>
              </w:rPr>
              <w:t>90</w:t>
            </w:r>
          </w:p>
        </w:tc>
        <w:tc>
          <w:tcPr>
            <w:tcW w:w="567" w:type="pct"/>
            <w:vAlign w:val="center"/>
          </w:tcPr>
          <w:p w:rsidR="004446A0" w:rsidRDefault="004446A0">
            <w:pPr>
              <w:pStyle w:val="afffff6"/>
              <w:spacing w:before="0" w:after="0" w:line="216" w:lineRule="auto"/>
              <w:rPr>
                <w:rFonts w:hAnsi="Times New Roman"/>
              </w:rPr>
            </w:pPr>
            <w:r>
              <w:t>室外</w:t>
            </w:r>
          </w:p>
        </w:tc>
        <w:tc>
          <w:tcPr>
            <w:tcW w:w="1237" w:type="pct"/>
            <w:tcMar>
              <w:top w:w="28" w:type="dxa"/>
              <w:bottom w:w="28" w:type="dxa"/>
            </w:tcMar>
            <w:vAlign w:val="center"/>
          </w:tcPr>
          <w:p w:rsidR="004446A0" w:rsidRDefault="004446A0">
            <w:pPr>
              <w:pStyle w:val="afffff6"/>
              <w:spacing w:before="0" w:after="0" w:line="216" w:lineRule="auto"/>
              <w:rPr>
                <w:rFonts w:hAnsi="Times New Roman"/>
              </w:rPr>
            </w:pPr>
            <w:r>
              <w:t>低噪声电机</w:t>
            </w:r>
            <w:r>
              <w:rPr>
                <w:rFonts w:hAnsi="Times New Roman"/>
              </w:rPr>
              <w:t>+</w:t>
            </w:r>
            <w:r>
              <w:t>消声</w:t>
            </w:r>
          </w:p>
        </w:tc>
        <w:tc>
          <w:tcPr>
            <w:tcW w:w="1012" w:type="pct"/>
            <w:vAlign w:val="center"/>
          </w:tcPr>
          <w:p w:rsidR="004446A0" w:rsidRDefault="004446A0">
            <w:pPr>
              <w:pStyle w:val="afffff6"/>
              <w:spacing w:before="0" w:after="0" w:line="216" w:lineRule="auto"/>
              <w:rPr>
                <w:rFonts w:hAnsi="Times New Roman"/>
              </w:rPr>
            </w:pPr>
            <w:r>
              <w:rPr>
                <w:rFonts w:hAnsi="Times New Roman"/>
              </w:rPr>
              <w:t>75</w:t>
            </w:r>
          </w:p>
        </w:tc>
      </w:tr>
      <w:tr w:rsidR="004446A0" w:rsidTr="004446A0">
        <w:trPr>
          <w:jc w:val="center"/>
        </w:trPr>
        <w:tc>
          <w:tcPr>
            <w:tcW w:w="822" w:type="pct"/>
            <w:vAlign w:val="center"/>
          </w:tcPr>
          <w:p w:rsidR="004446A0" w:rsidRDefault="004446A0">
            <w:pPr>
              <w:pStyle w:val="afffff6"/>
              <w:spacing w:before="0" w:after="0" w:line="216" w:lineRule="auto"/>
              <w:rPr>
                <w:rFonts w:hAnsi="Times New Roman"/>
              </w:rPr>
            </w:pPr>
            <w:r>
              <w:t>压滤机</w:t>
            </w:r>
          </w:p>
        </w:tc>
        <w:tc>
          <w:tcPr>
            <w:tcW w:w="720" w:type="pct"/>
            <w:vAlign w:val="center"/>
          </w:tcPr>
          <w:p w:rsidR="004446A0" w:rsidRDefault="004446A0">
            <w:pPr>
              <w:pStyle w:val="afffff6"/>
              <w:spacing w:before="0" w:after="0" w:line="216" w:lineRule="auto"/>
              <w:rPr>
                <w:rFonts w:hAnsi="Times New Roman"/>
              </w:rPr>
            </w:pPr>
            <w:r>
              <w:rPr>
                <w:rFonts w:hAnsi="Times New Roman" w:hint="eastAsia"/>
              </w:rPr>
              <w:t>2</w:t>
            </w:r>
          </w:p>
        </w:tc>
        <w:tc>
          <w:tcPr>
            <w:tcW w:w="642" w:type="pct"/>
            <w:tcMar>
              <w:top w:w="28" w:type="dxa"/>
              <w:bottom w:w="28" w:type="dxa"/>
            </w:tcMar>
            <w:vAlign w:val="center"/>
          </w:tcPr>
          <w:p w:rsidR="004446A0" w:rsidRDefault="004446A0">
            <w:pPr>
              <w:pStyle w:val="afffff6"/>
              <w:spacing w:before="0" w:after="0" w:line="216" w:lineRule="auto"/>
              <w:rPr>
                <w:rFonts w:hAnsi="Times New Roman"/>
              </w:rPr>
            </w:pPr>
            <w:r>
              <w:rPr>
                <w:rFonts w:hAnsi="Times New Roman"/>
              </w:rPr>
              <w:t>85</w:t>
            </w:r>
          </w:p>
        </w:tc>
        <w:tc>
          <w:tcPr>
            <w:tcW w:w="567" w:type="pct"/>
            <w:vAlign w:val="center"/>
          </w:tcPr>
          <w:p w:rsidR="004446A0" w:rsidRDefault="004446A0">
            <w:pPr>
              <w:pStyle w:val="afffff6"/>
              <w:spacing w:before="0" w:after="0" w:line="216" w:lineRule="auto"/>
              <w:rPr>
                <w:rFonts w:hAnsi="Times New Roman"/>
              </w:rPr>
            </w:pPr>
            <w:r>
              <w:t>室内</w:t>
            </w:r>
          </w:p>
        </w:tc>
        <w:tc>
          <w:tcPr>
            <w:tcW w:w="1237" w:type="pct"/>
            <w:tcMar>
              <w:top w:w="28" w:type="dxa"/>
              <w:bottom w:w="28" w:type="dxa"/>
            </w:tcMar>
            <w:vAlign w:val="center"/>
          </w:tcPr>
          <w:p w:rsidR="004446A0" w:rsidRDefault="004446A0">
            <w:pPr>
              <w:pStyle w:val="afffff6"/>
              <w:spacing w:before="0" w:after="0" w:line="216" w:lineRule="auto"/>
              <w:rPr>
                <w:rFonts w:hAnsi="Times New Roman"/>
              </w:rPr>
            </w:pPr>
            <w:r>
              <w:t>低噪声电机</w:t>
            </w:r>
            <w:r>
              <w:rPr>
                <w:rFonts w:hAnsi="Times New Roman"/>
              </w:rPr>
              <w:t>+</w:t>
            </w:r>
            <w:r>
              <w:t>隔声</w:t>
            </w:r>
            <w:r>
              <w:rPr>
                <w:rFonts w:hAnsi="Times New Roman"/>
              </w:rPr>
              <w:t>+</w:t>
            </w:r>
            <w:r>
              <w:t>消声</w:t>
            </w:r>
          </w:p>
        </w:tc>
        <w:tc>
          <w:tcPr>
            <w:tcW w:w="1012" w:type="pct"/>
            <w:vAlign w:val="center"/>
          </w:tcPr>
          <w:p w:rsidR="004446A0" w:rsidRDefault="004446A0">
            <w:pPr>
              <w:pStyle w:val="afffff6"/>
              <w:spacing w:before="0" w:after="0" w:line="216" w:lineRule="auto"/>
              <w:rPr>
                <w:rFonts w:hAnsi="Times New Roman"/>
              </w:rPr>
            </w:pPr>
            <w:r>
              <w:rPr>
                <w:rFonts w:hAnsi="Times New Roman"/>
              </w:rPr>
              <w:t xml:space="preserve">   70</w:t>
            </w:r>
          </w:p>
        </w:tc>
      </w:tr>
    </w:tbl>
    <w:p w:rsidR="00475650" w:rsidRDefault="00475650">
      <w:pPr>
        <w:pStyle w:val="h"/>
        <w:spacing w:before="0" w:after="0" w:line="360" w:lineRule="auto"/>
        <w:ind w:firstLine="0"/>
        <w:outlineLvl w:val="2"/>
        <w:rPr>
          <w:rStyle w:val="2Char1Char"/>
          <w:rFonts w:ascii="Times New Roman" w:eastAsia="宋体" w:hAnsi="Times New Roman" w:cs="Times New Roman"/>
          <w:b w:val="0"/>
          <w:sz w:val="24"/>
          <w:szCs w:val="24"/>
        </w:rPr>
      </w:pPr>
      <w:r>
        <w:rPr>
          <w:rStyle w:val="2Char1Char"/>
          <w:rFonts w:ascii="Times New Roman" w:eastAsia="宋体" w:hAnsi="Times New Roman" w:cs="Times New Roman"/>
          <w:b w:val="0"/>
          <w:bCs w:val="0"/>
          <w:sz w:val="24"/>
          <w:szCs w:val="24"/>
        </w:rPr>
        <w:t>5.2.3.2</w:t>
      </w:r>
      <w:r>
        <w:rPr>
          <w:rStyle w:val="2Char1Char"/>
          <w:rFonts w:ascii="Times New Roman" w:eastAsia="宋体" w:hAnsi="宋体" w:cs="Times New Roman"/>
          <w:b w:val="0"/>
          <w:sz w:val="24"/>
          <w:szCs w:val="24"/>
        </w:rPr>
        <w:t>噪声预测</w:t>
      </w:r>
    </w:p>
    <w:p w:rsidR="00475650" w:rsidRDefault="00475650">
      <w:pPr>
        <w:pStyle w:val="aff7"/>
        <w:ind w:firstLine="480"/>
        <w:rPr>
          <w:sz w:val="24"/>
          <w:szCs w:val="24"/>
        </w:rPr>
      </w:pPr>
      <w:r>
        <w:rPr>
          <w:sz w:val="24"/>
          <w:szCs w:val="24"/>
        </w:rPr>
        <w:t>1</w:t>
      </w:r>
      <w:r>
        <w:rPr>
          <w:rFonts w:hAnsi="宋体"/>
          <w:sz w:val="24"/>
          <w:szCs w:val="24"/>
        </w:rPr>
        <w:t>、预测范围及预测内容</w:t>
      </w:r>
    </w:p>
    <w:p w:rsidR="00475650" w:rsidRDefault="00475650">
      <w:pPr>
        <w:pStyle w:val="aff7"/>
        <w:ind w:firstLine="480"/>
        <w:rPr>
          <w:sz w:val="24"/>
          <w:szCs w:val="24"/>
        </w:rPr>
      </w:pPr>
      <w:r>
        <w:rPr>
          <w:rFonts w:hAnsi="宋体"/>
          <w:sz w:val="24"/>
          <w:szCs w:val="24"/>
        </w:rPr>
        <w:t>根据噪声影响的特点，本次预测范围为厂界外</w:t>
      </w:r>
      <w:r>
        <w:rPr>
          <w:sz w:val="24"/>
          <w:szCs w:val="24"/>
        </w:rPr>
        <w:t>200m</w:t>
      </w:r>
      <w:r>
        <w:rPr>
          <w:rFonts w:hAnsi="宋体"/>
          <w:sz w:val="24"/>
          <w:szCs w:val="24"/>
        </w:rPr>
        <w:t>范围。</w:t>
      </w:r>
    </w:p>
    <w:p w:rsidR="00475650" w:rsidRDefault="00475650">
      <w:pPr>
        <w:pStyle w:val="aff7"/>
        <w:ind w:firstLine="480"/>
        <w:rPr>
          <w:sz w:val="24"/>
          <w:szCs w:val="24"/>
        </w:rPr>
      </w:pPr>
      <w:r>
        <w:rPr>
          <w:rFonts w:hAnsi="宋体"/>
          <w:sz w:val="24"/>
          <w:szCs w:val="24"/>
        </w:rPr>
        <w:t>本项目</w:t>
      </w:r>
      <w:r>
        <w:rPr>
          <w:sz w:val="24"/>
          <w:szCs w:val="24"/>
        </w:rPr>
        <w:t>200m</w:t>
      </w:r>
      <w:r>
        <w:rPr>
          <w:rFonts w:hAnsi="宋体"/>
          <w:sz w:val="24"/>
          <w:szCs w:val="24"/>
        </w:rPr>
        <w:t>范围内无声敏感点，因此本处主要预测项目各点声源对厂界声环境的贡献。</w:t>
      </w:r>
    </w:p>
    <w:p w:rsidR="00475650" w:rsidRDefault="00475650">
      <w:pPr>
        <w:pStyle w:val="aff7"/>
        <w:ind w:firstLine="480"/>
        <w:rPr>
          <w:rFonts w:hAnsi="宋体"/>
          <w:sz w:val="24"/>
          <w:szCs w:val="24"/>
        </w:rPr>
      </w:pPr>
      <w:bookmarkStart w:id="771" w:name="_Toc448999132"/>
      <w:bookmarkStart w:id="772" w:name="_Toc465677033"/>
      <w:bookmarkStart w:id="773" w:name="_Toc1650"/>
      <w:bookmarkStart w:id="774" w:name="_Toc333230043"/>
      <w:bookmarkStart w:id="775" w:name="_Toc334014219"/>
      <w:bookmarkStart w:id="776" w:name="_Toc334080861"/>
      <w:r>
        <w:rPr>
          <w:rFonts w:hAnsi="宋体"/>
          <w:sz w:val="24"/>
          <w:szCs w:val="24"/>
        </w:rPr>
        <w:t>2</w:t>
      </w:r>
      <w:r>
        <w:rPr>
          <w:rFonts w:hAnsi="宋体"/>
          <w:sz w:val="24"/>
          <w:szCs w:val="24"/>
        </w:rPr>
        <w:t>、预测模式</w:t>
      </w:r>
      <w:bookmarkEnd w:id="771"/>
      <w:bookmarkEnd w:id="772"/>
      <w:bookmarkEnd w:id="773"/>
      <w:bookmarkEnd w:id="774"/>
      <w:bookmarkEnd w:id="775"/>
      <w:bookmarkEnd w:id="776"/>
    </w:p>
    <w:p w:rsidR="00475650" w:rsidRDefault="00475650">
      <w:pPr>
        <w:pStyle w:val="aff7"/>
        <w:ind w:firstLine="480"/>
        <w:rPr>
          <w:sz w:val="24"/>
          <w:szCs w:val="24"/>
        </w:rPr>
      </w:pPr>
      <w:r>
        <w:rPr>
          <w:rFonts w:hAnsi="宋体"/>
          <w:sz w:val="24"/>
          <w:szCs w:val="24"/>
        </w:rPr>
        <w:t>本次预测采用《环境影响评价技术导则</w:t>
      </w:r>
      <w:r>
        <w:rPr>
          <w:sz w:val="24"/>
          <w:szCs w:val="24"/>
        </w:rPr>
        <w:t>—</w:t>
      </w:r>
      <w:r>
        <w:rPr>
          <w:rFonts w:hAnsi="宋体"/>
          <w:sz w:val="24"/>
          <w:szCs w:val="24"/>
        </w:rPr>
        <w:t>声环境》（</w:t>
      </w:r>
      <w:r>
        <w:rPr>
          <w:sz w:val="24"/>
          <w:szCs w:val="24"/>
        </w:rPr>
        <w:t>HJ2.4-2009</w:t>
      </w:r>
      <w:r>
        <w:rPr>
          <w:rFonts w:hAnsi="宋体"/>
          <w:sz w:val="24"/>
          <w:szCs w:val="24"/>
        </w:rPr>
        <w:t>）中推荐的工业噪声预测模式，计算公式如下：</w:t>
      </w:r>
    </w:p>
    <w:p w:rsidR="00475650" w:rsidRDefault="00475650">
      <w:pPr>
        <w:pStyle w:val="aff7"/>
        <w:ind w:firstLine="480"/>
        <w:rPr>
          <w:sz w:val="24"/>
          <w:szCs w:val="24"/>
        </w:rPr>
      </w:pPr>
      <w:r>
        <w:rPr>
          <w:rFonts w:hAnsi="宋体"/>
          <w:sz w:val="24"/>
          <w:szCs w:val="24"/>
        </w:rPr>
        <w:t>利用</w:t>
      </w:r>
      <w:r>
        <w:rPr>
          <w:sz w:val="24"/>
          <w:szCs w:val="24"/>
        </w:rPr>
        <w:t>A</w:t>
      </w:r>
      <w:r>
        <w:rPr>
          <w:rFonts w:hAnsi="宋体"/>
          <w:sz w:val="24"/>
          <w:szCs w:val="24"/>
        </w:rPr>
        <w:t>声级计算噪声户外传播衰减，计算公式如下：</w:t>
      </w:r>
    </w:p>
    <w:p w:rsidR="00475650" w:rsidRDefault="00475650">
      <w:pPr>
        <w:pStyle w:val="aff7"/>
        <w:ind w:firstLine="480"/>
        <w:rPr>
          <w:sz w:val="24"/>
          <w:szCs w:val="24"/>
        </w:rPr>
      </w:pPr>
      <w:r w:rsidRPr="009964C3">
        <w:rPr>
          <w:sz w:val="24"/>
          <w:szCs w:val="24"/>
        </w:rPr>
        <w:object w:dxaOrig="179" w:dyaOrig="340">
          <v:shape id="对象 3" o:spid="_x0000_i1033" type="#_x0000_t75" style="width:9pt;height:17.4pt;mso-position-horizontal-relative:page;mso-position-vertical-relative:page" o:ole="">
            <v:imagedata r:id="rId54" o:title=""/>
          </v:shape>
          <o:OLEObject Type="Embed" ProgID="Equation.3" ShapeID="对象 3" DrawAspect="Content" ObjectID="_1546063759" r:id="rId55"/>
        </w:object>
      </w:r>
      <w:r w:rsidRPr="009964C3">
        <w:rPr>
          <w:sz w:val="24"/>
          <w:szCs w:val="24"/>
        </w:rPr>
        <w:object w:dxaOrig="4656" w:dyaOrig="419">
          <v:shape id="对象 4" o:spid="_x0000_i1034" type="#_x0000_t75" style="width:233.4pt;height:21pt;mso-position-horizontal-relative:page;mso-position-vertical-relative:page" o:ole="">
            <v:imagedata r:id="rId56" o:title=""/>
          </v:shape>
          <o:OLEObject Type="Embed" ProgID="Equation.3" ShapeID="对象 4" DrawAspect="Content" ObjectID="_1546063760" r:id="rId57"/>
        </w:object>
      </w:r>
    </w:p>
    <w:p w:rsidR="00475650" w:rsidRDefault="00475650">
      <w:pPr>
        <w:pStyle w:val="aff7"/>
        <w:ind w:firstLine="480"/>
        <w:rPr>
          <w:sz w:val="24"/>
          <w:szCs w:val="24"/>
        </w:rPr>
      </w:pPr>
      <w:r>
        <w:rPr>
          <w:rFonts w:hAnsi="宋体"/>
          <w:sz w:val="24"/>
          <w:szCs w:val="24"/>
        </w:rPr>
        <w:lastRenderedPageBreak/>
        <w:t>式中：</w:t>
      </w:r>
      <w:r w:rsidRPr="009964C3">
        <w:rPr>
          <w:sz w:val="24"/>
          <w:szCs w:val="24"/>
        </w:rPr>
        <w:object w:dxaOrig="759" w:dyaOrig="419">
          <v:shape id="对象 5" o:spid="_x0000_i1035" type="#_x0000_t75" style="width:30pt;height:18.6pt;mso-position-horizontal-relative:page;mso-position-vertical-relative:page" o:ole="">
            <v:imagedata r:id="rId58" o:title=""/>
          </v:shape>
          <o:OLEObject Type="Embed" ProgID="Equation.3" ShapeID="对象 5" DrawAspect="Content" ObjectID="_1546063761" r:id="rId59"/>
        </w:object>
      </w:r>
      <w:r>
        <w:rPr>
          <w:rFonts w:hAnsi="宋体"/>
          <w:sz w:val="24"/>
          <w:szCs w:val="24"/>
        </w:rPr>
        <w:t>：距声源</w:t>
      </w:r>
      <w:r w:rsidRPr="009964C3">
        <w:rPr>
          <w:sz w:val="24"/>
          <w:szCs w:val="24"/>
        </w:rPr>
        <w:object w:dxaOrig="299" w:dyaOrig="420">
          <v:shape id="对象 6" o:spid="_x0000_i1036" type="#_x0000_t75" style="width:15pt;height:21pt;mso-position-horizontal-relative:page;mso-position-vertical-relative:page" o:ole="">
            <v:imagedata r:id="rId60" o:title=""/>
          </v:shape>
          <o:OLEObject Type="Embed" ProgID="Equation.3" ShapeID="对象 6" DrawAspect="Content" ObjectID="_1546063762" r:id="rId61"/>
        </w:object>
      </w:r>
      <w:r>
        <w:rPr>
          <w:rFonts w:hAnsi="宋体"/>
          <w:sz w:val="24"/>
          <w:szCs w:val="24"/>
        </w:rPr>
        <w:t>处的</w:t>
      </w:r>
      <w:r>
        <w:rPr>
          <w:sz w:val="24"/>
          <w:szCs w:val="24"/>
        </w:rPr>
        <w:t>A</w:t>
      </w:r>
      <w:r>
        <w:rPr>
          <w:rFonts w:hAnsi="宋体"/>
          <w:sz w:val="24"/>
          <w:szCs w:val="24"/>
        </w:rPr>
        <w:t>声级；</w:t>
      </w:r>
    </w:p>
    <w:p w:rsidR="00475650" w:rsidRDefault="00475650">
      <w:pPr>
        <w:pStyle w:val="aff7"/>
        <w:ind w:firstLine="480"/>
        <w:rPr>
          <w:sz w:val="24"/>
          <w:szCs w:val="24"/>
        </w:rPr>
      </w:pPr>
      <w:r w:rsidRPr="009964C3">
        <w:rPr>
          <w:sz w:val="24"/>
          <w:szCs w:val="24"/>
        </w:rPr>
        <w:object w:dxaOrig="959" w:dyaOrig="399">
          <v:shape id="对象 7" o:spid="_x0000_i1037" type="#_x0000_t75" style="width:39pt;height:20.4pt;mso-position-horizontal-relative:page;mso-position-vertical-relative:page" o:ole="">
            <v:imagedata r:id="rId62" o:title=""/>
          </v:shape>
          <o:OLEObject Type="Embed" ProgID="Equation.3" ShapeID="对象 7" DrawAspect="Content" ObjectID="_1546063763" r:id="rId63"/>
        </w:object>
      </w:r>
      <w:r>
        <w:rPr>
          <w:rFonts w:hAnsi="宋体"/>
          <w:sz w:val="24"/>
          <w:szCs w:val="24"/>
        </w:rPr>
        <w:t>：参考位置</w:t>
      </w:r>
      <w:r w:rsidRPr="009964C3">
        <w:rPr>
          <w:sz w:val="24"/>
          <w:szCs w:val="24"/>
        </w:rPr>
        <w:object w:dxaOrig="300" w:dyaOrig="380">
          <v:shape id="对象 8" o:spid="_x0000_i1038" type="#_x0000_t75" style="width:15pt;height:18.6pt;mso-position-horizontal-relative:page;mso-position-vertical-relative:page" o:ole="">
            <v:imagedata r:id="rId64" o:title=""/>
          </v:shape>
          <o:OLEObject Type="Embed" ProgID="Equation.3" ShapeID="对象 8" DrawAspect="Content" ObjectID="_1546063764" r:id="rId65"/>
        </w:object>
      </w:r>
      <w:r>
        <w:rPr>
          <w:rFonts w:hAnsi="宋体"/>
          <w:sz w:val="24"/>
          <w:szCs w:val="24"/>
        </w:rPr>
        <w:t>处的</w:t>
      </w:r>
      <w:r>
        <w:rPr>
          <w:sz w:val="24"/>
          <w:szCs w:val="24"/>
        </w:rPr>
        <w:t>A</w:t>
      </w:r>
      <w:r>
        <w:rPr>
          <w:rFonts w:hAnsi="宋体"/>
          <w:sz w:val="24"/>
          <w:szCs w:val="24"/>
        </w:rPr>
        <w:t>声级；</w:t>
      </w:r>
    </w:p>
    <w:p w:rsidR="00475650" w:rsidRDefault="00475650">
      <w:pPr>
        <w:pStyle w:val="aff7"/>
        <w:ind w:firstLine="480"/>
        <w:rPr>
          <w:sz w:val="24"/>
          <w:szCs w:val="24"/>
        </w:rPr>
      </w:pPr>
      <w:r w:rsidRPr="009964C3">
        <w:rPr>
          <w:sz w:val="24"/>
          <w:szCs w:val="24"/>
        </w:rPr>
        <w:object w:dxaOrig="500" w:dyaOrig="380">
          <v:shape id="对象 9" o:spid="_x0000_i1039" type="#_x0000_t75" style="width:25.8pt;height:18.6pt;mso-position-horizontal-relative:page;mso-position-vertical-relative:page" o:ole="">
            <v:imagedata r:id="rId66" o:title=""/>
          </v:shape>
          <o:OLEObject Type="Embed" ProgID="Equation.3" ShapeID="对象 9" DrawAspect="Content" ObjectID="_1546063765" r:id="rId67"/>
        </w:object>
      </w:r>
      <w:r>
        <w:rPr>
          <w:rFonts w:hAnsi="宋体"/>
          <w:sz w:val="24"/>
          <w:szCs w:val="24"/>
        </w:rPr>
        <w:t>：声波几何发散引起的</w:t>
      </w:r>
      <w:r>
        <w:rPr>
          <w:sz w:val="24"/>
          <w:szCs w:val="24"/>
        </w:rPr>
        <w:t>A</w:t>
      </w:r>
      <w:r>
        <w:rPr>
          <w:rFonts w:hAnsi="宋体"/>
          <w:sz w:val="24"/>
          <w:szCs w:val="24"/>
        </w:rPr>
        <w:t>声级衰减量，本项目的声源按照点源考虑；</w:t>
      </w:r>
    </w:p>
    <w:p w:rsidR="00475650" w:rsidRDefault="00475650">
      <w:pPr>
        <w:pStyle w:val="aff7"/>
        <w:ind w:firstLine="480"/>
        <w:rPr>
          <w:sz w:val="24"/>
          <w:szCs w:val="24"/>
        </w:rPr>
      </w:pPr>
      <w:r w:rsidRPr="009964C3">
        <w:rPr>
          <w:sz w:val="24"/>
          <w:szCs w:val="24"/>
        </w:rPr>
        <w:object w:dxaOrig="1740" w:dyaOrig="439">
          <v:shape id="对象 10" o:spid="_x0000_i1040" type="#_x0000_t75" style="width:87pt;height:21.6pt;mso-position-horizontal-relative:page;mso-position-vertical-relative:page" o:ole="">
            <v:imagedata r:id="rId68" o:title=""/>
          </v:shape>
          <o:OLEObject Type="Embed" ProgID="Equation.3" ShapeID="对象 10" DrawAspect="Content" ObjectID="_1546063766" r:id="rId69"/>
        </w:object>
      </w:r>
      <w:r>
        <w:rPr>
          <w:rFonts w:hAnsi="宋体"/>
          <w:sz w:val="24"/>
          <w:szCs w:val="24"/>
        </w:rPr>
        <w:t>；</w:t>
      </w:r>
    </w:p>
    <w:p w:rsidR="00475650" w:rsidRDefault="00475650">
      <w:pPr>
        <w:pStyle w:val="aff7"/>
        <w:ind w:firstLine="480"/>
        <w:rPr>
          <w:sz w:val="24"/>
          <w:szCs w:val="24"/>
        </w:rPr>
      </w:pPr>
      <w:r w:rsidRPr="009964C3">
        <w:rPr>
          <w:sz w:val="24"/>
          <w:szCs w:val="24"/>
        </w:rPr>
        <w:object w:dxaOrig="520" w:dyaOrig="380">
          <v:shape id="对象 11" o:spid="_x0000_i1041" type="#_x0000_t75" style="width:25.8pt;height:18.6pt;mso-position-horizontal-relative:page;mso-position-vertical-relative:page" o:ole="">
            <v:imagedata r:id="rId70" o:title=""/>
          </v:shape>
          <o:OLEObject Type="Embed" ProgID="Equation.3" ShapeID="对象 11" DrawAspect="Content" ObjectID="_1546063767" r:id="rId71"/>
        </w:object>
      </w:r>
      <w:r>
        <w:rPr>
          <w:rFonts w:hAnsi="宋体"/>
          <w:sz w:val="24"/>
          <w:szCs w:val="24"/>
        </w:rPr>
        <w:t>：遮挡物引起的</w:t>
      </w:r>
      <w:r>
        <w:rPr>
          <w:sz w:val="24"/>
          <w:szCs w:val="24"/>
        </w:rPr>
        <w:t>A</w:t>
      </w:r>
      <w:r>
        <w:rPr>
          <w:rFonts w:hAnsi="宋体"/>
          <w:sz w:val="24"/>
          <w:szCs w:val="24"/>
        </w:rPr>
        <w:t>声级衰减量；</w:t>
      </w:r>
    </w:p>
    <w:p w:rsidR="00475650" w:rsidRDefault="00475650">
      <w:pPr>
        <w:pStyle w:val="aff7"/>
        <w:ind w:firstLine="480"/>
        <w:rPr>
          <w:sz w:val="24"/>
          <w:szCs w:val="24"/>
        </w:rPr>
      </w:pPr>
      <w:r w:rsidRPr="009964C3">
        <w:rPr>
          <w:sz w:val="24"/>
          <w:szCs w:val="24"/>
        </w:rPr>
        <w:object w:dxaOrig="520" w:dyaOrig="380">
          <v:shape id="对象 12" o:spid="_x0000_i1042" type="#_x0000_t75" style="width:26.4pt;height:18pt;mso-position-horizontal-relative:page;mso-position-vertical-relative:page" o:ole="">
            <v:imagedata r:id="rId72" o:title=""/>
          </v:shape>
          <o:OLEObject Type="Embed" ProgID="Equation.3" ShapeID="对象 12" DrawAspect="Content" ObjectID="_1546063768" r:id="rId73"/>
        </w:object>
      </w:r>
      <w:r>
        <w:rPr>
          <w:rFonts w:hAnsi="宋体"/>
          <w:sz w:val="24"/>
          <w:szCs w:val="24"/>
        </w:rPr>
        <w:t>：空气吸收引起的</w:t>
      </w:r>
      <w:r>
        <w:rPr>
          <w:sz w:val="24"/>
          <w:szCs w:val="24"/>
        </w:rPr>
        <w:t>A</w:t>
      </w:r>
      <w:r>
        <w:rPr>
          <w:rFonts w:hAnsi="宋体"/>
          <w:sz w:val="24"/>
          <w:szCs w:val="24"/>
        </w:rPr>
        <w:t>声级衰减量；</w:t>
      </w:r>
    </w:p>
    <w:p w:rsidR="00475650" w:rsidRDefault="00475650">
      <w:pPr>
        <w:pStyle w:val="aff7"/>
        <w:ind w:firstLine="480"/>
        <w:rPr>
          <w:sz w:val="24"/>
          <w:szCs w:val="24"/>
        </w:rPr>
      </w:pPr>
      <w:r w:rsidRPr="009964C3">
        <w:rPr>
          <w:sz w:val="24"/>
          <w:szCs w:val="24"/>
        </w:rPr>
        <w:object w:dxaOrig="500" w:dyaOrig="380">
          <v:shape id="对象 13" o:spid="_x0000_i1043" type="#_x0000_t75" style="width:25.8pt;height:18.6pt;mso-position-horizontal-relative:page;mso-position-vertical-relative:page" o:ole="">
            <v:imagedata r:id="rId74" o:title=""/>
          </v:shape>
          <o:OLEObject Type="Embed" ProgID="Equation.3" ShapeID="对象 13" DrawAspect="Content" ObjectID="_1546063769" r:id="rId75"/>
        </w:object>
      </w:r>
      <w:r>
        <w:rPr>
          <w:rFonts w:hAnsi="宋体"/>
          <w:sz w:val="24"/>
          <w:szCs w:val="24"/>
        </w:rPr>
        <w:t>：附加</w:t>
      </w:r>
      <w:r>
        <w:rPr>
          <w:sz w:val="24"/>
          <w:szCs w:val="24"/>
        </w:rPr>
        <w:t>A</w:t>
      </w:r>
      <w:r>
        <w:rPr>
          <w:rFonts w:hAnsi="宋体"/>
          <w:sz w:val="24"/>
          <w:szCs w:val="24"/>
        </w:rPr>
        <w:t>声级衰减量</w:t>
      </w:r>
    </w:p>
    <w:p w:rsidR="00475650" w:rsidRDefault="00475650">
      <w:pPr>
        <w:pStyle w:val="aff7"/>
        <w:ind w:firstLine="480"/>
        <w:rPr>
          <w:sz w:val="24"/>
          <w:szCs w:val="24"/>
        </w:rPr>
      </w:pPr>
      <w:r w:rsidRPr="009964C3">
        <w:rPr>
          <w:sz w:val="24"/>
          <w:szCs w:val="24"/>
        </w:rPr>
        <w:object w:dxaOrig="299" w:dyaOrig="420">
          <v:shape id="对象 14" o:spid="_x0000_i1044" type="#_x0000_t75" style="width:15pt;height:21pt;mso-position-horizontal-relative:page;mso-position-vertical-relative:page" o:ole="">
            <v:imagedata r:id="rId60" o:title=""/>
          </v:shape>
          <o:OLEObject Type="Embed" ProgID="Equation.3" ShapeID="对象 14" DrawAspect="Content" ObjectID="_1546063770" r:id="rId76"/>
        </w:object>
      </w:r>
      <w:r>
        <w:rPr>
          <w:rFonts w:hAnsi="宋体"/>
          <w:sz w:val="24"/>
          <w:szCs w:val="24"/>
        </w:rPr>
        <w:t>：预测点距声源的距离，</w:t>
      </w:r>
      <w:r>
        <w:rPr>
          <w:sz w:val="24"/>
          <w:szCs w:val="24"/>
        </w:rPr>
        <w:t>m</w:t>
      </w:r>
      <w:r>
        <w:rPr>
          <w:rFonts w:hAnsi="宋体"/>
          <w:sz w:val="24"/>
          <w:szCs w:val="24"/>
        </w:rPr>
        <w:t>；</w:t>
      </w:r>
    </w:p>
    <w:p w:rsidR="00475650" w:rsidRDefault="00475650">
      <w:pPr>
        <w:pStyle w:val="aff7"/>
        <w:ind w:firstLine="480"/>
        <w:rPr>
          <w:sz w:val="24"/>
          <w:szCs w:val="24"/>
        </w:rPr>
      </w:pPr>
      <w:r w:rsidRPr="009964C3">
        <w:rPr>
          <w:sz w:val="24"/>
          <w:szCs w:val="24"/>
        </w:rPr>
        <w:object w:dxaOrig="300" w:dyaOrig="380">
          <v:shape id="对象 15" o:spid="_x0000_i1045" type="#_x0000_t75" style="width:15pt;height:18.6pt;mso-position-horizontal-relative:page;mso-position-vertical-relative:page" o:ole="">
            <v:imagedata r:id="rId64" o:title=""/>
          </v:shape>
          <o:OLEObject Type="Embed" ProgID="Equation.3" ShapeID="对象 15" DrawAspect="Content" ObjectID="_1546063771" r:id="rId77"/>
        </w:object>
      </w:r>
      <w:r>
        <w:rPr>
          <w:rFonts w:hAnsi="宋体"/>
          <w:sz w:val="24"/>
          <w:szCs w:val="24"/>
        </w:rPr>
        <w:t>：参考位置距声源的距离，</w:t>
      </w:r>
      <w:r>
        <w:rPr>
          <w:sz w:val="24"/>
          <w:szCs w:val="24"/>
        </w:rPr>
        <w:t>m</w:t>
      </w:r>
      <w:r>
        <w:rPr>
          <w:rFonts w:hAnsi="宋体"/>
          <w:sz w:val="24"/>
          <w:szCs w:val="24"/>
        </w:rPr>
        <w:t>。</w:t>
      </w:r>
    </w:p>
    <w:p w:rsidR="00475650" w:rsidRDefault="00475650">
      <w:pPr>
        <w:pStyle w:val="aff7"/>
        <w:ind w:firstLine="480"/>
        <w:rPr>
          <w:sz w:val="24"/>
          <w:szCs w:val="24"/>
        </w:rPr>
      </w:pPr>
      <w:r>
        <w:rPr>
          <w:rFonts w:hAnsi="宋体"/>
          <w:sz w:val="24"/>
          <w:szCs w:val="24"/>
        </w:rPr>
        <w:t>总声压级：设第</w:t>
      </w:r>
      <w:r>
        <w:rPr>
          <w:sz w:val="24"/>
          <w:szCs w:val="24"/>
        </w:rPr>
        <w:t>i</w:t>
      </w:r>
      <w:r>
        <w:rPr>
          <w:rFonts w:hAnsi="宋体"/>
          <w:sz w:val="24"/>
          <w:szCs w:val="24"/>
        </w:rPr>
        <w:t>个室外声源在预测点产生的</w:t>
      </w:r>
      <w:r>
        <w:rPr>
          <w:sz w:val="24"/>
          <w:szCs w:val="24"/>
        </w:rPr>
        <w:t>A</w:t>
      </w:r>
      <w:r>
        <w:rPr>
          <w:rFonts w:hAnsi="宋体"/>
          <w:sz w:val="24"/>
          <w:szCs w:val="24"/>
        </w:rPr>
        <w:t>声级为</w:t>
      </w:r>
      <w:r w:rsidRPr="009964C3">
        <w:rPr>
          <w:sz w:val="24"/>
          <w:szCs w:val="24"/>
        </w:rPr>
        <w:object w:dxaOrig="580" w:dyaOrig="400">
          <v:shape id="对象 16" o:spid="_x0000_i1046" type="#_x0000_t75" style="width:29.4pt;height:19.8pt;mso-position-horizontal-relative:page;mso-position-vertical-relative:page" o:ole="">
            <v:imagedata r:id="rId78" o:title=""/>
          </v:shape>
          <o:OLEObject Type="Embed" ProgID="Equation.3" ShapeID="对象 16" DrawAspect="Content" ObjectID="_1546063772" r:id="rId79"/>
        </w:object>
      </w:r>
      <w:r>
        <w:rPr>
          <w:rFonts w:hAnsi="宋体"/>
          <w:sz w:val="24"/>
          <w:szCs w:val="24"/>
        </w:rPr>
        <w:t>，在</w:t>
      </w:r>
      <w:r>
        <w:rPr>
          <w:sz w:val="24"/>
          <w:szCs w:val="24"/>
        </w:rPr>
        <w:t>T</w:t>
      </w:r>
      <w:r>
        <w:rPr>
          <w:rFonts w:hAnsi="宋体"/>
          <w:sz w:val="24"/>
          <w:szCs w:val="24"/>
        </w:rPr>
        <w:t>时间内该声源工作时间为</w:t>
      </w:r>
      <w:r w:rsidRPr="009964C3">
        <w:rPr>
          <w:sz w:val="24"/>
          <w:szCs w:val="24"/>
        </w:rPr>
        <w:object w:dxaOrig="380" w:dyaOrig="420">
          <v:shape id="对象 17" o:spid="_x0000_i1047" type="#_x0000_t75" style="width:18.6pt;height:21pt;mso-position-horizontal-relative:page;mso-position-vertical-relative:page" o:ole="">
            <v:imagedata r:id="rId80" o:title=""/>
          </v:shape>
          <o:OLEObject Type="Embed" ProgID="Equation.3" ShapeID="对象 17" DrawAspect="Content" ObjectID="_1546063773" r:id="rId81"/>
        </w:object>
      </w:r>
      <w:r>
        <w:rPr>
          <w:rFonts w:hAnsi="宋体"/>
          <w:sz w:val="24"/>
          <w:szCs w:val="24"/>
        </w:rPr>
        <w:t>；第</w:t>
      </w:r>
      <w:r>
        <w:rPr>
          <w:sz w:val="24"/>
          <w:szCs w:val="24"/>
        </w:rPr>
        <w:t>j</w:t>
      </w:r>
      <w:r>
        <w:rPr>
          <w:rFonts w:hAnsi="宋体"/>
          <w:sz w:val="24"/>
          <w:szCs w:val="24"/>
        </w:rPr>
        <w:t>个等效室外声源在预测点产生的</w:t>
      </w:r>
      <w:r>
        <w:rPr>
          <w:sz w:val="24"/>
          <w:szCs w:val="24"/>
        </w:rPr>
        <w:t>A</w:t>
      </w:r>
      <w:r>
        <w:rPr>
          <w:rFonts w:hAnsi="宋体"/>
          <w:sz w:val="24"/>
          <w:szCs w:val="24"/>
        </w:rPr>
        <w:t>声级为</w:t>
      </w:r>
      <w:r w:rsidRPr="009964C3">
        <w:rPr>
          <w:sz w:val="24"/>
          <w:szCs w:val="24"/>
        </w:rPr>
        <w:object w:dxaOrig="700" w:dyaOrig="400">
          <v:shape id="对象 18" o:spid="_x0000_i1048" type="#_x0000_t75" style="width:35.4pt;height:19.8pt;mso-position-horizontal-relative:page;mso-position-vertical-relative:page" o:ole="">
            <v:imagedata r:id="rId82" o:title=""/>
          </v:shape>
          <o:OLEObject Type="Embed" ProgID="Equation.3" ShapeID="对象 18" DrawAspect="Content" ObjectID="_1546063774" r:id="rId83"/>
        </w:object>
      </w:r>
      <w:r>
        <w:rPr>
          <w:rFonts w:hAnsi="宋体"/>
          <w:sz w:val="24"/>
          <w:szCs w:val="24"/>
        </w:rPr>
        <w:t>，在</w:t>
      </w:r>
      <w:r>
        <w:rPr>
          <w:sz w:val="24"/>
          <w:szCs w:val="24"/>
        </w:rPr>
        <w:t>T</w:t>
      </w:r>
      <w:r>
        <w:rPr>
          <w:rFonts w:hAnsi="宋体"/>
          <w:sz w:val="24"/>
          <w:szCs w:val="24"/>
        </w:rPr>
        <w:t>时间内该声源工作时间为</w:t>
      </w:r>
      <w:r w:rsidRPr="009964C3">
        <w:rPr>
          <w:sz w:val="24"/>
          <w:szCs w:val="24"/>
        </w:rPr>
        <w:object w:dxaOrig="500" w:dyaOrig="439">
          <v:shape id="对象 19" o:spid="_x0000_i1049" type="#_x0000_t75" style="width:25.8pt;height:21.6pt;mso-position-horizontal-relative:page;mso-position-vertical-relative:page" o:ole="">
            <v:imagedata r:id="rId84" o:title=""/>
          </v:shape>
          <o:OLEObject Type="Embed" ProgID="Equation.3" ShapeID="对象 19" DrawAspect="Content" ObjectID="_1546063775" r:id="rId85"/>
        </w:object>
      </w:r>
      <w:r>
        <w:rPr>
          <w:rFonts w:hAnsi="宋体"/>
          <w:sz w:val="24"/>
          <w:szCs w:val="24"/>
        </w:rPr>
        <w:t>，则预测点的总等级声级为：</w:t>
      </w:r>
    </w:p>
    <w:p w:rsidR="00475650" w:rsidRDefault="00475650">
      <w:pPr>
        <w:pStyle w:val="aff7"/>
        <w:ind w:firstLine="480"/>
        <w:rPr>
          <w:sz w:val="24"/>
          <w:szCs w:val="24"/>
        </w:rPr>
      </w:pPr>
      <w:r w:rsidRPr="009964C3">
        <w:rPr>
          <w:sz w:val="24"/>
          <w:szCs w:val="24"/>
        </w:rPr>
        <w:object w:dxaOrig="179" w:dyaOrig="340">
          <v:shape id="对象 20" o:spid="_x0000_i1050" type="#_x0000_t75" style="width:9pt;height:17.4pt;mso-position-horizontal-relative:page;mso-position-vertical-relative:page" o:ole="">
            <v:imagedata r:id="rId54" o:title=""/>
          </v:shape>
          <o:OLEObject Type="Embed" ProgID="Equation.3" ShapeID="对象 20" DrawAspect="Content" ObjectID="_1546063776" r:id="rId86"/>
        </w:object>
      </w:r>
      <w:r w:rsidRPr="009964C3">
        <w:rPr>
          <w:sz w:val="24"/>
          <w:szCs w:val="24"/>
        </w:rPr>
        <w:object w:dxaOrig="6015" w:dyaOrig="759">
          <v:shape id="对象 21" o:spid="_x0000_i1051" type="#_x0000_t75" style="width:300.6pt;height:38.4pt;mso-position-horizontal-relative:page;mso-position-vertical-relative:page" o:ole="">
            <v:imagedata r:id="rId87" o:title=""/>
          </v:shape>
          <o:OLEObject Type="Embed" ProgID="Equation.3" ShapeID="对象 21" DrawAspect="Content" ObjectID="_1546063777" r:id="rId88"/>
        </w:object>
      </w:r>
    </w:p>
    <w:p w:rsidR="00475650" w:rsidRDefault="00475650">
      <w:pPr>
        <w:pStyle w:val="aff7"/>
        <w:ind w:firstLine="480"/>
        <w:rPr>
          <w:sz w:val="24"/>
          <w:szCs w:val="24"/>
        </w:rPr>
      </w:pPr>
      <w:r>
        <w:rPr>
          <w:rFonts w:hAnsi="宋体"/>
          <w:sz w:val="24"/>
          <w:szCs w:val="24"/>
        </w:rPr>
        <w:t>式中：</w:t>
      </w:r>
      <w:r>
        <w:rPr>
          <w:sz w:val="24"/>
          <w:szCs w:val="24"/>
        </w:rPr>
        <w:t>T</w:t>
      </w:r>
      <w:r>
        <w:rPr>
          <w:rFonts w:hAnsi="宋体"/>
          <w:sz w:val="24"/>
          <w:szCs w:val="24"/>
        </w:rPr>
        <w:t>：计算等效声级的时间；</w:t>
      </w:r>
    </w:p>
    <w:p w:rsidR="00475650" w:rsidRDefault="00475650">
      <w:pPr>
        <w:pStyle w:val="aff7"/>
        <w:ind w:firstLine="480"/>
        <w:rPr>
          <w:sz w:val="24"/>
          <w:szCs w:val="24"/>
        </w:rPr>
      </w:pPr>
      <w:r>
        <w:rPr>
          <w:sz w:val="24"/>
          <w:szCs w:val="24"/>
        </w:rPr>
        <w:t>N</w:t>
      </w:r>
      <w:r>
        <w:rPr>
          <w:rFonts w:hAnsi="宋体"/>
          <w:sz w:val="24"/>
          <w:szCs w:val="24"/>
        </w:rPr>
        <w:t>：室外声源个数：</w:t>
      </w:r>
    </w:p>
    <w:p w:rsidR="00475650" w:rsidRDefault="00475650">
      <w:pPr>
        <w:pStyle w:val="aff7"/>
        <w:ind w:firstLine="480"/>
        <w:rPr>
          <w:sz w:val="24"/>
          <w:szCs w:val="24"/>
        </w:rPr>
      </w:pPr>
      <w:r>
        <w:rPr>
          <w:sz w:val="24"/>
          <w:szCs w:val="24"/>
        </w:rPr>
        <w:t>M</w:t>
      </w:r>
      <w:r>
        <w:rPr>
          <w:rFonts w:hAnsi="宋体"/>
          <w:sz w:val="24"/>
          <w:szCs w:val="24"/>
        </w:rPr>
        <w:t>：等效室外声源个数。</w:t>
      </w:r>
    </w:p>
    <w:p w:rsidR="00475650" w:rsidRDefault="00475650">
      <w:pPr>
        <w:pStyle w:val="aff7"/>
        <w:ind w:firstLine="482"/>
        <w:rPr>
          <w:sz w:val="24"/>
          <w:szCs w:val="24"/>
        </w:rPr>
      </w:pPr>
      <w:r>
        <w:rPr>
          <w:sz w:val="24"/>
          <w:szCs w:val="24"/>
        </w:rPr>
        <w:t>3</w:t>
      </w:r>
      <w:r>
        <w:rPr>
          <w:rFonts w:hAnsi="宋体"/>
          <w:sz w:val="24"/>
          <w:szCs w:val="24"/>
        </w:rPr>
        <w:t>、预测结果</w:t>
      </w:r>
    </w:p>
    <w:p w:rsidR="00475650" w:rsidRDefault="00475650">
      <w:pPr>
        <w:pStyle w:val="aff7"/>
        <w:ind w:firstLine="482"/>
        <w:rPr>
          <w:sz w:val="24"/>
          <w:szCs w:val="24"/>
        </w:rPr>
      </w:pPr>
      <w:r>
        <w:rPr>
          <w:rFonts w:hAnsi="宋体"/>
          <w:sz w:val="24"/>
          <w:szCs w:val="24"/>
        </w:rPr>
        <w:t>使用上述声环境影响预测模式，厂界噪声预测结果见表</w:t>
      </w:r>
      <w:r>
        <w:rPr>
          <w:sz w:val="24"/>
          <w:szCs w:val="24"/>
        </w:rPr>
        <w:t>5.2-</w:t>
      </w:r>
      <w:r>
        <w:rPr>
          <w:rFonts w:hint="eastAsia"/>
          <w:sz w:val="24"/>
          <w:szCs w:val="24"/>
        </w:rPr>
        <w:t>6</w:t>
      </w:r>
      <w:r>
        <w:rPr>
          <w:rFonts w:hAnsi="宋体"/>
          <w:sz w:val="24"/>
          <w:szCs w:val="24"/>
        </w:rPr>
        <w:t>。</w:t>
      </w:r>
    </w:p>
    <w:p w:rsidR="00475650" w:rsidRDefault="00475650">
      <w:pPr>
        <w:pStyle w:val="aff7"/>
        <w:ind w:firstLine="482"/>
        <w:rPr>
          <w:sz w:val="24"/>
          <w:szCs w:val="24"/>
        </w:rPr>
      </w:pPr>
      <w:r>
        <w:rPr>
          <w:rFonts w:hAnsi="宋体"/>
          <w:sz w:val="24"/>
          <w:szCs w:val="24"/>
        </w:rPr>
        <w:t>由表可知，项目中主要的噪声设备经有效降噪后，厂界噪声符合《工业企业厂界环境噪声排放标准》</w:t>
      </w:r>
      <w:r>
        <w:rPr>
          <w:sz w:val="24"/>
          <w:szCs w:val="24"/>
        </w:rPr>
        <w:t>GB12348-2008</w:t>
      </w:r>
      <w:r>
        <w:rPr>
          <w:rFonts w:hAnsi="宋体"/>
          <w:sz w:val="24"/>
          <w:szCs w:val="24"/>
        </w:rPr>
        <w:t>中</w:t>
      </w:r>
      <w:r>
        <w:rPr>
          <w:sz w:val="24"/>
          <w:szCs w:val="24"/>
        </w:rPr>
        <w:t>3</w:t>
      </w:r>
      <w:r>
        <w:rPr>
          <w:rFonts w:hAnsi="宋体"/>
          <w:sz w:val="24"/>
          <w:szCs w:val="24"/>
        </w:rPr>
        <w:t>类标准的要求。本工程所在地周边</w:t>
      </w:r>
      <w:r>
        <w:rPr>
          <w:sz w:val="24"/>
          <w:szCs w:val="24"/>
        </w:rPr>
        <w:t>200m</w:t>
      </w:r>
      <w:r>
        <w:rPr>
          <w:rFonts w:hAnsi="宋体"/>
          <w:sz w:val="24"/>
          <w:szCs w:val="24"/>
        </w:rPr>
        <w:t>范围内无居民点居住，生产噪声对外环境的影响较小。</w:t>
      </w:r>
    </w:p>
    <w:p w:rsidR="00475650" w:rsidRDefault="00475650">
      <w:pPr>
        <w:pStyle w:val="af4"/>
        <w:ind w:firstLine="480"/>
        <w:jc w:val="center"/>
        <w:rPr>
          <w:sz w:val="24"/>
          <w:szCs w:val="24"/>
        </w:rPr>
      </w:pPr>
      <w:r>
        <w:rPr>
          <w:rFonts w:hAnsi="宋体"/>
          <w:sz w:val="24"/>
          <w:szCs w:val="24"/>
        </w:rPr>
        <w:t>表</w:t>
      </w:r>
      <w:r>
        <w:rPr>
          <w:sz w:val="24"/>
          <w:szCs w:val="24"/>
        </w:rPr>
        <w:t>5.2-</w:t>
      </w:r>
      <w:r>
        <w:rPr>
          <w:rFonts w:hint="eastAsia"/>
          <w:sz w:val="24"/>
          <w:szCs w:val="24"/>
        </w:rPr>
        <w:t>6</w:t>
      </w:r>
      <w:r>
        <w:rPr>
          <w:sz w:val="24"/>
          <w:szCs w:val="24"/>
        </w:rPr>
        <w:t xml:space="preserve">  </w:t>
      </w:r>
      <w:r>
        <w:rPr>
          <w:rFonts w:hAnsi="宋体"/>
          <w:sz w:val="24"/>
          <w:szCs w:val="24"/>
        </w:rPr>
        <w:t>厂界噪声影响预测结果</w:t>
      </w:r>
      <w:r>
        <w:rPr>
          <w:sz w:val="24"/>
          <w:szCs w:val="24"/>
        </w:rPr>
        <w:t xml:space="preserve">  </w:t>
      </w:r>
      <w:r>
        <w:rPr>
          <w:rFonts w:hAnsi="宋体"/>
          <w:sz w:val="24"/>
          <w:szCs w:val="24"/>
        </w:rPr>
        <w:t>单位：</w:t>
      </w:r>
      <w:r>
        <w:rPr>
          <w:sz w:val="24"/>
          <w:szCs w:val="24"/>
        </w:rPr>
        <w:t>dB(A)</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007"/>
        <w:gridCol w:w="759"/>
        <w:gridCol w:w="759"/>
        <w:gridCol w:w="1009"/>
        <w:gridCol w:w="759"/>
        <w:gridCol w:w="759"/>
        <w:gridCol w:w="1190"/>
        <w:gridCol w:w="1190"/>
        <w:gridCol w:w="759"/>
        <w:gridCol w:w="755"/>
      </w:tblGrid>
      <w:tr w:rsidR="00475650">
        <w:trPr>
          <w:trHeight w:val="284"/>
          <w:jc w:val="center"/>
        </w:trPr>
        <w:tc>
          <w:tcPr>
            <w:tcW w:w="1007" w:type="dxa"/>
            <w:vMerge w:val="restart"/>
            <w:vAlign w:val="center"/>
          </w:tcPr>
          <w:p w:rsidR="00475650" w:rsidRDefault="00475650">
            <w:pPr>
              <w:pStyle w:val="afffff6"/>
              <w:spacing w:before="0" w:after="0" w:line="216" w:lineRule="auto"/>
              <w:rPr>
                <w:rFonts w:hAnsi="Times New Roman"/>
              </w:rPr>
            </w:pPr>
            <w:r>
              <w:t>位置</w:t>
            </w:r>
          </w:p>
        </w:tc>
        <w:tc>
          <w:tcPr>
            <w:tcW w:w="1518" w:type="dxa"/>
            <w:gridSpan w:val="2"/>
            <w:vAlign w:val="center"/>
          </w:tcPr>
          <w:p w:rsidR="00475650" w:rsidRDefault="00475650">
            <w:pPr>
              <w:pStyle w:val="afffff6"/>
              <w:spacing w:before="0" w:after="0" w:line="216" w:lineRule="auto"/>
              <w:rPr>
                <w:rFonts w:hAnsi="Times New Roman"/>
              </w:rPr>
            </w:pPr>
            <w:r>
              <w:t>背景值</w:t>
            </w:r>
          </w:p>
        </w:tc>
        <w:tc>
          <w:tcPr>
            <w:tcW w:w="1009" w:type="dxa"/>
            <w:vMerge w:val="restart"/>
            <w:vAlign w:val="center"/>
          </w:tcPr>
          <w:p w:rsidR="00475650" w:rsidRDefault="00475650">
            <w:pPr>
              <w:pStyle w:val="afffff6"/>
              <w:spacing w:before="0" w:after="0" w:line="216" w:lineRule="auto"/>
              <w:rPr>
                <w:rFonts w:hAnsi="Times New Roman"/>
              </w:rPr>
            </w:pPr>
            <w:r>
              <w:t>影响值</w:t>
            </w:r>
          </w:p>
        </w:tc>
        <w:tc>
          <w:tcPr>
            <w:tcW w:w="1518" w:type="dxa"/>
            <w:gridSpan w:val="2"/>
            <w:vAlign w:val="center"/>
          </w:tcPr>
          <w:p w:rsidR="00475650" w:rsidRDefault="00475650">
            <w:pPr>
              <w:pStyle w:val="afffff6"/>
              <w:spacing w:before="0" w:after="0" w:line="216" w:lineRule="auto"/>
              <w:rPr>
                <w:rFonts w:hAnsi="Times New Roman"/>
              </w:rPr>
            </w:pPr>
            <w:r>
              <w:t>叠加值</w:t>
            </w:r>
          </w:p>
        </w:tc>
        <w:tc>
          <w:tcPr>
            <w:tcW w:w="2380" w:type="dxa"/>
            <w:gridSpan w:val="2"/>
            <w:vAlign w:val="center"/>
          </w:tcPr>
          <w:p w:rsidR="00475650" w:rsidRDefault="00475650">
            <w:pPr>
              <w:pStyle w:val="afffff6"/>
              <w:spacing w:before="0" w:after="0" w:line="216" w:lineRule="auto"/>
              <w:rPr>
                <w:rFonts w:hAnsi="Times New Roman"/>
              </w:rPr>
            </w:pPr>
            <w:r>
              <w:rPr>
                <w:rFonts w:hAnsi="Times New Roman"/>
              </w:rPr>
              <w:t>GB12348-2008</w:t>
            </w:r>
            <w:r>
              <w:t>标准值</w:t>
            </w:r>
          </w:p>
        </w:tc>
        <w:tc>
          <w:tcPr>
            <w:tcW w:w="1514" w:type="dxa"/>
            <w:gridSpan w:val="2"/>
            <w:vAlign w:val="center"/>
          </w:tcPr>
          <w:p w:rsidR="00475650" w:rsidRDefault="00475650">
            <w:pPr>
              <w:pStyle w:val="afffff6"/>
              <w:spacing w:before="0" w:after="0" w:line="216" w:lineRule="auto"/>
              <w:rPr>
                <w:rFonts w:hAnsi="Times New Roman"/>
              </w:rPr>
            </w:pPr>
            <w:r>
              <w:t>评价结果</w:t>
            </w:r>
          </w:p>
        </w:tc>
      </w:tr>
      <w:tr w:rsidR="00475650">
        <w:trPr>
          <w:trHeight w:val="284"/>
          <w:jc w:val="center"/>
        </w:trPr>
        <w:tc>
          <w:tcPr>
            <w:tcW w:w="1007" w:type="dxa"/>
            <w:vMerge/>
            <w:vAlign w:val="center"/>
          </w:tcPr>
          <w:p w:rsidR="00475650" w:rsidRDefault="00475650">
            <w:pPr>
              <w:pStyle w:val="afffff6"/>
              <w:spacing w:before="0" w:after="0" w:line="216" w:lineRule="auto"/>
              <w:rPr>
                <w:rFonts w:hAnsi="Times New Roman"/>
              </w:rPr>
            </w:pPr>
          </w:p>
        </w:tc>
        <w:tc>
          <w:tcPr>
            <w:tcW w:w="759" w:type="dxa"/>
            <w:vAlign w:val="center"/>
          </w:tcPr>
          <w:p w:rsidR="00475650" w:rsidRDefault="00475650">
            <w:pPr>
              <w:pStyle w:val="afffff6"/>
              <w:spacing w:before="0" w:after="0" w:line="216" w:lineRule="auto"/>
              <w:rPr>
                <w:rFonts w:hAnsi="Times New Roman"/>
              </w:rPr>
            </w:pPr>
            <w:r>
              <w:t>昼间</w:t>
            </w:r>
          </w:p>
        </w:tc>
        <w:tc>
          <w:tcPr>
            <w:tcW w:w="759" w:type="dxa"/>
            <w:vAlign w:val="center"/>
          </w:tcPr>
          <w:p w:rsidR="00475650" w:rsidRDefault="00475650">
            <w:pPr>
              <w:pStyle w:val="afffff6"/>
              <w:spacing w:before="0" w:after="0" w:line="216" w:lineRule="auto"/>
              <w:rPr>
                <w:rFonts w:hAnsi="Times New Roman"/>
              </w:rPr>
            </w:pPr>
            <w:r>
              <w:t>夜间</w:t>
            </w:r>
          </w:p>
        </w:tc>
        <w:tc>
          <w:tcPr>
            <w:tcW w:w="1009" w:type="dxa"/>
            <w:vMerge/>
            <w:vAlign w:val="center"/>
          </w:tcPr>
          <w:p w:rsidR="00475650" w:rsidRDefault="00475650">
            <w:pPr>
              <w:pStyle w:val="afffff6"/>
              <w:spacing w:before="0" w:after="0" w:line="216" w:lineRule="auto"/>
              <w:rPr>
                <w:rFonts w:hAnsi="Times New Roman"/>
              </w:rPr>
            </w:pPr>
          </w:p>
        </w:tc>
        <w:tc>
          <w:tcPr>
            <w:tcW w:w="759" w:type="dxa"/>
            <w:vAlign w:val="center"/>
          </w:tcPr>
          <w:p w:rsidR="00475650" w:rsidRDefault="00475650">
            <w:pPr>
              <w:pStyle w:val="afffff6"/>
              <w:spacing w:before="0" w:after="0" w:line="216" w:lineRule="auto"/>
              <w:rPr>
                <w:rFonts w:hAnsi="Times New Roman"/>
              </w:rPr>
            </w:pPr>
            <w:r>
              <w:t>昼间</w:t>
            </w:r>
          </w:p>
        </w:tc>
        <w:tc>
          <w:tcPr>
            <w:tcW w:w="759" w:type="dxa"/>
            <w:vAlign w:val="center"/>
          </w:tcPr>
          <w:p w:rsidR="00475650" w:rsidRDefault="00475650">
            <w:pPr>
              <w:pStyle w:val="afffff6"/>
              <w:spacing w:before="0" w:after="0" w:line="216" w:lineRule="auto"/>
              <w:rPr>
                <w:rFonts w:hAnsi="Times New Roman"/>
              </w:rPr>
            </w:pPr>
            <w:r>
              <w:t>夜间</w:t>
            </w:r>
          </w:p>
        </w:tc>
        <w:tc>
          <w:tcPr>
            <w:tcW w:w="1190" w:type="dxa"/>
            <w:vAlign w:val="center"/>
          </w:tcPr>
          <w:p w:rsidR="00475650" w:rsidRDefault="00475650">
            <w:pPr>
              <w:pStyle w:val="afffff6"/>
              <w:spacing w:before="0" w:after="0" w:line="216" w:lineRule="auto"/>
              <w:rPr>
                <w:rFonts w:hAnsi="Times New Roman"/>
              </w:rPr>
            </w:pPr>
            <w:r>
              <w:t>昼</w:t>
            </w:r>
          </w:p>
        </w:tc>
        <w:tc>
          <w:tcPr>
            <w:tcW w:w="1190" w:type="dxa"/>
            <w:vAlign w:val="center"/>
          </w:tcPr>
          <w:p w:rsidR="00475650" w:rsidRDefault="00475650">
            <w:pPr>
              <w:pStyle w:val="afffff6"/>
              <w:spacing w:before="0" w:after="0" w:line="216" w:lineRule="auto"/>
              <w:rPr>
                <w:rFonts w:hAnsi="Times New Roman"/>
              </w:rPr>
            </w:pPr>
            <w:r>
              <w:t>夜</w:t>
            </w:r>
          </w:p>
        </w:tc>
        <w:tc>
          <w:tcPr>
            <w:tcW w:w="759" w:type="dxa"/>
            <w:vAlign w:val="center"/>
          </w:tcPr>
          <w:p w:rsidR="00475650" w:rsidRDefault="00475650">
            <w:pPr>
              <w:pStyle w:val="afffff6"/>
              <w:spacing w:before="0" w:after="0" w:line="216" w:lineRule="auto"/>
              <w:rPr>
                <w:rFonts w:hAnsi="Times New Roman"/>
              </w:rPr>
            </w:pPr>
            <w:r>
              <w:t>昼</w:t>
            </w:r>
          </w:p>
        </w:tc>
        <w:tc>
          <w:tcPr>
            <w:tcW w:w="755" w:type="dxa"/>
            <w:vAlign w:val="center"/>
          </w:tcPr>
          <w:p w:rsidR="00475650" w:rsidRDefault="00475650">
            <w:pPr>
              <w:pStyle w:val="afffff6"/>
              <w:spacing w:before="0" w:after="0" w:line="216" w:lineRule="auto"/>
              <w:rPr>
                <w:rFonts w:hAnsi="Times New Roman"/>
              </w:rPr>
            </w:pPr>
            <w:r>
              <w:t>夜</w:t>
            </w:r>
          </w:p>
        </w:tc>
      </w:tr>
      <w:tr w:rsidR="00475650">
        <w:trPr>
          <w:trHeight w:val="284"/>
          <w:jc w:val="center"/>
        </w:trPr>
        <w:tc>
          <w:tcPr>
            <w:tcW w:w="1007" w:type="dxa"/>
            <w:vAlign w:val="center"/>
          </w:tcPr>
          <w:p w:rsidR="00475650" w:rsidRDefault="00475650">
            <w:pPr>
              <w:pStyle w:val="afffff6"/>
              <w:spacing w:before="0" w:after="0" w:line="216" w:lineRule="auto"/>
              <w:rPr>
                <w:rFonts w:hAnsi="Times New Roman"/>
              </w:rPr>
            </w:pPr>
            <w:r>
              <w:t>东厂界</w:t>
            </w:r>
          </w:p>
        </w:tc>
        <w:tc>
          <w:tcPr>
            <w:tcW w:w="759" w:type="dxa"/>
            <w:vAlign w:val="center"/>
          </w:tcPr>
          <w:p w:rsidR="00475650" w:rsidRDefault="00475650">
            <w:pPr>
              <w:pStyle w:val="afffff6"/>
              <w:spacing w:before="0" w:after="0" w:line="216" w:lineRule="auto"/>
              <w:rPr>
                <w:rFonts w:hAnsi="Times New Roman"/>
              </w:rPr>
            </w:pPr>
            <w:r>
              <w:rPr>
                <w:rFonts w:hAnsi="Times New Roman"/>
              </w:rPr>
              <w:t>49.7</w:t>
            </w:r>
          </w:p>
        </w:tc>
        <w:tc>
          <w:tcPr>
            <w:tcW w:w="759" w:type="dxa"/>
            <w:vAlign w:val="center"/>
          </w:tcPr>
          <w:p w:rsidR="00475650" w:rsidRDefault="00475650">
            <w:pPr>
              <w:pStyle w:val="afffff6"/>
              <w:spacing w:before="0" w:after="0" w:line="216" w:lineRule="auto"/>
              <w:rPr>
                <w:rFonts w:hAnsi="Times New Roman"/>
              </w:rPr>
            </w:pPr>
            <w:r>
              <w:rPr>
                <w:rFonts w:hAnsi="Times New Roman"/>
              </w:rPr>
              <w:t>48.4</w:t>
            </w:r>
          </w:p>
        </w:tc>
        <w:tc>
          <w:tcPr>
            <w:tcW w:w="1009" w:type="dxa"/>
            <w:vAlign w:val="center"/>
          </w:tcPr>
          <w:p w:rsidR="00475650" w:rsidRDefault="00475650">
            <w:pPr>
              <w:pStyle w:val="afffff6"/>
              <w:spacing w:before="0" w:after="0" w:line="216" w:lineRule="auto"/>
              <w:rPr>
                <w:rFonts w:hAnsi="Times New Roman"/>
              </w:rPr>
            </w:pPr>
            <w:r>
              <w:rPr>
                <w:rFonts w:hAnsi="Times New Roman"/>
              </w:rPr>
              <w:t>53.1</w:t>
            </w:r>
          </w:p>
        </w:tc>
        <w:tc>
          <w:tcPr>
            <w:tcW w:w="759" w:type="dxa"/>
            <w:vAlign w:val="center"/>
          </w:tcPr>
          <w:p w:rsidR="00475650" w:rsidRDefault="00475650">
            <w:pPr>
              <w:pStyle w:val="afffff6"/>
              <w:spacing w:before="0" w:after="0" w:line="216" w:lineRule="auto"/>
              <w:rPr>
                <w:rFonts w:hAnsi="Times New Roman"/>
              </w:rPr>
            </w:pPr>
            <w:r>
              <w:rPr>
                <w:rFonts w:hAnsi="Times New Roman"/>
              </w:rPr>
              <w:t>54.6</w:t>
            </w:r>
          </w:p>
        </w:tc>
        <w:tc>
          <w:tcPr>
            <w:tcW w:w="759" w:type="dxa"/>
            <w:vAlign w:val="center"/>
          </w:tcPr>
          <w:p w:rsidR="00475650" w:rsidRDefault="00475650">
            <w:pPr>
              <w:pStyle w:val="afffff6"/>
              <w:spacing w:before="0" w:after="0" w:line="216" w:lineRule="auto"/>
              <w:rPr>
                <w:rFonts w:hAnsi="Times New Roman"/>
              </w:rPr>
            </w:pPr>
            <w:r>
              <w:rPr>
                <w:rFonts w:hAnsi="Times New Roman"/>
              </w:rPr>
              <w:t>54.3</w:t>
            </w:r>
          </w:p>
        </w:tc>
        <w:tc>
          <w:tcPr>
            <w:tcW w:w="1190" w:type="dxa"/>
            <w:vAlign w:val="center"/>
          </w:tcPr>
          <w:p w:rsidR="00475650" w:rsidRDefault="00475650">
            <w:pPr>
              <w:pStyle w:val="afffff6"/>
              <w:spacing w:before="0" w:after="0" w:line="216" w:lineRule="auto"/>
              <w:rPr>
                <w:rFonts w:hAnsi="Times New Roman"/>
              </w:rPr>
            </w:pPr>
            <w:r>
              <w:rPr>
                <w:rFonts w:hAnsi="Times New Roman"/>
              </w:rPr>
              <w:t>65</w:t>
            </w:r>
          </w:p>
        </w:tc>
        <w:tc>
          <w:tcPr>
            <w:tcW w:w="1190" w:type="dxa"/>
            <w:vAlign w:val="center"/>
          </w:tcPr>
          <w:p w:rsidR="00475650" w:rsidRDefault="00475650">
            <w:pPr>
              <w:pStyle w:val="afffff6"/>
              <w:spacing w:before="0" w:after="0" w:line="216" w:lineRule="auto"/>
              <w:rPr>
                <w:rFonts w:hAnsi="Times New Roman"/>
              </w:rPr>
            </w:pPr>
            <w:r>
              <w:rPr>
                <w:rFonts w:hAnsi="Times New Roman"/>
              </w:rPr>
              <w:t>55</w:t>
            </w:r>
          </w:p>
        </w:tc>
        <w:tc>
          <w:tcPr>
            <w:tcW w:w="759" w:type="dxa"/>
            <w:vAlign w:val="center"/>
          </w:tcPr>
          <w:p w:rsidR="00475650" w:rsidRDefault="00475650">
            <w:pPr>
              <w:pStyle w:val="afffff6"/>
              <w:spacing w:before="0" w:after="0" w:line="216" w:lineRule="auto"/>
              <w:rPr>
                <w:rFonts w:hAnsi="Times New Roman"/>
              </w:rPr>
            </w:pPr>
            <w:r>
              <w:t>达标</w:t>
            </w:r>
          </w:p>
        </w:tc>
        <w:tc>
          <w:tcPr>
            <w:tcW w:w="755" w:type="dxa"/>
            <w:vAlign w:val="center"/>
          </w:tcPr>
          <w:p w:rsidR="00475650" w:rsidRDefault="00475650">
            <w:pPr>
              <w:pStyle w:val="afffff6"/>
              <w:spacing w:before="0" w:after="0" w:line="216" w:lineRule="auto"/>
              <w:rPr>
                <w:rFonts w:hAnsi="Times New Roman"/>
              </w:rPr>
            </w:pPr>
            <w:r>
              <w:t>达标</w:t>
            </w:r>
          </w:p>
        </w:tc>
      </w:tr>
      <w:tr w:rsidR="00475650">
        <w:trPr>
          <w:trHeight w:val="284"/>
          <w:jc w:val="center"/>
        </w:trPr>
        <w:tc>
          <w:tcPr>
            <w:tcW w:w="1007" w:type="dxa"/>
            <w:vAlign w:val="center"/>
          </w:tcPr>
          <w:p w:rsidR="00475650" w:rsidRDefault="00475650">
            <w:pPr>
              <w:pStyle w:val="afffff6"/>
              <w:spacing w:before="0" w:after="0" w:line="216" w:lineRule="auto"/>
              <w:rPr>
                <w:rFonts w:hAnsi="Times New Roman"/>
              </w:rPr>
            </w:pPr>
            <w:r>
              <w:lastRenderedPageBreak/>
              <w:t>南厂界</w:t>
            </w:r>
          </w:p>
        </w:tc>
        <w:tc>
          <w:tcPr>
            <w:tcW w:w="759" w:type="dxa"/>
            <w:vAlign w:val="center"/>
          </w:tcPr>
          <w:p w:rsidR="00475650" w:rsidRDefault="00475650">
            <w:pPr>
              <w:pStyle w:val="afffff6"/>
              <w:spacing w:before="0" w:after="0" w:line="216" w:lineRule="auto"/>
              <w:rPr>
                <w:rFonts w:hAnsi="Times New Roman"/>
              </w:rPr>
            </w:pPr>
            <w:r>
              <w:rPr>
                <w:rFonts w:hAnsi="Times New Roman"/>
              </w:rPr>
              <w:t>52.5</w:t>
            </w:r>
          </w:p>
        </w:tc>
        <w:tc>
          <w:tcPr>
            <w:tcW w:w="759" w:type="dxa"/>
            <w:vAlign w:val="center"/>
          </w:tcPr>
          <w:p w:rsidR="00475650" w:rsidRDefault="00475650">
            <w:pPr>
              <w:pStyle w:val="afffff6"/>
              <w:spacing w:before="0" w:after="0" w:line="216" w:lineRule="auto"/>
              <w:rPr>
                <w:rFonts w:hAnsi="Times New Roman"/>
              </w:rPr>
            </w:pPr>
            <w:r>
              <w:rPr>
                <w:rFonts w:hAnsi="Times New Roman"/>
              </w:rPr>
              <w:t>51.4</w:t>
            </w:r>
          </w:p>
        </w:tc>
        <w:tc>
          <w:tcPr>
            <w:tcW w:w="1009" w:type="dxa"/>
            <w:vAlign w:val="center"/>
          </w:tcPr>
          <w:p w:rsidR="00475650" w:rsidRDefault="00475650">
            <w:pPr>
              <w:pStyle w:val="afffff6"/>
              <w:spacing w:before="0" w:after="0" w:line="216" w:lineRule="auto"/>
              <w:rPr>
                <w:rFonts w:hAnsi="Times New Roman"/>
              </w:rPr>
            </w:pPr>
            <w:r>
              <w:rPr>
                <w:rFonts w:hAnsi="Times New Roman"/>
              </w:rPr>
              <w:t>44.7</w:t>
            </w:r>
          </w:p>
        </w:tc>
        <w:tc>
          <w:tcPr>
            <w:tcW w:w="759" w:type="dxa"/>
            <w:vAlign w:val="center"/>
          </w:tcPr>
          <w:p w:rsidR="00475650" w:rsidRDefault="00475650">
            <w:pPr>
              <w:pStyle w:val="afffff6"/>
              <w:spacing w:before="0" w:after="0" w:line="216" w:lineRule="auto"/>
              <w:rPr>
                <w:rFonts w:hAnsi="Times New Roman"/>
              </w:rPr>
            </w:pPr>
            <w:r>
              <w:rPr>
                <w:rFonts w:hAnsi="Times New Roman"/>
              </w:rPr>
              <w:t>53.1</w:t>
            </w:r>
          </w:p>
        </w:tc>
        <w:tc>
          <w:tcPr>
            <w:tcW w:w="759" w:type="dxa"/>
            <w:vAlign w:val="center"/>
          </w:tcPr>
          <w:p w:rsidR="00475650" w:rsidRDefault="00475650">
            <w:pPr>
              <w:pStyle w:val="afffff6"/>
              <w:spacing w:before="0" w:after="0" w:line="216" w:lineRule="auto"/>
              <w:rPr>
                <w:rFonts w:hAnsi="Times New Roman"/>
              </w:rPr>
            </w:pPr>
            <w:r>
              <w:rPr>
                <w:rFonts w:hAnsi="Times New Roman"/>
              </w:rPr>
              <w:t>52.2</w:t>
            </w:r>
          </w:p>
        </w:tc>
        <w:tc>
          <w:tcPr>
            <w:tcW w:w="1190" w:type="dxa"/>
            <w:vAlign w:val="center"/>
          </w:tcPr>
          <w:p w:rsidR="00475650" w:rsidRDefault="00475650">
            <w:pPr>
              <w:pStyle w:val="afffff6"/>
              <w:spacing w:before="0" w:after="0" w:line="216" w:lineRule="auto"/>
              <w:rPr>
                <w:rFonts w:hAnsi="Times New Roman"/>
              </w:rPr>
            </w:pPr>
            <w:r>
              <w:rPr>
                <w:rFonts w:hAnsi="Times New Roman"/>
              </w:rPr>
              <w:t>70</w:t>
            </w:r>
          </w:p>
        </w:tc>
        <w:tc>
          <w:tcPr>
            <w:tcW w:w="1190" w:type="dxa"/>
            <w:vAlign w:val="center"/>
          </w:tcPr>
          <w:p w:rsidR="00475650" w:rsidRDefault="00475650">
            <w:pPr>
              <w:pStyle w:val="afffff6"/>
              <w:spacing w:before="0" w:after="0" w:line="216" w:lineRule="auto"/>
              <w:rPr>
                <w:rFonts w:hAnsi="Times New Roman"/>
              </w:rPr>
            </w:pPr>
            <w:r>
              <w:rPr>
                <w:rFonts w:hAnsi="Times New Roman"/>
              </w:rPr>
              <w:t>55</w:t>
            </w:r>
          </w:p>
        </w:tc>
        <w:tc>
          <w:tcPr>
            <w:tcW w:w="759" w:type="dxa"/>
            <w:vAlign w:val="center"/>
          </w:tcPr>
          <w:p w:rsidR="00475650" w:rsidRDefault="00475650">
            <w:pPr>
              <w:pStyle w:val="afffff6"/>
              <w:spacing w:before="0" w:after="0" w:line="216" w:lineRule="auto"/>
              <w:rPr>
                <w:rFonts w:hAnsi="Times New Roman"/>
              </w:rPr>
            </w:pPr>
            <w:r>
              <w:t>达标</w:t>
            </w:r>
          </w:p>
        </w:tc>
        <w:tc>
          <w:tcPr>
            <w:tcW w:w="755" w:type="dxa"/>
            <w:vAlign w:val="center"/>
          </w:tcPr>
          <w:p w:rsidR="00475650" w:rsidRDefault="00475650">
            <w:pPr>
              <w:pStyle w:val="afffff6"/>
              <w:spacing w:before="0" w:after="0" w:line="216" w:lineRule="auto"/>
              <w:rPr>
                <w:rFonts w:hAnsi="Times New Roman"/>
              </w:rPr>
            </w:pPr>
            <w:r>
              <w:t>达标</w:t>
            </w:r>
          </w:p>
        </w:tc>
      </w:tr>
      <w:tr w:rsidR="00475650">
        <w:trPr>
          <w:trHeight w:val="284"/>
          <w:jc w:val="center"/>
        </w:trPr>
        <w:tc>
          <w:tcPr>
            <w:tcW w:w="1007" w:type="dxa"/>
            <w:vAlign w:val="center"/>
          </w:tcPr>
          <w:p w:rsidR="00475650" w:rsidRDefault="00475650">
            <w:pPr>
              <w:pStyle w:val="afffff6"/>
              <w:spacing w:before="0" w:after="0" w:line="216" w:lineRule="auto"/>
              <w:rPr>
                <w:rFonts w:hAnsi="Times New Roman"/>
              </w:rPr>
            </w:pPr>
            <w:r>
              <w:t>西厂界</w:t>
            </w:r>
          </w:p>
        </w:tc>
        <w:tc>
          <w:tcPr>
            <w:tcW w:w="759" w:type="dxa"/>
            <w:vAlign w:val="center"/>
          </w:tcPr>
          <w:p w:rsidR="00475650" w:rsidRDefault="00475650">
            <w:pPr>
              <w:pStyle w:val="afffff6"/>
              <w:spacing w:before="0" w:after="0" w:line="216" w:lineRule="auto"/>
              <w:rPr>
                <w:rFonts w:hAnsi="Times New Roman"/>
              </w:rPr>
            </w:pPr>
            <w:r>
              <w:rPr>
                <w:rFonts w:hAnsi="Times New Roman"/>
              </w:rPr>
              <w:t>48.4</w:t>
            </w:r>
          </w:p>
        </w:tc>
        <w:tc>
          <w:tcPr>
            <w:tcW w:w="759" w:type="dxa"/>
            <w:vAlign w:val="center"/>
          </w:tcPr>
          <w:p w:rsidR="00475650" w:rsidRDefault="00475650">
            <w:pPr>
              <w:pStyle w:val="afffff6"/>
              <w:spacing w:before="0" w:after="0" w:line="216" w:lineRule="auto"/>
              <w:rPr>
                <w:rFonts w:hAnsi="Times New Roman"/>
              </w:rPr>
            </w:pPr>
            <w:r>
              <w:rPr>
                <w:rFonts w:hAnsi="Times New Roman"/>
              </w:rPr>
              <w:t>47.8</w:t>
            </w:r>
          </w:p>
        </w:tc>
        <w:tc>
          <w:tcPr>
            <w:tcW w:w="1009" w:type="dxa"/>
            <w:vAlign w:val="center"/>
          </w:tcPr>
          <w:p w:rsidR="00475650" w:rsidRDefault="00475650">
            <w:pPr>
              <w:pStyle w:val="afffff6"/>
              <w:spacing w:before="0" w:after="0" w:line="216" w:lineRule="auto"/>
              <w:rPr>
                <w:rFonts w:hAnsi="Times New Roman"/>
              </w:rPr>
            </w:pPr>
            <w:r>
              <w:rPr>
                <w:rFonts w:hAnsi="Times New Roman"/>
              </w:rPr>
              <w:t>27.1</w:t>
            </w:r>
          </w:p>
        </w:tc>
        <w:tc>
          <w:tcPr>
            <w:tcW w:w="759" w:type="dxa"/>
            <w:vAlign w:val="center"/>
          </w:tcPr>
          <w:p w:rsidR="00475650" w:rsidRDefault="00475650">
            <w:pPr>
              <w:pStyle w:val="afffff6"/>
              <w:spacing w:before="0" w:after="0" w:line="216" w:lineRule="auto"/>
              <w:rPr>
                <w:rFonts w:hAnsi="Times New Roman"/>
              </w:rPr>
            </w:pPr>
            <w:r>
              <w:rPr>
                <w:rFonts w:hAnsi="Times New Roman"/>
              </w:rPr>
              <w:t>48.4</w:t>
            </w:r>
          </w:p>
        </w:tc>
        <w:tc>
          <w:tcPr>
            <w:tcW w:w="759" w:type="dxa"/>
            <w:vAlign w:val="center"/>
          </w:tcPr>
          <w:p w:rsidR="00475650" w:rsidRDefault="00475650">
            <w:pPr>
              <w:pStyle w:val="afffff6"/>
              <w:spacing w:before="0" w:after="0" w:line="216" w:lineRule="auto"/>
              <w:rPr>
                <w:rFonts w:hAnsi="Times New Roman"/>
              </w:rPr>
            </w:pPr>
            <w:r>
              <w:rPr>
                <w:rFonts w:hAnsi="Times New Roman"/>
              </w:rPr>
              <w:t>47.8</w:t>
            </w:r>
          </w:p>
        </w:tc>
        <w:tc>
          <w:tcPr>
            <w:tcW w:w="1190" w:type="dxa"/>
            <w:vAlign w:val="center"/>
          </w:tcPr>
          <w:p w:rsidR="00475650" w:rsidRDefault="00475650">
            <w:pPr>
              <w:pStyle w:val="afffff6"/>
              <w:spacing w:before="0" w:after="0" w:line="216" w:lineRule="auto"/>
              <w:rPr>
                <w:rFonts w:hAnsi="Times New Roman"/>
              </w:rPr>
            </w:pPr>
            <w:r>
              <w:rPr>
                <w:rFonts w:hAnsi="Times New Roman"/>
              </w:rPr>
              <w:t>65</w:t>
            </w:r>
          </w:p>
        </w:tc>
        <w:tc>
          <w:tcPr>
            <w:tcW w:w="1190" w:type="dxa"/>
            <w:vAlign w:val="center"/>
          </w:tcPr>
          <w:p w:rsidR="00475650" w:rsidRDefault="00475650">
            <w:pPr>
              <w:pStyle w:val="afffff6"/>
              <w:spacing w:before="0" w:after="0" w:line="216" w:lineRule="auto"/>
              <w:rPr>
                <w:rFonts w:hAnsi="Times New Roman"/>
              </w:rPr>
            </w:pPr>
            <w:r>
              <w:rPr>
                <w:rFonts w:hAnsi="Times New Roman"/>
              </w:rPr>
              <w:t>55</w:t>
            </w:r>
          </w:p>
        </w:tc>
        <w:tc>
          <w:tcPr>
            <w:tcW w:w="759" w:type="dxa"/>
            <w:vAlign w:val="center"/>
          </w:tcPr>
          <w:p w:rsidR="00475650" w:rsidRDefault="00475650">
            <w:pPr>
              <w:pStyle w:val="afffff6"/>
              <w:spacing w:before="0" w:after="0" w:line="216" w:lineRule="auto"/>
              <w:rPr>
                <w:rFonts w:hAnsi="Times New Roman"/>
              </w:rPr>
            </w:pPr>
            <w:r>
              <w:t>达标</w:t>
            </w:r>
          </w:p>
        </w:tc>
        <w:tc>
          <w:tcPr>
            <w:tcW w:w="755" w:type="dxa"/>
            <w:vAlign w:val="center"/>
          </w:tcPr>
          <w:p w:rsidR="00475650" w:rsidRDefault="00475650">
            <w:pPr>
              <w:pStyle w:val="afffff6"/>
              <w:spacing w:before="0" w:after="0" w:line="216" w:lineRule="auto"/>
              <w:rPr>
                <w:rFonts w:hAnsi="Times New Roman"/>
              </w:rPr>
            </w:pPr>
            <w:r>
              <w:t>达标</w:t>
            </w:r>
          </w:p>
        </w:tc>
      </w:tr>
      <w:tr w:rsidR="00475650">
        <w:trPr>
          <w:trHeight w:val="284"/>
          <w:jc w:val="center"/>
        </w:trPr>
        <w:tc>
          <w:tcPr>
            <w:tcW w:w="1007" w:type="dxa"/>
            <w:vAlign w:val="center"/>
          </w:tcPr>
          <w:p w:rsidR="00475650" w:rsidRDefault="00475650">
            <w:pPr>
              <w:pStyle w:val="afffff6"/>
              <w:spacing w:before="0" w:after="0" w:line="216" w:lineRule="auto"/>
              <w:rPr>
                <w:rFonts w:hAnsi="Times New Roman"/>
              </w:rPr>
            </w:pPr>
            <w:r>
              <w:t>北厂界</w:t>
            </w:r>
          </w:p>
        </w:tc>
        <w:tc>
          <w:tcPr>
            <w:tcW w:w="759" w:type="dxa"/>
            <w:vAlign w:val="center"/>
          </w:tcPr>
          <w:p w:rsidR="00475650" w:rsidRDefault="00475650">
            <w:pPr>
              <w:pStyle w:val="afffff6"/>
              <w:spacing w:before="0" w:after="0" w:line="216" w:lineRule="auto"/>
              <w:rPr>
                <w:rFonts w:hAnsi="Times New Roman"/>
              </w:rPr>
            </w:pPr>
            <w:r>
              <w:rPr>
                <w:rFonts w:hAnsi="Times New Roman"/>
              </w:rPr>
              <w:t>49.4</w:t>
            </w:r>
          </w:p>
        </w:tc>
        <w:tc>
          <w:tcPr>
            <w:tcW w:w="759" w:type="dxa"/>
            <w:vAlign w:val="center"/>
          </w:tcPr>
          <w:p w:rsidR="00475650" w:rsidRDefault="00475650">
            <w:pPr>
              <w:pStyle w:val="afffff6"/>
              <w:spacing w:before="0" w:after="0" w:line="216" w:lineRule="auto"/>
              <w:rPr>
                <w:rFonts w:hAnsi="Times New Roman"/>
              </w:rPr>
            </w:pPr>
            <w:r>
              <w:rPr>
                <w:rFonts w:hAnsi="Times New Roman"/>
              </w:rPr>
              <w:t>47.8</w:t>
            </w:r>
          </w:p>
        </w:tc>
        <w:tc>
          <w:tcPr>
            <w:tcW w:w="1009" w:type="dxa"/>
            <w:vAlign w:val="center"/>
          </w:tcPr>
          <w:p w:rsidR="00475650" w:rsidRDefault="00475650">
            <w:pPr>
              <w:pStyle w:val="afffff6"/>
              <w:spacing w:before="0" w:after="0" w:line="216" w:lineRule="auto"/>
              <w:rPr>
                <w:rFonts w:hAnsi="Times New Roman"/>
              </w:rPr>
            </w:pPr>
            <w:r>
              <w:rPr>
                <w:rFonts w:hAnsi="Times New Roman"/>
              </w:rPr>
              <w:t>42.1</w:t>
            </w:r>
          </w:p>
        </w:tc>
        <w:tc>
          <w:tcPr>
            <w:tcW w:w="759" w:type="dxa"/>
            <w:vAlign w:val="center"/>
          </w:tcPr>
          <w:p w:rsidR="00475650" w:rsidRDefault="00475650">
            <w:pPr>
              <w:pStyle w:val="afffff6"/>
              <w:spacing w:before="0" w:after="0" w:line="216" w:lineRule="auto"/>
              <w:rPr>
                <w:rFonts w:hAnsi="Times New Roman"/>
              </w:rPr>
            </w:pPr>
            <w:r>
              <w:rPr>
                <w:rFonts w:hAnsi="Times New Roman"/>
              </w:rPr>
              <w:t>50.2</w:t>
            </w:r>
          </w:p>
        </w:tc>
        <w:tc>
          <w:tcPr>
            <w:tcW w:w="759" w:type="dxa"/>
            <w:vAlign w:val="center"/>
          </w:tcPr>
          <w:p w:rsidR="00475650" w:rsidRDefault="00475650">
            <w:pPr>
              <w:pStyle w:val="afffff6"/>
              <w:spacing w:before="0" w:after="0" w:line="216" w:lineRule="auto"/>
              <w:rPr>
                <w:rFonts w:hAnsi="Times New Roman"/>
              </w:rPr>
            </w:pPr>
            <w:r>
              <w:rPr>
                <w:rFonts w:hAnsi="Times New Roman"/>
              </w:rPr>
              <w:t>49.0</w:t>
            </w:r>
          </w:p>
        </w:tc>
        <w:tc>
          <w:tcPr>
            <w:tcW w:w="1190" w:type="dxa"/>
            <w:vAlign w:val="center"/>
          </w:tcPr>
          <w:p w:rsidR="00475650" w:rsidRDefault="00475650">
            <w:pPr>
              <w:pStyle w:val="afffff6"/>
              <w:spacing w:before="0" w:after="0" w:line="216" w:lineRule="auto"/>
              <w:rPr>
                <w:rFonts w:hAnsi="Times New Roman"/>
              </w:rPr>
            </w:pPr>
            <w:r>
              <w:rPr>
                <w:rFonts w:hAnsi="Times New Roman"/>
              </w:rPr>
              <w:t>65</w:t>
            </w:r>
          </w:p>
        </w:tc>
        <w:tc>
          <w:tcPr>
            <w:tcW w:w="1190" w:type="dxa"/>
            <w:vAlign w:val="center"/>
          </w:tcPr>
          <w:p w:rsidR="00475650" w:rsidRDefault="00475650">
            <w:pPr>
              <w:pStyle w:val="afffff6"/>
              <w:spacing w:before="0" w:after="0" w:line="216" w:lineRule="auto"/>
              <w:rPr>
                <w:rFonts w:hAnsi="Times New Roman"/>
              </w:rPr>
            </w:pPr>
            <w:r>
              <w:rPr>
                <w:rFonts w:hAnsi="Times New Roman"/>
              </w:rPr>
              <w:t>55</w:t>
            </w:r>
          </w:p>
        </w:tc>
        <w:tc>
          <w:tcPr>
            <w:tcW w:w="759" w:type="dxa"/>
            <w:vAlign w:val="center"/>
          </w:tcPr>
          <w:p w:rsidR="00475650" w:rsidRDefault="00475650">
            <w:pPr>
              <w:pStyle w:val="afffff6"/>
              <w:spacing w:before="0" w:after="0" w:line="216" w:lineRule="auto"/>
              <w:rPr>
                <w:rFonts w:hAnsi="Times New Roman"/>
              </w:rPr>
            </w:pPr>
            <w:r>
              <w:t>达标</w:t>
            </w:r>
          </w:p>
        </w:tc>
        <w:tc>
          <w:tcPr>
            <w:tcW w:w="755" w:type="dxa"/>
            <w:vAlign w:val="center"/>
          </w:tcPr>
          <w:p w:rsidR="00475650" w:rsidRDefault="00475650">
            <w:pPr>
              <w:pStyle w:val="afffff6"/>
              <w:spacing w:before="0" w:after="0" w:line="216" w:lineRule="auto"/>
              <w:rPr>
                <w:rFonts w:hAnsi="Times New Roman"/>
              </w:rPr>
            </w:pPr>
            <w:r>
              <w:t>达标</w:t>
            </w:r>
          </w:p>
        </w:tc>
      </w:tr>
    </w:tbl>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777" w:name="_Toc332293029"/>
      <w:bookmarkStart w:id="778" w:name="_Toc334014220"/>
      <w:bookmarkStart w:id="779" w:name="_Toc465677034"/>
      <w:bookmarkStart w:id="780" w:name="_Toc15431"/>
      <w:bookmarkStart w:id="781" w:name="_Toc302936853"/>
      <w:bookmarkStart w:id="782" w:name="_Toc333230044"/>
      <w:bookmarkStart w:id="783" w:name="_Toc334080862"/>
      <w:r>
        <w:rPr>
          <w:rStyle w:val="2Char1Char"/>
          <w:rFonts w:ascii="Times New Roman" w:eastAsia="宋体" w:hAnsi="Times New Roman" w:cs="Times New Roman"/>
          <w:b w:val="0"/>
          <w:sz w:val="24"/>
          <w:szCs w:val="24"/>
        </w:rPr>
        <w:t xml:space="preserve">5.2.4 </w:t>
      </w:r>
      <w:r>
        <w:rPr>
          <w:rStyle w:val="2Char1Char"/>
          <w:rFonts w:ascii="Times New Roman" w:eastAsia="宋体" w:hAnsi="宋体" w:cs="Times New Roman"/>
          <w:b w:val="0"/>
          <w:sz w:val="24"/>
          <w:szCs w:val="24"/>
        </w:rPr>
        <w:t>固体废物污染环境影响分析</w:t>
      </w:r>
      <w:bookmarkEnd w:id="777"/>
      <w:bookmarkEnd w:id="778"/>
      <w:bookmarkEnd w:id="779"/>
      <w:bookmarkEnd w:id="780"/>
      <w:bookmarkEnd w:id="781"/>
      <w:bookmarkEnd w:id="782"/>
      <w:bookmarkEnd w:id="783"/>
    </w:p>
    <w:p w:rsidR="00475650" w:rsidRDefault="00475650">
      <w:pPr>
        <w:spacing w:line="360" w:lineRule="auto"/>
        <w:ind w:firstLine="482"/>
        <w:rPr>
          <w:sz w:val="24"/>
        </w:rPr>
      </w:pPr>
      <w:r>
        <w:rPr>
          <w:rFonts w:hAnsi="宋体"/>
          <w:sz w:val="24"/>
        </w:rPr>
        <w:t>本项目原辅材料的废包装袋和废包装桶送厂家回收利用，回收利用前在厂内原辅材料库区暂存，库区为室内环境，地面进行防渗处理，对大气及水环境影响较小；污水处理站产生的脱水污泥定期清理，即清即运，不予厂内暂存，送</w:t>
      </w:r>
      <w:r>
        <w:rPr>
          <w:rFonts w:hAnsi="宋体" w:hint="eastAsia"/>
          <w:sz w:val="24"/>
        </w:rPr>
        <w:t>有资质的单位处理处置</w:t>
      </w:r>
      <w:r>
        <w:rPr>
          <w:rFonts w:hAnsi="宋体"/>
          <w:sz w:val="24"/>
        </w:rPr>
        <w:t>；生活垃圾由园区生活垃圾处理中心统一处理。</w:t>
      </w:r>
    </w:p>
    <w:p w:rsidR="00475650" w:rsidRDefault="00475650">
      <w:pPr>
        <w:spacing w:line="360" w:lineRule="auto"/>
        <w:ind w:firstLine="482"/>
        <w:rPr>
          <w:rFonts w:hAnsi="宋体"/>
          <w:sz w:val="24"/>
        </w:rPr>
      </w:pPr>
      <w:r>
        <w:rPr>
          <w:rFonts w:hAnsi="宋体"/>
          <w:sz w:val="24"/>
        </w:rPr>
        <w:t>综上，本项目固体废物均得到了合理的处理处置不外排，对外环境影响较小。</w:t>
      </w:r>
    </w:p>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784" w:name="_Toc465677035"/>
      <w:bookmarkStart w:id="785" w:name="_Toc4667"/>
      <w:r>
        <w:rPr>
          <w:rStyle w:val="2Char1Char"/>
          <w:rFonts w:ascii="Times New Roman" w:eastAsia="宋体" w:hAnsi="Times New Roman" w:cs="Times New Roman"/>
          <w:b w:val="0"/>
          <w:sz w:val="24"/>
          <w:szCs w:val="24"/>
        </w:rPr>
        <w:t>5.2.</w:t>
      </w:r>
      <w:r>
        <w:rPr>
          <w:rStyle w:val="2Char1Char"/>
          <w:rFonts w:ascii="Times New Roman" w:eastAsia="宋体" w:hAnsi="Times New Roman" w:cs="Times New Roman" w:hint="eastAsia"/>
          <w:b w:val="0"/>
          <w:sz w:val="24"/>
          <w:szCs w:val="24"/>
        </w:rPr>
        <w:t>5</w:t>
      </w:r>
      <w:r>
        <w:rPr>
          <w:rStyle w:val="2Char1Char"/>
          <w:rFonts w:ascii="Times New Roman" w:eastAsia="宋体" w:hAnsi="Times New Roman" w:cs="Times New Roman"/>
          <w:b w:val="0"/>
          <w:sz w:val="24"/>
          <w:szCs w:val="24"/>
        </w:rPr>
        <w:t xml:space="preserve"> </w:t>
      </w:r>
      <w:r>
        <w:rPr>
          <w:rStyle w:val="2Char1Char"/>
          <w:rFonts w:ascii="Times New Roman" w:eastAsia="宋体" w:hAnsi="宋体" w:cs="Times New Roman" w:hint="eastAsia"/>
          <w:b w:val="0"/>
          <w:sz w:val="24"/>
          <w:szCs w:val="24"/>
        </w:rPr>
        <w:t>水生生态</w:t>
      </w:r>
      <w:r>
        <w:rPr>
          <w:rStyle w:val="2Char1Char"/>
          <w:rFonts w:ascii="Times New Roman" w:eastAsia="宋体" w:hAnsi="宋体" w:cs="Times New Roman"/>
          <w:b w:val="0"/>
          <w:sz w:val="24"/>
          <w:szCs w:val="24"/>
        </w:rPr>
        <w:t>环境影响分析</w:t>
      </w:r>
      <w:bookmarkEnd w:id="784"/>
      <w:bookmarkEnd w:id="785"/>
    </w:p>
    <w:p w:rsidR="00475650" w:rsidRDefault="00475650">
      <w:pPr>
        <w:spacing w:line="360" w:lineRule="auto"/>
        <w:ind w:firstLine="482"/>
        <w:rPr>
          <w:rFonts w:hAnsi="宋体"/>
          <w:sz w:val="24"/>
        </w:rPr>
      </w:pPr>
      <w:r>
        <w:rPr>
          <w:rFonts w:hAnsi="宋体" w:hint="eastAsia"/>
          <w:sz w:val="24"/>
        </w:rPr>
        <w:t>本项目位于园区内的现有厂区用地范围内，对陆域生态影响不大。</w:t>
      </w:r>
    </w:p>
    <w:p w:rsidR="00475650" w:rsidRDefault="00475650">
      <w:pPr>
        <w:spacing w:line="360" w:lineRule="auto"/>
        <w:ind w:firstLine="482"/>
        <w:rPr>
          <w:rFonts w:hAnsi="宋体"/>
          <w:sz w:val="24"/>
        </w:rPr>
      </w:pPr>
      <w:r>
        <w:rPr>
          <w:rFonts w:hAnsi="宋体" w:hint="eastAsia"/>
          <w:sz w:val="24"/>
        </w:rPr>
        <w:t>本项目废水纳入园区污水处理厂处理，园区污水处理厂排水位于长江白鱀豚保护区实验区内；本处引用园区规划环评对白鱀豚保护区实验区的影响分析来说明区域排水对水生生态的影响：</w:t>
      </w:r>
    </w:p>
    <w:p w:rsidR="00475650" w:rsidRDefault="00475650">
      <w:pPr>
        <w:spacing w:line="360" w:lineRule="auto"/>
        <w:ind w:firstLine="482"/>
        <w:rPr>
          <w:rFonts w:hAnsi="宋体"/>
          <w:sz w:val="24"/>
        </w:rPr>
      </w:pPr>
      <w:r>
        <w:rPr>
          <w:rFonts w:hAnsi="宋体" w:hint="eastAsia"/>
          <w:sz w:val="24"/>
        </w:rPr>
        <w:t>“园区排污口位于白鱀豚保护区实验区内，其水质为Ⅲ</w:t>
      </w:r>
      <w:r>
        <w:rPr>
          <w:rFonts w:hAnsi="宋体"/>
          <w:sz w:val="24"/>
        </w:rPr>
        <w:t>类</w:t>
      </w:r>
      <w:r>
        <w:rPr>
          <w:rFonts w:hAnsi="宋体" w:hint="eastAsia"/>
          <w:sz w:val="24"/>
        </w:rPr>
        <w:t>。</w:t>
      </w:r>
      <w:r>
        <w:rPr>
          <w:rFonts w:hAnsi="宋体"/>
          <w:sz w:val="24"/>
        </w:rPr>
        <w:t>根据《地表水环境质量标准》（</w:t>
      </w:r>
      <w:r>
        <w:rPr>
          <w:rFonts w:hAnsi="宋体"/>
          <w:sz w:val="24"/>
        </w:rPr>
        <w:t>GB3838-2002</w:t>
      </w:r>
      <w:r>
        <w:rPr>
          <w:rFonts w:hAnsi="宋体"/>
          <w:sz w:val="24"/>
        </w:rPr>
        <w:t>）规定，</w:t>
      </w:r>
      <w:r>
        <w:rPr>
          <w:rFonts w:hAnsi="宋体" w:hint="eastAsia"/>
          <w:sz w:val="24"/>
        </w:rPr>
        <w:t>Ⅲ</w:t>
      </w:r>
      <w:r>
        <w:rPr>
          <w:rFonts w:hAnsi="宋体"/>
          <w:sz w:val="24"/>
        </w:rPr>
        <w:t>类水质可以满足水产养殖区等渔业水域的需求</w:t>
      </w:r>
      <w:r>
        <w:rPr>
          <w:rFonts w:hAnsi="宋体" w:hint="eastAsia"/>
          <w:sz w:val="24"/>
        </w:rPr>
        <w:t>。</w:t>
      </w:r>
    </w:p>
    <w:p w:rsidR="00475650" w:rsidRDefault="00475650">
      <w:pPr>
        <w:spacing w:line="360" w:lineRule="auto"/>
        <w:ind w:firstLine="482"/>
        <w:rPr>
          <w:rFonts w:hAnsi="宋体"/>
          <w:sz w:val="24"/>
        </w:rPr>
      </w:pPr>
      <w:r>
        <w:rPr>
          <w:rFonts w:hAnsi="宋体"/>
          <w:sz w:val="24"/>
        </w:rPr>
        <w:t>根据</w:t>
      </w:r>
      <w:r>
        <w:rPr>
          <w:rFonts w:hAnsi="宋体" w:hint="eastAsia"/>
          <w:sz w:val="24"/>
        </w:rPr>
        <w:t>产业园污水处理厂排污口排放的</w:t>
      </w:r>
      <w:r>
        <w:rPr>
          <w:rFonts w:hAnsi="宋体"/>
          <w:sz w:val="24"/>
        </w:rPr>
        <w:t>废污水性质，对</w:t>
      </w:r>
      <w:r>
        <w:rPr>
          <w:rFonts w:hAnsi="宋体" w:hint="eastAsia"/>
          <w:sz w:val="24"/>
        </w:rPr>
        <w:t>白鱀豚</w:t>
      </w:r>
      <w:r>
        <w:rPr>
          <w:rFonts w:hAnsi="宋体"/>
          <w:sz w:val="24"/>
        </w:rPr>
        <w:t>影响较大的水质因子为有机污染物，</w:t>
      </w:r>
      <w:r>
        <w:rPr>
          <w:rFonts w:hAnsi="宋体" w:hint="eastAsia"/>
          <w:sz w:val="24"/>
        </w:rPr>
        <w:t>经过预测</w:t>
      </w:r>
      <w:r>
        <w:rPr>
          <w:rFonts w:hAnsi="宋体"/>
          <w:sz w:val="24"/>
        </w:rPr>
        <w:t>，</w:t>
      </w:r>
      <w:r>
        <w:rPr>
          <w:rFonts w:hAnsi="宋体" w:hint="eastAsia"/>
          <w:sz w:val="24"/>
        </w:rPr>
        <w:t>在</w:t>
      </w:r>
      <w:r>
        <w:rPr>
          <w:rFonts w:hAnsi="宋体"/>
          <w:sz w:val="24"/>
        </w:rPr>
        <w:t>正常排放情况下，所排污水使长江江段中</w:t>
      </w:r>
      <w:r>
        <w:rPr>
          <w:rFonts w:hAnsi="宋体"/>
          <w:sz w:val="24"/>
        </w:rPr>
        <w:t>COD</w:t>
      </w:r>
      <w:r>
        <w:rPr>
          <w:rFonts w:hAnsi="宋体"/>
          <w:sz w:val="24"/>
        </w:rPr>
        <w:t>、氨氮浓度有所增加，但增加幅度</w:t>
      </w:r>
      <w:r>
        <w:rPr>
          <w:rFonts w:hAnsi="宋体" w:hint="eastAsia"/>
          <w:sz w:val="24"/>
        </w:rPr>
        <w:t>很小</w:t>
      </w:r>
      <w:r>
        <w:rPr>
          <w:rFonts w:hAnsi="宋体"/>
          <w:sz w:val="24"/>
        </w:rPr>
        <w:t>，因此，在废污水正常排放情况下，工程实施所造成的水质变化幅度是</w:t>
      </w:r>
      <w:r>
        <w:rPr>
          <w:rFonts w:hAnsi="宋体" w:hint="eastAsia"/>
          <w:sz w:val="24"/>
        </w:rPr>
        <w:t>白鱀豚</w:t>
      </w:r>
      <w:r>
        <w:rPr>
          <w:rFonts w:hAnsi="宋体"/>
          <w:sz w:val="24"/>
        </w:rPr>
        <w:t>可以承受的。</w:t>
      </w:r>
    </w:p>
    <w:p w:rsidR="00475650" w:rsidRDefault="00475650">
      <w:pPr>
        <w:spacing w:line="360" w:lineRule="auto"/>
        <w:ind w:firstLine="482"/>
        <w:rPr>
          <w:rFonts w:hAnsi="宋体"/>
          <w:sz w:val="24"/>
        </w:rPr>
      </w:pPr>
      <w:r>
        <w:rPr>
          <w:rFonts w:hAnsi="宋体"/>
          <w:sz w:val="24"/>
        </w:rPr>
        <w:t>在非正常排放最不利条件下，</w:t>
      </w:r>
      <w:r>
        <w:rPr>
          <w:rFonts w:hAnsi="宋体" w:hint="eastAsia"/>
          <w:sz w:val="24"/>
        </w:rPr>
        <w:t>经过预测</w:t>
      </w:r>
      <w:r>
        <w:rPr>
          <w:rFonts w:hAnsi="宋体"/>
          <w:sz w:val="24"/>
        </w:rPr>
        <w:t>所排污水使长江江段中</w:t>
      </w:r>
      <w:r>
        <w:rPr>
          <w:rFonts w:hAnsi="宋体"/>
          <w:sz w:val="24"/>
        </w:rPr>
        <w:t>COD</w:t>
      </w:r>
      <w:r>
        <w:rPr>
          <w:rFonts w:hAnsi="宋体"/>
          <w:sz w:val="24"/>
        </w:rPr>
        <w:t>、氨氮浓度幅度</w:t>
      </w:r>
      <w:r>
        <w:rPr>
          <w:rFonts w:hAnsi="宋体" w:hint="eastAsia"/>
          <w:sz w:val="24"/>
        </w:rPr>
        <w:t>较大，但仍满足Ⅲ</w:t>
      </w:r>
      <w:r>
        <w:rPr>
          <w:rFonts w:hAnsi="宋体"/>
          <w:sz w:val="24"/>
        </w:rPr>
        <w:t>类水质</w:t>
      </w:r>
      <w:r>
        <w:rPr>
          <w:rFonts w:hAnsi="宋体" w:hint="eastAsia"/>
          <w:sz w:val="24"/>
        </w:rPr>
        <w:t>标准。</w:t>
      </w:r>
      <w:r>
        <w:rPr>
          <w:rFonts w:hAnsi="宋体"/>
          <w:sz w:val="24"/>
        </w:rPr>
        <w:t>考虑到非正常排放的工况特征是突发且短暂的事故性事件，在非正常排放时，启用企业事故池和污水处理厂事故池蓄存废污水可以降低对长江</w:t>
      </w:r>
      <w:r>
        <w:rPr>
          <w:rFonts w:hAnsi="宋体" w:hint="eastAsia"/>
          <w:sz w:val="24"/>
        </w:rPr>
        <w:t>白鱀豚</w:t>
      </w:r>
      <w:r>
        <w:rPr>
          <w:rFonts w:hAnsi="宋体"/>
          <w:sz w:val="24"/>
        </w:rPr>
        <w:t>的影响。</w:t>
      </w:r>
    </w:p>
    <w:p w:rsidR="00475650" w:rsidRDefault="00475650">
      <w:pPr>
        <w:spacing w:line="360" w:lineRule="auto"/>
        <w:ind w:firstLine="482"/>
        <w:rPr>
          <w:rFonts w:hAnsi="宋体"/>
          <w:sz w:val="24"/>
        </w:rPr>
      </w:pPr>
      <w:r>
        <w:rPr>
          <w:rFonts w:hAnsi="宋体" w:hint="eastAsia"/>
          <w:sz w:val="24"/>
        </w:rPr>
        <w:t>园区污水处理厂废水</w:t>
      </w:r>
      <w:r>
        <w:rPr>
          <w:rFonts w:hAnsi="宋体"/>
          <w:sz w:val="24"/>
        </w:rPr>
        <w:t>正常排</w:t>
      </w:r>
      <w:r>
        <w:rPr>
          <w:rFonts w:hAnsi="宋体" w:hint="eastAsia"/>
          <w:sz w:val="24"/>
        </w:rPr>
        <w:t>放时，其</w:t>
      </w:r>
      <w:r>
        <w:rPr>
          <w:rFonts w:hAnsi="宋体"/>
          <w:sz w:val="24"/>
        </w:rPr>
        <w:t>影响范围有限，不会对</w:t>
      </w:r>
      <w:r>
        <w:rPr>
          <w:rFonts w:hAnsi="宋体" w:hint="eastAsia"/>
          <w:sz w:val="24"/>
        </w:rPr>
        <w:t>白鱀豚生存</w:t>
      </w:r>
      <w:r>
        <w:rPr>
          <w:rFonts w:hAnsi="宋体"/>
          <w:sz w:val="24"/>
        </w:rPr>
        <w:t>产生明显不利影响。在非正常排放时，启用企业事故池和污水处理厂事故池蓄存废污水可以降低对长江</w:t>
      </w:r>
      <w:r>
        <w:rPr>
          <w:rFonts w:hAnsi="宋体" w:hint="eastAsia"/>
          <w:sz w:val="24"/>
        </w:rPr>
        <w:t>鱼类及白鱀豚</w:t>
      </w:r>
      <w:r>
        <w:rPr>
          <w:rFonts w:hAnsi="宋体"/>
          <w:sz w:val="24"/>
        </w:rPr>
        <w:t>的影响</w:t>
      </w:r>
      <w:r>
        <w:rPr>
          <w:rFonts w:hAnsi="宋体" w:hint="eastAsia"/>
          <w:sz w:val="24"/>
        </w:rPr>
        <w:t>。</w:t>
      </w:r>
      <w:r>
        <w:rPr>
          <w:rFonts w:hAnsi="宋体"/>
          <w:sz w:val="24"/>
        </w:rPr>
        <w:t>因此，</w:t>
      </w:r>
      <w:r>
        <w:rPr>
          <w:rFonts w:hAnsi="宋体" w:hint="eastAsia"/>
          <w:sz w:val="24"/>
        </w:rPr>
        <w:t>园区污水处理厂排水</w:t>
      </w:r>
      <w:r>
        <w:rPr>
          <w:rFonts w:hAnsi="宋体"/>
          <w:sz w:val="24"/>
        </w:rPr>
        <w:t>对</w:t>
      </w:r>
      <w:r>
        <w:rPr>
          <w:rFonts w:hAnsi="宋体" w:hint="eastAsia"/>
          <w:sz w:val="24"/>
        </w:rPr>
        <w:t>白鱀豚</w:t>
      </w:r>
      <w:r>
        <w:rPr>
          <w:rFonts w:hAnsi="宋体"/>
          <w:sz w:val="24"/>
        </w:rPr>
        <w:t>无明显不利影响。</w:t>
      </w:r>
      <w:r>
        <w:rPr>
          <w:rFonts w:hAnsi="宋体" w:hint="eastAsia"/>
          <w:sz w:val="24"/>
        </w:rPr>
        <w:t>”</w:t>
      </w:r>
    </w:p>
    <w:p w:rsidR="00475650" w:rsidRDefault="00475650">
      <w:pPr>
        <w:spacing w:line="360" w:lineRule="auto"/>
        <w:ind w:firstLine="482"/>
        <w:rPr>
          <w:sz w:val="24"/>
        </w:rPr>
        <w:sectPr w:rsidR="00475650">
          <w:pgSz w:w="11906" w:h="16838"/>
          <w:pgMar w:top="1588" w:right="1588" w:bottom="1588" w:left="1588" w:header="851" w:footer="992" w:gutter="0"/>
          <w:paperSrc w:first="7" w:other="7"/>
          <w:cols w:space="720"/>
          <w:docGrid w:linePitch="312"/>
        </w:sectPr>
      </w:pPr>
      <w:r>
        <w:rPr>
          <w:rFonts w:hint="eastAsia"/>
          <w:sz w:val="24"/>
        </w:rPr>
        <w:t>本项目废水已纳入园区污水处理站处理范畴，对园区内单个项目而言，应加强风险应急管理，严格禁止废水的非正常外排，生产废水及生活废水经有效处理后需</w:t>
      </w:r>
      <w:r>
        <w:rPr>
          <w:rFonts w:hint="eastAsia"/>
          <w:sz w:val="24"/>
        </w:rPr>
        <w:lastRenderedPageBreak/>
        <w:t>满足园区污水处理厂的进水水质标准后外排至园区污水处理站处理。</w:t>
      </w:r>
    </w:p>
    <w:p w:rsidR="00475650" w:rsidRDefault="00475650">
      <w:pPr>
        <w:pStyle w:val="13"/>
        <w:snapToGrid w:val="0"/>
        <w:spacing w:before="0" w:after="0" w:line="360" w:lineRule="auto"/>
        <w:rPr>
          <w:rFonts w:eastAsia="宋体"/>
          <w:b w:val="0"/>
          <w:sz w:val="32"/>
          <w:szCs w:val="32"/>
        </w:rPr>
      </w:pPr>
      <w:bookmarkStart w:id="786" w:name="_Toc270867253"/>
      <w:bookmarkStart w:id="787" w:name="_Toc270622942"/>
      <w:bookmarkStart w:id="788" w:name="_Toc269809351"/>
      <w:bookmarkStart w:id="789" w:name="_Toc332293030"/>
      <w:bookmarkStart w:id="790" w:name="_Toc14517"/>
      <w:bookmarkStart w:id="791" w:name="_Toc247302851"/>
      <w:bookmarkStart w:id="792" w:name="_Toc237849936"/>
      <w:bookmarkStart w:id="793" w:name="_Toc247302846"/>
      <w:bookmarkStart w:id="794" w:name="_Toc228775475"/>
      <w:bookmarkStart w:id="795" w:name="_Toc238484710"/>
      <w:bookmarkStart w:id="796" w:name="_Toc238484716"/>
      <w:r>
        <w:rPr>
          <w:rFonts w:eastAsia="宋体"/>
          <w:b w:val="0"/>
          <w:sz w:val="32"/>
          <w:szCs w:val="32"/>
        </w:rPr>
        <w:lastRenderedPageBreak/>
        <w:t xml:space="preserve">6 </w:t>
      </w:r>
      <w:r>
        <w:rPr>
          <w:rFonts w:eastAsia="宋体" w:hAnsi="宋体"/>
          <w:b w:val="0"/>
          <w:sz w:val="32"/>
          <w:szCs w:val="32"/>
        </w:rPr>
        <w:t>风险评价</w:t>
      </w:r>
      <w:bookmarkEnd w:id="786"/>
      <w:bookmarkEnd w:id="787"/>
      <w:bookmarkEnd w:id="788"/>
      <w:bookmarkEnd w:id="789"/>
      <w:bookmarkEnd w:id="790"/>
    </w:p>
    <w:p w:rsidR="00475650" w:rsidRDefault="00475650">
      <w:pPr>
        <w:pStyle w:val="h"/>
        <w:snapToGrid w:val="0"/>
        <w:spacing w:before="0" w:after="0" w:line="360" w:lineRule="auto"/>
        <w:ind w:firstLine="0"/>
        <w:outlineLvl w:val="0"/>
        <w:rPr>
          <w:rStyle w:val="2Char1Char"/>
          <w:rFonts w:ascii="Times New Roman" w:eastAsia="宋体" w:hAnsi="Times New Roman" w:cs="Times New Roman"/>
          <w:b w:val="0"/>
          <w:sz w:val="28"/>
          <w:szCs w:val="28"/>
        </w:rPr>
      </w:pPr>
      <w:bookmarkStart w:id="797" w:name="_Toc270622943"/>
      <w:bookmarkStart w:id="798" w:name="_Toc332293031"/>
      <w:bookmarkStart w:id="799" w:name="_Toc269809352"/>
      <w:bookmarkStart w:id="800" w:name="_Toc270867254"/>
      <w:bookmarkStart w:id="801" w:name="_Toc247302842"/>
      <w:bookmarkStart w:id="802" w:name="_Toc24633"/>
      <w:r>
        <w:rPr>
          <w:rStyle w:val="2Char1Char"/>
          <w:rFonts w:ascii="Times New Roman" w:eastAsia="宋体" w:hAnsi="Times New Roman" w:cs="Times New Roman"/>
          <w:b w:val="0"/>
          <w:sz w:val="28"/>
          <w:szCs w:val="28"/>
        </w:rPr>
        <w:t>6.1</w:t>
      </w:r>
      <w:r>
        <w:rPr>
          <w:rStyle w:val="2Char1Char"/>
          <w:rFonts w:ascii="Times New Roman" w:eastAsia="宋体" w:hAnsi="宋体" w:cs="Times New Roman"/>
          <w:b w:val="0"/>
          <w:sz w:val="28"/>
          <w:szCs w:val="28"/>
        </w:rPr>
        <w:t>总则</w:t>
      </w:r>
      <w:bookmarkEnd w:id="797"/>
      <w:bookmarkEnd w:id="798"/>
      <w:bookmarkEnd w:id="799"/>
      <w:bookmarkEnd w:id="800"/>
      <w:bookmarkEnd w:id="801"/>
      <w:bookmarkEnd w:id="802"/>
    </w:p>
    <w:p w:rsidR="00475650" w:rsidRDefault="00475650">
      <w:pPr>
        <w:pStyle w:val="h"/>
        <w:snapToGrid w:val="0"/>
        <w:spacing w:before="0" w:after="0" w:line="360" w:lineRule="auto"/>
        <w:ind w:firstLine="0"/>
        <w:outlineLvl w:val="0"/>
        <w:rPr>
          <w:rStyle w:val="2Char1Char"/>
          <w:rFonts w:ascii="Times New Roman" w:eastAsia="宋体" w:hAnsi="Times New Roman" w:cs="Times New Roman"/>
          <w:b w:val="0"/>
          <w:sz w:val="24"/>
          <w:szCs w:val="24"/>
        </w:rPr>
      </w:pPr>
      <w:bookmarkStart w:id="803" w:name="_Toc332293032"/>
      <w:bookmarkStart w:id="804" w:name="_Toc333230047"/>
      <w:bookmarkStart w:id="805" w:name="_Toc274984942"/>
      <w:bookmarkStart w:id="806" w:name="_Toc302936857"/>
      <w:bookmarkStart w:id="807" w:name="_Toc334080865"/>
      <w:bookmarkStart w:id="808" w:name="_Toc270622944"/>
      <w:bookmarkStart w:id="809" w:name="_Toc334014223"/>
      <w:bookmarkStart w:id="810" w:name="_Toc465677038"/>
      <w:bookmarkStart w:id="811" w:name="_Toc7429"/>
      <w:r>
        <w:rPr>
          <w:rStyle w:val="2Char1Char"/>
          <w:rFonts w:ascii="Times New Roman" w:eastAsia="宋体" w:hAnsi="Times New Roman" w:cs="Times New Roman"/>
          <w:b w:val="0"/>
          <w:sz w:val="24"/>
          <w:szCs w:val="24"/>
        </w:rPr>
        <w:t>6.1.1</w:t>
      </w:r>
      <w:r>
        <w:rPr>
          <w:rStyle w:val="2Char1Char"/>
          <w:rFonts w:ascii="Times New Roman" w:eastAsia="宋体" w:hAnsi="宋体" w:cs="Times New Roman"/>
          <w:b w:val="0"/>
          <w:sz w:val="24"/>
          <w:szCs w:val="24"/>
        </w:rPr>
        <w:t>评价依据</w:t>
      </w:r>
      <w:bookmarkEnd w:id="803"/>
      <w:bookmarkEnd w:id="804"/>
      <w:bookmarkEnd w:id="805"/>
      <w:bookmarkEnd w:id="806"/>
      <w:bookmarkEnd w:id="807"/>
      <w:bookmarkEnd w:id="808"/>
      <w:bookmarkEnd w:id="809"/>
      <w:bookmarkEnd w:id="810"/>
      <w:bookmarkEnd w:id="811"/>
    </w:p>
    <w:p w:rsidR="00475650" w:rsidRDefault="00475650">
      <w:pPr>
        <w:snapToGrid w:val="0"/>
        <w:spacing w:line="360" w:lineRule="auto"/>
        <w:ind w:firstLineChars="200" w:firstLine="480"/>
        <w:rPr>
          <w:sz w:val="24"/>
        </w:rPr>
      </w:pPr>
      <w:r>
        <w:rPr>
          <w:rFonts w:hAnsi="宋体"/>
          <w:sz w:val="24"/>
        </w:rPr>
        <w:t>根据国家环保部《关于防范环境风险加强环境影响评价管理的通知》</w:t>
      </w:r>
      <w:r>
        <w:rPr>
          <w:sz w:val="24"/>
        </w:rPr>
        <w:t>(</w:t>
      </w:r>
      <w:r>
        <w:rPr>
          <w:rFonts w:hAnsi="宋体"/>
          <w:sz w:val="24"/>
        </w:rPr>
        <w:t>环发</w:t>
      </w:r>
      <w:r>
        <w:rPr>
          <w:sz w:val="24"/>
        </w:rPr>
        <w:t>[2005]152</w:t>
      </w:r>
      <w:r>
        <w:rPr>
          <w:rFonts w:hAnsi="宋体"/>
          <w:sz w:val="24"/>
        </w:rPr>
        <w:t>号</w:t>
      </w:r>
      <w:r>
        <w:rPr>
          <w:sz w:val="24"/>
        </w:rPr>
        <w:t>)</w:t>
      </w:r>
      <w:r>
        <w:rPr>
          <w:rFonts w:hAnsi="宋体"/>
          <w:sz w:val="24"/>
        </w:rPr>
        <w:t>、《关于检查化工石化等拟建项目环境风险的通知》</w:t>
      </w:r>
      <w:r>
        <w:rPr>
          <w:sz w:val="24"/>
        </w:rPr>
        <w:t>(</w:t>
      </w:r>
      <w:r>
        <w:rPr>
          <w:rFonts w:hAnsi="宋体"/>
          <w:sz w:val="24"/>
        </w:rPr>
        <w:t>环办函</w:t>
      </w:r>
      <w:r>
        <w:rPr>
          <w:sz w:val="24"/>
        </w:rPr>
        <w:t>[2006]4</w:t>
      </w:r>
      <w:r>
        <w:rPr>
          <w:rFonts w:hAnsi="宋体"/>
          <w:sz w:val="24"/>
        </w:rPr>
        <w:t>号</w:t>
      </w:r>
      <w:r>
        <w:rPr>
          <w:sz w:val="24"/>
        </w:rPr>
        <w:t>)</w:t>
      </w:r>
      <w:r>
        <w:rPr>
          <w:rFonts w:hAnsi="宋体"/>
          <w:sz w:val="24"/>
        </w:rPr>
        <w:t>风险排查技术要求精神，环境风险评价结论要作为建设项目环境影响评价文件审批的主要依据之一。根据以上文件精神结合建设项目环境风险评价导则，本项目对临湘市鹏程化工有限公司年产</w:t>
      </w:r>
      <w:r>
        <w:rPr>
          <w:sz w:val="24"/>
        </w:rPr>
        <w:t>6000</w:t>
      </w:r>
      <w:r>
        <w:rPr>
          <w:rFonts w:hAnsi="宋体"/>
          <w:sz w:val="24"/>
        </w:rPr>
        <w:t>吨弱酸性染料建设项目进行环境风险评价。</w:t>
      </w:r>
    </w:p>
    <w:p w:rsidR="00475650" w:rsidRDefault="00475650">
      <w:pPr>
        <w:pStyle w:val="h"/>
        <w:snapToGrid w:val="0"/>
        <w:spacing w:before="0" w:after="0" w:line="360" w:lineRule="auto"/>
        <w:ind w:firstLine="0"/>
        <w:outlineLvl w:val="0"/>
        <w:rPr>
          <w:rStyle w:val="2Char1Char"/>
          <w:rFonts w:ascii="Times New Roman" w:eastAsia="宋体" w:hAnsi="Times New Roman" w:cs="Times New Roman"/>
          <w:b w:val="0"/>
          <w:sz w:val="24"/>
          <w:szCs w:val="24"/>
        </w:rPr>
      </w:pPr>
      <w:bookmarkStart w:id="812" w:name="_Toc274984943"/>
      <w:bookmarkStart w:id="813" w:name="_Toc334080866"/>
      <w:bookmarkStart w:id="814" w:name="_Toc334014224"/>
      <w:bookmarkStart w:id="815" w:name="_Toc333230048"/>
      <w:bookmarkStart w:id="816" w:name="_Toc302936858"/>
      <w:bookmarkStart w:id="817" w:name="_Toc465677039"/>
      <w:bookmarkStart w:id="818" w:name="_Toc270622945"/>
      <w:bookmarkStart w:id="819" w:name="_Toc332293033"/>
      <w:bookmarkStart w:id="820" w:name="_Toc14"/>
      <w:r>
        <w:rPr>
          <w:rStyle w:val="2Char1Char"/>
          <w:rFonts w:ascii="Times New Roman" w:eastAsia="宋体" w:hAnsi="Times New Roman" w:cs="Times New Roman"/>
          <w:b w:val="0"/>
          <w:sz w:val="24"/>
          <w:szCs w:val="24"/>
        </w:rPr>
        <w:t>6.1.2</w:t>
      </w:r>
      <w:r>
        <w:rPr>
          <w:rStyle w:val="2Char1Char"/>
          <w:rFonts w:ascii="Times New Roman" w:eastAsia="宋体" w:hAnsi="宋体" w:cs="Times New Roman"/>
          <w:b w:val="0"/>
          <w:sz w:val="24"/>
          <w:szCs w:val="24"/>
        </w:rPr>
        <w:t>评价目的</w:t>
      </w:r>
      <w:bookmarkEnd w:id="812"/>
      <w:bookmarkEnd w:id="813"/>
      <w:bookmarkEnd w:id="814"/>
      <w:bookmarkEnd w:id="815"/>
      <w:bookmarkEnd w:id="816"/>
      <w:bookmarkEnd w:id="817"/>
      <w:bookmarkEnd w:id="818"/>
      <w:bookmarkEnd w:id="819"/>
      <w:bookmarkEnd w:id="820"/>
    </w:p>
    <w:p w:rsidR="00475650" w:rsidRDefault="00475650">
      <w:pPr>
        <w:snapToGrid w:val="0"/>
        <w:spacing w:line="360" w:lineRule="auto"/>
        <w:ind w:firstLineChars="200" w:firstLine="480"/>
        <w:rPr>
          <w:sz w:val="24"/>
        </w:rPr>
      </w:pPr>
      <w:r>
        <w:rPr>
          <w:rFonts w:hAnsi="宋体"/>
          <w:sz w:val="24"/>
        </w:rPr>
        <w:t>本项目风险评价旨在于通过风险值的分析，对项目建设和运行过程中可能存在的事故隐患提出事故防范措施和事故后应急措施，为工程设计和安全生产提供依据。</w:t>
      </w:r>
    </w:p>
    <w:p w:rsidR="00475650" w:rsidRDefault="00475650">
      <w:pPr>
        <w:snapToGrid w:val="0"/>
        <w:spacing w:line="360" w:lineRule="auto"/>
        <w:ind w:firstLineChars="200" w:firstLine="480"/>
        <w:rPr>
          <w:sz w:val="24"/>
        </w:rPr>
      </w:pPr>
      <w:r>
        <w:rPr>
          <w:rFonts w:hAnsi="宋体"/>
          <w:sz w:val="24"/>
        </w:rPr>
        <w:t>本评价主要目的是找出主要危险环节，认识危险程度，有针对性地提出应急预案和事故防范、减缓措施，将风险的可能性和危险性降低到最小程度。</w:t>
      </w:r>
    </w:p>
    <w:p w:rsidR="00475650" w:rsidRDefault="00475650">
      <w:pPr>
        <w:pStyle w:val="h"/>
        <w:snapToGrid w:val="0"/>
        <w:spacing w:before="0" w:after="0" w:line="360" w:lineRule="auto"/>
        <w:ind w:firstLine="0"/>
        <w:outlineLvl w:val="0"/>
        <w:rPr>
          <w:rStyle w:val="2Char1Char"/>
          <w:rFonts w:ascii="Times New Roman" w:eastAsia="宋体" w:hAnsi="Times New Roman" w:cs="Times New Roman"/>
          <w:b w:val="0"/>
          <w:sz w:val="24"/>
          <w:szCs w:val="24"/>
        </w:rPr>
      </w:pPr>
      <w:bookmarkStart w:id="821" w:name="_Toc334014225"/>
      <w:bookmarkStart w:id="822" w:name="_Toc274984944"/>
      <w:bookmarkStart w:id="823" w:name="_Toc270622946"/>
      <w:bookmarkStart w:id="824" w:name="_Toc334080867"/>
      <w:bookmarkStart w:id="825" w:name="_Toc465677040"/>
      <w:bookmarkStart w:id="826" w:name="_Toc12378"/>
      <w:bookmarkStart w:id="827" w:name="_Toc333230049"/>
      <w:bookmarkStart w:id="828" w:name="_Toc302936859"/>
      <w:bookmarkStart w:id="829" w:name="_Toc332293034"/>
      <w:r>
        <w:rPr>
          <w:rStyle w:val="2Char1Char"/>
          <w:rFonts w:ascii="Times New Roman" w:eastAsia="宋体" w:hAnsi="Times New Roman" w:cs="Times New Roman"/>
          <w:b w:val="0"/>
          <w:sz w:val="24"/>
          <w:szCs w:val="24"/>
        </w:rPr>
        <w:t>6.1.3</w:t>
      </w:r>
      <w:r>
        <w:rPr>
          <w:rStyle w:val="2Char1Char"/>
          <w:rFonts w:ascii="Times New Roman" w:eastAsia="宋体" w:hAnsi="宋体" w:cs="Times New Roman"/>
          <w:b w:val="0"/>
          <w:sz w:val="24"/>
          <w:szCs w:val="24"/>
        </w:rPr>
        <w:t>评价内容</w:t>
      </w:r>
      <w:bookmarkEnd w:id="821"/>
      <w:bookmarkEnd w:id="822"/>
      <w:bookmarkEnd w:id="823"/>
      <w:bookmarkEnd w:id="824"/>
      <w:bookmarkEnd w:id="825"/>
      <w:bookmarkEnd w:id="826"/>
      <w:bookmarkEnd w:id="827"/>
      <w:bookmarkEnd w:id="828"/>
      <w:bookmarkEnd w:id="829"/>
    </w:p>
    <w:p w:rsidR="00475650" w:rsidRDefault="00475650">
      <w:pPr>
        <w:snapToGrid w:val="0"/>
        <w:spacing w:line="360" w:lineRule="auto"/>
        <w:ind w:firstLineChars="200" w:firstLine="480"/>
        <w:rPr>
          <w:sz w:val="24"/>
        </w:rPr>
      </w:pPr>
      <w:r>
        <w:rPr>
          <w:rFonts w:hAnsi="宋体"/>
          <w:sz w:val="24"/>
        </w:rPr>
        <w:t>本次风险评价的主要内容包括生产过程中涉及的物质的风险识别，生产装置及储运设施风险识别、最大可信事故的确定、源强分析、事故后果计算与分析，明确项目风险的可接受水平，并据此提出切实可行的风险防范措施和应急预案，为工程设计和环境管理提供资料和依据，使项目环境风险降至最低。</w:t>
      </w:r>
    </w:p>
    <w:p w:rsidR="00475650" w:rsidRDefault="00475650">
      <w:pPr>
        <w:pStyle w:val="h"/>
        <w:snapToGrid w:val="0"/>
        <w:spacing w:before="0" w:after="0" w:line="360" w:lineRule="auto"/>
        <w:ind w:firstLine="0"/>
        <w:outlineLvl w:val="0"/>
        <w:rPr>
          <w:rStyle w:val="2Char1Char"/>
          <w:rFonts w:ascii="Times New Roman" w:eastAsia="宋体" w:hAnsi="Times New Roman" w:cs="Times New Roman"/>
          <w:b w:val="0"/>
          <w:sz w:val="28"/>
          <w:szCs w:val="28"/>
        </w:rPr>
      </w:pPr>
      <w:bookmarkStart w:id="830" w:name="_Toc270622947"/>
      <w:bookmarkStart w:id="831" w:name="_Toc269809353"/>
      <w:bookmarkStart w:id="832" w:name="_Toc332293035"/>
      <w:bookmarkStart w:id="833" w:name="_Toc247302844"/>
      <w:bookmarkStart w:id="834" w:name="_Toc270867255"/>
      <w:bookmarkStart w:id="835" w:name="_Toc25136"/>
      <w:r>
        <w:rPr>
          <w:rStyle w:val="2Char1Char"/>
          <w:rFonts w:ascii="Times New Roman" w:eastAsia="宋体" w:hAnsi="Times New Roman" w:cs="Times New Roman"/>
          <w:b w:val="0"/>
          <w:sz w:val="28"/>
          <w:szCs w:val="28"/>
        </w:rPr>
        <w:t>6.2</w:t>
      </w:r>
      <w:r>
        <w:rPr>
          <w:rStyle w:val="2Char1Char"/>
          <w:rFonts w:ascii="Times New Roman" w:eastAsia="宋体" w:hAnsi="宋体" w:cs="Times New Roman"/>
          <w:b w:val="0"/>
          <w:sz w:val="28"/>
          <w:szCs w:val="28"/>
        </w:rPr>
        <w:t>风险识别</w:t>
      </w:r>
      <w:bookmarkEnd w:id="830"/>
      <w:bookmarkEnd w:id="831"/>
      <w:bookmarkEnd w:id="832"/>
      <w:bookmarkEnd w:id="833"/>
      <w:bookmarkEnd w:id="834"/>
      <w:bookmarkEnd w:id="835"/>
    </w:p>
    <w:p w:rsidR="00475650" w:rsidRDefault="00475650">
      <w:pPr>
        <w:pStyle w:val="h"/>
        <w:snapToGrid w:val="0"/>
        <w:spacing w:before="0" w:after="0" w:line="360" w:lineRule="auto"/>
        <w:ind w:firstLine="0"/>
        <w:outlineLvl w:val="1"/>
        <w:rPr>
          <w:rStyle w:val="2Char1Char"/>
          <w:rFonts w:ascii="Times New Roman" w:eastAsia="宋体" w:hAnsi="Times New Roman" w:cs="Times New Roman"/>
          <w:b w:val="0"/>
          <w:sz w:val="24"/>
          <w:szCs w:val="24"/>
        </w:rPr>
      </w:pPr>
      <w:bookmarkStart w:id="836" w:name="_Toc334080869"/>
      <w:bookmarkStart w:id="837" w:name="_Toc22446"/>
      <w:bookmarkStart w:id="838" w:name="_Toc465677042"/>
      <w:bookmarkStart w:id="839" w:name="_Toc333230051"/>
      <w:bookmarkStart w:id="840" w:name="_Toc334014227"/>
      <w:bookmarkStart w:id="841" w:name="_Toc332293036"/>
      <w:bookmarkStart w:id="842" w:name="_Toc270622948"/>
      <w:bookmarkStart w:id="843" w:name="_Toc302936861"/>
      <w:bookmarkStart w:id="844" w:name="_Toc274984946"/>
      <w:r>
        <w:rPr>
          <w:rStyle w:val="2Char1Char"/>
          <w:rFonts w:ascii="Times New Roman" w:eastAsia="宋体" w:hAnsi="Times New Roman" w:cs="Times New Roman"/>
          <w:b w:val="0"/>
          <w:sz w:val="24"/>
          <w:szCs w:val="24"/>
        </w:rPr>
        <w:t>6.2.1</w:t>
      </w:r>
      <w:r>
        <w:rPr>
          <w:rStyle w:val="2Char1Char"/>
          <w:rFonts w:ascii="Times New Roman" w:eastAsia="宋体" w:hAnsi="宋体" w:cs="Times New Roman"/>
          <w:b w:val="0"/>
          <w:sz w:val="24"/>
          <w:szCs w:val="24"/>
        </w:rPr>
        <w:t>危险化学品识别</w:t>
      </w:r>
      <w:bookmarkEnd w:id="836"/>
      <w:bookmarkEnd w:id="837"/>
      <w:bookmarkEnd w:id="838"/>
      <w:bookmarkEnd w:id="839"/>
      <w:bookmarkEnd w:id="840"/>
      <w:bookmarkEnd w:id="841"/>
    </w:p>
    <w:p w:rsidR="00475650" w:rsidRDefault="00475650">
      <w:pPr>
        <w:snapToGrid w:val="0"/>
        <w:spacing w:line="360" w:lineRule="auto"/>
        <w:ind w:firstLineChars="200" w:firstLine="480"/>
        <w:rPr>
          <w:sz w:val="24"/>
        </w:rPr>
      </w:pPr>
      <w:r>
        <w:rPr>
          <w:rFonts w:hAnsi="宋体"/>
          <w:sz w:val="24"/>
        </w:rPr>
        <w:t>根据《危险化学品名录》（</w:t>
      </w:r>
      <w:r>
        <w:rPr>
          <w:sz w:val="24"/>
        </w:rPr>
        <w:t>2012</w:t>
      </w:r>
      <w:r>
        <w:rPr>
          <w:rFonts w:hAnsi="宋体"/>
          <w:sz w:val="24"/>
        </w:rPr>
        <w:t>版）、本项目可行性研究报告、安全评价报告及相关资料，确定本项目风险识别范围如下：</w:t>
      </w:r>
    </w:p>
    <w:p w:rsidR="00475650" w:rsidRDefault="00475650">
      <w:pPr>
        <w:snapToGrid w:val="0"/>
        <w:spacing w:line="360" w:lineRule="auto"/>
        <w:ind w:firstLineChars="200" w:firstLine="480"/>
        <w:rPr>
          <w:sz w:val="24"/>
        </w:rPr>
      </w:pPr>
      <w:r>
        <w:rPr>
          <w:sz w:val="24"/>
        </w:rPr>
        <w:t>1</w:t>
      </w:r>
      <w:r>
        <w:rPr>
          <w:rFonts w:hAnsi="宋体"/>
          <w:sz w:val="24"/>
        </w:rPr>
        <w:t>、物质风险识别：主要有亚硝酸钠、盐酸、片碱</w:t>
      </w:r>
      <w:r>
        <w:rPr>
          <w:rFonts w:hAnsi="宋体" w:hint="eastAsia"/>
          <w:sz w:val="24"/>
        </w:rPr>
        <w:t>、γ酸、尿素、乙酸酐</w:t>
      </w:r>
      <w:r>
        <w:rPr>
          <w:rFonts w:hAnsi="宋体"/>
          <w:sz w:val="24"/>
        </w:rPr>
        <w:t>等。</w:t>
      </w:r>
    </w:p>
    <w:p w:rsidR="00475650" w:rsidRDefault="00475650">
      <w:pPr>
        <w:snapToGrid w:val="0"/>
        <w:spacing w:line="360" w:lineRule="auto"/>
        <w:ind w:firstLineChars="200" w:firstLine="480"/>
        <w:rPr>
          <w:sz w:val="24"/>
        </w:rPr>
      </w:pPr>
      <w:r>
        <w:rPr>
          <w:sz w:val="24"/>
        </w:rPr>
        <w:t>2</w:t>
      </w:r>
      <w:r>
        <w:rPr>
          <w:rFonts w:hAnsi="宋体"/>
          <w:sz w:val="24"/>
        </w:rPr>
        <w:t>、生产与储存设施风险识别：盐酸中间罐</w:t>
      </w:r>
      <w:r>
        <w:rPr>
          <w:rFonts w:hAnsi="宋体" w:hint="eastAsia"/>
          <w:sz w:val="24"/>
        </w:rPr>
        <w:t>、乙酸酐储存区</w:t>
      </w:r>
      <w:r>
        <w:rPr>
          <w:rFonts w:hAnsi="宋体"/>
          <w:sz w:val="24"/>
        </w:rPr>
        <w:t>等；</w:t>
      </w:r>
    </w:p>
    <w:p w:rsidR="00475650" w:rsidRDefault="00475650">
      <w:pPr>
        <w:snapToGrid w:val="0"/>
        <w:spacing w:line="360" w:lineRule="auto"/>
        <w:ind w:firstLineChars="200" w:firstLine="480"/>
        <w:rPr>
          <w:sz w:val="24"/>
        </w:rPr>
      </w:pPr>
      <w:r>
        <w:rPr>
          <w:sz w:val="24"/>
        </w:rPr>
        <w:t>3</w:t>
      </w:r>
      <w:r>
        <w:rPr>
          <w:rFonts w:hAnsi="宋体"/>
          <w:sz w:val="24"/>
        </w:rPr>
        <w:t>、物料运输风险识别：主要是盐酸等液体在运输过程中产生的泄漏风险，本项目原料由原料供应方负责输送，产品由产品购买方负责输送，因此其运输风险不在本项目的评价范围之类，本报告对运输风险仅提出相应的防范措施。</w:t>
      </w:r>
    </w:p>
    <w:p w:rsidR="00475650" w:rsidRDefault="00475650">
      <w:pPr>
        <w:pStyle w:val="h"/>
        <w:snapToGrid w:val="0"/>
        <w:spacing w:before="0" w:after="0" w:line="360" w:lineRule="auto"/>
        <w:ind w:firstLine="0"/>
        <w:outlineLvl w:val="0"/>
        <w:rPr>
          <w:rStyle w:val="2Char1Char"/>
          <w:rFonts w:ascii="Times New Roman" w:eastAsia="宋体" w:hAnsi="Times New Roman" w:cs="Times New Roman"/>
          <w:b w:val="0"/>
          <w:sz w:val="24"/>
          <w:szCs w:val="24"/>
        </w:rPr>
      </w:pPr>
      <w:bookmarkStart w:id="845" w:name="_Toc332293037"/>
      <w:bookmarkStart w:id="846" w:name="_Toc334080870"/>
      <w:bookmarkStart w:id="847" w:name="_Toc334014228"/>
      <w:bookmarkStart w:id="848" w:name="_Toc333230052"/>
      <w:bookmarkStart w:id="849" w:name="_Toc465677043"/>
      <w:bookmarkStart w:id="850" w:name="_Toc7335"/>
      <w:r>
        <w:rPr>
          <w:rStyle w:val="2Char1Char"/>
          <w:rFonts w:ascii="Times New Roman" w:eastAsia="宋体" w:hAnsi="Times New Roman" w:cs="Times New Roman"/>
          <w:b w:val="0"/>
          <w:sz w:val="24"/>
          <w:szCs w:val="24"/>
        </w:rPr>
        <w:t>6.2.2</w:t>
      </w:r>
      <w:r>
        <w:rPr>
          <w:rStyle w:val="2Char1Char"/>
          <w:rFonts w:ascii="Times New Roman" w:eastAsia="宋体" w:hAnsi="宋体" w:cs="Times New Roman"/>
          <w:b w:val="0"/>
          <w:sz w:val="24"/>
          <w:szCs w:val="24"/>
        </w:rPr>
        <w:t>物质危险性识别</w:t>
      </w:r>
      <w:bookmarkEnd w:id="842"/>
      <w:bookmarkEnd w:id="843"/>
      <w:bookmarkEnd w:id="844"/>
      <w:bookmarkEnd w:id="845"/>
      <w:bookmarkEnd w:id="846"/>
      <w:bookmarkEnd w:id="847"/>
      <w:bookmarkEnd w:id="848"/>
      <w:bookmarkEnd w:id="849"/>
      <w:bookmarkEnd w:id="850"/>
    </w:p>
    <w:p w:rsidR="00475650" w:rsidRDefault="00475650">
      <w:pPr>
        <w:snapToGrid w:val="0"/>
        <w:spacing w:line="360" w:lineRule="auto"/>
        <w:ind w:firstLineChars="200" w:firstLine="480"/>
        <w:rPr>
          <w:sz w:val="24"/>
        </w:rPr>
      </w:pPr>
      <w:r>
        <w:rPr>
          <w:rFonts w:hAnsi="宋体"/>
          <w:sz w:val="24"/>
        </w:rPr>
        <w:t>本项目相关物质的理化性质及毒性数据见</w:t>
      </w:r>
      <w:r>
        <w:rPr>
          <w:sz w:val="24"/>
        </w:rPr>
        <w:t>6.2-1</w:t>
      </w:r>
      <w:r>
        <w:rPr>
          <w:rFonts w:hAnsi="宋体"/>
          <w:sz w:val="24"/>
        </w:rPr>
        <w:t>。</w:t>
      </w:r>
    </w:p>
    <w:p w:rsidR="00475650" w:rsidRDefault="00475650">
      <w:pPr>
        <w:spacing w:line="360" w:lineRule="auto"/>
        <w:jc w:val="center"/>
        <w:rPr>
          <w:sz w:val="24"/>
        </w:rPr>
      </w:pPr>
      <w:r>
        <w:rPr>
          <w:rFonts w:hAnsi="宋体"/>
          <w:sz w:val="24"/>
        </w:rPr>
        <w:lastRenderedPageBreak/>
        <w:t>表</w:t>
      </w:r>
      <w:r>
        <w:rPr>
          <w:sz w:val="24"/>
        </w:rPr>
        <w:t>6.2-1</w:t>
      </w:r>
      <w:r>
        <w:rPr>
          <w:rFonts w:hAnsi="宋体"/>
          <w:sz w:val="24"/>
        </w:rPr>
        <w:t>（</w:t>
      </w:r>
      <w:r>
        <w:rPr>
          <w:sz w:val="24"/>
        </w:rPr>
        <w:t>1</w:t>
      </w:r>
      <w:r>
        <w:rPr>
          <w:rFonts w:hAnsi="宋体"/>
          <w:sz w:val="24"/>
        </w:rPr>
        <w:t>）</w:t>
      </w:r>
      <w:r>
        <w:rPr>
          <w:sz w:val="24"/>
        </w:rPr>
        <w:t xml:space="preserve"> </w:t>
      </w:r>
      <w:r>
        <w:rPr>
          <w:rFonts w:hAnsi="宋体"/>
          <w:sz w:val="24"/>
        </w:rPr>
        <w:t>盐酸理化性质及毒性数据表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658"/>
        <w:gridCol w:w="777"/>
        <w:gridCol w:w="124"/>
        <w:gridCol w:w="1313"/>
        <w:gridCol w:w="55"/>
        <w:gridCol w:w="1829"/>
        <w:gridCol w:w="789"/>
        <w:gridCol w:w="538"/>
        <w:gridCol w:w="816"/>
        <w:gridCol w:w="2173"/>
      </w:tblGrid>
      <w:tr w:rsidR="00475650">
        <w:trPr>
          <w:jc w:val="center"/>
        </w:trPr>
        <w:tc>
          <w:tcPr>
            <w:tcW w:w="658" w:type="dxa"/>
            <w:vMerge w:val="restart"/>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标识</w:t>
            </w:r>
          </w:p>
        </w:tc>
        <w:tc>
          <w:tcPr>
            <w:tcW w:w="2269" w:type="dxa"/>
            <w:gridSpan w:val="4"/>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中文名：盐酸；氢氯酸</w:t>
            </w:r>
          </w:p>
        </w:tc>
        <w:tc>
          <w:tcPr>
            <w:tcW w:w="1829" w:type="dxa"/>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hAnsi="Times New Roman" w:cs="Times New Roman"/>
                <w:color w:val="auto"/>
                <w:sz w:val="21"/>
                <w:szCs w:val="21"/>
              </w:rPr>
              <w:t>CAS</w:t>
            </w:r>
            <w:r>
              <w:rPr>
                <w:rFonts w:ascii="Times New Roman" w:cs="Times New Roman"/>
                <w:color w:val="auto"/>
                <w:sz w:val="21"/>
                <w:szCs w:val="21"/>
              </w:rPr>
              <w:t>号：</w:t>
            </w:r>
            <w:r>
              <w:rPr>
                <w:rFonts w:ascii="Times New Roman" w:hAnsi="Times New Roman" w:cs="Times New Roman"/>
                <w:color w:val="auto"/>
                <w:sz w:val="21"/>
                <w:szCs w:val="21"/>
              </w:rPr>
              <w:t>7647-01-0</w:t>
            </w:r>
          </w:p>
        </w:tc>
        <w:tc>
          <w:tcPr>
            <w:tcW w:w="1327" w:type="dxa"/>
            <w:gridSpan w:val="2"/>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分子式：</w:t>
            </w:r>
            <w:r>
              <w:rPr>
                <w:rFonts w:ascii="Times New Roman" w:hAnsi="Times New Roman" w:cs="Times New Roman"/>
                <w:color w:val="auto"/>
                <w:sz w:val="21"/>
                <w:szCs w:val="21"/>
              </w:rPr>
              <w:t>HCl</w:t>
            </w:r>
          </w:p>
        </w:tc>
        <w:tc>
          <w:tcPr>
            <w:tcW w:w="2989" w:type="dxa"/>
            <w:gridSpan w:val="2"/>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危险性类别：第</w:t>
            </w:r>
            <w:r>
              <w:rPr>
                <w:rFonts w:ascii="Times New Roman" w:hAnsi="Times New Roman" w:cs="Times New Roman"/>
                <w:color w:val="auto"/>
                <w:sz w:val="21"/>
                <w:szCs w:val="21"/>
              </w:rPr>
              <w:t>8.1</w:t>
            </w:r>
            <w:r>
              <w:rPr>
                <w:rFonts w:ascii="Times New Roman" w:cs="Times New Roman"/>
                <w:color w:val="auto"/>
                <w:sz w:val="21"/>
                <w:szCs w:val="21"/>
              </w:rPr>
              <w:t>类酸性腐蚀品</w:t>
            </w:r>
          </w:p>
        </w:tc>
      </w:tr>
      <w:tr w:rsidR="00475650">
        <w:trPr>
          <w:jc w:val="center"/>
        </w:trPr>
        <w:tc>
          <w:tcPr>
            <w:tcW w:w="658" w:type="dxa"/>
            <w:vMerge/>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p>
        </w:tc>
        <w:tc>
          <w:tcPr>
            <w:tcW w:w="2269" w:type="dxa"/>
            <w:gridSpan w:val="4"/>
            <w:vMerge w:val="restart"/>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英文名：</w:t>
            </w:r>
            <w:r>
              <w:rPr>
                <w:rFonts w:ascii="Times New Roman" w:hAnsi="Times New Roman" w:cs="Times New Roman"/>
                <w:color w:val="auto"/>
                <w:sz w:val="21"/>
                <w:szCs w:val="21"/>
              </w:rPr>
              <w:t>Hydrochloric acid</w:t>
            </w:r>
          </w:p>
        </w:tc>
        <w:tc>
          <w:tcPr>
            <w:tcW w:w="3156" w:type="dxa"/>
            <w:gridSpan w:val="3"/>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危险货物编号：</w:t>
            </w:r>
            <w:r>
              <w:rPr>
                <w:rFonts w:ascii="Times New Roman" w:hAnsi="Times New Roman" w:cs="Times New Roman"/>
                <w:color w:val="auto"/>
                <w:sz w:val="21"/>
                <w:szCs w:val="21"/>
              </w:rPr>
              <w:t>81013</w:t>
            </w:r>
          </w:p>
        </w:tc>
        <w:tc>
          <w:tcPr>
            <w:tcW w:w="2989" w:type="dxa"/>
            <w:gridSpan w:val="2"/>
            <w:vMerge w:val="restart"/>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化学类别：无机酸</w:t>
            </w:r>
          </w:p>
        </w:tc>
      </w:tr>
      <w:tr w:rsidR="00475650">
        <w:trPr>
          <w:jc w:val="center"/>
        </w:trPr>
        <w:tc>
          <w:tcPr>
            <w:tcW w:w="658" w:type="dxa"/>
            <w:vMerge/>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p>
        </w:tc>
        <w:tc>
          <w:tcPr>
            <w:tcW w:w="2269" w:type="dxa"/>
            <w:gridSpan w:val="4"/>
            <w:vMerge/>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p>
        </w:tc>
        <w:tc>
          <w:tcPr>
            <w:tcW w:w="3156" w:type="dxa"/>
            <w:gridSpan w:val="3"/>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相对分子质量：</w:t>
            </w:r>
            <w:r>
              <w:rPr>
                <w:rFonts w:ascii="Times New Roman" w:hAnsi="Times New Roman" w:cs="Times New Roman"/>
                <w:color w:val="auto"/>
                <w:sz w:val="21"/>
                <w:szCs w:val="21"/>
              </w:rPr>
              <w:t>36.46</w:t>
            </w:r>
          </w:p>
        </w:tc>
        <w:tc>
          <w:tcPr>
            <w:tcW w:w="2989" w:type="dxa"/>
            <w:gridSpan w:val="2"/>
            <w:vMerge/>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p>
        </w:tc>
      </w:tr>
      <w:tr w:rsidR="00475650">
        <w:trPr>
          <w:jc w:val="center"/>
        </w:trPr>
        <w:tc>
          <w:tcPr>
            <w:tcW w:w="658" w:type="dxa"/>
            <w:vMerge w:val="restart"/>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理化性质</w:t>
            </w:r>
          </w:p>
        </w:tc>
        <w:tc>
          <w:tcPr>
            <w:tcW w:w="2269" w:type="dxa"/>
            <w:gridSpan w:val="4"/>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外观与性状</w:t>
            </w:r>
          </w:p>
        </w:tc>
        <w:tc>
          <w:tcPr>
            <w:tcW w:w="6145" w:type="dxa"/>
            <w:gridSpan w:val="5"/>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无色或微黄色发烟液体，有刺鼻的酸味。</w:t>
            </w:r>
          </w:p>
        </w:tc>
      </w:tr>
      <w:tr w:rsidR="00475650">
        <w:trPr>
          <w:jc w:val="center"/>
        </w:trPr>
        <w:tc>
          <w:tcPr>
            <w:tcW w:w="658" w:type="dxa"/>
            <w:vMerge/>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p>
        </w:tc>
        <w:tc>
          <w:tcPr>
            <w:tcW w:w="2269" w:type="dxa"/>
            <w:gridSpan w:val="4"/>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熔点（</w:t>
            </w:r>
            <w:r>
              <w:rPr>
                <w:rFonts w:ascii="宋体" w:cs="Times New Roman"/>
                <w:color w:val="auto"/>
                <w:sz w:val="21"/>
                <w:szCs w:val="21"/>
              </w:rPr>
              <w:t>℃</w:t>
            </w:r>
            <w:r>
              <w:rPr>
                <w:rFonts w:ascii="Times New Roman" w:cs="Times New Roman"/>
                <w:color w:val="auto"/>
                <w:sz w:val="21"/>
                <w:szCs w:val="21"/>
              </w:rPr>
              <w:t>）</w:t>
            </w:r>
          </w:p>
        </w:tc>
        <w:tc>
          <w:tcPr>
            <w:tcW w:w="1829" w:type="dxa"/>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hAnsi="Times New Roman" w:cs="Times New Roman"/>
                <w:color w:val="auto"/>
                <w:sz w:val="21"/>
                <w:szCs w:val="21"/>
              </w:rPr>
              <w:t>-114.8</w:t>
            </w:r>
            <w:r>
              <w:rPr>
                <w:rFonts w:ascii="Times New Roman" w:cs="Times New Roman"/>
                <w:color w:val="auto"/>
                <w:sz w:val="21"/>
                <w:szCs w:val="21"/>
              </w:rPr>
              <w:t>（纯）</w:t>
            </w:r>
          </w:p>
        </w:tc>
        <w:tc>
          <w:tcPr>
            <w:tcW w:w="2143" w:type="dxa"/>
            <w:gridSpan w:val="3"/>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相对密度（水</w:t>
            </w:r>
            <w:r>
              <w:rPr>
                <w:rFonts w:ascii="Times New Roman" w:hAnsi="Times New Roman" w:cs="Times New Roman"/>
                <w:color w:val="auto"/>
                <w:sz w:val="21"/>
                <w:szCs w:val="21"/>
              </w:rPr>
              <w:t>=1</w:t>
            </w:r>
            <w:r>
              <w:rPr>
                <w:rFonts w:ascii="Times New Roman" w:cs="Times New Roman"/>
                <w:color w:val="auto"/>
                <w:sz w:val="21"/>
                <w:szCs w:val="21"/>
              </w:rPr>
              <w:t>）</w:t>
            </w:r>
          </w:p>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相对密度（空气</w:t>
            </w:r>
            <w:r>
              <w:rPr>
                <w:rFonts w:ascii="Times New Roman" w:hAnsi="Times New Roman" w:cs="Times New Roman"/>
                <w:color w:val="auto"/>
                <w:sz w:val="21"/>
                <w:szCs w:val="21"/>
              </w:rPr>
              <w:t>=1</w:t>
            </w:r>
            <w:r>
              <w:rPr>
                <w:rFonts w:ascii="Times New Roman" w:cs="Times New Roman"/>
                <w:color w:val="auto"/>
                <w:sz w:val="21"/>
                <w:szCs w:val="21"/>
              </w:rPr>
              <w:t>）</w:t>
            </w:r>
          </w:p>
        </w:tc>
        <w:tc>
          <w:tcPr>
            <w:tcW w:w="2173" w:type="dxa"/>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hAnsi="Times New Roman" w:cs="Times New Roman"/>
                <w:color w:val="auto"/>
                <w:sz w:val="21"/>
                <w:szCs w:val="21"/>
              </w:rPr>
              <w:t>1.20</w:t>
            </w:r>
          </w:p>
          <w:p w:rsidR="00475650" w:rsidRDefault="00475650">
            <w:pPr>
              <w:pStyle w:val="affffffff7"/>
              <w:ind w:firstLineChars="0" w:firstLine="0"/>
              <w:rPr>
                <w:rFonts w:ascii="Times New Roman" w:hAnsi="Times New Roman" w:cs="Times New Roman"/>
                <w:color w:val="auto"/>
                <w:sz w:val="21"/>
                <w:szCs w:val="21"/>
              </w:rPr>
            </w:pPr>
            <w:r>
              <w:rPr>
                <w:rFonts w:ascii="Times New Roman" w:hAnsi="Times New Roman" w:cs="Times New Roman"/>
                <w:color w:val="auto"/>
                <w:sz w:val="21"/>
                <w:szCs w:val="21"/>
              </w:rPr>
              <w:t>1.26</w:t>
            </w:r>
          </w:p>
        </w:tc>
      </w:tr>
      <w:tr w:rsidR="00475650">
        <w:trPr>
          <w:jc w:val="center"/>
        </w:trPr>
        <w:tc>
          <w:tcPr>
            <w:tcW w:w="658" w:type="dxa"/>
            <w:vMerge/>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p>
        </w:tc>
        <w:tc>
          <w:tcPr>
            <w:tcW w:w="2269" w:type="dxa"/>
            <w:gridSpan w:val="4"/>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沸点（</w:t>
            </w:r>
            <w:r>
              <w:rPr>
                <w:rFonts w:ascii="宋体" w:cs="Times New Roman"/>
                <w:color w:val="auto"/>
                <w:sz w:val="21"/>
                <w:szCs w:val="21"/>
              </w:rPr>
              <w:t>℃</w:t>
            </w:r>
            <w:r>
              <w:rPr>
                <w:rFonts w:ascii="Times New Roman" w:cs="Times New Roman"/>
                <w:color w:val="auto"/>
                <w:sz w:val="21"/>
                <w:szCs w:val="21"/>
              </w:rPr>
              <w:t>）</w:t>
            </w:r>
          </w:p>
        </w:tc>
        <w:tc>
          <w:tcPr>
            <w:tcW w:w="1829" w:type="dxa"/>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hAnsi="Times New Roman" w:cs="Times New Roman"/>
                <w:color w:val="auto"/>
                <w:sz w:val="21"/>
                <w:szCs w:val="21"/>
              </w:rPr>
              <w:t>108.6</w:t>
            </w:r>
            <w:r>
              <w:rPr>
                <w:rFonts w:ascii="Times New Roman" w:cs="Times New Roman"/>
                <w:color w:val="auto"/>
                <w:sz w:val="21"/>
                <w:szCs w:val="21"/>
              </w:rPr>
              <w:t>（</w:t>
            </w:r>
            <w:r>
              <w:rPr>
                <w:rFonts w:ascii="Times New Roman" w:hAnsi="Times New Roman" w:cs="Times New Roman"/>
                <w:color w:val="auto"/>
                <w:sz w:val="21"/>
                <w:szCs w:val="21"/>
              </w:rPr>
              <w:t>20%</w:t>
            </w:r>
            <w:r>
              <w:rPr>
                <w:rFonts w:ascii="Times New Roman" w:cs="Times New Roman"/>
                <w:color w:val="auto"/>
                <w:sz w:val="21"/>
                <w:szCs w:val="21"/>
              </w:rPr>
              <w:t>）</w:t>
            </w:r>
          </w:p>
        </w:tc>
        <w:tc>
          <w:tcPr>
            <w:tcW w:w="2143" w:type="dxa"/>
            <w:gridSpan w:val="3"/>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饱和蒸汽压（</w:t>
            </w:r>
            <w:r>
              <w:rPr>
                <w:rFonts w:ascii="Times New Roman" w:hAnsi="Times New Roman" w:cs="Times New Roman"/>
                <w:color w:val="auto"/>
                <w:sz w:val="21"/>
                <w:szCs w:val="21"/>
              </w:rPr>
              <w:t>kPa</w:t>
            </w:r>
            <w:r>
              <w:rPr>
                <w:rFonts w:ascii="Times New Roman" w:cs="Times New Roman"/>
                <w:color w:val="auto"/>
                <w:sz w:val="21"/>
                <w:szCs w:val="21"/>
              </w:rPr>
              <w:t>）</w:t>
            </w:r>
          </w:p>
        </w:tc>
        <w:tc>
          <w:tcPr>
            <w:tcW w:w="2173" w:type="dxa"/>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hAnsi="Times New Roman" w:cs="Times New Roman"/>
                <w:color w:val="auto"/>
                <w:sz w:val="21"/>
                <w:szCs w:val="21"/>
              </w:rPr>
              <w:t>30.66(21</w:t>
            </w:r>
            <w:r>
              <w:rPr>
                <w:rFonts w:ascii="宋体" w:cs="Times New Roman"/>
                <w:color w:val="auto"/>
                <w:sz w:val="21"/>
                <w:szCs w:val="21"/>
              </w:rPr>
              <w:t>℃</w:t>
            </w:r>
            <w:r>
              <w:rPr>
                <w:rFonts w:ascii="Times New Roman" w:hAnsi="Times New Roman" w:cs="Times New Roman"/>
                <w:color w:val="auto"/>
                <w:sz w:val="21"/>
                <w:szCs w:val="21"/>
              </w:rPr>
              <w:t>)</w:t>
            </w:r>
          </w:p>
        </w:tc>
      </w:tr>
      <w:tr w:rsidR="00475650">
        <w:trPr>
          <w:jc w:val="center"/>
        </w:trPr>
        <w:tc>
          <w:tcPr>
            <w:tcW w:w="658" w:type="dxa"/>
            <w:vMerge/>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p>
        </w:tc>
        <w:tc>
          <w:tcPr>
            <w:tcW w:w="2269" w:type="dxa"/>
            <w:gridSpan w:val="4"/>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溶解性</w:t>
            </w:r>
          </w:p>
        </w:tc>
        <w:tc>
          <w:tcPr>
            <w:tcW w:w="6145" w:type="dxa"/>
            <w:gridSpan w:val="5"/>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与水混溶，溶于碱液。</w:t>
            </w:r>
          </w:p>
        </w:tc>
      </w:tr>
      <w:tr w:rsidR="00475650">
        <w:trPr>
          <w:jc w:val="center"/>
        </w:trPr>
        <w:tc>
          <w:tcPr>
            <w:tcW w:w="658" w:type="dxa"/>
            <w:vMerge w:val="restart"/>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毒性及健康危害</w:t>
            </w:r>
          </w:p>
        </w:tc>
        <w:tc>
          <w:tcPr>
            <w:tcW w:w="2269" w:type="dxa"/>
            <w:gridSpan w:val="4"/>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侵入途径</w:t>
            </w:r>
          </w:p>
        </w:tc>
        <w:tc>
          <w:tcPr>
            <w:tcW w:w="6145" w:type="dxa"/>
            <w:gridSpan w:val="5"/>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吸入、食入。</w:t>
            </w:r>
          </w:p>
        </w:tc>
      </w:tr>
      <w:tr w:rsidR="00475650">
        <w:trPr>
          <w:jc w:val="center"/>
        </w:trPr>
        <w:tc>
          <w:tcPr>
            <w:tcW w:w="658" w:type="dxa"/>
            <w:vMerge/>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p>
        </w:tc>
        <w:tc>
          <w:tcPr>
            <w:tcW w:w="901" w:type="dxa"/>
            <w:gridSpan w:val="2"/>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健康危害</w:t>
            </w:r>
          </w:p>
        </w:tc>
        <w:tc>
          <w:tcPr>
            <w:tcW w:w="7513" w:type="dxa"/>
            <w:gridSpan w:val="7"/>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接触其蒸汽或烟雾，可引起急性中毒，出现眼结膜炎，鼻及口腔粘膜有烧灼感，鼻衄，齿龈出血，气管炎等。误服可引起消化道灼伤、溃疡形成，甚至有可能引起胃穿孔、腹膜炎等。眼和皮肤接触可至灼伤。</w:t>
            </w:r>
          </w:p>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慢性影响：长期接触，引起慢性鼻炎、慢性支气管炎、牙齿酸蚀症及皮肤损害。</w:t>
            </w:r>
          </w:p>
        </w:tc>
      </w:tr>
      <w:tr w:rsidR="00475650">
        <w:trPr>
          <w:jc w:val="center"/>
        </w:trPr>
        <w:tc>
          <w:tcPr>
            <w:tcW w:w="658" w:type="dxa"/>
            <w:vMerge/>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p>
        </w:tc>
        <w:tc>
          <w:tcPr>
            <w:tcW w:w="2214" w:type="dxa"/>
            <w:gridSpan w:val="3"/>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燃烧性</w:t>
            </w:r>
          </w:p>
        </w:tc>
        <w:tc>
          <w:tcPr>
            <w:tcW w:w="1884" w:type="dxa"/>
            <w:gridSpan w:val="2"/>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不燃</w:t>
            </w:r>
          </w:p>
        </w:tc>
        <w:tc>
          <w:tcPr>
            <w:tcW w:w="2143" w:type="dxa"/>
            <w:gridSpan w:val="3"/>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闪点（</w:t>
            </w:r>
            <w:r>
              <w:rPr>
                <w:rFonts w:ascii="宋体" w:cs="Times New Roman"/>
                <w:color w:val="auto"/>
                <w:sz w:val="21"/>
                <w:szCs w:val="21"/>
              </w:rPr>
              <w:t>℃</w:t>
            </w:r>
            <w:r>
              <w:rPr>
                <w:rFonts w:ascii="Times New Roman" w:cs="Times New Roman"/>
                <w:color w:val="auto"/>
                <w:sz w:val="21"/>
                <w:szCs w:val="21"/>
              </w:rPr>
              <w:t>）</w:t>
            </w:r>
          </w:p>
        </w:tc>
        <w:tc>
          <w:tcPr>
            <w:tcW w:w="2173" w:type="dxa"/>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无意义</w:t>
            </w:r>
          </w:p>
        </w:tc>
      </w:tr>
      <w:tr w:rsidR="00475650">
        <w:trPr>
          <w:jc w:val="center"/>
        </w:trPr>
        <w:tc>
          <w:tcPr>
            <w:tcW w:w="658" w:type="dxa"/>
            <w:vMerge/>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p>
        </w:tc>
        <w:tc>
          <w:tcPr>
            <w:tcW w:w="2214" w:type="dxa"/>
            <w:gridSpan w:val="3"/>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稳定性</w:t>
            </w:r>
          </w:p>
        </w:tc>
        <w:tc>
          <w:tcPr>
            <w:tcW w:w="1884" w:type="dxa"/>
            <w:gridSpan w:val="2"/>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稳定</w:t>
            </w:r>
          </w:p>
        </w:tc>
        <w:tc>
          <w:tcPr>
            <w:tcW w:w="2143" w:type="dxa"/>
            <w:gridSpan w:val="3"/>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聚合危害</w:t>
            </w:r>
          </w:p>
        </w:tc>
        <w:tc>
          <w:tcPr>
            <w:tcW w:w="2173" w:type="dxa"/>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不聚合</w:t>
            </w:r>
          </w:p>
        </w:tc>
      </w:tr>
      <w:tr w:rsidR="00475650">
        <w:trPr>
          <w:jc w:val="center"/>
        </w:trPr>
        <w:tc>
          <w:tcPr>
            <w:tcW w:w="658" w:type="dxa"/>
            <w:vMerge/>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p>
        </w:tc>
        <w:tc>
          <w:tcPr>
            <w:tcW w:w="2214" w:type="dxa"/>
            <w:gridSpan w:val="3"/>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燃烧分解产物</w:t>
            </w:r>
          </w:p>
        </w:tc>
        <w:tc>
          <w:tcPr>
            <w:tcW w:w="1884" w:type="dxa"/>
            <w:gridSpan w:val="2"/>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氯化氢</w:t>
            </w:r>
          </w:p>
        </w:tc>
        <w:tc>
          <w:tcPr>
            <w:tcW w:w="2143" w:type="dxa"/>
            <w:gridSpan w:val="3"/>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爆炸极限</w:t>
            </w:r>
            <w:r>
              <w:rPr>
                <w:rFonts w:ascii="Times New Roman" w:hAnsi="Times New Roman" w:cs="Times New Roman"/>
                <w:color w:val="auto"/>
                <w:sz w:val="21"/>
                <w:szCs w:val="21"/>
              </w:rPr>
              <w:t>%</w:t>
            </w:r>
          </w:p>
        </w:tc>
        <w:tc>
          <w:tcPr>
            <w:tcW w:w="2173" w:type="dxa"/>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无意义</w:t>
            </w:r>
          </w:p>
        </w:tc>
      </w:tr>
      <w:tr w:rsidR="00475650">
        <w:trPr>
          <w:jc w:val="center"/>
        </w:trPr>
        <w:tc>
          <w:tcPr>
            <w:tcW w:w="658" w:type="dxa"/>
            <w:vMerge/>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p>
        </w:tc>
        <w:tc>
          <w:tcPr>
            <w:tcW w:w="2214" w:type="dxa"/>
            <w:gridSpan w:val="3"/>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侵入途径：吸入</w:t>
            </w:r>
          </w:p>
        </w:tc>
        <w:tc>
          <w:tcPr>
            <w:tcW w:w="1884" w:type="dxa"/>
            <w:gridSpan w:val="2"/>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急性毒性</w:t>
            </w:r>
          </w:p>
        </w:tc>
        <w:tc>
          <w:tcPr>
            <w:tcW w:w="4316" w:type="dxa"/>
            <w:gridSpan w:val="4"/>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hAnsi="Times New Roman" w:cs="Times New Roman"/>
                <w:color w:val="auto"/>
                <w:sz w:val="21"/>
                <w:szCs w:val="21"/>
              </w:rPr>
              <w:t>LD</w:t>
            </w:r>
            <w:r>
              <w:rPr>
                <w:rFonts w:ascii="Times New Roman" w:hAnsi="Times New Roman" w:cs="Times New Roman"/>
                <w:color w:val="auto"/>
                <w:sz w:val="21"/>
                <w:szCs w:val="21"/>
                <w:vertAlign w:val="subscript"/>
              </w:rPr>
              <w:t>50</w:t>
            </w:r>
            <w:r>
              <w:rPr>
                <w:rFonts w:ascii="Times New Roman" w:hAnsi="Times New Roman" w:cs="Times New Roman"/>
                <w:color w:val="auto"/>
                <w:sz w:val="21"/>
                <w:szCs w:val="21"/>
              </w:rPr>
              <w:t>400mg/kg(</w:t>
            </w:r>
            <w:r>
              <w:rPr>
                <w:rFonts w:ascii="Times New Roman" w:cs="Times New Roman"/>
                <w:color w:val="auto"/>
                <w:sz w:val="21"/>
                <w:szCs w:val="21"/>
              </w:rPr>
              <w:t>兔经口</w:t>
            </w:r>
            <w:r>
              <w:rPr>
                <w:rFonts w:ascii="Times New Roman" w:hAnsi="Times New Roman" w:cs="Times New Roman"/>
                <w:color w:val="auto"/>
                <w:sz w:val="21"/>
                <w:szCs w:val="21"/>
              </w:rPr>
              <w:t>)</w:t>
            </w:r>
            <w:r>
              <w:rPr>
                <w:rFonts w:ascii="Times New Roman" w:cs="Times New Roman"/>
                <w:color w:val="auto"/>
                <w:sz w:val="21"/>
                <w:szCs w:val="21"/>
              </w:rPr>
              <w:t>；</w:t>
            </w:r>
            <w:r>
              <w:rPr>
                <w:rFonts w:ascii="Times New Roman" w:hAnsi="Times New Roman" w:cs="Times New Roman"/>
                <w:color w:val="auto"/>
                <w:sz w:val="21"/>
                <w:szCs w:val="21"/>
              </w:rPr>
              <w:t>LC</w:t>
            </w:r>
            <w:r>
              <w:rPr>
                <w:rFonts w:ascii="Times New Roman" w:hAnsi="Times New Roman" w:cs="Times New Roman"/>
                <w:color w:val="auto"/>
                <w:sz w:val="21"/>
                <w:szCs w:val="21"/>
                <w:vertAlign w:val="subscript"/>
              </w:rPr>
              <w:t>50</w:t>
            </w:r>
            <w:r>
              <w:rPr>
                <w:rFonts w:ascii="Times New Roman" w:hAnsi="Times New Roman" w:cs="Times New Roman"/>
                <w:color w:val="auto"/>
                <w:sz w:val="21"/>
                <w:szCs w:val="21"/>
              </w:rPr>
              <w:t xml:space="preserve">  4600mg/m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 xml:space="preserve"> 1</w:t>
            </w:r>
            <w:r>
              <w:rPr>
                <w:rFonts w:ascii="Times New Roman" w:cs="Times New Roman"/>
                <w:color w:val="auto"/>
                <w:sz w:val="21"/>
                <w:szCs w:val="21"/>
              </w:rPr>
              <w:t>小时（大鼠吸入）</w:t>
            </w:r>
          </w:p>
        </w:tc>
      </w:tr>
      <w:tr w:rsidR="00475650">
        <w:trPr>
          <w:jc w:val="center"/>
        </w:trPr>
        <w:tc>
          <w:tcPr>
            <w:tcW w:w="658" w:type="dxa"/>
            <w:vMerge/>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p>
        </w:tc>
        <w:tc>
          <w:tcPr>
            <w:tcW w:w="777" w:type="dxa"/>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危险</w:t>
            </w:r>
          </w:p>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特性</w:t>
            </w:r>
          </w:p>
        </w:tc>
        <w:tc>
          <w:tcPr>
            <w:tcW w:w="3321" w:type="dxa"/>
            <w:gridSpan w:val="4"/>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能与一些活性金属粉末发生反应，放出氢气。遇氰化物能产生剧毒的氰化氢气体。与碱发生中和反应，并放出大量的热，</w:t>
            </w:r>
          </w:p>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具有较强的腐蚀性。</w:t>
            </w:r>
          </w:p>
        </w:tc>
        <w:tc>
          <w:tcPr>
            <w:tcW w:w="789" w:type="dxa"/>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灭火方法</w:t>
            </w:r>
          </w:p>
        </w:tc>
        <w:tc>
          <w:tcPr>
            <w:tcW w:w="3527" w:type="dxa"/>
            <w:gridSpan w:val="3"/>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消防人员必须佩戴氧气呼吸器，穿全身防护服。用碱性物质如碳酸氢钠、碳酸钠、消石灰等中和，也可以用大量水扑救。</w:t>
            </w:r>
          </w:p>
        </w:tc>
      </w:tr>
      <w:tr w:rsidR="00475650">
        <w:trPr>
          <w:jc w:val="center"/>
        </w:trPr>
        <w:tc>
          <w:tcPr>
            <w:tcW w:w="658" w:type="dxa"/>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泄漏应急处理</w:t>
            </w:r>
          </w:p>
        </w:tc>
        <w:tc>
          <w:tcPr>
            <w:tcW w:w="8414" w:type="dxa"/>
            <w:gridSpan w:val="9"/>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迅速撤离泄漏污染区人员至安全区，并进行隔离，严格限制出入。建议应急处理人员配戴自给正压式呼吸器，穿防酸碱工作服。不要直接接触泄漏物。尽可能切断泄漏源，防止进入下水道、排洪沟等限制性空间。</w:t>
            </w:r>
          </w:p>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小量泄漏：用砂土、干燥石灰或苏打灰混合，也可以用大量水冲洗，洗水稀释后放入废水系统。</w:t>
            </w:r>
          </w:p>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lastRenderedPageBreak/>
              <w:t>大量泄漏：构筑围堤或挖沟收容；用泵转移至槽车或专用收集器内，回收或运至废物处理场所处置。</w:t>
            </w:r>
          </w:p>
        </w:tc>
      </w:tr>
      <w:tr w:rsidR="00475650">
        <w:trPr>
          <w:jc w:val="center"/>
        </w:trPr>
        <w:tc>
          <w:tcPr>
            <w:tcW w:w="658" w:type="dxa"/>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lastRenderedPageBreak/>
              <w:t>储运注意事项</w:t>
            </w:r>
          </w:p>
        </w:tc>
        <w:tc>
          <w:tcPr>
            <w:tcW w:w="8414" w:type="dxa"/>
            <w:gridSpan w:val="9"/>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储存于阴凉、干燥、通风良好的仓间。应与碱类、金属粉末、卤素（氟、氯、溴）、易燃或可燃物等分开存放。不可混储混运。搬运时要轻装轻卸，防止包装及容器损坏。分装和搬运作业要注意个人防护。搬运按规定路线行驶。</w:t>
            </w:r>
          </w:p>
        </w:tc>
      </w:tr>
      <w:tr w:rsidR="00475650">
        <w:trPr>
          <w:jc w:val="center"/>
        </w:trPr>
        <w:tc>
          <w:tcPr>
            <w:tcW w:w="658" w:type="dxa"/>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防护措施</w:t>
            </w:r>
          </w:p>
        </w:tc>
        <w:tc>
          <w:tcPr>
            <w:tcW w:w="8414" w:type="dxa"/>
            <w:gridSpan w:val="9"/>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工程控制：密闭操作，注意通风，尽可能机械化、自动化。提供安全沐浴和洗眼设备。</w:t>
            </w:r>
          </w:p>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呼吸系统防护：可能接触其烟雾时，佩戴自吸过滤式防毒面具（全面罩）或空气呼吸器。紧急事态抢救或撤离时，建议佩戴氧气呼吸器。</w:t>
            </w:r>
          </w:p>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眼睛防护：呼吸系统防护中已作防护。</w:t>
            </w:r>
          </w:p>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身体防护：穿橡胶耐酸碱服。</w:t>
            </w:r>
          </w:p>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手防护：戴橡胶耐酸碱手套。</w:t>
            </w:r>
          </w:p>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其他：工作现场禁止吸烟、进食和饮水。工作毕，沐浴更衣。单独存放被毒物污染的衣服，洗后备用。保持良好的卫生习惯。</w:t>
            </w:r>
          </w:p>
        </w:tc>
      </w:tr>
    </w:tbl>
    <w:p w:rsidR="00475650" w:rsidRDefault="00475650">
      <w:pPr>
        <w:pStyle w:val="affffffff7"/>
        <w:rPr>
          <w:rFonts w:ascii="Times New Roman" w:hAnsi="Times New Roman" w:cs="Times New Roman"/>
          <w:color w:val="auto"/>
          <w:kern w:val="2"/>
        </w:rPr>
      </w:pPr>
      <w:bookmarkStart w:id="851" w:name="_Toc299966661"/>
      <w:bookmarkStart w:id="852" w:name="_Toc292961065"/>
    </w:p>
    <w:p w:rsidR="00475650" w:rsidRDefault="00475650">
      <w:pPr>
        <w:spacing w:line="360" w:lineRule="auto"/>
        <w:jc w:val="center"/>
        <w:rPr>
          <w:sz w:val="24"/>
        </w:rPr>
      </w:pPr>
      <w:bookmarkStart w:id="853" w:name="_Toc299966662"/>
      <w:bookmarkEnd w:id="851"/>
      <w:bookmarkEnd w:id="852"/>
      <w:r>
        <w:rPr>
          <w:rFonts w:hAnsi="宋体"/>
          <w:sz w:val="24"/>
        </w:rPr>
        <w:t>表</w:t>
      </w:r>
      <w:r>
        <w:rPr>
          <w:sz w:val="24"/>
        </w:rPr>
        <w:t>6.2-1</w:t>
      </w:r>
      <w:r>
        <w:rPr>
          <w:rFonts w:hAnsi="宋体"/>
          <w:sz w:val="24"/>
        </w:rPr>
        <w:t>（</w:t>
      </w:r>
      <w:r>
        <w:rPr>
          <w:sz w:val="24"/>
        </w:rPr>
        <w:t>2</w:t>
      </w:r>
      <w:r>
        <w:rPr>
          <w:rFonts w:hAnsi="宋体"/>
          <w:sz w:val="24"/>
        </w:rPr>
        <w:t>）</w:t>
      </w:r>
      <w:r>
        <w:rPr>
          <w:sz w:val="24"/>
        </w:rPr>
        <w:t xml:space="preserve"> </w:t>
      </w:r>
      <w:r>
        <w:rPr>
          <w:rFonts w:hAnsi="宋体"/>
          <w:sz w:val="24"/>
        </w:rPr>
        <w:t>氢氧化钠理化性质及毒性数据表</w:t>
      </w:r>
      <w:bookmarkEnd w:id="853"/>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996"/>
        <w:gridCol w:w="385"/>
        <w:gridCol w:w="505"/>
        <w:gridCol w:w="889"/>
        <w:gridCol w:w="637"/>
        <w:gridCol w:w="722"/>
        <w:gridCol w:w="598"/>
        <w:gridCol w:w="194"/>
        <w:gridCol w:w="18"/>
        <w:gridCol w:w="789"/>
        <w:gridCol w:w="657"/>
        <w:gridCol w:w="1012"/>
        <w:gridCol w:w="18"/>
        <w:gridCol w:w="1652"/>
      </w:tblGrid>
      <w:tr w:rsidR="00475650">
        <w:trPr>
          <w:jc w:val="center"/>
        </w:trPr>
        <w:tc>
          <w:tcPr>
            <w:tcW w:w="996" w:type="dxa"/>
            <w:vMerge w:val="restart"/>
            <w:tcMar>
              <w:top w:w="28" w:type="dxa"/>
              <w:bottom w:w="28" w:type="dxa"/>
            </w:tcMar>
            <w:vAlign w:val="cente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标识</w:t>
            </w:r>
          </w:p>
        </w:tc>
        <w:tc>
          <w:tcPr>
            <w:tcW w:w="1779" w:type="dxa"/>
            <w:gridSpan w:val="3"/>
            <w:tcMar>
              <w:top w:w="28" w:type="dxa"/>
              <w:bottom w:w="28" w:type="dxa"/>
            </w:tcMar>
            <w:vAlign w:val="cente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中文名：氢氧化钠</w:t>
            </w:r>
          </w:p>
        </w:tc>
        <w:tc>
          <w:tcPr>
            <w:tcW w:w="1957" w:type="dxa"/>
            <w:gridSpan w:val="3"/>
            <w:tcMar>
              <w:top w:w="28" w:type="dxa"/>
              <w:bottom w:w="28" w:type="dxa"/>
            </w:tcMar>
            <w:vAlign w:val="center"/>
          </w:tcPr>
          <w:p w:rsidR="00475650" w:rsidRDefault="00475650">
            <w:pPr>
              <w:pStyle w:val="affffffff7"/>
              <w:ind w:firstLineChars="0" w:firstLine="0"/>
              <w:rPr>
                <w:rFonts w:ascii="Times New Roman" w:hAnsi="Times New Roman" w:cs="Times New Roman"/>
                <w:color w:val="auto"/>
                <w:sz w:val="21"/>
                <w:szCs w:val="21"/>
              </w:rPr>
            </w:pPr>
            <w:r>
              <w:rPr>
                <w:rFonts w:ascii="Times New Roman" w:hAnsi="Times New Roman" w:cs="Times New Roman"/>
                <w:color w:val="auto"/>
                <w:sz w:val="21"/>
                <w:szCs w:val="21"/>
              </w:rPr>
              <w:t>CAS</w:t>
            </w:r>
            <w:r>
              <w:rPr>
                <w:rFonts w:ascii="Times New Roman" w:cs="Times New Roman"/>
                <w:color w:val="auto"/>
                <w:sz w:val="21"/>
                <w:szCs w:val="21"/>
              </w:rPr>
              <w:t>号：</w:t>
            </w:r>
            <w:r>
              <w:rPr>
                <w:rFonts w:ascii="Times New Roman" w:hAnsi="Times New Roman" w:cs="Times New Roman"/>
                <w:color w:val="auto"/>
                <w:sz w:val="21"/>
                <w:szCs w:val="21"/>
              </w:rPr>
              <w:t>1310-73-2</w:t>
            </w:r>
          </w:p>
        </w:tc>
        <w:tc>
          <w:tcPr>
            <w:tcW w:w="1658" w:type="dxa"/>
            <w:gridSpan w:val="4"/>
            <w:tcMar>
              <w:top w:w="28" w:type="dxa"/>
              <w:bottom w:w="28" w:type="dxa"/>
            </w:tcMar>
            <w:vAlign w:val="cente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分子式：</w:t>
            </w:r>
            <w:r>
              <w:rPr>
                <w:rFonts w:ascii="Times New Roman" w:hAnsi="Times New Roman" w:cs="Times New Roman"/>
                <w:color w:val="auto"/>
                <w:sz w:val="21"/>
                <w:szCs w:val="21"/>
              </w:rPr>
              <w:t>NaOH</w:t>
            </w:r>
          </w:p>
        </w:tc>
        <w:tc>
          <w:tcPr>
            <w:tcW w:w="2682" w:type="dxa"/>
            <w:gridSpan w:val="3"/>
            <w:tcMar>
              <w:top w:w="28" w:type="dxa"/>
              <w:bottom w:w="28" w:type="dxa"/>
            </w:tcMar>
            <w:vAlign w:val="cente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危险标记：</w:t>
            </w:r>
            <w:r>
              <w:rPr>
                <w:rFonts w:ascii="Times New Roman" w:hAnsi="Times New Roman" w:cs="Times New Roman"/>
                <w:color w:val="auto"/>
                <w:sz w:val="21"/>
                <w:szCs w:val="21"/>
              </w:rPr>
              <w:t>20</w:t>
            </w:r>
            <w:r>
              <w:rPr>
                <w:rFonts w:ascii="Times New Roman" w:cs="Times New Roman"/>
                <w:color w:val="auto"/>
                <w:sz w:val="21"/>
                <w:szCs w:val="21"/>
              </w:rPr>
              <w:t>（碱性腐蚀品）</w:t>
            </w:r>
          </w:p>
        </w:tc>
      </w:tr>
      <w:tr w:rsidR="00475650">
        <w:trPr>
          <w:jc w:val="center"/>
        </w:trPr>
        <w:tc>
          <w:tcPr>
            <w:tcW w:w="996" w:type="dxa"/>
            <w:vMerge/>
            <w:tcMar>
              <w:top w:w="28" w:type="dxa"/>
              <w:bottom w:w="28" w:type="dxa"/>
            </w:tcMar>
            <w:vAlign w:val="center"/>
          </w:tcPr>
          <w:p w:rsidR="00475650" w:rsidRDefault="00475650">
            <w:pPr>
              <w:pStyle w:val="affffffff7"/>
              <w:ind w:firstLineChars="0" w:firstLine="0"/>
              <w:rPr>
                <w:rFonts w:ascii="Times New Roman" w:hAnsi="Times New Roman" w:cs="Times New Roman"/>
                <w:color w:val="auto"/>
                <w:sz w:val="21"/>
                <w:szCs w:val="21"/>
              </w:rPr>
            </w:pPr>
          </w:p>
        </w:tc>
        <w:tc>
          <w:tcPr>
            <w:tcW w:w="1779" w:type="dxa"/>
            <w:gridSpan w:val="3"/>
            <w:vMerge w:val="restart"/>
            <w:tcMar>
              <w:top w:w="28" w:type="dxa"/>
              <w:bottom w:w="28" w:type="dxa"/>
            </w:tcMar>
            <w:vAlign w:val="cente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英文名：</w:t>
            </w:r>
          </w:p>
          <w:p w:rsidR="00475650" w:rsidRDefault="00475650">
            <w:pPr>
              <w:pStyle w:val="affffffff7"/>
              <w:ind w:firstLineChars="0" w:firstLine="0"/>
              <w:rPr>
                <w:rFonts w:ascii="Times New Roman" w:hAnsi="Times New Roman" w:cs="Times New Roman"/>
                <w:color w:val="auto"/>
                <w:sz w:val="21"/>
                <w:szCs w:val="21"/>
              </w:rPr>
            </w:pPr>
            <w:r>
              <w:rPr>
                <w:rFonts w:ascii="Times New Roman" w:hAnsi="Times New Roman" w:cs="Times New Roman"/>
                <w:color w:val="auto"/>
                <w:sz w:val="21"/>
                <w:szCs w:val="21"/>
              </w:rPr>
              <w:t>Sodiun  hydroxide</w:t>
            </w:r>
          </w:p>
        </w:tc>
        <w:tc>
          <w:tcPr>
            <w:tcW w:w="3615" w:type="dxa"/>
            <w:gridSpan w:val="7"/>
            <w:tcMar>
              <w:top w:w="28" w:type="dxa"/>
              <w:bottom w:w="28" w:type="dxa"/>
            </w:tcMar>
            <w:vAlign w:val="cente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危险货物编号：</w:t>
            </w:r>
            <w:r>
              <w:rPr>
                <w:rFonts w:ascii="Times New Roman" w:hAnsi="Times New Roman" w:cs="Times New Roman"/>
                <w:color w:val="auto"/>
                <w:sz w:val="21"/>
                <w:szCs w:val="21"/>
              </w:rPr>
              <w:t>23002</w:t>
            </w:r>
          </w:p>
        </w:tc>
        <w:tc>
          <w:tcPr>
            <w:tcW w:w="2682" w:type="dxa"/>
            <w:gridSpan w:val="3"/>
            <w:vMerge w:val="restart"/>
            <w:tcMar>
              <w:top w:w="28" w:type="dxa"/>
              <w:bottom w:w="28" w:type="dxa"/>
            </w:tcMar>
            <w:vAlign w:val="cente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化学类别：</w:t>
            </w:r>
          </w:p>
          <w:p w:rsidR="00475650" w:rsidRDefault="00475650">
            <w:pPr>
              <w:pStyle w:val="affffffff7"/>
              <w:ind w:firstLineChars="0" w:firstLine="0"/>
              <w:rPr>
                <w:rFonts w:ascii="Times New Roman" w:hAnsi="Times New Roman" w:cs="Times New Roman"/>
                <w:color w:val="auto"/>
                <w:sz w:val="21"/>
                <w:szCs w:val="21"/>
              </w:rPr>
            </w:pPr>
            <w:r>
              <w:rPr>
                <w:rFonts w:ascii="Times New Roman" w:hAnsi="Times New Roman" w:cs="Times New Roman"/>
                <w:color w:val="auto"/>
                <w:sz w:val="21"/>
                <w:szCs w:val="21"/>
              </w:rPr>
              <w:t>8.2</w:t>
            </w:r>
            <w:r>
              <w:rPr>
                <w:rFonts w:ascii="Times New Roman" w:cs="Times New Roman"/>
                <w:color w:val="auto"/>
                <w:sz w:val="21"/>
                <w:szCs w:val="21"/>
              </w:rPr>
              <w:t>类碱性腐蚀品</w:t>
            </w:r>
          </w:p>
        </w:tc>
      </w:tr>
      <w:tr w:rsidR="00475650">
        <w:trPr>
          <w:jc w:val="center"/>
        </w:trPr>
        <w:tc>
          <w:tcPr>
            <w:tcW w:w="996" w:type="dxa"/>
            <w:vMerge/>
            <w:tcMar>
              <w:top w:w="28" w:type="dxa"/>
              <w:bottom w:w="28" w:type="dxa"/>
            </w:tcMar>
            <w:vAlign w:val="center"/>
          </w:tcPr>
          <w:p w:rsidR="00475650" w:rsidRDefault="00475650">
            <w:pPr>
              <w:pStyle w:val="affffffff7"/>
              <w:ind w:firstLineChars="0" w:firstLine="0"/>
              <w:rPr>
                <w:rFonts w:ascii="Times New Roman" w:hAnsi="Times New Roman" w:cs="Times New Roman"/>
                <w:color w:val="auto"/>
                <w:sz w:val="21"/>
                <w:szCs w:val="21"/>
              </w:rPr>
            </w:pPr>
          </w:p>
        </w:tc>
        <w:tc>
          <w:tcPr>
            <w:tcW w:w="1779" w:type="dxa"/>
            <w:gridSpan w:val="3"/>
            <w:vMerge/>
            <w:tcMar>
              <w:top w:w="28" w:type="dxa"/>
              <w:bottom w:w="28" w:type="dxa"/>
            </w:tcMar>
            <w:vAlign w:val="center"/>
          </w:tcPr>
          <w:p w:rsidR="00475650" w:rsidRDefault="00475650">
            <w:pPr>
              <w:pStyle w:val="affffffff7"/>
              <w:ind w:firstLineChars="0" w:firstLine="0"/>
              <w:rPr>
                <w:rFonts w:ascii="Times New Roman" w:hAnsi="Times New Roman" w:cs="Times New Roman"/>
                <w:color w:val="auto"/>
                <w:sz w:val="21"/>
                <w:szCs w:val="21"/>
              </w:rPr>
            </w:pPr>
          </w:p>
        </w:tc>
        <w:tc>
          <w:tcPr>
            <w:tcW w:w="3615" w:type="dxa"/>
            <w:gridSpan w:val="7"/>
            <w:tcMar>
              <w:top w:w="28" w:type="dxa"/>
              <w:bottom w:w="28" w:type="dxa"/>
            </w:tcMar>
            <w:vAlign w:val="cente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相对分子质量：</w:t>
            </w:r>
            <w:r>
              <w:rPr>
                <w:rFonts w:ascii="Times New Roman" w:hAnsi="Times New Roman" w:cs="Times New Roman"/>
                <w:color w:val="auto"/>
                <w:sz w:val="21"/>
                <w:szCs w:val="21"/>
              </w:rPr>
              <w:t>40.01</w:t>
            </w:r>
          </w:p>
        </w:tc>
        <w:tc>
          <w:tcPr>
            <w:tcW w:w="2682" w:type="dxa"/>
            <w:gridSpan w:val="3"/>
            <w:vMerge/>
            <w:tcMar>
              <w:top w:w="28" w:type="dxa"/>
              <w:bottom w:w="28" w:type="dxa"/>
            </w:tcMar>
            <w:vAlign w:val="center"/>
          </w:tcPr>
          <w:p w:rsidR="00475650" w:rsidRDefault="00475650">
            <w:pPr>
              <w:pStyle w:val="affffffff7"/>
              <w:ind w:firstLineChars="0" w:firstLine="0"/>
              <w:rPr>
                <w:rFonts w:ascii="Times New Roman" w:hAnsi="Times New Roman" w:cs="Times New Roman"/>
                <w:color w:val="auto"/>
                <w:sz w:val="21"/>
                <w:szCs w:val="21"/>
              </w:rPr>
            </w:pPr>
          </w:p>
        </w:tc>
      </w:tr>
      <w:tr w:rsidR="00475650">
        <w:trPr>
          <w:jc w:val="center"/>
        </w:trPr>
        <w:tc>
          <w:tcPr>
            <w:tcW w:w="996" w:type="dxa"/>
            <w:vMerge w:val="restart"/>
            <w:tcMar>
              <w:top w:w="28" w:type="dxa"/>
              <w:bottom w:w="28" w:type="dxa"/>
            </w:tcMar>
            <w:vAlign w:val="cente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理化</w:t>
            </w:r>
          </w:p>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性质</w:t>
            </w:r>
          </w:p>
        </w:tc>
        <w:tc>
          <w:tcPr>
            <w:tcW w:w="1779" w:type="dxa"/>
            <w:gridSpan w:val="3"/>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外观与性状</w:t>
            </w:r>
          </w:p>
        </w:tc>
        <w:tc>
          <w:tcPr>
            <w:tcW w:w="6297" w:type="dxa"/>
            <w:gridSpan w:val="10"/>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白色不透明固体，易潮解</w:t>
            </w:r>
          </w:p>
        </w:tc>
      </w:tr>
      <w:tr w:rsidR="00475650">
        <w:trPr>
          <w:jc w:val="center"/>
        </w:trPr>
        <w:tc>
          <w:tcPr>
            <w:tcW w:w="996" w:type="dxa"/>
            <w:vMerge/>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p>
        </w:tc>
        <w:tc>
          <w:tcPr>
            <w:tcW w:w="1779" w:type="dxa"/>
            <w:gridSpan w:val="3"/>
            <w:tcMar>
              <w:top w:w="28" w:type="dxa"/>
              <w:bottom w:w="28" w:type="dxa"/>
            </w:tcMar>
            <w:vAlign w:val="cente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熔点（</w:t>
            </w:r>
            <w:r>
              <w:rPr>
                <w:rFonts w:ascii="宋体" w:cs="Times New Roman"/>
                <w:color w:val="auto"/>
                <w:sz w:val="21"/>
                <w:szCs w:val="21"/>
              </w:rPr>
              <w:t>℃</w:t>
            </w:r>
            <w:r>
              <w:rPr>
                <w:rFonts w:ascii="Times New Roman" w:cs="Times New Roman"/>
                <w:color w:val="auto"/>
                <w:sz w:val="21"/>
                <w:szCs w:val="21"/>
              </w:rPr>
              <w:t>）</w:t>
            </w:r>
          </w:p>
        </w:tc>
        <w:tc>
          <w:tcPr>
            <w:tcW w:w="2169" w:type="dxa"/>
            <w:gridSpan w:val="5"/>
            <w:tcMar>
              <w:top w:w="28" w:type="dxa"/>
              <w:bottom w:w="28" w:type="dxa"/>
            </w:tcMar>
            <w:vAlign w:val="center"/>
          </w:tcPr>
          <w:p w:rsidR="00475650" w:rsidRDefault="00475650">
            <w:pPr>
              <w:pStyle w:val="affffffff7"/>
              <w:ind w:firstLineChars="0" w:firstLine="0"/>
              <w:rPr>
                <w:rFonts w:ascii="Times New Roman" w:hAnsi="Times New Roman" w:cs="Times New Roman"/>
                <w:color w:val="auto"/>
                <w:sz w:val="21"/>
                <w:szCs w:val="21"/>
              </w:rPr>
            </w:pPr>
            <w:r>
              <w:rPr>
                <w:rFonts w:ascii="Times New Roman" w:hAnsi="Times New Roman" w:cs="Times New Roman"/>
                <w:color w:val="auto"/>
                <w:sz w:val="21"/>
                <w:szCs w:val="21"/>
              </w:rPr>
              <w:t>318.4</w:t>
            </w:r>
          </w:p>
        </w:tc>
        <w:tc>
          <w:tcPr>
            <w:tcW w:w="2476" w:type="dxa"/>
            <w:gridSpan w:val="4"/>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相对密度（水</w:t>
            </w:r>
            <w:r>
              <w:rPr>
                <w:rFonts w:ascii="Times New Roman" w:hAnsi="Times New Roman" w:cs="Times New Roman"/>
                <w:color w:val="auto"/>
                <w:sz w:val="21"/>
                <w:szCs w:val="21"/>
              </w:rPr>
              <w:t>=1</w:t>
            </w:r>
            <w:r>
              <w:rPr>
                <w:rFonts w:ascii="Times New Roman" w:cs="Times New Roman"/>
                <w:color w:val="auto"/>
                <w:sz w:val="21"/>
                <w:szCs w:val="21"/>
              </w:rPr>
              <w:t>）</w:t>
            </w:r>
          </w:p>
        </w:tc>
        <w:tc>
          <w:tcPr>
            <w:tcW w:w="1652" w:type="dxa"/>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hAnsi="Times New Roman" w:cs="Times New Roman"/>
                <w:color w:val="auto"/>
                <w:sz w:val="21"/>
                <w:szCs w:val="21"/>
              </w:rPr>
              <w:t>2.12</w:t>
            </w:r>
          </w:p>
        </w:tc>
      </w:tr>
      <w:tr w:rsidR="00475650">
        <w:trPr>
          <w:jc w:val="center"/>
        </w:trPr>
        <w:tc>
          <w:tcPr>
            <w:tcW w:w="996" w:type="dxa"/>
            <w:vMerge/>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p>
        </w:tc>
        <w:tc>
          <w:tcPr>
            <w:tcW w:w="1779" w:type="dxa"/>
            <w:gridSpan w:val="3"/>
            <w:tcMar>
              <w:top w:w="28" w:type="dxa"/>
              <w:bottom w:w="28" w:type="dxa"/>
            </w:tcMar>
            <w:vAlign w:val="cente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沸点（</w:t>
            </w:r>
            <w:r>
              <w:rPr>
                <w:rFonts w:ascii="宋体" w:cs="Times New Roman"/>
                <w:color w:val="auto"/>
                <w:sz w:val="21"/>
                <w:szCs w:val="21"/>
              </w:rPr>
              <w:t>℃</w:t>
            </w:r>
            <w:r>
              <w:rPr>
                <w:rFonts w:ascii="Times New Roman" w:cs="Times New Roman"/>
                <w:color w:val="auto"/>
                <w:sz w:val="21"/>
                <w:szCs w:val="21"/>
              </w:rPr>
              <w:t>）</w:t>
            </w:r>
          </w:p>
        </w:tc>
        <w:tc>
          <w:tcPr>
            <w:tcW w:w="2169" w:type="dxa"/>
            <w:gridSpan w:val="5"/>
            <w:tcMar>
              <w:top w:w="28" w:type="dxa"/>
              <w:bottom w:w="28" w:type="dxa"/>
            </w:tcMar>
            <w:vAlign w:val="center"/>
          </w:tcPr>
          <w:p w:rsidR="00475650" w:rsidRDefault="00475650">
            <w:pPr>
              <w:pStyle w:val="affffffff7"/>
              <w:ind w:firstLineChars="0" w:firstLine="0"/>
              <w:rPr>
                <w:rFonts w:ascii="Times New Roman" w:hAnsi="Times New Roman" w:cs="Times New Roman"/>
                <w:color w:val="auto"/>
                <w:sz w:val="21"/>
                <w:szCs w:val="21"/>
              </w:rPr>
            </w:pPr>
            <w:r>
              <w:rPr>
                <w:rFonts w:ascii="Times New Roman" w:hAnsi="Times New Roman" w:cs="Times New Roman"/>
                <w:color w:val="auto"/>
                <w:sz w:val="21"/>
                <w:szCs w:val="21"/>
              </w:rPr>
              <w:t>-34.5</w:t>
            </w:r>
          </w:p>
        </w:tc>
        <w:tc>
          <w:tcPr>
            <w:tcW w:w="2476" w:type="dxa"/>
            <w:gridSpan w:val="4"/>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饱和蒸汽压（</w:t>
            </w:r>
            <w:r>
              <w:rPr>
                <w:rFonts w:ascii="Times New Roman" w:hAnsi="Times New Roman" w:cs="Times New Roman"/>
                <w:color w:val="auto"/>
                <w:sz w:val="21"/>
                <w:szCs w:val="21"/>
              </w:rPr>
              <w:t>kPa</w:t>
            </w:r>
            <w:r>
              <w:rPr>
                <w:rFonts w:ascii="Times New Roman" w:cs="Times New Roman"/>
                <w:color w:val="auto"/>
                <w:sz w:val="21"/>
                <w:szCs w:val="21"/>
              </w:rPr>
              <w:t>）</w:t>
            </w:r>
          </w:p>
        </w:tc>
        <w:tc>
          <w:tcPr>
            <w:tcW w:w="1652" w:type="dxa"/>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hAnsi="Times New Roman" w:cs="Times New Roman"/>
                <w:color w:val="auto"/>
                <w:sz w:val="21"/>
                <w:szCs w:val="21"/>
              </w:rPr>
              <w:t>0.13(739</w:t>
            </w:r>
            <w:r>
              <w:rPr>
                <w:rFonts w:ascii="宋体" w:cs="Times New Roman"/>
                <w:color w:val="auto"/>
                <w:sz w:val="21"/>
                <w:szCs w:val="21"/>
              </w:rPr>
              <w:t>℃</w:t>
            </w:r>
            <w:r>
              <w:rPr>
                <w:rFonts w:ascii="Times New Roman" w:hAnsi="Times New Roman" w:cs="Times New Roman"/>
                <w:color w:val="auto"/>
                <w:sz w:val="21"/>
                <w:szCs w:val="21"/>
              </w:rPr>
              <w:t>)</w:t>
            </w:r>
          </w:p>
        </w:tc>
      </w:tr>
      <w:tr w:rsidR="00475650">
        <w:trPr>
          <w:jc w:val="center"/>
        </w:trPr>
        <w:tc>
          <w:tcPr>
            <w:tcW w:w="996" w:type="dxa"/>
            <w:vMerge/>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p>
        </w:tc>
        <w:tc>
          <w:tcPr>
            <w:tcW w:w="1779" w:type="dxa"/>
            <w:gridSpan w:val="3"/>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溶解性</w:t>
            </w:r>
          </w:p>
        </w:tc>
        <w:tc>
          <w:tcPr>
            <w:tcW w:w="6297" w:type="dxa"/>
            <w:gridSpan w:val="10"/>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易溶于水、乙醇、甘油</w:t>
            </w:r>
          </w:p>
        </w:tc>
      </w:tr>
      <w:tr w:rsidR="00475650">
        <w:trPr>
          <w:jc w:val="center"/>
        </w:trPr>
        <w:tc>
          <w:tcPr>
            <w:tcW w:w="996" w:type="dxa"/>
            <w:vMerge w:val="restart"/>
            <w:tcMar>
              <w:top w:w="28" w:type="dxa"/>
              <w:bottom w:w="28" w:type="dxa"/>
            </w:tcMar>
            <w:vAlign w:val="cente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毒性及健康危害</w:t>
            </w:r>
          </w:p>
        </w:tc>
        <w:tc>
          <w:tcPr>
            <w:tcW w:w="1779" w:type="dxa"/>
            <w:gridSpan w:val="3"/>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侵入途径</w:t>
            </w:r>
          </w:p>
        </w:tc>
        <w:tc>
          <w:tcPr>
            <w:tcW w:w="1359" w:type="dxa"/>
            <w:gridSpan w:val="2"/>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误食</w:t>
            </w:r>
          </w:p>
        </w:tc>
        <w:tc>
          <w:tcPr>
            <w:tcW w:w="792" w:type="dxa"/>
            <w:gridSpan w:val="2"/>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毒性</w:t>
            </w:r>
          </w:p>
        </w:tc>
        <w:tc>
          <w:tcPr>
            <w:tcW w:w="4146" w:type="dxa"/>
            <w:gridSpan w:val="6"/>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hAnsi="Times New Roman" w:cs="Times New Roman"/>
                <w:color w:val="auto"/>
                <w:sz w:val="21"/>
                <w:szCs w:val="21"/>
              </w:rPr>
              <w:t>LC50  850mg/kg, 1</w:t>
            </w:r>
            <w:r>
              <w:rPr>
                <w:rFonts w:ascii="Times New Roman" w:cs="Times New Roman"/>
                <w:color w:val="auto"/>
                <w:sz w:val="21"/>
                <w:szCs w:val="21"/>
              </w:rPr>
              <w:t>小时（大鼠吸入）</w:t>
            </w:r>
          </w:p>
        </w:tc>
      </w:tr>
      <w:tr w:rsidR="00475650">
        <w:trPr>
          <w:jc w:val="center"/>
        </w:trPr>
        <w:tc>
          <w:tcPr>
            <w:tcW w:w="996" w:type="dxa"/>
            <w:vMerge/>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p>
        </w:tc>
        <w:tc>
          <w:tcPr>
            <w:tcW w:w="890" w:type="dxa"/>
            <w:gridSpan w:val="2"/>
            <w:tcMar>
              <w:top w:w="28" w:type="dxa"/>
              <w:bottom w:w="28" w:type="dxa"/>
            </w:tcMar>
            <w:vAlign w:val="cente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健康</w:t>
            </w:r>
          </w:p>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危害</w:t>
            </w:r>
          </w:p>
        </w:tc>
        <w:tc>
          <w:tcPr>
            <w:tcW w:w="7186" w:type="dxa"/>
            <w:gridSpan w:val="11"/>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本品有强烈刺激和腐蚀性。粉尘或烟雾刺激眼和呼吸道，腐蚀鼻中隔；皮肤和眼直接接触可引起灼伤；误服可造成消化道灼伤，粘膜糜烂、出血、休克。车间空气中有害物质的最高容许浓度为</w:t>
            </w:r>
            <w:r>
              <w:rPr>
                <w:rFonts w:ascii="Times New Roman" w:hAnsi="Times New Roman" w:cs="Times New Roman"/>
                <w:color w:val="auto"/>
                <w:sz w:val="21"/>
                <w:szCs w:val="21"/>
              </w:rPr>
              <w:t>0.5mg/m</w:t>
            </w:r>
            <w:r>
              <w:rPr>
                <w:rFonts w:ascii="Times New Roman" w:hAnsi="Times New Roman" w:cs="Times New Roman"/>
                <w:color w:val="auto"/>
                <w:sz w:val="21"/>
                <w:szCs w:val="21"/>
                <w:vertAlign w:val="superscript"/>
              </w:rPr>
              <w:t>3</w:t>
            </w:r>
          </w:p>
        </w:tc>
      </w:tr>
      <w:tr w:rsidR="00475650">
        <w:trPr>
          <w:jc w:val="center"/>
        </w:trPr>
        <w:tc>
          <w:tcPr>
            <w:tcW w:w="996" w:type="dxa"/>
            <w:vMerge/>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p>
        </w:tc>
        <w:tc>
          <w:tcPr>
            <w:tcW w:w="2416" w:type="dxa"/>
            <w:gridSpan w:val="4"/>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燃烧性</w:t>
            </w:r>
          </w:p>
        </w:tc>
        <w:tc>
          <w:tcPr>
            <w:tcW w:w="1532" w:type="dxa"/>
            <w:gridSpan w:val="4"/>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不燃</w:t>
            </w:r>
          </w:p>
        </w:tc>
        <w:tc>
          <w:tcPr>
            <w:tcW w:w="2476" w:type="dxa"/>
            <w:gridSpan w:val="4"/>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闪点（</w:t>
            </w:r>
            <w:r>
              <w:rPr>
                <w:rFonts w:ascii="宋体" w:cs="Times New Roman"/>
                <w:color w:val="auto"/>
                <w:sz w:val="21"/>
                <w:szCs w:val="21"/>
              </w:rPr>
              <w:t>℃</w:t>
            </w:r>
            <w:r>
              <w:rPr>
                <w:rFonts w:ascii="Times New Roman" w:cs="Times New Roman"/>
                <w:color w:val="auto"/>
                <w:sz w:val="21"/>
                <w:szCs w:val="21"/>
              </w:rPr>
              <w:t>）</w:t>
            </w:r>
          </w:p>
        </w:tc>
        <w:tc>
          <w:tcPr>
            <w:tcW w:w="1652" w:type="dxa"/>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无意义</w:t>
            </w:r>
          </w:p>
        </w:tc>
      </w:tr>
      <w:tr w:rsidR="00475650">
        <w:trPr>
          <w:jc w:val="center"/>
        </w:trPr>
        <w:tc>
          <w:tcPr>
            <w:tcW w:w="996" w:type="dxa"/>
            <w:vMerge/>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p>
        </w:tc>
        <w:tc>
          <w:tcPr>
            <w:tcW w:w="2416" w:type="dxa"/>
            <w:gridSpan w:val="4"/>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稳定性</w:t>
            </w:r>
          </w:p>
        </w:tc>
        <w:tc>
          <w:tcPr>
            <w:tcW w:w="1532" w:type="dxa"/>
            <w:gridSpan w:val="4"/>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稳定</w:t>
            </w:r>
          </w:p>
        </w:tc>
        <w:tc>
          <w:tcPr>
            <w:tcW w:w="2476" w:type="dxa"/>
            <w:gridSpan w:val="4"/>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聚合危害</w:t>
            </w:r>
          </w:p>
        </w:tc>
        <w:tc>
          <w:tcPr>
            <w:tcW w:w="1652" w:type="dxa"/>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不聚合</w:t>
            </w:r>
          </w:p>
        </w:tc>
      </w:tr>
      <w:tr w:rsidR="00475650">
        <w:trPr>
          <w:jc w:val="center"/>
        </w:trPr>
        <w:tc>
          <w:tcPr>
            <w:tcW w:w="996" w:type="dxa"/>
            <w:vMerge/>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p>
        </w:tc>
        <w:tc>
          <w:tcPr>
            <w:tcW w:w="2416" w:type="dxa"/>
            <w:gridSpan w:val="4"/>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燃烧分解产物</w:t>
            </w:r>
          </w:p>
        </w:tc>
        <w:tc>
          <w:tcPr>
            <w:tcW w:w="1514" w:type="dxa"/>
            <w:gridSpan w:val="3"/>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氯化氢</w:t>
            </w:r>
          </w:p>
        </w:tc>
        <w:tc>
          <w:tcPr>
            <w:tcW w:w="2476" w:type="dxa"/>
            <w:gridSpan w:val="4"/>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爆炸极限</w:t>
            </w:r>
            <w:r>
              <w:rPr>
                <w:rFonts w:ascii="Times New Roman" w:hAnsi="Times New Roman" w:cs="Times New Roman"/>
                <w:color w:val="auto"/>
                <w:sz w:val="21"/>
                <w:szCs w:val="21"/>
              </w:rPr>
              <w:t>%</w:t>
            </w:r>
          </w:p>
        </w:tc>
        <w:tc>
          <w:tcPr>
            <w:tcW w:w="1670" w:type="dxa"/>
            <w:gridSpan w:val="2"/>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无意义</w:t>
            </w:r>
          </w:p>
        </w:tc>
      </w:tr>
      <w:tr w:rsidR="00475650">
        <w:trPr>
          <w:jc w:val="center"/>
        </w:trPr>
        <w:tc>
          <w:tcPr>
            <w:tcW w:w="996" w:type="dxa"/>
            <w:vMerge/>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p>
        </w:tc>
        <w:tc>
          <w:tcPr>
            <w:tcW w:w="385" w:type="dxa"/>
            <w:tcMar>
              <w:top w:w="28" w:type="dxa"/>
              <w:bottom w:w="28" w:type="dxa"/>
            </w:tcMar>
            <w:vAlign w:val="cente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危险特性</w:t>
            </w:r>
          </w:p>
        </w:tc>
        <w:tc>
          <w:tcPr>
            <w:tcW w:w="3545" w:type="dxa"/>
            <w:gridSpan w:val="6"/>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氢氧化钠有强碱性，对人体组织腐蚀性很大。反复暴露于稀溶液蒸气环境中能引起皮炎。如测及眼和皮肤或由食道摄入，能引起角膜严重损伤，甚至失明，皮肤灼伤和食道穿孔。全身性影响完全是由于局部组织的损伤而引起的。肺剧烈刺激作用起因于粉尘或烟雾的吸入。在食道组织损伤后的再生过程中生有一些鳞屑细胞癌。吞服有高毒，水溶液对人体组织有腐蚀性，对眼、皮肤和粘膜有强刺激性。不燃但遇水能放出大量热，使可燃物燃着。遇金属能放出氢气。</w:t>
            </w:r>
          </w:p>
        </w:tc>
        <w:tc>
          <w:tcPr>
            <w:tcW w:w="807" w:type="dxa"/>
            <w:gridSpan w:val="2"/>
            <w:tcMar>
              <w:top w:w="28" w:type="dxa"/>
              <w:bottom w:w="28" w:type="dxa"/>
            </w:tcMar>
            <w:vAlign w:val="cente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灭火方法</w:t>
            </w:r>
          </w:p>
        </w:tc>
        <w:tc>
          <w:tcPr>
            <w:tcW w:w="3339" w:type="dxa"/>
            <w:gridSpan w:val="4"/>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本品不燃。</w:t>
            </w:r>
          </w:p>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消防人员必须佩戴过滤式防毒面具（全面罩）或隔离式呼吸器，穿全身防护服。在上风处灭火。切断气源。喷淋水冷却容器，可能的话将容器从火场移至空旷处。</w:t>
            </w:r>
          </w:p>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灭火剂：雾状水、泡沫、干粉。</w:t>
            </w:r>
          </w:p>
        </w:tc>
      </w:tr>
      <w:tr w:rsidR="00475650">
        <w:trPr>
          <w:jc w:val="center"/>
        </w:trPr>
        <w:tc>
          <w:tcPr>
            <w:tcW w:w="996" w:type="dxa"/>
            <w:tcMar>
              <w:top w:w="28" w:type="dxa"/>
              <w:bottom w:w="28" w:type="dxa"/>
            </w:tcMar>
            <w:vAlign w:val="cente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泄漏应急处理</w:t>
            </w:r>
          </w:p>
        </w:tc>
        <w:tc>
          <w:tcPr>
            <w:tcW w:w="8076" w:type="dxa"/>
            <w:gridSpan w:val="13"/>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迅速撤离泄漏污染区人员至安全区，并进行隔离，严格限制出入。建议应急处理人员配戴自给正压式呼吸器，穿防酸碱工作服。不要直接接触泄漏物。尽可能切断泄漏源，防止进入下水道、排洪沟等限制性空间。</w:t>
            </w:r>
          </w:p>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小量泄漏：用砂土，也可以用大量水冲洗，洗水稀释后放入废水系统。</w:t>
            </w:r>
          </w:p>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大量泄漏：构筑围堤或挖沟收容；用泵转移至槽车或专用收集器内，回收或运至废物处理场所处置。</w:t>
            </w:r>
          </w:p>
        </w:tc>
      </w:tr>
      <w:tr w:rsidR="00475650">
        <w:trPr>
          <w:jc w:val="center"/>
        </w:trPr>
        <w:tc>
          <w:tcPr>
            <w:tcW w:w="996" w:type="dxa"/>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储运注意事项</w:t>
            </w:r>
          </w:p>
        </w:tc>
        <w:tc>
          <w:tcPr>
            <w:tcW w:w="8076" w:type="dxa"/>
            <w:gridSpan w:val="13"/>
            <w:tcMar>
              <w:top w:w="28" w:type="dxa"/>
              <w:bottom w:w="28" w:type="dxa"/>
            </w:tcMar>
            <w:vAlign w:val="cente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密封干燥保存。</w:t>
            </w:r>
          </w:p>
        </w:tc>
      </w:tr>
      <w:tr w:rsidR="00475650">
        <w:trPr>
          <w:jc w:val="center"/>
        </w:trPr>
        <w:tc>
          <w:tcPr>
            <w:tcW w:w="996" w:type="dxa"/>
            <w:tcMar>
              <w:top w:w="28" w:type="dxa"/>
              <w:bottom w:w="28" w:type="dxa"/>
            </w:tcMar>
            <w:vAlign w:val="cente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防护措施</w:t>
            </w:r>
          </w:p>
        </w:tc>
        <w:tc>
          <w:tcPr>
            <w:tcW w:w="8076" w:type="dxa"/>
            <w:gridSpan w:val="13"/>
            <w:tcMar>
              <w:top w:w="28" w:type="dxa"/>
              <w:bottom w:w="28" w:type="dxa"/>
            </w:tcMar>
          </w:tcPr>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工程控制：密闭操作，注意通风，尽可能机械化、自动化。提供安全沐浴和洗眼设备。</w:t>
            </w:r>
          </w:p>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呼吸系统防护：可能接触其烟雾时，佩戴自吸过滤式防毒面具（全面罩）或空气呼吸器。紧急事态抢救或撤离时，建议佩戴氧气呼吸器。</w:t>
            </w:r>
          </w:p>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眼睛防护：呼吸系统防护中已作防护。</w:t>
            </w:r>
          </w:p>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身体防护：穿橡胶耐酸碱服。</w:t>
            </w:r>
          </w:p>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手防护：戴橡胶耐酸碱手套。</w:t>
            </w:r>
          </w:p>
          <w:p w:rsidR="00475650" w:rsidRDefault="00475650">
            <w:pPr>
              <w:pStyle w:val="affffffff7"/>
              <w:ind w:firstLineChars="0" w:firstLine="0"/>
              <w:rPr>
                <w:rFonts w:ascii="Times New Roman" w:hAnsi="Times New Roman" w:cs="Times New Roman"/>
                <w:color w:val="auto"/>
                <w:sz w:val="21"/>
                <w:szCs w:val="21"/>
              </w:rPr>
            </w:pPr>
            <w:r>
              <w:rPr>
                <w:rFonts w:ascii="Times New Roman" w:cs="Times New Roman"/>
                <w:color w:val="auto"/>
                <w:sz w:val="21"/>
                <w:szCs w:val="21"/>
              </w:rPr>
              <w:t>其他：工作现场禁止吸烟、进食和饮水。工作毕，沐浴更衣。单独存放被毒物污染的衣服，洗后备用。保持良好的卫生习惯。</w:t>
            </w:r>
          </w:p>
        </w:tc>
      </w:tr>
    </w:tbl>
    <w:p w:rsidR="00475650" w:rsidRDefault="00475650">
      <w:pPr>
        <w:pStyle w:val="2f"/>
      </w:pPr>
      <w:bookmarkStart w:id="854" w:name="_Toc299966663"/>
    </w:p>
    <w:p w:rsidR="00475650" w:rsidRDefault="00475650">
      <w:pPr>
        <w:pStyle w:val="2f"/>
      </w:pPr>
    </w:p>
    <w:p w:rsidR="00475650" w:rsidRDefault="00475650">
      <w:pPr>
        <w:pStyle w:val="2f"/>
      </w:pPr>
    </w:p>
    <w:p w:rsidR="00475650" w:rsidRDefault="00475650">
      <w:pPr>
        <w:pStyle w:val="2f"/>
      </w:pPr>
    </w:p>
    <w:p w:rsidR="00475650" w:rsidRDefault="00475650">
      <w:pPr>
        <w:pStyle w:val="2f"/>
      </w:pPr>
    </w:p>
    <w:bookmarkEnd w:id="854"/>
    <w:p w:rsidR="00475650" w:rsidRDefault="00475650">
      <w:pPr>
        <w:spacing w:line="360" w:lineRule="auto"/>
        <w:jc w:val="center"/>
        <w:rPr>
          <w:sz w:val="24"/>
        </w:rPr>
      </w:pPr>
      <w:r>
        <w:rPr>
          <w:rFonts w:hAnsi="宋体"/>
          <w:sz w:val="24"/>
        </w:rPr>
        <w:lastRenderedPageBreak/>
        <w:t>表</w:t>
      </w:r>
      <w:r>
        <w:rPr>
          <w:sz w:val="24"/>
        </w:rPr>
        <w:t>6.2-1</w:t>
      </w:r>
      <w:r>
        <w:rPr>
          <w:rFonts w:hAnsi="宋体"/>
          <w:sz w:val="24"/>
        </w:rPr>
        <w:t>（</w:t>
      </w:r>
      <w:r>
        <w:rPr>
          <w:sz w:val="24"/>
        </w:rPr>
        <w:t>3</w:t>
      </w:r>
      <w:r>
        <w:rPr>
          <w:rFonts w:hAnsi="宋体"/>
          <w:sz w:val="24"/>
        </w:rPr>
        <w:t>）</w:t>
      </w:r>
      <w:r>
        <w:rPr>
          <w:sz w:val="24"/>
        </w:rPr>
        <w:t xml:space="preserve"> </w:t>
      </w:r>
      <w:r>
        <w:rPr>
          <w:rFonts w:hAnsi="宋体"/>
          <w:sz w:val="24"/>
        </w:rPr>
        <w:t>亚硝酸钠理化性质及毒性数据表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2"/>
        <w:gridCol w:w="1827"/>
        <w:gridCol w:w="540"/>
        <w:gridCol w:w="378"/>
        <w:gridCol w:w="1362"/>
        <w:gridCol w:w="753"/>
        <w:gridCol w:w="1679"/>
        <w:gridCol w:w="373"/>
        <w:gridCol w:w="1375"/>
      </w:tblGrid>
      <w:tr w:rsidR="00475650">
        <w:trPr>
          <w:cantSplit/>
          <w:trHeight w:val="320"/>
          <w:jc w:val="center"/>
        </w:trPr>
        <w:tc>
          <w:tcPr>
            <w:tcW w:w="612" w:type="dxa"/>
            <w:vMerge w:val="restart"/>
            <w:tcBorders>
              <w:top w:val="single" w:sz="12" w:space="0" w:color="auto"/>
              <w:left w:val="single" w:sz="12" w:space="0" w:color="auto"/>
            </w:tcBorders>
            <w:vAlign w:val="center"/>
          </w:tcPr>
          <w:p w:rsidR="00475650" w:rsidRDefault="00475650">
            <w:pPr>
              <w:ind w:left="57" w:right="57"/>
              <w:jc w:val="left"/>
              <w:rPr>
                <w:szCs w:val="21"/>
              </w:rPr>
            </w:pPr>
            <w:r>
              <w:rPr>
                <w:rFonts w:hAnsi="宋体"/>
                <w:szCs w:val="21"/>
              </w:rPr>
              <w:t>标</w:t>
            </w:r>
            <w:r>
              <w:rPr>
                <w:szCs w:val="21"/>
              </w:rPr>
              <w:t xml:space="preserve">  </w:t>
            </w:r>
            <w:r>
              <w:rPr>
                <w:rFonts w:hAnsi="宋体"/>
                <w:szCs w:val="21"/>
              </w:rPr>
              <w:t>识</w:t>
            </w:r>
          </w:p>
        </w:tc>
        <w:tc>
          <w:tcPr>
            <w:tcW w:w="2745" w:type="dxa"/>
            <w:gridSpan w:val="3"/>
            <w:tcBorders>
              <w:top w:val="single" w:sz="12" w:space="0" w:color="auto"/>
            </w:tcBorders>
          </w:tcPr>
          <w:p w:rsidR="00475650" w:rsidRDefault="00475650">
            <w:pPr>
              <w:ind w:left="57" w:right="57"/>
              <w:jc w:val="left"/>
              <w:rPr>
                <w:szCs w:val="21"/>
              </w:rPr>
            </w:pPr>
            <w:r>
              <w:rPr>
                <w:rFonts w:hAnsi="宋体"/>
                <w:szCs w:val="21"/>
              </w:rPr>
              <w:t>中文名：亚硝酸钠</w:t>
            </w:r>
          </w:p>
        </w:tc>
        <w:tc>
          <w:tcPr>
            <w:tcW w:w="2115" w:type="dxa"/>
            <w:gridSpan w:val="2"/>
            <w:tcBorders>
              <w:top w:val="single" w:sz="12" w:space="0" w:color="auto"/>
            </w:tcBorders>
          </w:tcPr>
          <w:p w:rsidR="00475650" w:rsidRDefault="00475650">
            <w:pPr>
              <w:ind w:left="57" w:right="57"/>
              <w:jc w:val="left"/>
              <w:rPr>
                <w:szCs w:val="21"/>
              </w:rPr>
            </w:pPr>
            <w:r>
              <w:rPr>
                <w:rFonts w:hAnsi="宋体"/>
                <w:szCs w:val="21"/>
              </w:rPr>
              <w:t>分子式：</w:t>
            </w:r>
            <w:r>
              <w:rPr>
                <w:szCs w:val="21"/>
              </w:rPr>
              <w:t>NaNO</w:t>
            </w:r>
            <w:r>
              <w:rPr>
                <w:szCs w:val="21"/>
                <w:vertAlign w:val="subscript"/>
              </w:rPr>
              <w:t>2</w:t>
            </w:r>
          </w:p>
        </w:tc>
        <w:tc>
          <w:tcPr>
            <w:tcW w:w="3427" w:type="dxa"/>
            <w:gridSpan w:val="3"/>
            <w:tcBorders>
              <w:top w:val="single" w:sz="12" w:space="0" w:color="auto"/>
              <w:right w:val="single" w:sz="12" w:space="0" w:color="auto"/>
            </w:tcBorders>
          </w:tcPr>
          <w:p w:rsidR="00475650" w:rsidRDefault="00475650">
            <w:pPr>
              <w:ind w:left="57" w:right="57"/>
              <w:jc w:val="left"/>
              <w:rPr>
                <w:szCs w:val="21"/>
              </w:rPr>
            </w:pPr>
            <w:r>
              <w:rPr>
                <w:rFonts w:hAnsi="宋体"/>
                <w:szCs w:val="21"/>
              </w:rPr>
              <w:t>分子量：</w:t>
            </w:r>
            <w:r>
              <w:rPr>
                <w:szCs w:val="21"/>
              </w:rPr>
              <w:t>69.01</w:t>
            </w:r>
          </w:p>
        </w:tc>
      </w:tr>
      <w:tr w:rsidR="00475650">
        <w:trPr>
          <w:cantSplit/>
          <w:trHeight w:val="320"/>
          <w:jc w:val="center"/>
        </w:trPr>
        <w:tc>
          <w:tcPr>
            <w:tcW w:w="612" w:type="dxa"/>
            <w:vMerge/>
            <w:tcBorders>
              <w:left w:val="single" w:sz="12" w:space="0" w:color="auto"/>
            </w:tcBorders>
            <w:vAlign w:val="center"/>
          </w:tcPr>
          <w:p w:rsidR="00475650" w:rsidRDefault="00475650">
            <w:pPr>
              <w:ind w:left="57" w:right="57"/>
              <w:jc w:val="left"/>
              <w:rPr>
                <w:szCs w:val="21"/>
              </w:rPr>
            </w:pPr>
          </w:p>
        </w:tc>
        <w:tc>
          <w:tcPr>
            <w:tcW w:w="2745" w:type="dxa"/>
            <w:gridSpan w:val="3"/>
          </w:tcPr>
          <w:p w:rsidR="00475650" w:rsidRDefault="00475650">
            <w:pPr>
              <w:ind w:left="57" w:right="57"/>
              <w:jc w:val="left"/>
              <w:rPr>
                <w:szCs w:val="21"/>
              </w:rPr>
            </w:pPr>
            <w:r>
              <w:rPr>
                <w:rFonts w:hAnsi="宋体"/>
                <w:szCs w:val="21"/>
              </w:rPr>
              <w:t>英文名：</w:t>
            </w:r>
            <w:r>
              <w:rPr>
                <w:szCs w:val="21"/>
              </w:rPr>
              <w:t xml:space="preserve">sodium nitrite  </w:t>
            </w:r>
          </w:p>
        </w:tc>
        <w:tc>
          <w:tcPr>
            <w:tcW w:w="2115" w:type="dxa"/>
            <w:gridSpan w:val="2"/>
            <w:tcBorders>
              <w:bottom w:val="nil"/>
            </w:tcBorders>
          </w:tcPr>
          <w:p w:rsidR="00475650" w:rsidRDefault="00475650">
            <w:pPr>
              <w:ind w:leftChars="10" w:left="21" w:right="57"/>
              <w:jc w:val="left"/>
              <w:rPr>
                <w:szCs w:val="21"/>
              </w:rPr>
            </w:pPr>
            <w:r>
              <w:rPr>
                <w:szCs w:val="21"/>
              </w:rPr>
              <w:t>UN</w:t>
            </w:r>
            <w:r>
              <w:rPr>
                <w:rFonts w:hAnsi="宋体"/>
                <w:szCs w:val="21"/>
              </w:rPr>
              <w:t>编号：</w:t>
            </w:r>
            <w:r>
              <w:rPr>
                <w:szCs w:val="21"/>
              </w:rPr>
              <w:t>1500</w:t>
            </w:r>
          </w:p>
        </w:tc>
        <w:tc>
          <w:tcPr>
            <w:tcW w:w="3427" w:type="dxa"/>
            <w:gridSpan w:val="3"/>
            <w:tcBorders>
              <w:bottom w:val="nil"/>
              <w:right w:val="single" w:sz="12" w:space="0" w:color="auto"/>
            </w:tcBorders>
          </w:tcPr>
          <w:p w:rsidR="00475650" w:rsidRDefault="00475650">
            <w:pPr>
              <w:ind w:left="57" w:right="57"/>
              <w:jc w:val="left"/>
              <w:rPr>
                <w:szCs w:val="21"/>
              </w:rPr>
            </w:pPr>
            <w:r>
              <w:rPr>
                <w:rFonts w:hAnsi="宋体"/>
                <w:szCs w:val="21"/>
              </w:rPr>
              <w:t>危险性类别：第</w:t>
            </w:r>
            <w:r>
              <w:rPr>
                <w:szCs w:val="21"/>
              </w:rPr>
              <w:t>5.1</w:t>
            </w:r>
            <w:r>
              <w:rPr>
                <w:rFonts w:hAnsi="宋体"/>
                <w:szCs w:val="21"/>
              </w:rPr>
              <w:t>氧化剂</w:t>
            </w:r>
          </w:p>
        </w:tc>
      </w:tr>
      <w:tr w:rsidR="00475650">
        <w:trPr>
          <w:cantSplit/>
          <w:trHeight w:val="320"/>
          <w:jc w:val="center"/>
        </w:trPr>
        <w:tc>
          <w:tcPr>
            <w:tcW w:w="612" w:type="dxa"/>
            <w:vMerge/>
            <w:tcBorders>
              <w:left w:val="single" w:sz="12" w:space="0" w:color="auto"/>
            </w:tcBorders>
            <w:vAlign w:val="center"/>
          </w:tcPr>
          <w:p w:rsidR="00475650" w:rsidRDefault="00475650">
            <w:pPr>
              <w:ind w:left="57" w:right="57"/>
              <w:jc w:val="left"/>
              <w:rPr>
                <w:szCs w:val="21"/>
              </w:rPr>
            </w:pPr>
          </w:p>
        </w:tc>
        <w:tc>
          <w:tcPr>
            <w:tcW w:w="2745" w:type="dxa"/>
            <w:gridSpan w:val="3"/>
          </w:tcPr>
          <w:p w:rsidR="00475650" w:rsidRDefault="00475650">
            <w:pPr>
              <w:ind w:left="57" w:right="57"/>
              <w:jc w:val="left"/>
              <w:rPr>
                <w:szCs w:val="21"/>
              </w:rPr>
            </w:pPr>
            <w:r>
              <w:rPr>
                <w:rFonts w:hAnsi="宋体"/>
                <w:szCs w:val="21"/>
              </w:rPr>
              <w:t>危规号：</w:t>
            </w:r>
            <w:r>
              <w:rPr>
                <w:szCs w:val="21"/>
              </w:rPr>
              <w:t>51525</w:t>
            </w:r>
          </w:p>
        </w:tc>
        <w:tc>
          <w:tcPr>
            <w:tcW w:w="2115" w:type="dxa"/>
            <w:gridSpan w:val="2"/>
          </w:tcPr>
          <w:p w:rsidR="00475650" w:rsidRDefault="00475650">
            <w:pPr>
              <w:ind w:left="57" w:right="57"/>
              <w:jc w:val="left"/>
              <w:rPr>
                <w:szCs w:val="21"/>
              </w:rPr>
            </w:pPr>
            <w:r>
              <w:rPr>
                <w:rFonts w:hAnsi="宋体"/>
                <w:szCs w:val="21"/>
              </w:rPr>
              <w:t>技术说明书编码：</w:t>
            </w:r>
            <w:r>
              <w:rPr>
                <w:szCs w:val="21"/>
              </w:rPr>
              <w:t>597</w:t>
            </w:r>
          </w:p>
        </w:tc>
        <w:tc>
          <w:tcPr>
            <w:tcW w:w="3427" w:type="dxa"/>
            <w:gridSpan w:val="3"/>
            <w:tcBorders>
              <w:right w:val="single" w:sz="12" w:space="0" w:color="auto"/>
            </w:tcBorders>
          </w:tcPr>
          <w:p w:rsidR="00475650" w:rsidRDefault="00475650">
            <w:pPr>
              <w:ind w:left="57" w:right="57"/>
              <w:jc w:val="left"/>
              <w:rPr>
                <w:szCs w:val="21"/>
              </w:rPr>
            </w:pPr>
            <w:r>
              <w:rPr>
                <w:szCs w:val="21"/>
              </w:rPr>
              <w:t>CAS</w:t>
            </w:r>
            <w:r>
              <w:rPr>
                <w:rFonts w:hAnsi="宋体"/>
                <w:szCs w:val="21"/>
              </w:rPr>
              <w:t>号：</w:t>
            </w:r>
            <w:r>
              <w:rPr>
                <w:szCs w:val="21"/>
              </w:rPr>
              <w:t>7632-00-0</w:t>
            </w:r>
          </w:p>
        </w:tc>
      </w:tr>
      <w:tr w:rsidR="00475650">
        <w:trPr>
          <w:cantSplit/>
          <w:trHeight w:val="320"/>
          <w:jc w:val="center"/>
        </w:trPr>
        <w:tc>
          <w:tcPr>
            <w:tcW w:w="612" w:type="dxa"/>
            <w:vMerge w:val="restart"/>
            <w:tcBorders>
              <w:left w:val="single" w:sz="12" w:space="0" w:color="auto"/>
            </w:tcBorders>
            <w:vAlign w:val="center"/>
          </w:tcPr>
          <w:p w:rsidR="00475650" w:rsidRDefault="00475650">
            <w:pPr>
              <w:ind w:left="57" w:right="57"/>
              <w:jc w:val="left"/>
              <w:rPr>
                <w:szCs w:val="21"/>
              </w:rPr>
            </w:pPr>
            <w:r>
              <w:rPr>
                <w:rFonts w:hAnsi="宋体"/>
                <w:szCs w:val="21"/>
              </w:rPr>
              <w:t>理化性质</w:t>
            </w:r>
          </w:p>
        </w:tc>
        <w:tc>
          <w:tcPr>
            <w:tcW w:w="2367" w:type="dxa"/>
            <w:gridSpan w:val="2"/>
          </w:tcPr>
          <w:p w:rsidR="00475650" w:rsidRDefault="00475650">
            <w:pPr>
              <w:ind w:left="57" w:right="57"/>
              <w:jc w:val="left"/>
              <w:rPr>
                <w:szCs w:val="21"/>
              </w:rPr>
            </w:pPr>
            <w:r>
              <w:rPr>
                <w:rFonts w:hAnsi="宋体"/>
                <w:szCs w:val="21"/>
              </w:rPr>
              <w:t>外观与性状</w:t>
            </w:r>
          </w:p>
        </w:tc>
        <w:tc>
          <w:tcPr>
            <w:tcW w:w="5920" w:type="dxa"/>
            <w:gridSpan w:val="6"/>
            <w:tcBorders>
              <w:right w:val="single" w:sz="12" w:space="0" w:color="auto"/>
            </w:tcBorders>
          </w:tcPr>
          <w:p w:rsidR="00475650" w:rsidRDefault="00475650">
            <w:pPr>
              <w:ind w:left="57" w:right="57"/>
              <w:jc w:val="left"/>
              <w:rPr>
                <w:szCs w:val="21"/>
              </w:rPr>
            </w:pPr>
            <w:r>
              <w:rPr>
                <w:rFonts w:hAnsi="宋体"/>
                <w:szCs w:val="21"/>
              </w:rPr>
              <w:t>白色或淡黄色细结晶，无臭，略有咸味，易潮解。</w:t>
            </w:r>
          </w:p>
        </w:tc>
      </w:tr>
      <w:tr w:rsidR="00475650">
        <w:trPr>
          <w:cantSplit/>
          <w:trHeight w:val="320"/>
          <w:jc w:val="center"/>
        </w:trPr>
        <w:tc>
          <w:tcPr>
            <w:tcW w:w="612" w:type="dxa"/>
            <w:vMerge/>
            <w:tcBorders>
              <w:left w:val="single" w:sz="12" w:space="0" w:color="auto"/>
            </w:tcBorders>
            <w:vAlign w:val="center"/>
          </w:tcPr>
          <w:p w:rsidR="00475650" w:rsidRDefault="00475650">
            <w:pPr>
              <w:ind w:left="57" w:right="57"/>
              <w:jc w:val="left"/>
              <w:rPr>
                <w:szCs w:val="21"/>
              </w:rPr>
            </w:pPr>
          </w:p>
        </w:tc>
        <w:tc>
          <w:tcPr>
            <w:tcW w:w="2367" w:type="dxa"/>
            <w:gridSpan w:val="2"/>
          </w:tcPr>
          <w:p w:rsidR="00475650" w:rsidRDefault="00475650">
            <w:pPr>
              <w:ind w:left="57" w:right="57"/>
              <w:jc w:val="left"/>
              <w:rPr>
                <w:szCs w:val="21"/>
              </w:rPr>
            </w:pPr>
            <w:r>
              <w:rPr>
                <w:rFonts w:hAnsi="宋体"/>
                <w:szCs w:val="21"/>
              </w:rPr>
              <w:t>熔点</w:t>
            </w:r>
            <w:r>
              <w:rPr>
                <w:szCs w:val="21"/>
              </w:rPr>
              <w:t>/</w:t>
            </w:r>
            <w:r>
              <w:rPr>
                <w:rFonts w:ascii="宋体" w:hAnsi="宋体"/>
                <w:szCs w:val="21"/>
              </w:rPr>
              <w:t>℃</w:t>
            </w:r>
          </w:p>
        </w:tc>
        <w:tc>
          <w:tcPr>
            <w:tcW w:w="2493" w:type="dxa"/>
            <w:gridSpan w:val="3"/>
          </w:tcPr>
          <w:p w:rsidR="00475650" w:rsidRDefault="00475650">
            <w:pPr>
              <w:ind w:left="57" w:right="57"/>
              <w:jc w:val="left"/>
              <w:rPr>
                <w:szCs w:val="21"/>
              </w:rPr>
            </w:pPr>
            <w:r>
              <w:rPr>
                <w:szCs w:val="21"/>
              </w:rPr>
              <w:t>271</w:t>
            </w:r>
          </w:p>
        </w:tc>
        <w:tc>
          <w:tcPr>
            <w:tcW w:w="2052" w:type="dxa"/>
            <w:gridSpan w:val="2"/>
          </w:tcPr>
          <w:p w:rsidR="00475650" w:rsidRDefault="00475650">
            <w:pPr>
              <w:ind w:left="57" w:right="57"/>
              <w:jc w:val="left"/>
              <w:rPr>
                <w:szCs w:val="21"/>
              </w:rPr>
            </w:pPr>
            <w:r>
              <w:rPr>
                <w:rFonts w:hAnsi="宋体"/>
                <w:szCs w:val="21"/>
              </w:rPr>
              <w:t>相对密度（空气</w:t>
            </w:r>
            <w:r>
              <w:rPr>
                <w:szCs w:val="21"/>
              </w:rPr>
              <w:t>=1</w:t>
            </w:r>
            <w:r>
              <w:rPr>
                <w:rFonts w:hAnsi="宋体"/>
                <w:szCs w:val="21"/>
              </w:rPr>
              <w:t>）</w:t>
            </w:r>
          </w:p>
        </w:tc>
        <w:tc>
          <w:tcPr>
            <w:tcW w:w="1375" w:type="dxa"/>
            <w:tcBorders>
              <w:right w:val="single" w:sz="12" w:space="0" w:color="auto"/>
            </w:tcBorders>
          </w:tcPr>
          <w:p w:rsidR="00475650" w:rsidRDefault="00475650">
            <w:pPr>
              <w:ind w:left="57" w:rightChars="-44" w:right="-92"/>
              <w:jc w:val="left"/>
              <w:rPr>
                <w:szCs w:val="21"/>
              </w:rPr>
            </w:pPr>
            <w:r>
              <w:rPr>
                <w:rFonts w:hAnsi="宋体"/>
                <w:szCs w:val="21"/>
              </w:rPr>
              <w:t>无资料</w:t>
            </w:r>
          </w:p>
        </w:tc>
      </w:tr>
      <w:tr w:rsidR="00475650">
        <w:trPr>
          <w:cantSplit/>
          <w:trHeight w:val="320"/>
          <w:jc w:val="center"/>
        </w:trPr>
        <w:tc>
          <w:tcPr>
            <w:tcW w:w="612" w:type="dxa"/>
            <w:vMerge/>
            <w:tcBorders>
              <w:left w:val="single" w:sz="12" w:space="0" w:color="auto"/>
            </w:tcBorders>
            <w:vAlign w:val="center"/>
          </w:tcPr>
          <w:p w:rsidR="00475650" w:rsidRDefault="00475650">
            <w:pPr>
              <w:ind w:left="57" w:right="57"/>
              <w:jc w:val="left"/>
              <w:rPr>
                <w:szCs w:val="21"/>
              </w:rPr>
            </w:pPr>
          </w:p>
        </w:tc>
        <w:tc>
          <w:tcPr>
            <w:tcW w:w="2367" w:type="dxa"/>
            <w:gridSpan w:val="2"/>
          </w:tcPr>
          <w:p w:rsidR="00475650" w:rsidRDefault="00475650">
            <w:pPr>
              <w:ind w:left="57" w:right="57"/>
              <w:jc w:val="left"/>
              <w:rPr>
                <w:szCs w:val="21"/>
              </w:rPr>
            </w:pPr>
            <w:r>
              <w:rPr>
                <w:rFonts w:hAnsi="宋体"/>
                <w:szCs w:val="21"/>
              </w:rPr>
              <w:t>沸点</w:t>
            </w:r>
            <w:r>
              <w:rPr>
                <w:szCs w:val="21"/>
              </w:rPr>
              <w:t>/</w:t>
            </w:r>
            <w:r>
              <w:rPr>
                <w:rFonts w:ascii="宋体" w:hAnsi="宋体"/>
                <w:szCs w:val="21"/>
              </w:rPr>
              <w:t>℃</w:t>
            </w:r>
          </w:p>
        </w:tc>
        <w:tc>
          <w:tcPr>
            <w:tcW w:w="2493" w:type="dxa"/>
            <w:gridSpan w:val="3"/>
          </w:tcPr>
          <w:p w:rsidR="00475650" w:rsidRDefault="00475650">
            <w:pPr>
              <w:ind w:left="57" w:right="57"/>
              <w:jc w:val="left"/>
              <w:rPr>
                <w:szCs w:val="21"/>
              </w:rPr>
            </w:pPr>
            <w:r>
              <w:rPr>
                <w:szCs w:val="21"/>
              </w:rPr>
              <w:t>320</w:t>
            </w:r>
            <w:r>
              <w:rPr>
                <w:rFonts w:hAnsi="宋体"/>
                <w:szCs w:val="21"/>
              </w:rPr>
              <w:t>（分解）</w:t>
            </w:r>
          </w:p>
        </w:tc>
        <w:tc>
          <w:tcPr>
            <w:tcW w:w="2052" w:type="dxa"/>
            <w:gridSpan w:val="2"/>
          </w:tcPr>
          <w:p w:rsidR="00475650" w:rsidRDefault="00475650">
            <w:pPr>
              <w:ind w:left="57" w:right="57"/>
              <w:jc w:val="left"/>
              <w:rPr>
                <w:szCs w:val="21"/>
              </w:rPr>
            </w:pPr>
            <w:r>
              <w:rPr>
                <w:rFonts w:hAnsi="宋体"/>
                <w:szCs w:val="21"/>
              </w:rPr>
              <w:t>临界温度</w:t>
            </w:r>
            <w:r>
              <w:rPr>
                <w:szCs w:val="21"/>
              </w:rPr>
              <w:t>/</w:t>
            </w:r>
            <w:r>
              <w:rPr>
                <w:rFonts w:ascii="宋体" w:hAnsi="宋体"/>
                <w:szCs w:val="21"/>
              </w:rPr>
              <w:t>℃</w:t>
            </w:r>
          </w:p>
        </w:tc>
        <w:tc>
          <w:tcPr>
            <w:tcW w:w="1375" w:type="dxa"/>
            <w:tcBorders>
              <w:right w:val="single" w:sz="12" w:space="0" w:color="auto"/>
            </w:tcBorders>
          </w:tcPr>
          <w:p w:rsidR="00475650" w:rsidRDefault="00475650">
            <w:pPr>
              <w:ind w:left="57" w:rightChars="-44" w:right="-92"/>
              <w:jc w:val="left"/>
              <w:rPr>
                <w:szCs w:val="21"/>
              </w:rPr>
            </w:pPr>
            <w:r>
              <w:rPr>
                <w:rFonts w:hAnsi="宋体"/>
                <w:szCs w:val="21"/>
              </w:rPr>
              <w:t>无意义</w:t>
            </w:r>
          </w:p>
        </w:tc>
      </w:tr>
      <w:tr w:rsidR="00475650">
        <w:trPr>
          <w:cantSplit/>
          <w:trHeight w:val="320"/>
          <w:jc w:val="center"/>
        </w:trPr>
        <w:tc>
          <w:tcPr>
            <w:tcW w:w="612" w:type="dxa"/>
            <w:vMerge/>
            <w:tcBorders>
              <w:left w:val="single" w:sz="12" w:space="0" w:color="auto"/>
            </w:tcBorders>
            <w:vAlign w:val="center"/>
          </w:tcPr>
          <w:p w:rsidR="00475650" w:rsidRDefault="00475650">
            <w:pPr>
              <w:ind w:left="57" w:right="57"/>
              <w:jc w:val="left"/>
              <w:rPr>
                <w:szCs w:val="21"/>
              </w:rPr>
            </w:pPr>
          </w:p>
        </w:tc>
        <w:tc>
          <w:tcPr>
            <w:tcW w:w="2367" w:type="dxa"/>
            <w:gridSpan w:val="2"/>
          </w:tcPr>
          <w:p w:rsidR="00475650" w:rsidRDefault="00475650">
            <w:pPr>
              <w:ind w:left="57" w:right="57"/>
              <w:jc w:val="left"/>
              <w:rPr>
                <w:szCs w:val="21"/>
              </w:rPr>
            </w:pPr>
            <w:r>
              <w:rPr>
                <w:rFonts w:hAnsi="宋体"/>
                <w:szCs w:val="21"/>
              </w:rPr>
              <w:t>相对密度（水</w:t>
            </w:r>
            <w:r>
              <w:rPr>
                <w:szCs w:val="21"/>
              </w:rPr>
              <w:t>=1</w:t>
            </w:r>
            <w:r>
              <w:rPr>
                <w:rFonts w:hAnsi="宋体"/>
                <w:szCs w:val="21"/>
              </w:rPr>
              <w:t>）</w:t>
            </w:r>
          </w:p>
        </w:tc>
        <w:tc>
          <w:tcPr>
            <w:tcW w:w="2493" w:type="dxa"/>
            <w:gridSpan w:val="3"/>
          </w:tcPr>
          <w:p w:rsidR="00475650" w:rsidRDefault="00475650">
            <w:pPr>
              <w:ind w:left="57" w:right="57"/>
              <w:jc w:val="left"/>
              <w:rPr>
                <w:szCs w:val="21"/>
              </w:rPr>
            </w:pPr>
            <w:r>
              <w:rPr>
                <w:szCs w:val="21"/>
              </w:rPr>
              <w:t>2.17</w:t>
            </w:r>
          </w:p>
        </w:tc>
        <w:tc>
          <w:tcPr>
            <w:tcW w:w="2052" w:type="dxa"/>
            <w:gridSpan w:val="2"/>
          </w:tcPr>
          <w:p w:rsidR="00475650" w:rsidRDefault="00475650">
            <w:pPr>
              <w:ind w:left="57" w:right="57"/>
              <w:jc w:val="left"/>
              <w:rPr>
                <w:szCs w:val="21"/>
              </w:rPr>
            </w:pPr>
            <w:r>
              <w:rPr>
                <w:rFonts w:hAnsi="宋体"/>
                <w:szCs w:val="21"/>
              </w:rPr>
              <w:t>临界压力</w:t>
            </w:r>
            <w:r>
              <w:rPr>
                <w:szCs w:val="21"/>
              </w:rPr>
              <w:t>/MPa</w:t>
            </w:r>
          </w:p>
        </w:tc>
        <w:tc>
          <w:tcPr>
            <w:tcW w:w="1375" w:type="dxa"/>
            <w:tcBorders>
              <w:right w:val="single" w:sz="12" w:space="0" w:color="auto"/>
            </w:tcBorders>
          </w:tcPr>
          <w:p w:rsidR="00475650" w:rsidRDefault="00475650">
            <w:pPr>
              <w:ind w:left="57" w:rightChars="-44" w:right="-92"/>
              <w:jc w:val="left"/>
              <w:rPr>
                <w:szCs w:val="21"/>
              </w:rPr>
            </w:pPr>
            <w:r>
              <w:rPr>
                <w:rFonts w:hAnsi="宋体"/>
                <w:szCs w:val="21"/>
              </w:rPr>
              <w:t>无意义</w:t>
            </w:r>
          </w:p>
        </w:tc>
      </w:tr>
      <w:tr w:rsidR="00475650">
        <w:trPr>
          <w:cantSplit/>
          <w:trHeight w:val="320"/>
          <w:jc w:val="center"/>
        </w:trPr>
        <w:tc>
          <w:tcPr>
            <w:tcW w:w="612" w:type="dxa"/>
            <w:vMerge/>
            <w:tcBorders>
              <w:left w:val="single" w:sz="12" w:space="0" w:color="auto"/>
            </w:tcBorders>
            <w:vAlign w:val="center"/>
          </w:tcPr>
          <w:p w:rsidR="00475650" w:rsidRDefault="00475650">
            <w:pPr>
              <w:ind w:left="57" w:right="57"/>
              <w:jc w:val="left"/>
              <w:rPr>
                <w:szCs w:val="21"/>
              </w:rPr>
            </w:pPr>
          </w:p>
        </w:tc>
        <w:tc>
          <w:tcPr>
            <w:tcW w:w="2367" w:type="dxa"/>
            <w:gridSpan w:val="2"/>
          </w:tcPr>
          <w:p w:rsidR="00475650" w:rsidRDefault="00475650">
            <w:pPr>
              <w:ind w:left="57" w:right="57"/>
              <w:jc w:val="left"/>
              <w:rPr>
                <w:szCs w:val="21"/>
              </w:rPr>
            </w:pPr>
            <w:r>
              <w:rPr>
                <w:rFonts w:hAnsi="宋体"/>
                <w:szCs w:val="21"/>
              </w:rPr>
              <w:t>饱和蒸汽压</w:t>
            </w:r>
            <w:r>
              <w:rPr>
                <w:szCs w:val="21"/>
              </w:rPr>
              <w:t>/kPa</w:t>
            </w:r>
          </w:p>
        </w:tc>
        <w:tc>
          <w:tcPr>
            <w:tcW w:w="2493" w:type="dxa"/>
            <w:gridSpan w:val="3"/>
          </w:tcPr>
          <w:p w:rsidR="00475650" w:rsidRDefault="00475650">
            <w:pPr>
              <w:ind w:left="57" w:right="57"/>
              <w:jc w:val="left"/>
              <w:rPr>
                <w:szCs w:val="21"/>
              </w:rPr>
            </w:pPr>
            <w:r>
              <w:rPr>
                <w:rFonts w:hAnsi="宋体"/>
                <w:szCs w:val="21"/>
              </w:rPr>
              <w:t>无资料</w:t>
            </w:r>
          </w:p>
        </w:tc>
        <w:tc>
          <w:tcPr>
            <w:tcW w:w="2052" w:type="dxa"/>
            <w:gridSpan w:val="2"/>
          </w:tcPr>
          <w:p w:rsidR="00475650" w:rsidRDefault="00475650">
            <w:pPr>
              <w:ind w:left="57" w:right="57"/>
              <w:jc w:val="left"/>
              <w:rPr>
                <w:szCs w:val="21"/>
              </w:rPr>
            </w:pPr>
            <w:r>
              <w:rPr>
                <w:rFonts w:hAnsi="宋体"/>
                <w:szCs w:val="21"/>
              </w:rPr>
              <w:t>燃烧热</w:t>
            </w:r>
            <w:r>
              <w:rPr>
                <w:szCs w:val="21"/>
              </w:rPr>
              <w:t>/kJ.mol-1</w:t>
            </w:r>
          </w:p>
        </w:tc>
        <w:tc>
          <w:tcPr>
            <w:tcW w:w="1375" w:type="dxa"/>
            <w:tcBorders>
              <w:right w:val="single" w:sz="12" w:space="0" w:color="auto"/>
            </w:tcBorders>
          </w:tcPr>
          <w:p w:rsidR="00475650" w:rsidRDefault="00475650">
            <w:pPr>
              <w:ind w:left="57" w:rightChars="-44" w:right="-92"/>
              <w:jc w:val="left"/>
              <w:rPr>
                <w:szCs w:val="21"/>
              </w:rPr>
            </w:pPr>
            <w:r>
              <w:rPr>
                <w:rFonts w:hAnsi="宋体"/>
                <w:szCs w:val="21"/>
              </w:rPr>
              <w:t>无意义</w:t>
            </w:r>
          </w:p>
        </w:tc>
      </w:tr>
      <w:tr w:rsidR="00475650">
        <w:trPr>
          <w:cantSplit/>
          <w:trHeight w:val="320"/>
          <w:jc w:val="center"/>
        </w:trPr>
        <w:tc>
          <w:tcPr>
            <w:tcW w:w="612" w:type="dxa"/>
            <w:vMerge/>
            <w:tcBorders>
              <w:left w:val="single" w:sz="12" w:space="0" w:color="auto"/>
            </w:tcBorders>
            <w:vAlign w:val="center"/>
          </w:tcPr>
          <w:p w:rsidR="00475650" w:rsidRDefault="00475650">
            <w:pPr>
              <w:ind w:left="57" w:right="57"/>
              <w:jc w:val="left"/>
              <w:rPr>
                <w:szCs w:val="21"/>
              </w:rPr>
            </w:pPr>
          </w:p>
        </w:tc>
        <w:tc>
          <w:tcPr>
            <w:tcW w:w="2367" w:type="dxa"/>
            <w:gridSpan w:val="2"/>
          </w:tcPr>
          <w:p w:rsidR="00475650" w:rsidRDefault="00475650">
            <w:pPr>
              <w:ind w:left="57" w:right="57"/>
              <w:jc w:val="left"/>
              <w:rPr>
                <w:szCs w:val="21"/>
              </w:rPr>
            </w:pPr>
            <w:r>
              <w:rPr>
                <w:rFonts w:hAnsi="宋体"/>
                <w:szCs w:val="21"/>
              </w:rPr>
              <w:t>引燃温度</w:t>
            </w:r>
            <w:r>
              <w:rPr>
                <w:szCs w:val="21"/>
              </w:rPr>
              <w:t>/</w:t>
            </w:r>
            <w:r>
              <w:rPr>
                <w:rFonts w:ascii="宋体" w:hAnsi="宋体"/>
                <w:szCs w:val="21"/>
              </w:rPr>
              <w:t>℃</w:t>
            </w:r>
          </w:p>
        </w:tc>
        <w:tc>
          <w:tcPr>
            <w:tcW w:w="2493" w:type="dxa"/>
            <w:gridSpan w:val="3"/>
          </w:tcPr>
          <w:p w:rsidR="00475650" w:rsidRDefault="00475650">
            <w:pPr>
              <w:ind w:left="57" w:right="57"/>
              <w:jc w:val="left"/>
              <w:rPr>
                <w:szCs w:val="21"/>
              </w:rPr>
            </w:pPr>
            <w:r>
              <w:rPr>
                <w:rFonts w:hAnsi="宋体"/>
                <w:szCs w:val="21"/>
              </w:rPr>
              <w:t>无意义</w:t>
            </w:r>
          </w:p>
        </w:tc>
        <w:tc>
          <w:tcPr>
            <w:tcW w:w="2052" w:type="dxa"/>
            <w:gridSpan w:val="2"/>
          </w:tcPr>
          <w:p w:rsidR="00475650" w:rsidRDefault="00475650">
            <w:pPr>
              <w:ind w:left="57" w:right="57"/>
              <w:jc w:val="left"/>
              <w:rPr>
                <w:szCs w:val="21"/>
              </w:rPr>
            </w:pPr>
            <w:r>
              <w:rPr>
                <w:rFonts w:hAnsi="宋体"/>
                <w:szCs w:val="21"/>
              </w:rPr>
              <w:t>最大爆炸压力</w:t>
            </w:r>
            <w:r>
              <w:rPr>
                <w:szCs w:val="21"/>
              </w:rPr>
              <w:t>/MPa</w:t>
            </w:r>
          </w:p>
        </w:tc>
        <w:tc>
          <w:tcPr>
            <w:tcW w:w="1375" w:type="dxa"/>
            <w:tcBorders>
              <w:right w:val="single" w:sz="12" w:space="0" w:color="auto"/>
            </w:tcBorders>
          </w:tcPr>
          <w:p w:rsidR="00475650" w:rsidRDefault="00475650">
            <w:pPr>
              <w:ind w:left="57" w:rightChars="-44" w:right="-92"/>
              <w:jc w:val="left"/>
              <w:rPr>
                <w:szCs w:val="21"/>
              </w:rPr>
            </w:pPr>
            <w:r>
              <w:rPr>
                <w:rFonts w:hAnsi="宋体"/>
                <w:szCs w:val="21"/>
              </w:rPr>
              <w:t>无意义</w:t>
            </w:r>
          </w:p>
        </w:tc>
      </w:tr>
      <w:tr w:rsidR="00475650">
        <w:trPr>
          <w:cantSplit/>
          <w:trHeight w:val="320"/>
          <w:jc w:val="center"/>
        </w:trPr>
        <w:tc>
          <w:tcPr>
            <w:tcW w:w="612" w:type="dxa"/>
            <w:vMerge/>
            <w:tcBorders>
              <w:left w:val="single" w:sz="12" w:space="0" w:color="auto"/>
            </w:tcBorders>
            <w:vAlign w:val="center"/>
          </w:tcPr>
          <w:p w:rsidR="00475650" w:rsidRDefault="00475650">
            <w:pPr>
              <w:ind w:left="57" w:right="57"/>
              <w:jc w:val="left"/>
              <w:rPr>
                <w:szCs w:val="21"/>
              </w:rPr>
            </w:pPr>
          </w:p>
        </w:tc>
        <w:tc>
          <w:tcPr>
            <w:tcW w:w="2367" w:type="dxa"/>
            <w:gridSpan w:val="2"/>
          </w:tcPr>
          <w:p w:rsidR="00475650" w:rsidRDefault="00475650">
            <w:pPr>
              <w:ind w:left="57" w:right="57"/>
              <w:jc w:val="left"/>
              <w:rPr>
                <w:szCs w:val="21"/>
              </w:rPr>
            </w:pPr>
            <w:r>
              <w:rPr>
                <w:rFonts w:hAnsi="宋体"/>
                <w:szCs w:val="21"/>
              </w:rPr>
              <w:t>溶解性</w:t>
            </w:r>
          </w:p>
        </w:tc>
        <w:tc>
          <w:tcPr>
            <w:tcW w:w="5920" w:type="dxa"/>
            <w:gridSpan w:val="6"/>
            <w:tcBorders>
              <w:right w:val="single" w:sz="12" w:space="0" w:color="auto"/>
            </w:tcBorders>
          </w:tcPr>
          <w:p w:rsidR="00475650" w:rsidRDefault="00475650">
            <w:pPr>
              <w:ind w:left="57" w:right="57"/>
              <w:jc w:val="left"/>
              <w:rPr>
                <w:szCs w:val="21"/>
              </w:rPr>
            </w:pPr>
            <w:r>
              <w:rPr>
                <w:rFonts w:hAnsi="宋体"/>
                <w:szCs w:val="21"/>
              </w:rPr>
              <w:t>易溶于水，微溶于乙醇、甲醇、乙醚。</w:t>
            </w:r>
          </w:p>
        </w:tc>
      </w:tr>
      <w:tr w:rsidR="00475650">
        <w:trPr>
          <w:cantSplit/>
          <w:trHeight w:val="320"/>
          <w:jc w:val="center"/>
        </w:trPr>
        <w:tc>
          <w:tcPr>
            <w:tcW w:w="612" w:type="dxa"/>
            <w:vMerge w:val="restart"/>
            <w:tcBorders>
              <w:left w:val="single" w:sz="12" w:space="0" w:color="auto"/>
            </w:tcBorders>
            <w:vAlign w:val="center"/>
          </w:tcPr>
          <w:p w:rsidR="00475650" w:rsidRDefault="00475650">
            <w:pPr>
              <w:ind w:left="57" w:right="57"/>
              <w:jc w:val="left"/>
              <w:rPr>
                <w:szCs w:val="21"/>
              </w:rPr>
            </w:pPr>
            <w:r>
              <w:rPr>
                <w:rFonts w:hAnsi="宋体"/>
                <w:szCs w:val="21"/>
              </w:rPr>
              <w:t>毒性及</w:t>
            </w:r>
          </w:p>
          <w:p w:rsidR="00475650" w:rsidRDefault="00475650">
            <w:pPr>
              <w:ind w:left="57" w:right="57"/>
              <w:jc w:val="left"/>
              <w:rPr>
                <w:szCs w:val="21"/>
              </w:rPr>
            </w:pPr>
            <w:r>
              <w:rPr>
                <w:rFonts w:hAnsi="宋体"/>
                <w:szCs w:val="21"/>
              </w:rPr>
              <w:t>健康危害</w:t>
            </w:r>
          </w:p>
        </w:tc>
        <w:tc>
          <w:tcPr>
            <w:tcW w:w="1827" w:type="dxa"/>
            <w:vMerge w:val="restart"/>
            <w:tcBorders>
              <w:top w:val="nil"/>
            </w:tcBorders>
            <w:vAlign w:val="center"/>
          </w:tcPr>
          <w:p w:rsidR="00475650" w:rsidRDefault="00475650">
            <w:pPr>
              <w:ind w:left="57" w:right="57"/>
              <w:jc w:val="left"/>
              <w:rPr>
                <w:szCs w:val="21"/>
              </w:rPr>
            </w:pPr>
            <w:r>
              <w:rPr>
                <w:rFonts w:hAnsi="宋体"/>
                <w:szCs w:val="21"/>
              </w:rPr>
              <w:t>接触限值</w:t>
            </w:r>
          </w:p>
        </w:tc>
        <w:tc>
          <w:tcPr>
            <w:tcW w:w="6460" w:type="dxa"/>
            <w:gridSpan w:val="7"/>
            <w:tcBorders>
              <w:top w:val="nil"/>
              <w:right w:val="single" w:sz="12" w:space="0" w:color="auto"/>
            </w:tcBorders>
            <w:vAlign w:val="center"/>
          </w:tcPr>
          <w:p w:rsidR="00475650" w:rsidRDefault="00475650">
            <w:pPr>
              <w:rPr>
                <w:szCs w:val="21"/>
              </w:rPr>
            </w:pPr>
            <w:r>
              <w:rPr>
                <w:rFonts w:hAnsi="宋体"/>
                <w:szCs w:val="21"/>
              </w:rPr>
              <w:t>中国</w:t>
            </w:r>
            <w:r>
              <w:rPr>
                <w:szCs w:val="21"/>
              </w:rPr>
              <w:t>MAC</w:t>
            </w:r>
            <w:r>
              <w:rPr>
                <w:rFonts w:hAnsi="宋体"/>
                <w:szCs w:val="21"/>
              </w:rPr>
              <w:t>：</w:t>
            </w:r>
            <w:r>
              <w:rPr>
                <w:szCs w:val="21"/>
              </w:rPr>
              <w:t xml:space="preserve"> </w:t>
            </w:r>
            <w:r>
              <w:rPr>
                <w:rFonts w:hAnsi="宋体"/>
                <w:szCs w:val="21"/>
              </w:rPr>
              <w:t>未制定标准</w:t>
            </w:r>
          </w:p>
        </w:tc>
      </w:tr>
      <w:tr w:rsidR="00475650">
        <w:trPr>
          <w:cantSplit/>
          <w:trHeight w:val="320"/>
          <w:jc w:val="center"/>
        </w:trPr>
        <w:tc>
          <w:tcPr>
            <w:tcW w:w="612" w:type="dxa"/>
            <w:vMerge/>
            <w:tcBorders>
              <w:left w:val="single" w:sz="12" w:space="0" w:color="auto"/>
            </w:tcBorders>
            <w:vAlign w:val="center"/>
          </w:tcPr>
          <w:p w:rsidR="00475650" w:rsidRDefault="00475650">
            <w:pPr>
              <w:ind w:left="57" w:right="57"/>
              <w:jc w:val="left"/>
              <w:rPr>
                <w:szCs w:val="21"/>
              </w:rPr>
            </w:pPr>
          </w:p>
        </w:tc>
        <w:tc>
          <w:tcPr>
            <w:tcW w:w="1827" w:type="dxa"/>
            <w:vMerge/>
          </w:tcPr>
          <w:p w:rsidR="00475650" w:rsidRDefault="00475650">
            <w:pPr>
              <w:ind w:left="57" w:right="57"/>
              <w:jc w:val="left"/>
              <w:rPr>
                <w:szCs w:val="21"/>
              </w:rPr>
            </w:pPr>
          </w:p>
        </w:tc>
        <w:tc>
          <w:tcPr>
            <w:tcW w:w="6460" w:type="dxa"/>
            <w:gridSpan w:val="7"/>
            <w:tcBorders>
              <w:right w:val="single" w:sz="12" w:space="0" w:color="auto"/>
            </w:tcBorders>
            <w:vAlign w:val="center"/>
          </w:tcPr>
          <w:p w:rsidR="00475650" w:rsidRDefault="00475650">
            <w:pPr>
              <w:ind w:left="57" w:right="57"/>
              <w:jc w:val="left"/>
              <w:rPr>
                <w:szCs w:val="21"/>
              </w:rPr>
            </w:pPr>
            <w:r>
              <w:rPr>
                <w:rFonts w:hAnsi="宋体"/>
                <w:szCs w:val="21"/>
              </w:rPr>
              <w:t>前苏联</w:t>
            </w:r>
            <w:r>
              <w:rPr>
                <w:szCs w:val="21"/>
              </w:rPr>
              <w:t>MAC</w:t>
            </w:r>
            <w:r>
              <w:rPr>
                <w:rFonts w:hAnsi="宋体"/>
                <w:szCs w:val="21"/>
              </w:rPr>
              <w:t>：</w:t>
            </w:r>
            <w:r>
              <w:rPr>
                <w:szCs w:val="21"/>
              </w:rPr>
              <w:t>0.1mg</w:t>
            </w:r>
            <w:r>
              <w:rPr>
                <w:rFonts w:hAnsi="宋体"/>
                <w:szCs w:val="21"/>
              </w:rPr>
              <w:t>／</w:t>
            </w:r>
            <w:r>
              <w:rPr>
                <w:szCs w:val="21"/>
              </w:rPr>
              <w:t>m</w:t>
            </w:r>
            <w:r>
              <w:rPr>
                <w:szCs w:val="21"/>
                <w:vertAlign w:val="superscript"/>
              </w:rPr>
              <w:t>3</w:t>
            </w:r>
          </w:p>
        </w:tc>
      </w:tr>
      <w:tr w:rsidR="00475650">
        <w:trPr>
          <w:cantSplit/>
          <w:trHeight w:val="320"/>
          <w:jc w:val="center"/>
        </w:trPr>
        <w:tc>
          <w:tcPr>
            <w:tcW w:w="612" w:type="dxa"/>
            <w:vMerge/>
            <w:tcBorders>
              <w:left w:val="single" w:sz="12" w:space="0" w:color="auto"/>
              <w:bottom w:val="single" w:sz="4" w:space="0" w:color="auto"/>
            </w:tcBorders>
            <w:vAlign w:val="center"/>
          </w:tcPr>
          <w:p w:rsidR="00475650" w:rsidRDefault="00475650">
            <w:pPr>
              <w:ind w:left="57" w:right="57"/>
              <w:jc w:val="left"/>
              <w:rPr>
                <w:szCs w:val="21"/>
              </w:rPr>
            </w:pPr>
          </w:p>
        </w:tc>
        <w:tc>
          <w:tcPr>
            <w:tcW w:w="1827" w:type="dxa"/>
            <w:tcBorders>
              <w:bottom w:val="single" w:sz="4" w:space="0" w:color="auto"/>
            </w:tcBorders>
            <w:vAlign w:val="center"/>
          </w:tcPr>
          <w:p w:rsidR="00475650" w:rsidRDefault="00475650">
            <w:pPr>
              <w:ind w:left="57" w:right="57"/>
              <w:rPr>
                <w:szCs w:val="21"/>
              </w:rPr>
            </w:pPr>
            <w:r>
              <w:rPr>
                <w:rFonts w:hAnsi="宋体"/>
                <w:szCs w:val="21"/>
              </w:rPr>
              <w:t>毒理学资料</w:t>
            </w:r>
          </w:p>
        </w:tc>
        <w:tc>
          <w:tcPr>
            <w:tcW w:w="6460" w:type="dxa"/>
            <w:gridSpan w:val="7"/>
            <w:tcBorders>
              <w:bottom w:val="single" w:sz="4" w:space="0" w:color="auto"/>
              <w:right w:val="single" w:sz="12" w:space="0" w:color="auto"/>
            </w:tcBorders>
            <w:vAlign w:val="center"/>
          </w:tcPr>
          <w:p w:rsidR="00475650" w:rsidRDefault="00475650">
            <w:pPr>
              <w:rPr>
                <w:szCs w:val="21"/>
              </w:rPr>
            </w:pPr>
            <w:r>
              <w:rPr>
                <w:szCs w:val="21"/>
              </w:rPr>
              <w:t>LD50</w:t>
            </w:r>
            <w:r>
              <w:rPr>
                <w:rFonts w:hAnsi="宋体"/>
                <w:szCs w:val="21"/>
              </w:rPr>
              <w:t>：</w:t>
            </w:r>
            <w:r>
              <w:rPr>
                <w:szCs w:val="21"/>
              </w:rPr>
              <w:t>85 mg/kg(</w:t>
            </w:r>
            <w:r>
              <w:rPr>
                <w:rFonts w:hAnsi="宋体"/>
                <w:szCs w:val="21"/>
              </w:rPr>
              <w:t>大鼠经口</w:t>
            </w:r>
            <w:r>
              <w:rPr>
                <w:szCs w:val="21"/>
              </w:rPr>
              <w:t>)</w:t>
            </w:r>
          </w:p>
          <w:p w:rsidR="00475650" w:rsidRDefault="00475650">
            <w:pPr>
              <w:rPr>
                <w:szCs w:val="21"/>
              </w:rPr>
            </w:pPr>
            <w:r>
              <w:rPr>
                <w:szCs w:val="21"/>
              </w:rPr>
              <w:t>LC50</w:t>
            </w:r>
            <w:r>
              <w:rPr>
                <w:rFonts w:hAnsi="宋体"/>
                <w:szCs w:val="21"/>
              </w:rPr>
              <w:t>：无资料</w:t>
            </w:r>
          </w:p>
        </w:tc>
      </w:tr>
      <w:tr w:rsidR="00475650">
        <w:trPr>
          <w:cantSplit/>
          <w:trHeight w:val="320"/>
          <w:jc w:val="center"/>
        </w:trPr>
        <w:tc>
          <w:tcPr>
            <w:tcW w:w="612" w:type="dxa"/>
            <w:vMerge/>
            <w:tcBorders>
              <w:left w:val="single" w:sz="12" w:space="0" w:color="auto"/>
            </w:tcBorders>
            <w:vAlign w:val="center"/>
          </w:tcPr>
          <w:p w:rsidR="00475650" w:rsidRDefault="00475650">
            <w:pPr>
              <w:ind w:left="57" w:right="57"/>
              <w:jc w:val="left"/>
              <w:rPr>
                <w:szCs w:val="21"/>
              </w:rPr>
            </w:pPr>
          </w:p>
        </w:tc>
        <w:tc>
          <w:tcPr>
            <w:tcW w:w="1827" w:type="dxa"/>
            <w:vAlign w:val="center"/>
          </w:tcPr>
          <w:p w:rsidR="00475650" w:rsidRDefault="00475650">
            <w:pPr>
              <w:ind w:left="57" w:right="57"/>
              <w:jc w:val="left"/>
              <w:rPr>
                <w:szCs w:val="21"/>
              </w:rPr>
            </w:pPr>
            <w:r>
              <w:rPr>
                <w:rFonts w:hAnsi="宋体"/>
                <w:szCs w:val="21"/>
              </w:rPr>
              <w:t>侵入途径</w:t>
            </w:r>
          </w:p>
        </w:tc>
        <w:tc>
          <w:tcPr>
            <w:tcW w:w="6460" w:type="dxa"/>
            <w:gridSpan w:val="7"/>
            <w:tcBorders>
              <w:right w:val="single" w:sz="12" w:space="0" w:color="auto"/>
            </w:tcBorders>
            <w:vAlign w:val="center"/>
          </w:tcPr>
          <w:p w:rsidR="00475650" w:rsidRDefault="00475650">
            <w:pPr>
              <w:ind w:left="57" w:right="57"/>
              <w:jc w:val="left"/>
              <w:rPr>
                <w:szCs w:val="21"/>
              </w:rPr>
            </w:pPr>
          </w:p>
        </w:tc>
      </w:tr>
      <w:tr w:rsidR="00475650">
        <w:trPr>
          <w:cantSplit/>
          <w:trHeight w:val="320"/>
          <w:jc w:val="center"/>
        </w:trPr>
        <w:tc>
          <w:tcPr>
            <w:tcW w:w="612" w:type="dxa"/>
            <w:vMerge/>
            <w:tcBorders>
              <w:left w:val="single" w:sz="12" w:space="0" w:color="auto"/>
            </w:tcBorders>
            <w:vAlign w:val="center"/>
          </w:tcPr>
          <w:p w:rsidR="00475650" w:rsidRDefault="00475650">
            <w:pPr>
              <w:ind w:left="57" w:right="57"/>
              <w:jc w:val="left"/>
              <w:rPr>
                <w:szCs w:val="21"/>
              </w:rPr>
            </w:pPr>
          </w:p>
        </w:tc>
        <w:tc>
          <w:tcPr>
            <w:tcW w:w="1827" w:type="dxa"/>
            <w:vAlign w:val="center"/>
          </w:tcPr>
          <w:p w:rsidR="00475650" w:rsidRDefault="00475650">
            <w:pPr>
              <w:ind w:left="57" w:right="57"/>
              <w:jc w:val="left"/>
              <w:rPr>
                <w:szCs w:val="21"/>
              </w:rPr>
            </w:pPr>
            <w:r>
              <w:rPr>
                <w:rFonts w:hAnsi="宋体"/>
                <w:szCs w:val="21"/>
              </w:rPr>
              <w:t>健康危害</w:t>
            </w:r>
          </w:p>
        </w:tc>
        <w:tc>
          <w:tcPr>
            <w:tcW w:w="6460" w:type="dxa"/>
            <w:gridSpan w:val="7"/>
            <w:tcBorders>
              <w:right w:val="single" w:sz="12" w:space="0" w:color="auto"/>
            </w:tcBorders>
            <w:vAlign w:val="center"/>
          </w:tcPr>
          <w:p w:rsidR="00475650" w:rsidRDefault="00475650">
            <w:pPr>
              <w:ind w:left="57" w:right="57"/>
              <w:jc w:val="left"/>
              <w:rPr>
                <w:szCs w:val="21"/>
              </w:rPr>
            </w:pPr>
            <w:r>
              <w:rPr>
                <w:rFonts w:hAnsi="宋体"/>
                <w:szCs w:val="21"/>
              </w:rPr>
              <w:t>毒作用为麻痹血管运动中枢、呼吸中枢及周围血管；形成高铁血红蛋白。急性中毒表现为全身无力、头痛、头晕、恶心、呕吐、腹泻、胸部紧迫感以及呼吸困难；检查见皮肤粘膜明显紫绀。严重者血压下降、昏迷、死亡。接触工人手、足部皮肤可发生损害。</w:t>
            </w:r>
            <w:r>
              <w:rPr>
                <w:szCs w:val="21"/>
              </w:rPr>
              <w:t> </w:t>
            </w:r>
          </w:p>
        </w:tc>
      </w:tr>
      <w:tr w:rsidR="00475650">
        <w:trPr>
          <w:cantSplit/>
          <w:trHeight w:val="320"/>
          <w:jc w:val="center"/>
        </w:trPr>
        <w:tc>
          <w:tcPr>
            <w:tcW w:w="612" w:type="dxa"/>
            <w:vMerge w:val="restart"/>
            <w:tcBorders>
              <w:left w:val="single" w:sz="12" w:space="0" w:color="auto"/>
            </w:tcBorders>
            <w:vAlign w:val="center"/>
          </w:tcPr>
          <w:p w:rsidR="00475650" w:rsidRDefault="00475650">
            <w:pPr>
              <w:ind w:left="57" w:right="57"/>
              <w:jc w:val="left"/>
              <w:rPr>
                <w:szCs w:val="21"/>
              </w:rPr>
            </w:pPr>
            <w:r>
              <w:rPr>
                <w:rFonts w:hAnsi="宋体"/>
                <w:szCs w:val="21"/>
              </w:rPr>
              <w:t>燃烧爆炸</w:t>
            </w:r>
          </w:p>
          <w:p w:rsidR="00475650" w:rsidRDefault="00475650">
            <w:pPr>
              <w:ind w:left="57" w:right="57"/>
              <w:jc w:val="left"/>
              <w:rPr>
                <w:szCs w:val="21"/>
              </w:rPr>
            </w:pPr>
            <w:r>
              <w:rPr>
                <w:rFonts w:hAnsi="宋体"/>
                <w:szCs w:val="21"/>
              </w:rPr>
              <w:t>危险性</w:t>
            </w:r>
          </w:p>
        </w:tc>
        <w:tc>
          <w:tcPr>
            <w:tcW w:w="1827" w:type="dxa"/>
          </w:tcPr>
          <w:p w:rsidR="00475650" w:rsidRDefault="00475650">
            <w:pPr>
              <w:ind w:left="57" w:right="57"/>
              <w:jc w:val="left"/>
              <w:rPr>
                <w:szCs w:val="21"/>
              </w:rPr>
            </w:pPr>
            <w:r>
              <w:rPr>
                <w:rFonts w:hAnsi="宋体"/>
                <w:szCs w:val="21"/>
              </w:rPr>
              <w:t>燃烧性</w:t>
            </w:r>
          </w:p>
        </w:tc>
        <w:tc>
          <w:tcPr>
            <w:tcW w:w="2280" w:type="dxa"/>
            <w:gridSpan w:val="3"/>
          </w:tcPr>
          <w:p w:rsidR="00475650" w:rsidRDefault="00475650">
            <w:pPr>
              <w:ind w:left="57" w:right="57"/>
              <w:jc w:val="left"/>
              <w:rPr>
                <w:szCs w:val="21"/>
              </w:rPr>
            </w:pPr>
            <w:r>
              <w:rPr>
                <w:rFonts w:hAnsi="宋体"/>
                <w:szCs w:val="21"/>
              </w:rPr>
              <w:t>助燃</w:t>
            </w:r>
          </w:p>
        </w:tc>
        <w:tc>
          <w:tcPr>
            <w:tcW w:w="2432" w:type="dxa"/>
            <w:gridSpan w:val="2"/>
          </w:tcPr>
          <w:p w:rsidR="00475650" w:rsidRDefault="00475650">
            <w:pPr>
              <w:ind w:left="57" w:right="57"/>
              <w:jc w:val="left"/>
              <w:rPr>
                <w:szCs w:val="21"/>
              </w:rPr>
            </w:pPr>
            <w:r>
              <w:rPr>
                <w:rFonts w:hAnsi="宋体"/>
                <w:szCs w:val="21"/>
              </w:rPr>
              <w:t>闪点</w:t>
            </w:r>
            <w:r>
              <w:rPr>
                <w:szCs w:val="21"/>
              </w:rPr>
              <w:t>/</w:t>
            </w:r>
            <w:r>
              <w:rPr>
                <w:rFonts w:ascii="宋体" w:hAnsi="宋体"/>
                <w:szCs w:val="21"/>
              </w:rPr>
              <w:t>℃</w:t>
            </w:r>
          </w:p>
        </w:tc>
        <w:tc>
          <w:tcPr>
            <w:tcW w:w="1748" w:type="dxa"/>
            <w:gridSpan w:val="2"/>
            <w:tcBorders>
              <w:right w:val="single" w:sz="12" w:space="0" w:color="auto"/>
            </w:tcBorders>
          </w:tcPr>
          <w:p w:rsidR="00475650" w:rsidRDefault="00475650">
            <w:pPr>
              <w:ind w:left="57" w:right="57"/>
              <w:jc w:val="left"/>
              <w:rPr>
                <w:szCs w:val="21"/>
              </w:rPr>
            </w:pPr>
            <w:r>
              <w:rPr>
                <w:rFonts w:hAnsi="宋体"/>
                <w:szCs w:val="21"/>
              </w:rPr>
              <w:t>无意义</w:t>
            </w:r>
          </w:p>
        </w:tc>
      </w:tr>
      <w:tr w:rsidR="00475650">
        <w:trPr>
          <w:cantSplit/>
          <w:trHeight w:val="320"/>
          <w:jc w:val="center"/>
        </w:trPr>
        <w:tc>
          <w:tcPr>
            <w:tcW w:w="612" w:type="dxa"/>
            <w:vMerge/>
            <w:tcBorders>
              <w:left w:val="single" w:sz="12" w:space="0" w:color="auto"/>
            </w:tcBorders>
            <w:vAlign w:val="center"/>
          </w:tcPr>
          <w:p w:rsidR="00475650" w:rsidRDefault="00475650">
            <w:pPr>
              <w:ind w:left="57" w:right="57"/>
              <w:jc w:val="left"/>
              <w:rPr>
                <w:szCs w:val="21"/>
              </w:rPr>
            </w:pPr>
          </w:p>
        </w:tc>
        <w:tc>
          <w:tcPr>
            <w:tcW w:w="1827" w:type="dxa"/>
            <w:vAlign w:val="center"/>
          </w:tcPr>
          <w:p w:rsidR="00475650" w:rsidRDefault="00475650">
            <w:pPr>
              <w:ind w:left="57" w:right="57"/>
              <w:jc w:val="left"/>
              <w:rPr>
                <w:szCs w:val="21"/>
              </w:rPr>
            </w:pPr>
            <w:r>
              <w:rPr>
                <w:rFonts w:hAnsi="宋体"/>
                <w:szCs w:val="21"/>
              </w:rPr>
              <w:t>危险特性</w:t>
            </w:r>
          </w:p>
        </w:tc>
        <w:tc>
          <w:tcPr>
            <w:tcW w:w="6460" w:type="dxa"/>
            <w:gridSpan w:val="7"/>
            <w:tcBorders>
              <w:right w:val="single" w:sz="12" w:space="0" w:color="auto"/>
            </w:tcBorders>
          </w:tcPr>
          <w:p w:rsidR="00475650" w:rsidRDefault="00475650">
            <w:pPr>
              <w:ind w:left="57" w:right="57"/>
              <w:jc w:val="left"/>
              <w:rPr>
                <w:szCs w:val="21"/>
              </w:rPr>
            </w:pPr>
            <w:r>
              <w:rPr>
                <w:rFonts w:hAnsi="宋体"/>
                <w:szCs w:val="21"/>
              </w:rPr>
              <w:t>无机氧化剂。与有机物、可燃物的混合物能燃烧和爆炸，并放出有毒和刺激性的氧化氮气体。与铵盐、可燃物粉末或氰化物的混合物会爆炸。加热或遇酸能产生剧毒的氮氧化物气体。</w:t>
            </w:r>
          </w:p>
        </w:tc>
      </w:tr>
      <w:tr w:rsidR="00475650">
        <w:trPr>
          <w:cantSplit/>
          <w:trHeight w:val="320"/>
          <w:jc w:val="center"/>
        </w:trPr>
        <w:tc>
          <w:tcPr>
            <w:tcW w:w="612" w:type="dxa"/>
            <w:vMerge/>
            <w:tcBorders>
              <w:left w:val="single" w:sz="12" w:space="0" w:color="auto"/>
              <w:bottom w:val="single" w:sz="4" w:space="0" w:color="auto"/>
            </w:tcBorders>
            <w:vAlign w:val="center"/>
          </w:tcPr>
          <w:p w:rsidR="00475650" w:rsidRDefault="00475650">
            <w:pPr>
              <w:ind w:left="57" w:right="57"/>
              <w:jc w:val="left"/>
              <w:rPr>
                <w:szCs w:val="21"/>
              </w:rPr>
            </w:pPr>
          </w:p>
        </w:tc>
        <w:tc>
          <w:tcPr>
            <w:tcW w:w="1827" w:type="dxa"/>
            <w:tcBorders>
              <w:bottom w:val="single" w:sz="4" w:space="0" w:color="auto"/>
            </w:tcBorders>
            <w:vAlign w:val="center"/>
          </w:tcPr>
          <w:p w:rsidR="00475650" w:rsidRDefault="00475650">
            <w:pPr>
              <w:ind w:left="57" w:right="57"/>
              <w:jc w:val="center"/>
              <w:rPr>
                <w:szCs w:val="21"/>
              </w:rPr>
            </w:pPr>
            <w:r>
              <w:rPr>
                <w:rFonts w:hAnsi="宋体"/>
                <w:szCs w:val="21"/>
              </w:rPr>
              <w:t>泄漏应急处理</w:t>
            </w:r>
          </w:p>
        </w:tc>
        <w:tc>
          <w:tcPr>
            <w:tcW w:w="6460" w:type="dxa"/>
            <w:gridSpan w:val="7"/>
            <w:tcBorders>
              <w:bottom w:val="single" w:sz="4" w:space="0" w:color="auto"/>
              <w:right w:val="single" w:sz="12" w:space="0" w:color="auto"/>
            </w:tcBorders>
          </w:tcPr>
          <w:p w:rsidR="00475650" w:rsidRDefault="00475650">
            <w:pPr>
              <w:pStyle w:val="2f3"/>
              <w:spacing w:line="240" w:lineRule="auto"/>
              <w:ind w:firstLine="360"/>
              <w:rPr>
                <w:rFonts w:ascii="Times New Roman" w:eastAsia="宋体" w:hAnsi="Times New Roman"/>
              </w:rPr>
            </w:pPr>
            <w:r>
              <w:rPr>
                <w:rFonts w:ascii="Times New Roman" w:eastAsia="宋体"/>
              </w:rPr>
              <w:t>隔离泄漏污染区，限制出入。建议应急处理人员戴防尘面具（全面罩），穿防毒服。勿使泄漏物与还原剂、有机物、易燃物或金属粉末接触。不要直接接触泄漏物。小量泄漏：用洁净的铲子收集于干燥、洁净、有盖的容器中。大量泄漏：收集回收或运至废物处理场所处置。</w:t>
            </w:r>
          </w:p>
        </w:tc>
      </w:tr>
      <w:tr w:rsidR="00475650">
        <w:trPr>
          <w:cantSplit/>
          <w:trHeight w:val="320"/>
          <w:jc w:val="center"/>
        </w:trPr>
        <w:tc>
          <w:tcPr>
            <w:tcW w:w="612" w:type="dxa"/>
            <w:vMerge/>
            <w:tcBorders>
              <w:left w:val="single" w:sz="12" w:space="0" w:color="auto"/>
            </w:tcBorders>
            <w:vAlign w:val="center"/>
          </w:tcPr>
          <w:p w:rsidR="00475650" w:rsidRDefault="00475650">
            <w:pPr>
              <w:ind w:left="57" w:right="57"/>
              <w:jc w:val="left"/>
              <w:rPr>
                <w:szCs w:val="21"/>
              </w:rPr>
            </w:pPr>
          </w:p>
        </w:tc>
        <w:tc>
          <w:tcPr>
            <w:tcW w:w="1827" w:type="dxa"/>
          </w:tcPr>
          <w:p w:rsidR="00475650" w:rsidRDefault="00475650">
            <w:pPr>
              <w:ind w:left="57" w:right="57"/>
              <w:jc w:val="left"/>
              <w:rPr>
                <w:szCs w:val="21"/>
              </w:rPr>
            </w:pPr>
            <w:r>
              <w:rPr>
                <w:rFonts w:hAnsi="宋体"/>
                <w:szCs w:val="21"/>
              </w:rPr>
              <w:t>禁忌物</w:t>
            </w:r>
          </w:p>
        </w:tc>
        <w:tc>
          <w:tcPr>
            <w:tcW w:w="6460" w:type="dxa"/>
            <w:gridSpan w:val="7"/>
            <w:tcBorders>
              <w:right w:val="single" w:sz="12" w:space="0" w:color="auto"/>
            </w:tcBorders>
          </w:tcPr>
          <w:p w:rsidR="00475650" w:rsidRDefault="00475650">
            <w:pPr>
              <w:ind w:left="57" w:right="57"/>
              <w:jc w:val="left"/>
              <w:rPr>
                <w:szCs w:val="21"/>
              </w:rPr>
            </w:pPr>
            <w:r>
              <w:rPr>
                <w:rFonts w:hAnsi="宋体"/>
                <w:szCs w:val="21"/>
              </w:rPr>
              <w:t>强还原剂、活性金属粉末、强酸。</w:t>
            </w:r>
          </w:p>
        </w:tc>
      </w:tr>
      <w:tr w:rsidR="00475650">
        <w:trPr>
          <w:cantSplit/>
          <w:trHeight w:val="320"/>
          <w:jc w:val="center"/>
        </w:trPr>
        <w:tc>
          <w:tcPr>
            <w:tcW w:w="612" w:type="dxa"/>
            <w:vMerge/>
            <w:tcBorders>
              <w:left w:val="single" w:sz="12" w:space="0" w:color="auto"/>
            </w:tcBorders>
            <w:vAlign w:val="center"/>
          </w:tcPr>
          <w:p w:rsidR="00475650" w:rsidRDefault="00475650">
            <w:pPr>
              <w:ind w:left="57" w:right="57"/>
              <w:jc w:val="left"/>
              <w:rPr>
                <w:szCs w:val="21"/>
              </w:rPr>
            </w:pPr>
          </w:p>
        </w:tc>
        <w:tc>
          <w:tcPr>
            <w:tcW w:w="1827" w:type="dxa"/>
            <w:vAlign w:val="center"/>
          </w:tcPr>
          <w:p w:rsidR="00475650" w:rsidRDefault="00475650">
            <w:pPr>
              <w:ind w:left="57" w:right="57"/>
              <w:jc w:val="left"/>
              <w:rPr>
                <w:szCs w:val="21"/>
              </w:rPr>
            </w:pPr>
            <w:r>
              <w:rPr>
                <w:rFonts w:hAnsi="宋体"/>
                <w:szCs w:val="21"/>
              </w:rPr>
              <w:t>灭火方法</w:t>
            </w:r>
          </w:p>
        </w:tc>
        <w:tc>
          <w:tcPr>
            <w:tcW w:w="6460" w:type="dxa"/>
            <w:gridSpan w:val="7"/>
            <w:tcBorders>
              <w:right w:val="single" w:sz="12" w:space="0" w:color="auto"/>
            </w:tcBorders>
            <w:vAlign w:val="center"/>
          </w:tcPr>
          <w:p w:rsidR="00475650" w:rsidRDefault="00475650">
            <w:pPr>
              <w:ind w:left="57" w:right="57"/>
              <w:jc w:val="left"/>
              <w:rPr>
                <w:szCs w:val="21"/>
              </w:rPr>
            </w:pPr>
            <w:r>
              <w:rPr>
                <w:rFonts w:hAnsi="宋体"/>
                <w:szCs w:val="21"/>
              </w:rPr>
              <w:t>消防人员须戴好防毒面具，在安全距离以外，在上风向灭火。灭火剂：雾状水、砂土。</w:t>
            </w:r>
          </w:p>
        </w:tc>
      </w:tr>
      <w:tr w:rsidR="00475650">
        <w:trPr>
          <w:cantSplit/>
          <w:trHeight w:val="320"/>
          <w:jc w:val="center"/>
        </w:trPr>
        <w:tc>
          <w:tcPr>
            <w:tcW w:w="612" w:type="dxa"/>
            <w:vMerge w:val="restart"/>
            <w:tcBorders>
              <w:left w:val="single" w:sz="12" w:space="0" w:color="auto"/>
            </w:tcBorders>
            <w:vAlign w:val="center"/>
          </w:tcPr>
          <w:p w:rsidR="00475650" w:rsidRDefault="00475650">
            <w:pPr>
              <w:ind w:left="57" w:right="57"/>
              <w:jc w:val="left"/>
              <w:rPr>
                <w:szCs w:val="21"/>
              </w:rPr>
            </w:pPr>
            <w:r>
              <w:rPr>
                <w:rFonts w:hAnsi="宋体"/>
                <w:szCs w:val="21"/>
              </w:rPr>
              <w:t>储运</w:t>
            </w:r>
          </w:p>
        </w:tc>
        <w:tc>
          <w:tcPr>
            <w:tcW w:w="1827" w:type="dxa"/>
            <w:vAlign w:val="center"/>
          </w:tcPr>
          <w:p w:rsidR="00475650" w:rsidRDefault="00475650">
            <w:pPr>
              <w:ind w:left="57" w:right="57"/>
              <w:jc w:val="left"/>
              <w:rPr>
                <w:szCs w:val="21"/>
              </w:rPr>
            </w:pPr>
            <w:r>
              <w:rPr>
                <w:rFonts w:hAnsi="宋体"/>
                <w:szCs w:val="21"/>
              </w:rPr>
              <w:t>储存注意事项</w:t>
            </w:r>
          </w:p>
        </w:tc>
        <w:tc>
          <w:tcPr>
            <w:tcW w:w="6460" w:type="dxa"/>
            <w:gridSpan w:val="7"/>
            <w:tcBorders>
              <w:right w:val="single" w:sz="12" w:space="0" w:color="auto"/>
            </w:tcBorders>
            <w:vAlign w:val="center"/>
          </w:tcPr>
          <w:p w:rsidR="00475650" w:rsidRDefault="00475650">
            <w:pPr>
              <w:ind w:left="57" w:right="57"/>
              <w:jc w:val="left"/>
              <w:rPr>
                <w:szCs w:val="21"/>
              </w:rPr>
            </w:pPr>
            <w:r>
              <w:rPr>
                <w:rFonts w:hAnsi="宋体"/>
                <w:szCs w:val="21"/>
              </w:rPr>
              <w:t>储存于阴凉、通风的库房。远离火种、热源。库温不超过</w:t>
            </w:r>
            <w:r>
              <w:rPr>
                <w:szCs w:val="21"/>
              </w:rPr>
              <w:t>30</w:t>
            </w:r>
            <w:r>
              <w:rPr>
                <w:rFonts w:ascii="宋体" w:hAnsi="宋体"/>
                <w:szCs w:val="21"/>
              </w:rPr>
              <w:t>℃</w:t>
            </w:r>
            <w:r>
              <w:rPr>
                <w:rFonts w:hAnsi="宋体"/>
                <w:szCs w:val="21"/>
              </w:rPr>
              <w:t>，相对湿度不超过</w:t>
            </w:r>
            <w:r>
              <w:rPr>
                <w:szCs w:val="21"/>
              </w:rPr>
              <w:t>80</w:t>
            </w:r>
            <w:r>
              <w:rPr>
                <w:rFonts w:hAnsi="宋体"/>
                <w:szCs w:val="21"/>
              </w:rPr>
              <w:t>％。包装要求密封，不可与空气接触。应与还原剂、活性金属粉末、酸类、食用化学品分开存放，切忌混储。储区应备有合适的材料收容泄漏物。</w:t>
            </w:r>
          </w:p>
        </w:tc>
      </w:tr>
      <w:tr w:rsidR="00475650">
        <w:trPr>
          <w:cantSplit/>
          <w:trHeight w:val="320"/>
          <w:jc w:val="center"/>
        </w:trPr>
        <w:tc>
          <w:tcPr>
            <w:tcW w:w="612" w:type="dxa"/>
            <w:vMerge/>
            <w:tcBorders>
              <w:left w:val="single" w:sz="12" w:space="0" w:color="auto"/>
              <w:bottom w:val="single" w:sz="12" w:space="0" w:color="auto"/>
            </w:tcBorders>
            <w:vAlign w:val="center"/>
          </w:tcPr>
          <w:p w:rsidR="00475650" w:rsidRDefault="00475650">
            <w:pPr>
              <w:ind w:left="57" w:right="57"/>
              <w:jc w:val="left"/>
              <w:rPr>
                <w:szCs w:val="21"/>
              </w:rPr>
            </w:pPr>
          </w:p>
        </w:tc>
        <w:tc>
          <w:tcPr>
            <w:tcW w:w="1827" w:type="dxa"/>
            <w:tcBorders>
              <w:bottom w:val="single" w:sz="12" w:space="0" w:color="auto"/>
            </w:tcBorders>
            <w:vAlign w:val="center"/>
          </w:tcPr>
          <w:p w:rsidR="00475650" w:rsidRDefault="00475650">
            <w:pPr>
              <w:ind w:left="57" w:right="57"/>
              <w:jc w:val="left"/>
              <w:rPr>
                <w:szCs w:val="21"/>
              </w:rPr>
            </w:pPr>
            <w:r>
              <w:rPr>
                <w:rFonts w:hAnsi="宋体"/>
                <w:szCs w:val="21"/>
              </w:rPr>
              <w:t>包装信息</w:t>
            </w:r>
          </w:p>
        </w:tc>
        <w:tc>
          <w:tcPr>
            <w:tcW w:w="6460" w:type="dxa"/>
            <w:gridSpan w:val="7"/>
            <w:tcBorders>
              <w:bottom w:val="single" w:sz="12" w:space="0" w:color="auto"/>
              <w:right w:val="single" w:sz="12" w:space="0" w:color="auto"/>
            </w:tcBorders>
            <w:vAlign w:val="center"/>
          </w:tcPr>
          <w:p w:rsidR="00475650" w:rsidRDefault="00475650">
            <w:pPr>
              <w:ind w:left="57" w:right="57"/>
              <w:jc w:val="left"/>
              <w:rPr>
                <w:szCs w:val="21"/>
              </w:rPr>
            </w:pPr>
            <w:r>
              <w:rPr>
                <w:rFonts w:hAnsi="宋体"/>
                <w:szCs w:val="21"/>
              </w:rPr>
              <w:t>包装分类类别</w:t>
            </w:r>
            <w:r>
              <w:rPr>
                <w:szCs w:val="21"/>
              </w:rPr>
              <w:t>053</w:t>
            </w:r>
            <w:r>
              <w:rPr>
                <w:rFonts w:hAnsi="宋体"/>
                <w:szCs w:val="21"/>
              </w:rPr>
              <w:t>，两层塑料袋或一层塑料袋外麻袋、塑料编织袋、乳胶布袋；塑料袋外复合塑料编织袋（聚丙烯三合一袋、聚乙烯三合一袋、聚丙烯二合一袋、聚乙烯二合一袋）；螺纹口玻璃瓶、铁盖压口玻璃瓶、塑料瓶或金属桶（罐）外普通木箱；螺纹口玻璃瓶、塑料瓶或镀锡薄钢板桶（罐）外满底板花格箱、纤维板箱或胶合板箱。</w:t>
            </w:r>
          </w:p>
        </w:tc>
      </w:tr>
    </w:tbl>
    <w:p w:rsidR="00475650" w:rsidRDefault="00475650">
      <w:pPr>
        <w:spacing w:line="360" w:lineRule="auto"/>
        <w:jc w:val="center"/>
        <w:rPr>
          <w:sz w:val="24"/>
        </w:rPr>
      </w:pPr>
    </w:p>
    <w:p w:rsidR="00475650" w:rsidRDefault="00475650">
      <w:pPr>
        <w:spacing w:line="360" w:lineRule="auto"/>
        <w:jc w:val="center"/>
        <w:rPr>
          <w:rFonts w:hAnsi="宋体"/>
          <w:sz w:val="24"/>
        </w:rPr>
      </w:pPr>
    </w:p>
    <w:p w:rsidR="00475650" w:rsidRDefault="00475650">
      <w:pPr>
        <w:spacing w:line="360" w:lineRule="auto"/>
        <w:jc w:val="center"/>
        <w:rPr>
          <w:rFonts w:hAnsi="宋体"/>
          <w:sz w:val="24"/>
        </w:rPr>
      </w:pPr>
    </w:p>
    <w:p w:rsidR="00475650" w:rsidRDefault="00475650">
      <w:pPr>
        <w:spacing w:line="360" w:lineRule="auto"/>
        <w:jc w:val="center"/>
        <w:rPr>
          <w:rFonts w:hAnsi="宋体"/>
          <w:sz w:val="24"/>
        </w:rPr>
      </w:pPr>
      <w:r>
        <w:rPr>
          <w:rFonts w:hAnsi="宋体"/>
          <w:sz w:val="24"/>
        </w:rPr>
        <w:lastRenderedPageBreak/>
        <w:t>表</w:t>
      </w:r>
      <w:r>
        <w:rPr>
          <w:sz w:val="24"/>
        </w:rPr>
        <w:t>6.2-1</w:t>
      </w:r>
      <w:r>
        <w:rPr>
          <w:rFonts w:hAnsi="宋体"/>
          <w:sz w:val="24"/>
        </w:rPr>
        <w:t>（</w:t>
      </w:r>
      <w:r>
        <w:rPr>
          <w:rFonts w:hint="eastAsia"/>
          <w:sz w:val="24"/>
        </w:rPr>
        <w:t>4</w:t>
      </w:r>
      <w:r>
        <w:rPr>
          <w:rFonts w:hAnsi="宋体"/>
          <w:sz w:val="24"/>
        </w:rPr>
        <w:t>）</w:t>
      </w:r>
      <w:r>
        <w:rPr>
          <w:sz w:val="24"/>
        </w:rPr>
        <w:t xml:space="preserve"> </w:t>
      </w:r>
      <w:r>
        <w:rPr>
          <w:rFonts w:hAnsi="宋体" w:hint="eastAsia"/>
          <w:sz w:val="24"/>
        </w:rPr>
        <w:t>乙酸酐</w:t>
      </w:r>
      <w:r>
        <w:rPr>
          <w:rFonts w:hAnsi="宋体"/>
          <w:sz w:val="24"/>
        </w:rPr>
        <w:t>理化性质及毒性数据表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962"/>
        <w:gridCol w:w="912"/>
        <w:gridCol w:w="1351"/>
        <w:gridCol w:w="1424"/>
        <w:gridCol w:w="1360"/>
        <w:gridCol w:w="1320"/>
        <w:gridCol w:w="1617"/>
      </w:tblGrid>
      <w:tr w:rsidR="00475650">
        <w:trPr>
          <w:jc w:val="center"/>
        </w:trPr>
        <w:tc>
          <w:tcPr>
            <w:tcW w:w="962" w:type="dxa"/>
            <w:vMerge w:val="restart"/>
            <w:vAlign w:val="center"/>
          </w:tcPr>
          <w:p w:rsidR="00475650" w:rsidRDefault="00475650">
            <w:pPr>
              <w:snapToGrid w:val="0"/>
              <w:spacing w:line="240" w:lineRule="exact"/>
              <w:jc w:val="center"/>
              <w:rPr>
                <w:szCs w:val="21"/>
              </w:rPr>
            </w:pPr>
            <w:r>
              <w:rPr>
                <w:rFonts w:hAnsi="宋体"/>
                <w:szCs w:val="21"/>
              </w:rPr>
              <w:t>品名</w:t>
            </w:r>
          </w:p>
        </w:tc>
        <w:tc>
          <w:tcPr>
            <w:tcW w:w="912" w:type="dxa"/>
            <w:vMerge w:val="restart"/>
            <w:vAlign w:val="center"/>
          </w:tcPr>
          <w:p w:rsidR="00475650" w:rsidRDefault="00475650">
            <w:pPr>
              <w:snapToGrid w:val="0"/>
              <w:spacing w:line="240" w:lineRule="exact"/>
              <w:jc w:val="center"/>
              <w:rPr>
                <w:szCs w:val="21"/>
              </w:rPr>
            </w:pPr>
            <w:r>
              <w:rPr>
                <w:rFonts w:hAnsi="宋体"/>
                <w:szCs w:val="21"/>
              </w:rPr>
              <w:t>乙酸酐</w:t>
            </w:r>
          </w:p>
        </w:tc>
        <w:tc>
          <w:tcPr>
            <w:tcW w:w="1351" w:type="dxa"/>
            <w:vAlign w:val="center"/>
          </w:tcPr>
          <w:p w:rsidR="00475650" w:rsidRDefault="00475650">
            <w:pPr>
              <w:snapToGrid w:val="0"/>
              <w:spacing w:line="240" w:lineRule="exact"/>
              <w:jc w:val="center"/>
              <w:rPr>
                <w:szCs w:val="21"/>
              </w:rPr>
            </w:pPr>
            <w:r>
              <w:rPr>
                <w:rFonts w:hAnsi="宋体"/>
                <w:szCs w:val="21"/>
              </w:rPr>
              <w:t>英文名</w:t>
            </w:r>
          </w:p>
        </w:tc>
        <w:tc>
          <w:tcPr>
            <w:tcW w:w="2784" w:type="dxa"/>
            <w:gridSpan w:val="2"/>
            <w:vAlign w:val="center"/>
          </w:tcPr>
          <w:p w:rsidR="00475650" w:rsidRDefault="00475650">
            <w:pPr>
              <w:snapToGrid w:val="0"/>
              <w:spacing w:line="240" w:lineRule="exact"/>
              <w:jc w:val="center"/>
              <w:rPr>
                <w:szCs w:val="21"/>
              </w:rPr>
            </w:pPr>
            <w:r>
              <w:rPr>
                <w:szCs w:val="21"/>
                <w:shd w:val="clear" w:color="auto" w:fill="FFFFFF"/>
              </w:rPr>
              <w:t>acetic anhydride</w:t>
            </w:r>
          </w:p>
        </w:tc>
        <w:tc>
          <w:tcPr>
            <w:tcW w:w="1320" w:type="dxa"/>
            <w:vAlign w:val="center"/>
          </w:tcPr>
          <w:p w:rsidR="00475650" w:rsidRDefault="00475650">
            <w:pPr>
              <w:snapToGrid w:val="0"/>
              <w:spacing w:line="240" w:lineRule="exact"/>
              <w:jc w:val="center"/>
              <w:rPr>
                <w:szCs w:val="21"/>
              </w:rPr>
            </w:pPr>
            <w:r>
              <w:rPr>
                <w:szCs w:val="21"/>
              </w:rPr>
              <w:t>UN</w:t>
            </w:r>
            <w:r>
              <w:rPr>
                <w:rFonts w:hAnsi="宋体"/>
                <w:szCs w:val="21"/>
              </w:rPr>
              <w:t>编号</w:t>
            </w:r>
          </w:p>
        </w:tc>
        <w:tc>
          <w:tcPr>
            <w:tcW w:w="1617" w:type="dxa"/>
            <w:vAlign w:val="center"/>
          </w:tcPr>
          <w:p w:rsidR="00475650" w:rsidRDefault="00475650">
            <w:pPr>
              <w:snapToGrid w:val="0"/>
              <w:spacing w:line="240" w:lineRule="exact"/>
              <w:jc w:val="center"/>
              <w:rPr>
                <w:szCs w:val="21"/>
              </w:rPr>
            </w:pPr>
            <w:r>
              <w:rPr>
                <w:szCs w:val="21"/>
              </w:rPr>
              <w:t>1715</w:t>
            </w:r>
          </w:p>
        </w:tc>
      </w:tr>
      <w:tr w:rsidR="00475650">
        <w:trPr>
          <w:jc w:val="center"/>
        </w:trPr>
        <w:tc>
          <w:tcPr>
            <w:tcW w:w="962" w:type="dxa"/>
            <w:vMerge/>
            <w:vAlign w:val="center"/>
          </w:tcPr>
          <w:p w:rsidR="00475650" w:rsidRDefault="00475650">
            <w:pPr>
              <w:snapToGrid w:val="0"/>
              <w:spacing w:line="240" w:lineRule="exact"/>
              <w:jc w:val="center"/>
              <w:rPr>
                <w:szCs w:val="21"/>
              </w:rPr>
            </w:pPr>
          </w:p>
        </w:tc>
        <w:tc>
          <w:tcPr>
            <w:tcW w:w="912" w:type="dxa"/>
            <w:vMerge/>
            <w:vAlign w:val="center"/>
          </w:tcPr>
          <w:p w:rsidR="00475650" w:rsidRDefault="00475650">
            <w:pPr>
              <w:snapToGrid w:val="0"/>
              <w:spacing w:line="240" w:lineRule="exact"/>
              <w:jc w:val="center"/>
              <w:rPr>
                <w:szCs w:val="21"/>
              </w:rPr>
            </w:pPr>
          </w:p>
        </w:tc>
        <w:tc>
          <w:tcPr>
            <w:tcW w:w="1351" w:type="dxa"/>
            <w:vAlign w:val="center"/>
          </w:tcPr>
          <w:p w:rsidR="00475650" w:rsidRDefault="00475650">
            <w:pPr>
              <w:snapToGrid w:val="0"/>
              <w:spacing w:line="240" w:lineRule="exact"/>
              <w:jc w:val="center"/>
              <w:rPr>
                <w:szCs w:val="21"/>
              </w:rPr>
            </w:pPr>
            <w:r>
              <w:rPr>
                <w:rFonts w:hAnsi="宋体"/>
                <w:szCs w:val="21"/>
              </w:rPr>
              <w:t>危险货物编号</w:t>
            </w:r>
          </w:p>
        </w:tc>
        <w:tc>
          <w:tcPr>
            <w:tcW w:w="2784" w:type="dxa"/>
            <w:gridSpan w:val="2"/>
            <w:vAlign w:val="center"/>
          </w:tcPr>
          <w:p w:rsidR="00475650" w:rsidRDefault="00475650">
            <w:pPr>
              <w:snapToGrid w:val="0"/>
              <w:spacing w:line="240" w:lineRule="exact"/>
              <w:jc w:val="center"/>
              <w:rPr>
                <w:szCs w:val="21"/>
              </w:rPr>
            </w:pPr>
            <w:r>
              <w:rPr>
                <w:szCs w:val="21"/>
              </w:rPr>
              <w:t>81602</w:t>
            </w:r>
          </w:p>
        </w:tc>
        <w:tc>
          <w:tcPr>
            <w:tcW w:w="1320" w:type="dxa"/>
            <w:vAlign w:val="center"/>
          </w:tcPr>
          <w:p w:rsidR="00475650" w:rsidRDefault="00475650">
            <w:pPr>
              <w:snapToGrid w:val="0"/>
              <w:spacing w:line="240" w:lineRule="exact"/>
              <w:jc w:val="center"/>
              <w:rPr>
                <w:szCs w:val="21"/>
              </w:rPr>
            </w:pPr>
            <w:r>
              <w:rPr>
                <w:szCs w:val="21"/>
              </w:rPr>
              <w:t>CAS</w:t>
            </w:r>
            <w:r>
              <w:rPr>
                <w:rFonts w:hAnsi="宋体"/>
                <w:szCs w:val="21"/>
              </w:rPr>
              <w:t>号</w:t>
            </w:r>
          </w:p>
        </w:tc>
        <w:tc>
          <w:tcPr>
            <w:tcW w:w="1617" w:type="dxa"/>
            <w:vAlign w:val="center"/>
          </w:tcPr>
          <w:p w:rsidR="00475650" w:rsidRDefault="00475650">
            <w:pPr>
              <w:snapToGrid w:val="0"/>
              <w:spacing w:line="240" w:lineRule="exact"/>
              <w:jc w:val="center"/>
              <w:rPr>
                <w:szCs w:val="21"/>
              </w:rPr>
            </w:pPr>
            <w:r>
              <w:rPr>
                <w:szCs w:val="21"/>
              </w:rPr>
              <w:t>108-24-7</w:t>
            </w:r>
          </w:p>
        </w:tc>
      </w:tr>
      <w:tr w:rsidR="00475650">
        <w:trPr>
          <w:jc w:val="center"/>
        </w:trPr>
        <w:tc>
          <w:tcPr>
            <w:tcW w:w="962" w:type="dxa"/>
            <w:vMerge w:val="restart"/>
            <w:vAlign w:val="center"/>
          </w:tcPr>
          <w:p w:rsidR="00475650" w:rsidRDefault="00475650">
            <w:pPr>
              <w:snapToGrid w:val="0"/>
              <w:spacing w:line="240" w:lineRule="exact"/>
              <w:jc w:val="center"/>
              <w:rPr>
                <w:szCs w:val="21"/>
              </w:rPr>
            </w:pPr>
            <w:r>
              <w:rPr>
                <w:rFonts w:hAnsi="宋体"/>
                <w:szCs w:val="21"/>
              </w:rPr>
              <w:t>理化性质</w:t>
            </w:r>
          </w:p>
        </w:tc>
        <w:tc>
          <w:tcPr>
            <w:tcW w:w="912" w:type="dxa"/>
            <w:vAlign w:val="center"/>
          </w:tcPr>
          <w:p w:rsidR="00475650" w:rsidRDefault="00475650">
            <w:pPr>
              <w:snapToGrid w:val="0"/>
              <w:spacing w:line="240" w:lineRule="exact"/>
              <w:jc w:val="center"/>
              <w:rPr>
                <w:szCs w:val="21"/>
              </w:rPr>
            </w:pPr>
            <w:r>
              <w:rPr>
                <w:rFonts w:hAnsi="宋体"/>
                <w:szCs w:val="21"/>
              </w:rPr>
              <w:t>分子式</w:t>
            </w:r>
          </w:p>
        </w:tc>
        <w:tc>
          <w:tcPr>
            <w:tcW w:w="1351" w:type="dxa"/>
            <w:vAlign w:val="center"/>
          </w:tcPr>
          <w:p w:rsidR="00475650" w:rsidRDefault="00475650">
            <w:pPr>
              <w:snapToGrid w:val="0"/>
              <w:spacing w:line="240" w:lineRule="exact"/>
              <w:jc w:val="center"/>
              <w:rPr>
                <w:szCs w:val="21"/>
              </w:rPr>
            </w:pPr>
            <w:r>
              <w:rPr>
                <w:szCs w:val="21"/>
                <w:shd w:val="clear" w:color="auto" w:fill="FFFFFF"/>
              </w:rPr>
              <w:t>C</w:t>
            </w:r>
            <w:r>
              <w:rPr>
                <w:szCs w:val="21"/>
                <w:shd w:val="clear" w:color="auto" w:fill="FFFFFF"/>
                <w:vertAlign w:val="subscript"/>
              </w:rPr>
              <w:t>4</w:t>
            </w:r>
            <w:r>
              <w:rPr>
                <w:szCs w:val="21"/>
                <w:shd w:val="clear" w:color="auto" w:fill="FFFFFF"/>
              </w:rPr>
              <w:t>H</w:t>
            </w:r>
            <w:r>
              <w:rPr>
                <w:szCs w:val="21"/>
                <w:shd w:val="clear" w:color="auto" w:fill="FFFFFF"/>
                <w:vertAlign w:val="subscript"/>
              </w:rPr>
              <w:t>6</w:t>
            </w:r>
            <w:r>
              <w:rPr>
                <w:szCs w:val="21"/>
                <w:shd w:val="clear" w:color="auto" w:fill="FFFFFF"/>
              </w:rPr>
              <w:t>O</w:t>
            </w:r>
            <w:r>
              <w:rPr>
                <w:szCs w:val="21"/>
                <w:shd w:val="clear" w:color="auto" w:fill="FFFFFF"/>
                <w:vertAlign w:val="subscript"/>
              </w:rPr>
              <w:t>3</w:t>
            </w:r>
          </w:p>
        </w:tc>
        <w:tc>
          <w:tcPr>
            <w:tcW w:w="1424" w:type="dxa"/>
            <w:vAlign w:val="center"/>
          </w:tcPr>
          <w:p w:rsidR="00475650" w:rsidRDefault="00475650">
            <w:pPr>
              <w:snapToGrid w:val="0"/>
              <w:spacing w:line="240" w:lineRule="exact"/>
              <w:jc w:val="center"/>
              <w:rPr>
                <w:szCs w:val="21"/>
              </w:rPr>
            </w:pPr>
            <w:r>
              <w:rPr>
                <w:rFonts w:hAnsi="宋体"/>
                <w:szCs w:val="21"/>
              </w:rPr>
              <w:t>分子量</w:t>
            </w:r>
          </w:p>
        </w:tc>
        <w:tc>
          <w:tcPr>
            <w:tcW w:w="1360" w:type="dxa"/>
            <w:vAlign w:val="center"/>
          </w:tcPr>
          <w:p w:rsidR="00475650" w:rsidRDefault="00475650">
            <w:pPr>
              <w:snapToGrid w:val="0"/>
              <w:spacing w:line="240" w:lineRule="exact"/>
              <w:jc w:val="center"/>
              <w:rPr>
                <w:szCs w:val="21"/>
              </w:rPr>
            </w:pPr>
            <w:r>
              <w:rPr>
                <w:szCs w:val="21"/>
              </w:rPr>
              <w:t>102.09</w:t>
            </w:r>
          </w:p>
        </w:tc>
        <w:tc>
          <w:tcPr>
            <w:tcW w:w="1320" w:type="dxa"/>
            <w:vAlign w:val="center"/>
          </w:tcPr>
          <w:p w:rsidR="00475650" w:rsidRDefault="00475650">
            <w:pPr>
              <w:snapToGrid w:val="0"/>
              <w:spacing w:line="240" w:lineRule="exact"/>
              <w:jc w:val="center"/>
              <w:rPr>
                <w:szCs w:val="21"/>
              </w:rPr>
            </w:pPr>
            <w:r>
              <w:rPr>
                <w:rFonts w:hAnsi="宋体"/>
                <w:szCs w:val="21"/>
              </w:rPr>
              <w:t>熔点</w:t>
            </w:r>
            <w:r>
              <w:rPr>
                <w:szCs w:val="21"/>
              </w:rPr>
              <w:t>/</w:t>
            </w:r>
            <w:r>
              <w:rPr>
                <w:rFonts w:hAnsi="宋体"/>
                <w:szCs w:val="21"/>
              </w:rPr>
              <w:t>℃</w:t>
            </w:r>
          </w:p>
        </w:tc>
        <w:tc>
          <w:tcPr>
            <w:tcW w:w="1617" w:type="dxa"/>
            <w:vAlign w:val="center"/>
          </w:tcPr>
          <w:p w:rsidR="00475650" w:rsidRDefault="00475650">
            <w:pPr>
              <w:snapToGrid w:val="0"/>
              <w:spacing w:line="240" w:lineRule="exact"/>
              <w:jc w:val="center"/>
              <w:rPr>
                <w:szCs w:val="21"/>
              </w:rPr>
            </w:pPr>
            <w:r>
              <w:rPr>
                <w:szCs w:val="21"/>
              </w:rPr>
              <w:t>-73.1</w:t>
            </w:r>
          </w:p>
        </w:tc>
      </w:tr>
      <w:tr w:rsidR="00475650">
        <w:trPr>
          <w:jc w:val="center"/>
        </w:trPr>
        <w:tc>
          <w:tcPr>
            <w:tcW w:w="962" w:type="dxa"/>
            <w:vMerge/>
            <w:vAlign w:val="center"/>
          </w:tcPr>
          <w:p w:rsidR="00475650" w:rsidRDefault="00475650">
            <w:pPr>
              <w:snapToGrid w:val="0"/>
              <w:spacing w:line="240" w:lineRule="exact"/>
              <w:jc w:val="center"/>
              <w:rPr>
                <w:szCs w:val="21"/>
              </w:rPr>
            </w:pPr>
          </w:p>
        </w:tc>
        <w:tc>
          <w:tcPr>
            <w:tcW w:w="912" w:type="dxa"/>
            <w:vAlign w:val="center"/>
          </w:tcPr>
          <w:p w:rsidR="00475650" w:rsidRDefault="00475650">
            <w:pPr>
              <w:snapToGrid w:val="0"/>
              <w:spacing w:line="240" w:lineRule="exact"/>
              <w:jc w:val="center"/>
              <w:rPr>
                <w:szCs w:val="21"/>
              </w:rPr>
            </w:pPr>
            <w:r>
              <w:rPr>
                <w:rFonts w:hAnsi="宋体"/>
                <w:szCs w:val="21"/>
              </w:rPr>
              <w:t>沸点</w:t>
            </w:r>
            <w:r>
              <w:rPr>
                <w:szCs w:val="21"/>
              </w:rPr>
              <w:t>/</w:t>
            </w:r>
            <w:r>
              <w:rPr>
                <w:rFonts w:hAnsi="宋体"/>
                <w:szCs w:val="21"/>
              </w:rPr>
              <w:t>℃</w:t>
            </w:r>
          </w:p>
        </w:tc>
        <w:tc>
          <w:tcPr>
            <w:tcW w:w="1351" w:type="dxa"/>
            <w:vAlign w:val="center"/>
          </w:tcPr>
          <w:p w:rsidR="00475650" w:rsidRDefault="00475650">
            <w:pPr>
              <w:snapToGrid w:val="0"/>
              <w:spacing w:line="240" w:lineRule="exact"/>
              <w:jc w:val="center"/>
              <w:rPr>
                <w:szCs w:val="21"/>
              </w:rPr>
            </w:pPr>
            <w:r>
              <w:rPr>
                <w:szCs w:val="21"/>
              </w:rPr>
              <w:t>138.6</w:t>
            </w:r>
          </w:p>
        </w:tc>
        <w:tc>
          <w:tcPr>
            <w:tcW w:w="1424" w:type="dxa"/>
            <w:vAlign w:val="center"/>
          </w:tcPr>
          <w:p w:rsidR="00475650" w:rsidRDefault="00475650">
            <w:pPr>
              <w:snapToGrid w:val="0"/>
              <w:spacing w:line="240" w:lineRule="exact"/>
              <w:jc w:val="center"/>
              <w:rPr>
                <w:szCs w:val="21"/>
              </w:rPr>
            </w:pPr>
            <w:r>
              <w:rPr>
                <w:rFonts w:hAnsi="宋体"/>
                <w:szCs w:val="21"/>
              </w:rPr>
              <w:t>相对密度</w:t>
            </w:r>
            <w:r>
              <w:rPr>
                <w:szCs w:val="21"/>
              </w:rPr>
              <w:t>(</w:t>
            </w:r>
            <w:r>
              <w:rPr>
                <w:rFonts w:hAnsi="宋体"/>
                <w:szCs w:val="21"/>
              </w:rPr>
              <w:t>水</w:t>
            </w:r>
            <w:r>
              <w:rPr>
                <w:szCs w:val="21"/>
              </w:rPr>
              <w:t>=1)</w:t>
            </w:r>
          </w:p>
        </w:tc>
        <w:tc>
          <w:tcPr>
            <w:tcW w:w="1360" w:type="dxa"/>
            <w:vAlign w:val="center"/>
          </w:tcPr>
          <w:p w:rsidR="00475650" w:rsidRDefault="00475650">
            <w:pPr>
              <w:snapToGrid w:val="0"/>
              <w:spacing w:line="240" w:lineRule="exact"/>
              <w:jc w:val="center"/>
              <w:rPr>
                <w:spacing w:val="-20"/>
                <w:szCs w:val="21"/>
              </w:rPr>
            </w:pPr>
            <w:r>
              <w:rPr>
                <w:spacing w:val="-20"/>
                <w:szCs w:val="21"/>
              </w:rPr>
              <w:t>1.08</w:t>
            </w:r>
          </w:p>
        </w:tc>
        <w:tc>
          <w:tcPr>
            <w:tcW w:w="1320" w:type="dxa"/>
            <w:vAlign w:val="center"/>
          </w:tcPr>
          <w:p w:rsidR="00475650" w:rsidRDefault="00475650">
            <w:pPr>
              <w:snapToGrid w:val="0"/>
              <w:spacing w:line="240" w:lineRule="exact"/>
              <w:jc w:val="center"/>
              <w:rPr>
                <w:szCs w:val="21"/>
              </w:rPr>
            </w:pPr>
            <w:r>
              <w:rPr>
                <w:rFonts w:hAnsi="宋体"/>
                <w:szCs w:val="21"/>
              </w:rPr>
              <w:t>相对蒸汽密度</w:t>
            </w:r>
            <w:r>
              <w:rPr>
                <w:szCs w:val="21"/>
              </w:rPr>
              <w:t>(</w:t>
            </w:r>
            <w:r>
              <w:rPr>
                <w:rFonts w:hAnsi="宋体"/>
                <w:szCs w:val="21"/>
              </w:rPr>
              <w:t>空气</w:t>
            </w:r>
            <w:r>
              <w:rPr>
                <w:szCs w:val="21"/>
              </w:rPr>
              <w:t>=1)</w:t>
            </w:r>
          </w:p>
        </w:tc>
        <w:tc>
          <w:tcPr>
            <w:tcW w:w="1617" w:type="dxa"/>
            <w:vAlign w:val="center"/>
          </w:tcPr>
          <w:p w:rsidR="00475650" w:rsidRDefault="00475650">
            <w:pPr>
              <w:snapToGrid w:val="0"/>
              <w:spacing w:line="240" w:lineRule="exact"/>
              <w:jc w:val="center"/>
              <w:rPr>
                <w:szCs w:val="21"/>
              </w:rPr>
            </w:pPr>
            <w:r>
              <w:rPr>
                <w:szCs w:val="21"/>
              </w:rPr>
              <w:t>3.52</w:t>
            </w:r>
          </w:p>
        </w:tc>
      </w:tr>
      <w:tr w:rsidR="00475650">
        <w:trPr>
          <w:jc w:val="center"/>
        </w:trPr>
        <w:tc>
          <w:tcPr>
            <w:tcW w:w="962" w:type="dxa"/>
            <w:vMerge/>
            <w:vAlign w:val="center"/>
          </w:tcPr>
          <w:p w:rsidR="00475650" w:rsidRDefault="00475650">
            <w:pPr>
              <w:snapToGrid w:val="0"/>
              <w:spacing w:line="240" w:lineRule="exact"/>
              <w:jc w:val="center"/>
              <w:rPr>
                <w:szCs w:val="21"/>
              </w:rPr>
            </w:pPr>
          </w:p>
        </w:tc>
        <w:tc>
          <w:tcPr>
            <w:tcW w:w="912" w:type="dxa"/>
            <w:vAlign w:val="center"/>
          </w:tcPr>
          <w:p w:rsidR="00475650" w:rsidRDefault="00475650">
            <w:pPr>
              <w:snapToGrid w:val="0"/>
              <w:spacing w:line="240" w:lineRule="exact"/>
              <w:jc w:val="center"/>
              <w:rPr>
                <w:szCs w:val="21"/>
              </w:rPr>
            </w:pPr>
            <w:r>
              <w:rPr>
                <w:rFonts w:hAnsi="宋体"/>
                <w:szCs w:val="21"/>
              </w:rPr>
              <w:t>饱和蒸汽压</w:t>
            </w:r>
            <w:r>
              <w:rPr>
                <w:szCs w:val="21"/>
              </w:rPr>
              <w:t>/Kpa</w:t>
            </w:r>
          </w:p>
        </w:tc>
        <w:tc>
          <w:tcPr>
            <w:tcW w:w="1351" w:type="dxa"/>
            <w:vAlign w:val="center"/>
          </w:tcPr>
          <w:p w:rsidR="00475650" w:rsidRDefault="00475650">
            <w:pPr>
              <w:snapToGrid w:val="0"/>
              <w:spacing w:line="240" w:lineRule="exact"/>
              <w:jc w:val="center"/>
              <w:rPr>
                <w:szCs w:val="21"/>
              </w:rPr>
            </w:pPr>
            <w:r>
              <w:rPr>
                <w:szCs w:val="21"/>
              </w:rPr>
              <w:t>1.33</w:t>
            </w:r>
            <w:r>
              <w:rPr>
                <w:rFonts w:hAnsi="宋体"/>
                <w:szCs w:val="21"/>
              </w:rPr>
              <w:t>（</w:t>
            </w:r>
            <w:r>
              <w:rPr>
                <w:szCs w:val="21"/>
              </w:rPr>
              <w:t>36</w:t>
            </w:r>
            <w:r>
              <w:rPr>
                <w:rFonts w:hAnsi="宋体"/>
                <w:szCs w:val="21"/>
              </w:rPr>
              <w:t>℃）</w:t>
            </w:r>
          </w:p>
        </w:tc>
        <w:tc>
          <w:tcPr>
            <w:tcW w:w="1424" w:type="dxa"/>
            <w:vAlign w:val="center"/>
          </w:tcPr>
          <w:p w:rsidR="00475650" w:rsidRDefault="00475650">
            <w:pPr>
              <w:snapToGrid w:val="0"/>
              <w:spacing w:line="240" w:lineRule="exact"/>
              <w:jc w:val="center"/>
              <w:rPr>
                <w:szCs w:val="21"/>
              </w:rPr>
            </w:pPr>
            <w:r>
              <w:rPr>
                <w:rFonts w:hAnsi="宋体"/>
                <w:szCs w:val="21"/>
              </w:rPr>
              <w:t>燃烧热（</w:t>
            </w:r>
            <w:r>
              <w:rPr>
                <w:szCs w:val="21"/>
              </w:rPr>
              <w:t>KJ/mol</w:t>
            </w:r>
            <w:r>
              <w:rPr>
                <w:rFonts w:hAnsi="宋体"/>
                <w:szCs w:val="21"/>
              </w:rPr>
              <w:t>）</w:t>
            </w:r>
          </w:p>
        </w:tc>
        <w:tc>
          <w:tcPr>
            <w:tcW w:w="1360" w:type="dxa"/>
            <w:vAlign w:val="center"/>
          </w:tcPr>
          <w:p w:rsidR="00475650" w:rsidRDefault="00475650">
            <w:pPr>
              <w:snapToGrid w:val="0"/>
              <w:spacing w:line="240" w:lineRule="exact"/>
              <w:jc w:val="center"/>
              <w:rPr>
                <w:spacing w:val="-20"/>
                <w:szCs w:val="21"/>
              </w:rPr>
            </w:pPr>
            <w:r>
              <w:rPr>
                <w:spacing w:val="-20"/>
                <w:szCs w:val="21"/>
              </w:rPr>
              <w:t>1804.5</w:t>
            </w:r>
          </w:p>
        </w:tc>
        <w:tc>
          <w:tcPr>
            <w:tcW w:w="1320" w:type="dxa"/>
            <w:vAlign w:val="center"/>
          </w:tcPr>
          <w:p w:rsidR="00475650" w:rsidRDefault="00475650">
            <w:pPr>
              <w:snapToGrid w:val="0"/>
              <w:spacing w:line="240" w:lineRule="exact"/>
              <w:jc w:val="center"/>
              <w:rPr>
                <w:szCs w:val="21"/>
              </w:rPr>
            </w:pPr>
            <w:r>
              <w:rPr>
                <w:rFonts w:hAnsi="宋体"/>
                <w:szCs w:val="21"/>
              </w:rPr>
              <w:t>闪点</w:t>
            </w:r>
            <w:r>
              <w:rPr>
                <w:szCs w:val="21"/>
              </w:rPr>
              <w:t>(</w:t>
            </w:r>
            <w:r>
              <w:rPr>
                <w:rFonts w:hAnsi="宋体"/>
                <w:szCs w:val="21"/>
              </w:rPr>
              <w:t>℃</w:t>
            </w:r>
            <w:r>
              <w:rPr>
                <w:szCs w:val="21"/>
              </w:rPr>
              <w:t>)</w:t>
            </w:r>
          </w:p>
        </w:tc>
        <w:tc>
          <w:tcPr>
            <w:tcW w:w="1617" w:type="dxa"/>
            <w:vAlign w:val="center"/>
          </w:tcPr>
          <w:p w:rsidR="00475650" w:rsidRDefault="00475650">
            <w:pPr>
              <w:snapToGrid w:val="0"/>
              <w:spacing w:line="240" w:lineRule="exact"/>
              <w:jc w:val="center"/>
              <w:rPr>
                <w:szCs w:val="21"/>
              </w:rPr>
            </w:pPr>
            <w:r>
              <w:rPr>
                <w:szCs w:val="21"/>
              </w:rPr>
              <w:t>49</w:t>
            </w:r>
          </w:p>
        </w:tc>
      </w:tr>
      <w:tr w:rsidR="00475650">
        <w:trPr>
          <w:jc w:val="center"/>
        </w:trPr>
        <w:tc>
          <w:tcPr>
            <w:tcW w:w="962" w:type="dxa"/>
            <w:vMerge/>
            <w:vAlign w:val="center"/>
          </w:tcPr>
          <w:p w:rsidR="00475650" w:rsidRDefault="00475650">
            <w:pPr>
              <w:snapToGrid w:val="0"/>
              <w:spacing w:line="240" w:lineRule="exact"/>
              <w:jc w:val="center"/>
              <w:rPr>
                <w:szCs w:val="21"/>
              </w:rPr>
            </w:pPr>
          </w:p>
        </w:tc>
        <w:tc>
          <w:tcPr>
            <w:tcW w:w="912" w:type="dxa"/>
            <w:vAlign w:val="center"/>
          </w:tcPr>
          <w:p w:rsidR="00475650" w:rsidRDefault="00475650">
            <w:pPr>
              <w:snapToGrid w:val="0"/>
              <w:spacing w:line="240" w:lineRule="exact"/>
              <w:jc w:val="center"/>
              <w:rPr>
                <w:szCs w:val="21"/>
              </w:rPr>
            </w:pPr>
            <w:r>
              <w:rPr>
                <w:rFonts w:hAnsi="宋体"/>
                <w:szCs w:val="21"/>
              </w:rPr>
              <w:t>溶解性</w:t>
            </w:r>
          </w:p>
        </w:tc>
        <w:tc>
          <w:tcPr>
            <w:tcW w:w="7072" w:type="dxa"/>
            <w:gridSpan w:val="5"/>
            <w:vAlign w:val="center"/>
          </w:tcPr>
          <w:p w:rsidR="00475650" w:rsidRDefault="00475650">
            <w:pPr>
              <w:snapToGrid w:val="0"/>
              <w:spacing w:line="240" w:lineRule="exact"/>
              <w:jc w:val="center"/>
              <w:rPr>
                <w:szCs w:val="21"/>
              </w:rPr>
            </w:pPr>
            <w:r>
              <w:rPr>
                <w:rFonts w:hAnsi="宋体"/>
                <w:szCs w:val="21"/>
                <w:shd w:val="clear" w:color="auto" w:fill="FFFFFF"/>
              </w:rPr>
              <w:t>溶于乙醇、乙醚、苯</w:t>
            </w:r>
          </w:p>
        </w:tc>
      </w:tr>
      <w:tr w:rsidR="00475650">
        <w:trPr>
          <w:jc w:val="center"/>
        </w:trPr>
        <w:tc>
          <w:tcPr>
            <w:tcW w:w="962" w:type="dxa"/>
            <w:vMerge/>
            <w:vAlign w:val="center"/>
          </w:tcPr>
          <w:p w:rsidR="00475650" w:rsidRDefault="00475650">
            <w:pPr>
              <w:snapToGrid w:val="0"/>
              <w:spacing w:line="240" w:lineRule="exact"/>
              <w:jc w:val="center"/>
              <w:rPr>
                <w:szCs w:val="21"/>
              </w:rPr>
            </w:pPr>
          </w:p>
        </w:tc>
        <w:tc>
          <w:tcPr>
            <w:tcW w:w="912" w:type="dxa"/>
            <w:vAlign w:val="center"/>
          </w:tcPr>
          <w:p w:rsidR="00475650" w:rsidRDefault="00475650">
            <w:pPr>
              <w:snapToGrid w:val="0"/>
              <w:spacing w:line="240" w:lineRule="exact"/>
              <w:jc w:val="center"/>
              <w:rPr>
                <w:szCs w:val="21"/>
              </w:rPr>
            </w:pPr>
            <w:r>
              <w:rPr>
                <w:rFonts w:hAnsi="宋体"/>
                <w:szCs w:val="21"/>
              </w:rPr>
              <w:t>外观与形状</w:t>
            </w:r>
          </w:p>
        </w:tc>
        <w:tc>
          <w:tcPr>
            <w:tcW w:w="7072" w:type="dxa"/>
            <w:gridSpan w:val="5"/>
            <w:vAlign w:val="center"/>
          </w:tcPr>
          <w:p w:rsidR="00475650" w:rsidRDefault="00475650">
            <w:pPr>
              <w:snapToGrid w:val="0"/>
              <w:spacing w:line="240" w:lineRule="exact"/>
              <w:jc w:val="center"/>
              <w:rPr>
                <w:szCs w:val="21"/>
                <w:shd w:val="clear" w:color="auto" w:fill="FFFFFF"/>
              </w:rPr>
            </w:pPr>
            <w:r>
              <w:rPr>
                <w:rFonts w:hAnsi="宋体"/>
                <w:szCs w:val="21"/>
                <w:shd w:val="clear" w:color="auto" w:fill="FFFFFF"/>
              </w:rPr>
              <w:t>无色透明液体，有刺激气味，其蒸气为催泪毒气。</w:t>
            </w:r>
          </w:p>
        </w:tc>
      </w:tr>
      <w:tr w:rsidR="00475650">
        <w:trPr>
          <w:jc w:val="center"/>
        </w:trPr>
        <w:tc>
          <w:tcPr>
            <w:tcW w:w="962" w:type="dxa"/>
            <w:vAlign w:val="center"/>
          </w:tcPr>
          <w:p w:rsidR="00475650" w:rsidRDefault="00475650">
            <w:pPr>
              <w:snapToGrid w:val="0"/>
              <w:spacing w:line="240" w:lineRule="exact"/>
              <w:jc w:val="center"/>
              <w:rPr>
                <w:szCs w:val="21"/>
              </w:rPr>
            </w:pPr>
            <w:r>
              <w:rPr>
                <w:rFonts w:hAnsi="宋体"/>
                <w:szCs w:val="21"/>
              </w:rPr>
              <w:t>危险性</w:t>
            </w:r>
          </w:p>
        </w:tc>
        <w:tc>
          <w:tcPr>
            <w:tcW w:w="7984" w:type="dxa"/>
            <w:gridSpan w:val="6"/>
          </w:tcPr>
          <w:p w:rsidR="00475650" w:rsidRDefault="00475650">
            <w:pPr>
              <w:snapToGrid w:val="0"/>
              <w:spacing w:line="240" w:lineRule="exact"/>
              <w:rPr>
                <w:szCs w:val="21"/>
              </w:rPr>
            </w:pPr>
            <w:r>
              <w:rPr>
                <w:rFonts w:hAnsi="宋体"/>
                <w:szCs w:val="21"/>
              </w:rPr>
              <w:t>易燃，其蒸气与空气可形成爆炸性混合物，遇明火、高热能引起燃烧爆炸。与强氧化剂接触可发生化学反应。</w:t>
            </w:r>
          </w:p>
        </w:tc>
      </w:tr>
      <w:tr w:rsidR="00475650">
        <w:trPr>
          <w:jc w:val="center"/>
        </w:trPr>
        <w:tc>
          <w:tcPr>
            <w:tcW w:w="962" w:type="dxa"/>
            <w:vAlign w:val="center"/>
          </w:tcPr>
          <w:p w:rsidR="00475650" w:rsidRDefault="00475650">
            <w:pPr>
              <w:snapToGrid w:val="0"/>
              <w:spacing w:line="240" w:lineRule="exact"/>
              <w:jc w:val="center"/>
              <w:rPr>
                <w:szCs w:val="21"/>
              </w:rPr>
            </w:pPr>
            <w:r>
              <w:rPr>
                <w:rFonts w:hAnsi="宋体"/>
                <w:szCs w:val="21"/>
              </w:rPr>
              <w:t>禁忌物</w:t>
            </w:r>
          </w:p>
        </w:tc>
        <w:tc>
          <w:tcPr>
            <w:tcW w:w="7984" w:type="dxa"/>
            <w:gridSpan w:val="6"/>
          </w:tcPr>
          <w:p w:rsidR="00475650" w:rsidRDefault="00475650">
            <w:pPr>
              <w:snapToGrid w:val="0"/>
              <w:spacing w:line="240" w:lineRule="exact"/>
              <w:rPr>
                <w:szCs w:val="21"/>
                <w:shd w:val="clear" w:color="auto" w:fill="FFFFFF"/>
              </w:rPr>
            </w:pPr>
            <w:r>
              <w:rPr>
                <w:rFonts w:hAnsi="宋体"/>
                <w:szCs w:val="21"/>
                <w:shd w:val="clear" w:color="auto" w:fill="FFFFFF"/>
              </w:rPr>
              <w:t>酸类、碱类、水、醇类、强氧化剂、强还原剂、活性金属粉末。</w:t>
            </w:r>
          </w:p>
        </w:tc>
      </w:tr>
      <w:tr w:rsidR="00475650">
        <w:trPr>
          <w:jc w:val="center"/>
        </w:trPr>
        <w:tc>
          <w:tcPr>
            <w:tcW w:w="962" w:type="dxa"/>
            <w:vAlign w:val="center"/>
          </w:tcPr>
          <w:p w:rsidR="00475650" w:rsidRDefault="00475650">
            <w:pPr>
              <w:snapToGrid w:val="0"/>
              <w:spacing w:line="240" w:lineRule="exact"/>
              <w:jc w:val="center"/>
              <w:rPr>
                <w:szCs w:val="21"/>
              </w:rPr>
            </w:pPr>
            <w:r>
              <w:rPr>
                <w:rFonts w:hAnsi="宋体"/>
                <w:szCs w:val="21"/>
              </w:rPr>
              <w:t>对人体危害</w:t>
            </w:r>
          </w:p>
        </w:tc>
        <w:tc>
          <w:tcPr>
            <w:tcW w:w="7984" w:type="dxa"/>
            <w:gridSpan w:val="6"/>
          </w:tcPr>
          <w:p w:rsidR="00475650" w:rsidRDefault="00475650">
            <w:pPr>
              <w:snapToGrid w:val="0"/>
              <w:spacing w:line="240" w:lineRule="exact"/>
              <w:rPr>
                <w:szCs w:val="21"/>
                <w:shd w:val="clear" w:color="auto" w:fill="FFFFFF"/>
              </w:rPr>
            </w:pPr>
            <w:r>
              <w:rPr>
                <w:rFonts w:hAnsi="宋体"/>
                <w:szCs w:val="21"/>
                <w:shd w:val="clear" w:color="auto" w:fill="FFFFFF"/>
              </w:rPr>
              <w:t>吸入后对呼吸道有刺激作用，引起咳嗽、胸痛、呼吸困难。蒸气对眼有刺激性。眼和皮肤直接接触液体可致灼伤。口服灼伤口腔和消化道，出现腹痛、恶心、呕吐和休克等。</w:t>
            </w:r>
            <w:r>
              <w:rPr>
                <w:szCs w:val="21"/>
                <w:shd w:val="clear" w:color="auto" w:fill="FFFFFF"/>
              </w:rPr>
              <w:t xml:space="preserve"> </w:t>
            </w:r>
            <w:r>
              <w:rPr>
                <w:rFonts w:hAnsi="宋体"/>
                <w:szCs w:val="21"/>
                <w:shd w:val="clear" w:color="auto" w:fill="FFFFFF"/>
              </w:rPr>
              <w:t>慢性影响：受本品蒸气慢性作用的工人，可有结膜炎、畏光、上呼吸道刺激等。</w:t>
            </w:r>
          </w:p>
        </w:tc>
      </w:tr>
      <w:tr w:rsidR="00475650">
        <w:trPr>
          <w:jc w:val="center"/>
        </w:trPr>
        <w:tc>
          <w:tcPr>
            <w:tcW w:w="962" w:type="dxa"/>
            <w:vAlign w:val="center"/>
          </w:tcPr>
          <w:p w:rsidR="00475650" w:rsidRDefault="00475650">
            <w:pPr>
              <w:snapToGrid w:val="0"/>
              <w:spacing w:line="240" w:lineRule="exact"/>
              <w:jc w:val="center"/>
              <w:rPr>
                <w:szCs w:val="21"/>
              </w:rPr>
            </w:pPr>
            <w:r>
              <w:rPr>
                <w:rFonts w:hAnsi="宋体"/>
                <w:szCs w:val="21"/>
              </w:rPr>
              <w:t>环境危害</w:t>
            </w:r>
          </w:p>
        </w:tc>
        <w:tc>
          <w:tcPr>
            <w:tcW w:w="7984" w:type="dxa"/>
            <w:gridSpan w:val="6"/>
          </w:tcPr>
          <w:p w:rsidR="00475650" w:rsidRDefault="00475650">
            <w:pPr>
              <w:snapToGrid w:val="0"/>
              <w:spacing w:line="240" w:lineRule="exact"/>
              <w:rPr>
                <w:szCs w:val="21"/>
                <w:shd w:val="clear" w:color="auto" w:fill="FFFFFF"/>
              </w:rPr>
            </w:pPr>
            <w:r>
              <w:rPr>
                <w:rFonts w:hAnsi="宋体"/>
                <w:szCs w:val="21"/>
                <w:shd w:val="clear" w:color="auto" w:fill="FFFFFF"/>
              </w:rPr>
              <w:t>对环境有危害，对水体可造成污染。</w:t>
            </w:r>
          </w:p>
        </w:tc>
      </w:tr>
      <w:tr w:rsidR="00475650">
        <w:trPr>
          <w:jc w:val="center"/>
        </w:trPr>
        <w:tc>
          <w:tcPr>
            <w:tcW w:w="962" w:type="dxa"/>
            <w:vAlign w:val="center"/>
          </w:tcPr>
          <w:p w:rsidR="00475650" w:rsidRDefault="00475650">
            <w:pPr>
              <w:snapToGrid w:val="0"/>
              <w:spacing w:line="240" w:lineRule="exact"/>
              <w:jc w:val="center"/>
              <w:rPr>
                <w:szCs w:val="21"/>
              </w:rPr>
            </w:pPr>
            <w:r>
              <w:rPr>
                <w:rFonts w:hAnsi="宋体"/>
                <w:szCs w:val="21"/>
              </w:rPr>
              <w:t>燃爆危险</w:t>
            </w:r>
          </w:p>
        </w:tc>
        <w:tc>
          <w:tcPr>
            <w:tcW w:w="7984" w:type="dxa"/>
            <w:gridSpan w:val="6"/>
          </w:tcPr>
          <w:p w:rsidR="00475650" w:rsidRDefault="00475650">
            <w:pPr>
              <w:snapToGrid w:val="0"/>
              <w:spacing w:line="240" w:lineRule="exact"/>
              <w:rPr>
                <w:szCs w:val="21"/>
                <w:shd w:val="clear" w:color="auto" w:fill="FFFFFF"/>
              </w:rPr>
            </w:pPr>
            <w:r>
              <w:rPr>
                <w:rFonts w:hAnsi="宋体"/>
                <w:szCs w:val="21"/>
                <w:shd w:val="clear" w:color="auto" w:fill="FFFFFF"/>
              </w:rPr>
              <w:t>本品易燃，具腐蚀性、刺激性，可致人体灼伤。</w:t>
            </w:r>
          </w:p>
        </w:tc>
      </w:tr>
      <w:tr w:rsidR="00475650">
        <w:trPr>
          <w:jc w:val="center"/>
        </w:trPr>
        <w:tc>
          <w:tcPr>
            <w:tcW w:w="962" w:type="dxa"/>
            <w:vAlign w:val="center"/>
          </w:tcPr>
          <w:p w:rsidR="00475650" w:rsidRDefault="00475650">
            <w:pPr>
              <w:snapToGrid w:val="0"/>
              <w:spacing w:line="240" w:lineRule="exact"/>
              <w:jc w:val="center"/>
              <w:rPr>
                <w:szCs w:val="21"/>
              </w:rPr>
            </w:pPr>
            <w:r>
              <w:rPr>
                <w:rFonts w:hAnsi="宋体"/>
                <w:szCs w:val="21"/>
              </w:rPr>
              <w:t>毒理学</w:t>
            </w:r>
          </w:p>
          <w:p w:rsidR="00475650" w:rsidRDefault="00475650">
            <w:pPr>
              <w:snapToGrid w:val="0"/>
              <w:spacing w:line="240" w:lineRule="exact"/>
              <w:jc w:val="center"/>
              <w:rPr>
                <w:szCs w:val="21"/>
              </w:rPr>
            </w:pPr>
            <w:r>
              <w:rPr>
                <w:rFonts w:hAnsi="宋体"/>
                <w:szCs w:val="21"/>
              </w:rPr>
              <w:t>资料</w:t>
            </w:r>
          </w:p>
        </w:tc>
        <w:tc>
          <w:tcPr>
            <w:tcW w:w="7984" w:type="dxa"/>
            <w:gridSpan w:val="6"/>
          </w:tcPr>
          <w:p w:rsidR="00475650" w:rsidRDefault="00475650">
            <w:pPr>
              <w:snapToGrid w:val="0"/>
              <w:spacing w:line="240" w:lineRule="exact"/>
              <w:rPr>
                <w:szCs w:val="21"/>
              </w:rPr>
            </w:pPr>
            <w:r>
              <w:rPr>
                <w:szCs w:val="21"/>
                <w:shd w:val="clear" w:color="auto" w:fill="FFFFFF"/>
              </w:rPr>
              <w:t>LD50</w:t>
            </w:r>
            <w:r>
              <w:rPr>
                <w:rFonts w:hAnsi="宋体"/>
                <w:szCs w:val="21"/>
                <w:shd w:val="clear" w:color="auto" w:fill="FFFFFF"/>
              </w:rPr>
              <w:t>：</w:t>
            </w:r>
            <w:r>
              <w:rPr>
                <w:szCs w:val="21"/>
                <w:shd w:val="clear" w:color="auto" w:fill="FFFFFF"/>
              </w:rPr>
              <w:t>1780 mg/kg(</w:t>
            </w:r>
            <w:r>
              <w:rPr>
                <w:rFonts w:hAnsi="宋体"/>
                <w:szCs w:val="21"/>
                <w:shd w:val="clear" w:color="auto" w:fill="FFFFFF"/>
              </w:rPr>
              <w:t>大鼠经口</w:t>
            </w:r>
            <w:r>
              <w:rPr>
                <w:szCs w:val="21"/>
                <w:shd w:val="clear" w:color="auto" w:fill="FFFFFF"/>
              </w:rPr>
              <w:t>)</w:t>
            </w:r>
            <w:r>
              <w:rPr>
                <w:rFonts w:hAnsi="宋体"/>
                <w:szCs w:val="21"/>
                <w:shd w:val="clear" w:color="auto" w:fill="FFFFFF"/>
              </w:rPr>
              <w:t>；</w:t>
            </w:r>
            <w:r>
              <w:rPr>
                <w:szCs w:val="21"/>
                <w:shd w:val="clear" w:color="auto" w:fill="FFFFFF"/>
              </w:rPr>
              <w:t>4000 mg/kg(</w:t>
            </w:r>
            <w:r>
              <w:rPr>
                <w:rFonts w:hAnsi="宋体"/>
                <w:szCs w:val="21"/>
                <w:shd w:val="clear" w:color="auto" w:fill="FFFFFF"/>
              </w:rPr>
              <w:t>兔经皮</w:t>
            </w:r>
            <w:r>
              <w:rPr>
                <w:szCs w:val="21"/>
                <w:shd w:val="clear" w:color="auto" w:fill="FFFFFF"/>
              </w:rPr>
              <w:t>)</w:t>
            </w:r>
            <w:r>
              <w:rPr>
                <w:szCs w:val="21"/>
              </w:rPr>
              <w:br/>
            </w:r>
            <w:r>
              <w:rPr>
                <w:szCs w:val="21"/>
                <w:shd w:val="clear" w:color="auto" w:fill="FFFFFF"/>
              </w:rPr>
              <w:t>LC50</w:t>
            </w:r>
            <w:r>
              <w:rPr>
                <w:rFonts w:hAnsi="宋体"/>
                <w:szCs w:val="21"/>
                <w:shd w:val="clear" w:color="auto" w:fill="FFFFFF"/>
              </w:rPr>
              <w:t>：</w:t>
            </w:r>
            <w:r>
              <w:rPr>
                <w:szCs w:val="21"/>
                <w:shd w:val="clear" w:color="auto" w:fill="FFFFFF"/>
              </w:rPr>
              <w:t>4170mg/m</w:t>
            </w:r>
            <w:r>
              <w:rPr>
                <w:szCs w:val="21"/>
                <w:shd w:val="clear" w:color="auto" w:fill="FFFFFF"/>
                <w:vertAlign w:val="superscript"/>
              </w:rPr>
              <w:t>3</w:t>
            </w:r>
            <w:r>
              <w:rPr>
                <w:rFonts w:hAnsi="宋体"/>
                <w:szCs w:val="21"/>
                <w:shd w:val="clear" w:color="auto" w:fill="FFFFFF"/>
              </w:rPr>
              <w:t>，</w:t>
            </w:r>
            <w:r>
              <w:rPr>
                <w:szCs w:val="21"/>
                <w:shd w:val="clear" w:color="auto" w:fill="FFFFFF"/>
              </w:rPr>
              <w:t>4</w:t>
            </w:r>
            <w:r>
              <w:rPr>
                <w:rFonts w:hAnsi="宋体"/>
                <w:szCs w:val="21"/>
                <w:shd w:val="clear" w:color="auto" w:fill="FFFFFF"/>
              </w:rPr>
              <w:t>小时</w:t>
            </w:r>
            <w:r>
              <w:rPr>
                <w:szCs w:val="21"/>
                <w:shd w:val="clear" w:color="auto" w:fill="FFFFFF"/>
              </w:rPr>
              <w:t>(</w:t>
            </w:r>
            <w:r>
              <w:rPr>
                <w:rFonts w:hAnsi="宋体"/>
                <w:szCs w:val="21"/>
                <w:shd w:val="clear" w:color="auto" w:fill="FFFFFF"/>
              </w:rPr>
              <w:t>大鼠吸入</w:t>
            </w:r>
            <w:r>
              <w:rPr>
                <w:szCs w:val="21"/>
                <w:shd w:val="clear" w:color="auto" w:fill="FFFFFF"/>
              </w:rPr>
              <w:t>)</w:t>
            </w:r>
          </w:p>
        </w:tc>
      </w:tr>
      <w:tr w:rsidR="00475650">
        <w:trPr>
          <w:jc w:val="center"/>
        </w:trPr>
        <w:tc>
          <w:tcPr>
            <w:tcW w:w="962" w:type="dxa"/>
            <w:vAlign w:val="center"/>
          </w:tcPr>
          <w:p w:rsidR="00475650" w:rsidRDefault="00475650">
            <w:pPr>
              <w:snapToGrid w:val="0"/>
              <w:spacing w:line="240" w:lineRule="exact"/>
              <w:jc w:val="center"/>
              <w:rPr>
                <w:szCs w:val="21"/>
              </w:rPr>
            </w:pPr>
            <w:r>
              <w:rPr>
                <w:rFonts w:hAnsi="宋体"/>
                <w:szCs w:val="21"/>
              </w:rPr>
              <w:t>泄漏应急处理措施</w:t>
            </w:r>
          </w:p>
        </w:tc>
        <w:tc>
          <w:tcPr>
            <w:tcW w:w="7984" w:type="dxa"/>
            <w:gridSpan w:val="6"/>
          </w:tcPr>
          <w:p w:rsidR="00475650" w:rsidRDefault="00475650">
            <w:pPr>
              <w:snapToGrid w:val="0"/>
              <w:spacing w:line="240" w:lineRule="exact"/>
              <w:rPr>
                <w:szCs w:val="21"/>
              </w:rPr>
            </w:pPr>
            <w:r>
              <w:rPr>
                <w:rFonts w:hAnsi="宋体"/>
                <w:szCs w:val="21"/>
                <w:shd w:val="clear" w:color="auto" w:fill="FFFFFF"/>
              </w:rPr>
              <w:t>迅速撤离泄漏污染区人员至安全区，并进行隔离，严格限制出入。切断火源。建议应急处理人员戴自给正压式呼吸器，穿防酸碱工作服。不要直接接触泄漏物。尽可能切断泄漏源。防止流入下水道、排洪沟等限制性空间。小量泄漏：用砂土、干燥石灰或苏打灰混合。大量泄漏：构筑围堤或挖坑收容。喷雾状水冷却和稀释蒸汽、保护现场人员、把泄漏物稀释成不燃物。用防爆泵转移至槽车或专用收集器内，回收或运至废物处理场所处置。</w:t>
            </w:r>
          </w:p>
        </w:tc>
      </w:tr>
      <w:tr w:rsidR="00475650">
        <w:trPr>
          <w:jc w:val="center"/>
        </w:trPr>
        <w:tc>
          <w:tcPr>
            <w:tcW w:w="962" w:type="dxa"/>
            <w:vAlign w:val="center"/>
          </w:tcPr>
          <w:p w:rsidR="00475650" w:rsidRDefault="00475650">
            <w:pPr>
              <w:snapToGrid w:val="0"/>
              <w:spacing w:line="240" w:lineRule="exact"/>
              <w:jc w:val="center"/>
              <w:rPr>
                <w:szCs w:val="21"/>
              </w:rPr>
            </w:pPr>
            <w:r>
              <w:rPr>
                <w:rFonts w:hAnsi="宋体"/>
                <w:szCs w:val="21"/>
              </w:rPr>
              <w:t>储运注意</w:t>
            </w:r>
          </w:p>
          <w:p w:rsidR="00475650" w:rsidRDefault="00475650">
            <w:pPr>
              <w:snapToGrid w:val="0"/>
              <w:spacing w:line="240" w:lineRule="exact"/>
              <w:jc w:val="center"/>
              <w:rPr>
                <w:szCs w:val="21"/>
              </w:rPr>
            </w:pPr>
            <w:r>
              <w:rPr>
                <w:rFonts w:hAnsi="宋体"/>
                <w:szCs w:val="21"/>
              </w:rPr>
              <w:t>事项</w:t>
            </w:r>
          </w:p>
        </w:tc>
        <w:tc>
          <w:tcPr>
            <w:tcW w:w="7984" w:type="dxa"/>
            <w:gridSpan w:val="6"/>
          </w:tcPr>
          <w:p w:rsidR="00475650" w:rsidRDefault="00475650">
            <w:pPr>
              <w:snapToGrid w:val="0"/>
              <w:spacing w:line="240" w:lineRule="exact"/>
              <w:rPr>
                <w:szCs w:val="21"/>
              </w:rPr>
            </w:pPr>
            <w:r>
              <w:rPr>
                <w:rFonts w:hAnsi="宋体"/>
                <w:szCs w:val="21"/>
                <w:shd w:val="clear" w:color="auto" w:fill="FFFFFF"/>
              </w:rPr>
              <w:t>储存于阴凉、干燥、通风良好的库房。远离火种、热源。库温不宜超过</w:t>
            </w:r>
            <w:r>
              <w:rPr>
                <w:szCs w:val="21"/>
                <w:shd w:val="clear" w:color="auto" w:fill="FFFFFF"/>
              </w:rPr>
              <w:t>30</w:t>
            </w:r>
            <w:r>
              <w:rPr>
                <w:rFonts w:hAnsi="宋体"/>
                <w:szCs w:val="21"/>
                <w:shd w:val="clear" w:color="auto" w:fill="FFFFFF"/>
              </w:rPr>
              <w:t>℃。保持容器密封。应与氧化剂、还原剂、酸类、碱类、活性金属粉末、醇类等分开存放，切忌混储。采用防爆型照明、通风设施。禁止使用易产生火花的机械设备和工具。储区应备有泄漏应急处理设备和合适的收容材料。</w:t>
            </w:r>
          </w:p>
        </w:tc>
      </w:tr>
      <w:tr w:rsidR="00475650">
        <w:trPr>
          <w:jc w:val="center"/>
        </w:trPr>
        <w:tc>
          <w:tcPr>
            <w:tcW w:w="962" w:type="dxa"/>
            <w:vAlign w:val="center"/>
          </w:tcPr>
          <w:p w:rsidR="00475650" w:rsidRDefault="00475650">
            <w:pPr>
              <w:snapToGrid w:val="0"/>
              <w:spacing w:line="240" w:lineRule="exact"/>
              <w:jc w:val="center"/>
              <w:rPr>
                <w:szCs w:val="21"/>
              </w:rPr>
            </w:pPr>
            <w:r>
              <w:rPr>
                <w:rFonts w:hAnsi="宋体"/>
                <w:szCs w:val="21"/>
              </w:rPr>
              <w:t>灭火方法</w:t>
            </w:r>
          </w:p>
        </w:tc>
        <w:tc>
          <w:tcPr>
            <w:tcW w:w="7984" w:type="dxa"/>
            <w:gridSpan w:val="6"/>
          </w:tcPr>
          <w:p w:rsidR="00475650" w:rsidRDefault="00475650">
            <w:pPr>
              <w:snapToGrid w:val="0"/>
              <w:spacing w:line="240" w:lineRule="exact"/>
              <w:rPr>
                <w:szCs w:val="21"/>
                <w:shd w:val="clear" w:color="auto" w:fill="FFFFFF"/>
              </w:rPr>
            </w:pPr>
            <w:r>
              <w:rPr>
                <w:rFonts w:hAnsi="宋体"/>
                <w:szCs w:val="21"/>
                <w:shd w:val="clear" w:color="auto" w:fill="FFFFFF"/>
              </w:rPr>
              <w:t>用水喷射逸出液体，使其稀释成不燃性混合物，并用雾状水保护消防人员。灭火剂：雾状水、抗溶性泡沫、干粉、二氧化碳。</w:t>
            </w:r>
          </w:p>
        </w:tc>
      </w:tr>
    </w:tbl>
    <w:p w:rsidR="00475650" w:rsidRDefault="00475650">
      <w:pPr>
        <w:spacing w:line="360" w:lineRule="auto"/>
        <w:jc w:val="center"/>
        <w:rPr>
          <w:rFonts w:hAnsi="宋体"/>
          <w:sz w:val="24"/>
        </w:rPr>
      </w:pPr>
    </w:p>
    <w:p w:rsidR="00475650" w:rsidRDefault="00475650">
      <w:pPr>
        <w:spacing w:line="360" w:lineRule="auto"/>
        <w:jc w:val="center"/>
        <w:rPr>
          <w:rFonts w:hAnsi="宋体"/>
          <w:sz w:val="24"/>
        </w:rPr>
      </w:pPr>
      <w:r>
        <w:rPr>
          <w:rFonts w:hAnsi="宋体"/>
          <w:sz w:val="24"/>
        </w:rPr>
        <w:t>表</w:t>
      </w:r>
      <w:r>
        <w:rPr>
          <w:sz w:val="24"/>
        </w:rPr>
        <w:t>6.2-1</w:t>
      </w:r>
      <w:r>
        <w:rPr>
          <w:rFonts w:hAnsi="宋体"/>
          <w:sz w:val="24"/>
        </w:rPr>
        <w:t>（</w:t>
      </w:r>
      <w:r>
        <w:rPr>
          <w:rFonts w:hint="eastAsia"/>
          <w:sz w:val="24"/>
        </w:rPr>
        <w:t>5</w:t>
      </w:r>
      <w:r>
        <w:rPr>
          <w:rFonts w:hAnsi="宋体"/>
          <w:sz w:val="24"/>
        </w:rPr>
        <w:t>）</w:t>
      </w:r>
      <w:r>
        <w:rPr>
          <w:sz w:val="24"/>
        </w:rPr>
        <w:t xml:space="preserve"> </w:t>
      </w:r>
      <w:r>
        <w:rPr>
          <w:rFonts w:hAnsi="宋体" w:hint="eastAsia"/>
          <w:sz w:val="24"/>
        </w:rPr>
        <w:t>乙酸钠</w:t>
      </w:r>
      <w:r>
        <w:rPr>
          <w:rFonts w:hAnsi="宋体"/>
          <w:sz w:val="24"/>
        </w:rPr>
        <w:t>理化性质及毒性数据表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209"/>
        <w:gridCol w:w="1206"/>
        <w:gridCol w:w="1238"/>
        <w:gridCol w:w="1317"/>
        <w:gridCol w:w="1247"/>
        <w:gridCol w:w="1208"/>
        <w:gridCol w:w="1521"/>
      </w:tblGrid>
      <w:tr w:rsidR="00475650">
        <w:trPr>
          <w:jc w:val="center"/>
        </w:trPr>
        <w:tc>
          <w:tcPr>
            <w:tcW w:w="1209" w:type="dxa"/>
            <w:vMerge w:val="restart"/>
            <w:vAlign w:val="center"/>
          </w:tcPr>
          <w:p w:rsidR="00475650" w:rsidRDefault="00475650">
            <w:pPr>
              <w:snapToGrid w:val="0"/>
              <w:spacing w:line="240" w:lineRule="exact"/>
              <w:jc w:val="center"/>
              <w:rPr>
                <w:szCs w:val="21"/>
              </w:rPr>
            </w:pPr>
            <w:r>
              <w:rPr>
                <w:rFonts w:hAnsi="宋体"/>
                <w:szCs w:val="21"/>
              </w:rPr>
              <w:t>品名</w:t>
            </w:r>
          </w:p>
        </w:tc>
        <w:tc>
          <w:tcPr>
            <w:tcW w:w="1206" w:type="dxa"/>
            <w:vMerge w:val="restart"/>
            <w:vAlign w:val="center"/>
          </w:tcPr>
          <w:p w:rsidR="00475650" w:rsidRDefault="00475650">
            <w:pPr>
              <w:snapToGrid w:val="0"/>
              <w:spacing w:line="240" w:lineRule="exact"/>
              <w:jc w:val="center"/>
              <w:rPr>
                <w:szCs w:val="21"/>
              </w:rPr>
            </w:pPr>
            <w:r>
              <w:rPr>
                <w:rFonts w:hAnsi="宋体"/>
                <w:szCs w:val="21"/>
              </w:rPr>
              <w:t>乙酸钠</w:t>
            </w:r>
          </w:p>
        </w:tc>
        <w:tc>
          <w:tcPr>
            <w:tcW w:w="1238" w:type="dxa"/>
            <w:vAlign w:val="center"/>
          </w:tcPr>
          <w:p w:rsidR="00475650" w:rsidRDefault="00475650">
            <w:pPr>
              <w:snapToGrid w:val="0"/>
              <w:spacing w:line="240" w:lineRule="exact"/>
              <w:jc w:val="center"/>
              <w:rPr>
                <w:szCs w:val="21"/>
              </w:rPr>
            </w:pPr>
            <w:r>
              <w:rPr>
                <w:rFonts w:hAnsi="宋体"/>
                <w:szCs w:val="21"/>
              </w:rPr>
              <w:t>英文名</w:t>
            </w:r>
          </w:p>
        </w:tc>
        <w:tc>
          <w:tcPr>
            <w:tcW w:w="2564" w:type="dxa"/>
            <w:gridSpan w:val="2"/>
            <w:vAlign w:val="center"/>
          </w:tcPr>
          <w:p w:rsidR="00475650" w:rsidRDefault="00475650">
            <w:pPr>
              <w:snapToGrid w:val="0"/>
              <w:spacing w:line="240" w:lineRule="exact"/>
              <w:jc w:val="center"/>
              <w:rPr>
                <w:szCs w:val="21"/>
              </w:rPr>
            </w:pPr>
            <w:r>
              <w:rPr>
                <w:szCs w:val="21"/>
              </w:rPr>
              <w:t>sodium acetate</w:t>
            </w:r>
          </w:p>
        </w:tc>
        <w:tc>
          <w:tcPr>
            <w:tcW w:w="1208" w:type="dxa"/>
            <w:vAlign w:val="center"/>
          </w:tcPr>
          <w:p w:rsidR="00475650" w:rsidRDefault="00475650">
            <w:pPr>
              <w:snapToGrid w:val="0"/>
              <w:spacing w:line="240" w:lineRule="exact"/>
              <w:jc w:val="center"/>
              <w:rPr>
                <w:szCs w:val="21"/>
              </w:rPr>
            </w:pPr>
            <w:r>
              <w:rPr>
                <w:szCs w:val="21"/>
              </w:rPr>
              <w:t>UN</w:t>
            </w:r>
            <w:r>
              <w:rPr>
                <w:rFonts w:hAnsi="宋体"/>
                <w:szCs w:val="21"/>
              </w:rPr>
              <w:t>编号</w:t>
            </w:r>
          </w:p>
        </w:tc>
        <w:tc>
          <w:tcPr>
            <w:tcW w:w="1521" w:type="dxa"/>
            <w:vAlign w:val="center"/>
          </w:tcPr>
          <w:p w:rsidR="00475650" w:rsidRDefault="00475650">
            <w:pPr>
              <w:snapToGrid w:val="0"/>
              <w:spacing w:line="240" w:lineRule="exact"/>
              <w:jc w:val="center"/>
              <w:rPr>
                <w:szCs w:val="21"/>
              </w:rPr>
            </w:pPr>
          </w:p>
        </w:tc>
      </w:tr>
      <w:tr w:rsidR="00475650">
        <w:trPr>
          <w:jc w:val="center"/>
        </w:trPr>
        <w:tc>
          <w:tcPr>
            <w:tcW w:w="1209" w:type="dxa"/>
            <w:vMerge/>
            <w:vAlign w:val="center"/>
          </w:tcPr>
          <w:p w:rsidR="00475650" w:rsidRDefault="00475650">
            <w:pPr>
              <w:snapToGrid w:val="0"/>
              <w:spacing w:line="240" w:lineRule="exact"/>
              <w:jc w:val="center"/>
              <w:rPr>
                <w:szCs w:val="21"/>
              </w:rPr>
            </w:pPr>
          </w:p>
        </w:tc>
        <w:tc>
          <w:tcPr>
            <w:tcW w:w="1206" w:type="dxa"/>
            <w:vMerge/>
            <w:vAlign w:val="center"/>
          </w:tcPr>
          <w:p w:rsidR="00475650" w:rsidRDefault="00475650">
            <w:pPr>
              <w:snapToGrid w:val="0"/>
              <w:spacing w:line="240" w:lineRule="exact"/>
              <w:jc w:val="center"/>
              <w:rPr>
                <w:szCs w:val="21"/>
              </w:rPr>
            </w:pPr>
          </w:p>
        </w:tc>
        <w:tc>
          <w:tcPr>
            <w:tcW w:w="1238" w:type="dxa"/>
            <w:vAlign w:val="center"/>
          </w:tcPr>
          <w:p w:rsidR="00475650" w:rsidRDefault="00475650">
            <w:pPr>
              <w:snapToGrid w:val="0"/>
              <w:spacing w:line="240" w:lineRule="exact"/>
              <w:jc w:val="center"/>
              <w:rPr>
                <w:szCs w:val="21"/>
              </w:rPr>
            </w:pPr>
            <w:r>
              <w:rPr>
                <w:rFonts w:hAnsi="宋体"/>
                <w:szCs w:val="21"/>
              </w:rPr>
              <w:t>危险货物编号</w:t>
            </w:r>
          </w:p>
        </w:tc>
        <w:tc>
          <w:tcPr>
            <w:tcW w:w="2564" w:type="dxa"/>
            <w:gridSpan w:val="2"/>
            <w:vAlign w:val="center"/>
          </w:tcPr>
          <w:p w:rsidR="00475650" w:rsidRDefault="00475650">
            <w:pPr>
              <w:snapToGrid w:val="0"/>
              <w:spacing w:line="240" w:lineRule="exact"/>
              <w:jc w:val="center"/>
              <w:rPr>
                <w:szCs w:val="21"/>
              </w:rPr>
            </w:pPr>
            <w:r>
              <w:rPr>
                <w:szCs w:val="21"/>
              </w:rPr>
              <w:t>/</w:t>
            </w:r>
          </w:p>
        </w:tc>
        <w:tc>
          <w:tcPr>
            <w:tcW w:w="1208" w:type="dxa"/>
            <w:vAlign w:val="center"/>
          </w:tcPr>
          <w:p w:rsidR="00475650" w:rsidRDefault="00475650">
            <w:pPr>
              <w:snapToGrid w:val="0"/>
              <w:spacing w:line="240" w:lineRule="exact"/>
              <w:jc w:val="center"/>
              <w:rPr>
                <w:szCs w:val="21"/>
              </w:rPr>
            </w:pPr>
            <w:r>
              <w:rPr>
                <w:szCs w:val="21"/>
              </w:rPr>
              <w:t>CAS</w:t>
            </w:r>
            <w:r>
              <w:rPr>
                <w:rFonts w:hAnsi="宋体"/>
                <w:szCs w:val="21"/>
              </w:rPr>
              <w:t>号</w:t>
            </w:r>
          </w:p>
        </w:tc>
        <w:tc>
          <w:tcPr>
            <w:tcW w:w="1521" w:type="dxa"/>
            <w:vAlign w:val="center"/>
          </w:tcPr>
          <w:p w:rsidR="00475650" w:rsidRDefault="00475650">
            <w:pPr>
              <w:snapToGrid w:val="0"/>
              <w:spacing w:line="240" w:lineRule="exact"/>
              <w:jc w:val="center"/>
              <w:rPr>
                <w:szCs w:val="21"/>
              </w:rPr>
            </w:pPr>
            <w:r>
              <w:rPr>
                <w:szCs w:val="21"/>
              </w:rPr>
              <w:t>127-09-3</w:t>
            </w:r>
          </w:p>
        </w:tc>
      </w:tr>
      <w:tr w:rsidR="00475650">
        <w:trPr>
          <w:jc w:val="center"/>
        </w:trPr>
        <w:tc>
          <w:tcPr>
            <w:tcW w:w="1209" w:type="dxa"/>
            <w:vMerge w:val="restart"/>
            <w:vAlign w:val="center"/>
          </w:tcPr>
          <w:p w:rsidR="00475650" w:rsidRDefault="00475650">
            <w:pPr>
              <w:snapToGrid w:val="0"/>
              <w:spacing w:line="240" w:lineRule="exact"/>
              <w:jc w:val="center"/>
              <w:rPr>
                <w:szCs w:val="21"/>
              </w:rPr>
            </w:pPr>
            <w:r>
              <w:rPr>
                <w:rFonts w:hAnsi="宋体"/>
                <w:szCs w:val="21"/>
              </w:rPr>
              <w:t>理化性质</w:t>
            </w:r>
          </w:p>
        </w:tc>
        <w:tc>
          <w:tcPr>
            <w:tcW w:w="1206" w:type="dxa"/>
            <w:vAlign w:val="center"/>
          </w:tcPr>
          <w:p w:rsidR="00475650" w:rsidRDefault="00475650">
            <w:pPr>
              <w:snapToGrid w:val="0"/>
              <w:spacing w:line="240" w:lineRule="exact"/>
              <w:jc w:val="center"/>
              <w:rPr>
                <w:szCs w:val="21"/>
              </w:rPr>
            </w:pPr>
            <w:r>
              <w:rPr>
                <w:rFonts w:hAnsi="宋体"/>
                <w:szCs w:val="21"/>
              </w:rPr>
              <w:t>分子式</w:t>
            </w:r>
          </w:p>
        </w:tc>
        <w:tc>
          <w:tcPr>
            <w:tcW w:w="1238" w:type="dxa"/>
            <w:vAlign w:val="center"/>
          </w:tcPr>
          <w:p w:rsidR="00475650" w:rsidRDefault="00475650">
            <w:pPr>
              <w:snapToGrid w:val="0"/>
              <w:spacing w:line="240" w:lineRule="exact"/>
              <w:jc w:val="center"/>
              <w:rPr>
                <w:szCs w:val="21"/>
              </w:rPr>
            </w:pPr>
            <w:r>
              <w:rPr>
                <w:szCs w:val="21"/>
                <w:shd w:val="clear" w:color="auto" w:fill="FFFFFF"/>
              </w:rPr>
              <w:t>C</w:t>
            </w:r>
            <w:r>
              <w:rPr>
                <w:szCs w:val="21"/>
                <w:shd w:val="clear" w:color="auto" w:fill="FFFFFF"/>
                <w:vertAlign w:val="subscript"/>
              </w:rPr>
              <w:t>2</w:t>
            </w:r>
            <w:r>
              <w:rPr>
                <w:szCs w:val="21"/>
                <w:shd w:val="clear" w:color="auto" w:fill="FFFFFF"/>
              </w:rPr>
              <w:t>H</w:t>
            </w:r>
            <w:r>
              <w:rPr>
                <w:szCs w:val="21"/>
                <w:shd w:val="clear" w:color="auto" w:fill="FFFFFF"/>
                <w:vertAlign w:val="subscript"/>
              </w:rPr>
              <w:t>3</w:t>
            </w:r>
            <w:r>
              <w:rPr>
                <w:szCs w:val="21"/>
                <w:shd w:val="clear" w:color="auto" w:fill="FFFFFF"/>
              </w:rPr>
              <w:t>O</w:t>
            </w:r>
            <w:r>
              <w:rPr>
                <w:szCs w:val="21"/>
                <w:shd w:val="clear" w:color="auto" w:fill="FFFFFF"/>
                <w:vertAlign w:val="subscript"/>
              </w:rPr>
              <w:t>2</w:t>
            </w:r>
            <w:r>
              <w:rPr>
                <w:szCs w:val="21"/>
                <w:shd w:val="clear" w:color="auto" w:fill="FFFFFF"/>
              </w:rPr>
              <w:t>Na</w:t>
            </w:r>
          </w:p>
        </w:tc>
        <w:tc>
          <w:tcPr>
            <w:tcW w:w="1317" w:type="dxa"/>
            <w:vAlign w:val="center"/>
          </w:tcPr>
          <w:p w:rsidR="00475650" w:rsidRDefault="00475650">
            <w:pPr>
              <w:snapToGrid w:val="0"/>
              <w:spacing w:line="240" w:lineRule="exact"/>
              <w:jc w:val="center"/>
              <w:rPr>
                <w:szCs w:val="21"/>
              </w:rPr>
            </w:pPr>
            <w:r>
              <w:rPr>
                <w:rFonts w:hAnsi="宋体"/>
                <w:szCs w:val="21"/>
              </w:rPr>
              <w:t>分子量</w:t>
            </w:r>
          </w:p>
        </w:tc>
        <w:tc>
          <w:tcPr>
            <w:tcW w:w="1247" w:type="dxa"/>
            <w:vAlign w:val="center"/>
          </w:tcPr>
          <w:p w:rsidR="00475650" w:rsidRDefault="00475650">
            <w:pPr>
              <w:snapToGrid w:val="0"/>
              <w:spacing w:line="240" w:lineRule="exact"/>
              <w:jc w:val="center"/>
              <w:rPr>
                <w:szCs w:val="21"/>
              </w:rPr>
            </w:pPr>
            <w:r>
              <w:rPr>
                <w:szCs w:val="21"/>
              </w:rPr>
              <w:t>82.034</w:t>
            </w:r>
            <w:r>
              <w:rPr>
                <w:rFonts w:hAnsi="宋体"/>
                <w:szCs w:val="21"/>
              </w:rPr>
              <w:t>（无水）</w:t>
            </w:r>
          </w:p>
        </w:tc>
        <w:tc>
          <w:tcPr>
            <w:tcW w:w="1208" w:type="dxa"/>
            <w:vAlign w:val="center"/>
          </w:tcPr>
          <w:p w:rsidR="00475650" w:rsidRDefault="00475650">
            <w:pPr>
              <w:snapToGrid w:val="0"/>
              <w:spacing w:line="240" w:lineRule="exact"/>
              <w:jc w:val="center"/>
              <w:rPr>
                <w:szCs w:val="21"/>
              </w:rPr>
            </w:pPr>
            <w:r>
              <w:rPr>
                <w:rFonts w:hAnsi="宋体"/>
                <w:szCs w:val="21"/>
              </w:rPr>
              <w:t>熔点</w:t>
            </w:r>
            <w:r>
              <w:rPr>
                <w:szCs w:val="21"/>
              </w:rPr>
              <w:t>/</w:t>
            </w:r>
            <w:r>
              <w:rPr>
                <w:rFonts w:hAnsi="宋体"/>
                <w:szCs w:val="21"/>
              </w:rPr>
              <w:t>℃</w:t>
            </w:r>
          </w:p>
        </w:tc>
        <w:tc>
          <w:tcPr>
            <w:tcW w:w="1521" w:type="dxa"/>
            <w:vAlign w:val="center"/>
          </w:tcPr>
          <w:p w:rsidR="00475650" w:rsidRDefault="00475650">
            <w:pPr>
              <w:snapToGrid w:val="0"/>
              <w:spacing w:line="240" w:lineRule="exact"/>
              <w:jc w:val="center"/>
              <w:rPr>
                <w:szCs w:val="21"/>
              </w:rPr>
            </w:pPr>
            <w:r>
              <w:rPr>
                <w:szCs w:val="21"/>
              </w:rPr>
              <w:t>324</w:t>
            </w:r>
          </w:p>
        </w:tc>
      </w:tr>
      <w:tr w:rsidR="00475650">
        <w:trPr>
          <w:jc w:val="center"/>
        </w:trPr>
        <w:tc>
          <w:tcPr>
            <w:tcW w:w="1209" w:type="dxa"/>
            <w:vMerge/>
            <w:vAlign w:val="center"/>
          </w:tcPr>
          <w:p w:rsidR="00475650" w:rsidRDefault="00475650">
            <w:pPr>
              <w:snapToGrid w:val="0"/>
              <w:spacing w:line="240" w:lineRule="exact"/>
              <w:jc w:val="center"/>
              <w:rPr>
                <w:szCs w:val="21"/>
              </w:rPr>
            </w:pPr>
          </w:p>
        </w:tc>
        <w:tc>
          <w:tcPr>
            <w:tcW w:w="1206" w:type="dxa"/>
            <w:vAlign w:val="center"/>
          </w:tcPr>
          <w:p w:rsidR="00475650" w:rsidRDefault="00475650">
            <w:pPr>
              <w:snapToGrid w:val="0"/>
              <w:spacing w:line="240" w:lineRule="exact"/>
              <w:jc w:val="center"/>
              <w:rPr>
                <w:szCs w:val="21"/>
              </w:rPr>
            </w:pPr>
            <w:r>
              <w:rPr>
                <w:rFonts w:hAnsi="宋体"/>
                <w:szCs w:val="21"/>
              </w:rPr>
              <w:t>沸点</w:t>
            </w:r>
            <w:r>
              <w:rPr>
                <w:szCs w:val="21"/>
              </w:rPr>
              <w:t>/</w:t>
            </w:r>
            <w:r>
              <w:rPr>
                <w:rFonts w:hAnsi="宋体"/>
                <w:szCs w:val="21"/>
              </w:rPr>
              <w:t>℃</w:t>
            </w:r>
          </w:p>
        </w:tc>
        <w:tc>
          <w:tcPr>
            <w:tcW w:w="1238" w:type="dxa"/>
            <w:vAlign w:val="center"/>
          </w:tcPr>
          <w:p w:rsidR="00475650" w:rsidRDefault="00475650">
            <w:pPr>
              <w:snapToGrid w:val="0"/>
              <w:spacing w:line="240" w:lineRule="exact"/>
              <w:jc w:val="center"/>
              <w:rPr>
                <w:szCs w:val="21"/>
              </w:rPr>
            </w:pPr>
            <w:r>
              <w:rPr>
                <w:szCs w:val="21"/>
              </w:rPr>
              <w:t>/</w:t>
            </w:r>
          </w:p>
        </w:tc>
        <w:tc>
          <w:tcPr>
            <w:tcW w:w="1317" w:type="dxa"/>
            <w:vAlign w:val="center"/>
          </w:tcPr>
          <w:p w:rsidR="00475650" w:rsidRDefault="00475650">
            <w:pPr>
              <w:snapToGrid w:val="0"/>
              <w:spacing w:line="240" w:lineRule="exact"/>
              <w:jc w:val="center"/>
              <w:rPr>
                <w:szCs w:val="21"/>
              </w:rPr>
            </w:pPr>
            <w:r>
              <w:rPr>
                <w:rFonts w:hAnsi="宋体"/>
                <w:szCs w:val="21"/>
              </w:rPr>
              <w:t>相对密度</w:t>
            </w:r>
            <w:r>
              <w:rPr>
                <w:szCs w:val="21"/>
              </w:rPr>
              <w:t>(</w:t>
            </w:r>
            <w:r>
              <w:rPr>
                <w:rFonts w:hAnsi="宋体"/>
                <w:szCs w:val="21"/>
              </w:rPr>
              <w:t>水</w:t>
            </w:r>
            <w:r>
              <w:rPr>
                <w:szCs w:val="21"/>
              </w:rPr>
              <w:t>=1)</w:t>
            </w:r>
          </w:p>
        </w:tc>
        <w:tc>
          <w:tcPr>
            <w:tcW w:w="1247" w:type="dxa"/>
            <w:vAlign w:val="center"/>
          </w:tcPr>
          <w:p w:rsidR="00475650" w:rsidRDefault="00475650">
            <w:pPr>
              <w:snapToGrid w:val="0"/>
              <w:spacing w:line="240" w:lineRule="exact"/>
              <w:jc w:val="center"/>
              <w:rPr>
                <w:spacing w:val="-20"/>
                <w:szCs w:val="21"/>
              </w:rPr>
            </w:pPr>
            <w:r>
              <w:rPr>
                <w:spacing w:val="-20"/>
                <w:szCs w:val="21"/>
              </w:rPr>
              <w:t>1.45</w:t>
            </w:r>
          </w:p>
        </w:tc>
        <w:tc>
          <w:tcPr>
            <w:tcW w:w="1208" w:type="dxa"/>
            <w:vAlign w:val="center"/>
          </w:tcPr>
          <w:p w:rsidR="00475650" w:rsidRDefault="00475650">
            <w:pPr>
              <w:snapToGrid w:val="0"/>
              <w:spacing w:line="240" w:lineRule="exact"/>
              <w:jc w:val="center"/>
              <w:rPr>
                <w:szCs w:val="21"/>
              </w:rPr>
            </w:pPr>
            <w:r>
              <w:rPr>
                <w:rFonts w:hAnsi="宋体"/>
                <w:szCs w:val="21"/>
              </w:rPr>
              <w:t>相对蒸汽密度</w:t>
            </w:r>
            <w:r>
              <w:rPr>
                <w:szCs w:val="21"/>
              </w:rPr>
              <w:t>(</w:t>
            </w:r>
            <w:r>
              <w:rPr>
                <w:rFonts w:hAnsi="宋体"/>
                <w:szCs w:val="21"/>
              </w:rPr>
              <w:t>空气</w:t>
            </w:r>
            <w:r>
              <w:rPr>
                <w:szCs w:val="21"/>
              </w:rPr>
              <w:t>=1)</w:t>
            </w:r>
          </w:p>
        </w:tc>
        <w:tc>
          <w:tcPr>
            <w:tcW w:w="1521" w:type="dxa"/>
            <w:vAlign w:val="center"/>
          </w:tcPr>
          <w:p w:rsidR="00475650" w:rsidRDefault="00475650">
            <w:pPr>
              <w:snapToGrid w:val="0"/>
              <w:spacing w:line="240" w:lineRule="exact"/>
              <w:jc w:val="center"/>
              <w:rPr>
                <w:szCs w:val="21"/>
              </w:rPr>
            </w:pPr>
            <w:r>
              <w:rPr>
                <w:szCs w:val="21"/>
              </w:rPr>
              <w:t>/</w:t>
            </w:r>
          </w:p>
        </w:tc>
      </w:tr>
      <w:tr w:rsidR="00475650">
        <w:trPr>
          <w:jc w:val="center"/>
        </w:trPr>
        <w:tc>
          <w:tcPr>
            <w:tcW w:w="1209" w:type="dxa"/>
            <w:vMerge/>
            <w:vAlign w:val="center"/>
          </w:tcPr>
          <w:p w:rsidR="00475650" w:rsidRDefault="00475650">
            <w:pPr>
              <w:snapToGrid w:val="0"/>
              <w:spacing w:line="240" w:lineRule="exact"/>
              <w:jc w:val="center"/>
              <w:rPr>
                <w:szCs w:val="21"/>
              </w:rPr>
            </w:pPr>
          </w:p>
        </w:tc>
        <w:tc>
          <w:tcPr>
            <w:tcW w:w="1206" w:type="dxa"/>
            <w:vAlign w:val="center"/>
          </w:tcPr>
          <w:p w:rsidR="00475650" w:rsidRDefault="00475650">
            <w:pPr>
              <w:snapToGrid w:val="0"/>
              <w:spacing w:line="240" w:lineRule="exact"/>
              <w:jc w:val="center"/>
              <w:rPr>
                <w:szCs w:val="21"/>
              </w:rPr>
            </w:pPr>
            <w:r>
              <w:rPr>
                <w:rFonts w:hAnsi="宋体"/>
                <w:szCs w:val="21"/>
              </w:rPr>
              <w:t>饱和蒸汽压</w:t>
            </w:r>
            <w:r>
              <w:rPr>
                <w:szCs w:val="21"/>
              </w:rPr>
              <w:t>/Kpa</w:t>
            </w:r>
          </w:p>
        </w:tc>
        <w:tc>
          <w:tcPr>
            <w:tcW w:w="1238" w:type="dxa"/>
            <w:vAlign w:val="center"/>
          </w:tcPr>
          <w:p w:rsidR="00475650" w:rsidRDefault="00475650">
            <w:pPr>
              <w:snapToGrid w:val="0"/>
              <w:spacing w:line="240" w:lineRule="exact"/>
              <w:jc w:val="center"/>
              <w:rPr>
                <w:szCs w:val="21"/>
              </w:rPr>
            </w:pPr>
            <w:r>
              <w:rPr>
                <w:szCs w:val="21"/>
              </w:rPr>
              <w:t>/</w:t>
            </w:r>
          </w:p>
        </w:tc>
        <w:tc>
          <w:tcPr>
            <w:tcW w:w="1317" w:type="dxa"/>
            <w:vAlign w:val="center"/>
          </w:tcPr>
          <w:p w:rsidR="00475650" w:rsidRDefault="00475650">
            <w:pPr>
              <w:snapToGrid w:val="0"/>
              <w:spacing w:line="240" w:lineRule="exact"/>
              <w:jc w:val="center"/>
              <w:rPr>
                <w:szCs w:val="21"/>
              </w:rPr>
            </w:pPr>
            <w:r>
              <w:rPr>
                <w:rFonts w:hAnsi="宋体"/>
                <w:szCs w:val="21"/>
              </w:rPr>
              <w:t>燃烧热（</w:t>
            </w:r>
            <w:r>
              <w:rPr>
                <w:szCs w:val="21"/>
              </w:rPr>
              <w:t>KJ/mol</w:t>
            </w:r>
            <w:r>
              <w:rPr>
                <w:rFonts w:hAnsi="宋体"/>
                <w:szCs w:val="21"/>
              </w:rPr>
              <w:t>）</w:t>
            </w:r>
          </w:p>
        </w:tc>
        <w:tc>
          <w:tcPr>
            <w:tcW w:w="1247" w:type="dxa"/>
            <w:vAlign w:val="center"/>
          </w:tcPr>
          <w:p w:rsidR="00475650" w:rsidRDefault="00475650">
            <w:pPr>
              <w:snapToGrid w:val="0"/>
              <w:spacing w:line="240" w:lineRule="exact"/>
              <w:jc w:val="center"/>
              <w:rPr>
                <w:spacing w:val="-20"/>
                <w:szCs w:val="21"/>
              </w:rPr>
            </w:pPr>
            <w:r>
              <w:rPr>
                <w:spacing w:val="-20"/>
                <w:szCs w:val="21"/>
              </w:rPr>
              <w:t>/</w:t>
            </w:r>
          </w:p>
        </w:tc>
        <w:tc>
          <w:tcPr>
            <w:tcW w:w="1208" w:type="dxa"/>
            <w:vAlign w:val="center"/>
          </w:tcPr>
          <w:p w:rsidR="00475650" w:rsidRDefault="00475650">
            <w:pPr>
              <w:snapToGrid w:val="0"/>
              <w:spacing w:line="240" w:lineRule="exact"/>
              <w:jc w:val="center"/>
              <w:rPr>
                <w:szCs w:val="21"/>
              </w:rPr>
            </w:pPr>
            <w:r>
              <w:rPr>
                <w:rFonts w:hAnsi="宋体"/>
                <w:szCs w:val="21"/>
              </w:rPr>
              <w:t>闪点</w:t>
            </w:r>
            <w:r>
              <w:rPr>
                <w:szCs w:val="21"/>
              </w:rPr>
              <w:t>(</w:t>
            </w:r>
            <w:r>
              <w:rPr>
                <w:rFonts w:hAnsi="宋体"/>
                <w:szCs w:val="21"/>
              </w:rPr>
              <w:t>℃</w:t>
            </w:r>
            <w:r>
              <w:rPr>
                <w:szCs w:val="21"/>
              </w:rPr>
              <w:t>)</w:t>
            </w:r>
          </w:p>
        </w:tc>
        <w:tc>
          <w:tcPr>
            <w:tcW w:w="1521" w:type="dxa"/>
            <w:vAlign w:val="center"/>
          </w:tcPr>
          <w:p w:rsidR="00475650" w:rsidRDefault="00475650">
            <w:pPr>
              <w:snapToGrid w:val="0"/>
              <w:spacing w:line="240" w:lineRule="exact"/>
              <w:jc w:val="center"/>
              <w:rPr>
                <w:szCs w:val="21"/>
              </w:rPr>
            </w:pPr>
            <w:r>
              <w:rPr>
                <w:szCs w:val="21"/>
              </w:rPr>
              <w:t>/</w:t>
            </w:r>
          </w:p>
        </w:tc>
      </w:tr>
      <w:tr w:rsidR="00475650">
        <w:trPr>
          <w:jc w:val="center"/>
        </w:trPr>
        <w:tc>
          <w:tcPr>
            <w:tcW w:w="1209" w:type="dxa"/>
            <w:vMerge/>
            <w:vAlign w:val="center"/>
          </w:tcPr>
          <w:p w:rsidR="00475650" w:rsidRDefault="00475650">
            <w:pPr>
              <w:snapToGrid w:val="0"/>
              <w:spacing w:line="240" w:lineRule="exact"/>
              <w:jc w:val="center"/>
              <w:rPr>
                <w:szCs w:val="21"/>
              </w:rPr>
            </w:pPr>
          </w:p>
        </w:tc>
        <w:tc>
          <w:tcPr>
            <w:tcW w:w="1206" w:type="dxa"/>
            <w:vAlign w:val="center"/>
          </w:tcPr>
          <w:p w:rsidR="00475650" w:rsidRDefault="00475650">
            <w:pPr>
              <w:snapToGrid w:val="0"/>
              <w:spacing w:line="240" w:lineRule="exact"/>
              <w:jc w:val="center"/>
              <w:rPr>
                <w:szCs w:val="21"/>
              </w:rPr>
            </w:pPr>
            <w:r>
              <w:rPr>
                <w:rFonts w:hAnsi="宋体"/>
                <w:szCs w:val="21"/>
              </w:rPr>
              <w:t>溶解性</w:t>
            </w:r>
          </w:p>
        </w:tc>
        <w:tc>
          <w:tcPr>
            <w:tcW w:w="6531" w:type="dxa"/>
            <w:gridSpan w:val="5"/>
            <w:vAlign w:val="center"/>
          </w:tcPr>
          <w:p w:rsidR="00475650" w:rsidRDefault="00475650">
            <w:pPr>
              <w:snapToGrid w:val="0"/>
              <w:spacing w:line="240" w:lineRule="exact"/>
              <w:jc w:val="center"/>
              <w:rPr>
                <w:szCs w:val="21"/>
              </w:rPr>
            </w:pPr>
            <w:r>
              <w:rPr>
                <w:rFonts w:hAnsi="宋体"/>
                <w:szCs w:val="21"/>
                <w:shd w:val="clear" w:color="auto" w:fill="FFFFFF"/>
              </w:rPr>
              <w:t>溶于水，稍溶于乙醇。</w:t>
            </w:r>
          </w:p>
        </w:tc>
      </w:tr>
      <w:tr w:rsidR="00475650">
        <w:trPr>
          <w:jc w:val="center"/>
        </w:trPr>
        <w:tc>
          <w:tcPr>
            <w:tcW w:w="1209" w:type="dxa"/>
            <w:vMerge/>
            <w:vAlign w:val="center"/>
          </w:tcPr>
          <w:p w:rsidR="00475650" w:rsidRDefault="00475650">
            <w:pPr>
              <w:snapToGrid w:val="0"/>
              <w:spacing w:line="240" w:lineRule="exact"/>
              <w:jc w:val="center"/>
              <w:rPr>
                <w:szCs w:val="21"/>
              </w:rPr>
            </w:pPr>
          </w:p>
        </w:tc>
        <w:tc>
          <w:tcPr>
            <w:tcW w:w="1206" w:type="dxa"/>
            <w:vAlign w:val="center"/>
          </w:tcPr>
          <w:p w:rsidR="00475650" w:rsidRDefault="00475650">
            <w:pPr>
              <w:snapToGrid w:val="0"/>
              <w:spacing w:line="240" w:lineRule="exact"/>
              <w:jc w:val="center"/>
              <w:rPr>
                <w:szCs w:val="21"/>
              </w:rPr>
            </w:pPr>
            <w:r>
              <w:rPr>
                <w:rFonts w:hAnsi="宋体"/>
                <w:szCs w:val="21"/>
              </w:rPr>
              <w:t>外观与形状</w:t>
            </w:r>
          </w:p>
        </w:tc>
        <w:tc>
          <w:tcPr>
            <w:tcW w:w="6531" w:type="dxa"/>
            <w:gridSpan w:val="5"/>
            <w:vAlign w:val="center"/>
          </w:tcPr>
          <w:p w:rsidR="00475650" w:rsidRDefault="00475650">
            <w:pPr>
              <w:snapToGrid w:val="0"/>
              <w:spacing w:line="240" w:lineRule="exact"/>
              <w:jc w:val="center"/>
              <w:rPr>
                <w:szCs w:val="21"/>
                <w:shd w:val="clear" w:color="auto" w:fill="FFFFFF"/>
              </w:rPr>
            </w:pPr>
            <w:r>
              <w:rPr>
                <w:rFonts w:hAnsi="宋体"/>
                <w:szCs w:val="21"/>
                <w:shd w:val="clear" w:color="auto" w:fill="FFFFFF"/>
              </w:rPr>
              <w:t>无色无味透明单斜晶系柱状晶体</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危险性</w:t>
            </w:r>
          </w:p>
        </w:tc>
        <w:tc>
          <w:tcPr>
            <w:tcW w:w="7737" w:type="dxa"/>
            <w:gridSpan w:val="6"/>
          </w:tcPr>
          <w:p w:rsidR="00475650" w:rsidRDefault="00475650">
            <w:pPr>
              <w:snapToGrid w:val="0"/>
              <w:spacing w:line="240" w:lineRule="exact"/>
              <w:jc w:val="center"/>
              <w:rPr>
                <w:szCs w:val="21"/>
              </w:rPr>
            </w:pPr>
            <w:r>
              <w:rPr>
                <w:szCs w:val="21"/>
              </w:rPr>
              <w:t>/</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lastRenderedPageBreak/>
              <w:t>禁忌物</w:t>
            </w:r>
          </w:p>
        </w:tc>
        <w:tc>
          <w:tcPr>
            <w:tcW w:w="7737" w:type="dxa"/>
            <w:gridSpan w:val="6"/>
          </w:tcPr>
          <w:p w:rsidR="00475650" w:rsidRDefault="00475650">
            <w:pPr>
              <w:snapToGrid w:val="0"/>
              <w:spacing w:line="240" w:lineRule="exact"/>
              <w:jc w:val="center"/>
              <w:rPr>
                <w:szCs w:val="21"/>
                <w:shd w:val="clear" w:color="auto" w:fill="FFFFFF"/>
              </w:rPr>
            </w:pPr>
            <w:r>
              <w:rPr>
                <w:szCs w:val="21"/>
                <w:shd w:val="clear" w:color="auto" w:fill="FFFFFF"/>
              </w:rPr>
              <w:t>/</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对人体危害</w:t>
            </w:r>
          </w:p>
        </w:tc>
        <w:tc>
          <w:tcPr>
            <w:tcW w:w="7737" w:type="dxa"/>
            <w:gridSpan w:val="6"/>
          </w:tcPr>
          <w:p w:rsidR="00475650" w:rsidRDefault="00475650">
            <w:pPr>
              <w:snapToGrid w:val="0"/>
              <w:spacing w:line="240" w:lineRule="exact"/>
              <w:jc w:val="center"/>
              <w:rPr>
                <w:szCs w:val="21"/>
                <w:shd w:val="clear" w:color="auto" w:fill="FFFFFF"/>
              </w:rPr>
            </w:pPr>
            <w:r>
              <w:rPr>
                <w:szCs w:val="21"/>
                <w:shd w:val="clear" w:color="auto" w:fill="FFFFFF"/>
              </w:rPr>
              <w:t>/</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环境危害</w:t>
            </w:r>
          </w:p>
        </w:tc>
        <w:tc>
          <w:tcPr>
            <w:tcW w:w="7737" w:type="dxa"/>
            <w:gridSpan w:val="6"/>
          </w:tcPr>
          <w:p w:rsidR="00475650" w:rsidRDefault="00475650">
            <w:pPr>
              <w:snapToGrid w:val="0"/>
              <w:spacing w:line="240" w:lineRule="exact"/>
              <w:jc w:val="center"/>
              <w:rPr>
                <w:szCs w:val="21"/>
                <w:shd w:val="clear" w:color="auto" w:fill="FFFFFF"/>
              </w:rPr>
            </w:pPr>
            <w:r>
              <w:rPr>
                <w:szCs w:val="21"/>
                <w:shd w:val="clear" w:color="auto" w:fill="FFFFFF"/>
              </w:rPr>
              <w:t>/</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燃爆危险</w:t>
            </w:r>
          </w:p>
        </w:tc>
        <w:tc>
          <w:tcPr>
            <w:tcW w:w="7737" w:type="dxa"/>
            <w:gridSpan w:val="6"/>
          </w:tcPr>
          <w:p w:rsidR="00475650" w:rsidRDefault="00475650">
            <w:pPr>
              <w:snapToGrid w:val="0"/>
              <w:spacing w:line="240" w:lineRule="exact"/>
              <w:jc w:val="center"/>
              <w:rPr>
                <w:szCs w:val="21"/>
                <w:shd w:val="clear" w:color="auto" w:fill="FFFFFF"/>
              </w:rPr>
            </w:pPr>
            <w:r>
              <w:rPr>
                <w:szCs w:val="21"/>
                <w:shd w:val="clear" w:color="auto" w:fill="FFFFFF"/>
              </w:rPr>
              <w:t>/</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毒理学</w:t>
            </w:r>
          </w:p>
          <w:p w:rsidR="00475650" w:rsidRDefault="00475650">
            <w:pPr>
              <w:snapToGrid w:val="0"/>
              <w:spacing w:line="240" w:lineRule="exact"/>
              <w:jc w:val="center"/>
              <w:rPr>
                <w:szCs w:val="21"/>
              </w:rPr>
            </w:pPr>
            <w:r>
              <w:rPr>
                <w:rFonts w:hAnsi="宋体"/>
                <w:szCs w:val="21"/>
              </w:rPr>
              <w:t>资料</w:t>
            </w:r>
          </w:p>
        </w:tc>
        <w:tc>
          <w:tcPr>
            <w:tcW w:w="7737" w:type="dxa"/>
            <w:gridSpan w:val="6"/>
          </w:tcPr>
          <w:p w:rsidR="00475650" w:rsidRDefault="00475650">
            <w:pPr>
              <w:snapToGrid w:val="0"/>
              <w:spacing w:line="240" w:lineRule="exact"/>
              <w:rPr>
                <w:szCs w:val="21"/>
              </w:rPr>
            </w:pPr>
            <w:r>
              <w:rPr>
                <w:rFonts w:hAnsi="宋体"/>
                <w:szCs w:val="21"/>
              </w:rPr>
              <w:t>大鼠经口</w:t>
            </w:r>
            <w:r>
              <w:rPr>
                <w:szCs w:val="21"/>
              </w:rPr>
              <w:t>LD5</w:t>
            </w:r>
            <w:r>
              <w:rPr>
                <w:rFonts w:hint="eastAsia"/>
                <w:szCs w:val="21"/>
              </w:rPr>
              <w:t>0</w:t>
            </w:r>
            <w:r>
              <w:rPr>
                <w:rFonts w:hAnsi="宋体"/>
                <w:szCs w:val="21"/>
              </w:rPr>
              <w:t>：</w:t>
            </w:r>
            <w:r>
              <w:rPr>
                <w:szCs w:val="21"/>
              </w:rPr>
              <w:t>3530mg/kg</w:t>
            </w:r>
            <w:r>
              <w:rPr>
                <w:rFonts w:hAnsi="宋体"/>
                <w:szCs w:val="21"/>
              </w:rPr>
              <w:t>；</w:t>
            </w:r>
            <w:r>
              <w:rPr>
                <w:szCs w:val="21"/>
              </w:rPr>
              <w:t xml:space="preserve"> </w:t>
            </w:r>
            <w:r>
              <w:rPr>
                <w:rFonts w:hAnsi="宋体"/>
                <w:szCs w:val="21"/>
              </w:rPr>
              <w:t>大鼠吸入</w:t>
            </w:r>
            <w:r>
              <w:rPr>
                <w:szCs w:val="21"/>
              </w:rPr>
              <w:t>LC5</w:t>
            </w:r>
            <w:r>
              <w:rPr>
                <w:rFonts w:hint="eastAsia"/>
                <w:szCs w:val="21"/>
              </w:rPr>
              <w:t>0</w:t>
            </w:r>
            <w:r>
              <w:rPr>
                <w:rFonts w:hAnsi="宋体"/>
                <w:szCs w:val="21"/>
              </w:rPr>
              <w:t>：</w:t>
            </w:r>
            <w:r>
              <w:rPr>
                <w:szCs w:val="21"/>
              </w:rPr>
              <w:t>&gt;30gm/m</w:t>
            </w:r>
            <w:r>
              <w:rPr>
                <w:szCs w:val="21"/>
                <w:vertAlign w:val="superscript"/>
              </w:rPr>
              <w:t>3</w:t>
            </w:r>
            <w:r>
              <w:rPr>
                <w:szCs w:val="21"/>
              </w:rPr>
              <w:t>/1h</w:t>
            </w:r>
            <w:r>
              <w:rPr>
                <w:rFonts w:hAnsi="宋体"/>
                <w:szCs w:val="21"/>
              </w:rPr>
              <w:t>；</w:t>
            </w:r>
            <w:r>
              <w:rPr>
                <w:szCs w:val="21"/>
              </w:rPr>
              <w:t xml:space="preserve"> </w:t>
            </w:r>
            <w:r>
              <w:rPr>
                <w:rFonts w:hAnsi="宋体"/>
                <w:szCs w:val="21"/>
              </w:rPr>
              <w:t>小鼠经口</w:t>
            </w:r>
            <w:r>
              <w:rPr>
                <w:szCs w:val="21"/>
              </w:rPr>
              <w:t>LD5</w:t>
            </w:r>
            <w:r>
              <w:rPr>
                <w:rFonts w:hint="eastAsia"/>
                <w:szCs w:val="21"/>
              </w:rPr>
              <w:t>0</w:t>
            </w:r>
            <w:r>
              <w:rPr>
                <w:rFonts w:hAnsi="宋体"/>
                <w:szCs w:val="21"/>
              </w:rPr>
              <w:t>：</w:t>
            </w:r>
            <w:r>
              <w:rPr>
                <w:szCs w:val="21"/>
              </w:rPr>
              <w:t>6891mg/kg</w:t>
            </w:r>
            <w:r>
              <w:rPr>
                <w:rFonts w:hAnsi="宋体"/>
                <w:szCs w:val="21"/>
              </w:rPr>
              <w:t>；小鼠皮下</w:t>
            </w:r>
            <w:r>
              <w:rPr>
                <w:szCs w:val="21"/>
              </w:rPr>
              <w:t>LD5</w:t>
            </w:r>
            <w:r>
              <w:rPr>
                <w:rFonts w:hint="eastAsia"/>
                <w:szCs w:val="21"/>
              </w:rPr>
              <w:t>0</w:t>
            </w:r>
            <w:r>
              <w:rPr>
                <w:rFonts w:hAnsi="宋体"/>
                <w:szCs w:val="21"/>
              </w:rPr>
              <w:t>：</w:t>
            </w:r>
            <w:r>
              <w:rPr>
                <w:szCs w:val="21"/>
              </w:rPr>
              <w:t>3200mg/kg</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泄漏应急处理措施</w:t>
            </w:r>
          </w:p>
        </w:tc>
        <w:tc>
          <w:tcPr>
            <w:tcW w:w="7737" w:type="dxa"/>
            <w:gridSpan w:val="6"/>
          </w:tcPr>
          <w:p w:rsidR="00475650" w:rsidRDefault="00475650">
            <w:pPr>
              <w:snapToGrid w:val="0"/>
              <w:spacing w:line="240" w:lineRule="exact"/>
              <w:jc w:val="center"/>
              <w:rPr>
                <w:szCs w:val="21"/>
              </w:rPr>
            </w:pPr>
            <w:r>
              <w:rPr>
                <w:szCs w:val="21"/>
              </w:rPr>
              <w:t>/</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储运注意</w:t>
            </w:r>
          </w:p>
          <w:p w:rsidR="00475650" w:rsidRDefault="00475650">
            <w:pPr>
              <w:snapToGrid w:val="0"/>
              <w:spacing w:line="240" w:lineRule="exact"/>
              <w:jc w:val="center"/>
              <w:rPr>
                <w:szCs w:val="21"/>
              </w:rPr>
            </w:pPr>
            <w:r>
              <w:rPr>
                <w:rFonts w:hAnsi="宋体"/>
                <w:szCs w:val="21"/>
              </w:rPr>
              <w:t>事项</w:t>
            </w:r>
          </w:p>
        </w:tc>
        <w:tc>
          <w:tcPr>
            <w:tcW w:w="7737" w:type="dxa"/>
            <w:gridSpan w:val="6"/>
          </w:tcPr>
          <w:p w:rsidR="00475650" w:rsidRDefault="00475650">
            <w:pPr>
              <w:snapToGrid w:val="0"/>
              <w:spacing w:line="240" w:lineRule="exact"/>
              <w:jc w:val="center"/>
              <w:rPr>
                <w:szCs w:val="21"/>
              </w:rPr>
            </w:pPr>
            <w:r>
              <w:rPr>
                <w:szCs w:val="21"/>
              </w:rPr>
              <w:t>/</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灭火方法</w:t>
            </w:r>
          </w:p>
        </w:tc>
        <w:tc>
          <w:tcPr>
            <w:tcW w:w="7737" w:type="dxa"/>
            <w:gridSpan w:val="6"/>
          </w:tcPr>
          <w:p w:rsidR="00475650" w:rsidRDefault="00475650">
            <w:pPr>
              <w:snapToGrid w:val="0"/>
              <w:spacing w:line="240" w:lineRule="exact"/>
              <w:jc w:val="center"/>
              <w:rPr>
                <w:szCs w:val="21"/>
                <w:shd w:val="clear" w:color="auto" w:fill="FFFFFF"/>
              </w:rPr>
            </w:pPr>
            <w:r>
              <w:rPr>
                <w:szCs w:val="21"/>
                <w:shd w:val="clear" w:color="auto" w:fill="FFFFFF"/>
              </w:rPr>
              <w:t>/</w:t>
            </w:r>
          </w:p>
        </w:tc>
      </w:tr>
    </w:tbl>
    <w:p w:rsidR="00475650" w:rsidRDefault="00475650">
      <w:pPr>
        <w:spacing w:line="360" w:lineRule="auto"/>
        <w:jc w:val="center"/>
        <w:rPr>
          <w:rFonts w:hAnsi="宋体"/>
          <w:sz w:val="24"/>
        </w:rPr>
      </w:pPr>
    </w:p>
    <w:p w:rsidR="00475650" w:rsidRDefault="00475650">
      <w:pPr>
        <w:spacing w:line="360" w:lineRule="auto"/>
        <w:jc w:val="center"/>
        <w:rPr>
          <w:rFonts w:hAnsi="宋体"/>
          <w:sz w:val="24"/>
        </w:rPr>
      </w:pPr>
      <w:r>
        <w:rPr>
          <w:rFonts w:hAnsi="宋体"/>
          <w:sz w:val="24"/>
        </w:rPr>
        <w:t>表</w:t>
      </w:r>
      <w:r>
        <w:rPr>
          <w:sz w:val="24"/>
        </w:rPr>
        <w:t>6.2-1</w:t>
      </w:r>
      <w:r>
        <w:rPr>
          <w:rFonts w:hAnsi="宋体"/>
          <w:sz w:val="24"/>
        </w:rPr>
        <w:t>（</w:t>
      </w:r>
      <w:r>
        <w:rPr>
          <w:rFonts w:hint="eastAsia"/>
          <w:sz w:val="24"/>
        </w:rPr>
        <w:t>6</w:t>
      </w:r>
      <w:r>
        <w:rPr>
          <w:rFonts w:hAnsi="宋体"/>
          <w:sz w:val="24"/>
        </w:rPr>
        <w:t>）</w:t>
      </w:r>
      <w:r>
        <w:rPr>
          <w:sz w:val="24"/>
        </w:rPr>
        <w:t xml:space="preserve"> </w:t>
      </w:r>
      <w:r>
        <w:rPr>
          <w:rFonts w:hAnsi="宋体" w:hint="eastAsia"/>
          <w:sz w:val="24"/>
        </w:rPr>
        <w:t>尿素</w:t>
      </w:r>
      <w:r>
        <w:rPr>
          <w:rFonts w:hAnsi="宋体"/>
          <w:sz w:val="24"/>
        </w:rPr>
        <w:t>理化性质及毒性数据表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209"/>
        <w:gridCol w:w="1206"/>
        <w:gridCol w:w="1238"/>
        <w:gridCol w:w="1317"/>
        <w:gridCol w:w="1247"/>
        <w:gridCol w:w="1208"/>
        <w:gridCol w:w="1521"/>
      </w:tblGrid>
      <w:tr w:rsidR="00475650">
        <w:trPr>
          <w:jc w:val="center"/>
        </w:trPr>
        <w:tc>
          <w:tcPr>
            <w:tcW w:w="1209" w:type="dxa"/>
            <w:vMerge w:val="restart"/>
            <w:vAlign w:val="center"/>
          </w:tcPr>
          <w:p w:rsidR="00475650" w:rsidRDefault="00475650">
            <w:pPr>
              <w:snapToGrid w:val="0"/>
              <w:spacing w:line="240" w:lineRule="exact"/>
              <w:jc w:val="center"/>
              <w:rPr>
                <w:szCs w:val="21"/>
              </w:rPr>
            </w:pPr>
            <w:r>
              <w:rPr>
                <w:rFonts w:hAnsi="宋体"/>
                <w:szCs w:val="21"/>
              </w:rPr>
              <w:t>品名</w:t>
            </w:r>
          </w:p>
        </w:tc>
        <w:tc>
          <w:tcPr>
            <w:tcW w:w="1206" w:type="dxa"/>
            <w:vMerge w:val="restart"/>
            <w:vAlign w:val="center"/>
          </w:tcPr>
          <w:p w:rsidR="00475650" w:rsidRDefault="00475650">
            <w:pPr>
              <w:snapToGrid w:val="0"/>
              <w:spacing w:line="240" w:lineRule="exact"/>
              <w:jc w:val="center"/>
              <w:rPr>
                <w:szCs w:val="21"/>
              </w:rPr>
            </w:pPr>
            <w:r>
              <w:rPr>
                <w:rFonts w:hAnsi="宋体"/>
                <w:szCs w:val="21"/>
              </w:rPr>
              <w:t>尿素</w:t>
            </w:r>
          </w:p>
        </w:tc>
        <w:tc>
          <w:tcPr>
            <w:tcW w:w="1238" w:type="dxa"/>
            <w:vAlign w:val="center"/>
          </w:tcPr>
          <w:p w:rsidR="00475650" w:rsidRDefault="00475650">
            <w:pPr>
              <w:snapToGrid w:val="0"/>
              <w:spacing w:line="240" w:lineRule="exact"/>
              <w:jc w:val="center"/>
              <w:rPr>
                <w:szCs w:val="21"/>
              </w:rPr>
            </w:pPr>
            <w:r>
              <w:rPr>
                <w:rFonts w:hAnsi="宋体"/>
                <w:szCs w:val="21"/>
              </w:rPr>
              <w:t>英文名</w:t>
            </w:r>
          </w:p>
        </w:tc>
        <w:tc>
          <w:tcPr>
            <w:tcW w:w="2564" w:type="dxa"/>
            <w:gridSpan w:val="2"/>
            <w:vAlign w:val="center"/>
          </w:tcPr>
          <w:p w:rsidR="00475650" w:rsidRDefault="00475650">
            <w:pPr>
              <w:snapToGrid w:val="0"/>
              <w:spacing w:line="240" w:lineRule="exact"/>
              <w:jc w:val="center"/>
              <w:rPr>
                <w:szCs w:val="21"/>
              </w:rPr>
            </w:pPr>
            <w:r>
              <w:rPr>
                <w:szCs w:val="21"/>
              </w:rPr>
              <w:t>urea</w:t>
            </w:r>
          </w:p>
        </w:tc>
        <w:tc>
          <w:tcPr>
            <w:tcW w:w="1208" w:type="dxa"/>
            <w:vAlign w:val="center"/>
          </w:tcPr>
          <w:p w:rsidR="00475650" w:rsidRDefault="00475650">
            <w:pPr>
              <w:snapToGrid w:val="0"/>
              <w:spacing w:line="240" w:lineRule="exact"/>
              <w:jc w:val="center"/>
              <w:rPr>
                <w:szCs w:val="21"/>
              </w:rPr>
            </w:pPr>
            <w:r>
              <w:rPr>
                <w:szCs w:val="21"/>
              </w:rPr>
              <w:t>UN</w:t>
            </w:r>
            <w:r>
              <w:rPr>
                <w:rFonts w:hAnsi="宋体"/>
                <w:szCs w:val="21"/>
              </w:rPr>
              <w:t>编号</w:t>
            </w:r>
          </w:p>
        </w:tc>
        <w:tc>
          <w:tcPr>
            <w:tcW w:w="1521" w:type="dxa"/>
            <w:vAlign w:val="center"/>
          </w:tcPr>
          <w:p w:rsidR="00475650" w:rsidRDefault="00475650">
            <w:pPr>
              <w:snapToGrid w:val="0"/>
              <w:spacing w:line="240" w:lineRule="exact"/>
              <w:jc w:val="center"/>
              <w:rPr>
                <w:szCs w:val="21"/>
              </w:rPr>
            </w:pPr>
            <w:r>
              <w:rPr>
                <w:szCs w:val="21"/>
              </w:rPr>
              <w:t>/</w:t>
            </w:r>
          </w:p>
        </w:tc>
      </w:tr>
      <w:tr w:rsidR="00475650">
        <w:trPr>
          <w:jc w:val="center"/>
        </w:trPr>
        <w:tc>
          <w:tcPr>
            <w:tcW w:w="1209" w:type="dxa"/>
            <w:vMerge/>
            <w:vAlign w:val="center"/>
          </w:tcPr>
          <w:p w:rsidR="00475650" w:rsidRDefault="00475650">
            <w:pPr>
              <w:snapToGrid w:val="0"/>
              <w:spacing w:line="240" w:lineRule="exact"/>
              <w:jc w:val="center"/>
              <w:rPr>
                <w:szCs w:val="21"/>
              </w:rPr>
            </w:pPr>
          </w:p>
        </w:tc>
        <w:tc>
          <w:tcPr>
            <w:tcW w:w="1206" w:type="dxa"/>
            <w:vMerge/>
            <w:vAlign w:val="center"/>
          </w:tcPr>
          <w:p w:rsidR="00475650" w:rsidRDefault="00475650">
            <w:pPr>
              <w:snapToGrid w:val="0"/>
              <w:spacing w:line="240" w:lineRule="exact"/>
              <w:jc w:val="center"/>
              <w:rPr>
                <w:szCs w:val="21"/>
              </w:rPr>
            </w:pPr>
          </w:p>
        </w:tc>
        <w:tc>
          <w:tcPr>
            <w:tcW w:w="1238" w:type="dxa"/>
            <w:vAlign w:val="center"/>
          </w:tcPr>
          <w:p w:rsidR="00475650" w:rsidRDefault="00475650">
            <w:pPr>
              <w:snapToGrid w:val="0"/>
              <w:spacing w:line="240" w:lineRule="exact"/>
              <w:jc w:val="center"/>
              <w:rPr>
                <w:szCs w:val="21"/>
              </w:rPr>
            </w:pPr>
            <w:r>
              <w:rPr>
                <w:rFonts w:hAnsi="宋体"/>
                <w:szCs w:val="21"/>
              </w:rPr>
              <w:t>危险货物编号</w:t>
            </w:r>
          </w:p>
        </w:tc>
        <w:tc>
          <w:tcPr>
            <w:tcW w:w="2564" w:type="dxa"/>
            <w:gridSpan w:val="2"/>
            <w:vAlign w:val="center"/>
          </w:tcPr>
          <w:p w:rsidR="00475650" w:rsidRDefault="00475650">
            <w:pPr>
              <w:snapToGrid w:val="0"/>
              <w:spacing w:line="240" w:lineRule="exact"/>
              <w:jc w:val="center"/>
              <w:rPr>
                <w:szCs w:val="21"/>
              </w:rPr>
            </w:pPr>
            <w:r>
              <w:rPr>
                <w:szCs w:val="21"/>
              </w:rPr>
              <w:t>/</w:t>
            </w:r>
          </w:p>
        </w:tc>
        <w:tc>
          <w:tcPr>
            <w:tcW w:w="1208" w:type="dxa"/>
            <w:vAlign w:val="center"/>
          </w:tcPr>
          <w:p w:rsidR="00475650" w:rsidRDefault="00475650">
            <w:pPr>
              <w:snapToGrid w:val="0"/>
              <w:spacing w:line="240" w:lineRule="exact"/>
              <w:jc w:val="center"/>
              <w:rPr>
                <w:szCs w:val="21"/>
              </w:rPr>
            </w:pPr>
            <w:r>
              <w:rPr>
                <w:szCs w:val="21"/>
              </w:rPr>
              <w:t>CAS</w:t>
            </w:r>
            <w:r>
              <w:rPr>
                <w:rFonts w:hAnsi="宋体"/>
                <w:szCs w:val="21"/>
              </w:rPr>
              <w:t>号</w:t>
            </w:r>
          </w:p>
        </w:tc>
        <w:tc>
          <w:tcPr>
            <w:tcW w:w="1521" w:type="dxa"/>
            <w:vAlign w:val="center"/>
          </w:tcPr>
          <w:p w:rsidR="00475650" w:rsidRDefault="00475650">
            <w:pPr>
              <w:snapToGrid w:val="0"/>
              <w:spacing w:line="240" w:lineRule="exact"/>
              <w:jc w:val="center"/>
              <w:rPr>
                <w:szCs w:val="21"/>
              </w:rPr>
            </w:pPr>
            <w:r>
              <w:rPr>
                <w:szCs w:val="21"/>
              </w:rPr>
              <w:t>57-13-6</w:t>
            </w:r>
          </w:p>
        </w:tc>
      </w:tr>
      <w:tr w:rsidR="00475650">
        <w:trPr>
          <w:jc w:val="center"/>
        </w:trPr>
        <w:tc>
          <w:tcPr>
            <w:tcW w:w="1209" w:type="dxa"/>
            <w:vMerge w:val="restart"/>
            <w:vAlign w:val="center"/>
          </w:tcPr>
          <w:p w:rsidR="00475650" w:rsidRDefault="00475650">
            <w:pPr>
              <w:snapToGrid w:val="0"/>
              <w:spacing w:line="240" w:lineRule="exact"/>
              <w:jc w:val="center"/>
              <w:rPr>
                <w:szCs w:val="21"/>
              </w:rPr>
            </w:pPr>
            <w:r>
              <w:rPr>
                <w:rFonts w:hAnsi="宋体"/>
                <w:szCs w:val="21"/>
              </w:rPr>
              <w:t>理化性质</w:t>
            </w:r>
          </w:p>
        </w:tc>
        <w:tc>
          <w:tcPr>
            <w:tcW w:w="1206" w:type="dxa"/>
            <w:vAlign w:val="center"/>
          </w:tcPr>
          <w:p w:rsidR="00475650" w:rsidRDefault="00475650">
            <w:pPr>
              <w:snapToGrid w:val="0"/>
              <w:spacing w:line="240" w:lineRule="exact"/>
              <w:jc w:val="center"/>
              <w:rPr>
                <w:szCs w:val="21"/>
              </w:rPr>
            </w:pPr>
            <w:r>
              <w:rPr>
                <w:rFonts w:hAnsi="宋体"/>
                <w:szCs w:val="21"/>
              </w:rPr>
              <w:t>分子式</w:t>
            </w:r>
          </w:p>
        </w:tc>
        <w:tc>
          <w:tcPr>
            <w:tcW w:w="1238" w:type="dxa"/>
            <w:vAlign w:val="center"/>
          </w:tcPr>
          <w:p w:rsidR="00475650" w:rsidRDefault="00475650">
            <w:pPr>
              <w:snapToGrid w:val="0"/>
              <w:spacing w:line="240" w:lineRule="exact"/>
              <w:jc w:val="center"/>
              <w:rPr>
                <w:szCs w:val="21"/>
              </w:rPr>
            </w:pPr>
            <w:r>
              <w:rPr>
                <w:szCs w:val="21"/>
              </w:rPr>
              <w:t>CH</w:t>
            </w:r>
            <w:r>
              <w:rPr>
                <w:szCs w:val="21"/>
                <w:vertAlign w:val="subscript"/>
              </w:rPr>
              <w:t>4</w:t>
            </w:r>
            <w:r>
              <w:rPr>
                <w:szCs w:val="21"/>
              </w:rPr>
              <w:t>N</w:t>
            </w:r>
            <w:r>
              <w:rPr>
                <w:szCs w:val="21"/>
                <w:vertAlign w:val="subscript"/>
              </w:rPr>
              <w:t>2</w:t>
            </w:r>
            <w:r>
              <w:rPr>
                <w:szCs w:val="21"/>
              </w:rPr>
              <w:t>O</w:t>
            </w:r>
          </w:p>
        </w:tc>
        <w:tc>
          <w:tcPr>
            <w:tcW w:w="1317" w:type="dxa"/>
            <w:vAlign w:val="center"/>
          </w:tcPr>
          <w:p w:rsidR="00475650" w:rsidRDefault="00475650">
            <w:pPr>
              <w:snapToGrid w:val="0"/>
              <w:spacing w:line="240" w:lineRule="exact"/>
              <w:jc w:val="center"/>
              <w:rPr>
                <w:szCs w:val="21"/>
              </w:rPr>
            </w:pPr>
            <w:r>
              <w:rPr>
                <w:rFonts w:hAnsi="宋体"/>
                <w:szCs w:val="21"/>
              </w:rPr>
              <w:t>分子量</w:t>
            </w:r>
          </w:p>
        </w:tc>
        <w:tc>
          <w:tcPr>
            <w:tcW w:w="1247" w:type="dxa"/>
            <w:vAlign w:val="center"/>
          </w:tcPr>
          <w:p w:rsidR="00475650" w:rsidRDefault="00475650">
            <w:pPr>
              <w:snapToGrid w:val="0"/>
              <w:spacing w:line="240" w:lineRule="exact"/>
              <w:jc w:val="center"/>
              <w:rPr>
                <w:szCs w:val="21"/>
              </w:rPr>
            </w:pPr>
            <w:r>
              <w:rPr>
                <w:szCs w:val="21"/>
              </w:rPr>
              <w:t>60.06</w:t>
            </w:r>
          </w:p>
        </w:tc>
        <w:tc>
          <w:tcPr>
            <w:tcW w:w="1208" w:type="dxa"/>
            <w:vAlign w:val="center"/>
          </w:tcPr>
          <w:p w:rsidR="00475650" w:rsidRDefault="00475650">
            <w:pPr>
              <w:snapToGrid w:val="0"/>
              <w:spacing w:line="240" w:lineRule="exact"/>
              <w:jc w:val="center"/>
              <w:rPr>
                <w:szCs w:val="21"/>
              </w:rPr>
            </w:pPr>
            <w:r>
              <w:rPr>
                <w:rFonts w:hAnsi="宋体"/>
                <w:szCs w:val="21"/>
              </w:rPr>
              <w:t>熔点</w:t>
            </w:r>
            <w:r>
              <w:rPr>
                <w:szCs w:val="21"/>
              </w:rPr>
              <w:t>/</w:t>
            </w:r>
            <w:r>
              <w:rPr>
                <w:rFonts w:hAnsi="宋体"/>
                <w:szCs w:val="21"/>
              </w:rPr>
              <w:t>℃</w:t>
            </w:r>
          </w:p>
        </w:tc>
        <w:tc>
          <w:tcPr>
            <w:tcW w:w="1521" w:type="dxa"/>
            <w:vAlign w:val="center"/>
          </w:tcPr>
          <w:p w:rsidR="00475650" w:rsidRDefault="00475650">
            <w:pPr>
              <w:snapToGrid w:val="0"/>
              <w:spacing w:line="240" w:lineRule="exact"/>
              <w:jc w:val="center"/>
              <w:rPr>
                <w:szCs w:val="21"/>
              </w:rPr>
            </w:pPr>
            <w:r>
              <w:rPr>
                <w:szCs w:val="21"/>
              </w:rPr>
              <w:t>/</w:t>
            </w:r>
          </w:p>
        </w:tc>
      </w:tr>
      <w:tr w:rsidR="00475650">
        <w:trPr>
          <w:jc w:val="center"/>
        </w:trPr>
        <w:tc>
          <w:tcPr>
            <w:tcW w:w="1209" w:type="dxa"/>
            <w:vMerge/>
            <w:vAlign w:val="center"/>
          </w:tcPr>
          <w:p w:rsidR="00475650" w:rsidRDefault="00475650">
            <w:pPr>
              <w:snapToGrid w:val="0"/>
              <w:spacing w:line="240" w:lineRule="exact"/>
              <w:jc w:val="center"/>
              <w:rPr>
                <w:szCs w:val="21"/>
              </w:rPr>
            </w:pPr>
          </w:p>
        </w:tc>
        <w:tc>
          <w:tcPr>
            <w:tcW w:w="1206" w:type="dxa"/>
            <w:vAlign w:val="center"/>
          </w:tcPr>
          <w:p w:rsidR="00475650" w:rsidRDefault="00475650">
            <w:pPr>
              <w:snapToGrid w:val="0"/>
              <w:spacing w:line="240" w:lineRule="exact"/>
              <w:jc w:val="center"/>
              <w:rPr>
                <w:szCs w:val="21"/>
              </w:rPr>
            </w:pPr>
            <w:r>
              <w:rPr>
                <w:rFonts w:hAnsi="宋体"/>
                <w:szCs w:val="21"/>
              </w:rPr>
              <w:t>沸点</w:t>
            </w:r>
            <w:r>
              <w:rPr>
                <w:szCs w:val="21"/>
              </w:rPr>
              <w:t>/</w:t>
            </w:r>
            <w:r>
              <w:rPr>
                <w:rFonts w:hAnsi="宋体"/>
                <w:szCs w:val="21"/>
              </w:rPr>
              <w:t>℃</w:t>
            </w:r>
          </w:p>
        </w:tc>
        <w:tc>
          <w:tcPr>
            <w:tcW w:w="1238" w:type="dxa"/>
            <w:vAlign w:val="center"/>
          </w:tcPr>
          <w:p w:rsidR="00475650" w:rsidRDefault="00475650">
            <w:pPr>
              <w:snapToGrid w:val="0"/>
              <w:spacing w:line="240" w:lineRule="exact"/>
              <w:jc w:val="center"/>
              <w:rPr>
                <w:szCs w:val="21"/>
              </w:rPr>
            </w:pPr>
            <w:r>
              <w:rPr>
                <w:szCs w:val="21"/>
              </w:rPr>
              <w:t>/</w:t>
            </w:r>
          </w:p>
        </w:tc>
        <w:tc>
          <w:tcPr>
            <w:tcW w:w="1317" w:type="dxa"/>
            <w:vAlign w:val="center"/>
          </w:tcPr>
          <w:p w:rsidR="00475650" w:rsidRDefault="00475650">
            <w:pPr>
              <w:snapToGrid w:val="0"/>
              <w:spacing w:line="240" w:lineRule="exact"/>
              <w:jc w:val="center"/>
              <w:rPr>
                <w:szCs w:val="21"/>
              </w:rPr>
            </w:pPr>
            <w:r>
              <w:rPr>
                <w:rFonts w:hAnsi="宋体"/>
                <w:szCs w:val="21"/>
              </w:rPr>
              <w:t>相对密度</w:t>
            </w:r>
            <w:r>
              <w:rPr>
                <w:szCs w:val="21"/>
              </w:rPr>
              <w:t>(</w:t>
            </w:r>
            <w:r>
              <w:rPr>
                <w:rFonts w:hAnsi="宋体"/>
                <w:szCs w:val="21"/>
              </w:rPr>
              <w:t>水</w:t>
            </w:r>
            <w:r>
              <w:rPr>
                <w:szCs w:val="21"/>
              </w:rPr>
              <w:t>=1)</w:t>
            </w:r>
          </w:p>
        </w:tc>
        <w:tc>
          <w:tcPr>
            <w:tcW w:w="1247" w:type="dxa"/>
            <w:vAlign w:val="center"/>
          </w:tcPr>
          <w:p w:rsidR="00475650" w:rsidRDefault="00475650">
            <w:pPr>
              <w:snapToGrid w:val="0"/>
              <w:spacing w:line="240" w:lineRule="exact"/>
              <w:jc w:val="center"/>
              <w:rPr>
                <w:spacing w:val="-20"/>
                <w:szCs w:val="21"/>
              </w:rPr>
            </w:pPr>
            <w:r>
              <w:rPr>
                <w:spacing w:val="-20"/>
                <w:szCs w:val="21"/>
              </w:rPr>
              <w:t>1.335</w:t>
            </w:r>
          </w:p>
        </w:tc>
        <w:tc>
          <w:tcPr>
            <w:tcW w:w="1208" w:type="dxa"/>
            <w:vAlign w:val="center"/>
          </w:tcPr>
          <w:p w:rsidR="00475650" w:rsidRDefault="00475650">
            <w:pPr>
              <w:snapToGrid w:val="0"/>
              <w:spacing w:line="240" w:lineRule="exact"/>
              <w:jc w:val="center"/>
              <w:rPr>
                <w:szCs w:val="21"/>
              </w:rPr>
            </w:pPr>
            <w:r>
              <w:rPr>
                <w:rFonts w:hAnsi="宋体"/>
                <w:szCs w:val="21"/>
              </w:rPr>
              <w:t>相对蒸汽密度</w:t>
            </w:r>
            <w:r>
              <w:rPr>
                <w:szCs w:val="21"/>
              </w:rPr>
              <w:t>(</w:t>
            </w:r>
            <w:r>
              <w:rPr>
                <w:rFonts w:hAnsi="宋体"/>
                <w:szCs w:val="21"/>
              </w:rPr>
              <w:t>空气</w:t>
            </w:r>
            <w:r>
              <w:rPr>
                <w:szCs w:val="21"/>
              </w:rPr>
              <w:t>=1)</w:t>
            </w:r>
          </w:p>
        </w:tc>
        <w:tc>
          <w:tcPr>
            <w:tcW w:w="1521" w:type="dxa"/>
            <w:vAlign w:val="center"/>
          </w:tcPr>
          <w:p w:rsidR="00475650" w:rsidRDefault="00475650">
            <w:pPr>
              <w:snapToGrid w:val="0"/>
              <w:spacing w:line="240" w:lineRule="exact"/>
              <w:jc w:val="center"/>
              <w:rPr>
                <w:szCs w:val="21"/>
              </w:rPr>
            </w:pPr>
            <w:r>
              <w:rPr>
                <w:szCs w:val="21"/>
              </w:rPr>
              <w:t>/</w:t>
            </w:r>
          </w:p>
        </w:tc>
      </w:tr>
      <w:tr w:rsidR="00475650">
        <w:trPr>
          <w:jc w:val="center"/>
        </w:trPr>
        <w:tc>
          <w:tcPr>
            <w:tcW w:w="1209" w:type="dxa"/>
            <w:vMerge/>
            <w:vAlign w:val="center"/>
          </w:tcPr>
          <w:p w:rsidR="00475650" w:rsidRDefault="00475650">
            <w:pPr>
              <w:snapToGrid w:val="0"/>
              <w:spacing w:line="240" w:lineRule="exact"/>
              <w:jc w:val="center"/>
              <w:rPr>
                <w:szCs w:val="21"/>
              </w:rPr>
            </w:pPr>
          </w:p>
        </w:tc>
        <w:tc>
          <w:tcPr>
            <w:tcW w:w="1206" w:type="dxa"/>
            <w:vAlign w:val="center"/>
          </w:tcPr>
          <w:p w:rsidR="00475650" w:rsidRDefault="00475650">
            <w:pPr>
              <w:snapToGrid w:val="0"/>
              <w:spacing w:line="240" w:lineRule="exact"/>
              <w:jc w:val="center"/>
              <w:rPr>
                <w:szCs w:val="21"/>
              </w:rPr>
            </w:pPr>
            <w:r>
              <w:rPr>
                <w:rFonts w:hAnsi="宋体"/>
                <w:szCs w:val="21"/>
              </w:rPr>
              <w:t>饱和蒸汽压</w:t>
            </w:r>
            <w:r>
              <w:rPr>
                <w:szCs w:val="21"/>
              </w:rPr>
              <w:t>/Kpa</w:t>
            </w:r>
          </w:p>
        </w:tc>
        <w:tc>
          <w:tcPr>
            <w:tcW w:w="1238" w:type="dxa"/>
            <w:vAlign w:val="center"/>
          </w:tcPr>
          <w:p w:rsidR="00475650" w:rsidRDefault="00475650">
            <w:pPr>
              <w:snapToGrid w:val="0"/>
              <w:spacing w:line="240" w:lineRule="exact"/>
              <w:jc w:val="center"/>
              <w:rPr>
                <w:szCs w:val="21"/>
              </w:rPr>
            </w:pPr>
            <w:r>
              <w:rPr>
                <w:szCs w:val="21"/>
              </w:rPr>
              <w:t>/</w:t>
            </w:r>
          </w:p>
        </w:tc>
        <w:tc>
          <w:tcPr>
            <w:tcW w:w="1317" w:type="dxa"/>
            <w:vAlign w:val="center"/>
          </w:tcPr>
          <w:p w:rsidR="00475650" w:rsidRDefault="00475650">
            <w:pPr>
              <w:snapToGrid w:val="0"/>
              <w:spacing w:line="240" w:lineRule="exact"/>
              <w:jc w:val="center"/>
              <w:rPr>
                <w:szCs w:val="21"/>
              </w:rPr>
            </w:pPr>
            <w:r>
              <w:rPr>
                <w:rFonts w:hAnsi="宋体"/>
                <w:szCs w:val="21"/>
              </w:rPr>
              <w:t>燃烧热（</w:t>
            </w:r>
            <w:r>
              <w:rPr>
                <w:szCs w:val="21"/>
              </w:rPr>
              <w:t>KJ/mol</w:t>
            </w:r>
            <w:r>
              <w:rPr>
                <w:rFonts w:hAnsi="宋体"/>
                <w:szCs w:val="21"/>
              </w:rPr>
              <w:t>）</w:t>
            </w:r>
          </w:p>
        </w:tc>
        <w:tc>
          <w:tcPr>
            <w:tcW w:w="1247" w:type="dxa"/>
            <w:vAlign w:val="center"/>
          </w:tcPr>
          <w:p w:rsidR="00475650" w:rsidRDefault="00475650">
            <w:pPr>
              <w:snapToGrid w:val="0"/>
              <w:spacing w:line="240" w:lineRule="exact"/>
              <w:jc w:val="center"/>
              <w:rPr>
                <w:spacing w:val="-20"/>
                <w:szCs w:val="21"/>
              </w:rPr>
            </w:pPr>
            <w:r>
              <w:rPr>
                <w:spacing w:val="-20"/>
                <w:szCs w:val="21"/>
              </w:rPr>
              <w:t>/</w:t>
            </w:r>
          </w:p>
        </w:tc>
        <w:tc>
          <w:tcPr>
            <w:tcW w:w="1208" w:type="dxa"/>
            <w:vAlign w:val="center"/>
          </w:tcPr>
          <w:p w:rsidR="00475650" w:rsidRDefault="00475650">
            <w:pPr>
              <w:snapToGrid w:val="0"/>
              <w:spacing w:line="240" w:lineRule="exact"/>
              <w:jc w:val="center"/>
              <w:rPr>
                <w:szCs w:val="21"/>
              </w:rPr>
            </w:pPr>
            <w:r>
              <w:rPr>
                <w:rFonts w:hAnsi="宋体"/>
                <w:szCs w:val="21"/>
              </w:rPr>
              <w:t>闪点</w:t>
            </w:r>
            <w:r>
              <w:rPr>
                <w:szCs w:val="21"/>
              </w:rPr>
              <w:t>(</w:t>
            </w:r>
            <w:r>
              <w:rPr>
                <w:rFonts w:hAnsi="宋体"/>
                <w:szCs w:val="21"/>
              </w:rPr>
              <w:t>℃</w:t>
            </w:r>
            <w:r>
              <w:rPr>
                <w:szCs w:val="21"/>
              </w:rPr>
              <w:t>)</w:t>
            </w:r>
          </w:p>
        </w:tc>
        <w:tc>
          <w:tcPr>
            <w:tcW w:w="1521" w:type="dxa"/>
            <w:vAlign w:val="center"/>
          </w:tcPr>
          <w:p w:rsidR="00475650" w:rsidRDefault="00475650">
            <w:pPr>
              <w:snapToGrid w:val="0"/>
              <w:spacing w:line="240" w:lineRule="exact"/>
              <w:jc w:val="center"/>
              <w:rPr>
                <w:szCs w:val="21"/>
              </w:rPr>
            </w:pPr>
            <w:r>
              <w:rPr>
                <w:szCs w:val="21"/>
              </w:rPr>
              <w:t>/</w:t>
            </w:r>
          </w:p>
        </w:tc>
      </w:tr>
      <w:tr w:rsidR="00475650">
        <w:trPr>
          <w:jc w:val="center"/>
        </w:trPr>
        <w:tc>
          <w:tcPr>
            <w:tcW w:w="1209" w:type="dxa"/>
            <w:vMerge/>
            <w:vAlign w:val="center"/>
          </w:tcPr>
          <w:p w:rsidR="00475650" w:rsidRDefault="00475650">
            <w:pPr>
              <w:snapToGrid w:val="0"/>
              <w:spacing w:line="240" w:lineRule="exact"/>
              <w:jc w:val="center"/>
              <w:rPr>
                <w:szCs w:val="21"/>
              </w:rPr>
            </w:pPr>
          </w:p>
        </w:tc>
        <w:tc>
          <w:tcPr>
            <w:tcW w:w="1206" w:type="dxa"/>
            <w:vAlign w:val="center"/>
          </w:tcPr>
          <w:p w:rsidR="00475650" w:rsidRDefault="00475650">
            <w:pPr>
              <w:snapToGrid w:val="0"/>
              <w:spacing w:line="240" w:lineRule="exact"/>
              <w:jc w:val="center"/>
              <w:rPr>
                <w:szCs w:val="21"/>
              </w:rPr>
            </w:pPr>
            <w:r>
              <w:rPr>
                <w:rFonts w:hAnsi="宋体"/>
                <w:szCs w:val="21"/>
              </w:rPr>
              <w:t>溶解性</w:t>
            </w:r>
          </w:p>
        </w:tc>
        <w:tc>
          <w:tcPr>
            <w:tcW w:w="6531" w:type="dxa"/>
            <w:gridSpan w:val="5"/>
            <w:vAlign w:val="center"/>
          </w:tcPr>
          <w:p w:rsidR="00475650" w:rsidRDefault="00475650">
            <w:pPr>
              <w:snapToGrid w:val="0"/>
              <w:spacing w:line="240" w:lineRule="exact"/>
              <w:jc w:val="center"/>
              <w:rPr>
                <w:szCs w:val="21"/>
              </w:rPr>
            </w:pPr>
            <w:r>
              <w:rPr>
                <w:rFonts w:hAnsi="宋体"/>
                <w:szCs w:val="21"/>
                <w:shd w:val="clear" w:color="auto" w:fill="FFFFFF"/>
              </w:rPr>
              <w:t>溶于水、乙醇和苯，几乎不溶于乙醚和氯仿。</w:t>
            </w:r>
          </w:p>
        </w:tc>
      </w:tr>
      <w:tr w:rsidR="00475650">
        <w:trPr>
          <w:jc w:val="center"/>
        </w:trPr>
        <w:tc>
          <w:tcPr>
            <w:tcW w:w="1209" w:type="dxa"/>
            <w:vMerge/>
            <w:vAlign w:val="center"/>
          </w:tcPr>
          <w:p w:rsidR="00475650" w:rsidRDefault="00475650">
            <w:pPr>
              <w:snapToGrid w:val="0"/>
              <w:spacing w:line="240" w:lineRule="exact"/>
              <w:jc w:val="center"/>
              <w:rPr>
                <w:szCs w:val="21"/>
              </w:rPr>
            </w:pPr>
          </w:p>
        </w:tc>
        <w:tc>
          <w:tcPr>
            <w:tcW w:w="1206" w:type="dxa"/>
            <w:vAlign w:val="center"/>
          </w:tcPr>
          <w:p w:rsidR="00475650" w:rsidRDefault="00475650">
            <w:pPr>
              <w:snapToGrid w:val="0"/>
              <w:spacing w:line="240" w:lineRule="exact"/>
              <w:jc w:val="center"/>
              <w:rPr>
                <w:szCs w:val="21"/>
              </w:rPr>
            </w:pPr>
            <w:r>
              <w:rPr>
                <w:rFonts w:hAnsi="宋体"/>
                <w:szCs w:val="21"/>
              </w:rPr>
              <w:t>外观与形状</w:t>
            </w:r>
          </w:p>
        </w:tc>
        <w:tc>
          <w:tcPr>
            <w:tcW w:w="6531" w:type="dxa"/>
            <w:gridSpan w:val="5"/>
            <w:vAlign w:val="center"/>
          </w:tcPr>
          <w:p w:rsidR="00475650" w:rsidRDefault="00475650">
            <w:pPr>
              <w:snapToGrid w:val="0"/>
              <w:spacing w:line="240" w:lineRule="exact"/>
              <w:jc w:val="center"/>
              <w:rPr>
                <w:szCs w:val="21"/>
                <w:shd w:val="clear" w:color="auto" w:fill="FFFFFF"/>
              </w:rPr>
            </w:pPr>
            <w:r>
              <w:rPr>
                <w:rFonts w:hAnsi="宋体"/>
                <w:szCs w:val="21"/>
                <w:shd w:val="clear" w:color="auto" w:fill="FFFFFF"/>
              </w:rPr>
              <w:t>白色、无嗅的针状或棱状晶体。工业品含有杂质，有时略带微红色。</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危险性</w:t>
            </w:r>
          </w:p>
        </w:tc>
        <w:tc>
          <w:tcPr>
            <w:tcW w:w="7737" w:type="dxa"/>
            <w:gridSpan w:val="6"/>
          </w:tcPr>
          <w:p w:rsidR="00475650" w:rsidRDefault="00475650">
            <w:pPr>
              <w:snapToGrid w:val="0"/>
              <w:spacing w:line="240" w:lineRule="exact"/>
              <w:jc w:val="center"/>
              <w:rPr>
                <w:szCs w:val="21"/>
              </w:rPr>
            </w:pPr>
            <w:r>
              <w:rPr>
                <w:rFonts w:hAnsi="宋体"/>
                <w:szCs w:val="21"/>
              </w:rPr>
              <w:t>无资料</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禁忌物</w:t>
            </w:r>
          </w:p>
        </w:tc>
        <w:tc>
          <w:tcPr>
            <w:tcW w:w="7737" w:type="dxa"/>
            <w:gridSpan w:val="6"/>
          </w:tcPr>
          <w:p w:rsidR="00475650" w:rsidRDefault="00475650">
            <w:pPr>
              <w:snapToGrid w:val="0"/>
              <w:spacing w:line="240" w:lineRule="exact"/>
              <w:jc w:val="center"/>
              <w:rPr>
                <w:szCs w:val="21"/>
                <w:shd w:val="clear" w:color="auto" w:fill="FFFFFF"/>
              </w:rPr>
            </w:pPr>
            <w:r>
              <w:rPr>
                <w:rFonts w:hAnsi="宋体"/>
                <w:szCs w:val="21"/>
              </w:rPr>
              <w:t>无资料</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对人体危害</w:t>
            </w:r>
          </w:p>
        </w:tc>
        <w:tc>
          <w:tcPr>
            <w:tcW w:w="7737" w:type="dxa"/>
            <w:gridSpan w:val="6"/>
          </w:tcPr>
          <w:p w:rsidR="00475650" w:rsidRDefault="00475650">
            <w:pPr>
              <w:snapToGrid w:val="0"/>
              <w:spacing w:line="240" w:lineRule="exact"/>
              <w:jc w:val="center"/>
              <w:rPr>
                <w:szCs w:val="21"/>
                <w:shd w:val="clear" w:color="auto" w:fill="FFFFFF"/>
              </w:rPr>
            </w:pPr>
            <w:r>
              <w:rPr>
                <w:rFonts w:hAnsi="宋体"/>
                <w:szCs w:val="21"/>
                <w:shd w:val="clear" w:color="auto" w:fill="FFFFFF"/>
              </w:rPr>
              <w:t>微毒类，对眼睛、皮肤和粘膜有刺激作用</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环境危害</w:t>
            </w:r>
          </w:p>
        </w:tc>
        <w:tc>
          <w:tcPr>
            <w:tcW w:w="7737" w:type="dxa"/>
            <w:gridSpan w:val="6"/>
          </w:tcPr>
          <w:p w:rsidR="00475650" w:rsidRDefault="00475650">
            <w:pPr>
              <w:snapToGrid w:val="0"/>
              <w:spacing w:line="240" w:lineRule="exact"/>
              <w:jc w:val="center"/>
              <w:rPr>
                <w:szCs w:val="21"/>
                <w:shd w:val="clear" w:color="auto" w:fill="FFFFFF"/>
              </w:rPr>
            </w:pPr>
            <w:r>
              <w:rPr>
                <w:rFonts w:hAnsi="宋体"/>
                <w:szCs w:val="21"/>
                <w:shd w:val="clear" w:color="auto" w:fill="FFFFFF"/>
              </w:rPr>
              <w:t>对水生生物有毒作用</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燃爆危险</w:t>
            </w:r>
          </w:p>
        </w:tc>
        <w:tc>
          <w:tcPr>
            <w:tcW w:w="7737" w:type="dxa"/>
            <w:gridSpan w:val="6"/>
          </w:tcPr>
          <w:p w:rsidR="00475650" w:rsidRDefault="00475650">
            <w:pPr>
              <w:snapToGrid w:val="0"/>
              <w:spacing w:line="240" w:lineRule="exact"/>
              <w:jc w:val="center"/>
              <w:rPr>
                <w:szCs w:val="21"/>
                <w:shd w:val="clear" w:color="auto" w:fill="FFFFFF"/>
              </w:rPr>
            </w:pPr>
            <w:r>
              <w:rPr>
                <w:rFonts w:hAnsi="宋体"/>
                <w:szCs w:val="21"/>
                <w:shd w:val="clear" w:color="auto" w:fill="FFFFFF"/>
              </w:rPr>
              <w:t>不燃，无特殊燃爆特性</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毒理学</w:t>
            </w:r>
          </w:p>
          <w:p w:rsidR="00475650" w:rsidRDefault="00475650">
            <w:pPr>
              <w:snapToGrid w:val="0"/>
              <w:spacing w:line="240" w:lineRule="exact"/>
              <w:jc w:val="center"/>
              <w:rPr>
                <w:szCs w:val="21"/>
              </w:rPr>
            </w:pPr>
            <w:r>
              <w:rPr>
                <w:rFonts w:hAnsi="宋体"/>
                <w:szCs w:val="21"/>
              </w:rPr>
              <w:t>资料</w:t>
            </w:r>
          </w:p>
        </w:tc>
        <w:tc>
          <w:tcPr>
            <w:tcW w:w="7737" w:type="dxa"/>
            <w:gridSpan w:val="6"/>
          </w:tcPr>
          <w:p w:rsidR="00475650" w:rsidRDefault="00475650">
            <w:pPr>
              <w:snapToGrid w:val="0"/>
              <w:spacing w:line="240" w:lineRule="exact"/>
              <w:jc w:val="center"/>
              <w:rPr>
                <w:szCs w:val="21"/>
              </w:rPr>
            </w:pPr>
            <w:r>
              <w:rPr>
                <w:rFonts w:hAnsi="宋体"/>
                <w:szCs w:val="21"/>
              </w:rPr>
              <w:t>无资料</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泄漏应急处理措施</w:t>
            </w:r>
          </w:p>
        </w:tc>
        <w:tc>
          <w:tcPr>
            <w:tcW w:w="7737" w:type="dxa"/>
            <w:gridSpan w:val="6"/>
          </w:tcPr>
          <w:p w:rsidR="00475650" w:rsidRDefault="00475650">
            <w:pPr>
              <w:snapToGrid w:val="0"/>
              <w:spacing w:line="240" w:lineRule="exact"/>
              <w:jc w:val="center"/>
              <w:rPr>
                <w:szCs w:val="21"/>
              </w:rPr>
            </w:pPr>
            <w:r>
              <w:rPr>
                <w:rFonts w:hAnsi="宋体"/>
                <w:szCs w:val="21"/>
              </w:rPr>
              <w:t>无资料</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储运注意</w:t>
            </w:r>
          </w:p>
          <w:p w:rsidR="00475650" w:rsidRDefault="00475650">
            <w:pPr>
              <w:snapToGrid w:val="0"/>
              <w:spacing w:line="240" w:lineRule="exact"/>
              <w:jc w:val="center"/>
              <w:rPr>
                <w:szCs w:val="21"/>
              </w:rPr>
            </w:pPr>
            <w:r>
              <w:rPr>
                <w:rFonts w:hAnsi="宋体"/>
                <w:szCs w:val="21"/>
              </w:rPr>
              <w:t>事项</w:t>
            </w:r>
          </w:p>
        </w:tc>
        <w:tc>
          <w:tcPr>
            <w:tcW w:w="7737" w:type="dxa"/>
            <w:gridSpan w:val="6"/>
          </w:tcPr>
          <w:p w:rsidR="00475650" w:rsidRDefault="00475650">
            <w:pPr>
              <w:snapToGrid w:val="0"/>
              <w:spacing w:line="240" w:lineRule="exact"/>
              <w:jc w:val="center"/>
              <w:rPr>
                <w:szCs w:val="21"/>
              </w:rPr>
            </w:pPr>
            <w:r>
              <w:rPr>
                <w:rFonts w:hAnsi="宋体"/>
                <w:szCs w:val="21"/>
              </w:rPr>
              <w:t>无资料</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灭火方法</w:t>
            </w:r>
          </w:p>
        </w:tc>
        <w:tc>
          <w:tcPr>
            <w:tcW w:w="7737" w:type="dxa"/>
            <w:gridSpan w:val="6"/>
          </w:tcPr>
          <w:p w:rsidR="00475650" w:rsidRDefault="00475650">
            <w:pPr>
              <w:snapToGrid w:val="0"/>
              <w:spacing w:line="240" w:lineRule="exact"/>
              <w:jc w:val="center"/>
              <w:rPr>
                <w:szCs w:val="21"/>
                <w:shd w:val="clear" w:color="auto" w:fill="FFFFFF"/>
              </w:rPr>
            </w:pPr>
            <w:r>
              <w:rPr>
                <w:rFonts w:hAnsi="宋体"/>
                <w:szCs w:val="21"/>
              </w:rPr>
              <w:t>无资料</w:t>
            </w:r>
          </w:p>
        </w:tc>
      </w:tr>
    </w:tbl>
    <w:p w:rsidR="00475650" w:rsidRDefault="00475650">
      <w:pPr>
        <w:spacing w:line="360" w:lineRule="auto"/>
        <w:jc w:val="center"/>
        <w:rPr>
          <w:rFonts w:hAnsi="宋体"/>
          <w:sz w:val="24"/>
        </w:rPr>
      </w:pPr>
    </w:p>
    <w:p w:rsidR="00475650" w:rsidRDefault="00475650">
      <w:pPr>
        <w:spacing w:line="360" w:lineRule="auto"/>
        <w:jc w:val="center"/>
        <w:rPr>
          <w:rFonts w:hAnsi="宋体"/>
          <w:sz w:val="24"/>
        </w:rPr>
      </w:pPr>
    </w:p>
    <w:p w:rsidR="00475650" w:rsidRDefault="00475650">
      <w:pPr>
        <w:spacing w:line="360" w:lineRule="auto"/>
        <w:jc w:val="center"/>
        <w:rPr>
          <w:rFonts w:hAnsi="宋体"/>
          <w:sz w:val="24"/>
        </w:rPr>
      </w:pPr>
      <w:r>
        <w:rPr>
          <w:rFonts w:hAnsi="宋体"/>
          <w:sz w:val="24"/>
        </w:rPr>
        <w:t>表</w:t>
      </w:r>
      <w:r>
        <w:rPr>
          <w:sz w:val="24"/>
        </w:rPr>
        <w:t>6.2-1</w:t>
      </w:r>
      <w:r>
        <w:rPr>
          <w:rFonts w:hAnsi="宋体"/>
          <w:sz w:val="24"/>
        </w:rPr>
        <w:t>（</w:t>
      </w:r>
      <w:r>
        <w:rPr>
          <w:rFonts w:hint="eastAsia"/>
          <w:sz w:val="24"/>
        </w:rPr>
        <w:t>7</w:t>
      </w:r>
      <w:r>
        <w:rPr>
          <w:rFonts w:hAnsi="宋体"/>
          <w:sz w:val="24"/>
        </w:rPr>
        <w:t>）</w:t>
      </w:r>
      <w:r>
        <w:rPr>
          <w:sz w:val="24"/>
        </w:rPr>
        <w:t xml:space="preserve"> </w:t>
      </w:r>
      <w:r>
        <w:rPr>
          <w:rFonts w:hAnsi="宋体" w:hint="eastAsia"/>
          <w:sz w:val="24"/>
        </w:rPr>
        <w:t>碳酸钠</w:t>
      </w:r>
      <w:r>
        <w:rPr>
          <w:rFonts w:hAnsi="宋体"/>
          <w:sz w:val="24"/>
        </w:rPr>
        <w:t>理化性质及毒性数据表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209"/>
        <w:gridCol w:w="1206"/>
        <w:gridCol w:w="1238"/>
        <w:gridCol w:w="1317"/>
        <w:gridCol w:w="1247"/>
        <w:gridCol w:w="1208"/>
        <w:gridCol w:w="1521"/>
      </w:tblGrid>
      <w:tr w:rsidR="00475650">
        <w:trPr>
          <w:jc w:val="center"/>
        </w:trPr>
        <w:tc>
          <w:tcPr>
            <w:tcW w:w="1209" w:type="dxa"/>
            <w:vMerge w:val="restart"/>
            <w:vAlign w:val="center"/>
          </w:tcPr>
          <w:p w:rsidR="00475650" w:rsidRDefault="00475650">
            <w:pPr>
              <w:snapToGrid w:val="0"/>
              <w:spacing w:line="240" w:lineRule="exact"/>
              <w:jc w:val="center"/>
              <w:rPr>
                <w:szCs w:val="21"/>
              </w:rPr>
            </w:pPr>
            <w:r>
              <w:rPr>
                <w:rFonts w:hAnsi="宋体"/>
                <w:szCs w:val="21"/>
              </w:rPr>
              <w:t>品名</w:t>
            </w:r>
          </w:p>
        </w:tc>
        <w:tc>
          <w:tcPr>
            <w:tcW w:w="1206" w:type="dxa"/>
            <w:vMerge w:val="restart"/>
            <w:vAlign w:val="center"/>
          </w:tcPr>
          <w:p w:rsidR="00475650" w:rsidRDefault="00475650">
            <w:pPr>
              <w:snapToGrid w:val="0"/>
              <w:spacing w:line="240" w:lineRule="exact"/>
              <w:jc w:val="center"/>
              <w:rPr>
                <w:szCs w:val="21"/>
              </w:rPr>
            </w:pPr>
            <w:r>
              <w:rPr>
                <w:rFonts w:hAnsi="宋体"/>
                <w:szCs w:val="21"/>
              </w:rPr>
              <w:t>碳酸钠</w:t>
            </w:r>
          </w:p>
        </w:tc>
        <w:tc>
          <w:tcPr>
            <w:tcW w:w="1238" w:type="dxa"/>
            <w:vAlign w:val="center"/>
          </w:tcPr>
          <w:p w:rsidR="00475650" w:rsidRDefault="00475650">
            <w:pPr>
              <w:snapToGrid w:val="0"/>
              <w:spacing w:line="240" w:lineRule="exact"/>
              <w:jc w:val="center"/>
              <w:rPr>
                <w:szCs w:val="21"/>
              </w:rPr>
            </w:pPr>
            <w:r>
              <w:rPr>
                <w:rFonts w:hAnsi="宋体"/>
                <w:szCs w:val="21"/>
              </w:rPr>
              <w:t>英文名</w:t>
            </w:r>
          </w:p>
        </w:tc>
        <w:tc>
          <w:tcPr>
            <w:tcW w:w="2564" w:type="dxa"/>
            <w:gridSpan w:val="2"/>
            <w:vAlign w:val="center"/>
          </w:tcPr>
          <w:p w:rsidR="00475650" w:rsidRDefault="00475650">
            <w:pPr>
              <w:snapToGrid w:val="0"/>
              <w:spacing w:line="240" w:lineRule="exact"/>
              <w:jc w:val="center"/>
              <w:rPr>
                <w:szCs w:val="21"/>
              </w:rPr>
            </w:pPr>
            <w:r>
              <w:rPr>
                <w:szCs w:val="21"/>
                <w:shd w:val="clear" w:color="auto" w:fill="FFFFFF"/>
              </w:rPr>
              <w:t>sodium carbonate</w:t>
            </w:r>
            <w:r>
              <w:rPr>
                <w:rStyle w:val="apple-converted-space"/>
                <w:rFonts w:ascii="Times New Roman" w:eastAsia="宋体" w:hAnsi="Times New Roman"/>
                <w:sz w:val="21"/>
                <w:szCs w:val="21"/>
                <w:shd w:val="clear" w:color="auto" w:fill="FFFFFF"/>
              </w:rPr>
              <w:t> </w:t>
            </w:r>
          </w:p>
        </w:tc>
        <w:tc>
          <w:tcPr>
            <w:tcW w:w="1208" w:type="dxa"/>
            <w:vAlign w:val="center"/>
          </w:tcPr>
          <w:p w:rsidR="00475650" w:rsidRDefault="00475650">
            <w:pPr>
              <w:snapToGrid w:val="0"/>
              <w:spacing w:line="240" w:lineRule="exact"/>
              <w:jc w:val="center"/>
              <w:rPr>
                <w:szCs w:val="21"/>
              </w:rPr>
            </w:pPr>
            <w:r>
              <w:rPr>
                <w:szCs w:val="21"/>
              </w:rPr>
              <w:t>UN</w:t>
            </w:r>
            <w:r>
              <w:rPr>
                <w:rFonts w:hAnsi="宋体"/>
                <w:szCs w:val="21"/>
              </w:rPr>
              <w:t>编号</w:t>
            </w:r>
          </w:p>
        </w:tc>
        <w:tc>
          <w:tcPr>
            <w:tcW w:w="1521" w:type="dxa"/>
            <w:vAlign w:val="center"/>
          </w:tcPr>
          <w:p w:rsidR="00475650" w:rsidRDefault="00475650">
            <w:pPr>
              <w:snapToGrid w:val="0"/>
              <w:spacing w:line="240" w:lineRule="exact"/>
              <w:jc w:val="center"/>
              <w:rPr>
                <w:szCs w:val="21"/>
              </w:rPr>
            </w:pPr>
          </w:p>
        </w:tc>
      </w:tr>
      <w:tr w:rsidR="00475650">
        <w:trPr>
          <w:jc w:val="center"/>
        </w:trPr>
        <w:tc>
          <w:tcPr>
            <w:tcW w:w="1209" w:type="dxa"/>
            <w:vMerge/>
            <w:vAlign w:val="center"/>
          </w:tcPr>
          <w:p w:rsidR="00475650" w:rsidRDefault="00475650">
            <w:pPr>
              <w:snapToGrid w:val="0"/>
              <w:spacing w:line="240" w:lineRule="exact"/>
              <w:jc w:val="center"/>
              <w:rPr>
                <w:szCs w:val="21"/>
              </w:rPr>
            </w:pPr>
          </w:p>
        </w:tc>
        <w:tc>
          <w:tcPr>
            <w:tcW w:w="1206" w:type="dxa"/>
            <w:vMerge/>
            <w:vAlign w:val="center"/>
          </w:tcPr>
          <w:p w:rsidR="00475650" w:rsidRDefault="00475650">
            <w:pPr>
              <w:snapToGrid w:val="0"/>
              <w:spacing w:line="240" w:lineRule="exact"/>
              <w:jc w:val="center"/>
              <w:rPr>
                <w:szCs w:val="21"/>
              </w:rPr>
            </w:pPr>
          </w:p>
        </w:tc>
        <w:tc>
          <w:tcPr>
            <w:tcW w:w="1238" w:type="dxa"/>
            <w:vAlign w:val="center"/>
          </w:tcPr>
          <w:p w:rsidR="00475650" w:rsidRDefault="00475650">
            <w:pPr>
              <w:snapToGrid w:val="0"/>
              <w:spacing w:line="240" w:lineRule="exact"/>
              <w:jc w:val="center"/>
              <w:rPr>
                <w:szCs w:val="21"/>
              </w:rPr>
            </w:pPr>
            <w:r>
              <w:rPr>
                <w:rFonts w:hAnsi="宋体"/>
                <w:szCs w:val="21"/>
              </w:rPr>
              <w:t>危险货物编号</w:t>
            </w:r>
          </w:p>
        </w:tc>
        <w:tc>
          <w:tcPr>
            <w:tcW w:w="2564" w:type="dxa"/>
            <w:gridSpan w:val="2"/>
            <w:vAlign w:val="center"/>
          </w:tcPr>
          <w:p w:rsidR="00475650" w:rsidRDefault="00475650">
            <w:pPr>
              <w:snapToGrid w:val="0"/>
              <w:spacing w:line="240" w:lineRule="exact"/>
              <w:jc w:val="center"/>
              <w:rPr>
                <w:szCs w:val="21"/>
              </w:rPr>
            </w:pPr>
          </w:p>
        </w:tc>
        <w:tc>
          <w:tcPr>
            <w:tcW w:w="1208" w:type="dxa"/>
            <w:vAlign w:val="center"/>
          </w:tcPr>
          <w:p w:rsidR="00475650" w:rsidRDefault="00475650">
            <w:pPr>
              <w:snapToGrid w:val="0"/>
              <w:spacing w:line="240" w:lineRule="exact"/>
              <w:jc w:val="center"/>
              <w:rPr>
                <w:szCs w:val="21"/>
              </w:rPr>
            </w:pPr>
            <w:r>
              <w:rPr>
                <w:szCs w:val="21"/>
              </w:rPr>
              <w:t>CAS</w:t>
            </w:r>
            <w:r>
              <w:rPr>
                <w:rFonts w:hAnsi="宋体"/>
                <w:szCs w:val="21"/>
              </w:rPr>
              <w:t>号</w:t>
            </w:r>
          </w:p>
        </w:tc>
        <w:tc>
          <w:tcPr>
            <w:tcW w:w="1521" w:type="dxa"/>
            <w:vAlign w:val="center"/>
          </w:tcPr>
          <w:p w:rsidR="00475650" w:rsidRDefault="00475650">
            <w:pPr>
              <w:snapToGrid w:val="0"/>
              <w:spacing w:line="240" w:lineRule="exact"/>
              <w:jc w:val="center"/>
              <w:rPr>
                <w:szCs w:val="21"/>
              </w:rPr>
            </w:pPr>
            <w:r>
              <w:rPr>
                <w:szCs w:val="21"/>
                <w:shd w:val="clear" w:color="auto" w:fill="FFFFFF"/>
              </w:rPr>
              <w:t>497-19-8</w:t>
            </w:r>
          </w:p>
        </w:tc>
      </w:tr>
      <w:tr w:rsidR="00475650">
        <w:trPr>
          <w:jc w:val="center"/>
        </w:trPr>
        <w:tc>
          <w:tcPr>
            <w:tcW w:w="1209" w:type="dxa"/>
            <w:vMerge w:val="restart"/>
            <w:vAlign w:val="center"/>
          </w:tcPr>
          <w:p w:rsidR="00475650" w:rsidRDefault="00475650">
            <w:pPr>
              <w:snapToGrid w:val="0"/>
              <w:spacing w:line="240" w:lineRule="exact"/>
              <w:jc w:val="center"/>
              <w:rPr>
                <w:szCs w:val="21"/>
              </w:rPr>
            </w:pPr>
            <w:r>
              <w:rPr>
                <w:rFonts w:hAnsi="宋体"/>
                <w:szCs w:val="21"/>
              </w:rPr>
              <w:t>理化性质</w:t>
            </w:r>
          </w:p>
        </w:tc>
        <w:tc>
          <w:tcPr>
            <w:tcW w:w="1206" w:type="dxa"/>
            <w:vAlign w:val="center"/>
          </w:tcPr>
          <w:p w:rsidR="00475650" w:rsidRDefault="00475650">
            <w:pPr>
              <w:snapToGrid w:val="0"/>
              <w:spacing w:line="240" w:lineRule="exact"/>
              <w:jc w:val="center"/>
              <w:rPr>
                <w:szCs w:val="21"/>
              </w:rPr>
            </w:pPr>
            <w:r>
              <w:rPr>
                <w:rFonts w:hAnsi="宋体"/>
                <w:szCs w:val="21"/>
              </w:rPr>
              <w:t>分子式</w:t>
            </w:r>
          </w:p>
        </w:tc>
        <w:tc>
          <w:tcPr>
            <w:tcW w:w="1238" w:type="dxa"/>
            <w:vAlign w:val="center"/>
          </w:tcPr>
          <w:p w:rsidR="00475650" w:rsidRDefault="00475650">
            <w:pPr>
              <w:snapToGrid w:val="0"/>
              <w:spacing w:line="240" w:lineRule="exact"/>
              <w:jc w:val="center"/>
              <w:rPr>
                <w:szCs w:val="21"/>
              </w:rPr>
            </w:pPr>
            <w:r>
              <w:rPr>
                <w:szCs w:val="21"/>
                <w:shd w:val="clear" w:color="auto" w:fill="FFFFFF"/>
              </w:rPr>
              <w:t>Na</w:t>
            </w:r>
            <w:r>
              <w:rPr>
                <w:szCs w:val="21"/>
                <w:shd w:val="clear" w:color="auto" w:fill="FFFFFF"/>
                <w:vertAlign w:val="subscript"/>
              </w:rPr>
              <w:t>2</w:t>
            </w:r>
            <w:r>
              <w:rPr>
                <w:szCs w:val="21"/>
                <w:shd w:val="clear" w:color="auto" w:fill="FFFFFF"/>
              </w:rPr>
              <w:t>CO</w:t>
            </w:r>
            <w:r>
              <w:rPr>
                <w:szCs w:val="21"/>
                <w:shd w:val="clear" w:color="auto" w:fill="FFFFFF"/>
                <w:vertAlign w:val="subscript"/>
              </w:rPr>
              <w:t>3</w:t>
            </w:r>
          </w:p>
        </w:tc>
        <w:tc>
          <w:tcPr>
            <w:tcW w:w="1317" w:type="dxa"/>
            <w:vAlign w:val="center"/>
          </w:tcPr>
          <w:p w:rsidR="00475650" w:rsidRDefault="00475650">
            <w:pPr>
              <w:snapToGrid w:val="0"/>
              <w:spacing w:line="240" w:lineRule="exact"/>
              <w:jc w:val="center"/>
              <w:rPr>
                <w:szCs w:val="21"/>
              </w:rPr>
            </w:pPr>
            <w:r>
              <w:rPr>
                <w:rFonts w:hAnsi="宋体"/>
                <w:szCs w:val="21"/>
              </w:rPr>
              <w:t>分子量</w:t>
            </w:r>
          </w:p>
        </w:tc>
        <w:tc>
          <w:tcPr>
            <w:tcW w:w="1247" w:type="dxa"/>
            <w:vAlign w:val="center"/>
          </w:tcPr>
          <w:p w:rsidR="00475650" w:rsidRDefault="00475650">
            <w:pPr>
              <w:snapToGrid w:val="0"/>
              <w:spacing w:line="240" w:lineRule="exact"/>
              <w:jc w:val="center"/>
              <w:rPr>
                <w:szCs w:val="21"/>
              </w:rPr>
            </w:pPr>
            <w:r>
              <w:rPr>
                <w:szCs w:val="21"/>
              </w:rPr>
              <w:t>105.99</w:t>
            </w:r>
          </w:p>
        </w:tc>
        <w:tc>
          <w:tcPr>
            <w:tcW w:w="1208" w:type="dxa"/>
            <w:vAlign w:val="center"/>
          </w:tcPr>
          <w:p w:rsidR="00475650" w:rsidRDefault="00475650">
            <w:pPr>
              <w:snapToGrid w:val="0"/>
              <w:spacing w:line="240" w:lineRule="exact"/>
              <w:jc w:val="center"/>
              <w:rPr>
                <w:szCs w:val="21"/>
              </w:rPr>
            </w:pPr>
            <w:r>
              <w:rPr>
                <w:rFonts w:hAnsi="宋体"/>
                <w:szCs w:val="21"/>
              </w:rPr>
              <w:t>熔点</w:t>
            </w:r>
            <w:r>
              <w:rPr>
                <w:szCs w:val="21"/>
              </w:rPr>
              <w:t>/</w:t>
            </w:r>
            <w:r>
              <w:rPr>
                <w:rFonts w:hAnsi="宋体"/>
                <w:szCs w:val="21"/>
              </w:rPr>
              <w:t>℃</w:t>
            </w:r>
          </w:p>
        </w:tc>
        <w:tc>
          <w:tcPr>
            <w:tcW w:w="1521" w:type="dxa"/>
            <w:vAlign w:val="center"/>
          </w:tcPr>
          <w:p w:rsidR="00475650" w:rsidRDefault="00475650">
            <w:pPr>
              <w:snapToGrid w:val="0"/>
              <w:spacing w:line="240" w:lineRule="exact"/>
              <w:jc w:val="center"/>
              <w:rPr>
                <w:szCs w:val="21"/>
              </w:rPr>
            </w:pPr>
            <w:r>
              <w:rPr>
                <w:szCs w:val="21"/>
              </w:rPr>
              <w:t>851</w:t>
            </w:r>
          </w:p>
        </w:tc>
      </w:tr>
      <w:tr w:rsidR="00475650">
        <w:trPr>
          <w:jc w:val="center"/>
        </w:trPr>
        <w:tc>
          <w:tcPr>
            <w:tcW w:w="1209" w:type="dxa"/>
            <w:vMerge/>
            <w:vAlign w:val="center"/>
          </w:tcPr>
          <w:p w:rsidR="00475650" w:rsidRDefault="00475650">
            <w:pPr>
              <w:snapToGrid w:val="0"/>
              <w:spacing w:line="240" w:lineRule="exact"/>
              <w:jc w:val="center"/>
              <w:rPr>
                <w:szCs w:val="21"/>
              </w:rPr>
            </w:pPr>
          </w:p>
        </w:tc>
        <w:tc>
          <w:tcPr>
            <w:tcW w:w="1206" w:type="dxa"/>
            <w:vAlign w:val="center"/>
          </w:tcPr>
          <w:p w:rsidR="00475650" w:rsidRDefault="00475650">
            <w:pPr>
              <w:snapToGrid w:val="0"/>
              <w:spacing w:line="240" w:lineRule="exact"/>
              <w:jc w:val="center"/>
              <w:rPr>
                <w:szCs w:val="21"/>
              </w:rPr>
            </w:pPr>
            <w:r>
              <w:rPr>
                <w:rFonts w:hAnsi="宋体"/>
                <w:szCs w:val="21"/>
              </w:rPr>
              <w:t>沸点</w:t>
            </w:r>
            <w:r>
              <w:rPr>
                <w:szCs w:val="21"/>
              </w:rPr>
              <w:t>/</w:t>
            </w:r>
            <w:r>
              <w:rPr>
                <w:rFonts w:hAnsi="宋体"/>
                <w:szCs w:val="21"/>
              </w:rPr>
              <w:t>℃</w:t>
            </w:r>
          </w:p>
        </w:tc>
        <w:tc>
          <w:tcPr>
            <w:tcW w:w="1238" w:type="dxa"/>
            <w:vAlign w:val="center"/>
          </w:tcPr>
          <w:p w:rsidR="00475650" w:rsidRDefault="00475650">
            <w:pPr>
              <w:snapToGrid w:val="0"/>
              <w:spacing w:line="240" w:lineRule="exact"/>
              <w:jc w:val="center"/>
              <w:rPr>
                <w:szCs w:val="21"/>
              </w:rPr>
            </w:pPr>
            <w:r>
              <w:rPr>
                <w:szCs w:val="21"/>
              </w:rPr>
              <w:t>/</w:t>
            </w:r>
          </w:p>
        </w:tc>
        <w:tc>
          <w:tcPr>
            <w:tcW w:w="1317" w:type="dxa"/>
            <w:vAlign w:val="center"/>
          </w:tcPr>
          <w:p w:rsidR="00475650" w:rsidRDefault="00475650">
            <w:pPr>
              <w:snapToGrid w:val="0"/>
              <w:spacing w:line="240" w:lineRule="exact"/>
              <w:jc w:val="center"/>
              <w:rPr>
                <w:szCs w:val="21"/>
              </w:rPr>
            </w:pPr>
            <w:r>
              <w:rPr>
                <w:rFonts w:hAnsi="宋体"/>
                <w:szCs w:val="21"/>
              </w:rPr>
              <w:t>相对密度</w:t>
            </w:r>
            <w:r>
              <w:rPr>
                <w:szCs w:val="21"/>
              </w:rPr>
              <w:t>(</w:t>
            </w:r>
            <w:r>
              <w:rPr>
                <w:rFonts w:hAnsi="宋体"/>
                <w:szCs w:val="21"/>
              </w:rPr>
              <w:t>水</w:t>
            </w:r>
            <w:r>
              <w:rPr>
                <w:szCs w:val="21"/>
              </w:rPr>
              <w:t>=1)</w:t>
            </w:r>
          </w:p>
        </w:tc>
        <w:tc>
          <w:tcPr>
            <w:tcW w:w="1247" w:type="dxa"/>
            <w:vAlign w:val="center"/>
          </w:tcPr>
          <w:p w:rsidR="00475650" w:rsidRDefault="00475650">
            <w:pPr>
              <w:snapToGrid w:val="0"/>
              <w:spacing w:line="240" w:lineRule="exact"/>
              <w:jc w:val="center"/>
              <w:rPr>
                <w:spacing w:val="-20"/>
                <w:szCs w:val="21"/>
              </w:rPr>
            </w:pPr>
            <w:r>
              <w:rPr>
                <w:spacing w:val="-20"/>
                <w:szCs w:val="21"/>
              </w:rPr>
              <w:t>2.53</w:t>
            </w:r>
          </w:p>
        </w:tc>
        <w:tc>
          <w:tcPr>
            <w:tcW w:w="1208" w:type="dxa"/>
            <w:vAlign w:val="center"/>
          </w:tcPr>
          <w:p w:rsidR="00475650" w:rsidRDefault="00475650">
            <w:pPr>
              <w:snapToGrid w:val="0"/>
              <w:spacing w:line="240" w:lineRule="exact"/>
              <w:jc w:val="center"/>
              <w:rPr>
                <w:szCs w:val="21"/>
              </w:rPr>
            </w:pPr>
            <w:r>
              <w:rPr>
                <w:rFonts w:hAnsi="宋体"/>
                <w:szCs w:val="21"/>
              </w:rPr>
              <w:t>相对蒸汽密度</w:t>
            </w:r>
            <w:r>
              <w:rPr>
                <w:szCs w:val="21"/>
              </w:rPr>
              <w:t>(</w:t>
            </w:r>
            <w:r>
              <w:rPr>
                <w:rFonts w:hAnsi="宋体"/>
                <w:szCs w:val="21"/>
              </w:rPr>
              <w:t>空气</w:t>
            </w:r>
            <w:r>
              <w:rPr>
                <w:szCs w:val="21"/>
              </w:rPr>
              <w:t>=1)</w:t>
            </w:r>
          </w:p>
        </w:tc>
        <w:tc>
          <w:tcPr>
            <w:tcW w:w="1521" w:type="dxa"/>
            <w:vAlign w:val="center"/>
          </w:tcPr>
          <w:p w:rsidR="00475650" w:rsidRDefault="00475650">
            <w:pPr>
              <w:snapToGrid w:val="0"/>
              <w:spacing w:line="240" w:lineRule="exact"/>
              <w:jc w:val="center"/>
              <w:rPr>
                <w:szCs w:val="21"/>
              </w:rPr>
            </w:pPr>
            <w:r>
              <w:rPr>
                <w:szCs w:val="21"/>
              </w:rPr>
              <w:t>/</w:t>
            </w:r>
          </w:p>
        </w:tc>
      </w:tr>
      <w:tr w:rsidR="00475650">
        <w:trPr>
          <w:jc w:val="center"/>
        </w:trPr>
        <w:tc>
          <w:tcPr>
            <w:tcW w:w="1209" w:type="dxa"/>
            <w:vMerge/>
            <w:vAlign w:val="center"/>
          </w:tcPr>
          <w:p w:rsidR="00475650" w:rsidRDefault="00475650">
            <w:pPr>
              <w:snapToGrid w:val="0"/>
              <w:spacing w:line="240" w:lineRule="exact"/>
              <w:jc w:val="center"/>
              <w:rPr>
                <w:szCs w:val="21"/>
              </w:rPr>
            </w:pPr>
          </w:p>
        </w:tc>
        <w:tc>
          <w:tcPr>
            <w:tcW w:w="1206" w:type="dxa"/>
            <w:vAlign w:val="center"/>
          </w:tcPr>
          <w:p w:rsidR="00475650" w:rsidRDefault="00475650">
            <w:pPr>
              <w:snapToGrid w:val="0"/>
              <w:spacing w:line="240" w:lineRule="exact"/>
              <w:jc w:val="center"/>
              <w:rPr>
                <w:szCs w:val="21"/>
              </w:rPr>
            </w:pPr>
            <w:r>
              <w:rPr>
                <w:rFonts w:hAnsi="宋体"/>
                <w:szCs w:val="21"/>
              </w:rPr>
              <w:t>饱和蒸汽压</w:t>
            </w:r>
            <w:r>
              <w:rPr>
                <w:szCs w:val="21"/>
              </w:rPr>
              <w:t>/Kpa</w:t>
            </w:r>
          </w:p>
        </w:tc>
        <w:tc>
          <w:tcPr>
            <w:tcW w:w="1238" w:type="dxa"/>
            <w:vAlign w:val="center"/>
          </w:tcPr>
          <w:p w:rsidR="00475650" w:rsidRDefault="00475650">
            <w:pPr>
              <w:snapToGrid w:val="0"/>
              <w:spacing w:line="240" w:lineRule="exact"/>
              <w:jc w:val="center"/>
              <w:rPr>
                <w:szCs w:val="21"/>
              </w:rPr>
            </w:pPr>
            <w:r>
              <w:rPr>
                <w:szCs w:val="21"/>
              </w:rPr>
              <w:t>/</w:t>
            </w:r>
          </w:p>
        </w:tc>
        <w:tc>
          <w:tcPr>
            <w:tcW w:w="1317" w:type="dxa"/>
            <w:vAlign w:val="center"/>
          </w:tcPr>
          <w:p w:rsidR="00475650" w:rsidRDefault="00475650">
            <w:pPr>
              <w:snapToGrid w:val="0"/>
              <w:spacing w:line="240" w:lineRule="exact"/>
              <w:jc w:val="center"/>
              <w:rPr>
                <w:szCs w:val="21"/>
              </w:rPr>
            </w:pPr>
            <w:r>
              <w:rPr>
                <w:rFonts w:hAnsi="宋体"/>
                <w:szCs w:val="21"/>
              </w:rPr>
              <w:t>燃烧热（</w:t>
            </w:r>
            <w:r>
              <w:rPr>
                <w:szCs w:val="21"/>
              </w:rPr>
              <w:t>KJ/mol</w:t>
            </w:r>
            <w:r>
              <w:rPr>
                <w:rFonts w:hAnsi="宋体"/>
                <w:szCs w:val="21"/>
              </w:rPr>
              <w:t>）</w:t>
            </w:r>
          </w:p>
        </w:tc>
        <w:tc>
          <w:tcPr>
            <w:tcW w:w="1247" w:type="dxa"/>
            <w:vAlign w:val="center"/>
          </w:tcPr>
          <w:p w:rsidR="00475650" w:rsidRDefault="00475650">
            <w:pPr>
              <w:snapToGrid w:val="0"/>
              <w:spacing w:line="240" w:lineRule="exact"/>
              <w:jc w:val="center"/>
              <w:rPr>
                <w:spacing w:val="-20"/>
                <w:szCs w:val="21"/>
              </w:rPr>
            </w:pPr>
            <w:r>
              <w:rPr>
                <w:spacing w:val="-20"/>
                <w:szCs w:val="21"/>
              </w:rPr>
              <w:t>/</w:t>
            </w:r>
          </w:p>
        </w:tc>
        <w:tc>
          <w:tcPr>
            <w:tcW w:w="1208" w:type="dxa"/>
            <w:vAlign w:val="center"/>
          </w:tcPr>
          <w:p w:rsidR="00475650" w:rsidRDefault="00475650">
            <w:pPr>
              <w:snapToGrid w:val="0"/>
              <w:spacing w:line="240" w:lineRule="exact"/>
              <w:jc w:val="center"/>
              <w:rPr>
                <w:szCs w:val="21"/>
              </w:rPr>
            </w:pPr>
            <w:r>
              <w:rPr>
                <w:rFonts w:hAnsi="宋体"/>
                <w:szCs w:val="21"/>
              </w:rPr>
              <w:t>闪点</w:t>
            </w:r>
            <w:r>
              <w:rPr>
                <w:szCs w:val="21"/>
              </w:rPr>
              <w:t>(</w:t>
            </w:r>
            <w:r>
              <w:rPr>
                <w:rFonts w:hAnsi="宋体"/>
                <w:szCs w:val="21"/>
              </w:rPr>
              <w:t>℃</w:t>
            </w:r>
            <w:r>
              <w:rPr>
                <w:szCs w:val="21"/>
              </w:rPr>
              <w:t>)</w:t>
            </w:r>
          </w:p>
        </w:tc>
        <w:tc>
          <w:tcPr>
            <w:tcW w:w="1521" w:type="dxa"/>
            <w:vAlign w:val="center"/>
          </w:tcPr>
          <w:p w:rsidR="00475650" w:rsidRDefault="00475650">
            <w:pPr>
              <w:snapToGrid w:val="0"/>
              <w:spacing w:line="240" w:lineRule="exact"/>
              <w:jc w:val="center"/>
              <w:rPr>
                <w:szCs w:val="21"/>
              </w:rPr>
            </w:pPr>
            <w:r>
              <w:rPr>
                <w:szCs w:val="21"/>
              </w:rPr>
              <w:t>/</w:t>
            </w:r>
          </w:p>
        </w:tc>
      </w:tr>
      <w:tr w:rsidR="00475650">
        <w:trPr>
          <w:jc w:val="center"/>
        </w:trPr>
        <w:tc>
          <w:tcPr>
            <w:tcW w:w="1209" w:type="dxa"/>
            <w:vMerge/>
            <w:vAlign w:val="center"/>
          </w:tcPr>
          <w:p w:rsidR="00475650" w:rsidRDefault="00475650">
            <w:pPr>
              <w:snapToGrid w:val="0"/>
              <w:spacing w:line="240" w:lineRule="exact"/>
              <w:jc w:val="center"/>
              <w:rPr>
                <w:szCs w:val="21"/>
              </w:rPr>
            </w:pPr>
          </w:p>
        </w:tc>
        <w:tc>
          <w:tcPr>
            <w:tcW w:w="1206" w:type="dxa"/>
            <w:vAlign w:val="center"/>
          </w:tcPr>
          <w:p w:rsidR="00475650" w:rsidRDefault="00475650">
            <w:pPr>
              <w:snapToGrid w:val="0"/>
              <w:spacing w:line="240" w:lineRule="exact"/>
              <w:jc w:val="center"/>
              <w:rPr>
                <w:szCs w:val="21"/>
              </w:rPr>
            </w:pPr>
            <w:r>
              <w:rPr>
                <w:rFonts w:hAnsi="宋体"/>
                <w:szCs w:val="21"/>
              </w:rPr>
              <w:t>溶解性</w:t>
            </w:r>
          </w:p>
        </w:tc>
        <w:tc>
          <w:tcPr>
            <w:tcW w:w="6531" w:type="dxa"/>
            <w:gridSpan w:val="5"/>
            <w:vAlign w:val="center"/>
          </w:tcPr>
          <w:p w:rsidR="00475650" w:rsidRDefault="00475650">
            <w:pPr>
              <w:snapToGrid w:val="0"/>
              <w:spacing w:line="240" w:lineRule="exact"/>
              <w:jc w:val="center"/>
              <w:rPr>
                <w:szCs w:val="21"/>
              </w:rPr>
            </w:pPr>
            <w:r>
              <w:rPr>
                <w:rFonts w:hAnsi="宋体"/>
                <w:szCs w:val="21"/>
                <w:shd w:val="clear" w:color="auto" w:fill="FFFFFF"/>
              </w:rPr>
              <w:t>易溶于水，不溶于乙醇、乙醚等。</w:t>
            </w:r>
          </w:p>
        </w:tc>
      </w:tr>
      <w:tr w:rsidR="00475650">
        <w:trPr>
          <w:jc w:val="center"/>
        </w:trPr>
        <w:tc>
          <w:tcPr>
            <w:tcW w:w="1209" w:type="dxa"/>
            <w:vMerge/>
            <w:vAlign w:val="center"/>
          </w:tcPr>
          <w:p w:rsidR="00475650" w:rsidRDefault="00475650">
            <w:pPr>
              <w:snapToGrid w:val="0"/>
              <w:spacing w:line="240" w:lineRule="exact"/>
              <w:jc w:val="center"/>
              <w:rPr>
                <w:szCs w:val="21"/>
              </w:rPr>
            </w:pPr>
          </w:p>
        </w:tc>
        <w:tc>
          <w:tcPr>
            <w:tcW w:w="1206" w:type="dxa"/>
            <w:vAlign w:val="center"/>
          </w:tcPr>
          <w:p w:rsidR="00475650" w:rsidRDefault="00475650">
            <w:pPr>
              <w:snapToGrid w:val="0"/>
              <w:spacing w:line="240" w:lineRule="exact"/>
              <w:jc w:val="center"/>
              <w:rPr>
                <w:szCs w:val="21"/>
              </w:rPr>
            </w:pPr>
            <w:r>
              <w:rPr>
                <w:rFonts w:hAnsi="宋体"/>
                <w:szCs w:val="21"/>
              </w:rPr>
              <w:t>外观与形状</w:t>
            </w:r>
          </w:p>
        </w:tc>
        <w:tc>
          <w:tcPr>
            <w:tcW w:w="6531" w:type="dxa"/>
            <w:gridSpan w:val="5"/>
            <w:vAlign w:val="center"/>
          </w:tcPr>
          <w:p w:rsidR="00475650" w:rsidRDefault="00475650">
            <w:pPr>
              <w:snapToGrid w:val="0"/>
              <w:spacing w:line="240" w:lineRule="exact"/>
              <w:jc w:val="center"/>
              <w:rPr>
                <w:szCs w:val="21"/>
                <w:shd w:val="clear" w:color="auto" w:fill="FFFFFF"/>
              </w:rPr>
            </w:pPr>
            <w:r>
              <w:rPr>
                <w:rFonts w:hAnsi="宋体"/>
                <w:szCs w:val="21"/>
                <w:shd w:val="clear" w:color="auto" w:fill="FFFFFF"/>
              </w:rPr>
              <w:t>白色粉末或细颗粒</w:t>
            </w:r>
            <w:r>
              <w:rPr>
                <w:szCs w:val="21"/>
                <w:shd w:val="clear" w:color="auto" w:fill="FFFFFF"/>
              </w:rPr>
              <w:t>(</w:t>
            </w:r>
            <w:r>
              <w:rPr>
                <w:rFonts w:hAnsi="宋体"/>
                <w:szCs w:val="21"/>
                <w:shd w:val="clear" w:color="auto" w:fill="FFFFFF"/>
              </w:rPr>
              <w:t>无水纯品</w:t>
            </w:r>
            <w:r>
              <w:rPr>
                <w:szCs w:val="21"/>
                <w:shd w:val="clear" w:color="auto" w:fill="FFFFFF"/>
              </w:rPr>
              <w:t>)</w:t>
            </w:r>
            <w:r>
              <w:rPr>
                <w:rFonts w:hAnsi="宋体"/>
                <w:szCs w:val="21"/>
                <w:shd w:val="clear" w:color="auto" w:fill="FFFFFF"/>
              </w:rPr>
              <w:t>，味涩。</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危险性</w:t>
            </w:r>
          </w:p>
        </w:tc>
        <w:tc>
          <w:tcPr>
            <w:tcW w:w="7737" w:type="dxa"/>
            <w:gridSpan w:val="6"/>
          </w:tcPr>
          <w:p w:rsidR="00475650" w:rsidRDefault="00475650">
            <w:pPr>
              <w:snapToGrid w:val="0"/>
              <w:spacing w:line="240" w:lineRule="exact"/>
              <w:rPr>
                <w:szCs w:val="21"/>
              </w:rPr>
            </w:pPr>
            <w:r>
              <w:rPr>
                <w:rFonts w:hAnsi="宋体"/>
                <w:szCs w:val="21"/>
                <w:shd w:val="clear" w:color="auto" w:fill="FFFFFF"/>
              </w:rPr>
              <w:t>具有腐蚀性。未有特殊的燃烧爆炸特性。</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禁忌物</w:t>
            </w:r>
          </w:p>
        </w:tc>
        <w:tc>
          <w:tcPr>
            <w:tcW w:w="7737" w:type="dxa"/>
            <w:gridSpan w:val="6"/>
          </w:tcPr>
          <w:p w:rsidR="00475650" w:rsidRDefault="00475650">
            <w:pPr>
              <w:snapToGrid w:val="0"/>
              <w:spacing w:line="240" w:lineRule="exact"/>
              <w:rPr>
                <w:szCs w:val="21"/>
                <w:shd w:val="clear" w:color="auto" w:fill="FFFFFF"/>
              </w:rPr>
            </w:pPr>
            <w:r>
              <w:rPr>
                <w:rFonts w:hAnsi="宋体"/>
                <w:szCs w:val="21"/>
                <w:shd w:val="clear" w:color="auto" w:fill="FFFFFF"/>
              </w:rPr>
              <w:t>强酸、铝、氟。</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对人体危害</w:t>
            </w:r>
          </w:p>
        </w:tc>
        <w:tc>
          <w:tcPr>
            <w:tcW w:w="7737" w:type="dxa"/>
            <w:gridSpan w:val="6"/>
          </w:tcPr>
          <w:p w:rsidR="00475650" w:rsidRDefault="00475650">
            <w:pPr>
              <w:snapToGrid w:val="0"/>
              <w:spacing w:line="240" w:lineRule="exact"/>
              <w:rPr>
                <w:szCs w:val="21"/>
                <w:shd w:val="clear" w:color="auto" w:fill="FFFFFF"/>
              </w:rPr>
            </w:pPr>
            <w:r>
              <w:rPr>
                <w:rFonts w:hAnsi="宋体"/>
                <w:szCs w:val="21"/>
                <w:shd w:val="clear" w:color="auto" w:fill="FFFFFF"/>
              </w:rPr>
              <w:t>本品具有刺激性和腐蚀性。直接接触可引起皮肤和眼灼伤。生产中吸入其</w:t>
            </w:r>
            <w:r>
              <w:rPr>
                <w:szCs w:val="21"/>
                <w:shd w:val="clear" w:color="auto" w:fill="FFFFFF"/>
              </w:rPr>
              <w:t xml:space="preserve"> </w:t>
            </w:r>
            <w:r>
              <w:rPr>
                <w:rFonts w:hAnsi="宋体"/>
                <w:szCs w:val="21"/>
                <w:shd w:val="clear" w:color="auto" w:fill="FFFFFF"/>
              </w:rPr>
              <w:t>粉尘和烟雾可引起呼吸道刺激和结膜炎，还可有鼻粘膜溃疡、萎缩及鼻中隔穿孔。长时间接触本品溶液可发生湿疹、皮炎、鸡眼状溃疡和皮肤松驰。接触本品的作业工人呼吸器官疾病发病率升高。误服可造成消化道灼伤、粘膜糜烂、出血和休克。</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环境危害</w:t>
            </w:r>
          </w:p>
        </w:tc>
        <w:tc>
          <w:tcPr>
            <w:tcW w:w="7737" w:type="dxa"/>
            <w:gridSpan w:val="6"/>
          </w:tcPr>
          <w:p w:rsidR="00475650" w:rsidRDefault="00475650">
            <w:pPr>
              <w:snapToGrid w:val="0"/>
              <w:spacing w:line="240" w:lineRule="exact"/>
              <w:rPr>
                <w:szCs w:val="21"/>
                <w:shd w:val="clear" w:color="auto" w:fill="FFFFFF"/>
              </w:rPr>
            </w:pPr>
            <w:r>
              <w:rPr>
                <w:szCs w:val="21"/>
                <w:shd w:val="clear" w:color="auto" w:fill="FFFFFF"/>
              </w:rPr>
              <w:t>/</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燃爆危险</w:t>
            </w:r>
          </w:p>
        </w:tc>
        <w:tc>
          <w:tcPr>
            <w:tcW w:w="7737" w:type="dxa"/>
            <w:gridSpan w:val="6"/>
          </w:tcPr>
          <w:p w:rsidR="00475650" w:rsidRDefault="00475650">
            <w:pPr>
              <w:snapToGrid w:val="0"/>
              <w:spacing w:line="240" w:lineRule="exact"/>
              <w:rPr>
                <w:szCs w:val="21"/>
                <w:shd w:val="clear" w:color="auto" w:fill="FFFFFF"/>
              </w:rPr>
            </w:pPr>
            <w:r>
              <w:rPr>
                <w:rFonts w:hAnsi="宋体"/>
                <w:szCs w:val="21"/>
                <w:shd w:val="clear" w:color="auto" w:fill="FFFFFF"/>
              </w:rPr>
              <w:t>本品不燃，具腐蚀性、刺激性，可致人体灼伤。</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毒理学</w:t>
            </w:r>
          </w:p>
          <w:p w:rsidR="00475650" w:rsidRDefault="00475650">
            <w:pPr>
              <w:snapToGrid w:val="0"/>
              <w:spacing w:line="240" w:lineRule="exact"/>
              <w:jc w:val="center"/>
              <w:rPr>
                <w:szCs w:val="21"/>
              </w:rPr>
            </w:pPr>
            <w:r>
              <w:rPr>
                <w:rFonts w:hAnsi="宋体"/>
                <w:szCs w:val="21"/>
              </w:rPr>
              <w:t>资料</w:t>
            </w:r>
          </w:p>
        </w:tc>
        <w:tc>
          <w:tcPr>
            <w:tcW w:w="7737" w:type="dxa"/>
            <w:gridSpan w:val="6"/>
          </w:tcPr>
          <w:p w:rsidR="00475650" w:rsidRDefault="00475650">
            <w:pPr>
              <w:snapToGrid w:val="0"/>
              <w:spacing w:line="240" w:lineRule="exact"/>
              <w:rPr>
                <w:szCs w:val="21"/>
              </w:rPr>
            </w:pPr>
            <w:r>
              <w:rPr>
                <w:szCs w:val="21"/>
                <w:shd w:val="clear" w:color="auto" w:fill="FFFFFF"/>
              </w:rPr>
              <w:t>LD</w:t>
            </w:r>
            <w:r>
              <w:rPr>
                <w:szCs w:val="21"/>
                <w:shd w:val="clear" w:color="auto" w:fill="FFFFFF"/>
                <w:vertAlign w:val="subscript"/>
              </w:rPr>
              <w:t>50</w:t>
            </w:r>
            <w:r>
              <w:rPr>
                <w:rFonts w:hAnsi="宋体"/>
                <w:szCs w:val="21"/>
                <w:shd w:val="clear" w:color="auto" w:fill="FFFFFF"/>
              </w:rPr>
              <w:t>：</w:t>
            </w:r>
            <w:r>
              <w:rPr>
                <w:szCs w:val="21"/>
                <w:shd w:val="clear" w:color="auto" w:fill="FFFFFF"/>
              </w:rPr>
              <w:t>4090 mg/kg(</w:t>
            </w:r>
            <w:r>
              <w:rPr>
                <w:rFonts w:hAnsi="宋体"/>
                <w:szCs w:val="21"/>
                <w:shd w:val="clear" w:color="auto" w:fill="FFFFFF"/>
              </w:rPr>
              <w:t>大鼠经口</w:t>
            </w:r>
            <w:r>
              <w:rPr>
                <w:szCs w:val="21"/>
                <w:shd w:val="clear" w:color="auto" w:fill="FFFFFF"/>
              </w:rPr>
              <w:t>)</w:t>
            </w:r>
            <w:r>
              <w:rPr>
                <w:szCs w:val="21"/>
              </w:rPr>
              <w:br/>
            </w:r>
            <w:r>
              <w:rPr>
                <w:szCs w:val="21"/>
                <w:shd w:val="clear" w:color="auto" w:fill="FFFFFF"/>
              </w:rPr>
              <w:t>LC</w:t>
            </w:r>
            <w:r>
              <w:rPr>
                <w:szCs w:val="21"/>
                <w:shd w:val="clear" w:color="auto" w:fill="FFFFFF"/>
                <w:vertAlign w:val="subscript"/>
              </w:rPr>
              <w:t>50</w:t>
            </w:r>
            <w:r>
              <w:rPr>
                <w:rFonts w:hAnsi="宋体"/>
                <w:szCs w:val="21"/>
                <w:shd w:val="clear" w:color="auto" w:fill="FFFFFF"/>
              </w:rPr>
              <w:t>：</w:t>
            </w:r>
            <w:r>
              <w:rPr>
                <w:szCs w:val="21"/>
                <w:shd w:val="clear" w:color="auto" w:fill="FFFFFF"/>
              </w:rPr>
              <w:t>2300mg/m3</w:t>
            </w:r>
            <w:r>
              <w:rPr>
                <w:rFonts w:hAnsi="宋体"/>
                <w:szCs w:val="21"/>
                <w:shd w:val="clear" w:color="auto" w:fill="FFFFFF"/>
              </w:rPr>
              <w:t>，</w:t>
            </w:r>
            <w:r>
              <w:rPr>
                <w:szCs w:val="21"/>
                <w:shd w:val="clear" w:color="auto" w:fill="FFFFFF"/>
              </w:rPr>
              <w:t>2</w:t>
            </w:r>
            <w:r>
              <w:rPr>
                <w:rFonts w:hAnsi="宋体"/>
                <w:szCs w:val="21"/>
                <w:shd w:val="clear" w:color="auto" w:fill="FFFFFF"/>
              </w:rPr>
              <w:t>小时</w:t>
            </w:r>
            <w:r>
              <w:rPr>
                <w:szCs w:val="21"/>
                <w:shd w:val="clear" w:color="auto" w:fill="FFFFFF"/>
              </w:rPr>
              <w:t>(</w:t>
            </w:r>
            <w:r>
              <w:rPr>
                <w:rFonts w:hAnsi="宋体"/>
                <w:szCs w:val="21"/>
                <w:shd w:val="clear" w:color="auto" w:fill="FFFFFF"/>
              </w:rPr>
              <w:t>大鼠吸入</w:t>
            </w:r>
            <w:r>
              <w:rPr>
                <w:szCs w:val="21"/>
                <w:shd w:val="clear" w:color="auto" w:fill="FFFFFF"/>
              </w:rPr>
              <w:t>)</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泄漏应急处理措施</w:t>
            </w:r>
          </w:p>
        </w:tc>
        <w:tc>
          <w:tcPr>
            <w:tcW w:w="7737" w:type="dxa"/>
            <w:gridSpan w:val="6"/>
          </w:tcPr>
          <w:p w:rsidR="00475650" w:rsidRDefault="00475650">
            <w:pPr>
              <w:snapToGrid w:val="0"/>
              <w:spacing w:line="240" w:lineRule="exact"/>
              <w:rPr>
                <w:szCs w:val="21"/>
              </w:rPr>
            </w:pPr>
            <w:r>
              <w:rPr>
                <w:rFonts w:hAnsi="宋体"/>
                <w:szCs w:val="21"/>
                <w:shd w:val="clear" w:color="auto" w:fill="FFFFFF"/>
              </w:rPr>
              <w:t>隔离泄漏污染区，限制出入。建议应急处理人员戴防尘面具（全面罩），穿防毒服。避免扬尘，小心扫起，置于袋中转移至安全场所。若大量泄漏，用塑料布、帆布覆盖。收集回收或运至废物处理场所处置。</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储运注意</w:t>
            </w:r>
          </w:p>
          <w:p w:rsidR="00475650" w:rsidRDefault="00475650">
            <w:pPr>
              <w:snapToGrid w:val="0"/>
              <w:spacing w:line="240" w:lineRule="exact"/>
              <w:jc w:val="center"/>
              <w:rPr>
                <w:szCs w:val="21"/>
              </w:rPr>
            </w:pPr>
            <w:r>
              <w:rPr>
                <w:rFonts w:hAnsi="宋体"/>
                <w:szCs w:val="21"/>
              </w:rPr>
              <w:t>事项</w:t>
            </w:r>
          </w:p>
        </w:tc>
        <w:tc>
          <w:tcPr>
            <w:tcW w:w="7737" w:type="dxa"/>
            <w:gridSpan w:val="6"/>
          </w:tcPr>
          <w:p w:rsidR="00475650" w:rsidRDefault="00475650">
            <w:pPr>
              <w:snapToGrid w:val="0"/>
              <w:spacing w:line="240" w:lineRule="exact"/>
              <w:rPr>
                <w:szCs w:val="21"/>
              </w:rPr>
            </w:pPr>
            <w:r>
              <w:rPr>
                <w:rFonts w:hAnsi="宋体"/>
                <w:szCs w:val="21"/>
                <w:shd w:val="clear" w:color="auto" w:fill="FFFFFF"/>
              </w:rPr>
              <w:t>储存于阴凉、通风的库房。远离火种、热源。应与酸类等分开存放，切忌混储。储区应备有合适的材料收容泄漏物。</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灭火方法</w:t>
            </w:r>
          </w:p>
        </w:tc>
        <w:tc>
          <w:tcPr>
            <w:tcW w:w="7737" w:type="dxa"/>
            <w:gridSpan w:val="6"/>
          </w:tcPr>
          <w:p w:rsidR="00475650" w:rsidRDefault="00475650">
            <w:pPr>
              <w:snapToGrid w:val="0"/>
              <w:spacing w:line="240" w:lineRule="exact"/>
              <w:rPr>
                <w:szCs w:val="21"/>
                <w:shd w:val="clear" w:color="auto" w:fill="FFFFFF"/>
              </w:rPr>
            </w:pPr>
          </w:p>
        </w:tc>
      </w:tr>
    </w:tbl>
    <w:p w:rsidR="00475650" w:rsidRDefault="00475650">
      <w:pPr>
        <w:spacing w:line="360" w:lineRule="auto"/>
        <w:jc w:val="center"/>
        <w:rPr>
          <w:rFonts w:hAnsi="宋体"/>
          <w:sz w:val="24"/>
        </w:rPr>
      </w:pPr>
    </w:p>
    <w:p w:rsidR="00475650" w:rsidRDefault="00475650">
      <w:pPr>
        <w:spacing w:line="360" w:lineRule="auto"/>
        <w:jc w:val="center"/>
        <w:rPr>
          <w:rFonts w:hAnsi="宋体"/>
          <w:sz w:val="24"/>
        </w:rPr>
      </w:pPr>
    </w:p>
    <w:p w:rsidR="00475650" w:rsidRDefault="00475650">
      <w:pPr>
        <w:spacing w:line="360" w:lineRule="auto"/>
        <w:jc w:val="center"/>
        <w:rPr>
          <w:rFonts w:hAnsi="宋体"/>
          <w:sz w:val="24"/>
        </w:rPr>
      </w:pPr>
      <w:r>
        <w:rPr>
          <w:rFonts w:hAnsi="宋体"/>
          <w:sz w:val="24"/>
        </w:rPr>
        <w:t>表</w:t>
      </w:r>
      <w:r>
        <w:rPr>
          <w:sz w:val="24"/>
        </w:rPr>
        <w:t>6.2-1</w:t>
      </w:r>
      <w:r>
        <w:rPr>
          <w:rFonts w:hAnsi="宋体"/>
          <w:sz w:val="24"/>
        </w:rPr>
        <w:t>（</w:t>
      </w:r>
      <w:r>
        <w:rPr>
          <w:rFonts w:hint="eastAsia"/>
          <w:sz w:val="24"/>
        </w:rPr>
        <w:t>8</w:t>
      </w:r>
      <w:r>
        <w:rPr>
          <w:rFonts w:hAnsi="宋体"/>
          <w:sz w:val="24"/>
        </w:rPr>
        <w:t>）</w:t>
      </w:r>
      <w:r>
        <w:rPr>
          <w:sz w:val="24"/>
        </w:rPr>
        <w:t xml:space="preserve"> </w:t>
      </w:r>
      <w:r>
        <w:rPr>
          <w:rFonts w:hAnsi="宋体" w:hint="eastAsia"/>
          <w:sz w:val="24"/>
        </w:rPr>
        <w:t>γ酸</w:t>
      </w:r>
      <w:r>
        <w:rPr>
          <w:rFonts w:hAnsi="宋体"/>
          <w:sz w:val="24"/>
        </w:rPr>
        <w:t>理化性质及毒性数据表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209"/>
        <w:gridCol w:w="1206"/>
        <w:gridCol w:w="1238"/>
        <w:gridCol w:w="1317"/>
        <w:gridCol w:w="1247"/>
        <w:gridCol w:w="1208"/>
        <w:gridCol w:w="1521"/>
      </w:tblGrid>
      <w:tr w:rsidR="00475650">
        <w:trPr>
          <w:jc w:val="center"/>
        </w:trPr>
        <w:tc>
          <w:tcPr>
            <w:tcW w:w="1209" w:type="dxa"/>
            <w:vMerge w:val="restart"/>
            <w:vAlign w:val="center"/>
          </w:tcPr>
          <w:p w:rsidR="00475650" w:rsidRDefault="00475650">
            <w:pPr>
              <w:snapToGrid w:val="0"/>
              <w:spacing w:line="240" w:lineRule="exact"/>
              <w:jc w:val="center"/>
              <w:rPr>
                <w:szCs w:val="21"/>
              </w:rPr>
            </w:pPr>
            <w:r>
              <w:rPr>
                <w:rFonts w:hAnsi="宋体"/>
                <w:szCs w:val="21"/>
              </w:rPr>
              <w:t>品名</w:t>
            </w:r>
          </w:p>
        </w:tc>
        <w:tc>
          <w:tcPr>
            <w:tcW w:w="1206" w:type="dxa"/>
            <w:vMerge w:val="restart"/>
            <w:vAlign w:val="center"/>
          </w:tcPr>
          <w:p w:rsidR="00475650" w:rsidRDefault="00475650">
            <w:pPr>
              <w:snapToGrid w:val="0"/>
              <w:spacing w:line="240" w:lineRule="exact"/>
              <w:jc w:val="center"/>
              <w:rPr>
                <w:szCs w:val="21"/>
              </w:rPr>
            </w:pPr>
            <w:r>
              <w:rPr>
                <w:szCs w:val="21"/>
              </w:rPr>
              <w:t>4-</w:t>
            </w:r>
            <w:r>
              <w:rPr>
                <w:rFonts w:hAnsi="宋体"/>
                <w:szCs w:val="21"/>
              </w:rPr>
              <w:t>羟基</w:t>
            </w:r>
            <w:r>
              <w:rPr>
                <w:szCs w:val="21"/>
              </w:rPr>
              <w:t>-6-</w:t>
            </w:r>
            <w:r>
              <w:rPr>
                <w:rFonts w:hAnsi="宋体"/>
                <w:szCs w:val="21"/>
              </w:rPr>
              <w:t>氨基</w:t>
            </w:r>
            <w:r>
              <w:rPr>
                <w:szCs w:val="21"/>
              </w:rPr>
              <w:t>-2-</w:t>
            </w:r>
            <w:r>
              <w:rPr>
                <w:rFonts w:hAnsi="宋体"/>
                <w:szCs w:val="21"/>
              </w:rPr>
              <w:t>萘磺酸</w:t>
            </w:r>
          </w:p>
        </w:tc>
        <w:tc>
          <w:tcPr>
            <w:tcW w:w="1238" w:type="dxa"/>
            <w:vAlign w:val="center"/>
          </w:tcPr>
          <w:p w:rsidR="00475650" w:rsidRDefault="00475650">
            <w:pPr>
              <w:snapToGrid w:val="0"/>
              <w:spacing w:line="240" w:lineRule="exact"/>
              <w:jc w:val="center"/>
              <w:rPr>
                <w:szCs w:val="21"/>
              </w:rPr>
            </w:pPr>
            <w:r>
              <w:rPr>
                <w:rFonts w:hAnsi="宋体"/>
                <w:szCs w:val="21"/>
              </w:rPr>
              <w:t>英文名</w:t>
            </w:r>
          </w:p>
        </w:tc>
        <w:tc>
          <w:tcPr>
            <w:tcW w:w="2564" w:type="dxa"/>
            <w:gridSpan w:val="2"/>
            <w:vAlign w:val="center"/>
          </w:tcPr>
          <w:p w:rsidR="00475650" w:rsidRDefault="00475650">
            <w:pPr>
              <w:snapToGrid w:val="0"/>
              <w:spacing w:line="240" w:lineRule="exact"/>
              <w:jc w:val="center"/>
              <w:rPr>
                <w:szCs w:val="21"/>
              </w:rPr>
            </w:pPr>
            <w:r>
              <w:rPr>
                <w:szCs w:val="21"/>
                <w:shd w:val="clear" w:color="auto" w:fill="FFFFFF"/>
              </w:rPr>
              <w:t>γ-acid</w:t>
            </w:r>
          </w:p>
        </w:tc>
        <w:tc>
          <w:tcPr>
            <w:tcW w:w="1208" w:type="dxa"/>
            <w:vAlign w:val="center"/>
          </w:tcPr>
          <w:p w:rsidR="00475650" w:rsidRDefault="00475650">
            <w:pPr>
              <w:snapToGrid w:val="0"/>
              <w:spacing w:line="240" w:lineRule="exact"/>
              <w:jc w:val="center"/>
              <w:rPr>
                <w:szCs w:val="21"/>
              </w:rPr>
            </w:pPr>
            <w:r>
              <w:rPr>
                <w:szCs w:val="21"/>
              </w:rPr>
              <w:t>UN</w:t>
            </w:r>
            <w:r>
              <w:rPr>
                <w:rFonts w:hAnsi="宋体"/>
                <w:szCs w:val="21"/>
              </w:rPr>
              <w:t>编号</w:t>
            </w:r>
          </w:p>
        </w:tc>
        <w:tc>
          <w:tcPr>
            <w:tcW w:w="1521" w:type="dxa"/>
            <w:vAlign w:val="center"/>
          </w:tcPr>
          <w:p w:rsidR="00475650" w:rsidRDefault="00475650">
            <w:pPr>
              <w:snapToGrid w:val="0"/>
              <w:spacing w:line="240" w:lineRule="exact"/>
              <w:jc w:val="center"/>
              <w:rPr>
                <w:szCs w:val="21"/>
              </w:rPr>
            </w:pPr>
            <w:r>
              <w:rPr>
                <w:szCs w:val="21"/>
              </w:rPr>
              <w:t>2585</w:t>
            </w:r>
          </w:p>
        </w:tc>
      </w:tr>
      <w:tr w:rsidR="00475650">
        <w:trPr>
          <w:jc w:val="center"/>
        </w:trPr>
        <w:tc>
          <w:tcPr>
            <w:tcW w:w="1209" w:type="dxa"/>
            <w:vMerge/>
            <w:vAlign w:val="center"/>
          </w:tcPr>
          <w:p w:rsidR="00475650" w:rsidRDefault="00475650">
            <w:pPr>
              <w:snapToGrid w:val="0"/>
              <w:spacing w:line="240" w:lineRule="exact"/>
              <w:jc w:val="center"/>
              <w:rPr>
                <w:szCs w:val="21"/>
              </w:rPr>
            </w:pPr>
          </w:p>
        </w:tc>
        <w:tc>
          <w:tcPr>
            <w:tcW w:w="1206" w:type="dxa"/>
            <w:vMerge/>
            <w:vAlign w:val="center"/>
          </w:tcPr>
          <w:p w:rsidR="00475650" w:rsidRDefault="00475650">
            <w:pPr>
              <w:snapToGrid w:val="0"/>
              <w:spacing w:line="240" w:lineRule="exact"/>
              <w:jc w:val="center"/>
              <w:rPr>
                <w:szCs w:val="21"/>
              </w:rPr>
            </w:pPr>
          </w:p>
        </w:tc>
        <w:tc>
          <w:tcPr>
            <w:tcW w:w="1238" w:type="dxa"/>
            <w:vAlign w:val="center"/>
          </w:tcPr>
          <w:p w:rsidR="00475650" w:rsidRDefault="00475650">
            <w:pPr>
              <w:snapToGrid w:val="0"/>
              <w:spacing w:line="240" w:lineRule="exact"/>
              <w:jc w:val="center"/>
              <w:rPr>
                <w:szCs w:val="21"/>
              </w:rPr>
            </w:pPr>
            <w:r>
              <w:rPr>
                <w:rFonts w:hAnsi="宋体"/>
                <w:szCs w:val="21"/>
              </w:rPr>
              <w:t>危险货物编号</w:t>
            </w:r>
          </w:p>
        </w:tc>
        <w:tc>
          <w:tcPr>
            <w:tcW w:w="2564" w:type="dxa"/>
            <w:gridSpan w:val="2"/>
            <w:vAlign w:val="center"/>
          </w:tcPr>
          <w:p w:rsidR="00475650" w:rsidRDefault="00475650">
            <w:pPr>
              <w:snapToGrid w:val="0"/>
              <w:spacing w:line="240" w:lineRule="exact"/>
              <w:jc w:val="center"/>
              <w:rPr>
                <w:szCs w:val="21"/>
              </w:rPr>
            </w:pPr>
            <w:r>
              <w:rPr>
                <w:szCs w:val="21"/>
              </w:rPr>
              <w:t>/</w:t>
            </w:r>
          </w:p>
        </w:tc>
        <w:tc>
          <w:tcPr>
            <w:tcW w:w="1208" w:type="dxa"/>
            <w:vAlign w:val="center"/>
          </w:tcPr>
          <w:p w:rsidR="00475650" w:rsidRDefault="00475650">
            <w:pPr>
              <w:snapToGrid w:val="0"/>
              <w:spacing w:line="240" w:lineRule="exact"/>
              <w:jc w:val="center"/>
              <w:rPr>
                <w:szCs w:val="21"/>
              </w:rPr>
            </w:pPr>
            <w:r>
              <w:rPr>
                <w:szCs w:val="21"/>
              </w:rPr>
              <w:t>CAS</w:t>
            </w:r>
            <w:r>
              <w:rPr>
                <w:rFonts w:hAnsi="宋体"/>
                <w:szCs w:val="21"/>
              </w:rPr>
              <w:t>号</w:t>
            </w:r>
          </w:p>
        </w:tc>
        <w:tc>
          <w:tcPr>
            <w:tcW w:w="1521" w:type="dxa"/>
            <w:vAlign w:val="center"/>
          </w:tcPr>
          <w:p w:rsidR="00475650" w:rsidRDefault="00475650">
            <w:pPr>
              <w:snapToGrid w:val="0"/>
              <w:spacing w:line="240" w:lineRule="exact"/>
              <w:jc w:val="center"/>
              <w:rPr>
                <w:szCs w:val="21"/>
              </w:rPr>
            </w:pPr>
            <w:r>
              <w:rPr>
                <w:szCs w:val="21"/>
                <w:shd w:val="clear" w:color="auto" w:fill="FFFFFF"/>
              </w:rPr>
              <w:t>90-51-7</w:t>
            </w:r>
          </w:p>
        </w:tc>
      </w:tr>
      <w:tr w:rsidR="00475650">
        <w:trPr>
          <w:jc w:val="center"/>
        </w:trPr>
        <w:tc>
          <w:tcPr>
            <w:tcW w:w="1209" w:type="dxa"/>
            <w:vMerge w:val="restart"/>
            <w:vAlign w:val="center"/>
          </w:tcPr>
          <w:p w:rsidR="00475650" w:rsidRDefault="00475650">
            <w:pPr>
              <w:snapToGrid w:val="0"/>
              <w:spacing w:line="240" w:lineRule="exact"/>
              <w:jc w:val="center"/>
              <w:rPr>
                <w:szCs w:val="21"/>
              </w:rPr>
            </w:pPr>
            <w:r>
              <w:rPr>
                <w:rFonts w:hAnsi="宋体"/>
                <w:szCs w:val="21"/>
              </w:rPr>
              <w:t>理化性质</w:t>
            </w:r>
          </w:p>
        </w:tc>
        <w:tc>
          <w:tcPr>
            <w:tcW w:w="1206" w:type="dxa"/>
            <w:vAlign w:val="center"/>
          </w:tcPr>
          <w:p w:rsidR="00475650" w:rsidRDefault="00475650">
            <w:pPr>
              <w:snapToGrid w:val="0"/>
              <w:spacing w:line="240" w:lineRule="exact"/>
              <w:jc w:val="center"/>
              <w:rPr>
                <w:szCs w:val="21"/>
              </w:rPr>
            </w:pPr>
            <w:r>
              <w:rPr>
                <w:rFonts w:hAnsi="宋体"/>
                <w:szCs w:val="21"/>
              </w:rPr>
              <w:t>分子式</w:t>
            </w:r>
          </w:p>
        </w:tc>
        <w:tc>
          <w:tcPr>
            <w:tcW w:w="1238" w:type="dxa"/>
            <w:vAlign w:val="center"/>
          </w:tcPr>
          <w:p w:rsidR="00475650" w:rsidRDefault="00475650">
            <w:pPr>
              <w:snapToGrid w:val="0"/>
              <w:spacing w:line="240" w:lineRule="exact"/>
              <w:jc w:val="center"/>
              <w:rPr>
                <w:szCs w:val="21"/>
              </w:rPr>
            </w:pPr>
            <w:r>
              <w:rPr>
                <w:szCs w:val="21"/>
              </w:rPr>
              <w:t>C</w:t>
            </w:r>
            <w:r>
              <w:rPr>
                <w:szCs w:val="21"/>
                <w:vertAlign w:val="subscript"/>
              </w:rPr>
              <w:t>10</w:t>
            </w:r>
            <w:r>
              <w:rPr>
                <w:szCs w:val="21"/>
              </w:rPr>
              <w:t>H</w:t>
            </w:r>
            <w:r>
              <w:rPr>
                <w:szCs w:val="21"/>
                <w:vertAlign w:val="subscript"/>
              </w:rPr>
              <w:t>9</w:t>
            </w:r>
            <w:r>
              <w:rPr>
                <w:szCs w:val="21"/>
              </w:rPr>
              <w:t>NO</w:t>
            </w:r>
            <w:r>
              <w:rPr>
                <w:szCs w:val="21"/>
                <w:vertAlign w:val="subscript"/>
              </w:rPr>
              <w:t>4</w:t>
            </w:r>
            <w:r>
              <w:rPr>
                <w:szCs w:val="21"/>
              </w:rPr>
              <w:t>S</w:t>
            </w:r>
          </w:p>
        </w:tc>
        <w:tc>
          <w:tcPr>
            <w:tcW w:w="1317" w:type="dxa"/>
            <w:vAlign w:val="center"/>
          </w:tcPr>
          <w:p w:rsidR="00475650" w:rsidRDefault="00475650">
            <w:pPr>
              <w:snapToGrid w:val="0"/>
              <w:spacing w:line="240" w:lineRule="exact"/>
              <w:jc w:val="center"/>
              <w:rPr>
                <w:szCs w:val="21"/>
              </w:rPr>
            </w:pPr>
            <w:r>
              <w:rPr>
                <w:rFonts w:hAnsi="宋体"/>
                <w:szCs w:val="21"/>
              </w:rPr>
              <w:t>分子量</w:t>
            </w:r>
          </w:p>
        </w:tc>
        <w:tc>
          <w:tcPr>
            <w:tcW w:w="1247" w:type="dxa"/>
            <w:vAlign w:val="center"/>
          </w:tcPr>
          <w:p w:rsidR="00475650" w:rsidRDefault="00475650">
            <w:pPr>
              <w:snapToGrid w:val="0"/>
              <w:spacing w:line="240" w:lineRule="exact"/>
              <w:jc w:val="center"/>
              <w:rPr>
                <w:szCs w:val="21"/>
              </w:rPr>
            </w:pPr>
            <w:r>
              <w:rPr>
                <w:szCs w:val="21"/>
              </w:rPr>
              <w:t>239.25</w:t>
            </w:r>
          </w:p>
        </w:tc>
        <w:tc>
          <w:tcPr>
            <w:tcW w:w="1208" w:type="dxa"/>
            <w:vAlign w:val="center"/>
          </w:tcPr>
          <w:p w:rsidR="00475650" w:rsidRDefault="00475650">
            <w:pPr>
              <w:snapToGrid w:val="0"/>
              <w:spacing w:line="240" w:lineRule="exact"/>
              <w:jc w:val="center"/>
              <w:rPr>
                <w:szCs w:val="21"/>
              </w:rPr>
            </w:pPr>
            <w:r>
              <w:rPr>
                <w:rFonts w:hAnsi="宋体"/>
                <w:szCs w:val="21"/>
              </w:rPr>
              <w:t>熔点</w:t>
            </w:r>
            <w:r>
              <w:rPr>
                <w:szCs w:val="21"/>
              </w:rPr>
              <w:t>/</w:t>
            </w:r>
            <w:r>
              <w:rPr>
                <w:rFonts w:hAnsi="宋体"/>
                <w:szCs w:val="21"/>
              </w:rPr>
              <w:t>℃</w:t>
            </w:r>
          </w:p>
        </w:tc>
        <w:tc>
          <w:tcPr>
            <w:tcW w:w="1521" w:type="dxa"/>
            <w:vAlign w:val="center"/>
          </w:tcPr>
          <w:p w:rsidR="00475650" w:rsidRDefault="00475650">
            <w:pPr>
              <w:snapToGrid w:val="0"/>
              <w:spacing w:line="240" w:lineRule="exact"/>
              <w:jc w:val="center"/>
              <w:rPr>
                <w:szCs w:val="21"/>
              </w:rPr>
            </w:pPr>
            <w:r>
              <w:rPr>
                <w:szCs w:val="21"/>
              </w:rPr>
              <w:t>/</w:t>
            </w:r>
          </w:p>
        </w:tc>
      </w:tr>
      <w:tr w:rsidR="00475650">
        <w:trPr>
          <w:jc w:val="center"/>
        </w:trPr>
        <w:tc>
          <w:tcPr>
            <w:tcW w:w="1209" w:type="dxa"/>
            <w:vMerge/>
            <w:vAlign w:val="center"/>
          </w:tcPr>
          <w:p w:rsidR="00475650" w:rsidRDefault="00475650">
            <w:pPr>
              <w:snapToGrid w:val="0"/>
              <w:spacing w:line="240" w:lineRule="exact"/>
              <w:jc w:val="center"/>
              <w:rPr>
                <w:szCs w:val="21"/>
              </w:rPr>
            </w:pPr>
          </w:p>
        </w:tc>
        <w:tc>
          <w:tcPr>
            <w:tcW w:w="1206" w:type="dxa"/>
            <w:vAlign w:val="center"/>
          </w:tcPr>
          <w:p w:rsidR="00475650" w:rsidRDefault="00475650">
            <w:pPr>
              <w:snapToGrid w:val="0"/>
              <w:spacing w:line="240" w:lineRule="exact"/>
              <w:jc w:val="center"/>
              <w:rPr>
                <w:szCs w:val="21"/>
              </w:rPr>
            </w:pPr>
            <w:r>
              <w:rPr>
                <w:rFonts w:hAnsi="宋体"/>
                <w:szCs w:val="21"/>
              </w:rPr>
              <w:t>沸点</w:t>
            </w:r>
            <w:r>
              <w:rPr>
                <w:szCs w:val="21"/>
              </w:rPr>
              <w:t>/</w:t>
            </w:r>
            <w:r>
              <w:rPr>
                <w:rFonts w:hAnsi="宋体"/>
                <w:szCs w:val="21"/>
              </w:rPr>
              <w:t>℃</w:t>
            </w:r>
          </w:p>
        </w:tc>
        <w:tc>
          <w:tcPr>
            <w:tcW w:w="1238" w:type="dxa"/>
            <w:vAlign w:val="center"/>
          </w:tcPr>
          <w:p w:rsidR="00475650" w:rsidRDefault="00475650">
            <w:pPr>
              <w:snapToGrid w:val="0"/>
              <w:spacing w:line="240" w:lineRule="exact"/>
              <w:jc w:val="center"/>
              <w:rPr>
                <w:szCs w:val="21"/>
              </w:rPr>
            </w:pPr>
            <w:r>
              <w:rPr>
                <w:szCs w:val="21"/>
              </w:rPr>
              <w:t>/</w:t>
            </w:r>
          </w:p>
        </w:tc>
        <w:tc>
          <w:tcPr>
            <w:tcW w:w="1317" w:type="dxa"/>
            <w:vAlign w:val="center"/>
          </w:tcPr>
          <w:p w:rsidR="00475650" w:rsidRDefault="00475650">
            <w:pPr>
              <w:snapToGrid w:val="0"/>
              <w:spacing w:line="240" w:lineRule="exact"/>
              <w:jc w:val="center"/>
              <w:rPr>
                <w:szCs w:val="21"/>
              </w:rPr>
            </w:pPr>
            <w:r>
              <w:rPr>
                <w:rFonts w:hAnsi="宋体"/>
                <w:szCs w:val="21"/>
              </w:rPr>
              <w:t>相对密度</w:t>
            </w:r>
            <w:r>
              <w:rPr>
                <w:szCs w:val="21"/>
              </w:rPr>
              <w:t>(</w:t>
            </w:r>
            <w:r>
              <w:rPr>
                <w:rFonts w:hAnsi="宋体"/>
                <w:szCs w:val="21"/>
              </w:rPr>
              <w:t>水</w:t>
            </w:r>
            <w:r>
              <w:rPr>
                <w:szCs w:val="21"/>
              </w:rPr>
              <w:t>=1)</w:t>
            </w:r>
          </w:p>
        </w:tc>
        <w:tc>
          <w:tcPr>
            <w:tcW w:w="1247" w:type="dxa"/>
            <w:vAlign w:val="center"/>
          </w:tcPr>
          <w:p w:rsidR="00475650" w:rsidRDefault="00475650">
            <w:pPr>
              <w:snapToGrid w:val="0"/>
              <w:spacing w:line="240" w:lineRule="exact"/>
              <w:jc w:val="center"/>
              <w:rPr>
                <w:spacing w:val="-20"/>
                <w:szCs w:val="21"/>
              </w:rPr>
            </w:pPr>
            <w:r>
              <w:rPr>
                <w:spacing w:val="-20"/>
                <w:szCs w:val="21"/>
              </w:rPr>
              <w:t>/</w:t>
            </w:r>
          </w:p>
        </w:tc>
        <w:tc>
          <w:tcPr>
            <w:tcW w:w="1208" w:type="dxa"/>
            <w:vAlign w:val="center"/>
          </w:tcPr>
          <w:p w:rsidR="00475650" w:rsidRDefault="00475650">
            <w:pPr>
              <w:snapToGrid w:val="0"/>
              <w:spacing w:line="240" w:lineRule="exact"/>
              <w:jc w:val="center"/>
              <w:rPr>
                <w:szCs w:val="21"/>
              </w:rPr>
            </w:pPr>
            <w:r>
              <w:rPr>
                <w:rFonts w:hAnsi="宋体"/>
                <w:szCs w:val="21"/>
              </w:rPr>
              <w:t>相对蒸汽密度</w:t>
            </w:r>
            <w:r>
              <w:rPr>
                <w:szCs w:val="21"/>
              </w:rPr>
              <w:t>(</w:t>
            </w:r>
            <w:r>
              <w:rPr>
                <w:rFonts w:hAnsi="宋体"/>
                <w:szCs w:val="21"/>
              </w:rPr>
              <w:t>空气</w:t>
            </w:r>
            <w:r>
              <w:rPr>
                <w:szCs w:val="21"/>
              </w:rPr>
              <w:t>=1)</w:t>
            </w:r>
          </w:p>
        </w:tc>
        <w:tc>
          <w:tcPr>
            <w:tcW w:w="1521" w:type="dxa"/>
            <w:vAlign w:val="center"/>
          </w:tcPr>
          <w:p w:rsidR="00475650" w:rsidRDefault="00475650">
            <w:pPr>
              <w:snapToGrid w:val="0"/>
              <w:spacing w:line="240" w:lineRule="exact"/>
              <w:jc w:val="center"/>
              <w:rPr>
                <w:szCs w:val="21"/>
              </w:rPr>
            </w:pPr>
            <w:r>
              <w:rPr>
                <w:szCs w:val="21"/>
              </w:rPr>
              <w:t>/</w:t>
            </w:r>
          </w:p>
        </w:tc>
      </w:tr>
      <w:tr w:rsidR="00475650">
        <w:trPr>
          <w:trHeight w:val="459"/>
          <w:jc w:val="center"/>
        </w:trPr>
        <w:tc>
          <w:tcPr>
            <w:tcW w:w="1209" w:type="dxa"/>
            <w:vMerge/>
            <w:vAlign w:val="center"/>
          </w:tcPr>
          <w:p w:rsidR="00475650" w:rsidRDefault="00475650">
            <w:pPr>
              <w:snapToGrid w:val="0"/>
              <w:spacing w:line="240" w:lineRule="exact"/>
              <w:jc w:val="center"/>
              <w:rPr>
                <w:szCs w:val="21"/>
              </w:rPr>
            </w:pPr>
          </w:p>
        </w:tc>
        <w:tc>
          <w:tcPr>
            <w:tcW w:w="1206" w:type="dxa"/>
            <w:vAlign w:val="center"/>
          </w:tcPr>
          <w:p w:rsidR="00475650" w:rsidRDefault="00475650">
            <w:pPr>
              <w:snapToGrid w:val="0"/>
              <w:spacing w:line="240" w:lineRule="exact"/>
              <w:jc w:val="center"/>
              <w:rPr>
                <w:szCs w:val="21"/>
              </w:rPr>
            </w:pPr>
            <w:r>
              <w:rPr>
                <w:rFonts w:hAnsi="宋体"/>
                <w:szCs w:val="21"/>
              </w:rPr>
              <w:t>饱和蒸汽压</w:t>
            </w:r>
            <w:r>
              <w:rPr>
                <w:szCs w:val="21"/>
              </w:rPr>
              <w:t>/Kpa</w:t>
            </w:r>
          </w:p>
        </w:tc>
        <w:tc>
          <w:tcPr>
            <w:tcW w:w="1238" w:type="dxa"/>
            <w:vAlign w:val="center"/>
          </w:tcPr>
          <w:p w:rsidR="00475650" w:rsidRDefault="00475650">
            <w:pPr>
              <w:snapToGrid w:val="0"/>
              <w:spacing w:line="240" w:lineRule="exact"/>
              <w:jc w:val="center"/>
              <w:rPr>
                <w:szCs w:val="21"/>
              </w:rPr>
            </w:pPr>
            <w:r>
              <w:rPr>
                <w:szCs w:val="21"/>
              </w:rPr>
              <w:t>/</w:t>
            </w:r>
          </w:p>
        </w:tc>
        <w:tc>
          <w:tcPr>
            <w:tcW w:w="1317" w:type="dxa"/>
            <w:vAlign w:val="center"/>
          </w:tcPr>
          <w:p w:rsidR="00475650" w:rsidRDefault="00475650">
            <w:pPr>
              <w:snapToGrid w:val="0"/>
              <w:spacing w:line="240" w:lineRule="exact"/>
              <w:jc w:val="center"/>
              <w:rPr>
                <w:szCs w:val="21"/>
              </w:rPr>
            </w:pPr>
            <w:r>
              <w:rPr>
                <w:rFonts w:hAnsi="宋体"/>
                <w:szCs w:val="21"/>
              </w:rPr>
              <w:t>燃烧热（</w:t>
            </w:r>
            <w:r>
              <w:rPr>
                <w:szCs w:val="21"/>
              </w:rPr>
              <w:t>KJ/mol</w:t>
            </w:r>
            <w:r>
              <w:rPr>
                <w:rFonts w:hAnsi="宋体"/>
                <w:szCs w:val="21"/>
              </w:rPr>
              <w:t>）</w:t>
            </w:r>
          </w:p>
        </w:tc>
        <w:tc>
          <w:tcPr>
            <w:tcW w:w="1247" w:type="dxa"/>
            <w:vAlign w:val="center"/>
          </w:tcPr>
          <w:p w:rsidR="00475650" w:rsidRDefault="00475650">
            <w:pPr>
              <w:snapToGrid w:val="0"/>
              <w:spacing w:line="240" w:lineRule="exact"/>
              <w:jc w:val="center"/>
              <w:rPr>
                <w:spacing w:val="-20"/>
                <w:szCs w:val="21"/>
              </w:rPr>
            </w:pPr>
            <w:r>
              <w:rPr>
                <w:spacing w:val="-20"/>
                <w:szCs w:val="21"/>
              </w:rPr>
              <w:t>/</w:t>
            </w:r>
          </w:p>
        </w:tc>
        <w:tc>
          <w:tcPr>
            <w:tcW w:w="1208" w:type="dxa"/>
            <w:vAlign w:val="center"/>
          </w:tcPr>
          <w:p w:rsidR="00475650" w:rsidRDefault="00475650">
            <w:pPr>
              <w:snapToGrid w:val="0"/>
              <w:spacing w:line="240" w:lineRule="exact"/>
              <w:jc w:val="center"/>
              <w:rPr>
                <w:szCs w:val="21"/>
              </w:rPr>
            </w:pPr>
            <w:r>
              <w:rPr>
                <w:rFonts w:hAnsi="宋体"/>
                <w:szCs w:val="21"/>
              </w:rPr>
              <w:t>闪点</w:t>
            </w:r>
            <w:r>
              <w:rPr>
                <w:szCs w:val="21"/>
              </w:rPr>
              <w:t>(</w:t>
            </w:r>
            <w:r>
              <w:rPr>
                <w:rFonts w:hAnsi="宋体"/>
                <w:szCs w:val="21"/>
              </w:rPr>
              <w:t>℃</w:t>
            </w:r>
            <w:r>
              <w:rPr>
                <w:szCs w:val="21"/>
              </w:rPr>
              <w:t>)</w:t>
            </w:r>
          </w:p>
        </w:tc>
        <w:tc>
          <w:tcPr>
            <w:tcW w:w="1521" w:type="dxa"/>
            <w:vAlign w:val="center"/>
          </w:tcPr>
          <w:p w:rsidR="00475650" w:rsidRDefault="00475650">
            <w:pPr>
              <w:snapToGrid w:val="0"/>
              <w:spacing w:line="240" w:lineRule="exact"/>
              <w:jc w:val="center"/>
              <w:rPr>
                <w:szCs w:val="21"/>
              </w:rPr>
            </w:pPr>
            <w:r>
              <w:rPr>
                <w:szCs w:val="21"/>
              </w:rPr>
              <w:t>/</w:t>
            </w:r>
          </w:p>
        </w:tc>
      </w:tr>
      <w:tr w:rsidR="00475650">
        <w:trPr>
          <w:jc w:val="center"/>
        </w:trPr>
        <w:tc>
          <w:tcPr>
            <w:tcW w:w="1209" w:type="dxa"/>
            <w:vMerge/>
            <w:vAlign w:val="center"/>
          </w:tcPr>
          <w:p w:rsidR="00475650" w:rsidRDefault="00475650">
            <w:pPr>
              <w:snapToGrid w:val="0"/>
              <w:spacing w:line="240" w:lineRule="exact"/>
              <w:jc w:val="center"/>
              <w:rPr>
                <w:szCs w:val="21"/>
              </w:rPr>
            </w:pPr>
          </w:p>
        </w:tc>
        <w:tc>
          <w:tcPr>
            <w:tcW w:w="1206" w:type="dxa"/>
            <w:vAlign w:val="center"/>
          </w:tcPr>
          <w:p w:rsidR="00475650" w:rsidRDefault="00475650">
            <w:pPr>
              <w:snapToGrid w:val="0"/>
              <w:spacing w:line="240" w:lineRule="exact"/>
              <w:jc w:val="center"/>
              <w:rPr>
                <w:szCs w:val="21"/>
              </w:rPr>
            </w:pPr>
            <w:r>
              <w:rPr>
                <w:rFonts w:hAnsi="宋体"/>
                <w:szCs w:val="21"/>
              </w:rPr>
              <w:t>溶解性</w:t>
            </w:r>
          </w:p>
        </w:tc>
        <w:tc>
          <w:tcPr>
            <w:tcW w:w="6531" w:type="dxa"/>
            <w:gridSpan w:val="5"/>
            <w:vAlign w:val="center"/>
          </w:tcPr>
          <w:p w:rsidR="00475650" w:rsidRDefault="00475650">
            <w:pPr>
              <w:snapToGrid w:val="0"/>
              <w:spacing w:line="240" w:lineRule="exact"/>
              <w:jc w:val="center"/>
              <w:rPr>
                <w:szCs w:val="21"/>
              </w:rPr>
            </w:pPr>
            <w:r>
              <w:rPr>
                <w:rFonts w:hAnsi="宋体"/>
                <w:szCs w:val="21"/>
                <w:shd w:val="clear" w:color="auto" w:fill="FFFFFF"/>
              </w:rPr>
              <w:t>稍溶于水，溶于乙醇、乙醚和碳酸钠水溶液。</w:t>
            </w:r>
          </w:p>
        </w:tc>
      </w:tr>
      <w:tr w:rsidR="00475650">
        <w:trPr>
          <w:jc w:val="center"/>
        </w:trPr>
        <w:tc>
          <w:tcPr>
            <w:tcW w:w="1209" w:type="dxa"/>
            <w:vMerge/>
            <w:vAlign w:val="center"/>
          </w:tcPr>
          <w:p w:rsidR="00475650" w:rsidRDefault="00475650">
            <w:pPr>
              <w:snapToGrid w:val="0"/>
              <w:spacing w:line="240" w:lineRule="exact"/>
              <w:jc w:val="center"/>
              <w:rPr>
                <w:szCs w:val="21"/>
              </w:rPr>
            </w:pPr>
          </w:p>
        </w:tc>
        <w:tc>
          <w:tcPr>
            <w:tcW w:w="1206" w:type="dxa"/>
            <w:vAlign w:val="center"/>
          </w:tcPr>
          <w:p w:rsidR="00475650" w:rsidRDefault="00475650">
            <w:pPr>
              <w:snapToGrid w:val="0"/>
              <w:spacing w:line="240" w:lineRule="exact"/>
              <w:jc w:val="center"/>
              <w:rPr>
                <w:szCs w:val="21"/>
              </w:rPr>
            </w:pPr>
            <w:r>
              <w:rPr>
                <w:rFonts w:hAnsi="宋体"/>
                <w:szCs w:val="21"/>
              </w:rPr>
              <w:t>外观与形状</w:t>
            </w:r>
          </w:p>
        </w:tc>
        <w:tc>
          <w:tcPr>
            <w:tcW w:w="6531" w:type="dxa"/>
            <w:gridSpan w:val="5"/>
            <w:vAlign w:val="center"/>
          </w:tcPr>
          <w:p w:rsidR="00475650" w:rsidRDefault="00475650">
            <w:pPr>
              <w:snapToGrid w:val="0"/>
              <w:spacing w:line="240" w:lineRule="exact"/>
              <w:jc w:val="center"/>
              <w:rPr>
                <w:szCs w:val="21"/>
                <w:shd w:val="clear" w:color="auto" w:fill="FFFFFF"/>
              </w:rPr>
            </w:pPr>
            <w:r>
              <w:rPr>
                <w:rFonts w:hAnsi="宋体"/>
                <w:szCs w:val="21"/>
                <w:shd w:val="clear" w:color="auto" w:fill="FFFFFF"/>
              </w:rPr>
              <w:t>白色针状晶体或结晶粉末</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用途</w:t>
            </w:r>
          </w:p>
        </w:tc>
        <w:tc>
          <w:tcPr>
            <w:tcW w:w="7737" w:type="dxa"/>
            <w:gridSpan w:val="6"/>
            <w:vAlign w:val="center"/>
          </w:tcPr>
          <w:p w:rsidR="00475650" w:rsidRDefault="00475650">
            <w:pPr>
              <w:snapToGrid w:val="0"/>
              <w:spacing w:line="240" w:lineRule="exact"/>
              <w:jc w:val="center"/>
              <w:rPr>
                <w:szCs w:val="21"/>
                <w:shd w:val="clear" w:color="auto" w:fill="FFFFFF"/>
              </w:rPr>
            </w:pPr>
            <w:r>
              <w:rPr>
                <w:rFonts w:hAnsi="宋体"/>
                <w:szCs w:val="21"/>
                <w:shd w:val="clear" w:color="auto" w:fill="FFFFFF"/>
              </w:rPr>
              <w:t>染料中间体。主要用于制取直接重氮黑</w:t>
            </w:r>
            <w:r>
              <w:rPr>
                <w:szCs w:val="21"/>
                <w:shd w:val="clear" w:color="auto" w:fill="FFFFFF"/>
              </w:rPr>
              <w:t>BH</w:t>
            </w:r>
            <w:r>
              <w:rPr>
                <w:rFonts w:hAnsi="宋体"/>
                <w:szCs w:val="21"/>
                <w:shd w:val="clear" w:color="auto" w:fill="FFFFFF"/>
              </w:rPr>
              <w:t>、直接深棕</w:t>
            </w:r>
            <w:r>
              <w:rPr>
                <w:szCs w:val="21"/>
                <w:shd w:val="clear" w:color="auto" w:fill="FFFFFF"/>
              </w:rPr>
              <w:t>M</w:t>
            </w:r>
            <w:r>
              <w:rPr>
                <w:rFonts w:hAnsi="宋体"/>
                <w:szCs w:val="21"/>
                <w:shd w:val="clear" w:color="auto" w:fill="FFFFFF"/>
              </w:rPr>
              <w:t>、直接深棕</w:t>
            </w:r>
            <w:r>
              <w:rPr>
                <w:szCs w:val="21"/>
                <w:shd w:val="clear" w:color="auto" w:fill="FFFFFF"/>
              </w:rPr>
              <w:t>NM</w:t>
            </w:r>
            <w:r>
              <w:rPr>
                <w:rFonts w:hAnsi="宋体"/>
                <w:szCs w:val="21"/>
                <w:shd w:val="clear" w:color="auto" w:fill="FFFFFF"/>
              </w:rPr>
              <w:t>、直接枣红</w:t>
            </w:r>
            <w:r>
              <w:rPr>
                <w:szCs w:val="21"/>
                <w:shd w:val="clear" w:color="auto" w:fill="FFFFFF"/>
              </w:rPr>
              <w:t>GB</w:t>
            </w:r>
            <w:r>
              <w:rPr>
                <w:rFonts w:hAnsi="宋体"/>
                <w:szCs w:val="21"/>
                <w:shd w:val="clear" w:color="auto" w:fill="FFFFFF"/>
              </w:rPr>
              <w:t>、直接红</w:t>
            </w:r>
            <w:r>
              <w:rPr>
                <w:szCs w:val="21"/>
                <w:shd w:val="clear" w:color="auto" w:fill="FFFFFF"/>
              </w:rPr>
              <w:t>F</w:t>
            </w:r>
            <w:r>
              <w:rPr>
                <w:rFonts w:hAnsi="宋体"/>
                <w:szCs w:val="21"/>
                <w:shd w:val="clear" w:color="auto" w:fill="FFFFFF"/>
              </w:rPr>
              <w:t>、直接灰</w:t>
            </w:r>
            <w:r>
              <w:rPr>
                <w:szCs w:val="21"/>
                <w:shd w:val="clear" w:color="auto" w:fill="FFFFFF"/>
              </w:rPr>
              <w:t>D</w:t>
            </w:r>
            <w:r>
              <w:rPr>
                <w:rFonts w:hAnsi="宋体"/>
                <w:szCs w:val="21"/>
                <w:shd w:val="clear" w:color="auto" w:fill="FFFFFF"/>
              </w:rPr>
              <w:t>、直接紫</w:t>
            </w:r>
            <w:r>
              <w:rPr>
                <w:szCs w:val="21"/>
                <w:shd w:val="clear" w:color="auto" w:fill="FFFFFF"/>
              </w:rPr>
              <w:t>N</w:t>
            </w:r>
            <w:r>
              <w:rPr>
                <w:rFonts w:hAnsi="宋体"/>
                <w:szCs w:val="21"/>
                <w:shd w:val="clear" w:color="auto" w:fill="FFFFFF"/>
              </w:rPr>
              <w:t>、直接灰</w:t>
            </w:r>
            <w:r>
              <w:rPr>
                <w:szCs w:val="21"/>
                <w:shd w:val="clear" w:color="auto" w:fill="FFFFFF"/>
              </w:rPr>
              <w:t>AC</w:t>
            </w:r>
            <w:r>
              <w:rPr>
                <w:rFonts w:hAnsi="宋体"/>
                <w:szCs w:val="21"/>
                <w:shd w:val="clear" w:color="auto" w:fill="FFFFFF"/>
              </w:rPr>
              <w:t>、直接耐晒灰</w:t>
            </w:r>
            <w:r>
              <w:rPr>
                <w:szCs w:val="21"/>
                <w:shd w:val="clear" w:color="auto" w:fill="FFFFFF"/>
              </w:rPr>
              <w:t>B</w:t>
            </w:r>
            <w:r>
              <w:rPr>
                <w:rFonts w:hAnsi="宋体"/>
                <w:szCs w:val="21"/>
                <w:shd w:val="clear" w:color="auto" w:fill="FFFFFF"/>
              </w:rPr>
              <w:t>等，以及活性染料和酸性染料酸性红</w:t>
            </w:r>
            <w:r>
              <w:rPr>
                <w:szCs w:val="21"/>
                <w:shd w:val="clear" w:color="auto" w:fill="FFFFFF"/>
              </w:rPr>
              <w:t>BG</w:t>
            </w:r>
            <w:r>
              <w:rPr>
                <w:rFonts w:hAnsi="宋体"/>
                <w:szCs w:val="21"/>
                <w:shd w:val="clear" w:color="auto" w:fill="FFFFFF"/>
              </w:rPr>
              <w:t>等。</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危险性</w:t>
            </w:r>
          </w:p>
        </w:tc>
        <w:tc>
          <w:tcPr>
            <w:tcW w:w="7737" w:type="dxa"/>
            <w:gridSpan w:val="6"/>
          </w:tcPr>
          <w:p w:rsidR="00475650" w:rsidRDefault="00475650">
            <w:pPr>
              <w:snapToGrid w:val="0"/>
              <w:spacing w:line="240" w:lineRule="exact"/>
              <w:jc w:val="center"/>
              <w:rPr>
                <w:szCs w:val="21"/>
              </w:rPr>
            </w:pPr>
            <w:r>
              <w:rPr>
                <w:rFonts w:hAnsi="宋体"/>
                <w:szCs w:val="21"/>
              </w:rPr>
              <w:t>腐蚀性</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禁忌物</w:t>
            </w:r>
          </w:p>
        </w:tc>
        <w:tc>
          <w:tcPr>
            <w:tcW w:w="7737" w:type="dxa"/>
            <w:gridSpan w:val="6"/>
          </w:tcPr>
          <w:p w:rsidR="00475650" w:rsidRDefault="00475650">
            <w:pPr>
              <w:snapToGrid w:val="0"/>
              <w:spacing w:line="240" w:lineRule="exact"/>
              <w:jc w:val="center"/>
              <w:rPr>
                <w:szCs w:val="21"/>
                <w:shd w:val="clear" w:color="auto" w:fill="FFFFFF"/>
              </w:rPr>
            </w:pPr>
            <w:r>
              <w:rPr>
                <w:rFonts w:hAnsi="宋体"/>
                <w:szCs w:val="21"/>
                <w:shd w:val="clear" w:color="auto" w:fill="FFFFFF"/>
              </w:rPr>
              <w:t>无资料</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对人体危害</w:t>
            </w:r>
          </w:p>
        </w:tc>
        <w:tc>
          <w:tcPr>
            <w:tcW w:w="7737" w:type="dxa"/>
            <w:gridSpan w:val="6"/>
          </w:tcPr>
          <w:p w:rsidR="00475650" w:rsidRDefault="00475650">
            <w:pPr>
              <w:snapToGrid w:val="0"/>
              <w:spacing w:line="240" w:lineRule="exact"/>
              <w:jc w:val="center"/>
              <w:rPr>
                <w:szCs w:val="21"/>
                <w:shd w:val="clear" w:color="auto" w:fill="FFFFFF"/>
              </w:rPr>
            </w:pPr>
            <w:r>
              <w:rPr>
                <w:rFonts w:hAnsi="宋体"/>
                <w:szCs w:val="21"/>
                <w:shd w:val="clear" w:color="auto" w:fill="FFFFFF"/>
              </w:rPr>
              <w:t>有毒、强腐蚀性原料，操作人员应穿戴劳保用具，车间内加强通风。</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环境危害</w:t>
            </w:r>
          </w:p>
        </w:tc>
        <w:tc>
          <w:tcPr>
            <w:tcW w:w="7737" w:type="dxa"/>
            <w:gridSpan w:val="6"/>
          </w:tcPr>
          <w:p w:rsidR="00475650" w:rsidRDefault="00475650">
            <w:pPr>
              <w:snapToGrid w:val="0"/>
              <w:spacing w:line="240" w:lineRule="exact"/>
              <w:jc w:val="center"/>
              <w:rPr>
                <w:szCs w:val="21"/>
                <w:shd w:val="clear" w:color="auto" w:fill="FFFFFF"/>
              </w:rPr>
            </w:pPr>
            <w:r>
              <w:rPr>
                <w:rFonts w:hAnsi="宋体"/>
                <w:szCs w:val="21"/>
                <w:shd w:val="clear" w:color="auto" w:fill="FFFFFF"/>
              </w:rPr>
              <w:t>无资料</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燃爆危险</w:t>
            </w:r>
          </w:p>
        </w:tc>
        <w:tc>
          <w:tcPr>
            <w:tcW w:w="7737" w:type="dxa"/>
            <w:gridSpan w:val="6"/>
          </w:tcPr>
          <w:p w:rsidR="00475650" w:rsidRDefault="00475650">
            <w:pPr>
              <w:snapToGrid w:val="0"/>
              <w:spacing w:line="240" w:lineRule="exact"/>
              <w:jc w:val="center"/>
              <w:rPr>
                <w:szCs w:val="21"/>
                <w:shd w:val="clear" w:color="auto" w:fill="FFFFFF"/>
              </w:rPr>
            </w:pPr>
            <w:r>
              <w:rPr>
                <w:rFonts w:hAnsi="宋体"/>
                <w:szCs w:val="21"/>
                <w:shd w:val="clear" w:color="auto" w:fill="FFFFFF"/>
              </w:rPr>
              <w:t>无资料</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毒理学</w:t>
            </w:r>
          </w:p>
          <w:p w:rsidR="00475650" w:rsidRDefault="00475650">
            <w:pPr>
              <w:snapToGrid w:val="0"/>
              <w:spacing w:line="240" w:lineRule="exact"/>
              <w:jc w:val="center"/>
              <w:rPr>
                <w:szCs w:val="21"/>
              </w:rPr>
            </w:pPr>
            <w:r>
              <w:rPr>
                <w:rFonts w:hAnsi="宋体"/>
                <w:szCs w:val="21"/>
              </w:rPr>
              <w:t>资料</w:t>
            </w:r>
          </w:p>
        </w:tc>
        <w:tc>
          <w:tcPr>
            <w:tcW w:w="7737" w:type="dxa"/>
            <w:gridSpan w:val="6"/>
          </w:tcPr>
          <w:p w:rsidR="00475650" w:rsidRDefault="00475650">
            <w:pPr>
              <w:snapToGrid w:val="0"/>
              <w:spacing w:line="240" w:lineRule="exact"/>
              <w:jc w:val="center"/>
              <w:rPr>
                <w:szCs w:val="21"/>
              </w:rPr>
            </w:pPr>
            <w:r>
              <w:rPr>
                <w:rFonts w:hAnsi="宋体"/>
                <w:szCs w:val="21"/>
                <w:shd w:val="clear" w:color="auto" w:fill="FFFFFF"/>
              </w:rPr>
              <w:t>无资料</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泄漏应急处理措施</w:t>
            </w:r>
          </w:p>
        </w:tc>
        <w:tc>
          <w:tcPr>
            <w:tcW w:w="7737" w:type="dxa"/>
            <w:gridSpan w:val="6"/>
          </w:tcPr>
          <w:p w:rsidR="00475650" w:rsidRDefault="00475650">
            <w:pPr>
              <w:snapToGrid w:val="0"/>
              <w:spacing w:line="240" w:lineRule="exact"/>
              <w:jc w:val="center"/>
              <w:rPr>
                <w:szCs w:val="21"/>
              </w:rPr>
            </w:pPr>
            <w:r>
              <w:rPr>
                <w:rFonts w:hAnsi="宋体"/>
                <w:szCs w:val="21"/>
                <w:shd w:val="clear" w:color="auto" w:fill="FFFFFF"/>
              </w:rPr>
              <w:t>无资料</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储运注意</w:t>
            </w:r>
          </w:p>
          <w:p w:rsidR="00475650" w:rsidRDefault="00475650">
            <w:pPr>
              <w:snapToGrid w:val="0"/>
              <w:spacing w:line="240" w:lineRule="exact"/>
              <w:jc w:val="center"/>
              <w:rPr>
                <w:szCs w:val="21"/>
              </w:rPr>
            </w:pPr>
            <w:r>
              <w:rPr>
                <w:rFonts w:hAnsi="宋体"/>
                <w:szCs w:val="21"/>
              </w:rPr>
              <w:t>事项</w:t>
            </w:r>
          </w:p>
        </w:tc>
        <w:tc>
          <w:tcPr>
            <w:tcW w:w="7737" w:type="dxa"/>
            <w:gridSpan w:val="6"/>
          </w:tcPr>
          <w:p w:rsidR="00475650" w:rsidRDefault="00475650">
            <w:pPr>
              <w:snapToGrid w:val="0"/>
              <w:spacing w:line="240" w:lineRule="exact"/>
              <w:rPr>
                <w:szCs w:val="21"/>
              </w:rPr>
            </w:pPr>
            <w:r>
              <w:rPr>
                <w:rFonts w:hAnsi="宋体"/>
                <w:szCs w:val="21"/>
              </w:rPr>
              <w:t>本品应密封避光保存。</w:t>
            </w:r>
          </w:p>
          <w:p w:rsidR="00475650" w:rsidRDefault="00475650">
            <w:pPr>
              <w:snapToGrid w:val="0"/>
              <w:spacing w:line="240" w:lineRule="exact"/>
              <w:rPr>
                <w:szCs w:val="21"/>
              </w:rPr>
            </w:pPr>
            <w:r>
              <w:rPr>
                <w:rFonts w:hAnsi="宋体"/>
                <w:szCs w:val="21"/>
              </w:rPr>
              <w:t>采用铁桶内衬塑料袋包装，每袋净重</w:t>
            </w:r>
            <w:r>
              <w:rPr>
                <w:szCs w:val="21"/>
              </w:rPr>
              <w:t>50kg</w:t>
            </w:r>
            <w:r>
              <w:rPr>
                <w:rFonts w:hAnsi="宋体"/>
                <w:szCs w:val="21"/>
              </w:rPr>
              <w:t>。应贮存在干燥通风的仓库内，防止受热，避免日晒。</w:t>
            </w:r>
          </w:p>
        </w:tc>
      </w:tr>
      <w:tr w:rsidR="00475650">
        <w:trPr>
          <w:jc w:val="center"/>
        </w:trPr>
        <w:tc>
          <w:tcPr>
            <w:tcW w:w="1209" w:type="dxa"/>
            <w:vAlign w:val="center"/>
          </w:tcPr>
          <w:p w:rsidR="00475650" w:rsidRDefault="00475650">
            <w:pPr>
              <w:snapToGrid w:val="0"/>
              <w:spacing w:line="240" w:lineRule="exact"/>
              <w:jc w:val="center"/>
              <w:rPr>
                <w:szCs w:val="21"/>
              </w:rPr>
            </w:pPr>
            <w:r>
              <w:rPr>
                <w:rFonts w:hAnsi="宋体"/>
                <w:szCs w:val="21"/>
              </w:rPr>
              <w:t>灭火方法</w:t>
            </w:r>
          </w:p>
        </w:tc>
        <w:tc>
          <w:tcPr>
            <w:tcW w:w="7737" w:type="dxa"/>
            <w:gridSpan w:val="6"/>
          </w:tcPr>
          <w:p w:rsidR="00475650" w:rsidRDefault="00475650">
            <w:pPr>
              <w:snapToGrid w:val="0"/>
              <w:spacing w:line="240" w:lineRule="exact"/>
              <w:rPr>
                <w:szCs w:val="21"/>
                <w:shd w:val="clear" w:color="auto" w:fill="FFFFFF"/>
              </w:rPr>
            </w:pPr>
          </w:p>
        </w:tc>
      </w:tr>
    </w:tbl>
    <w:p w:rsidR="00475650" w:rsidRDefault="00475650">
      <w:pPr>
        <w:spacing w:line="360" w:lineRule="auto"/>
        <w:jc w:val="center"/>
        <w:rPr>
          <w:rFonts w:hAnsi="宋体"/>
          <w:sz w:val="24"/>
        </w:rPr>
      </w:pPr>
    </w:p>
    <w:p w:rsidR="00475650" w:rsidRDefault="00475650">
      <w:pPr>
        <w:spacing w:line="360" w:lineRule="auto"/>
        <w:jc w:val="center"/>
        <w:rPr>
          <w:rFonts w:hAnsi="宋体"/>
          <w:sz w:val="24"/>
        </w:rPr>
      </w:pPr>
      <w:r>
        <w:rPr>
          <w:rFonts w:hAnsi="宋体"/>
          <w:sz w:val="24"/>
        </w:rPr>
        <w:lastRenderedPageBreak/>
        <w:t>表</w:t>
      </w:r>
      <w:r>
        <w:rPr>
          <w:sz w:val="24"/>
        </w:rPr>
        <w:t>6.2-1</w:t>
      </w:r>
      <w:r>
        <w:rPr>
          <w:rFonts w:hAnsi="宋体"/>
          <w:sz w:val="24"/>
        </w:rPr>
        <w:t>（</w:t>
      </w:r>
      <w:r>
        <w:rPr>
          <w:rFonts w:hint="eastAsia"/>
          <w:sz w:val="24"/>
        </w:rPr>
        <w:t>9</w:t>
      </w:r>
      <w:r>
        <w:rPr>
          <w:rFonts w:hAnsi="宋体"/>
          <w:sz w:val="24"/>
        </w:rPr>
        <w:t>）</w:t>
      </w:r>
      <w:r>
        <w:rPr>
          <w:rFonts w:hAnsi="宋体"/>
          <w:sz w:val="24"/>
        </w:rPr>
        <w:t>2,5-</w:t>
      </w:r>
      <w:r>
        <w:rPr>
          <w:rFonts w:hAnsi="宋体"/>
          <w:sz w:val="24"/>
        </w:rPr>
        <w:t>二氨基苯磺酸理化性质及毒性数据表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174"/>
        <w:gridCol w:w="1345"/>
        <w:gridCol w:w="1032"/>
        <w:gridCol w:w="1408"/>
        <w:gridCol w:w="1335"/>
        <w:gridCol w:w="1167"/>
        <w:gridCol w:w="1485"/>
      </w:tblGrid>
      <w:tr w:rsidR="00475650">
        <w:trPr>
          <w:jc w:val="center"/>
        </w:trPr>
        <w:tc>
          <w:tcPr>
            <w:tcW w:w="1174" w:type="dxa"/>
            <w:vMerge w:val="restart"/>
            <w:vAlign w:val="center"/>
          </w:tcPr>
          <w:p w:rsidR="00475650" w:rsidRDefault="00475650">
            <w:pPr>
              <w:snapToGrid w:val="0"/>
              <w:spacing w:line="240" w:lineRule="exact"/>
              <w:jc w:val="center"/>
              <w:rPr>
                <w:szCs w:val="21"/>
              </w:rPr>
            </w:pPr>
            <w:r>
              <w:rPr>
                <w:rFonts w:hAnsi="宋体"/>
                <w:szCs w:val="21"/>
              </w:rPr>
              <w:t>品名</w:t>
            </w:r>
          </w:p>
        </w:tc>
        <w:tc>
          <w:tcPr>
            <w:tcW w:w="1345" w:type="dxa"/>
            <w:vMerge w:val="restart"/>
            <w:vAlign w:val="center"/>
          </w:tcPr>
          <w:p w:rsidR="00475650" w:rsidRDefault="00475650">
            <w:pPr>
              <w:snapToGrid w:val="0"/>
              <w:spacing w:line="240" w:lineRule="exact"/>
              <w:jc w:val="center"/>
              <w:rPr>
                <w:szCs w:val="21"/>
              </w:rPr>
            </w:pPr>
            <w:r>
              <w:rPr>
                <w:kern w:val="0"/>
                <w:szCs w:val="21"/>
              </w:rPr>
              <w:t>2,5-</w:t>
            </w:r>
            <w:r>
              <w:rPr>
                <w:rFonts w:hAnsi="宋体"/>
                <w:kern w:val="0"/>
                <w:szCs w:val="21"/>
              </w:rPr>
              <w:t>二氨基苯磺酸</w:t>
            </w:r>
          </w:p>
        </w:tc>
        <w:tc>
          <w:tcPr>
            <w:tcW w:w="1032" w:type="dxa"/>
            <w:vAlign w:val="center"/>
          </w:tcPr>
          <w:p w:rsidR="00475650" w:rsidRDefault="00475650">
            <w:pPr>
              <w:snapToGrid w:val="0"/>
              <w:spacing w:line="240" w:lineRule="exact"/>
              <w:jc w:val="center"/>
              <w:rPr>
                <w:szCs w:val="21"/>
              </w:rPr>
            </w:pPr>
            <w:r>
              <w:rPr>
                <w:rFonts w:hAnsi="宋体"/>
                <w:szCs w:val="21"/>
              </w:rPr>
              <w:t>英文名</w:t>
            </w:r>
          </w:p>
        </w:tc>
        <w:tc>
          <w:tcPr>
            <w:tcW w:w="2743" w:type="dxa"/>
            <w:gridSpan w:val="2"/>
            <w:vAlign w:val="center"/>
          </w:tcPr>
          <w:p w:rsidR="00475650" w:rsidRDefault="00475650">
            <w:pPr>
              <w:snapToGrid w:val="0"/>
              <w:spacing w:line="240" w:lineRule="exact"/>
              <w:jc w:val="center"/>
              <w:rPr>
                <w:szCs w:val="21"/>
              </w:rPr>
            </w:pPr>
            <w:r>
              <w:rPr>
                <w:b/>
                <w:bCs/>
                <w:szCs w:val="21"/>
              </w:rPr>
              <w:t>2,5-Diaminobenzenesulfonic acid</w:t>
            </w:r>
          </w:p>
        </w:tc>
        <w:tc>
          <w:tcPr>
            <w:tcW w:w="1167" w:type="dxa"/>
            <w:vAlign w:val="center"/>
          </w:tcPr>
          <w:p w:rsidR="00475650" w:rsidRDefault="00475650">
            <w:pPr>
              <w:snapToGrid w:val="0"/>
              <w:spacing w:line="240" w:lineRule="exact"/>
              <w:jc w:val="center"/>
              <w:rPr>
                <w:szCs w:val="21"/>
              </w:rPr>
            </w:pPr>
            <w:r>
              <w:rPr>
                <w:szCs w:val="21"/>
              </w:rPr>
              <w:t>UN</w:t>
            </w:r>
            <w:r>
              <w:rPr>
                <w:rFonts w:hAnsi="宋体"/>
                <w:szCs w:val="21"/>
              </w:rPr>
              <w:t>编号</w:t>
            </w:r>
          </w:p>
        </w:tc>
        <w:tc>
          <w:tcPr>
            <w:tcW w:w="1485" w:type="dxa"/>
            <w:vAlign w:val="center"/>
          </w:tcPr>
          <w:p w:rsidR="00475650" w:rsidRDefault="00475650">
            <w:pPr>
              <w:snapToGrid w:val="0"/>
              <w:spacing w:line="240" w:lineRule="exact"/>
              <w:jc w:val="center"/>
              <w:rPr>
                <w:szCs w:val="21"/>
              </w:rPr>
            </w:pPr>
            <w:r>
              <w:rPr>
                <w:szCs w:val="21"/>
              </w:rPr>
              <w:t>2583</w:t>
            </w:r>
          </w:p>
        </w:tc>
      </w:tr>
      <w:tr w:rsidR="00475650">
        <w:trPr>
          <w:jc w:val="center"/>
        </w:trPr>
        <w:tc>
          <w:tcPr>
            <w:tcW w:w="1174" w:type="dxa"/>
            <w:vMerge/>
            <w:vAlign w:val="center"/>
          </w:tcPr>
          <w:p w:rsidR="00475650" w:rsidRDefault="00475650">
            <w:pPr>
              <w:snapToGrid w:val="0"/>
              <w:spacing w:line="240" w:lineRule="exact"/>
              <w:jc w:val="center"/>
              <w:rPr>
                <w:szCs w:val="21"/>
              </w:rPr>
            </w:pPr>
          </w:p>
        </w:tc>
        <w:tc>
          <w:tcPr>
            <w:tcW w:w="1345" w:type="dxa"/>
            <w:vMerge/>
            <w:vAlign w:val="center"/>
          </w:tcPr>
          <w:p w:rsidR="00475650" w:rsidRDefault="00475650">
            <w:pPr>
              <w:snapToGrid w:val="0"/>
              <w:spacing w:line="240" w:lineRule="exact"/>
              <w:jc w:val="center"/>
              <w:rPr>
                <w:szCs w:val="21"/>
              </w:rPr>
            </w:pPr>
          </w:p>
        </w:tc>
        <w:tc>
          <w:tcPr>
            <w:tcW w:w="1032" w:type="dxa"/>
            <w:vAlign w:val="center"/>
          </w:tcPr>
          <w:p w:rsidR="00475650" w:rsidRDefault="00475650">
            <w:pPr>
              <w:snapToGrid w:val="0"/>
              <w:spacing w:line="240" w:lineRule="exact"/>
              <w:jc w:val="center"/>
              <w:rPr>
                <w:szCs w:val="21"/>
              </w:rPr>
            </w:pPr>
            <w:r>
              <w:rPr>
                <w:rFonts w:hAnsi="宋体"/>
                <w:szCs w:val="21"/>
              </w:rPr>
              <w:t>危险货物编号</w:t>
            </w:r>
          </w:p>
        </w:tc>
        <w:tc>
          <w:tcPr>
            <w:tcW w:w="2743" w:type="dxa"/>
            <w:gridSpan w:val="2"/>
            <w:vAlign w:val="center"/>
          </w:tcPr>
          <w:p w:rsidR="00475650" w:rsidRDefault="00475650">
            <w:pPr>
              <w:snapToGrid w:val="0"/>
              <w:spacing w:line="240" w:lineRule="exact"/>
              <w:jc w:val="center"/>
              <w:rPr>
                <w:szCs w:val="21"/>
              </w:rPr>
            </w:pPr>
            <w:r>
              <w:rPr>
                <w:szCs w:val="21"/>
              </w:rPr>
              <w:t>/</w:t>
            </w:r>
          </w:p>
        </w:tc>
        <w:tc>
          <w:tcPr>
            <w:tcW w:w="1167" w:type="dxa"/>
            <w:vAlign w:val="center"/>
          </w:tcPr>
          <w:p w:rsidR="00475650" w:rsidRDefault="00475650">
            <w:pPr>
              <w:snapToGrid w:val="0"/>
              <w:spacing w:line="240" w:lineRule="exact"/>
              <w:jc w:val="center"/>
              <w:rPr>
                <w:szCs w:val="21"/>
              </w:rPr>
            </w:pPr>
            <w:r>
              <w:rPr>
                <w:szCs w:val="21"/>
              </w:rPr>
              <w:t>CAS</w:t>
            </w:r>
            <w:r>
              <w:rPr>
                <w:rFonts w:hAnsi="宋体"/>
                <w:szCs w:val="21"/>
              </w:rPr>
              <w:t>号</w:t>
            </w:r>
          </w:p>
        </w:tc>
        <w:tc>
          <w:tcPr>
            <w:tcW w:w="1485" w:type="dxa"/>
            <w:vAlign w:val="center"/>
          </w:tcPr>
          <w:p w:rsidR="00475650" w:rsidRDefault="00475650">
            <w:pPr>
              <w:snapToGrid w:val="0"/>
              <w:spacing w:line="240" w:lineRule="exact"/>
              <w:jc w:val="center"/>
              <w:rPr>
                <w:szCs w:val="21"/>
              </w:rPr>
            </w:pPr>
            <w:r>
              <w:rPr>
                <w:szCs w:val="21"/>
              </w:rPr>
              <w:t>88-45-9</w:t>
            </w:r>
          </w:p>
        </w:tc>
      </w:tr>
      <w:tr w:rsidR="00475650">
        <w:trPr>
          <w:jc w:val="center"/>
        </w:trPr>
        <w:tc>
          <w:tcPr>
            <w:tcW w:w="1174" w:type="dxa"/>
            <w:vMerge w:val="restart"/>
            <w:vAlign w:val="center"/>
          </w:tcPr>
          <w:p w:rsidR="00475650" w:rsidRDefault="00475650">
            <w:pPr>
              <w:snapToGrid w:val="0"/>
              <w:spacing w:line="240" w:lineRule="exact"/>
              <w:jc w:val="center"/>
              <w:rPr>
                <w:szCs w:val="21"/>
              </w:rPr>
            </w:pPr>
            <w:r>
              <w:rPr>
                <w:rFonts w:hAnsi="宋体"/>
                <w:szCs w:val="21"/>
              </w:rPr>
              <w:t>理化性质</w:t>
            </w:r>
          </w:p>
        </w:tc>
        <w:tc>
          <w:tcPr>
            <w:tcW w:w="1345" w:type="dxa"/>
            <w:vAlign w:val="center"/>
          </w:tcPr>
          <w:p w:rsidR="00475650" w:rsidRDefault="00475650">
            <w:pPr>
              <w:snapToGrid w:val="0"/>
              <w:spacing w:line="240" w:lineRule="exact"/>
              <w:jc w:val="center"/>
              <w:rPr>
                <w:szCs w:val="21"/>
              </w:rPr>
            </w:pPr>
            <w:r>
              <w:rPr>
                <w:rFonts w:hAnsi="宋体"/>
                <w:szCs w:val="21"/>
              </w:rPr>
              <w:t>分子式</w:t>
            </w:r>
          </w:p>
        </w:tc>
        <w:tc>
          <w:tcPr>
            <w:tcW w:w="1032" w:type="dxa"/>
            <w:vAlign w:val="center"/>
          </w:tcPr>
          <w:p w:rsidR="00475650" w:rsidRDefault="00475650">
            <w:pPr>
              <w:snapToGrid w:val="0"/>
              <w:spacing w:line="240" w:lineRule="exact"/>
              <w:jc w:val="center"/>
              <w:rPr>
                <w:szCs w:val="21"/>
              </w:rPr>
            </w:pPr>
            <w:r>
              <w:rPr>
                <w:szCs w:val="21"/>
              </w:rPr>
              <w:t>C</w:t>
            </w:r>
            <w:r>
              <w:rPr>
                <w:szCs w:val="21"/>
                <w:vertAlign w:val="subscript"/>
              </w:rPr>
              <w:t>6</w:t>
            </w:r>
            <w:r>
              <w:rPr>
                <w:szCs w:val="21"/>
              </w:rPr>
              <w:t>H</w:t>
            </w:r>
            <w:r>
              <w:rPr>
                <w:szCs w:val="21"/>
                <w:vertAlign w:val="subscript"/>
              </w:rPr>
              <w:t>8</w:t>
            </w:r>
            <w:r>
              <w:rPr>
                <w:szCs w:val="21"/>
              </w:rPr>
              <w:t>N</w:t>
            </w:r>
            <w:r>
              <w:rPr>
                <w:szCs w:val="21"/>
                <w:vertAlign w:val="subscript"/>
              </w:rPr>
              <w:t>2</w:t>
            </w:r>
            <w:r>
              <w:rPr>
                <w:szCs w:val="21"/>
              </w:rPr>
              <w:t>O</w:t>
            </w:r>
            <w:r>
              <w:rPr>
                <w:szCs w:val="21"/>
                <w:vertAlign w:val="subscript"/>
              </w:rPr>
              <w:t>3</w:t>
            </w:r>
            <w:r>
              <w:rPr>
                <w:szCs w:val="21"/>
              </w:rPr>
              <w:t>S</w:t>
            </w:r>
          </w:p>
        </w:tc>
        <w:tc>
          <w:tcPr>
            <w:tcW w:w="1408" w:type="dxa"/>
            <w:vAlign w:val="center"/>
          </w:tcPr>
          <w:p w:rsidR="00475650" w:rsidRDefault="00475650">
            <w:pPr>
              <w:snapToGrid w:val="0"/>
              <w:spacing w:line="240" w:lineRule="exact"/>
              <w:jc w:val="center"/>
              <w:rPr>
                <w:szCs w:val="21"/>
              </w:rPr>
            </w:pPr>
            <w:r>
              <w:rPr>
                <w:rFonts w:hAnsi="宋体"/>
                <w:szCs w:val="21"/>
              </w:rPr>
              <w:t>分子量</w:t>
            </w:r>
          </w:p>
        </w:tc>
        <w:tc>
          <w:tcPr>
            <w:tcW w:w="1335" w:type="dxa"/>
            <w:vAlign w:val="center"/>
          </w:tcPr>
          <w:p w:rsidR="00475650" w:rsidRDefault="00475650">
            <w:pPr>
              <w:snapToGrid w:val="0"/>
              <w:spacing w:line="240" w:lineRule="exact"/>
              <w:jc w:val="center"/>
              <w:rPr>
                <w:szCs w:val="21"/>
              </w:rPr>
            </w:pPr>
            <w:r>
              <w:rPr>
                <w:szCs w:val="21"/>
              </w:rPr>
              <w:t>188.2</w:t>
            </w:r>
          </w:p>
        </w:tc>
        <w:tc>
          <w:tcPr>
            <w:tcW w:w="1167" w:type="dxa"/>
            <w:vAlign w:val="center"/>
          </w:tcPr>
          <w:p w:rsidR="00475650" w:rsidRDefault="00475650">
            <w:pPr>
              <w:snapToGrid w:val="0"/>
              <w:spacing w:line="240" w:lineRule="exact"/>
              <w:jc w:val="center"/>
              <w:rPr>
                <w:szCs w:val="21"/>
              </w:rPr>
            </w:pPr>
            <w:r>
              <w:rPr>
                <w:rFonts w:hAnsi="宋体"/>
                <w:szCs w:val="21"/>
              </w:rPr>
              <w:t>熔点</w:t>
            </w:r>
            <w:r>
              <w:rPr>
                <w:szCs w:val="21"/>
              </w:rPr>
              <w:t>/</w:t>
            </w:r>
            <w:r>
              <w:rPr>
                <w:rFonts w:hAnsi="宋体"/>
                <w:szCs w:val="21"/>
              </w:rPr>
              <w:t>℃</w:t>
            </w:r>
          </w:p>
        </w:tc>
        <w:tc>
          <w:tcPr>
            <w:tcW w:w="1485" w:type="dxa"/>
            <w:vAlign w:val="center"/>
          </w:tcPr>
          <w:p w:rsidR="00475650" w:rsidRDefault="00475650">
            <w:pPr>
              <w:snapToGrid w:val="0"/>
              <w:spacing w:line="240" w:lineRule="exact"/>
              <w:jc w:val="center"/>
              <w:rPr>
                <w:szCs w:val="21"/>
              </w:rPr>
            </w:pPr>
            <w:r>
              <w:rPr>
                <w:szCs w:val="21"/>
              </w:rPr>
              <w:t>298~300</w:t>
            </w:r>
          </w:p>
        </w:tc>
      </w:tr>
      <w:tr w:rsidR="00475650">
        <w:trPr>
          <w:jc w:val="center"/>
        </w:trPr>
        <w:tc>
          <w:tcPr>
            <w:tcW w:w="1174" w:type="dxa"/>
            <w:vMerge/>
            <w:vAlign w:val="center"/>
          </w:tcPr>
          <w:p w:rsidR="00475650" w:rsidRDefault="00475650">
            <w:pPr>
              <w:snapToGrid w:val="0"/>
              <w:spacing w:line="240" w:lineRule="exact"/>
              <w:jc w:val="center"/>
              <w:rPr>
                <w:szCs w:val="21"/>
              </w:rPr>
            </w:pPr>
          </w:p>
        </w:tc>
        <w:tc>
          <w:tcPr>
            <w:tcW w:w="1345" w:type="dxa"/>
            <w:vAlign w:val="center"/>
          </w:tcPr>
          <w:p w:rsidR="00475650" w:rsidRDefault="00475650">
            <w:pPr>
              <w:snapToGrid w:val="0"/>
              <w:spacing w:line="240" w:lineRule="exact"/>
              <w:jc w:val="center"/>
              <w:rPr>
                <w:szCs w:val="21"/>
              </w:rPr>
            </w:pPr>
            <w:r>
              <w:rPr>
                <w:rFonts w:hAnsi="宋体"/>
                <w:szCs w:val="21"/>
              </w:rPr>
              <w:t>沸点</w:t>
            </w:r>
            <w:r>
              <w:rPr>
                <w:szCs w:val="21"/>
              </w:rPr>
              <w:t>/</w:t>
            </w:r>
            <w:r>
              <w:rPr>
                <w:rFonts w:hAnsi="宋体"/>
                <w:szCs w:val="21"/>
              </w:rPr>
              <w:t>℃</w:t>
            </w:r>
          </w:p>
        </w:tc>
        <w:tc>
          <w:tcPr>
            <w:tcW w:w="1032" w:type="dxa"/>
            <w:vAlign w:val="center"/>
          </w:tcPr>
          <w:p w:rsidR="00475650" w:rsidRDefault="00475650">
            <w:pPr>
              <w:snapToGrid w:val="0"/>
              <w:spacing w:line="240" w:lineRule="exact"/>
              <w:jc w:val="center"/>
              <w:rPr>
                <w:szCs w:val="21"/>
              </w:rPr>
            </w:pPr>
            <w:r>
              <w:rPr>
                <w:szCs w:val="21"/>
              </w:rPr>
              <w:t>500</w:t>
            </w:r>
          </w:p>
        </w:tc>
        <w:tc>
          <w:tcPr>
            <w:tcW w:w="1408" w:type="dxa"/>
            <w:vAlign w:val="center"/>
          </w:tcPr>
          <w:p w:rsidR="00475650" w:rsidRDefault="00475650">
            <w:pPr>
              <w:snapToGrid w:val="0"/>
              <w:spacing w:line="240" w:lineRule="exact"/>
              <w:jc w:val="center"/>
              <w:rPr>
                <w:szCs w:val="21"/>
              </w:rPr>
            </w:pPr>
            <w:r>
              <w:rPr>
                <w:rFonts w:hAnsi="宋体"/>
                <w:szCs w:val="21"/>
              </w:rPr>
              <w:t>相对密度</w:t>
            </w:r>
            <w:r>
              <w:rPr>
                <w:szCs w:val="21"/>
              </w:rPr>
              <w:t>(</w:t>
            </w:r>
            <w:r>
              <w:rPr>
                <w:rFonts w:hAnsi="宋体"/>
                <w:szCs w:val="21"/>
              </w:rPr>
              <w:t>水</w:t>
            </w:r>
            <w:r>
              <w:rPr>
                <w:szCs w:val="21"/>
              </w:rPr>
              <w:t>=1)</w:t>
            </w:r>
          </w:p>
        </w:tc>
        <w:tc>
          <w:tcPr>
            <w:tcW w:w="1335" w:type="dxa"/>
            <w:vAlign w:val="center"/>
          </w:tcPr>
          <w:p w:rsidR="00475650" w:rsidRDefault="00475650">
            <w:pPr>
              <w:snapToGrid w:val="0"/>
              <w:spacing w:line="240" w:lineRule="exact"/>
              <w:jc w:val="center"/>
              <w:rPr>
                <w:spacing w:val="-20"/>
                <w:szCs w:val="21"/>
              </w:rPr>
            </w:pPr>
            <w:r>
              <w:rPr>
                <w:spacing w:val="-20"/>
                <w:szCs w:val="21"/>
              </w:rPr>
              <w:t>/</w:t>
            </w:r>
          </w:p>
        </w:tc>
        <w:tc>
          <w:tcPr>
            <w:tcW w:w="1167" w:type="dxa"/>
            <w:vAlign w:val="center"/>
          </w:tcPr>
          <w:p w:rsidR="00475650" w:rsidRDefault="00475650">
            <w:pPr>
              <w:snapToGrid w:val="0"/>
              <w:spacing w:line="240" w:lineRule="exact"/>
              <w:jc w:val="center"/>
              <w:rPr>
                <w:szCs w:val="21"/>
              </w:rPr>
            </w:pPr>
            <w:r>
              <w:rPr>
                <w:rFonts w:hAnsi="宋体"/>
                <w:szCs w:val="21"/>
              </w:rPr>
              <w:t>相对蒸汽密度</w:t>
            </w:r>
            <w:r>
              <w:rPr>
                <w:szCs w:val="21"/>
              </w:rPr>
              <w:t>(</w:t>
            </w:r>
            <w:r>
              <w:rPr>
                <w:rFonts w:hAnsi="宋体"/>
                <w:szCs w:val="21"/>
              </w:rPr>
              <w:t>空气</w:t>
            </w:r>
            <w:r>
              <w:rPr>
                <w:szCs w:val="21"/>
              </w:rPr>
              <w:t>=1)</w:t>
            </w:r>
          </w:p>
        </w:tc>
        <w:tc>
          <w:tcPr>
            <w:tcW w:w="1485" w:type="dxa"/>
            <w:vAlign w:val="center"/>
          </w:tcPr>
          <w:p w:rsidR="00475650" w:rsidRDefault="00475650">
            <w:pPr>
              <w:snapToGrid w:val="0"/>
              <w:spacing w:line="240" w:lineRule="exact"/>
              <w:jc w:val="center"/>
              <w:rPr>
                <w:szCs w:val="21"/>
              </w:rPr>
            </w:pPr>
            <w:r>
              <w:rPr>
                <w:szCs w:val="21"/>
              </w:rPr>
              <w:t>/</w:t>
            </w:r>
          </w:p>
        </w:tc>
      </w:tr>
      <w:tr w:rsidR="00475650">
        <w:trPr>
          <w:jc w:val="center"/>
        </w:trPr>
        <w:tc>
          <w:tcPr>
            <w:tcW w:w="1174" w:type="dxa"/>
            <w:vMerge/>
            <w:vAlign w:val="center"/>
          </w:tcPr>
          <w:p w:rsidR="00475650" w:rsidRDefault="00475650">
            <w:pPr>
              <w:snapToGrid w:val="0"/>
              <w:spacing w:line="240" w:lineRule="exact"/>
              <w:jc w:val="center"/>
              <w:rPr>
                <w:szCs w:val="21"/>
              </w:rPr>
            </w:pPr>
          </w:p>
        </w:tc>
        <w:tc>
          <w:tcPr>
            <w:tcW w:w="1345" w:type="dxa"/>
            <w:vAlign w:val="center"/>
          </w:tcPr>
          <w:p w:rsidR="00475650" w:rsidRDefault="00475650">
            <w:pPr>
              <w:snapToGrid w:val="0"/>
              <w:spacing w:line="240" w:lineRule="exact"/>
              <w:jc w:val="center"/>
              <w:rPr>
                <w:szCs w:val="21"/>
              </w:rPr>
            </w:pPr>
            <w:r>
              <w:rPr>
                <w:rFonts w:hAnsi="宋体"/>
                <w:szCs w:val="21"/>
              </w:rPr>
              <w:t>饱和蒸汽压</w:t>
            </w:r>
            <w:r>
              <w:rPr>
                <w:szCs w:val="21"/>
              </w:rPr>
              <w:t>/Kpa</w:t>
            </w:r>
          </w:p>
        </w:tc>
        <w:tc>
          <w:tcPr>
            <w:tcW w:w="1032" w:type="dxa"/>
            <w:vAlign w:val="center"/>
          </w:tcPr>
          <w:p w:rsidR="00475650" w:rsidRDefault="00475650">
            <w:pPr>
              <w:snapToGrid w:val="0"/>
              <w:spacing w:line="240" w:lineRule="exact"/>
              <w:jc w:val="center"/>
              <w:rPr>
                <w:szCs w:val="21"/>
              </w:rPr>
            </w:pPr>
            <w:r>
              <w:rPr>
                <w:szCs w:val="21"/>
              </w:rPr>
              <w:t>/</w:t>
            </w:r>
          </w:p>
        </w:tc>
        <w:tc>
          <w:tcPr>
            <w:tcW w:w="1408" w:type="dxa"/>
            <w:vAlign w:val="center"/>
          </w:tcPr>
          <w:p w:rsidR="00475650" w:rsidRDefault="00475650">
            <w:pPr>
              <w:snapToGrid w:val="0"/>
              <w:spacing w:line="240" w:lineRule="exact"/>
              <w:jc w:val="center"/>
              <w:rPr>
                <w:szCs w:val="21"/>
              </w:rPr>
            </w:pPr>
            <w:r>
              <w:rPr>
                <w:rFonts w:hAnsi="宋体"/>
                <w:szCs w:val="21"/>
              </w:rPr>
              <w:t>燃烧热（</w:t>
            </w:r>
            <w:r>
              <w:rPr>
                <w:szCs w:val="21"/>
              </w:rPr>
              <w:t>KJ/mol</w:t>
            </w:r>
            <w:r>
              <w:rPr>
                <w:rFonts w:hAnsi="宋体"/>
                <w:szCs w:val="21"/>
              </w:rPr>
              <w:t>）</w:t>
            </w:r>
          </w:p>
        </w:tc>
        <w:tc>
          <w:tcPr>
            <w:tcW w:w="1335" w:type="dxa"/>
            <w:vAlign w:val="center"/>
          </w:tcPr>
          <w:p w:rsidR="00475650" w:rsidRDefault="00475650">
            <w:pPr>
              <w:snapToGrid w:val="0"/>
              <w:spacing w:line="240" w:lineRule="exact"/>
              <w:jc w:val="center"/>
              <w:rPr>
                <w:spacing w:val="-20"/>
                <w:szCs w:val="21"/>
              </w:rPr>
            </w:pPr>
            <w:r>
              <w:rPr>
                <w:spacing w:val="-20"/>
                <w:szCs w:val="21"/>
              </w:rPr>
              <w:t>/</w:t>
            </w:r>
          </w:p>
        </w:tc>
        <w:tc>
          <w:tcPr>
            <w:tcW w:w="1167" w:type="dxa"/>
            <w:vAlign w:val="center"/>
          </w:tcPr>
          <w:p w:rsidR="00475650" w:rsidRDefault="00475650">
            <w:pPr>
              <w:snapToGrid w:val="0"/>
              <w:spacing w:line="240" w:lineRule="exact"/>
              <w:jc w:val="center"/>
              <w:rPr>
                <w:szCs w:val="21"/>
              </w:rPr>
            </w:pPr>
            <w:r>
              <w:rPr>
                <w:rFonts w:hAnsi="宋体"/>
                <w:szCs w:val="21"/>
              </w:rPr>
              <w:t>闪点</w:t>
            </w:r>
            <w:r>
              <w:rPr>
                <w:szCs w:val="21"/>
              </w:rPr>
              <w:t>(</w:t>
            </w:r>
            <w:r>
              <w:rPr>
                <w:rFonts w:hAnsi="宋体"/>
                <w:szCs w:val="21"/>
              </w:rPr>
              <w:t>℃</w:t>
            </w:r>
            <w:r>
              <w:rPr>
                <w:szCs w:val="21"/>
              </w:rPr>
              <w:t>)</w:t>
            </w:r>
          </w:p>
        </w:tc>
        <w:tc>
          <w:tcPr>
            <w:tcW w:w="1485" w:type="dxa"/>
            <w:vAlign w:val="center"/>
          </w:tcPr>
          <w:p w:rsidR="00475650" w:rsidRDefault="00475650">
            <w:pPr>
              <w:snapToGrid w:val="0"/>
              <w:spacing w:line="240" w:lineRule="exact"/>
              <w:jc w:val="center"/>
              <w:rPr>
                <w:szCs w:val="21"/>
              </w:rPr>
            </w:pPr>
            <w:r>
              <w:rPr>
                <w:szCs w:val="21"/>
              </w:rPr>
              <w:t>/</w:t>
            </w:r>
          </w:p>
        </w:tc>
      </w:tr>
      <w:tr w:rsidR="00475650">
        <w:trPr>
          <w:jc w:val="center"/>
        </w:trPr>
        <w:tc>
          <w:tcPr>
            <w:tcW w:w="1174" w:type="dxa"/>
            <w:vMerge/>
            <w:vAlign w:val="center"/>
          </w:tcPr>
          <w:p w:rsidR="00475650" w:rsidRDefault="00475650">
            <w:pPr>
              <w:snapToGrid w:val="0"/>
              <w:spacing w:line="240" w:lineRule="exact"/>
              <w:jc w:val="center"/>
              <w:rPr>
                <w:szCs w:val="21"/>
              </w:rPr>
            </w:pPr>
          </w:p>
        </w:tc>
        <w:tc>
          <w:tcPr>
            <w:tcW w:w="1345" w:type="dxa"/>
            <w:vAlign w:val="center"/>
          </w:tcPr>
          <w:p w:rsidR="00475650" w:rsidRDefault="00475650">
            <w:pPr>
              <w:snapToGrid w:val="0"/>
              <w:spacing w:line="240" w:lineRule="exact"/>
              <w:jc w:val="center"/>
              <w:rPr>
                <w:szCs w:val="21"/>
              </w:rPr>
            </w:pPr>
            <w:r>
              <w:rPr>
                <w:rFonts w:hAnsi="宋体"/>
                <w:szCs w:val="21"/>
              </w:rPr>
              <w:t>溶解性</w:t>
            </w:r>
          </w:p>
        </w:tc>
        <w:tc>
          <w:tcPr>
            <w:tcW w:w="6427" w:type="dxa"/>
            <w:gridSpan w:val="5"/>
            <w:vAlign w:val="center"/>
          </w:tcPr>
          <w:p w:rsidR="00475650" w:rsidRDefault="00475650">
            <w:pPr>
              <w:snapToGrid w:val="0"/>
              <w:spacing w:line="240" w:lineRule="exact"/>
              <w:jc w:val="center"/>
              <w:rPr>
                <w:szCs w:val="21"/>
              </w:rPr>
            </w:pPr>
            <w:r>
              <w:rPr>
                <w:szCs w:val="21"/>
              </w:rPr>
              <w:t>/</w:t>
            </w:r>
          </w:p>
        </w:tc>
      </w:tr>
      <w:tr w:rsidR="00475650">
        <w:trPr>
          <w:jc w:val="center"/>
        </w:trPr>
        <w:tc>
          <w:tcPr>
            <w:tcW w:w="1174" w:type="dxa"/>
            <w:vMerge/>
            <w:vAlign w:val="center"/>
          </w:tcPr>
          <w:p w:rsidR="00475650" w:rsidRDefault="00475650">
            <w:pPr>
              <w:snapToGrid w:val="0"/>
              <w:spacing w:line="240" w:lineRule="exact"/>
              <w:jc w:val="center"/>
              <w:rPr>
                <w:szCs w:val="21"/>
              </w:rPr>
            </w:pPr>
          </w:p>
        </w:tc>
        <w:tc>
          <w:tcPr>
            <w:tcW w:w="1345" w:type="dxa"/>
            <w:vAlign w:val="center"/>
          </w:tcPr>
          <w:p w:rsidR="00475650" w:rsidRDefault="00475650">
            <w:pPr>
              <w:snapToGrid w:val="0"/>
              <w:spacing w:line="240" w:lineRule="exact"/>
              <w:jc w:val="center"/>
              <w:rPr>
                <w:szCs w:val="21"/>
              </w:rPr>
            </w:pPr>
            <w:r>
              <w:rPr>
                <w:rFonts w:hAnsi="宋体"/>
                <w:szCs w:val="21"/>
              </w:rPr>
              <w:t>外观与形状</w:t>
            </w:r>
          </w:p>
        </w:tc>
        <w:tc>
          <w:tcPr>
            <w:tcW w:w="6427" w:type="dxa"/>
            <w:gridSpan w:val="5"/>
            <w:vAlign w:val="center"/>
          </w:tcPr>
          <w:p w:rsidR="00475650" w:rsidRDefault="00475650">
            <w:pPr>
              <w:snapToGrid w:val="0"/>
              <w:spacing w:line="240" w:lineRule="exact"/>
              <w:jc w:val="center"/>
              <w:rPr>
                <w:szCs w:val="21"/>
                <w:shd w:val="clear" w:color="auto" w:fill="FFFFFF"/>
              </w:rPr>
            </w:pPr>
            <w:r>
              <w:rPr>
                <w:rFonts w:hAnsi="宋体"/>
                <w:szCs w:val="21"/>
              </w:rPr>
              <w:t>灰色晶体粉末。</w:t>
            </w:r>
          </w:p>
        </w:tc>
      </w:tr>
      <w:tr w:rsidR="00475650">
        <w:trPr>
          <w:jc w:val="center"/>
        </w:trPr>
        <w:tc>
          <w:tcPr>
            <w:tcW w:w="1174" w:type="dxa"/>
            <w:vAlign w:val="center"/>
          </w:tcPr>
          <w:p w:rsidR="00475650" w:rsidRDefault="00475650">
            <w:pPr>
              <w:snapToGrid w:val="0"/>
              <w:spacing w:line="240" w:lineRule="exact"/>
              <w:jc w:val="center"/>
              <w:rPr>
                <w:szCs w:val="21"/>
              </w:rPr>
            </w:pPr>
            <w:r>
              <w:rPr>
                <w:rFonts w:hAnsi="宋体"/>
                <w:szCs w:val="21"/>
              </w:rPr>
              <w:t>危险性</w:t>
            </w:r>
          </w:p>
        </w:tc>
        <w:tc>
          <w:tcPr>
            <w:tcW w:w="7772" w:type="dxa"/>
            <w:gridSpan w:val="6"/>
          </w:tcPr>
          <w:p w:rsidR="00475650" w:rsidRDefault="00475650">
            <w:pPr>
              <w:snapToGrid w:val="0"/>
              <w:spacing w:line="240" w:lineRule="exact"/>
              <w:jc w:val="center"/>
              <w:rPr>
                <w:szCs w:val="21"/>
              </w:rPr>
            </w:pPr>
            <w:r>
              <w:rPr>
                <w:rFonts w:hAnsi="宋体"/>
                <w:szCs w:val="21"/>
              </w:rPr>
              <w:t>腐蚀性物质</w:t>
            </w:r>
          </w:p>
        </w:tc>
      </w:tr>
      <w:tr w:rsidR="00475650">
        <w:trPr>
          <w:jc w:val="center"/>
        </w:trPr>
        <w:tc>
          <w:tcPr>
            <w:tcW w:w="1174" w:type="dxa"/>
            <w:vAlign w:val="center"/>
          </w:tcPr>
          <w:p w:rsidR="00475650" w:rsidRDefault="00475650">
            <w:pPr>
              <w:snapToGrid w:val="0"/>
              <w:spacing w:line="240" w:lineRule="exact"/>
              <w:jc w:val="center"/>
              <w:rPr>
                <w:szCs w:val="21"/>
              </w:rPr>
            </w:pPr>
            <w:r>
              <w:rPr>
                <w:rFonts w:hAnsi="宋体"/>
                <w:szCs w:val="21"/>
              </w:rPr>
              <w:t>对人体危害</w:t>
            </w:r>
          </w:p>
        </w:tc>
        <w:tc>
          <w:tcPr>
            <w:tcW w:w="7772" w:type="dxa"/>
            <w:gridSpan w:val="6"/>
          </w:tcPr>
          <w:p w:rsidR="00475650" w:rsidRDefault="00475650">
            <w:pPr>
              <w:snapToGrid w:val="0"/>
              <w:spacing w:line="240" w:lineRule="exact"/>
              <w:jc w:val="center"/>
              <w:rPr>
                <w:szCs w:val="21"/>
                <w:shd w:val="clear" w:color="auto" w:fill="FFFFFF"/>
              </w:rPr>
            </w:pPr>
            <w:r>
              <w:rPr>
                <w:rFonts w:hAnsi="宋体"/>
                <w:szCs w:val="21"/>
                <w:shd w:val="clear" w:color="auto" w:fill="FFFFFF"/>
              </w:rPr>
              <w:t>可引起灼伤</w:t>
            </w:r>
          </w:p>
        </w:tc>
      </w:tr>
      <w:tr w:rsidR="00475650">
        <w:trPr>
          <w:jc w:val="center"/>
        </w:trPr>
        <w:tc>
          <w:tcPr>
            <w:tcW w:w="1174" w:type="dxa"/>
            <w:vAlign w:val="center"/>
          </w:tcPr>
          <w:p w:rsidR="00475650" w:rsidRDefault="00475650">
            <w:pPr>
              <w:snapToGrid w:val="0"/>
              <w:spacing w:line="240" w:lineRule="exact"/>
              <w:jc w:val="center"/>
              <w:rPr>
                <w:szCs w:val="21"/>
              </w:rPr>
            </w:pPr>
            <w:r>
              <w:rPr>
                <w:rFonts w:hAnsi="宋体"/>
                <w:szCs w:val="21"/>
              </w:rPr>
              <w:t>安全说明</w:t>
            </w:r>
          </w:p>
        </w:tc>
        <w:tc>
          <w:tcPr>
            <w:tcW w:w="7772" w:type="dxa"/>
            <w:gridSpan w:val="6"/>
          </w:tcPr>
          <w:p w:rsidR="00475650" w:rsidRDefault="00475650">
            <w:pPr>
              <w:snapToGrid w:val="0"/>
              <w:spacing w:line="240" w:lineRule="exact"/>
              <w:rPr>
                <w:szCs w:val="21"/>
                <w:shd w:val="clear" w:color="auto" w:fill="FFFFFF"/>
              </w:rPr>
            </w:pPr>
            <w:r>
              <w:rPr>
                <w:szCs w:val="21"/>
                <w:shd w:val="clear" w:color="auto" w:fill="FFFFFF"/>
              </w:rPr>
              <w:t>S26</w:t>
            </w:r>
            <w:r>
              <w:rPr>
                <w:rFonts w:hAnsi="宋体"/>
                <w:szCs w:val="21"/>
                <w:shd w:val="clear" w:color="auto" w:fill="FFFFFF"/>
              </w:rPr>
              <w:t>：万一接触眼睛，立即用大量水冲洗；</w:t>
            </w:r>
            <w:r>
              <w:rPr>
                <w:szCs w:val="21"/>
              </w:rPr>
              <w:t>S45</w:t>
            </w:r>
            <w:r>
              <w:rPr>
                <w:rFonts w:hAnsi="宋体"/>
                <w:szCs w:val="21"/>
              </w:rPr>
              <w:t>：出现意外或者感到不适，立刻到医生那里寻求帮助（最好带去产品容器标签）；</w:t>
            </w:r>
            <w:r>
              <w:rPr>
                <w:szCs w:val="21"/>
              </w:rPr>
              <w:t>S36/37/39</w:t>
            </w:r>
            <w:r>
              <w:rPr>
                <w:rFonts w:hAnsi="宋体"/>
                <w:szCs w:val="21"/>
              </w:rPr>
              <w:t>：穿戴合适的防护服、手套并使用防护眼镜或者面罩。</w:t>
            </w:r>
          </w:p>
        </w:tc>
      </w:tr>
      <w:tr w:rsidR="00475650">
        <w:trPr>
          <w:jc w:val="center"/>
        </w:trPr>
        <w:tc>
          <w:tcPr>
            <w:tcW w:w="1174" w:type="dxa"/>
            <w:vAlign w:val="center"/>
          </w:tcPr>
          <w:p w:rsidR="00475650" w:rsidRDefault="00475650">
            <w:pPr>
              <w:snapToGrid w:val="0"/>
              <w:spacing w:line="240" w:lineRule="exact"/>
              <w:jc w:val="center"/>
              <w:rPr>
                <w:szCs w:val="21"/>
              </w:rPr>
            </w:pPr>
            <w:r>
              <w:rPr>
                <w:rFonts w:hAnsi="宋体"/>
                <w:szCs w:val="21"/>
              </w:rPr>
              <w:t>燃爆危险</w:t>
            </w:r>
          </w:p>
        </w:tc>
        <w:tc>
          <w:tcPr>
            <w:tcW w:w="7772" w:type="dxa"/>
            <w:gridSpan w:val="6"/>
          </w:tcPr>
          <w:p w:rsidR="00475650" w:rsidRDefault="00475650">
            <w:pPr>
              <w:snapToGrid w:val="0"/>
              <w:spacing w:line="240" w:lineRule="exact"/>
              <w:jc w:val="center"/>
              <w:rPr>
                <w:szCs w:val="21"/>
                <w:shd w:val="clear" w:color="auto" w:fill="FFFFFF"/>
              </w:rPr>
            </w:pPr>
            <w:r>
              <w:rPr>
                <w:rFonts w:hAnsi="宋体"/>
                <w:szCs w:val="21"/>
                <w:shd w:val="clear" w:color="auto" w:fill="FFFFFF"/>
              </w:rPr>
              <w:t>无资料</w:t>
            </w:r>
          </w:p>
        </w:tc>
      </w:tr>
      <w:tr w:rsidR="00475650">
        <w:trPr>
          <w:jc w:val="center"/>
        </w:trPr>
        <w:tc>
          <w:tcPr>
            <w:tcW w:w="1174" w:type="dxa"/>
            <w:vAlign w:val="center"/>
          </w:tcPr>
          <w:p w:rsidR="00475650" w:rsidRDefault="00475650">
            <w:pPr>
              <w:snapToGrid w:val="0"/>
              <w:spacing w:line="240" w:lineRule="exact"/>
              <w:jc w:val="center"/>
              <w:rPr>
                <w:szCs w:val="21"/>
              </w:rPr>
            </w:pPr>
            <w:r>
              <w:rPr>
                <w:rFonts w:hAnsi="宋体"/>
                <w:szCs w:val="21"/>
              </w:rPr>
              <w:t>毒理学</w:t>
            </w:r>
          </w:p>
          <w:p w:rsidR="00475650" w:rsidRDefault="00475650">
            <w:pPr>
              <w:snapToGrid w:val="0"/>
              <w:spacing w:line="240" w:lineRule="exact"/>
              <w:jc w:val="center"/>
              <w:rPr>
                <w:szCs w:val="21"/>
              </w:rPr>
            </w:pPr>
            <w:r>
              <w:rPr>
                <w:rFonts w:hAnsi="宋体"/>
                <w:szCs w:val="21"/>
              </w:rPr>
              <w:t>资料</w:t>
            </w:r>
          </w:p>
        </w:tc>
        <w:tc>
          <w:tcPr>
            <w:tcW w:w="7772" w:type="dxa"/>
            <w:gridSpan w:val="6"/>
          </w:tcPr>
          <w:p w:rsidR="00475650" w:rsidRDefault="00475650">
            <w:pPr>
              <w:snapToGrid w:val="0"/>
              <w:spacing w:line="240" w:lineRule="exact"/>
              <w:jc w:val="center"/>
              <w:rPr>
                <w:szCs w:val="21"/>
              </w:rPr>
            </w:pPr>
            <w:r>
              <w:rPr>
                <w:rFonts w:hAnsi="宋体"/>
                <w:szCs w:val="21"/>
                <w:shd w:val="clear" w:color="auto" w:fill="FFFFFF"/>
              </w:rPr>
              <w:t>无资料</w:t>
            </w:r>
          </w:p>
        </w:tc>
      </w:tr>
      <w:tr w:rsidR="00475650">
        <w:trPr>
          <w:jc w:val="center"/>
        </w:trPr>
        <w:tc>
          <w:tcPr>
            <w:tcW w:w="1174" w:type="dxa"/>
            <w:vAlign w:val="center"/>
          </w:tcPr>
          <w:p w:rsidR="00475650" w:rsidRDefault="00475650">
            <w:pPr>
              <w:snapToGrid w:val="0"/>
              <w:spacing w:line="240" w:lineRule="exact"/>
              <w:jc w:val="center"/>
              <w:rPr>
                <w:szCs w:val="21"/>
              </w:rPr>
            </w:pPr>
            <w:r>
              <w:rPr>
                <w:rFonts w:hAnsi="宋体"/>
                <w:szCs w:val="21"/>
              </w:rPr>
              <w:t>泄漏应急处理措施</w:t>
            </w:r>
          </w:p>
        </w:tc>
        <w:tc>
          <w:tcPr>
            <w:tcW w:w="7772" w:type="dxa"/>
            <w:gridSpan w:val="6"/>
          </w:tcPr>
          <w:p w:rsidR="00475650" w:rsidRDefault="00475650">
            <w:pPr>
              <w:snapToGrid w:val="0"/>
              <w:spacing w:line="240" w:lineRule="exact"/>
              <w:jc w:val="center"/>
              <w:rPr>
                <w:szCs w:val="21"/>
              </w:rPr>
            </w:pPr>
            <w:r>
              <w:rPr>
                <w:rFonts w:hAnsi="宋体"/>
                <w:szCs w:val="21"/>
                <w:shd w:val="clear" w:color="auto" w:fill="FFFFFF"/>
              </w:rPr>
              <w:t>无资料</w:t>
            </w:r>
          </w:p>
        </w:tc>
      </w:tr>
      <w:tr w:rsidR="00475650">
        <w:trPr>
          <w:jc w:val="center"/>
        </w:trPr>
        <w:tc>
          <w:tcPr>
            <w:tcW w:w="1174" w:type="dxa"/>
            <w:vAlign w:val="center"/>
          </w:tcPr>
          <w:p w:rsidR="00475650" w:rsidRDefault="00475650">
            <w:pPr>
              <w:snapToGrid w:val="0"/>
              <w:spacing w:line="240" w:lineRule="exact"/>
              <w:jc w:val="center"/>
              <w:rPr>
                <w:szCs w:val="21"/>
              </w:rPr>
            </w:pPr>
            <w:r>
              <w:rPr>
                <w:rFonts w:hAnsi="宋体"/>
                <w:szCs w:val="21"/>
              </w:rPr>
              <w:t>储运注意</w:t>
            </w:r>
          </w:p>
          <w:p w:rsidR="00475650" w:rsidRDefault="00475650">
            <w:pPr>
              <w:snapToGrid w:val="0"/>
              <w:spacing w:line="240" w:lineRule="exact"/>
              <w:jc w:val="center"/>
              <w:rPr>
                <w:szCs w:val="21"/>
              </w:rPr>
            </w:pPr>
            <w:r>
              <w:rPr>
                <w:rFonts w:hAnsi="宋体"/>
                <w:szCs w:val="21"/>
              </w:rPr>
              <w:t>事项</w:t>
            </w:r>
          </w:p>
        </w:tc>
        <w:tc>
          <w:tcPr>
            <w:tcW w:w="7772" w:type="dxa"/>
            <w:gridSpan w:val="6"/>
          </w:tcPr>
          <w:p w:rsidR="00475650" w:rsidRDefault="00475650">
            <w:pPr>
              <w:snapToGrid w:val="0"/>
              <w:spacing w:line="240" w:lineRule="exact"/>
              <w:jc w:val="center"/>
              <w:rPr>
                <w:szCs w:val="21"/>
              </w:rPr>
            </w:pPr>
            <w:r>
              <w:rPr>
                <w:rFonts w:hAnsi="宋体"/>
                <w:szCs w:val="21"/>
                <w:shd w:val="clear" w:color="auto" w:fill="FFFFFF"/>
              </w:rPr>
              <w:t>密封干燥保存</w:t>
            </w:r>
          </w:p>
        </w:tc>
      </w:tr>
      <w:tr w:rsidR="00475650">
        <w:trPr>
          <w:jc w:val="center"/>
        </w:trPr>
        <w:tc>
          <w:tcPr>
            <w:tcW w:w="1174" w:type="dxa"/>
            <w:vAlign w:val="center"/>
          </w:tcPr>
          <w:p w:rsidR="00475650" w:rsidRDefault="00475650">
            <w:pPr>
              <w:snapToGrid w:val="0"/>
              <w:spacing w:line="240" w:lineRule="exact"/>
              <w:jc w:val="center"/>
              <w:rPr>
                <w:szCs w:val="21"/>
              </w:rPr>
            </w:pPr>
            <w:r>
              <w:rPr>
                <w:rFonts w:hAnsi="宋体"/>
                <w:szCs w:val="21"/>
              </w:rPr>
              <w:t>灭火方法</w:t>
            </w:r>
          </w:p>
        </w:tc>
        <w:tc>
          <w:tcPr>
            <w:tcW w:w="7772" w:type="dxa"/>
            <w:gridSpan w:val="6"/>
          </w:tcPr>
          <w:p w:rsidR="00475650" w:rsidRDefault="00475650">
            <w:pPr>
              <w:snapToGrid w:val="0"/>
              <w:spacing w:line="240" w:lineRule="exact"/>
              <w:rPr>
                <w:szCs w:val="21"/>
                <w:shd w:val="clear" w:color="auto" w:fill="FFFFFF"/>
              </w:rPr>
            </w:pPr>
          </w:p>
        </w:tc>
      </w:tr>
    </w:tbl>
    <w:p w:rsidR="00475650" w:rsidRDefault="00475650">
      <w:pPr>
        <w:pStyle w:val="af4"/>
        <w:snapToGrid w:val="0"/>
        <w:spacing w:line="336" w:lineRule="auto"/>
        <w:ind w:firstLine="480"/>
        <w:rPr>
          <w:rFonts w:hAnsi="宋体"/>
          <w:sz w:val="24"/>
          <w:szCs w:val="24"/>
        </w:rPr>
      </w:pPr>
    </w:p>
    <w:p w:rsidR="00475650" w:rsidRDefault="00475650">
      <w:pPr>
        <w:spacing w:line="360" w:lineRule="auto"/>
        <w:jc w:val="center"/>
        <w:rPr>
          <w:rFonts w:hAnsi="宋体"/>
          <w:sz w:val="24"/>
        </w:rPr>
      </w:pPr>
      <w:r>
        <w:rPr>
          <w:rFonts w:hAnsi="宋体"/>
          <w:sz w:val="24"/>
        </w:rPr>
        <w:t>表</w:t>
      </w:r>
      <w:r>
        <w:rPr>
          <w:sz w:val="24"/>
        </w:rPr>
        <w:t>6.2-1</w:t>
      </w:r>
      <w:r>
        <w:rPr>
          <w:rFonts w:hAnsi="宋体"/>
          <w:sz w:val="24"/>
        </w:rPr>
        <w:t>（</w:t>
      </w:r>
      <w:r>
        <w:rPr>
          <w:rFonts w:hint="eastAsia"/>
          <w:sz w:val="24"/>
        </w:rPr>
        <w:t>10</w:t>
      </w:r>
      <w:r>
        <w:rPr>
          <w:rFonts w:hAnsi="宋体"/>
          <w:sz w:val="24"/>
        </w:rPr>
        <w:t>）</w:t>
      </w:r>
      <w:r>
        <w:rPr>
          <w:rFonts w:hAnsi="宋体" w:hint="eastAsia"/>
          <w:sz w:val="24"/>
        </w:rPr>
        <w:t>1-</w:t>
      </w:r>
      <w:r>
        <w:rPr>
          <w:rFonts w:hAnsi="宋体" w:hint="eastAsia"/>
          <w:sz w:val="24"/>
        </w:rPr>
        <w:t>苯基</w:t>
      </w:r>
      <w:r>
        <w:rPr>
          <w:rFonts w:hAnsi="宋体" w:hint="eastAsia"/>
          <w:sz w:val="24"/>
        </w:rPr>
        <w:t>-3-</w:t>
      </w:r>
      <w:r>
        <w:rPr>
          <w:rFonts w:hAnsi="宋体" w:hint="eastAsia"/>
          <w:sz w:val="24"/>
        </w:rPr>
        <w:t>甲基</w:t>
      </w:r>
      <w:r>
        <w:rPr>
          <w:rFonts w:hAnsi="宋体" w:hint="eastAsia"/>
          <w:sz w:val="24"/>
        </w:rPr>
        <w:t>-5-</w:t>
      </w:r>
      <w:r>
        <w:rPr>
          <w:rFonts w:hAnsi="宋体" w:hint="eastAsia"/>
          <w:sz w:val="24"/>
        </w:rPr>
        <w:t>氨基吡唑</w:t>
      </w:r>
      <w:r>
        <w:rPr>
          <w:rFonts w:hAnsi="宋体"/>
          <w:sz w:val="24"/>
        </w:rPr>
        <w:t>理化性质及毒性数据表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385"/>
        <w:gridCol w:w="1276"/>
        <w:gridCol w:w="1558"/>
        <w:gridCol w:w="1276"/>
        <w:gridCol w:w="912"/>
        <w:gridCol w:w="1356"/>
        <w:gridCol w:w="1183"/>
      </w:tblGrid>
      <w:tr w:rsidR="00475650">
        <w:trPr>
          <w:jc w:val="center"/>
        </w:trPr>
        <w:tc>
          <w:tcPr>
            <w:tcW w:w="1385" w:type="dxa"/>
            <w:vMerge w:val="restart"/>
            <w:vAlign w:val="center"/>
          </w:tcPr>
          <w:p w:rsidR="00475650" w:rsidRDefault="00475650">
            <w:pPr>
              <w:snapToGrid w:val="0"/>
              <w:spacing w:line="240" w:lineRule="exact"/>
              <w:jc w:val="center"/>
              <w:rPr>
                <w:szCs w:val="21"/>
              </w:rPr>
            </w:pPr>
            <w:r>
              <w:rPr>
                <w:szCs w:val="21"/>
              </w:rPr>
              <w:t>品名</w:t>
            </w:r>
          </w:p>
        </w:tc>
        <w:tc>
          <w:tcPr>
            <w:tcW w:w="1276" w:type="dxa"/>
            <w:vMerge w:val="restart"/>
            <w:vAlign w:val="center"/>
          </w:tcPr>
          <w:p w:rsidR="00475650" w:rsidRDefault="00475650">
            <w:pPr>
              <w:snapToGrid w:val="0"/>
              <w:spacing w:line="240" w:lineRule="exact"/>
              <w:jc w:val="center"/>
              <w:rPr>
                <w:szCs w:val="21"/>
              </w:rPr>
            </w:pPr>
            <w:r>
              <w:rPr>
                <w:szCs w:val="21"/>
              </w:rPr>
              <w:t>1-</w:t>
            </w:r>
            <w:r>
              <w:rPr>
                <w:szCs w:val="21"/>
              </w:rPr>
              <w:t>苯基</w:t>
            </w:r>
            <w:r>
              <w:rPr>
                <w:szCs w:val="21"/>
              </w:rPr>
              <w:t>-3-</w:t>
            </w:r>
            <w:r>
              <w:rPr>
                <w:szCs w:val="21"/>
              </w:rPr>
              <w:t>甲基</w:t>
            </w:r>
            <w:r>
              <w:rPr>
                <w:szCs w:val="21"/>
              </w:rPr>
              <w:t>-5-</w:t>
            </w:r>
            <w:r>
              <w:rPr>
                <w:szCs w:val="21"/>
              </w:rPr>
              <w:t>氨基吡唑</w:t>
            </w:r>
          </w:p>
        </w:tc>
        <w:tc>
          <w:tcPr>
            <w:tcW w:w="1558" w:type="dxa"/>
            <w:vAlign w:val="center"/>
          </w:tcPr>
          <w:p w:rsidR="00475650" w:rsidRDefault="00475650">
            <w:pPr>
              <w:snapToGrid w:val="0"/>
              <w:spacing w:line="240" w:lineRule="exact"/>
              <w:jc w:val="center"/>
              <w:rPr>
                <w:szCs w:val="21"/>
              </w:rPr>
            </w:pPr>
            <w:r>
              <w:rPr>
                <w:szCs w:val="21"/>
              </w:rPr>
              <w:t>英文名</w:t>
            </w:r>
          </w:p>
        </w:tc>
        <w:tc>
          <w:tcPr>
            <w:tcW w:w="2188" w:type="dxa"/>
            <w:gridSpan w:val="2"/>
            <w:vAlign w:val="center"/>
          </w:tcPr>
          <w:p w:rsidR="00475650" w:rsidRDefault="00475650">
            <w:pPr>
              <w:snapToGrid w:val="0"/>
              <w:spacing w:line="240" w:lineRule="exact"/>
              <w:jc w:val="center"/>
              <w:rPr>
                <w:szCs w:val="21"/>
              </w:rPr>
            </w:pPr>
            <w:r>
              <w:rPr>
                <w:szCs w:val="21"/>
              </w:rPr>
              <w:t>1-phenyl -3-methyl-5-Aminopyrazole</w:t>
            </w:r>
          </w:p>
        </w:tc>
        <w:tc>
          <w:tcPr>
            <w:tcW w:w="1356" w:type="dxa"/>
            <w:vAlign w:val="center"/>
          </w:tcPr>
          <w:p w:rsidR="00475650" w:rsidRDefault="00475650">
            <w:pPr>
              <w:snapToGrid w:val="0"/>
              <w:spacing w:line="240" w:lineRule="exact"/>
              <w:jc w:val="center"/>
              <w:rPr>
                <w:szCs w:val="21"/>
              </w:rPr>
            </w:pPr>
            <w:r>
              <w:rPr>
                <w:szCs w:val="21"/>
              </w:rPr>
              <w:t>UN</w:t>
            </w:r>
            <w:r>
              <w:rPr>
                <w:szCs w:val="21"/>
              </w:rPr>
              <w:t>编号</w:t>
            </w:r>
          </w:p>
        </w:tc>
        <w:tc>
          <w:tcPr>
            <w:tcW w:w="1183" w:type="dxa"/>
            <w:vAlign w:val="center"/>
          </w:tcPr>
          <w:p w:rsidR="00475650" w:rsidRDefault="00475650">
            <w:pPr>
              <w:snapToGrid w:val="0"/>
              <w:spacing w:line="240" w:lineRule="exact"/>
              <w:jc w:val="center"/>
              <w:rPr>
                <w:szCs w:val="21"/>
              </w:rPr>
            </w:pPr>
            <w:r>
              <w:rPr>
                <w:szCs w:val="21"/>
              </w:rPr>
              <w:t>/</w:t>
            </w:r>
          </w:p>
        </w:tc>
      </w:tr>
      <w:tr w:rsidR="00475650">
        <w:trPr>
          <w:jc w:val="center"/>
        </w:trPr>
        <w:tc>
          <w:tcPr>
            <w:tcW w:w="1385" w:type="dxa"/>
            <w:vMerge/>
            <w:vAlign w:val="center"/>
          </w:tcPr>
          <w:p w:rsidR="00475650" w:rsidRDefault="00475650">
            <w:pPr>
              <w:snapToGrid w:val="0"/>
              <w:spacing w:line="240" w:lineRule="exact"/>
              <w:jc w:val="center"/>
              <w:rPr>
                <w:szCs w:val="21"/>
              </w:rPr>
            </w:pPr>
          </w:p>
        </w:tc>
        <w:tc>
          <w:tcPr>
            <w:tcW w:w="1276" w:type="dxa"/>
            <w:vMerge/>
            <w:vAlign w:val="center"/>
          </w:tcPr>
          <w:p w:rsidR="00475650" w:rsidRDefault="00475650">
            <w:pPr>
              <w:snapToGrid w:val="0"/>
              <w:spacing w:line="240" w:lineRule="exact"/>
              <w:jc w:val="center"/>
              <w:rPr>
                <w:szCs w:val="21"/>
              </w:rPr>
            </w:pPr>
          </w:p>
        </w:tc>
        <w:tc>
          <w:tcPr>
            <w:tcW w:w="1558" w:type="dxa"/>
            <w:vAlign w:val="center"/>
          </w:tcPr>
          <w:p w:rsidR="00475650" w:rsidRDefault="00475650">
            <w:pPr>
              <w:snapToGrid w:val="0"/>
              <w:spacing w:line="240" w:lineRule="exact"/>
              <w:jc w:val="center"/>
              <w:rPr>
                <w:szCs w:val="21"/>
              </w:rPr>
            </w:pPr>
            <w:r>
              <w:rPr>
                <w:szCs w:val="21"/>
              </w:rPr>
              <w:t>危险货物编号</w:t>
            </w:r>
          </w:p>
        </w:tc>
        <w:tc>
          <w:tcPr>
            <w:tcW w:w="2188" w:type="dxa"/>
            <w:gridSpan w:val="2"/>
            <w:vAlign w:val="center"/>
          </w:tcPr>
          <w:p w:rsidR="00475650" w:rsidRDefault="00475650">
            <w:pPr>
              <w:snapToGrid w:val="0"/>
              <w:spacing w:line="240" w:lineRule="exact"/>
              <w:jc w:val="center"/>
              <w:rPr>
                <w:szCs w:val="21"/>
              </w:rPr>
            </w:pPr>
            <w:r>
              <w:rPr>
                <w:szCs w:val="21"/>
              </w:rPr>
              <w:t>/</w:t>
            </w:r>
          </w:p>
        </w:tc>
        <w:tc>
          <w:tcPr>
            <w:tcW w:w="1356" w:type="dxa"/>
            <w:vAlign w:val="center"/>
          </w:tcPr>
          <w:p w:rsidR="00475650" w:rsidRDefault="00475650">
            <w:pPr>
              <w:snapToGrid w:val="0"/>
              <w:spacing w:line="240" w:lineRule="exact"/>
              <w:jc w:val="center"/>
              <w:rPr>
                <w:szCs w:val="21"/>
              </w:rPr>
            </w:pPr>
            <w:r>
              <w:rPr>
                <w:szCs w:val="21"/>
              </w:rPr>
              <w:t>CAS</w:t>
            </w:r>
            <w:r>
              <w:rPr>
                <w:szCs w:val="21"/>
              </w:rPr>
              <w:t>号</w:t>
            </w:r>
          </w:p>
        </w:tc>
        <w:tc>
          <w:tcPr>
            <w:tcW w:w="1183" w:type="dxa"/>
            <w:vAlign w:val="center"/>
          </w:tcPr>
          <w:p w:rsidR="00475650" w:rsidRDefault="00475650">
            <w:pPr>
              <w:snapToGrid w:val="0"/>
              <w:spacing w:line="240" w:lineRule="exact"/>
              <w:jc w:val="center"/>
              <w:rPr>
                <w:szCs w:val="21"/>
              </w:rPr>
            </w:pPr>
            <w:r>
              <w:rPr>
                <w:szCs w:val="21"/>
              </w:rPr>
              <w:t>1131-18-6</w:t>
            </w:r>
          </w:p>
        </w:tc>
      </w:tr>
      <w:tr w:rsidR="00475650">
        <w:trPr>
          <w:jc w:val="center"/>
        </w:trPr>
        <w:tc>
          <w:tcPr>
            <w:tcW w:w="1385" w:type="dxa"/>
            <w:vMerge w:val="restart"/>
            <w:vAlign w:val="center"/>
          </w:tcPr>
          <w:p w:rsidR="00475650" w:rsidRDefault="00475650">
            <w:pPr>
              <w:snapToGrid w:val="0"/>
              <w:spacing w:line="240" w:lineRule="exact"/>
              <w:jc w:val="center"/>
              <w:rPr>
                <w:szCs w:val="21"/>
              </w:rPr>
            </w:pPr>
            <w:r>
              <w:rPr>
                <w:szCs w:val="21"/>
              </w:rPr>
              <w:t>理化性质</w:t>
            </w:r>
          </w:p>
        </w:tc>
        <w:tc>
          <w:tcPr>
            <w:tcW w:w="1276" w:type="dxa"/>
            <w:vAlign w:val="center"/>
          </w:tcPr>
          <w:p w:rsidR="00475650" w:rsidRDefault="00475650">
            <w:pPr>
              <w:snapToGrid w:val="0"/>
              <w:spacing w:line="240" w:lineRule="exact"/>
              <w:jc w:val="center"/>
              <w:rPr>
                <w:szCs w:val="21"/>
              </w:rPr>
            </w:pPr>
            <w:r>
              <w:rPr>
                <w:szCs w:val="21"/>
              </w:rPr>
              <w:t>分子式</w:t>
            </w:r>
          </w:p>
        </w:tc>
        <w:tc>
          <w:tcPr>
            <w:tcW w:w="1558" w:type="dxa"/>
            <w:vAlign w:val="center"/>
          </w:tcPr>
          <w:p w:rsidR="00475650" w:rsidRDefault="00475650">
            <w:pPr>
              <w:snapToGrid w:val="0"/>
              <w:spacing w:line="240" w:lineRule="exact"/>
              <w:jc w:val="center"/>
              <w:rPr>
                <w:szCs w:val="21"/>
              </w:rPr>
            </w:pPr>
            <w:r>
              <w:rPr>
                <w:szCs w:val="21"/>
              </w:rPr>
              <w:t>C10H11N3</w:t>
            </w:r>
          </w:p>
        </w:tc>
        <w:tc>
          <w:tcPr>
            <w:tcW w:w="1276" w:type="dxa"/>
            <w:vAlign w:val="center"/>
          </w:tcPr>
          <w:p w:rsidR="00475650" w:rsidRDefault="00475650">
            <w:pPr>
              <w:snapToGrid w:val="0"/>
              <w:spacing w:line="240" w:lineRule="exact"/>
              <w:jc w:val="center"/>
              <w:rPr>
                <w:szCs w:val="21"/>
              </w:rPr>
            </w:pPr>
            <w:r>
              <w:rPr>
                <w:szCs w:val="21"/>
              </w:rPr>
              <w:t>分子量</w:t>
            </w:r>
          </w:p>
        </w:tc>
        <w:tc>
          <w:tcPr>
            <w:tcW w:w="912" w:type="dxa"/>
            <w:vAlign w:val="center"/>
          </w:tcPr>
          <w:p w:rsidR="00475650" w:rsidRDefault="00475650">
            <w:pPr>
              <w:snapToGrid w:val="0"/>
              <w:spacing w:line="240" w:lineRule="exact"/>
              <w:jc w:val="center"/>
              <w:rPr>
                <w:szCs w:val="21"/>
              </w:rPr>
            </w:pPr>
            <w:r>
              <w:rPr>
                <w:szCs w:val="21"/>
              </w:rPr>
              <w:t>173.21</w:t>
            </w:r>
          </w:p>
        </w:tc>
        <w:tc>
          <w:tcPr>
            <w:tcW w:w="1356" w:type="dxa"/>
            <w:vAlign w:val="center"/>
          </w:tcPr>
          <w:p w:rsidR="00475650" w:rsidRDefault="00475650">
            <w:pPr>
              <w:snapToGrid w:val="0"/>
              <w:spacing w:line="240" w:lineRule="exact"/>
              <w:jc w:val="center"/>
              <w:rPr>
                <w:szCs w:val="21"/>
              </w:rPr>
            </w:pPr>
            <w:r>
              <w:rPr>
                <w:szCs w:val="21"/>
              </w:rPr>
              <w:t>熔点</w:t>
            </w:r>
            <w:r>
              <w:rPr>
                <w:szCs w:val="21"/>
              </w:rPr>
              <w:t>/</w:t>
            </w:r>
            <w:r>
              <w:rPr>
                <w:rFonts w:hAnsi="宋体"/>
                <w:szCs w:val="21"/>
              </w:rPr>
              <w:t>℃</w:t>
            </w:r>
          </w:p>
        </w:tc>
        <w:tc>
          <w:tcPr>
            <w:tcW w:w="1183" w:type="dxa"/>
            <w:vAlign w:val="center"/>
          </w:tcPr>
          <w:p w:rsidR="00475650" w:rsidRDefault="00475650">
            <w:pPr>
              <w:snapToGrid w:val="0"/>
              <w:spacing w:line="240" w:lineRule="exact"/>
              <w:jc w:val="center"/>
              <w:rPr>
                <w:szCs w:val="21"/>
              </w:rPr>
            </w:pPr>
            <w:r>
              <w:rPr>
                <w:szCs w:val="21"/>
              </w:rPr>
              <w:t>114-117℃</w:t>
            </w:r>
          </w:p>
        </w:tc>
      </w:tr>
      <w:tr w:rsidR="00475650">
        <w:trPr>
          <w:jc w:val="center"/>
        </w:trPr>
        <w:tc>
          <w:tcPr>
            <w:tcW w:w="1385" w:type="dxa"/>
            <w:vMerge/>
            <w:vAlign w:val="center"/>
          </w:tcPr>
          <w:p w:rsidR="00475650" w:rsidRDefault="00475650">
            <w:pPr>
              <w:snapToGrid w:val="0"/>
              <w:spacing w:line="240" w:lineRule="exact"/>
              <w:jc w:val="center"/>
              <w:rPr>
                <w:szCs w:val="21"/>
              </w:rPr>
            </w:pPr>
          </w:p>
        </w:tc>
        <w:tc>
          <w:tcPr>
            <w:tcW w:w="1276" w:type="dxa"/>
            <w:vAlign w:val="center"/>
          </w:tcPr>
          <w:p w:rsidR="00475650" w:rsidRDefault="00475650">
            <w:pPr>
              <w:snapToGrid w:val="0"/>
              <w:spacing w:line="240" w:lineRule="exact"/>
              <w:jc w:val="center"/>
              <w:rPr>
                <w:szCs w:val="21"/>
              </w:rPr>
            </w:pPr>
            <w:r>
              <w:rPr>
                <w:szCs w:val="21"/>
              </w:rPr>
              <w:t>沸点</w:t>
            </w:r>
            <w:r>
              <w:rPr>
                <w:szCs w:val="21"/>
              </w:rPr>
              <w:t>/</w:t>
            </w:r>
            <w:r>
              <w:rPr>
                <w:rFonts w:hAnsi="宋体"/>
                <w:szCs w:val="21"/>
              </w:rPr>
              <w:t>℃</w:t>
            </w:r>
          </w:p>
        </w:tc>
        <w:tc>
          <w:tcPr>
            <w:tcW w:w="1558" w:type="dxa"/>
            <w:vAlign w:val="center"/>
          </w:tcPr>
          <w:p w:rsidR="00475650" w:rsidRDefault="00475650">
            <w:pPr>
              <w:snapToGrid w:val="0"/>
              <w:spacing w:line="240" w:lineRule="exact"/>
              <w:jc w:val="center"/>
              <w:rPr>
                <w:szCs w:val="21"/>
              </w:rPr>
            </w:pPr>
            <w:r>
              <w:rPr>
                <w:szCs w:val="21"/>
              </w:rPr>
              <w:t>333℃ at 760 mmHg</w:t>
            </w:r>
          </w:p>
        </w:tc>
        <w:tc>
          <w:tcPr>
            <w:tcW w:w="1276" w:type="dxa"/>
            <w:vAlign w:val="center"/>
          </w:tcPr>
          <w:p w:rsidR="00475650" w:rsidRDefault="00475650">
            <w:pPr>
              <w:snapToGrid w:val="0"/>
              <w:spacing w:line="240" w:lineRule="exact"/>
              <w:jc w:val="center"/>
              <w:rPr>
                <w:szCs w:val="21"/>
              </w:rPr>
            </w:pPr>
            <w:r>
              <w:rPr>
                <w:szCs w:val="21"/>
              </w:rPr>
              <w:t>相对密度</w:t>
            </w:r>
            <w:r>
              <w:rPr>
                <w:szCs w:val="21"/>
              </w:rPr>
              <w:t>(</w:t>
            </w:r>
            <w:r>
              <w:rPr>
                <w:szCs w:val="21"/>
              </w:rPr>
              <w:t>水</w:t>
            </w:r>
            <w:r>
              <w:rPr>
                <w:szCs w:val="21"/>
              </w:rPr>
              <w:t>=1)</w:t>
            </w:r>
          </w:p>
        </w:tc>
        <w:tc>
          <w:tcPr>
            <w:tcW w:w="912" w:type="dxa"/>
            <w:vAlign w:val="center"/>
          </w:tcPr>
          <w:p w:rsidR="00475650" w:rsidRDefault="00475650">
            <w:pPr>
              <w:snapToGrid w:val="0"/>
              <w:spacing w:line="240" w:lineRule="exact"/>
              <w:jc w:val="center"/>
              <w:rPr>
                <w:szCs w:val="21"/>
              </w:rPr>
            </w:pPr>
            <w:r>
              <w:rPr>
                <w:szCs w:val="21"/>
              </w:rPr>
              <w:t>1.17g/cm3</w:t>
            </w:r>
          </w:p>
        </w:tc>
        <w:tc>
          <w:tcPr>
            <w:tcW w:w="1356" w:type="dxa"/>
            <w:vAlign w:val="center"/>
          </w:tcPr>
          <w:p w:rsidR="00475650" w:rsidRDefault="00475650">
            <w:pPr>
              <w:snapToGrid w:val="0"/>
              <w:spacing w:line="240" w:lineRule="exact"/>
              <w:jc w:val="center"/>
              <w:rPr>
                <w:szCs w:val="21"/>
              </w:rPr>
            </w:pPr>
            <w:r>
              <w:rPr>
                <w:szCs w:val="21"/>
              </w:rPr>
              <w:t>相对蒸汽密度</w:t>
            </w:r>
            <w:r>
              <w:rPr>
                <w:szCs w:val="21"/>
              </w:rPr>
              <w:t>(</w:t>
            </w:r>
            <w:r>
              <w:rPr>
                <w:szCs w:val="21"/>
              </w:rPr>
              <w:t>空气</w:t>
            </w:r>
            <w:r>
              <w:rPr>
                <w:szCs w:val="21"/>
              </w:rPr>
              <w:t>=1)</w:t>
            </w:r>
          </w:p>
        </w:tc>
        <w:tc>
          <w:tcPr>
            <w:tcW w:w="1183" w:type="dxa"/>
            <w:vAlign w:val="center"/>
          </w:tcPr>
          <w:p w:rsidR="00475650" w:rsidRDefault="00475650">
            <w:pPr>
              <w:snapToGrid w:val="0"/>
              <w:spacing w:line="240" w:lineRule="exact"/>
              <w:jc w:val="center"/>
              <w:rPr>
                <w:szCs w:val="21"/>
              </w:rPr>
            </w:pPr>
            <w:r>
              <w:rPr>
                <w:szCs w:val="21"/>
              </w:rPr>
              <w:t>/</w:t>
            </w:r>
          </w:p>
        </w:tc>
      </w:tr>
      <w:tr w:rsidR="00475650">
        <w:trPr>
          <w:jc w:val="center"/>
        </w:trPr>
        <w:tc>
          <w:tcPr>
            <w:tcW w:w="1385" w:type="dxa"/>
            <w:vMerge/>
            <w:vAlign w:val="center"/>
          </w:tcPr>
          <w:p w:rsidR="00475650" w:rsidRDefault="00475650">
            <w:pPr>
              <w:snapToGrid w:val="0"/>
              <w:spacing w:line="240" w:lineRule="exact"/>
              <w:jc w:val="center"/>
              <w:rPr>
                <w:szCs w:val="21"/>
              </w:rPr>
            </w:pPr>
          </w:p>
        </w:tc>
        <w:tc>
          <w:tcPr>
            <w:tcW w:w="1276" w:type="dxa"/>
            <w:vAlign w:val="center"/>
          </w:tcPr>
          <w:p w:rsidR="00475650" w:rsidRDefault="00475650">
            <w:pPr>
              <w:snapToGrid w:val="0"/>
              <w:spacing w:line="240" w:lineRule="exact"/>
              <w:jc w:val="center"/>
              <w:rPr>
                <w:szCs w:val="21"/>
              </w:rPr>
            </w:pPr>
            <w:r>
              <w:rPr>
                <w:szCs w:val="21"/>
              </w:rPr>
              <w:t>饱和蒸汽压</w:t>
            </w:r>
            <w:r>
              <w:rPr>
                <w:szCs w:val="21"/>
              </w:rPr>
              <w:t>/Kpa</w:t>
            </w:r>
          </w:p>
        </w:tc>
        <w:tc>
          <w:tcPr>
            <w:tcW w:w="1558" w:type="dxa"/>
            <w:vAlign w:val="center"/>
          </w:tcPr>
          <w:p w:rsidR="00475650" w:rsidRDefault="00475650">
            <w:pPr>
              <w:widowControl/>
              <w:shd w:val="clear" w:color="auto" w:fill="F5F9FF"/>
              <w:spacing w:line="350" w:lineRule="atLeast"/>
              <w:jc w:val="left"/>
              <w:rPr>
                <w:szCs w:val="21"/>
              </w:rPr>
            </w:pPr>
            <w:r>
              <w:rPr>
                <w:szCs w:val="21"/>
              </w:rPr>
              <w:t>0.000141mmHg at 25°C</w:t>
            </w:r>
          </w:p>
        </w:tc>
        <w:tc>
          <w:tcPr>
            <w:tcW w:w="1276" w:type="dxa"/>
            <w:vAlign w:val="center"/>
          </w:tcPr>
          <w:p w:rsidR="00475650" w:rsidRDefault="00475650">
            <w:pPr>
              <w:snapToGrid w:val="0"/>
              <w:spacing w:line="240" w:lineRule="exact"/>
              <w:jc w:val="center"/>
              <w:rPr>
                <w:szCs w:val="21"/>
              </w:rPr>
            </w:pPr>
            <w:r>
              <w:rPr>
                <w:szCs w:val="21"/>
              </w:rPr>
              <w:t>燃烧热（</w:t>
            </w:r>
            <w:r>
              <w:rPr>
                <w:szCs w:val="21"/>
              </w:rPr>
              <w:t>KJ/mol</w:t>
            </w:r>
            <w:r>
              <w:rPr>
                <w:szCs w:val="21"/>
              </w:rPr>
              <w:t>）</w:t>
            </w:r>
          </w:p>
        </w:tc>
        <w:tc>
          <w:tcPr>
            <w:tcW w:w="912" w:type="dxa"/>
            <w:vAlign w:val="center"/>
          </w:tcPr>
          <w:p w:rsidR="00475650" w:rsidRDefault="00475650">
            <w:pPr>
              <w:snapToGrid w:val="0"/>
              <w:spacing w:line="240" w:lineRule="exact"/>
              <w:jc w:val="center"/>
              <w:rPr>
                <w:szCs w:val="21"/>
              </w:rPr>
            </w:pPr>
            <w:r>
              <w:rPr>
                <w:szCs w:val="21"/>
              </w:rPr>
              <w:t>/</w:t>
            </w:r>
          </w:p>
        </w:tc>
        <w:tc>
          <w:tcPr>
            <w:tcW w:w="1356" w:type="dxa"/>
            <w:vAlign w:val="center"/>
          </w:tcPr>
          <w:p w:rsidR="00475650" w:rsidRDefault="00475650">
            <w:pPr>
              <w:snapToGrid w:val="0"/>
              <w:spacing w:line="240" w:lineRule="exact"/>
              <w:jc w:val="center"/>
              <w:rPr>
                <w:szCs w:val="21"/>
              </w:rPr>
            </w:pPr>
            <w:r>
              <w:rPr>
                <w:szCs w:val="21"/>
              </w:rPr>
              <w:t>闪点</w:t>
            </w:r>
            <w:r>
              <w:rPr>
                <w:szCs w:val="21"/>
              </w:rPr>
              <w:t>(</w:t>
            </w:r>
            <w:r>
              <w:rPr>
                <w:rFonts w:hAnsi="宋体"/>
                <w:szCs w:val="21"/>
              </w:rPr>
              <w:t>℃</w:t>
            </w:r>
            <w:r>
              <w:rPr>
                <w:szCs w:val="21"/>
              </w:rPr>
              <w:t>)</w:t>
            </w:r>
          </w:p>
        </w:tc>
        <w:tc>
          <w:tcPr>
            <w:tcW w:w="1183" w:type="dxa"/>
            <w:vAlign w:val="center"/>
          </w:tcPr>
          <w:p w:rsidR="00475650" w:rsidRDefault="00475650">
            <w:pPr>
              <w:widowControl/>
              <w:shd w:val="clear" w:color="auto" w:fill="F5F9FF"/>
              <w:spacing w:line="350" w:lineRule="atLeast"/>
              <w:jc w:val="left"/>
              <w:rPr>
                <w:szCs w:val="21"/>
              </w:rPr>
            </w:pPr>
            <w:r>
              <w:rPr>
                <w:szCs w:val="21"/>
              </w:rPr>
              <w:t>155.2°C</w:t>
            </w:r>
          </w:p>
          <w:p w:rsidR="00475650" w:rsidRDefault="00475650">
            <w:pPr>
              <w:snapToGrid w:val="0"/>
              <w:spacing w:line="240" w:lineRule="exact"/>
              <w:jc w:val="center"/>
              <w:rPr>
                <w:szCs w:val="21"/>
              </w:rPr>
            </w:pPr>
          </w:p>
        </w:tc>
      </w:tr>
      <w:tr w:rsidR="00475650">
        <w:trPr>
          <w:jc w:val="center"/>
        </w:trPr>
        <w:tc>
          <w:tcPr>
            <w:tcW w:w="1385" w:type="dxa"/>
            <w:vMerge/>
            <w:vAlign w:val="center"/>
          </w:tcPr>
          <w:p w:rsidR="00475650" w:rsidRDefault="00475650">
            <w:pPr>
              <w:snapToGrid w:val="0"/>
              <w:spacing w:line="240" w:lineRule="exact"/>
              <w:jc w:val="center"/>
              <w:rPr>
                <w:szCs w:val="21"/>
              </w:rPr>
            </w:pPr>
          </w:p>
        </w:tc>
        <w:tc>
          <w:tcPr>
            <w:tcW w:w="1276" w:type="dxa"/>
            <w:vAlign w:val="center"/>
          </w:tcPr>
          <w:p w:rsidR="00475650" w:rsidRDefault="00475650">
            <w:pPr>
              <w:snapToGrid w:val="0"/>
              <w:spacing w:line="240" w:lineRule="exact"/>
              <w:jc w:val="center"/>
              <w:rPr>
                <w:szCs w:val="21"/>
              </w:rPr>
            </w:pPr>
            <w:r>
              <w:rPr>
                <w:rFonts w:hAnsi="宋体"/>
                <w:szCs w:val="21"/>
              </w:rPr>
              <w:t>溶解性</w:t>
            </w:r>
          </w:p>
        </w:tc>
        <w:tc>
          <w:tcPr>
            <w:tcW w:w="6285" w:type="dxa"/>
            <w:gridSpan w:val="5"/>
            <w:vAlign w:val="center"/>
          </w:tcPr>
          <w:p w:rsidR="00475650" w:rsidRDefault="00475650">
            <w:pPr>
              <w:snapToGrid w:val="0"/>
              <w:spacing w:line="240" w:lineRule="exact"/>
              <w:jc w:val="center"/>
              <w:rPr>
                <w:szCs w:val="21"/>
              </w:rPr>
            </w:pPr>
            <w:r>
              <w:rPr>
                <w:szCs w:val="21"/>
              </w:rPr>
              <w:t>/</w:t>
            </w:r>
          </w:p>
        </w:tc>
      </w:tr>
      <w:tr w:rsidR="00475650">
        <w:trPr>
          <w:jc w:val="center"/>
        </w:trPr>
        <w:tc>
          <w:tcPr>
            <w:tcW w:w="1385" w:type="dxa"/>
            <w:vMerge/>
            <w:vAlign w:val="center"/>
          </w:tcPr>
          <w:p w:rsidR="00475650" w:rsidRDefault="00475650">
            <w:pPr>
              <w:snapToGrid w:val="0"/>
              <w:spacing w:line="240" w:lineRule="exact"/>
              <w:jc w:val="center"/>
              <w:rPr>
                <w:szCs w:val="21"/>
              </w:rPr>
            </w:pPr>
          </w:p>
        </w:tc>
        <w:tc>
          <w:tcPr>
            <w:tcW w:w="1276" w:type="dxa"/>
            <w:vAlign w:val="center"/>
          </w:tcPr>
          <w:p w:rsidR="00475650" w:rsidRDefault="00475650">
            <w:pPr>
              <w:snapToGrid w:val="0"/>
              <w:spacing w:line="240" w:lineRule="exact"/>
              <w:jc w:val="center"/>
              <w:rPr>
                <w:rFonts w:hAnsi="宋体"/>
                <w:szCs w:val="21"/>
              </w:rPr>
            </w:pPr>
            <w:r>
              <w:rPr>
                <w:rFonts w:hAnsi="宋体" w:hint="eastAsia"/>
                <w:szCs w:val="21"/>
              </w:rPr>
              <w:t>外观</w:t>
            </w:r>
          </w:p>
        </w:tc>
        <w:tc>
          <w:tcPr>
            <w:tcW w:w="6285" w:type="dxa"/>
            <w:gridSpan w:val="5"/>
            <w:vAlign w:val="center"/>
          </w:tcPr>
          <w:p w:rsidR="00475650" w:rsidRDefault="00475650">
            <w:pPr>
              <w:snapToGrid w:val="0"/>
              <w:spacing w:line="240" w:lineRule="exact"/>
              <w:jc w:val="center"/>
              <w:rPr>
                <w:szCs w:val="21"/>
              </w:rPr>
            </w:pPr>
            <w:r>
              <w:rPr>
                <w:rFonts w:hint="eastAsia"/>
                <w:szCs w:val="21"/>
              </w:rPr>
              <w:t>棕色粉末</w:t>
            </w:r>
          </w:p>
        </w:tc>
      </w:tr>
      <w:tr w:rsidR="00475650">
        <w:trPr>
          <w:jc w:val="center"/>
        </w:trPr>
        <w:tc>
          <w:tcPr>
            <w:tcW w:w="1385" w:type="dxa"/>
            <w:vAlign w:val="center"/>
          </w:tcPr>
          <w:p w:rsidR="00475650" w:rsidRDefault="00475650">
            <w:pPr>
              <w:snapToGrid w:val="0"/>
              <w:spacing w:line="240" w:lineRule="exact"/>
              <w:jc w:val="center"/>
              <w:rPr>
                <w:szCs w:val="21"/>
              </w:rPr>
            </w:pPr>
            <w:r>
              <w:rPr>
                <w:rFonts w:hAnsi="宋体"/>
                <w:szCs w:val="21"/>
              </w:rPr>
              <w:t>危险性</w:t>
            </w:r>
          </w:p>
        </w:tc>
        <w:tc>
          <w:tcPr>
            <w:tcW w:w="7561" w:type="dxa"/>
            <w:gridSpan w:val="6"/>
          </w:tcPr>
          <w:p w:rsidR="00475650" w:rsidRDefault="00475650">
            <w:pPr>
              <w:snapToGrid w:val="0"/>
              <w:spacing w:line="240" w:lineRule="exact"/>
              <w:jc w:val="center"/>
              <w:rPr>
                <w:szCs w:val="21"/>
              </w:rPr>
            </w:pPr>
            <w:r>
              <w:rPr>
                <w:rFonts w:hint="eastAsia"/>
                <w:szCs w:val="21"/>
              </w:rPr>
              <w:t>无资料</w:t>
            </w:r>
          </w:p>
        </w:tc>
      </w:tr>
      <w:tr w:rsidR="00475650">
        <w:trPr>
          <w:jc w:val="center"/>
        </w:trPr>
        <w:tc>
          <w:tcPr>
            <w:tcW w:w="1385" w:type="dxa"/>
            <w:vAlign w:val="center"/>
          </w:tcPr>
          <w:p w:rsidR="00475650" w:rsidRDefault="00475650">
            <w:pPr>
              <w:snapToGrid w:val="0"/>
              <w:spacing w:line="240" w:lineRule="exact"/>
              <w:jc w:val="center"/>
              <w:rPr>
                <w:szCs w:val="21"/>
              </w:rPr>
            </w:pPr>
            <w:r>
              <w:rPr>
                <w:rFonts w:hAnsi="宋体"/>
                <w:szCs w:val="21"/>
              </w:rPr>
              <w:t>对人体危害</w:t>
            </w:r>
          </w:p>
        </w:tc>
        <w:tc>
          <w:tcPr>
            <w:tcW w:w="7561" w:type="dxa"/>
            <w:gridSpan w:val="6"/>
          </w:tcPr>
          <w:p w:rsidR="00475650" w:rsidRDefault="00475650">
            <w:pPr>
              <w:snapToGrid w:val="0"/>
              <w:spacing w:line="240" w:lineRule="exact"/>
              <w:jc w:val="center"/>
              <w:rPr>
                <w:szCs w:val="21"/>
                <w:shd w:val="clear" w:color="auto" w:fill="FFFFFF"/>
              </w:rPr>
            </w:pPr>
            <w:r>
              <w:rPr>
                <w:rFonts w:hint="eastAsia"/>
                <w:szCs w:val="21"/>
                <w:shd w:val="clear" w:color="auto" w:fill="FFFFFF"/>
              </w:rPr>
              <w:t>无资料</w:t>
            </w:r>
          </w:p>
        </w:tc>
      </w:tr>
      <w:tr w:rsidR="00475650">
        <w:trPr>
          <w:jc w:val="center"/>
        </w:trPr>
        <w:tc>
          <w:tcPr>
            <w:tcW w:w="1385" w:type="dxa"/>
            <w:vAlign w:val="center"/>
          </w:tcPr>
          <w:p w:rsidR="00475650" w:rsidRDefault="00475650">
            <w:pPr>
              <w:snapToGrid w:val="0"/>
              <w:spacing w:line="240" w:lineRule="exact"/>
              <w:jc w:val="center"/>
              <w:rPr>
                <w:szCs w:val="21"/>
              </w:rPr>
            </w:pPr>
            <w:r>
              <w:rPr>
                <w:rFonts w:hAnsi="宋体"/>
                <w:szCs w:val="21"/>
              </w:rPr>
              <w:t>安全说明</w:t>
            </w:r>
          </w:p>
        </w:tc>
        <w:tc>
          <w:tcPr>
            <w:tcW w:w="7561" w:type="dxa"/>
            <w:gridSpan w:val="6"/>
          </w:tcPr>
          <w:p w:rsidR="00475650" w:rsidRDefault="00475650">
            <w:pPr>
              <w:snapToGrid w:val="0"/>
              <w:spacing w:line="240" w:lineRule="exact"/>
              <w:ind w:firstLineChars="1650" w:firstLine="3465"/>
              <w:rPr>
                <w:szCs w:val="21"/>
                <w:shd w:val="clear" w:color="auto" w:fill="FFFFFF"/>
              </w:rPr>
            </w:pPr>
            <w:r>
              <w:rPr>
                <w:rFonts w:hAnsi="宋体"/>
                <w:szCs w:val="21"/>
                <w:shd w:val="clear" w:color="auto" w:fill="FFFFFF"/>
              </w:rPr>
              <w:t>无资料</w:t>
            </w:r>
          </w:p>
        </w:tc>
      </w:tr>
      <w:tr w:rsidR="00475650">
        <w:trPr>
          <w:jc w:val="center"/>
        </w:trPr>
        <w:tc>
          <w:tcPr>
            <w:tcW w:w="1385" w:type="dxa"/>
            <w:vAlign w:val="center"/>
          </w:tcPr>
          <w:p w:rsidR="00475650" w:rsidRDefault="00475650">
            <w:pPr>
              <w:snapToGrid w:val="0"/>
              <w:spacing w:line="240" w:lineRule="exact"/>
              <w:jc w:val="center"/>
              <w:rPr>
                <w:szCs w:val="21"/>
              </w:rPr>
            </w:pPr>
            <w:r>
              <w:rPr>
                <w:rFonts w:hAnsi="宋体"/>
                <w:szCs w:val="21"/>
              </w:rPr>
              <w:t>燃爆危险</w:t>
            </w:r>
          </w:p>
        </w:tc>
        <w:tc>
          <w:tcPr>
            <w:tcW w:w="7561" w:type="dxa"/>
            <w:gridSpan w:val="6"/>
          </w:tcPr>
          <w:p w:rsidR="00475650" w:rsidRDefault="00475650">
            <w:pPr>
              <w:snapToGrid w:val="0"/>
              <w:spacing w:line="240" w:lineRule="exact"/>
              <w:jc w:val="center"/>
              <w:rPr>
                <w:szCs w:val="21"/>
                <w:shd w:val="clear" w:color="auto" w:fill="FFFFFF"/>
              </w:rPr>
            </w:pPr>
            <w:r>
              <w:rPr>
                <w:rFonts w:hAnsi="宋体"/>
                <w:szCs w:val="21"/>
                <w:shd w:val="clear" w:color="auto" w:fill="FFFFFF"/>
              </w:rPr>
              <w:t>无资料</w:t>
            </w:r>
          </w:p>
        </w:tc>
      </w:tr>
      <w:tr w:rsidR="00475650">
        <w:trPr>
          <w:jc w:val="center"/>
        </w:trPr>
        <w:tc>
          <w:tcPr>
            <w:tcW w:w="1385" w:type="dxa"/>
            <w:vAlign w:val="center"/>
          </w:tcPr>
          <w:p w:rsidR="00475650" w:rsidRDefault="00475650">
            <w:pPr>
              <w:snapToGrid w:val="0"/>
              <w:spacing w:line="240" w:lineRule="exact"/>
              <w:jc w:val="center"/>
              <w:rPr>
                <w:szCs w:val="21"/>
              </w:rPr>
            </w:pPr>
            <w:r>
              <w:rPr>
                <w:rFonts w:hAnsi="宋体"/>
                <w:szCs w:val="21"/>
              </w:rPr>
              <w:t>毒理学</w:t>
            </w:r>
          </w:p>
          <w:p w:rsidR="00475650" w:rsidRDefault="00475650">
            <w:pPr>
              <w:snapToGrid w:val="0"/>
              <w:spacing w:line="240" w:lineRule="exact"/>
              <w:jc w:val="center"/>
              <w:rPr>
                <w:szCs w:val="21"/>
              </w:rPr>
            </w:pPr>
            <w:r>
              <w:rPr>
                <w:rFonts w:hAnsi="宋体"/>
                <w:szCs w:val="21"/>
              </w:rPr>
              <w:t>资料</w:t>
            </w:r>
          </w:p>
        </w:tc>
        <w:tc>
          <w:tcPr>
            <w:tcW w:w="7561" w:type="dxa"/>
            <w:gridSpan w:val="6"/>
          </w:tcPr>
          <w:p w:rsidR="00475650" w:rsidRDefault="00475650">
            <w:pPr>
              <w:snapToGrid w:val="0"/>
              <w:spacing w:line="240" w:lineRule="exact"/>
              <w:jc w:val="center"/>
              <w:rPr>
                <w:szCs w:val="21"/>
              </w:rPr>
            </w:pPr>
            <w:r>
              <w:rPr>
                <w:rFonts w:hAnsi="宋体"/>
                <w:szCs w:val="21"/>
                <w:shd w:val="clear" w:color="auto" w:fill="FFFFFF"/>
              </w:rPr>
              <w:t>无资料</w:t>
            </w:r>
          </w:p>
        </w:tc>
      </w:tr>
      <w:tr w:rsidR="00475650">
        <w:trPr>
          <w:jc w:val="center"/>
        </w:trPr>
        <w:tc>
          <w:tcPr>
            <w:tcW w:w="1385" w:type="dxa"/>
            <w:vAlign w:val="center"/>
          </w:tcPr>
          <w:p w:rsidR="00475650" w:rsidRDefault="00475650">
            <w:pPr>
              <w:snapToGrid w:val="0"/>
              <w:spacing w:line="240" w:lineRule="exact"/>
              <w:jc w:val="center"/>
              <w:rPr>
                <w:szCs w:val="21"/>
              </w:rPr>
            </w:pPr>
            <w:r>
              <w:rPr>
                <w:rFonts w:hAnsi="宋体"/>
                <w:szCs w:val="21"/>
              </w:rPr>
              <w:t>泄漏应急处理措施</w:t>
            </w:r>
          </w:p>
        </w:tc>
        <w:tc>
          <w:tcPr>
            <w:tcW w:w="7561" w:type="dxa"/>
            <w:gridSpan w:val="6"/>
          </w:tcPr>
          <w:p w:rsidR="00475650" w:rsidRDefault="00475650">
            <w:pPr>
              <w:snapToGrid w:val="0"/>
              <w:spacing w:line="240" w:lineRule="exact"/>
              <w:jc w:val="center"/>
              <w:rPr>
                <w:szCs w:val="21"/>
              </w:rPr>
            </w:pPr>
            <w:r>
              <w:rPr>
                <w:rFonts w:hAnsi="宋体"/>
                <w:szCs w:val="21"/>
                <w:shd w:val="clear" w:color="auto" w:fill="FFFFFF"/>
              </w:rPr>
              <w:t>无资料</w:t>
            </w:r>
          </w:p>
        </w:tc>
      </w:tr>
      <w:tr w:rsidR="00475650">
        <w:trPr>
          <w:jc w:val="center"/>
        </w:trPr>
        <w:tc>
          <w:tcPr>
            <w:tcW w:w="1385" w:type="dxa"/>
            <w:vAlign w:val="center"/>
          </w:tcPr>
          <w:p w:rsidR="00475650" w:rsidRDefault="00475650">
            <w:pPr>
              <w:snapToGrid w:val="0"/>
              <w:spacing w:line="240" w:lineRule="exact"/>
              <w:jc w:val="center"/>
              <w:rPr>
                <w:szCs w:val="21"/>
              </w:rPr>
            </w:pPr>
            <w:r>
              <w:rPr>
                <w:rFonts w:hAnsi="宋体"/>
                <w:szCs w:val="21"/>
              </w:rPr>
              <w:t>储运注意</w:t>
            </w:r>
          </w:p>
          <w:p w:rsidR="00475650" w:rsidRDefault="00475650">
            <w:pPr>
              <w:snapToGrid w:val="0"/>
              <w:spacing w:line="240" w:lineRule="exact"/>
              <w:jc w:val="center"/>
              <w:rPr>
                <w:szCs w:val="21"/>
              </w:rPr>
            </w:pPr>
            <w:r>
              <w:rPr>
                <w:rFonts w:hAnsi="宋体"/>
                <w:szCs w:val="21"/>
              </w:rPr>
              <w:t>事项</w:t>
            </w:r>
          </w:p>
        </w:tc>
        <w:tc>
          <w:tcPr>
            <w:tcW w:w="7561" w:type="dxa"/>
            <w:gridSpan w:val="6"/>
          </w:tcPr>
          <w:p w:rsidR="00475650" w:rsidRDefault="00475650">
            <w:pPr>
              <w:snapToGrid w:val="0"/>
              <w:spacing w:line="240" w:lineRule="exact"/>
              <w:jc w:val="center"/>
              <w:rPr>
                <w:szCs w:val="21"/>
              </w:rPr>
            </w:pPr>
            <w:r>
              <w:rPr>
                <w:rFonts w:hAnsi="宋体"/>
                <w:szCs w:val="21"/>
                <w:shd w:val="clear" w:color="auto" w:fill="FFFFFF"/>
              </w:rPr>
              <w:t>密封干燥保存</w:t>
            </w:r>
          </w:p>
        </w:tc>
      </w:tr>
      <w:tr w:rsidR="00475650">
        <w:trPr>
          <w:jc w:val="center"/>
        </w:trPr>
        <w:tc>
          <w:tcPr>
            <w:tcW w:w="1385" w:type="dxa"/>
            <w:vAlign w:val="center"/>
          </w:tcPr>
          <w:p w:rsidR="00475650" w:rsidRDefault="00475650">
            <w:pPr>
              <w:snapToGrid w:val="0"/>
              <w:spacing w:line="240" w:lineRule="exact"/>
              <w:jc w:val="center"/>
              <w:rPr>
                <w:szCs w:val="21"/>
              </w:rPr>
            </w:pPr>
            <w:r>
              <w:rPr>
                <w:rFonts w:hAnsi="宋体"/>
                <w:szCs w:val="21"/>
              </w:rPr>
              <w:t>灭火方法</w:t>
            </w:r>
          </w:p>
        </w:tc>
        <w:tc>
          <w:tcPr>
            <w:tcW w:w="7561" w:type="dxa"/>
            <w:gridSpan w:val="6"/>
          </w:tcPr>
          <w:p w:rsidR="00475650" w:rsidRDefault="00475650">
            <w:pPr>
              <w:snapToGrid w:val="0"/>
              <w:spacing w:line="240" w:lineRule="exact"/>
              <w:rPr>
                <w:szCs w:val="21"/>
                <w:shd w:val="clear" w:color="auto" w:fill="FFFFFF"/>
              </w:rPr>
            </w:pPr>
            <w:r>
              <w:rPr>
                <w:rFonts w:hint="eastAsia"/>
                <w:szCs w:val="21"/>
                <w:shd w:val="clear" w:color="auto" w:fill="FFFFFF"/>
              </w:rPr>
              <w:t>/</w:t>
            </w:r>
          </w:p>
        </w:tc>
      </w:tr>
    </w:tbl>
    <w:p w:rsidR="00475650" w:rsidRDefault="00475650">
      <w:pPr>
        <w:pStyle w:val="af4"/>
        <w:snapToGrid w:val="0"/>
        <w:spacing w:line="336" w:lineRule="auto"/>
        <w:ind w:firstLine="480"/>
        <w:rPr>
          <w:sz w:val="24"/>
          <w:szCs w:val="24"/>
        </w:rPr>
      </w:pPr>
      <w:r>
        <w:rPr>
          <w:rFonts w:hAnsi="宋体"/>
          <w:sz w:val="24"/>
          <w:szCs w:val="24"/>
        </w:rPr>
        <w:lastRenderedPageBreak/>
        <w:t>根据《建设项目环境风险评价技术导则》</w:t>
      </w:r>
      <w:r>
        <w:rPr>
          <w:sz w:val="24"/>
          <w:szCs w:val="24"/>
        </w:rPr>
        <w:t>(HJ/T169-2004)</w:t>
      </w:r>
      <w:r>
        <w:rPr>
          <w:rFonts w:hint="eastAsia"/>
          <w:sz w:val="24"/>
          <w:szCs w:val="24"/>
        </w:rPr>
        <w:t>及危险化学品名录</w:t>
      </w:r>
      <w:r>
        <w:rPr>
          <w:rFonts w:hAnsi="宋体"/>
          <w:sz w:val="24"/>
          <w:szCs w:val="24"/>
        </w:rPr>
        <w:t>，参照附录</w:t>
      </w:r>
      <w:r>
        <w:rPr>
          <w:sz w:val="24"/>
          <w:szCs w:val="24"/>
        </w:rPr>
        <w:t>A1</w:t>
      </w:r>
      <w:r>
        <w:rPr>
          <w:rFonts w:hAnsi="宋体"/>
          <w:sz w:val="24"/>
          <w:szCs w:val="24"/>
        </w:rPr>
        <w:t>中表</w:t>
      </w:r>
      <w:r>
        <w:rPr>
          <w:sz w:val="24"/>
          <w:szCs w:val="24"/>
        </w:rPr>
        <w:t>1</w:t>
      </w:r>
      <w:r>
        <w:rPr>
          <w:rFonts w:hAnsi="宋体"/>
          <w:sz w:val="24"/>
          <w:szCs w:val="24"/>
        </w:rPr>
        <w:t>标准，对比以上各物质的物化性质，本拟建装置物质危险性识别见表</w:t>
      </w:r>
      <w:r>
        <w:rPr>
          <w:sz w:val="24"/>
          <w:szCs w:val="24"/>
        </w:rPr>
        <w:t>6.2-2</w:t>
      </w:r>
      <w:r>
        <w:rPr>
          <w:rFonts w:hAnsi="宋体"/>
          <w:sz w:val="24"/>
          <w:szCs w:val="24"/>
        </w:rPr>
        <w:t>。</w:t>
      </w:r>
    </w:p>
    <w:p w:rsidR="00475650" w:rsidRDefault="00475650">
      <w:pPr>
        <w:pStyle w:val="024"/>
        <w:spacing w:after="24" w:line="360" w:lineRule="auto"/>
        <w:ind w:firstLine="420"/>
        <w:rPr>
          <w:rFonts w:ascii="Times New Roman" w:eastAsia="宋体" w:cs="Times New Roman"/>
          <w:szCs w:val="24"/>
        </w:rPr>
      </w:pPr>
      <w:r>
        <w:rPr>
          <w:rFonts w:ascii="Times New Roman" w:eastAsia="宋体" w:hAnsi="宋体" w:cs="Times New Roman"/>
        </w:rPr>
        <w:t>表</w:t>
      </w:r>
      <w:r>
        <w:rPr>
          <w:rFonts w:ascii="Times New Roman" w:eastAsia="宋体" w:cs="Times New Roman"/>
        </w:rPr>
        <w:t xml:space="preserve">6.2-2   </w:t>
      </w:r>
      <w:r>
        <w:rPr>
          <w:rFonts w:ascii="Times New Roman" w:eastAsia="宋体" w:hAnsi="宋体" w:cs="Times New Roman"/>
        </w:rPr>
        <w:t>物质危险性识别一览表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279"/>
        <w:gridCol w:w="4097"/>
        <w:gridCol w:w="1288"/>
        <w:gridCol w:w="1523"/>
        <w:gridCol w:w="759"/>
      </w:tblGrid>
      <w:tr w:rsidR="00475650">
        <w:trPr>
          <w:jc w:val="center"/>
        </w:trPr>
        <w:tc>
          <w:tcPr>
            <w:tcW w:w="1279" w:type="dxa"/>
            <w:vAlign w:val="center"/>
          </w:tcPr>
          <w:p w:rsidR="00475650" w:rsidRDefault="00475650">
            <w:pPr>
              <w:snapToGrid w:val="0"/>
              <w:spacing w:line="240" w:lineRule="exact"/>
              <w:jc w:val="center"/>
              <w:rPr>
                <w:szCs w:val="21"/>
              </w:rPr>
            </w:pPr>
            <w:r>
              <w:rPr>
                <w:rFonts w:hAnsi="宋体"/>
                <w:szCs w:val="21"/>
              </w:rPr>
              <w:t>物质名称</w:t>
            </w:r>
          </w:p>
        </w:tc>
        <w:tc>
          <w:tcPr>
            <w:tcW w:w="4097" w:type="dxa"/>
            <w:vAlign w:val="center"/>
          </w:tcPr>
          <w:p w:rsidR="00475650" w:rsidRDefault="00475650">
            <w:pPr>
              <w:snapToGrid w:val="0"/>
              <w:spacing w:line="240" w:lineRule="exact"/>
              <w:jc w:val="center"/>
              <w:rPr>
                <w:szCs w:val="21"/>
              </w:rPr>
            </w:pPr>
            <w:r>
              <w:rPr>
                <w:rFonts w:hAnsi="宋体"/>
                <w:szCs w:val="21"/>
              </w:rPr>
              <w:t>性质</w:t>
            </w:r>
          </w:p>
        </w:tc>
        <w:tc>
          <w:tcPr>
            <w:tcW w:w="1288" w:type="dxa"/>
            <w:vAlign w:val="center"/>
          </w:tcPr>
          <w:p w:rsidR="00475650" w:rsidRDefault="00475650">
            <w:pPr>
              <w:snapToGrid w:val="0"/>
              <w:spacing w:line="240" w:lineRule="exact"/>
              <w:jc w:val="center"/>
              <w:rPr>
                <w:szCs w:val="21"/>
              </w:rPr>
            </w:pPr>
            <w:r>
              <w:rPr>
                <w:rFonts w:hAnsi="宋体"/>
                <w:szCs w:val="21"/>
              </w:rPr>
              <w:t>识别结果</w:t>
            </w:r>
          </w:p>
        </w:tc>
        <w:tc>
          <w:tcPr>
            <w:tcW w:w="1523" w:type="dxa"/>
            <w:vAlign w:val="center"/>
          </w:tcPr>
          <w:p w:rsidR="00475650" w:rsidRDefault="00475650">
            <w:pPr>
              <w:adjustRightInd w:val="0"/>
              <w:snapToGrid w:val="0"/>
              <w:spacing w:line="240" w:lineRule="exact"/>
              <w:jc w:val="center"/>
              <w:rPr>
                <w:szCs w:val="21"/>
              </w:rPr>
            </w:pPr>
            <w:r>
              <w:rPr>
                <w:rFonts w:hAnsi="宋体"/>
                <w:szCs w:val="21"/>
              </w:rPr>
              <w:t>危险货物编号</w:t>
            </w:r>
          </w:p>
        </w:tc>
        <w:tc>
          <w:tcPr>
            <w:tcW w:w="759" w:type="dxa"/>
            <w:vAlign w:val="center"/>
          </w:tcPr>
          <w:p w:rsidR="00475650" w:rsidRDefault="00475650">
            <w:pPr>
              <w:adjustRightInd w:val="0"/>
              <w:snapToGrid w:val="0"/>
              <w:spacing w:line="240" w:lineRule="exact"/>
              <w:jc w:val="center"/>
              <w:rPr>
                <w:szCs w:val="21"/>
              </w:rPr>
            </w:pPr>
            <w:r>
              <w:rPr>
                <w:szCs w:val="21"/>
              </w:rPr>
              <w:t>UN</w:t>
            </w:r>
          </w:p>
        </w:tc>
      </w:tr>
      <w:tr w:rsidR="00475650">
        <w:trPr>
          <w:jc w:val="center"/>
        </w:trPr>
        <w:tc>
          <w:tcPr>
            <w:tcW w:w="1279" w:type="dxa"/>
            <w:vAlign w:val="center"/>
          </w:tcPr>
          <w:p w:rsidR="00475650" w:rsidRDefault="00475650">
            <w:pPr>
              <w:snapToGrid w:val="0"/>
              <w:spacing w:line="240" w:lineRule="exact"/>
              <w:jc w:val="center"/>
              <w:rPr>
                <w:szCs w:val="21"/>
              </w:rPr>
            </w:pPr>
            <w:r>
              <w:rPr>
                <w:rFonts w:hAnsi="宋体"/>
                <w:szCs w:val="21"/>
              </w:rPr>
              <w:t>盐酸</w:t>
            </w:r>
          </w:p>
        </w:tc>
        <w:tc>
          <w:tcPr>
            <w:tcW w:w="4097" w:type="dxa"/>
            <w:vAlign w:val="center"/>
          </w:tcPr>
          <w:p w:rsidR="00475650" w:rsidRDefault="00475650">
            <w:pPr>
              <w:snapToGrid w:val="0"/>
              <w:spacing w:line="240" w:lineRule="exact"/>
              <w:jc w:val="center"/>
              <w:rPr>
                <w:szCs w:val="21"/>
              </w:rPr>
            </w:pPr>
            <w:r>
              <w:rPr>
                <w:rFonts w:hAnsi="宋体"/>
                <w:szCs w:val="21"/>
              </w:rPr>
              <w:t>本品不燃，具强腐蚀性、强刺激性，可致人体灼伤。熔点</w:t>
            </w:r>
            <w:r>
              <w:rPr>
                <w:szCs w:val="21"/>
              </w:rPr>
              <w:t>-114.8</w:t>
            </w:r>
            <w:r>
              <w:rPr>
                <w:rFonts w:ascii="宋体" w:hAnsi="宋体"/>
                <w:szCs w:val="21"/>
              </w:rPr>
              <w:t>℃</w:t>
            </w:r>
            <w:r>
              <w:rPr>
                <w:rFonts w:hAnsi="宋体"/>
                <w:szCs w:val="21"/>
              </w:rPr>
              <w:t>，沸点</w:t>
            </w:r>
            <w:r>
              <w:rPr>
                <w:szCs w:val="21"/>
              </w:rPr>
              <w:t>108.6</w:t>
            </w:r>
            <w:r>
              <w:rPr>
                <w:rFonts w:ascii="宋体" w:hAnsi="宋体"/>
                <w:szCs w:val="21"/>
              </w:rPr>
              <w:t>℃</w:t>
            </w:r>
            <w:r>
              <w:rPr>
                <w:rFonts w:hAnsi="宋体"/>
                <w:szCs w:val="21"/>
              </w:rPr>
              <w:t>。</w:t>
            </w:r>
          </w:p>
        </w:tc>
        <w:tc>
          <w:tcPr>
            <w:tcW w:w="1288" w:type="dxa"/>
            <w:vAlign w:val="center"/>
          </w:tcPr>
          <w:p w:rsidR="00475650" w:rsidRDefault="00475650">
            <w:pPr>
              <w:snapToGrid w:val="0"/>
              <w:spacing w:line="240" w:lineRule="exact"/>
              <w:jc w:val="center"/>
              <w:rPr>
                <w:szCs w:val="21"/>
              </w:rPr>
            </w:pPr>
            <w:r>
              <w:rPr>
                <w:rFonts w:hAnsi="宋体"/>
                <w:szCs w:val="21"/>
              </w:rPr>
              <w:t>酸性腐蚀品</w:t>
            </w:r>
          </w:p>
        </w:tc>
        <w:tc>
          <w:tcPr>
            <w:tcW w:w="1523" w:type="dxa"/>
            <w:vAlign w:val="center"/>
          </w:tcPr>
          <w:p w:rsidR="00475650" w:rsidRDefault="00475650">
            <w:pPr>
              <w:adjustRightInd w:val="0"/>
              <w:snapToGrid w:val="0"/>
              <w:spacing w:line="240" w:lineRule="exact"/>
              <w:jc w:val="center"/>
              <w:rPr>
                <w:szCs w:val="21"/>
              </w:rPr>
            </w:pPr>
            <w:r>
              <w:rPr>
                <w:szCs w:val="21"/>
              </w:rPr>
              <w:t>81013</w:t>
            </w:r>
          </w:p>
        </w:tc>
        <w:tc>
          <w:tcPr>
            <w:tcW w:w="759" w:type="dxa"/>
            <w:vAlign w:val="center"/>
          </w:tcPr>
          <w:p w:rsidR="00475650" w:rsidRDefault="00475650">
            <w:pPr>
              <w:adjustRightInd w:val="0"/>
              <w:snapToGrid w:val="0"/>
              <w:spacing w:line="240" w:lineRule="exact"/>
              <w:jc w:val="center"/>
              <w:rPr>
                <w:szCs w:val="21"/>
              </w:rPr>
            </w:pPr>
            <w:r>
              <w:rPr>
                <w:szCs w:val="21"/>
              </w:rPr>
              <w:t>1789</w:t>
            </w:r>
          </w:p>
        </w:tc>
      </w:tr>
      <w:tr w:rsidR="00475650">
        <w:trPr>
          <w:jc w:val="center"/>
        </w:trPr>
        <w:tc>
          <w:tcPr>
            <w:tcW w:w="1279" w:type="dxa"/>
            <w:vAlign w:val="center"/>
          </w:tcPr>
          <w:p w:rsidR="00475650" w:rsidRDefault="00475650">
            <w:pPr>
              <w:adjustRightInd w:val="0"/>
              <w:snapToGrid w:val="0"/>
              <w:spacing w:line="240" w:lineRule="exact"/>
              <w:jc w:val="center"/>
              <w:rPr>
                <w:szCs w:val="21"/>
              </w:rPr>
            </w:pPr>
            <w:r>
              <w:rPr>
                <w:rFonts w:hAnsi="宋体"/>
                <w:szCs w:val="21"/>
              </w:rPr>
              <w:t>氢氧化钠</w:t>
            </w:r>
          </w:p>
        </w:tc>
        <w:tc>
          <w:tcPr>
            <w:tcW w:w="4097" w:type="dxa"/>
            <w:vAlign w:val="center"/>
          </w:tcPr>
          <w:p w:rsidR="00475650" w:rsidRDefault="00475650">
            <w:pPr>
              <w:adjustRightInd w:val="0"/>
              <w:snapToGrid w:val="0"/>
              <w:spacing w:line="240" w:lineRule="exact"/>
              <w:jc w:val="center"/>
              <w:rPr>
                <w:szCs w:val="21"/>
              </w:rPr>
            </w:pPr>
            <w:r>
              <w:rPr>
                <w:rFonts w:hAnsi="宋体"/>
                <w:szCs w:val="21"/>
              </w:rPr>
              <w:t>有强烈刺激和腐蚀性，熔点</w:t>
            </w:r>
            <w:r>
              <w:rPr>
                <w:szCs w:val="21"/>
              </w:rPr>
              <w:t>318</w:t>
            </w:r>
            <w:r>
              <w:rPr>
                <w:rFonts w:ascii="宋体" w:hAnsi="宋体"/>
                <w:szCs w:val="21"/>
              </w:rPr>
              <w:t>℃</w:t>
            </w:r>
            <w:r>
              <w:rPr>
                <w:rFonts w:hAnsi="宋体"/>
                <w:szCs w:val="21"/>
              </w:rPr>
              <w:t>，沸点</w:t>
            </w:r>
            <w:r>
              <w:rPr>
                <w:szCs w:val="21"/>
              </w:rPr>
              <w:t>1390</w:t>
            </w:r>
            <w:r>
              <w:rPr>
                <w:rFonts w:ascii="宋体" w:hAnsi="宋体"/>
                <w:szCs w:val="21"/>
              </w:rPr>
              <w:t>℃</w:t>
            </w:r>
            <w:r>
              <w:rPr>
                <w:rFonts w:hAnsi="宋体"/>
                <w:szCs w:val="21"/>
              </w:rPr>
              <w:t>。</w:t>
            </w:r>
          </w:p>
        </w:tc>
        <w:tc>
          <w:tcPr>
            <w:tcW w:w="1288" w:type="dxa"/>
            <w:vAlign w:val="center"/>
          </w:tcPr>
          <w:p w:rsidR="00475650" w:rsidRDefault="00475650">
            <w:pPr>
              <w:adjustRightInd w:val="0"/>
              <w:snapToGrid w:val="0"/>
              <w:spacing w:line="240" w:lineRule="exact"/>
              <w:jc w:val="center"/>
              <w:rPr>
                <w:szCs w:val="21"/>
              </w:rPr>
            </w:pPr>
            <w:r>
              <w:rPr>
                <w:rFonts w:hAnsi="宋体"/>
                <w:szCs w:val="21"/>
              </w:rPr>
              <w:t>碱性腐蚀品</w:t>
            </w:r>
          </w:p>
        </w:tc>
        <w:tc>
          <w:tcPr>
            <w:tcW w:w="1523" w:type="dxa"/>
            <w:vAlign w:val="center"/>
          </w:tcPr>
          <w:p w:rsidR="00475650" w:rsidRDefault="00475650">
            <w:pPr>
              <w:adjustRightInd w:val="0"/>
              <w:snapToGrid w:val="0"/>
              <w:spacing w:line="240" w:lineRule="exact"/>
              <w:jc w:val="center"/>
              <w:rPr>
                <w:szCs w:val="21"/>
              </w:rPr>
            </w:pPr>
            <w:r>
              <w:rPr>
                <w:szCs w:val="21"/>
              </w:rPr>
              <w:t>82001</w:t>
            </w:r>
          </w:p>
        </w:tc>
        <w:tc>
          <w:tcPr>
            <w:tcW w:w="759" w:type="dxa"/>
            <w:vAlign w:val="center"/>
          </w:tcPr>
          <w:p w:rsidR="00475650" w:rsidRDefault="00475650">
            <w:pPr>
              <w:adjustRightInd w:val="0"/>
              <w:snapToGrid w:val="0"/>
              <w:spacing w:line="240" w:lineRule="exact"/>
              <w:jc w:val="center"/>
              <w:rPr>
                <w:szCs w:val="21"/>
              </w:rPr>
            </w:pPr>
            <w:r>
              <w:rPr>
                <w:szCs w:val="21"/>
              </w:rPr>
              <w:t>1823</w:t>
            </w:r>
          </w:p>
        </w:tc>
      </w:tr>
      <w:tr w:rsidR="00475650">
        <w:trPr>
          <w:jc w:val="center"/>
        </w:trPr>
        <w:tc>
          <w:tcPr>
            <w:tcW w:w="1279" w:type="dxa"/>
            <w:vAlign w:val="center"/>
          </w:tcPr>
          <w:p w:rsidR="00475650" w:rsidRDefault="00475650">
            <w:pPr>
              <w:adjustRightInd w:val="0"/>
              <w:snapToGrid w:val="0"/>
              <w:spacing w:line="240" w:lineRule="exact"/>
              <w:jc w:val="center"/>
              <w:rPr>
                <w:szCs w:val="21"/>
              </w:rPr>
            </w:pPr>
            <w:r>
              <w:rPr>
                <w:rFonts w:hAnsi="宋体"/>
                <w:szCs w:val="21"/>
              </w:rPr>
              <w:t>亚硝酸钠</w:t>
            </w:r>
          </w:p>
        </w:tc>
        <w:tc>
          <w:tcPr>
            <w:tcW w:w="4097" w:type="dxa"/>
            <w:vAlign w:val="center"/>
          </w:tcPr>
          <w:p w:rsidR="00475650" w:rsidRDefault="00475650">
            <w:pPr>
              <w:adjustRightInd w:val="0"/>
              <w:snapToGrid w:val="0"/>
              <w:spacing w:line="240" w:lineRule="exact"/>
              <w:jc w:val="center"/>
              <w:rPr>
                <w:szCs w:val="21"/>
              </w:rPr>
            </w:pPr>
            <w:r>
              <w:rPr>
                <w:rFonts w:hAnsi="宋体"/>
                <w:szCs w:val="21"/>
              </w:rPr>
              <w:t>无机氧化剂。与有机物、可燃物的混合物能燃烧和爆炸，并放出有毒和刺激性的氧化氮气体。熔点</w:t>
            </w:r>
            <w:r>
              <w:rPr>
                <w:szCs w:val="21"/>
              </w:rPr>
              <w:t>271</w:t>
            </w:r>
            <w:r>
              <w:rPr>
                <w:rFonts w:hAnsi="宋体"/>
                <w:szCs w:val="21"/>
              </w:rPr>
              <w:t>℃，沸点</w:t>
            </w:r>
            <w:r>
              <w:rPr>
                <w:szCs w:val="21"/>
              </w:rPr>
              <w:t>320</w:t>
            </w:r>
            <w:r>
              <w:rPr>
                <w:rFonts w:hAnsi="宋体"/>
                <w:szCs w:val="21"/>
              </w:rPr>
              <w:t>℃，</w:t>
            </w:r>
            <w:r>
              <w:rPr>
                <w:szCs w:val="21"/>
              </w:rPr>
              <w:t>LD</w:t>
            </w:r>
            <w:r>
              <w:rPr>
                <w:szCs w:val="21"/>
                <w:vertAlign w:val="subscript"/>
              </w:rPr>
              <w:t>50</w:t>
            </w:r>
            <w:r>
              <w:rPr>
                <w:rFonts w:hAnsi="宋体"/>
                <w:szCs w:val="21"/>
              </w:rPr>
              <w:t>：</w:t>
            </w:r>
            <w:r>
              <w:rPr>
                <w:szCs w:val="21"/>
              </w:rPr>
              <w:t>85 mg/kg(</w:t>
            </w:r>
            <w:r>
              <w:rPr>
                <w:rFonts w:hAnsi="宋体"/>
                <w:szCs w:val="21"/>
              </w:rPr>
              <w:t>大鼠经口</w:t>
            </w:r>
            <w:r>
              <w:rPr>
                <w:szCs w:val="21"/>
              </w:rPr>
              <w:t>)</w:t>
            </w:r>
          </w:p>
        </w:tc>
        <w:tc>
          <w:tcPr>
            <w:tcW w:w="1288" w:type="dxa"/>
            <w:vAlign w:val="center"/>
          </w:tcPr>
          <w:p w:rsidR="00475650" w:rsidRDefault="00475650">
            <w:pPr>
              <w:adjustRightInd w:val="0"/>
              <w:snapToGrid w:val="0"/>
              <w:spacing w:line="240" w:lineRule="exact"/>
              <w:jc w:val="center"/>
              <w:rPr>
                <w:szCs w:val="21"/>
              </w:rPr>
            </w:pPr>
            <w:r>
              <w:rPr>
                <w:rFonts w:hAnsi="宋体"/>
                <w:szCs w:val="21"/>
              </w:rPr>
              <w:t>第</w:t>
            </w:r>
            <w:r>
              <w:rPr>
                <w:szCs w:val="21"/>
              </w:rPr>
              <w:t>5.1</w:t>
            </w:r>
            <w:r>
              <w:rPr>
                <w:rFonts w:hAnsi="宋体"/>
                <w:szCs w:val="21"/>
              </w:rPr>
              <w:t>类氧化剂</w:t>
            </w:r>
          </w:p>
        </w:tc>
        <w:tc>
          <w:tcPr>
            <w:tcW w:w="1523" w:type="dxa"/>
            <w:vAlign w:val="center"/>
          </w:tcPr>
          <w:p w:rsidR="00475650" w:rsidRDefault="00475650">
            <w:pPr>
              <w:adjustRightInd w:val="0"/>
              <w:snapToGrid w:val="0"/>
              <w:spacing w:line="240" w:lineRule="exact"/>
              <w:jc w:val="center"/>
              <w:rPr>
                <w:szCs w:val="21"/>
              </w:rPr>
            </w:pPr>
            <w:r>
              <w:rPr>
                <w:szCs w:val="21"/>
              </w:rPr>
              <w:t>51525</w:t>
            </w:r>
          </w:p>
        </w:tc>
        <w:tc>
          <w:tcPr>
            <w:tcW w:w="759" w:type="dxa"/>
            <w:vAlign w:val="center"/>
          </w:tcPr>
          <w:p w:rsidR="00475650" w:rsidRDefault="00475650">
            <w:pPr>
              <w:adjustRightInd w:val="0"/>
              <w:snapToGrid w:val="0"/>
              <w:spacing w:line="240" w:lineRule="exact"/>
              <w:jc w:val="center"/>
              <w:rPr>
                <w:szCs w:val="21"/>
              </w:rPr>
            </w:pPr>
            <w:r>
              <w:rPr>
                <w:szCs w:val="21"/>
              </w:rPr>
              <w:t>1500</w:t>
            </w:r>
          </w:p>
        </w:tc>
      </w:tr>
      <w:tr w:rsidR="00475650">
        <w:trPr>
          <w:jc w:val="center"/>
        </w:trPr>
        <w:tc>
          <w:tcPr>
            <w:tcW w:w="1279" w:type="dxa"/>
            <w:vAlign w:val="center"/>
          </w:tcPr>
          <w:p w:rsidR="00475650" w:rsidRDefault="00475650">
            <w:pPr>
              <w:adjustRightInd w:val="0"/>
              <w:snapToGrid w:val="0"/>
              <w:spacing w:line="240" w:lineRule="exact"/>
              <w:rPr>
                <w:rFonts w:hAnsi="宋体"/>
                <w:szCs w:val="21"/>
              </w:rPr>
            </w:pPr>
            <w:r>
              <w:rPr>
                <w:rFonts w:hAnsi="宋体" w:hint="eastAsia"/>
                <w:szCs w:val="21"/>
              </w:rPr>
              <w:t>乙酸酐</w:t>
            </w:r>
          </w:p>
        </w:tc>
        <w:tc>
          <w:tcPr>
            <w:tcW w:w="4097" w:type="dxa"/>
            <w:vAlign w:val="center"/>
          </w:tcPr>
          <w:p w:rsidR="00475650" w:rsidRDefault="00475650">
            <w:pPr>
              <w:adjustRightInd w:val="0"/>
              <w:snapToGrid w:val="0"/>
              <w:spacing w:line="240" w:lineRule="exact"/>
              <w:jc w:val="center"/>
              <w:rPr>
                <w:rFonts w:hAnsi="宋体"/>
                <w:szCs w:val="21"/>
              </w:rPr>
            </w:pPr>
            <w:r>
              <w:rPr>
                <w:rFonts w:hAnsi="宋体"/>
                <w:szCs w:val="21"/>
                <w:shd w:val="clear" w:color="auto" w:fill="FFFFFF"/>
              </w:rPr>
              <w:t>无色透明液体，有刺激气味，其蒸气为催泪毒气</w:t>
            </w:r>
            <w:r>
              <w:rPr>
                <w:rFonts w:hAnsi="宋体" w:hint="eastAsia"/>
                <w:szCs w:val="21"/>
                <w:shd w:val="clear" w:color="auto" w:fill="FFFFFF"/>
              </w:rPr>
              <w:t>，</w:t>
            </w:r>
            <w:r>
              <w:rPr>
                <w:rFonts w:hAnsi="宋体" w:hint="eastAsia"/>
                <w:szCs w:val="21"/>
              </w:rPr>
              <w:t>闪点为</w:t>
            </w:r>
            <w:r>
              <w:rPr>
                <w:rFonts w:hAnsi="宋体" w:hint="eastAsia"/>
                <w:szCs w:val="21"/>
              </w:rPr>
              <w:t>49</w:t>
            </w:r>
            <w:r>
              <w:rPr>
                <w:rFonts w:hAnsi="宋体" w:hint="eastAsia"/>
                <w:szCs w:val="21"/>
              </w:rPr>
              <w:t>℃</w:t>
            </w:r>
          </w:p>
        </w:tc>
        <w:tc>
          <w:tcPr>
            <w:tcW w:w="1288" w:type="dxa"/>
            <w:vAlign w:val="center"/>
          </w:tcPr>
          <w:p w:rsidR="00475650" w:rsidRDefault="00475650">
            <w:pPr>
              <w:adjustRightInd w:val="0"/>
              <w:snapToGrid w:val="0"/>
              <w:spacing w:line="240" w:lineRule="exact"/>
              <w:jc w:val="center"/>
              <w:rPr>
                <w:rFonts w:hAnsi="宋体"/>
                <w:szCs w:val="21"/>
              </w:rPr>
            </w:pPr>
            <w:r>
              <w:rPr>
                <w:rFonts w:hAnsi="宋体" w:hint="eastAsia"/>
                <w:szCs w:val="21"/>
              </w:rPr>
              <w:t>腐蚀类液体</w:t>
            </w:r>
          </w:p>
        </w:tc>
        <w:tc>
          <w:tcPr>
            <w:tcW w:w="1523" w:type="dxa"/>
            <w:vAlign w:val="center"/>
          </w:tcPr>
          <w:p w:rsidR="00475650" w:rsidRDefault="00475650">
            <w:pPr>
              <w:adjustRightInd w:val="0"/>
              <w:snapToGrid w:val="0"/>
              <w:spacing w:line="240" w:lineRule="exact"/>
              <w:jc w:val="center"/>
              <w:rPr>
                <w:szCs w:val="21"/>
              </w:rPr>
            </w:pPr>
            <w:r>
              <w:rPr>
                <w:rFonts w:hint="eastAsia"/>
                <w:szCs w:val="21"/>
              </w:rPr>
              <w:t>81602</w:t>
            </w:r>
          </w:p>
        </w:tc>
        <w:tc>
          <w:tcPr>
            <w:tcW w:w="759" w:type="dxa"/>
            <w:vAlign w:val="center"/>
          </w:tcPr>
          <w:p w:rsidR="00475650" w:rsidRDefault="00475650">
            <w:pPr>
              <w:adjustRightInd w:val="0"/>
              <w:snapToGrid w:val="0"/>
              <w:spacing w:line="240" w:lineRule="exact"/>
              <w:jc w:val="center"/>
              <w:rPr>
                <w:szCs w:val="21"/>
              </w:rPr>
            </w:pPr>
            <w:r>
              <w:rPr>
                <w:rFonts w:hint="eastAsia"/>
                <w:szCs w:val="21"/>
              </w:rPr>
              <w:t>1715</w:t>
            </w:r>
          </w:p>
        </w:tc>
      </w:tr>
      <w:tr w:rsidR="00475650">
        <w:trPr>
          <w:jc w:val="center"/>
        </w:trPr>
        <w:tc>
          <w:tcPr>
            <w:tcW w:w="1279" w:type="dxa"/>
            <w:vAlign w:val="center"/>
          </w:tcPr>
          <w:p w:rsidR="00475650" w:rsidRDefault="00475650">
            <w:pPr>
              <w:adjustRightInd w:val="0"/>
              <w:snapToGrid w:val="0"/>
              <w:spacing w:line="240" w:lineRule="exact"/>
              <w:rPr>
                <w:rFonts w:hAnsi="宋体"/>
                <w:szCs w:val="21"/>
              </w:rPr>
            </w:pPr>
            <w:r>
              <w:rPr>
                <w:rFonts w:hAnsi="宋体" w:hint="eastAsia"/>
                <w:szCs w:val="21"/>
              </w:rPr>
              <w:t>γ酸</w:t>
            </w:r>
          </w:p>
        </w:tc>
        <w:tc>
          <w:tcPr>
            <w:tcW w:w="4097" w:type="dxa"/>
            <w:vAlign w:val="center"/>
          </w:tcPr>
          <w:p w:rsidR="00475650" w:rsidRDefault="00475650">
            <w:pPr>
              <w:adjustRightInd w:val="0"/>
              <w:snapToGrid w:val="0"/>
              <w:spacing w:line="240" w:lineRule="exact"/>
              <w:jc w:val="center"/>
              <w:rPr>
                <w:rFonts w:hAnsi="宋体"/>
                <w:szCs w:val="21"/>
                <w:shd w:val="clear" w:color="auto" w:fill="FFFFFF"/>
              </w:rPr>
            </w:pPr>
            <w:r>
              <w:rPr>
                <w:rFonts w:hAnsi="宋体" w:hint="eastAsia"/>
                <w:szCs w:val="21"/>
                <w:shd w:val="clear" w:color="auto" w:fill="FFFFFF"/>
              </w:rPr>
              <w:t>腐蚀性粉末</w:t>
            </w:r>
          </w:p>
        </w:tc>
        <w:tc>
          <w:tcPr>
            <w:tcW w:w="1288" w:type="dxa"/>
            <w:vAlign w:val="center"/>
          </w:tcPr>
          <w:p w:rsidR="00475650" w:rsidRDefault="00475650">
            <w:pPr>
              <w:adjustRightInd w:val="0"/>
              <w:snapToGrid w:val="0"/>
              <w:spacing w:line="240" w:lineRule="exact"/>
              <w:jc w:val="center"/>
              <w:rPr>
                <w:rFonts w:hAnsi="宋体"/>
                <w:szCs w:val="21"/>
              </w:rPr>
            </w:pPr>
            <w:r>
              <w:rPr>
                <w:rFonts w:hAnsi="宋体" w:hint="eastAsia"/>
                <w:szCs w:val="21"/>
              </w:rPr>
              <w:t>腐蚀性物质</w:t>
            </w:r>
          </w:p>
        </w:tc>
        <w:tc>
          <w:tcPr>
            <w:tcW w:w="1523" w:type="dxa"/>
            <w:vAlign w:val="center"/>
          </w:tcPr>
          <w:p w:rsidR="00475650" w:rsidRDefault="00475650">
            <w:pPr>
              <w:adjustRightInd w:val="0"/>
              <w:snapToGrid w:val="0"/>
              <w:spacing w:line="240" w:lineRule="exact"/>
              <w:jc w:val="center"/>
              <w:rPr>
                <w:szCs w:val="21"/>
              </w:rPr>
            </w:pPr>
            <w:r>
              <w:rPr>
                <w:rFonts w:hint="eastAsia"/>
                <w:szCs w:val="21"/>
              </w:rPr>
              <w:t>/</w:t>
            </w:r>
          </w:p>
        </w:tc>
        <w:tc>
          <w:tcPr>
            <w:tcW w:w="759" w:type="dxa"/>
            <w:vAlign w:val="center"/>
          </w:tcPr>
          <w:p w:rsidR="00475650" w:rsidRDefault="00475650">
            <w:pPr>
              <w:adjustRightInd w:val="0"/>
              <w:snapToGrid w:val="0"/>
              <w:spacing w:line="240" w:lineRule="exact"/>
              <w:jc w:val="center"/>
              <w:rPr>
                <w:szCs w:val="21"/>
              </w:rPr>
            </w:pPr>
            <w:r>
              <w:rPr>
                <w:rFonts w:hint="eastAsia"/>
                <w:szCs w:val="21"/>
              </w:rPr>
              <w:t>/</w:t>
            </w:r>
          </w:p>
        </w:tc>
      </w:tr>
      <w:tr w:rsidR="00475650">
        <w:trPr>
          <w:jc w:val="center"/>
        </w:trPr>
        <w:tc>
          <w:tcPr>
            <w:tcW w:w="1279" w:type="dxa"/>
            <w:vAlign w:val="center"/>
          </w:tcPr>
          <w:p w:rsidR="00475650" w:rsidRDefault="00475650">
            <w:pPr>
              <w:adjustRightInd w:val="0"/>
              <w:snapToGrid w:val="0"/>
              <w:spacing w:line="240" w:lineRule="exact"/>
              <w:rPr>
                <w:rFonts w:hAnsi="宋体"/>
                <w:szCs w:val="21"/>
              </w:rPr>
            </w:pPr>
            <w:r>
              <w:rPr>
                <w:rFonts w:hAnsi="宋体"/>
                <w:szCs w:val="21"/>
              </w:rPr>
              <w:t>2,5-</w:t>
            </w:r>
            <w:r>
              <w:rPr>
                <w:rFonts w:hAnsi="宋体"/>
                <w:szCs w:val="21"/>
              </w:rPr>
              <w:t>二氨基苯磺酸</w:t>
            </w:r>
          </w:p>
        </w:tc>
        <w:tc>
          <w:tcPr>
            <w:tcW w:w="4097" w:type="dxa"/>
            <w:vAlign w:val="center"/>
          </w:tcPr>
          <w:p w:rsidR="00475650" w:rsidRDefault="00475650">
            <w:pPr>
              <w:adjustRightInd w:val="0"/>
              <w:snapToGrid w:val="0"/>
              <w:spacing w:line="240" w:lineRule="exact"/>
              <w:jc w:val="center"/>
              <w:rPr>
                <w:rFonts w:hAnsi="宋体"/>
                <w:szCs w:val="21"/>
                <w:shd w:val="clear" w:color="auto" w:fill="FFFFFF"/>
              </w:rPr>
            </w:pPr>
            <w:r>
              <w:rPr>
                <w:rFonts w:hAnsi="宋体" w:hint="eastAsia"/>
                <w:szCs w:val="21"/>
                <w:shd w:val="clear" w:color="auto" w:fill="FFFFFF"/>
              </w:rPr>
              <w:t>沸点</w:t>
            </w:r>
            <w:r>
              <w:rPr>
                <w:rFonts w:hAnsi="宋体" w:hint="eastAsia"/>
                <w:szCs w:val="21"/>
                <w:shd w:val="clear" w:color="auto" w:fill="FFFFFF"/>
              </w:rPr>
              <w:t>500</w:t>
            </w:r>
            <w:r>
              <w:rPr>
                <w:rFonts w:hAnsi="宋体" w:hint="eastAsia"/>
                <w:szCs w:val="21"/>
                <w:shd w:val="clear" w:color="auto" w:fill="FFFFFF"/>
              </w:rPr>
              <w:t>℃，</w:t>
            </w:r>
            <w:r>
              <w:rPr>
                <w:rFonts w:hAnsi="宋体"/>
                <w:szCs w:val="21"/>
              </w:rPr>
              <w:t>腐蚀性物质</w:t>
            </w:r>
          </w:p>
        </w:tc>
        <w:tc>
          <w:tcPr>
            <w:tcW w:w="1288" w:type="dxa"/>
            <w:vAlign w:val="center"/>
          </w:tcPr>
          <w:p w:rsidR="00475650" w:rsidRDefault="00475650">
            <w:pPr>
              <w:adjustRightInd w:val="0"/>
              <w:snapToGrid w:val="0"/>
              <w:spacing w:line="240" w:lineRule="exact"/>
              <w:jc w:val="center"/>
              <w:rPr>
                <w:rFonts w:hAnsi="宋体"/>
                <w:szCs w:val="21"/>
              </w:rPr>
            </w:pPr>
            <w:r>
              <w:rPr>
                <w:rFonts w:hAnsi="宋体" w:hint="eastAsia"/>
                <w:szCs w:val="21"/>
              </w:rPr>
              <w:t>腐蚀性液体</w:t>
            </w:r>
          </w:p>
        </w:tc>
        <w:tc>
          <w:tcPr>
            <w:tcW w:w="1523" w:type="dxa"/>
            <w:vAlign w:val="center"/>
          </w:tcPr>
          <w:p w:rsidR="00475650" w:rsidRDefault="00475650">
            <w:pPr>
              <w:adjustRightInd w:val="0"/>
              <w:snapToGrid w:val="0"/>
              <w:spacing w:line="240" w:lineRule="exact"/>
              <w:jc w:val="center"/>
              <w:rPr>
                <w:szCs w:val="21"/>
              </w:rPr>
            </w:pPr>
            <w:r>
              <w:rPr>
                <w:rFonts w:hint="eastAsia"/>
                <w:szCs w:val="21"/>
              </w:rPr>
              <w:t>/</w:t>
            </w:r>
          </w:p>
        </w:tc>
        <w:tc>
          <w:tcPr>
            <w:tcW w:w="759" w:type="dxa"/>
            <w:vAlign w:val="center"/>
          </w:tcPr>
          <w:p w:rsidR="00475650" w:rsidRDefault="00475650">
            <w:pPr>
              <w:adjustRightInd w:val="0"/>
              <w:snapToGrid w:val="0"/>
              <w:spacing w:line="240" w:lineRule="exact"/>
              <w:jc w:val="center"/>
              <w:rPr>
                <w:szCs w:val="21"/>
              </w:rPr>
            </w:pPr>
          </w:p>
        </w:tc>
      </w:tr>
    </w:tbl>
    <w:p w:rsidR="00475650" w:rsidRDefault="00475650">
      <w:pPr>
        <w:pStyle w:val="024"/>
        <w:spacing w:after="24" w:line="360" w:lineRule="auto"/>
        <w:jc w:val="both"/>
        <w:rPr>
          <w:rFonts w:ascii="Times New Roman" w:eastAsia="宋体" w:cs="Times New Roman"/>
          <w:szCs w:val="24"/>
        </w:rPr>
      </w:pPr>
    </w:p>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855" w:name="_Toc302936862"/>
      <w:bookmarkStart w:id="856" w:name="_Toc274984947"/>
      <w:bookmarkStart w:id="857" w:name="_Toc332293038"/>
      <w:bookmarkStart w:id="858" w:name="_Toc333230053"/>
      <w:bookmarkStart w:id="859" w:name="_Toc465677044"/>
      <w:bookmarkStart w:id="860" w:name="_Toc18961"/>
      <w:bookmarkStart w:id="861" w:name="_Toc334014229"/>
      <w:bookmarkStart w:id="862" w:name="_Toc270622949"/>
      <w:bookmarkStart w:id="863" w:name="_Toc334080871"/>
      <w:r>
        <w:rPr>
          <w:rStyle w:val="2Char1Char"/>
          <w:rFonts w:ascii="Times New Roman" w:eastAsia="宋体" w:hAnsi="Times New Roman" w:cs="Times New Roman"/>
          <w:b w:val="0"/>
          <w:sz w:val="24"/>
          <w:szCs w:val="24"/>
        </w:rPr>
        <w:t>6.2.3</w:t>
      </w:r>
      <w:r>
        <w:rPr>
          <w:rStyle w:val="2Char1Char"/>
          <w:rFonts w:ascii="Times New Roman" w:eastAsia="宋体" w:hAnsi="宋体" w:cs="Times New Roman"/>
          <w:b w:val="0"/>
          <w:sz w:val="24"/>
          <w:szCs w:val="24"/>
        </w:rPr>
        <w:t>重大危险源识别</w:t>
      </w:r>
      <w:bookmarkEnd w:id="855"/>
      <w:bookmarkEnd w:id="856"/>
      <w:bookmarkEnd w:id="857"/>
      <w:bookmarkEnd w:id="858"/>
      <w:bookmarkEnd w:id="859"/>
      <w:bookmarkEnd w:id="860"/>
      <w:bookmarkEnd w:id="861"/>
      <w:bookmarkEnd w:id="862"/>
      <w:bookmarkEnd w:id="863"/>
    </w:p>
    <w:p w:rsidR="00475650" w:rsidRDefault="00475650">
      <w:pPr>
        <w:pStyle w:val="af4"/>
        <w:snapToGrid w:val="0"/>
        <w:spacing w:line="336" w:lineRule="auto"/>
        <w:ind w:firstLine="480"/>
        <w:rPr>
          <w:sz w:val="24"/>
          <w:szCs w:val="24"/>
        </w:rPr>
      </w:pPr>
      <w:r>
        <w:rPr>
          <w:rFonts w:hAnsi="宋体"/>
          <w:sz w:val="24"/>
          <w:szCs w:val="24"/>
        </w:rPr>
        <w:t>环境风险识别包括生产装置、管道、储罐等系统。生产或储运过程中潜在的风险事故包括因材质设备、操作或控制方面出现问题而造成的容器破裂、物料泄漏、火灾爆炸及中毒危害等。</w:t>
      </w:r>
    </w:p>
    <w:p w:rsidR="00475650" w:rsidRDefault="00475650">
      <w:pPr>
        <w:tabs>
          <w:tab w:val="left" w:pos="0"/>
        </w:tabs>
        <w:snapToGrid w:val="0"/>
        <w:spacing w:line="336" w:lineRule="auto"/>
        <w:ind w:firstLineChars="200" w:firstLine="480"/>
        <w:rPr>
          <w:sz w:val="24"/>
        </w:rPr>
      </w:pPr>
      <w:r>
        <w:rPr>
          <w:rFonts w:hAnsi="宋体"/>
          <w:sz w:val="24"/>
        </w:rPr>
        <w:t>本项目新增的储罐为盐酸中间罐</w:t>
      </w:r>
      <w:r>
        <w:rPr>
          <w:rFonts w:hAnsi="宋体" w:hint="eastAsia"/>
          <w:sz w:val="24"/>
        </w:rPr>
        <w:t>及乙酸酐罐</w:t>
      </w:r>
      <w:r>
        <w:rPr>
          <w:rFonts w:hAnsi="宋体"/>
          <w:sz w:val="24"/>
        </w:rPr>
        <w:t>，</w:t>
      </w:r>
      <w:r>
        <w:rPr>
          <w:rFonts w:hAnsi="宋体" w:hint="eastAsia"/>
          <w:sz w:val="24"/>
        </w:rPr>
        <w:t>γ酸、尿素、碳酸钠、片碱、氨基苯环酸为固体，采用袋装的方式，其危险性相对较小，本项目将盐酸中间罐及乙酸酐桶识别为危险源，</w:t>
      </w:r>
      <w:r>
        <w:rPr>
          <w:rFonts w:hAnsi="宋体"/>
          <w:sz w:val="24"/>
        </w:rPr>
        <w:t>根据《建设项目环境风险评价技术导则》附录和《重大危险源识别》</w:t>
      </w:r>
      <w:r>
        <w:rPr>
          <w:sz w:val="24"/>
        </w:rPr>
        <w:t>(GB18218-2009)</w:t>
      </w:r>
      <w:r>
        <w:rPr>
          <w:rFonts w:hAnsi="宋体"/>
          <w:sz w:val="24"/>
        </w:rPr>
        <w:t>，本项目重大危险源识别情况见表</w:t>
      </w:r>
      <w:r>
        <w:rPr>
          <w:sz w:val="24"/>
        </w:rPr>
        <w:t>6.2-3</w:t>
      </w:r>
      <w:r>
        <w:rPr>
          <w:rFonts w:hAnsi="宋体"/>
          <w:sz w:val="24"/>
        </w:rPr>
        <w:t>。</w:t>
      </w:r>
    </w:p>
    <w:p w:rsidR="00475650" w:rsidRDefault="00475650">
      <w:pPr>
        <w:tabs>
          <w:tab w:val="left" w:pos="3600"/>
          <w:tab w:val="center" w:pos="7001"/>
        </w:tabs>
        <w:spacing w:line="360" w:lineRule="auto"/>
        <w:jc w:val="center"/>
        <w:rPr>
          <w:sz w:val="24"/>
        </w:rPr>
      </w:pPr>
      <w:r>
        <w:rPr>
          <w:rFonts w:hAnsi="宋体"/>
          <w:sz w:val="24"/>
        </w:rPr>
        <w:t>表</w:t>
      </w:r>
      <w:r>
        <w:rPr>
          <w:sz w:val="24"/>
        </w:rPr>
        <w:t xml:space="preserve">6.2-3    </w:t>
      </w:r>
      <w:r>
        <w:rPr>
          <w:rFonts w:hAnsi="宋体"/>
          <w:sz w:val="24"/>
        </w:rPr>
        <w:t>拟建项目重大危险源识别一览表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929"/>
        <w:gridCol w:w="952"/>
        <w:gridCol w:w="996"/>
        <w:gridCol w:w="905"/>
        <w:gridCol w:w="1195"/>
        <w:gridCol w:w="846"/>
        <w:gridCol w:w="1491"/>
        <w:gridCol w:w="1134"/>
        <w:gridCol w:w="1301"/>
      </w:tblGrid>
      <w:tr w:rsidR="00475650">
        <w:trPr>
          <w:tblHeader/>
          <w:jc w:val="center"/>
        </w:trPr>
        <w:tc>
          <w:tcPr>
            <w:tcW w:w="929" w:type="dxa"/>
            <w:vMerge w:val="restart"/>
            <w:vAlign w:val="center"/>
          </w:tcPr>
          <w:p w:rsidR="00475650" w:rsidRDefault="00475650">
            <w:pPr>
              <w:pStyle w:val="afffffffff2"/>
              <w:snapToGrid w:val="0"/>
              <w:spacing w:line="240" w:lineRule="exact"/>
              <w:jc w:val="center"/>
              <w:rPr>
                <w:rFonts w:ascii="Times New Roman" w:hAnsi="Times New Roman" w:cs="Times New Roman"/>
              </w:rPr>
            </w:pPr>
            <w:r>
              <w:rPr>
                <w:rFonts w:ascii="Times New Roman" w:hAnsi="宋体" w:cs="Times New Roman"/>
              </w:rPr>
              <w:t>项目</w:t>
            </w:r>
          </w:p>
        </w:tc>
        <w:tc>
          <w:tcPr>
            <w:tcW w:w="952" w:type="dxa"/>
            <w:vMerge w:val="restart"/>
            <w:vAlign w:val="center"/>
          </w:tcPr>
          <w:p w:rsidR="00475650" w:rsidRDefault="00475650">
            <w:pPr>
              <w:pStyle w:val="afffffffff2"/>
              <w:snapToGrid w:val="0"/>
              <w:spacing w:line="240" w:lineRule="exact"/>
              <w:jc w:val="center"/>
              <w:rPr>
                <w:rFonts w:ascii="Times New Roman" w:hAnsi="Times New Roman" w:cs="Times New Roman"/>
              </w:rPr>
            </w:pPr>
            <w:r>
              <w:rPr>
                <w:rFonts w:ascii="Times New Roman" w:hAnsi="宋体" w:cs="Times New Roman"/>
              </w:rPr>
              <w:t>容器名称</w:t>
            </w:r>
          </w:p>
        </w:tc>
        <w:tc>
          <w:tcPr>
            <w:tcW w:w="996" w:type="dxa"/>
            <w:vMerge w:val="restart"/>
            <w:vAlign w:val="center"/>
          </w:tcPr>
          <w:p w:rsidR="00475650" w:rsidRDefault="00475650">
            <w:pPr>
              <w:pStyle w:val="afffffffff2"/>
              <w:snapToGrid w:val="0"/>
              <w:spacing w:line="240" w:lineRule="exact"/>
              <w:jc w:val="center"/>
              <w:rPr>
                <w:rFonts w:ascii="Times New Roman" w:hAnsi="Times New Roman" w:cs="Times New Roman"/>
              </w:rPr>
            </w:pPr>
            <w:r>
              <w:rPr>
                <w:rFonts w:ascii="Times New Roman" w:hAnsi="宋体" w:cs="Times New Roman"/>
              </w:rPr>
              <w:t>罐型</w:t>
            </w:r>
          </w:p>
        </w:tc>
        <w:tc>
          <w:tcPr>
            <w:tcW w:w="905" w:type="dxa"/>
            <w:vMerge w:val="restart"/>
            <w:vAlign w:val="center"/>
          </w:tcPr>
          <w:p w:rsidR="00475650" w:rsidRDefault="00475650">
            <w:pPr>
              <w:pStyle w:val="afffffffff2"/>
              <w:snapToGrid w:val="0"/>
              <w:spacing w:line="240" w:lineRule="exact"/>
              <w:jc w:val="center"/>
              <w:rPr>
                <w:rFonts w:ascii="Times New Roman" w:hAnsi="Times New Roman" w:cs="Times New Roman"/>
              </w:rPr>
            </w:pPr>
            <w:r>
              <w:rPr>
                <w:rFonts w:ascii="Times New Roman" w:hAnsi="宋体" w:cs="Times New Roman"/>
              </w:rPr>
              <w:t>储罐容积</w:t>
            </w:r>
            <w:r>
              <w:rPr>
                <w:rFonts w:ascii="Times New Roman" w:hAnsi="Times New Roman" w:cs="Times New Roman"/>
              </w:rPr>
              <w:t>m</w:t>
            </w:r>
            <w:r>
              <w:rPr>
                <w:rFonts w:ascii="Times New Roman" w:hAnsi="Times New Roman" w:cs="Times New Roman"/>
                <w:vertAlign w:val="superscript"/>
              </w:rPr>
              <w:t>3</w:t>
            </w:r>
          </w:p>
        </w:tc>
        <w:tc>
          <w:tcPr>
            <w:tcW w:w="1195" w:type="dxa"/>
            <w:vMerge w:val="restart"/>
            <w:vAlign w:val="center"/>
          </w:tcPr>
          <w:p w:rsidR="00475650" w:rsidRDefault="00475650">
            <w:pPr>
              <w:pStyle w:val="afffffffff2"/>
              <w:snapToGrid w:val="0"/>
              <w:spacing w:line="240" w:lineRule="exact"/>
              <w:jc w:val="center"/>
              <w:rPr>
                <w:rFonts w:ascii="Times New Roman" w:hAnsi="Times New Roman" w:cs="Times New Roman"/>
              </w:rPr>
            </w:pPr>
            <w:r>
              <w:rPr>
                <w:rFonts w:ascii="Times New Roman" w:hAnsi="宋体" w:cs="Times New Roman"/>
              </w:rPr>
              <w:t>装置区量（吨）</w:t>
            </w:r>
          </w:p>
        </w:tc>
        <w:tc>
          <w:tcPr>
            <w:tcW w:w="846" w:type="dxa"/>
            <w:vMerge w:val="restart"/>
            <w:vAlign w:val="center"/>
          </w:tcPr>
          <w:p w:rsidR="00475650" w:rsidRDefault="00475650">
            <w:pPr>
              <w:pStyle w:val="afffffffff2"/>
              <w:snapToGrid w:val="0"/>
              <w:spacing w:line="240" w:lineRule="exact"/>
              <w:jc w:val="center"/>
              <w:rPr>
                <w:rFonts w:ascii="Times New Roman" w:hAnsi="Times New Roman" w:cs="Times New Roman"/>
              </w:rPr>
            </w:pPr>
            <w:r>
              <w:rPr>
                <w:rFonts w:ascii="Times New Roman" w:hAnsi="宋体" w:cs="Times New Roman"/>
              </w:rPr>
              <w:t>储罐区储存量</w:t>
            </w:r>
          </w:p>
          <w:p w:rsidR="00475650" w:rsidRDefault="00475650">
            <w:pPr>
              <w:pStyle w:val="afffffffff2"/>
              <w:snapToGrid w:val="0"/>
              <w:spacing w:line="240" w:lineRule="exact"/>
              <w:jc w:val="center"/>
              <w:rPr>
                <w:rFonts w:ascii="Times New Roman" w:hAnsi="Times New Roman" w:cs="Times New Roman"/>
              </w:rPr>
            </w:pPr>
            <w:r>
              <w:rPr>
                <w:rFonts w:ascii="Times New Roman" w:hAnsi="宋体" w:cs="Times New Roman"/>
              </w:rPr>
              <w:t>（吨）</w:t>
            </w:r>
          </w:p>
        </w:tc>
        <w:tc>
          <w:tcPr>
            <w:tcW w:w="3926" w:type="dxa"/>
            <w:gridSpan w:val="3"/>
            <w:vAlign w:val="center"/>
          </w:tcPr>
          <w:p w:rsidR="00475650" w:rsidRDefault="00475650">
            <w:pPr>
              <w:pStyle w:val="afffffffff2"/>
              <w:snapToGrid w:val="0"/>
              <w:spacing w:line="240" w:lineRule="exact"/>
              <w:jc w:val="center"/>
              <w:rPr>
                <w:rFonts w:ascii="Times New Roman" w:hAnsi="Times New Roman" w:cs="Times New Roman"/>
              </w:rPr>
            </w:pPr>
            <w:r>
              <w:rPr>
                <w:rFonts w:ascii="Times New Roman" w:hAnsi="宋体" w:cs="Times New Roman"/>
              </w:rPr>
              <w:t>风险识别情况</w:t>
            </w:r>
          </w:p>
        </w:tc>
      </w:tr>
      <w:tr w:rsidR="00475650">
        <w:trPr>
          <w:trHeight w:val="533"/>
          <w:tblHeader/>
          <w:jc w:val="center"/>
        </w:trPr>
        <w:tc>
          <w:tcPr>
            <w:tcW w:w="929" w:type="dxa"/>
            <w:vMerge/>
            <w:vAlign w:val="center"/>
          </w:tcPr>
          <w:p w:rsidR="00475650" w:rsidRDefault="00475650">
            <w:pPr>
              <w:pStyle w:val="afffffffff2"/>
              <w:snapToGrid w:val="0"/>
              <w:spacing w:line="240" w:lineRule="exact"/>
              <w:jc w:val="center"/>
              <w:rPr>
                <w:rFonts w:ascii="Times New Roman" w:hAnsi="Times New Roman" w:cs="Times New Roman"/>
              </w:rPr>
            </w:pPr>
          </w:p>
        </w:tc>
        <w:tc>
          <w:tcPr>
            <w:tcW w:w="952" w:type="dxa"/>
            <w:vMerge/>
            <w:vAlign w:val="center"/>
          </w:tcPr>
          <w:p w:rsidR="00475650" w:rsidRDefault="00475650">
            <w:pPr>
              <w:pStyle w:val="afffffffff2"/>
              <w:snapToGrid w:val="0"/>
              <w:spacing w:line="240" w:lineRule="exact"/>
              <w:jc w:val="center"/>
              <w:rPr>
                <w:rFonts w:ascii="Times New Roman" w:hAnsi="Times New Roman" w:cs="Times New Roman"/>
              </w:rPr>
            </w:pPr>
          </w:p>
        </w:tc>
        <w:tc>
          <w:tcPr>
            <w:tcW w:w="996" w:type="dxa"/>
            <w:vMerge/>
            <w:vAlign w:val="center"/>
          </w:tcPr>
          <w:p w:rsidR="00475650" w:rsidRDefault="00475650">
            <w:pPr>
              <w:pStyle w:val="afffffffff2"/>
              <w:snapToGrid w:val="0"/>
              <w:spacing w:line="240" w:lineRule="exact"/>
              <w:jc w:val="center"/>
              <w:rPr>
                <w:rFonts w:ascii="Times New Roman" w:hAnsi="Times New Roman" w:cs="Times New Roman"/>
              </w:rPr>
            </w:pPr>
          </w:p>
        </w:tc>
        <w:tc>
          <w:tcPr>
            <w:tcW w:w="905" w:type="dxa"/>
            <w:vMerge/>
            <w:vAlign w:val="center"/>
          </w:tcPr>
          <w:p w:rsidR="00475650" w:rsidRDefault="00475650">
            <w:pPr>
              <w:pStyle w:val="afffffffff2"/>
              <w:snapToGrid w:val="0"/>
              <w:spacing w:line="240" w:lineRule="exact"/>
              <w:jc w:val="center"/>
              <w:rPr>
                <w:rFonts w:ascii="Times New Roman" w:hAnsi="Times New Roman" w:cs="Times New Roman"/>
              </w:rPr>
            </w:pPr>
          </w:p>
        </w:tc>
        <w:tc>
          <w:tcPr>
            <w:tcW w:w="1195" w:type="dxa"/>
            <w:vMerge/>
            <w:vAlign w:val="center"/>
          </w:tcPr>
          <w:p w:rsidR="00475650" w:rsidRDefault="00475650">
            <w:pPr>
              <w:pStyle w:val="afffffffff2"/>
              <w:snapToGrid w:val="0"/>
              <w:spacing w:line="240" w:lineRule="exact"/>
              <w:jc w:val="center"/>
              <w:rPr>
                <w:rFonts w:ascii="Times New Roman" w:hAnsi="Times New Roman" w:cs="Times New Roman"/>
              </w:rPr>
            </w:pPr>
          </w:p>
        </w:tc>
        <w:tc>
          <w:tcPr>
            <w:tcW w:w="846" w:type="dxa"/>
            <w:vMerge/>
            <w:vAlign w:val="center"/>
          </w:tcPr>
          <w:p w:rsidR="00475650" w:rsidRDefault="00475650">
            <w:pPr>
              <w:pStyle w:val="afffffffff2"/>
              <w:snapToGrid w:val="0"/>
              <w:spacing w:line="240" w:lineRule="exact"/>
              <w:jc w:val="center"/>
              <w:rPr>
                <w:rFonts w:ascii="Times New Roman" w:hAnsi="Times New Roman" w:cs="Times New Roman"/>
              </w:rPr>
            </w:pPr>
          </w:p>
        </w:tc>
        <w:tc>
          <w:tcPr>
            <w:tcW w:w="1491" w:type="dxa"/>
            <w:vAlign w:val="center"/>
          </w:tcPr>
          <w:p w:rsidR="00475650" w:rsidRDefault="00475650">
            <w:pPr>
              <w:pStyle w:val="afffffffff2"/>
              <w:snapToGrid w:val="0"/>
              <w:spacing w:line="240" w:lineRule="exact"/>
              <w:jc w:val="center"/>
              <w:rPr>
                <w:rFonts w:ascii="Times New Roman" w:hAnsi="Times New Roman" w:cs="Times New Roman"/>
              </w:rPr>
            </w:pPr>
            <w:r>
              <w:rPr>
                <w:rFonts w:ascii="Times New Roman" w:hAnsi="宋体" w:cs="Times New Roman"/>
              </w:rPr>
              <w:t>项目区总量</w:t>
            </w:r>
            <w:r>
              <w:rPr>
                <w:rFonts w:ascii="Times New Roman" w:hAnsi="Times New Roman" w:cs="Times New Roman"/>
              </w:rPr>
              <w:t>(</w:t>
            </w:r>
            <w:r>
              <w:rPr>
                <w:rFonts w:ascii="Times New Roman" w:hAnsi="宋体" w:cs="Times New Roman"/>
              </w:rPr>
              <w:t>吨</w:t>
            </w:r>
            <w:r>
              <w:rPr>
                <w:rFonts w:ascii="Times New Roman" w:hAnsi="Times New Roman" w:cs="Times New Roman"/>
              </w:rPr>
              <w:t>)</w:t>
            </w:r>
          </w:p>
        </w:tc>
        <w:tc>
          <w:tcPr>
            <w:tcW w:w="1134" w:type="dxa"/>
            <w:vAlign w:val="center"/>
          </w:tcPr>
          <w:p w:rsidR="00475650" w:rsidRDefault="00475650">
            <w:pPr>
              <w:pStyle w:val="afffffffff2"/>
              <w:snapToGrid w:val="0"/>
              <w:spacing w:line="240" w:lineRule="exact"/>
              <w:jc w:val="center"/>
              <w:rPr>
                <w:rFonts w:ascii="Times New Roman" w:hAnsi="Times New Roman" w:cs="Times New Roman"/>
              </w:rPr>
            </w:pPr>
            <w:r>
              <w:rPr>
                <w:rFonts w:ascii="Times New Roman" w:hAnsi="宋体" w:cs="Times New Roman"/>
              </w:rPr>
              <w:t>临界量（吨）</w:t>
            </w:r>
          </w:p>
        </w:tc>
        <w:tc>
          <w:tcPr>
            <w:tcW w:w="1301" w:type="dxa"/>
            <w:vAlign w:val="center"/>
          </w:tcPr>
          <w:p w:rsidR="00475650" w:rsidRDefault="00475650">
            <w:pPr>
              <w:pStyle w:val="afffffffff2"/>
              <w:snapToGrid w:val="0"/>
              <w:spacing w:line="240" w:lineRule="exact"/>
              <w:jc w:val="center"/>
              <w:rPr>
                <w:rFonts w:ascii="Times New Roman" w:hAnsi="Times New Roman" w:cs="Times New Roman"/>
              </w:rPr>
            </w:pPr>
            <w:r>
              <w:rPr>
                <w:rFonts w:ascii="Times New Roman" w:hAnsi="宋体" w:cs="Times New Roman"/>
              </w:rPr>
              <w:t>是否为重大危险源</w:t>
            </w:r>
          </w:p>
        </w:tc>
      </w:tr>
      <w:tr w:rsidR="00475650">
        <w:trPr>
          <w:jc w:val="center"/>
        </w:trPr>
        <w:tc>
          <w:tcPr>
            <w:tcW w:w="929" w:type="dxa"/>
            <w:vAlign w:val="center"/>
          </w:tcPr>
          <w:p w:rsidR="00475650" w:rsidRDefault="00475650">
            <w:pPr>
              <w:pStyle w:val="Achievement"/>
            </w:pPr>
            <w:r>
              <w:rPr>
                <w:rFonts w:hAnsi="宋体"/>
              </w:rPr>
              <w:t>储存及装置区</w:t>
            </w:r>
          </w:p>
        </w:tc>
        <w:tc>
          <w:tcPr>
            <w:tcW w:w="952" w:type="dxa"/>
            <w:vAlign w:val="center"/>
          </w:tcPr>
          <w:p w:rsidR="00475650" w:rsidRDefault="00475650">
            <w:pPr>
              <w:pStyle w:val="afffffffff2"/>
              <w:snapToGrid w:val="0"/>
              <w:spacing w:line="240" w:lineRule="exact"/>
              <w:jc w:val="center"/>
              <w:rPr>
                <w:rFonts w:ascii="Times New Roman" w:hAnsi="Times New Roman" w:cs="Times New Roman"/>
              </w:rPr>
            </w:pPr>
            <w:r>
              <w:rPr>
                <w:rFonts w:ascii="Times New Roman" w:hAnsi="宋体" w:cs="Times New Roman"/>
              </w:rPr>
              <w:t>盐酸中间罐</w:t>
            </w:r>
          </w:p>
        </w:tc>
        <w:tc>
          <w:tcPr>
            <w:tcW w:w="996" w:type="dxa"/>
            <w:vAlign w:val="center"/>
          </w:tcPr>
          <w:p w:rsidR="00475650" w:rsidRDefault="00475650">
            <w:pPr>
              <w:pStyle w:val="afffffffff2"/>
              <w:snapToGrid w:val="0"/>
              <w:spacing w:line="240" w:lineRule="exact"/>
              <w:jc w:val="center"/>
              <w:rPr>
                <w:rFonts w:ascii="Times New Roman" w:hAnsi="Times New Roman" w:cs="Times New Roman"/>
              </w:rPr>
            </w:pPr>
            <w:r>
              <w:rPr>
                <w:rFonts w:ascii="Times New Roman" w:hAnsi="宋体" w:cs="Times New Roman"/>
              </w:rPr>
              <w:t>固定罐</w:t>
            </w:r>
          </w:p>
        </w:tc>
        <w:tc>
          <w:tcPr>
            <w:tcW w:w="905" w:type="dxa"/>
            <w:vAlign w:val="center"/>
          </w:tcPr>
          <w:p w:rsidR="00475650" w:rsidRDefault="00475650">
            <w:pPr>
              <w:pStyle w:val="afffffffff2"/>
              <w:snapToGrid w:val="0"/>
              <w:spacing w:line="240" w:lineRule="exact"/>
              <w:jc w:val="center"/>
              <w:rPr>
                <w:rFonts w:ascii="Times New Roman" w:hAnsi="Times New Roman" w:cs="Times New Roman"/>
              </w:rPr>
            </w:pPr>
            <w:r>
              <w:rPr>
                <w:rFonts w:ascii="Times New Roman" w:hAnsi="Times New Roman" w:cs="Times New Roman"/>
              </w:rPr>
              <w:t>3.5</w:t>
            </w:r>
          </w:p>
        </w:tc>
        <w:tc>
          <w:tcPr>
            <w:tcW w:w="1195" w:type="dxa"/>
            <w:vAlign w:val="center"/>
          </w:tcPr>
          <w:p w:rsidR="00475650" w:rsidRDefault="00475650">
            <w:pPr>
              <w:pStyle w:val="afffffffff2"/>
              <w:snapToGrid w:val="0"/>
              <w:spacing w:line="240" w:lineRule="exact"/>
              <w:jc w:val="center"/>
              <w:rPr>
                <w:rFonts w:ascii="Times New Roman" w:hAnsi="Times New Roman" w:cs="Times New Roman"/>
              </w:rPr>
            </w:pPr>
            <w:r>
              <w:rPr>
                <w:rFonts w:ascii="Times New Roman" w:hAnsi="Times New Roman" w:cs="Times New Roman"/>
              </w:rPr>
              <w:t>11.5</w:t>
            </w:r>
          </w:p>
        </w:tc>
        <w:tc>
          <w:tcPr>
            <w:tcW w:w="846" w:type="dxa"/>
            <w:vAlign w:val="center"/>
          </w:tcPr>
          <w:p w:rsidR="00475650" w:rsidRDefault="00475650">
            <w:pPr>
              <w:pStyle w:val="afffffffff2"/>
              <w:snapToGrid w:val="0"/>
              <w:spacing w:line="240" w:lineRule="exact"/>
              <w:jc w:val="center"/>
              <w:rPr>
                <w:rFonts w:ascii="Times New Roman" w:hAnsi="Times New Roman" w:cs="Times New Roman"/>
              </w:rPr>
            </w:pPr>
            <w:r>
              <w:rPr>
                <w:rFonts w:ascii="Times New Roman" w:hAnsi="Times New Roman" w:cs="Times New Roman"/>
              </w:rPr>
              <w:t>3.85</w:t>
            </w:r>
          </w:p>
        </w:tc>
        <w:tc>
          <w:tcPr>
            <w:tcW w:w="1491" w:type="dxa"/>
            <w:vAlign w:val="center"/>
          </w:tcPr>
          <w:p w:rsidR="00475650" w:rsidRDefault="00475650">
            <w:pPr>
              <w:pStyle w:val="afffffffff2"/>
              <w:snapToGrid w:val="0"/>
              <w:spacing w:line="240" w:lineRule="exact"/>
              <w:jc w:val="center"/>
              <w:rPr>
                <w:rFonts w:ascii="Times New Roman" w:hAnsi="Times New Roman" w:cs="Times New Roman"/>
              </w:rPr>
            </w:pPr>
            <w:r>
              <w:rPr>
                <w:rFonts w:ascii="Times New Roman" w:hAnsi="Times New Roman" w:cs="Times New Roman"/>
              </w:rPr>
              <w:t>4.76</w:t>
            </w:r>
          </w:p>
          <w:p w:rsidR="00475650" w:rsidRDefault="00475650">
            <w:pPr>
              <w:pStyle w:val="afffffffff2"/>
              <w:snapToGrid w:val="0"/>
              <w:spacing w:line="240" w:lineRule="exact"/>
              <w:rPr>
                <w:rFonts w:ascii="Times New Roman" w:hAnsi="Times New Roman" w:cs="Times New Roman"/>
              </w:rPr>
            </w:pPr>
            <w:r>
              <w:rPr>
                <w:rFonts w:ascii="Times New Roman" w:hAnsi="宋体" w:cs="Times New Roman" w:hint="eastAsia"/>
              </w:rPr>
              <w:t>(</w:t>
            </w:r>
            <w:r>
              <w:rPr>
                <w:rFonts w:ascii="Times New Roman" w:hAnsi="宋体" w:cs="Times New Roman"/>
              </w:rPr>
              <w:t>核算为</w:t>
            </w:r>
            <w:r>
              <w:rPr>
                <w:rFonts w:ascii="Times New Roman" w:hAnsi="Times New Roman" w:cs="Times New Roman"/>
              </w:rPr>
              <w:t>HCl</w:t>
            </w:r>
            <w:r>
              <w:rPr>
                <w:rFonts w:ascii="Times New Roman" w:hAnsi="宋体" w:cs="Times New Roman"/>
              </w:rPr>
              <w:t>）</w:t>
            </w:r>
          </w:p>
        </w:tc>
        <w:tc>
          <w:tcPr>
            <w:tcW w:w="1134" w:type="dxa"/>
            <w:vAlign w:val="center"/>
          </w:tcPr>
          <w:p w:rsidR="00475650" w:rsidRDefault="00475650">
            <w:pPr>
              <w:pStyle w:val="afffffffff2"/>
              <w:snapToGrid w:val="0"/>
              <w:spacing w:line="240" w:lineRule="exact"/>
              <w:jc w:val="center"/>
              <w:rPr>
                <w:rFonts w:ascii="Times New Roman" w:hAnsi="Times New Roman" w:cs="Times New Roman"/>
              </w:rPr>
            </w:pPr>
            <w:r>
              <w:rPr>
                <w:rFonts w:ascii="Times New Roman" w:hAnsi="Times New Roman" w:cs="Times New Roman"/>
              </w:rPr>
              <w:t>20</w:t>
            </w:r>
          </w:p>
        </w:tc>
        <w:tc>
          <w:tcPr>
            <w:tcW w:w="1301" w:type="dxa"/>
            <w:vMerge w:val="restart"/>
            <w:vAlign w:val="center"/>
          </w:tcPr>
          <w:p w:rsidR="00475650" w:rsidRDefault="00475650">
            <w:pPr>
              <w:snapToGrid w:val="0"/>
              <w:spacing w:line="240" w:lineRule="exact"/>
              <w:jc w:val="center"/>
              <w:rPr>
                <w:szCs w:val="21"/>
              </w:rPr>
            </w:pPr>
            <w:r>
              <w:rPr>
                <w:rFonts w:hAnsi="宋体"/>
                <w:szCs w:val="21"/>
              </w:rPr>
              <w:t>否</w:t>
            </w:r>
          </w:p>
        </w:tc>
      </w:tr>
      <w:tr w:rsidR="00475650">
        <w:trPr>
          <w:jc w:val="center"/>
        </w:trPr>
        <w:tc>
          <w:tcPr>
            <w:tcW w:w="929" w:type="dxa"/>
            <w:vAlign w:val="center"/>
          </w:tcPr>
          <w:p w:rsidR="00475650" w:rsidRDefault="00475650">
            <w:pPr>
              <w:pStyle w:val="Achievement"/>
              <w:rPr>
                <w:rFonts w:hAnsi="宋体"/>
              </w:rPr>
            </w:pPr>
            <w:r>
              <w:rPr>
                <w:rFonts w:hAnsi="宋体" w:hint="eastAsia"/>
              </w:rPr>
              <w:t>车间内原料区</w:t>
            </w:r>
          </w:p>
        </w:tc>
        <w:tc>
          <w:tcPr>
            <w:tcW w:w="952" w:type="dxa"/>
            <w:vAlign w:val="center"/>
          </w:tcPr>
          <w:p w:rsidR="00475650" w:rsidRDefault="00475650">
            <w:pPr>
              <w:pStyle w:val="afffffffff2"/>
              <w:snapToGrid w:val="0"/>
              <w:spacing w:line="240" w:lineRule="exact"/>
              <w:jc w:val="center"/>
              <w:rPr>
                <w:rFonts w:ascii="Times New Roman" w:hAnsi="宋体" w:cs="Times New Roman"/>
              </w:rPr>
            </w:pPr>
            <w:r>
              <w:rPr>
                <w:rFonts w:ascii="Times New Roman" w:hAnsi="宋体" w:cs="Times New Roman" w:hint="eastAsia"/>
              </w:rPr>
              <w:t>乙酸酐</w:t>
            </w:r>
          </w:p>
        </w:tc>
        <w:tc>
          <w:tcPr>
            <w:tcW w:w="996" w:type="dxa"/>
            <w:vAlign w:val="center"/>
          </w:tcPr>
          <w:p w:rsidR="00475650" w:rsidRDefault="00475650">
            <w:pPr>
              <w:pStyle w:val="afffffffff2"/>
              <w:snapToGrid w:val="0"/>
              <w:spacing w:line="240" w:lineRule="exact"/>
              <w:jc w:val="center"/>
              <w:rPr>
                <w:rFonts w:ascii="Times New Roman" w:hAnsi="宋体" w:cs="Times New Roman"/>
              </w:rPr>
            </w:pPr>
            <w:r>
              <w:rPr>
                <w:rFonts w:ascii="Times New Roman" w:hAnsi="宋体" w:cs="Times New Roman" w:hint="eastAsia"/>
              </w:rPr>
              <w:t>包装桶</w:t>
            </w:r>
          </w:p>
        </w:tc>
        <w:tc>
          <w:tcPr>
            <w:tcW w:w="905" w:type="dxa"/>
            <w:vAlign w:val="center"/>
          </w:tcPr>
          <w:p w:rsidR="00475650" w:rsidRDefault="00475650">
            <w:pPr>
              <w:pStyle w:val="afffffffff2"/>
              <w:snapToGrid w:val="0"/>
              <w:spacing w:line="240" w:lineRule="exact"/>
              <w:jc w:val="center"/>
              <w:rPr>
                <w:rFonts w:ascii="Times New Roman" w:hAnsi="Times New Roman" w:cs="Times New Roman"/>
              </w:rPr>
            </w:pPr>
            <w:r>
              <w:rPr>
                <w:rFonts w:ascii="Times New Roman" w:hAnsi="Times New Roman" w:cs="Times New Roman" w:hint="eastAsia"/>
              </w:rPr>
              <w:t>0.2</w:t>
            </w:r>
          </w:p>
        </w:tc>
        <w:tc>
          <w:tcPr>
            <w:tcW w:w="1195" w:type="dxa"/>
            <w:vAlign w:val="center"/>
          </w:tcPr>
          <w:p w:rsidR="00475650" w:rsidRDefault="00475650">
            <w:pPr>
              <w:pStyle w:val="afffffffff2"/>
              <w:snapToGrid w:val="0"/>
              <w:spacing w:line="240" w:lineRule="exact"/>
              <w:jc w:val="center"/>
              <w:rPr>
                <w:rFonts w:ascii="Times New Roman" w:hAnsi="Times New Roman" w:cs="Times New Roman"/>
              </w:rPr>
            </w:pPr>
            <w:r>
              <w:rPr>
                <w:rFonts w:ascii="Times New Roman" w:hAnsi="Times New Roman" w:cs="Times New Roman" w:hint="eastAsia"/>
              </w:rPr>
              <w:t>3</w:t>
            </w:r>
          </w:p>
        </w:tc>
        <w:tc>
          <w:tcPr>
            <w:tcW w:w="846" w:type="dxa"/>
            <w:vAlign w:val="center"/>
          </w:tcPr>
          <w:p w:rsidR="00475650" w:rsidRDefault="00475650">
            <w:pPr>
              <w:pStyle w:val="afffffffff2"/>
              <w:snapToGrid w:val="0"/>
              <w:spacing w:line="240" w:lineRule="exact"/>
              <w:jc w:val="center"/>
              <w:rPr>
                <w:rFonts w:ascii="Times New Roman" w:hAnsi="Times New Roman" w:cs="Times New Roman"/>
              </w:rPr>
            </w:pPr>
            <w:r>
              <w:rPr>
                <w:rFonts w:ascii="Times New Roman" w:hAnsi="Times New Roman" w:cs="Times New Roman" w:hint="eastAsia"/>
              </w:rPr>
              <w:t>15</w:t>
            </w:r>
          </w:p>
        </w:tc>
        <w:tc>
          <w:tcPr>
            <w:tcW w:w="1491" w:type="dxa"/>
            <w:vAlign w:val="center"/>
          </w:tcPr>
          <w:p w:rsidR="00475650" w:rsidRDefault="00475650">
            <w:pPr>
              <w:pStyle w:val="afffffffff2"/>
              <w:snapToGrid w:val="0"/>
              <w:spacing w:line="240" w:lineRule="exact"/>
              <w:jc w:val="center"/>
              <w:rPr>
                <w:rFonts w:ascii="Times New Roman" w:hAnsi="Times New Roman" w:cs="Times New Roman"/>
              </w:rPr>
            </w:pPr>
            <w:r>
              <w:rPr>
                <w:rFonts w:ascii="Times New Roman" w:hAnsi="Times New Roman" w:cs="Times New Roman" w:hint="eastAsia"/>
              </w:rPr>
              <w:t>18</w:t>
            </w:r>
          </w:p>
        </w:tc>
        <w:tc>
          <w:tcPr>
            <w:tcW w:w="1134" w:type="dxa"/>
            <w:vAlign w:val="center"/>
          </w:tcPr>
          <w:p w:rsidR="00475650" w:rsidRDefault="00475650">
            <w:pPr>
              <w:pStyle w:val="afffffffff2"/>
              <w:snapToGrid w:val="0"/>
              <w:spacing w:line="240" w:lineRule="exact"/>
              <w:jc w:val="center"/>
              <w:rPr>
                <w:rFonts w:ascii="Times New Roman" w:hAnsi="Times New Roman" w:cs="Times New Roman"/>
              </w:rPr>
            </w:pPr>
            <w:r>
              <w:rPr>
                <w:rFonts w:ascii="Times New Roman" w:hAnsi="Times New Roman" w:cs="Times New Roman" w:hint="eastAsia"/>
              </w:rPr>
              <w:t>5000</w:t>
            </w:r>
          </w:p>
        </w:tc>
        <w:tc>
          <w:tcPr>
            <w:tcW w:w="1301" w:type="dxa"/>
            <w:vMerge/>
            <w:vAlign w:val="center"/>
          </w:tcPr>
          <w:p w:rsidR="00475650" w:rsidRDefault="00475650">
            <w:pPr>
              <w:snapToGrid w:val="0"/>
              <w:spacing w:line="240" w:lineRule="exact"/>
              <w:rPr>
                <w:rFonts w:hAnsi="宋体"/>
                <w:szCs w:val="21"/>
              </w:rPr>
            </w:pPr>
          </w:p>
        </w:tc>
      </w:tr>
    </w:tbl>
    <w:p w:rsidR="00475650" w:rsidRDefault="00475650">
      <w:pPr>
        <w:tabs>
          <w:tab w:val="left" w:pos="3600"/>
          <w:tab w:val="center" w:pos="7001"/>
        </w:tabs>
        <w:spacing w:line="360" w:lineRule="auto"/>
        <w:ind w:firstLineChars="200" w:firstLine="480"/>
        <w:rPr>
          <w:sz w:val="24"/>
        </w:rPr>
      </w:pPr>
      <w:r>
        <w:rPr>
          <w:rFonts w:hAnsi="宋体"/>
          <w:sz w:val="24"/>
        </w:rPr>
        <w:t>根据以上判别信息，</w:t>
      </w:r>
      <w:r>
        <w:rPr>
          <w:sz w:val="24"/>
        </w:rPr>
        <w:t>∑=</w:t>
      </w:r>
      <w:r>
        <w:rPr>
          <w:szCs w:val="21"/>
        </w:rPr>
        <w:t>q</w:t>
      </w:r>
      <w:r>
        <w:rPr>
          <w:szCs w:val="21"/>
          <w:vertAlign w:val="subscript"/>
        </w:rPr>
        <w:t>1</w:t>
      </w:r>
      <w:r>
        <w:rPr>
          <w:szCs w:val="21"/>
        </w:rPr>
        <w:t>/Q</w:t>
      </w:r>
      <w:r>
        <w:rPr>
          <w:szCs w:val="21"/>
          <w:vertAlign w:val="subscript"/>
        </w:rPr>
        <w:t>1</w:t>
      </w:r>
      <w:r>
        <w:rPr>
          <w:szCs w:val="21"/>
        </w:rPr>
        <w:t>+q</w:t>
      </w:r>
      <w:r>
        <w:rPr>
          <w:szCs w:val="21"/>
          <w:vertAlign w:val="subscript"/>
        </w:rPr>
        <w:t>2</w:t>
      </w:r>
      <w:r>
        <w:rPr>
          <w:szCs w:val="21"/>
        </w:rPr>
        <w:t>/Q</w:t>
      </w:r>
      <w:r>
        <w:rPr>
          <w:szCs w:val="21"/>
          <w:vertAlign w:val="subscript"/>
        </w:rPr>
        <w:t>2</w:t>
      </w:r>
      <w:r>
        <w:rPr>
          <w:szCs w:val="21"/>
        </w:rPr>
        <w:t>+…</w:t>
      </w:r>
      <w:r>
        <w:rPr>
          <w:rFonts w:hAnsi="宋体"/>
          <w:szCs w:val="21"/>
        </w:rPr>
        <w:t>＋</w:t>
      </w:r>
      <w:r>
        <w:rPr>
          <w:szCs w:val="21"/>
        </w:rPr>
        <w:t>q</w:t>
      </w:r>
      <w:r>
        <w:rPr>
          <w:szCs w:val="21"/>
          <w:vertAlign w:val="subscript"/>
        </w:rPr>
        <w:t>n</w:t>
      </w:r>
      <w:r>
        <w:rPr>
          <w:szCs w:val="21"/>
        </w:rPr>
        <w:t>/Q</w:t>
      </w:r>
      <w:r>
        <w:rPr>
          <w:szCs w:val="21"/>
          <w:vertAlign w:val="subscript"/>
        </w:rPr>
        <w:t>n</w:t>
      </w:r>
      <w:r>
        <w:rPr>
          <w:sz w:val="24"/>
        </w:rPr>
        <w:t>=0.24</w:t>
      </w:r>
      <w:r>
        <w:rPr>
          <w:rFonts w:hint="eastAsia"/>
          <w:sz w:val="24"/>
        </w:rPr>
        <w:t>4</w:t>
      </w:r>
      <w:r>
        <w:rPr>
          <w:rFonts w:hAnsi="宋体"/>
          <w:sz w:val="24"/>
        </w:rPr>
        <w:t>＜</w:t>
      </w:r>
      <w:r>
        <w:rPr>
          <w:sz w:val="24"/>
        </w:rPr>
        <w:t>1</w:t>
      </w:r>
      <w:r>
        <w:rPr>
          <w:rFonts w:hAnsi="宋体"/>
          <w:sz w:val="24"/>
        </w:rPr>
        <w:t>，本项目不属于重大危险源。</w:t>
      </w:r>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864" w:name="_Toc465677045"/>
      <w:bookmarkStart w:id="865" w:name="_Toc18114"/>
      <w:bookmarkStart w:id="866" w:name="_Toc332293039"/>
      <w:bookmarkStart w:id="867" w:name="_Toc334080872"/>
      <w:bookmarkStart w:id="868" w:name="_Toc334014230"/>
      <w:bookmarkStart w:id="869" w:name="_Toc333230054"/>
      <w:r>
        <w:rPr>
          <w:rStyle w:val="2Char1Char"/>
          <w:rFonts w:ascii="Times New Roman" w:eastAsia="宋体" w:hAnsi="Times New Roman" w:cs="Times New Roman"/>
          <w:b w:val="0"/>
          <w:sz w:val="24"/>
          <w:szCs w:val="24"/>
        </w:rPr>
        <w:t>6.2.4</w:t>
      </w:r>
      <w:r>
        <w:rPr>
          <w:rStyle w:val="2Char1Char"/>
          <w:rFonts w:ascii="Times New Roman" w:eastAsia="宋体" w:hAnsi="宋体" w:cs="Times New Roman"/>
          <w:b w:val="0"/>
          <w:sz w:val="24"/>
          <w:szCs w:val="24"/>
        </w:rPr>
        <w:t>环境风险识别</w:t>
      </w:r>
      <w:bookmarkEnd w:id="864"/>
      <w:bookmarkEnd w:id="865"/>
      <w:bookmarkEnd w:id="866"/>
      <w:bookmarkEnd w:id="867"/>
      <w:bookmarkEnd w:id="868"/>
      <w:bookmarkEnd w:id="869"/>
    </w:p>
    <w:p w:rsidR="00475650" w:rsidRDefault="00475650">
      <w:pPr>
        <w:pStyle w:val="aff7"/>
        <w:ind w:firstLineChars="225" w:firstLine="540"/>
        <w:rPr>
          <w:bCs/>
          <w:sz w:val="24"/>
          <w:szCs w:val="30"/>
        </w:rPr>
      </w:pPr>
      <w:r>
        <w:rPr>
          <w:rFonts w:hAnsi="宋体"/>
          <w:bCs/>
          <w:sz w:val="24"/>
          <w:szCs w:val="30"/>
        </w:rPr>
        <w:t>根据项目特征，本工程可能存在的环境风险主要有危化品的泄漏、爆炸引发的</w:t>
      </w:r>
      <w:r>
        <w:rPr>
          <w:rFonts w:hAnsi="宋体"/>
          <w:bCs/>
          <w:sz w:val="24"/>
          <w:szCs w:val="30"/>
        </w:rPr>
        <w:lastRenderedPageBreak/>
        <w:t>环境污染事故、环保设施故障以及运输事故等。其主要环境风险源项识别见表</w:t>
      </w:r>
      <w:r>
        <w:rPr>
          <w:bCs/>
          <w:sz w:val="24"/>
          <w:szCs w:val="30"/>
        </w:rPr>
        <w:t>6.2-4</w:t>
      </w:r>
      <w:r>
        <w:rPr>
          <w:rFonts w:hAnsi="宋体"/>
          <w:bCs/>
          <w:sz w:val="24"/>
          <w:szCs w:val="30"/>
        </w:rPr>
        <w:t>。</w:t>
      </w:r>
    </w:p>
    <w:p w:rsidR="00475650" w:rsidRDefault="00475650">
      <w:pPr>
        <w:pStyle w:val="aff7"/>
        <w:ind w:firstLine="0"/>
        <w:jc w:val="center"/>
        <w:rPr>
          <w:bCs/>
          <w:sz w:val="24"/>
        </w:rPr>
      </w:pPr>
      <w:r>
        <w:rPr>
          <w:rFonts w:hAnsi="宋体"/>
          <w:bCs/>
          <w:sz w:val="24"/>
        </w:rPr>
        <w:t>表</w:t>
      </w:r>
      <w:r>
        <w:rPr>
          <w:bCs/>
          <w:sz w:val="24"/>
        </w:rPr>
        <w:t xml:space="preserve">6.2-4    </w:t>
      </w:r>
      <w:r>
        <w:rPr>
          <w:rFonts w:hAnsi="宋体"/>
          <w:bCs/>
          <w:sz w:val="24"/>
        </w:rPr>
        <w:t>主要环境风险源项识别表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158"/>
        <w:gridCol w:w="1592"/>
        <w:gridCol w:w="6196"/>
      </w:tblGrid>
      <w:tr w:rsidR="00475650">
        <w:tc>
          <w:tcPr>
            <w:tcW w:w="1158" w:type="dxa"/>
            <w:vAlign w:val="center"/>
          </w:tcPr>
          <w:p w:rsidR="00475650" w:rsidRDefault="00475650">
            <w:pPr>
              <w:pStyle w:val="aff7"/>
              <w:spacing w:line="240" w:lineRule="auto"/>
              <w:ind w:firstLine="0"/>
              <w:jc w:val="center"/>
              <w:rPr>
                <w:kern w:val="0"/>
                <w:sz w:val="21"/>
                <w:szCs w:val="21"/>
              </w:rPr>
            </w:pPr>
            <w:r>
              <w:rPr>
                <w:rFonts w:hAnsi="宋体"/>
                <w:kern w:val="0"/>
                <w:sz w:val="21"/>
                <w:szCs w:val="21"/>
              </w:rPr>
              <w:t>事故物质</w:t>
            </w:r>
          </w:p>
        </w:tc>
        <w:tc>
          <w:tcPr>
            <w:tcW w:w="1592" w:type="dxa"/>
            <w:vAlign w:val="center"/>
          </w:tcPr>
          <w:p w:rsidR="00475650" w:rsidRDefault="00475650">
            <w:pPr>
              <w:pStyle w:val="aff7"/>
              <w:spacing w:line="240" w:lineRule="auto"/>
              <w:ind w:firstLine="0"/>
              <w:jc w:val="center"/>
              <w:rPr>
                <w:kern w:val="0"/>
                <w:sz w:val="21"/>
                <w:szCs w:val="21"/>
              </w:rPr>
            </w:pPr>
            <w:r>
              <w:rPr>
                <w:rFonts w:hAnsi="宋体"/>
                <w:kern w:val="0"/>
                <w:sz w:val="21"/>
                <w:szCs w:val="21"/>
              </w:rPr>
              <w:t>事故类别</w:t>
            </w:r>
          </w:p>
        </w:tc>
        <w:tc>
          <w:tcPr>
            <w:tcW w:w="6196" w:type="dxa"/>
            <w:vAlign w:val="center"/>
          </w:tcPr>
          <w:p w:rsidR="00475650" w:rsidRDefault="00475650">
            <w:pPr>
              <w:pStyle w:val="aff7"/>
              <w:spacing w:line="240" w:lineRule="auto"/>
              <w:ind w:firstLine="0"/>
              <w:jc w:val="center"/>
              <w:rPr>
                <w:kern w:val="0"/>
                <w:sz w:val="21"/>
                <w:szCs w:val="21"/>
              </w:rPr>
            </w:pPr>
            <w:r>
              <w:rPr>
                <w:rFonts w:hAnsi="宋体"/>
                <w:kern w:val="0"/>
                <w:sz w:val="21"/>
                <w:szCs w:val="21"/>
              </w:rPr>
              <w:t>事故危害</w:t>
            </w:r>
          </w:p>
        </w:tc>
      </w:tr>
      <w:tr w:rsidR="00475650">
        <w:trPr>
          <w:trHeight w:val="464"/>
        </w:trPr>
        <w:tc>
          <w:tcPr>
            <w:tcW w:w="1158" w:type="dxa"/>
            <w:vAlign w:val="center"/>
          </w:tcPr>
          <w:p w:rsidR="00475650" w:rsidRDefault="00475650">
            <w:pPr>
              <w:pStyle w:val="aff7"/>
              <w:spacing w:line="240" w:lineRule="auto"/>
              <w:ind w:firstLine="0"/>
              <w:jc w:val="left"/>
              <w:rPr>
                <w:bCs/>
                <w:kern w:val="0"/>
                <w:sz w:val="21"/>
                <w:szCs w:val="21"/>
              </w:rPr>
            </w:pPr>
            <w:r>
              <w:rPr>
                <w:rFonts w:hAnsi="宋体"/>
                <w:bCs/>
                <w:kern w:val="0"/>
                <w:sz w:val="21"/>
                <w:szCs w:val="21"/>
              </w:rPr>
              <w:t>有害气体</w:t>
            </w:r>
          </w:p>
        </w:tc>
        <w:tc>
          <w:tcPr>
            <w:tcW w:w="1592" w:type="dxa"/>
            <w:vAlign w:val="center"/>
          </w:tcPr>
          <w:p w:rsidR="00475650" w:rsidRDefault="00475650">
            <w:pPr>
              <w:pStyle w:val="aff7"/>
              <w:spacing w:line="240" w:lineRule="auto"/>
              <w:ind w:firstLine="0"/>
              <w:jc w:val="center"/>
              <w:rPr>
                <w:kern w:val="0"/>
                <w:sz w:val="21"/>
                <w:szCs w:val="21"/>
              </w:rPr>
            </w:pPr>
            <w:r>
              <w:rPr>
                <w:rFonts w:hAnsi="宋体"/>
                <w:kern w:val="0"/>
                <w:sz w:val="21"/>
                <w:szCs w:val="21"/>
              </w:rPr>
              <w:t>污染防治措施失效</w:t>
            </w:r>
          </w:p>
        </w:tc>
        <w:tc>
          <w:tcPr>
            <w:tcW w:w="6196" w:type="dxa"/>
            <w:vAlign w:val="center"/>
          </w:tcPr>
          <w:p w:rsidR="00475650" w:rsidRDefault="00475650">
            <w:pPr>
              <w:pStyle w:val="aff7"/>
              <w:spacing w:line="240" w:lineRule="auto"/>
              <w:ind w:firstLine="0"/>
              <w:jc w:val="center"/>
              <w:rPr>
                <w:kern w:val="0"/>
                <w:sz w:val="21"/>
                <w:szCs w:val="21"/>
              </w:rPr>
            </w:pPr>
            <w:r>
              <w:rPr>
                <w:rFonts w:hAnsi="宋体"/>
                <w:kern w:val="0"/>
                <w:sz w:val="21"/>
                <w:szCs w:val="21"/>
              </w:rPr>
              <w:t>下风向大气环境中</w:t>
            </w:r>
            <w:r>
              <w:rPr>
                <w:rFonts w:hAnsi="宋体" w:hint="eastAsia"/>
                <w:kern w:val="0"/>
                <w:sz w:val="21"/>
                <w:szCs w:val="21"/>
              </w:rPr>
              <w:t>污染物</w:t>
            </w:r>
            <w:r>
              <w:rPr>
                <w:rFonts w:hAnsi="宋体"/>
                <w:kern w:val="0"/>
                <w:sz w:val="21"/>
                <w:szCs w:val="21"/>
              </w:rPr>
              <w:t>浓度超标，危害人体健康</w:t>
            </w:r>
          </w:p>
        </w:tc>
      </w:tr>
      <w:tr w:rsidR="00475650">
        <w:trPr>
          <w:trHeight w:val="464"/>
        </w:trPr>
        <w:tc>
          <w:tcPr>
            <w:tcW w:w="1158" w:type="dxa"/>
            <w:vAlign w:val="center"/>
          </w:tcPr>
          <w:p w:rsidR="00475650" w:rsidRDefault="00475650">
            <w:pPr>
              <w:pStyle w:val="aff7"/>
              <w:spacing w:line="240" w:lineRule="auto"/>
              <w:ind w:firstLine="0"/>
              <w:jc w:val="left"/>
              <w:rPr>
                <w:bCs/>
                <w:kern w:val="0"/>
                <w:sz w:val="21"/>
                <w:szCs w:val="21"/>
              </w:rPr>
            </w:pPr>
            <w:r>
              <w:rPr>
                <w:rFonts w:hAnsi="宋体"/>
                <w:bCs/>
                <w:kern w:val="0"/>
                <w:sz w:val="21"/>
                <w:szCs w:val="21"/>
              </w:rPr>
              <w:t>腐蚀品</w:t>
            </w:r>
          </w:p>
        </w:tc>
        <w:tc>
          <w:tcPr>
            <w:tcW w:w="1592" w:type="dxa"/>
            <w:vAlign w:val="center"/>
          </w:tcPr>
          <w:p w:rsidR="00475650" w:rsidRDefault="00475650">
            <w:pPr>
              <w:pStyle w:val="aff7"/>
              <w:spacing w:line="240" w:lineRule="auto"/>
              <w:ind w:firstLine="0"/>
              <w:jc w:val="center"/>
              <w:rPr>
                <w:kern w:val="0"/>
                <w:sz w:val="21"/>
                <w:szCs w:val="21"/>
              </w:rPr>
            </w:pPr>
            <w:r>
              <w:rPr>
                <w:rFonts w:hAnsi="宋体"/>
                <w:kern w:val="0"/>
                <w:sz w:val="21"/>
                <w:szCs w:val="21"/>
              </w:rPr>
              <w:t>泄漏及运输事故</w:t>
            </w:r>
          </w:p>
        </w:tc>
        <w:tc>
          <w:tcPr>
            <w:tcW w:w="6196" w:type="dxa"/>
            <w:vAlign w:val="center"/>
          </w:tcPr>
          <w:p w:rsidR="00475650" w:rsidRDefault="00475650">
            <w:pPr>
              <w:pStyle w:val="aff7"/>
              <w:spacing w:line="240" w:lineRule="auto"/>
              <w:ind w:firstLine="0"/>
              <w:jc w:val="center"/>
              <w:rPr>
                <w:kern w:val="0"/>
                <w:sz w:val="21"/>
                <w:szCs w:val="21"/>
              </w:rPr>
            </w:pPr>
            <w:r>
              <w:rPr>
                <w:rFonts w:hAnsi="宋体"/>
                <w:kern w:val="0"/>
                <w:sz w:val="21"/>
                <w:szCs w:val="21"/>
              </w:rPr>
              <w:t>片碱</w:t>
            </w:r>
            <w:r>
              <w:rPr>
                <w:rFonts w:hAnsi="宋体" w:hint="eastAsia"/>
                <w:kern w:val="0"/>
                <w:sz w:val="21"/>
                <w:szCs w:val="21"/>
              </w:rPr>
              <w:t>、</w:t>
            </w:r>
            <w:r>
              <w:rPr>
                <w:rFonts w:hAnsi="宋体"/>
                <w:kern w:val="0"/>
                <w:sz w:val="21"/>
                <w:szCs w:val="21"/>
              </w:rPr>
              <w:t>盐酸</w:t>
            </w:r>
            <w:r>
              <w:rPr>
                <w:rFonts w:hAnsi="宋体" w:hint="eastAsia"/>
                <w:kern w:val="0"/>
                <w:sz w:val="21"/>
                <w:szCs w:val="21"/>
              </w:rPr>
              <w:t>、γ酸、尿素、乙酸酐等</w:t>
            </w:r>
            <w:r>
              <w:rPr>
                <w:rFonts w:hAnsi="宋体"/>
                <w:kern w:val="0"/>
                <w:sz w:val="21"/>
                <w:szCs w:val="21"/>
              </w:rPr>
              <w:t>物质的泄漏危害人体健康</w:t>
            </w:r>
            <w:r>
              <w:rPr>
                <w:rFonts w:hAnsi="宋体" w:hint="eastAsia"/>
                <w:kern w:val="0"/>
                <w:sz w:val="21"/>
                <w:szCs w:val="21"/>
              </w:rPr>
              <w:t>，污染大气、</w:t>
            </w:r>
            <w:r>
              <w:rPr>
                <w:rFonts w:hAnsi="宋体"/>
                <w:kern w:val="0"/>
                <w:sz w:val="21"/>
                <w:szCs w:val="21"/>
              </w:rPr>
              <w:t>土壤、水体环境</w:t>
            </w:r>
          </w:p>
        </w:tc>
      </w:tr>
      <w:tr w:rsidR="00475650">
        <w:trPr>
          <w:trHeight w:val="464"/>
        </w:trPr>
        <w:tc>
          <w:tcPr>
            <w:tcW w:w="1158" w:type="dxa"/>
            <w:vAlign w:val="center"/>
          </w:tcPr>
          <w:p w:rsidR="00475650" w:rsidRDefault="00475650">
            <w:pPr>
              <w:pStyle w:val="aff7"/>
              <w:spacing w:line="240" w:lineRule="auto"/>
              <w:ind w:firstLine="0"/>
              <w:jc w:val="left"/>
              <w:rPr>
                <w:bCs/>
                <w:kern w:val="0"/>
                <w:sz w:val="21"/>
                <w:szCs w:val="21"/>
              </w:rPr>
            </w:pPr>
            <w:r>
              <w:rPr>
                <w:rFonts w:hAnsi="宋体"/>
                <w:bCs/>
                <w:kern w:val="0"/>
                <w:sz w:val="21"/>
                <w:szCs w:val="21"/>
              </w:rPr>
              <w:t>危险废物</w:t>
            </w:r>
          </w:p>
        </w:tc>
        <w:tc>
          <w:tcPr>
            <w:tcW w:w="1592" w:type="dxa"/>
            <w:vAlign w:val="center"/>
          </w:tcPr>
          <w:p w:rsidR="00475650" w:rsidRDefault="00475650">
            <w:pPr>
              <w:pStyle w:val="aff7"/>
              <w:spacing w:line="240" w:lineRule="auto"/>
              <w:ind w:firstLine="0"/>
              <w:jc w:val="center"/>
              <w:rPr>
                <w:kern w:val="0"/>
                <w:sz w:val="21"/>
                <w:szCs w:val="21"/>
              </w:rPr>
            </w:pPr>
            <w:r>
              <w:rPr>
                <w:rFonts w:hAnsi="宋体"/>
                <w:kern w:val="0"/>
                <w:sz w:val="21"/>
                <w:szCs w:val="21"/>
              </w:rPr>
              <w:t>储存及运输</w:t>
            </w:r>
          </w:p>
        </w:tc>
        <w:tc>
          <w:tcPr>
            <w:tcW w:w="6196" w:type="dxa"/>
            <w:vAlign w:val="center"/>
          </w:tcPr>
          <w:p w:rsidR="00475650" w:rsidRDefault="00475650">
            <w:pPr>
              <w:pStyle w:val="aff7"/>
              <w:spacing w:line="240" w:lineRule="auto"/>
              <w:ind w:firstLine="0"/>
              <w:jc w:val="center"/>
              <w:rPr>
                <w:kern w:val="0"/>
                <w:sz w:val="21"/>
                <w:szCs w:val="21"/>
              </w:rPr>
            </w:pPr>
            <w:r>
              <w:rPr>
                <w:rFonts w:hAnsi="宋体"/>
                <w:kern w:val="0"/>
                <w:sz w:val="21"/>
                <w:szCs w:val="21"/>
              </w:rPr>
              <w:t>一旦发生泄漏将污染周边水体及土壤环境</w:t>
            </w:r>
          </w:p>
        </w:tc>
      </w:tr>
    </w:tbl>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870" w:name="_Toc270867256"/>
      <w:bookmarkStart w:id="871" w:name="_Toc5139"/>
      <w:bookmarkStart w:id="872" w:name="_Toc269809354"/>
      <w:bookmarkStart w:id="873" w:name="_Toc332293040"/>
      <w:bookmarkStart w:id="874" w:name="_Toc270622951"/>
      <w:r>
        <w:rPr>
          <w:rStyle w:val="2Char1Char"/>
          <w:rFonts w:ascii="Times New Roman" w:eastAsia="宋体" w:hAnsi="Times New Roman" w:cs="Times New Roman"/>
          <w:b w:val="0"/>
          <w:sz w:val="28"/>
          <w:szCs w:val="28"/>
        </w:rPr>
        <w:t>6.3</w:t>
      </w:r>
      <w:r>
        <w:rPr>
          <w:rStyle w:val="2Char1Char"/>
          <w:rFonts w:ascii="Times New Roman" w:eastAsia="宋体" w:hAnsi="宋体" w:cs="Times New Roman"/>
          <w:b w:val="0"/>
          <w:sz w:val="28"/>
          <w:szCs w:val="28"/>
        </w:rPr>
        <w:t>评价等级及范围</w:t>
      </w:r>
      <w:bookmarkEnd w:id="870"/>
      <w:bookmarkEnd w:id="871"/>
      <w:bookmarkEnd w:id="872"/>
      <w:bookmarkEnd w:id="873"/>
      <w:bookmarkEnd w:id="874"/>
    </w:p>
    <w:p w:rsidR="00475650" w:rsidRDefault="00475650">
      <w:pPr>
        <w:snapToGrid w:val="0"/>
        <w:spacing w:line="360" w:lineRule="auto"/>
        <w:ind w:firstLineChars="200" w:firstLine="480"/>
        <w:rPr>
          <w:sz w:val="24"/>
        </w:rPr>
      </w:pPr>
      <w:r>
        <w:rPr>
          <w:rFonts w:hAnsi="宋体"/>
          <w:sz w:val="24"/>
        </w:rPr>
        <w:t>根据重大危险源辨识结果：本项目未构成重大危险源，项目区位于工业园内，不属于环境敏感区，根据《建设项目环境风险评价技术导则》</w:t>
      </w:r>
      <w:r>
        <w:rPr>
          <w:sz w:val="24"/>
        </w:rPr>
        <w:t>(HJ/T169-2004)</w:t>
      </w:r>
      <w:r>
        <w:rPr>
          <w:rFonts w:hAnsi="宋体"/>
          <w:sz w:val="24"/>
        </w:rPr>
        <w:t>中关于风险评价等级的划分方法，本工程风险评价定为二级。</w:t>
      </w:r>
    </w:p>
    <w:p w:rsidR="00475650" w:rsidRDefault="00475650">
      <w:pPr>
        <w:snapToGrid w:val="0"/>
        <w:spacing w:line="360" w:lineRule="auto"/>
        <w:ind w:firstLineChars="200" w:firstLine="480"/>
        <w:rPr>
          <w:sz w:val="24"/>
        </w:rPr>
      </w:pPr>
      <w:r>
        <w:rPr>
          <w:rFonts w:hAnsi="宋体"/>
          <w:sz w:val="24"/>
        </w:rPr>
        <w:t>本次风险评价范围为距离罐区及装置区</w:t>
      </w:r>
      <w:r>
        <w:rPr>
          <w:sz w:val="24"/>
        </w:rPr>
        <w:t>3km</w:t>
      </w:r>
      <w:r>
        <w:rPr>
          <w:rFonts w:hAnsi="宋体"/>
          <w:sz w:val="24"/>
        </w:rPr>
        <w:t>的范围内。</w:t>
      </w:r>
    </w:p>
    <w:p w:rsidR="00475650" w:rsidRDefault="00475650">
      <w:pPr>
        <w:pStyle w:val="aff7"/>
        <w:ind w:firstLine="0"/>
        <w:jc w:val="center"/>
        <w:rPr>
          <w:rFonts w:hAnsi="宋体"/>
          <w:bCs/>
          <w:sz w:val="24"/>
        </w:rPr>
      </w:pPr>
      <w:r>
        <w:rPr>
          <w:rFonts w:hAnsi="宋体"/>
          <w:bCs/>
          <w:sz w:val="24"/>
        </w:rPr>
        <w:t>表</w:t>
      </w:r>
      <w:r>
        <w:rPr>
          <w:bCs/>
          <w:sz w:val="24"/>
        </w:rPr>
        <w:t xml:space="preserve">6.3-1    </w:t>
      </w:r>
      <w:r>
        <w:rPr>
          <w:rFonts w:hAnsi="宋体"/>
          <w:bCs/>
          <w:sz w:val="24"/>
        </w:rPr>
        <w:t>评价工作级别（一、二级）</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548"/>
        <w:gridCol w:w="1659"/>
        <w:gridCol w:w="1866"/>
        <w:gridCol w:w="2235"/>
        <w:gridCol w:w="1763"/>
      </w:tblGrid>
      <w:tr w:rsidR="00475650">
        <w:trPr>
          <w:jc w:val="center"/>
        </w:trPr>
        <w:tc>
          <w:tcPr>
            <w:tcW w:w="1548" w:type="dxa"/>
            <w:tcMar>
              <w:left w:w="57" w:type="dxa"/>
              <w:right w:w="57" w:type="dxa"/>
            </w:tcMar>
            <w:vAlign w:val="center"/>
          </w:tcPr>
          <w:p w:rsidR="00475650" w:rsidRDefault="00475650">
            <w:pPr>
              <w:pStyle w:val="2ffffff2"/>
              <w:widowControl w:val="0"/>
              <w:ind w:left="-21" w:right="-42" w:firstLine="420"/>
              <w:rPr>
                <w:rFonts w:cs="Times New Roman"/>
                <w:bCs/>
              </w:rPr>
            </w:pPr>
          </w:p>
        </w:tc>
        <w:tc>
          <w:tcPr>
            <w:tcW w:w="1659" w:type="dxa"/>
            <w:vAlign w:val="center"/>
          </w:tcPr>
          <w:p w:rsidR="00475650" w:rsidRDefault="00475650">
            <w:pPr>
              <w:pStyle w:val="2ffffff2"/>
              <w:widowControl w:val="0"/>
              <w:ind w:right="-42"/>
              <w:jc w:val="both"/>
              <w:rPr>
                <w:rFonts w:cs="Times New Roman"/>
                <w:bCs/>
              </w:rPr>
            </w:pPr>
            <w:r>
              <w:rPr>
                <w:rFonts w:hAnsi="宋体" w:cs="Times New Roman"/>
                <w:bCs/>
              </w:rPr>
              <w:t>剧毒危险性物质</w:t>
            </w:r>
          </w:p>
        </w:tc>
        <w:tc>
          <w:tcPr>
            <w:tcW w:w="1866" w:type="dxa"/>
            <w:vAlign w:val="center"/>
          </w:tcPr>
          <w:p w:rsidR="00475650" w:rsidRDefault="00475650">
            <w:pPr>
              <w:pStyle w:val="2ffffff2"/>
              <w:widowControl w:val="0"/>
              <w:ind w:left="-21" w:right="-42"/>
              <w:jc w:val="both"/>
              <w:rPr>
                <w:rFonts w:cs="Times New Roman"/>
                <w:bCs/>
              </w:rPr>
            </w:pPr>
            <w:r>
              <w:rPr>
                <w:rFonts w:hAnsi="宋体" w:cs="Times New Roman"/>
                <w:bCs/>
              </w:rPr>
              <w:t>一般毒性危险物质</w:t>
            </w:r>
          </w:p>
        </w:tc>
        <w:tc>
          <w:tcPr>
            <w:tcW w:w="2235" w:type="dxa"/>
            <w:vAlign w:val="center"/>
          </w:tcPr>
          <w:p w:rsidR="00475650" w:rsidRDefault="00475650">
            <w:pPr>
              <w:pStyle w:val="2ffffff2"/>
              <w:widowControl w:val="0"/>
              <w:ind w:right="-42"/>
              <w:jc w:val="both"/>
              <w:rPr>
                <w:rFonts w:cs="Times New Roman"/>
                <w:bCs/>
              </w:rPr>
            </w:pPr>
            <w:r>
              <w:rPr>
                <w:rFonts w:hAnsi="宋体" w:cs="Times New Roman"/>
                <w:bCs/>
              </w:rPr>
              <w:t>可燃、易燃危险性物质</w:t>
            </w:r>
          </w:p>
        </w:tc>
        <w:tc>
          <w:tcPr>
            <w:tcW w:w="1763" w:type="dxa"/>
            <w:vAlign w:val="center"/>
          </w:tcPr>
          <w:p w:rsidR="00475650" w:rsidRDefault="00475650">
            <w:pPr>
              <w:pStyle w:val="2ffffff2"/>
              <w:widowControl w:val="0"/>
              <w:ind w:right="-42"/>
              <w:jc w:val="both"/>
              <w:rPr>
                <w:rFonts w:cs="Times New Roman"/>
                <w:bCs/>
              </w:rPr>
            </w:pPr>
            <w:r>
              <w:rPr>
                <w:rFonts w:hAnsi="宋体" w:cs="Times New Roman"/>
                <w:bCs/>
              </w:rPr>
              <w:t>爆炸危险性物质</w:t>
            </w:r>
          </w:p>
        </w:tc>
      </w:tr>
      <w:tr w:rsidR="00475650">
        <w:trPr>
          <w:jc w:val="center"/>
        </w:trPr>
        <w:tc>
          <w:tcPr>
            <w:tcW w:w="1548" w:type="dxa"/>
            <w:tcMar>
              <w:left w:w="57" w:type="dxa"/>
              <w:right w:w="57" w:type="dxa"/>
            </w:tcMar>
            <w:vAlign w:val="center"/>
          </w:tcPr>
          <w:p w:rsidR="00475650" w:rsidRDefault="00475650">
            <w:pPr>
              <w:pStyle w:val="afffffffd"/>
              <w:jc w:val="both"/>
              <w:rPr>
                <w:rFonts w:ascii="Times New Roman" w:hAnsi="Times New Roman" w:cs="Times New Roman"/>
                <w:szCs w:val="21"/>
              </w:rPr>
            </w:pPr>
            <w:r>
              <w:rPr>
                <w:rFonts w:ascii="Times New Roman" w:cs="Times New Roman"/>
                <w:szCs w:val="21"/>
              </w:rPr>
              <w:t>重大危险源</w:t>
            </w:r>
          </w:p>
        </w:tc>
        <w:tc>
          <w:tcPr>
            <w:tcW w:w="1659" w:type="dxa"/>
            <w:tcBorders>
              <w:bottom w:val="single" w:sz="6" w:space="0" w:color="auto"/>
            </w:tcBorders>
            <w:vAlign w:val="center"/>
          </w:tcPr>
          <w:p w:rsidR="00475650" w:rsidRDefault="00475650">
            <w:pPr>
              <w:pStyle w:val="afffffffd"/>
              <w:ind w:firstLine="480"/>
              <w:rPr>
                <w:rFonts w:ascii="Times New Roman" w:hAnsi="Times New Roman" w:cs="Times New Roman"/>
                <w:szCs w:val="21"/>
              </w:rPr>
            </w:pPr>
            <w:r>
              <w:rPr>
                <w:rFonts w:ascii="Times New Roman" w:cs="Times New Roman"/>
                <w:szCs w:val="21"/>
              </w:rPr>
              <w:t>一</w:t>
            </w:r>
          </w:p>
        </w:tc>
        <w:tc>
          <w:tcPr>
            <w:tcW w:w="1866" w:type="dxa"/>
            <w:tcBorders>
              <w:bottom w:val="single" w:sz="6" w:space="0" w:color="auto"/>
            </w:tcBorders>
            <w:vAlign w:val="center"/>
          </w:tcPr>
          <w:p w:rsidR="00475650" w:rsidRDefault="00475650">
            <w:pPr>
              <w:pStyle w:val="afffffffd"/>
              <w:ind w:firstLine="480"/>
              <w:rPr>
                <w:rFonts w:ascii="Times New Roman" w:hAnsi="Times New Roman" w:cs="Times New Roman"/>
                <w:szCs w:val="21"/>
              </w:rPr>
            </w:pPr>
            <w:r>
              <w:rPr>
                <w:rFonts w:ascii="Times New Roman" w:cs="Times New Roman"/>
                <w:szCs w:val="21"/>
              </w:rPr>
              <w:t>二</w:t>
            </w:r>
          </w:p>
        </w:tc>
        <w:tc>
          <w:tcPr>
            <w:tcW w:w="2235" w:type="dxa"/>
            <w:tcBorders>
              <w:bottom w:val="single" w:sz="6" w:space="0" w:color="auto"/>
            </w:tcBorders>
            <w:vAlign w:val="center"/>
          </w:tcPr>
          <w:p w:rsidR="00475650" w:rsidRDefault="00475650">
            <w:pPr>
              <w:pStyle w:val="afffffffd"/>
              <w:ind w:firstLine="480"/>
              <w:rPr>
                <w:rFonts w:ascii="Times New Roman" w:hAnsi="Times New Roman" w:cs="Times New Roman"/>
                <w:szCs w:val="21"/>
              </w:rPr>
            </w:pPr>
            <w:r>
              <w:rPr>
                <w:rFonts w:ascii="Times New Roman" w:cs="Times New Roman"/>
                <w:szCs w:val="21"/>
              </w:rPr>
              <w:t>一</w:t>
            </w:r>
          </w:p>
        </w:tc>
        <w:tc>
          <w:tcPr>
            <w:tcW w:w="1763" w:type="dxa"/>
            <w:vAlign w:val="center"/>
          </w:tcPr>
          <w:p w:rsidR="00475650" w:rsidRDefault="00475650">
            <w:pPr>
              <w:pStyle w:val="afffffffd"/>
              <w:ind w:firstLine="480"/>
              <w:rPr>
                <w:rFonts w:ascii="Times New Roman" w:hAnsi="Times New Roman" w:cs="Times New Roman"/>
                <w:szCs w:val="21"/>
              </w:rPr>
            </w:pPr>
            <w:r>
              <w:rPr>
                <w:rFonts w:ascii="Times New Roman" w:cs="Times New Roman"/>
                <w:szCs w:val="21"/>
              </w:rPr>
              <w:t>一</w:t>
            </w:r>
          </w:p>
        </w:tc>
      </w:tr>
      <w:tr w:rsidR="00475650">
        <w:trPr>
          <w:jc w:val="center"/>
        </w:trPr>
        <w:tc>
          <w:tcPr>
            <w:tcW w:w="1548" w:type="dxa"/>
            <w:tcMar>
              <w:left w:w="57" w:type="dxa"/>
              <w:right w:w="57" w:type="dxa"/>
            </w:tcMar>
            <w:vAlign w:val="center"/>
          </w:tcPr>
          <w:p w:rsidR="00475650" w:rsidRDefault="00475650">
            <w:pPr>
              <w:pStyle w:val="afffffffd"/>
              <w:jc w:val="both"/>
              <w:rPr>
                <w:rFonts w:ascii="Times New Roman" w:hAnsi="Times New Roman" w:cs="Times New Roman"/>
                <w:szCs w:val="21"/>
              </w:rPr>
            </w:pPr>
            <w:r>
              <w:rPr>
                <w:rFonts w:ascii="Times New Roman" w:cs="Times New Roman"/>
                <w:szCs w:val="21"/>
              </w:rPr>
              <w:t>非重大危险源</w:t>
            </w:r>
          </w:p>
        </w:tc>
        <w:tc>
          <w:tcPr>
            <w:tcW w:w="1659" w:type="dxa"/>
            <w:tcBorders>
              <w:top w:val="single" w:sz="6" w:space="0" w:color="auto"/>
              <w:bottom w:val="single" w:sz="6" w:space="0" w:color="auto"/>
            </w:tcBorders>
            <w:vAlign w:val="center"/>
          </w:tcPr>
          <w:p w:rsidR="00475650" w:rsidRDefault="00475650">
            <w:pPr>
              <w:pStyle w:val="afffffffd"/>
              <w:ind w:firstLine="480"/>
              <w:rPr>
                <w:rFonts w:ascii="Times New Roman" w:hAnsi="Times New Roman" w:cs="Times New Roman"/>
                <w:szCs w:val="21"/>
              </w:rPr>
            </w:pPr>
            <w:r>
              <w:rPr>
                <w:rFonts w:ascii="Times New Roman" w:cs="Times New Roman"/>
                <w:szCs w:val="21"/>
              </w:rPr>
              <w:t>二</w:t>
            </w:r>
          </w:p>
        </w:tc>
        <w:tc>
          <w:tcPr>
            <w:tcW w:w="1866" w:type="dxa"/>
            <w:tcBorders>
              <w:top w:val="single" w:sz="6" w:space="0" w:color="auto"/>
              <w:bottom w:val="single" w:sz="6" w:space="0" w:color="auto"/>
            </w:tcBorders>
            <w:vAlign w:val="center"/>
          </w:tcPr>
          <w:p w:rsidR="00475650" w:rsidRDefault="00475650">
            <w:pPr>
              <w:pStyle w:val="afffffffd"/>
              <w:ind w:firstLine="480"/>
              <w:rPr>
                <w:rFonts w:ascii="Times New Roman" w:hAnsi="Times New Roman" w:cs="Times New Roman"/>
                <w:szCs w:val="21"/>
              </w:rPr>
            </w:pPr>
            <w:r>
              <w:rPr>
                <w:rFonts w:ascii="Times New Roman" w:cs="Times New Roman"/>
                <w:szCs w:val="21"/>
              </w:rPr>
              <w:t>二</w:t>
            </w:r>
          </w:p>
        </w:tc>
        <w:tc>
          <w:tcPr>
            <w:tcW w:w="2235" w:type="dxa"/>
            <w:tcBorders>
              <w:top w:val="single" w:sz="6" w:space="0" w:color="auto"/>
              <w:bottom w:val="single" w:sz="6" w:space="0" w:color="auto"/>
            </w:tcBorders>
            <w:vAlign w:val="center"/>
          </w:tcPr>
          <w:p w:rsidR="00475650" w:rsidRDefault="00475650">
            <w:pPr>
              <w:pStyle w:val="afffffffd"/>
              <w:ind w:firstLine="480"/>
              <w:rPr>
                <w:rFonts w:ascii="Times New Roman" w:hAnsi="Times New Roman" w:cs="Times New Roman"/>
                <w:szCs w:val="21"/>
              </w:rPr>
            </w:pPr>
            <w:r>
              <w:rPr>
                <w:rFonts w:ascii="Times New Roman" w:cs="Times New Roman"/>
                <w:szCs w:val="21"/>
              </w:rPr>
              <w:t>二</w:t>
            </w:r>
          </w:p>
        </w:tc>
        <w:tc>
          <w:tcPr>
            <w:tcW w:w="1763" w:type="dxa"/>
            <w:vAlign w:val="center"/>
          </w:tcPr>
          <w:p w:rsidR="00475650" w:rsidRDefault="00475650">
            <w:pPr>
              <w:pStyle w:val="afffffffd"/>
              <w:ind w:firstLine="480"/>
              <w:rPr>
                <w:rFonts w:ascii="Times New Roman" w:hAnsi="Times New Roman" w:cs="Times New Roman"/>
                <w:szCs w:val="21"/>
              </w:rPr>
            </w:pPr>
            <w:r>
              <w:rPr>
                <w:rFonts w:ascii="Times New Roman" w:cs="Times New Roman"/>
                <w:szCs w:val="21"/>
              </w:rPr>
              <w:t>二</w:t>
            </w:r>
          </w:p>
        </w:tc>
      </w:tr>
      <w:tr w:rsidR="00475650">
        <w:trPr>
          <w:jc w:val="center"/>
        </w:trPr>
        <w:tc>
          <w:tcPr>
            <w:tcW w:w="1548" w:type="dxa"/>
            <w:tcMar>
              <w:left w:w="57" w:type="dxa"/>
              <w:right w:w="57" w:type="dxa"/>
            </w:tcMar>
            <w:vAlign w:val="center"/>
          </w:tcPr>
          <w:p w:rsidR="00475650" w:rsidRDefault="00475650">
            <w:pPr>
              <w:pStyle w:val="afffffffd"/>
              <w:jc w:val="both"/>
              <w:rPr>
                <w:rFonts w:ascii="Times New Roman" w:hAnsi="Times New Roman" w:cs="Times New Roman"/>
                <w:szCs w:val="21"/>
              </w:rPr>
            </w:pPr>
            <w:r>
              <w:rPr>
                <w:rFonts w:ascii="Times New Roman" w:cs="Times New Roman"/>
                <w:szCs w:val="21"/>
              </w:rPr>
              <w:t>环境敏感地区</w:t>
            </w:r>
          </w:p>
        </w:tc>
        <w:tc>
          <w:tcPr>
            <w:tcW w:w="1659" w:type="dxa"/>
            <w:tcBorders>
              <w:top w:val="single" w:sz="6" w:space="0" w:color="auto"/>
            </w:tcBorders>
            <w:vAlign w:val="center"/>
          </w:tcPr>
          <w:p w:rsidR="00475650" w:rsidRDefault="00475650">
            <w:pPr>
              <w:pStyle w:val="afffffffd"/>
              <w:ind w:firstLine="480"/>
              <w:rPr>
                <w:rFonts w:ascii="Times New Roman" w:hAnsi="Times New Roman" w:cs="Times New Roman"/>
                <w:szCs w:val="21"/>
              </w:rPr>
            </w:pPr>
            <w:r>
              <w:rPr>
                <w:rFonts w:ascii="Times New Roman" w:cs="Times New Roman"/>
                <w:szCs w:val="21"/>
              </w:rPr>
              <w:t>一</w:t>
            </w:r>
          </w:p>
        </w:tc>
        <w:tc>
          <w:tcPr>
            <w:tcW w:w="1866" w:type="dxa"/>
            <w:tcBorders>
              <w:top w:val="single" w:sz="6" w:space="0" w:color="auto"/>
            </w:tcBorders>
            <w:vAlign w:val="center"/>
          </w:tcPr>
          <w:p w:rsidR="00475650" w:rsidRDefault="00475650">
            <w:pPr>
              <w:pStyle w:val="afffffffd"/>
              <w:ind w:firstLine="480"/>
              <w:rPr>
                <w:rFonts w:ascii="Times New Roman" w:hAnsi="Times New Roman" w:cs="Times New Roman"/>
                <w:szCs w:val="21"/>
              </w:rPr>
            </w:pPr>
            <w:r>
              <w:rPr>
                <w:rFonts w:ascii="Times New Roman" w:cs="Times New Roman"/>
                <w:szCs w:val="21"/>
              </w:rPr>
              <w:t>一</w:t>
            </w:r>
          </w:p>
        </w:tc>
        <w:tc>
          <w:tcPr>
            <w:tcW w:w="2235" w:type="dxa"/>
            <w:tcBorders>
              <w:top w:val="single" w:sz="6" w:space="0" w:color="auto"/>
            </w:tcBorders>
            <w:vAlign w:val="center"/>
          </w:tcPr>
          <w:p w:rsidR="00475650" w:rsidRDefault="00475650">
            <w:pPr>
              <w:pStyle w:val="afffffffd"/>
              <w:ind w:firstLine="480"/>
              <w:rPr>
                <w:rFonts w:ascii="Times New Roman" w:hAnsi="Times New Roman" w:cs="Times New Roman"/>
                <w:szCs w:val="21"/>
              </w:rPr>
            </w:pPr>
            <w:r>
              <w:rPr>
                <w:rFonts w:ascii="Times New Roman" w:cs="Times New Roman"/>
                <w:szCs w:val="21"/>
              </w:rPr>
              <w:t>一</w:t>
            </w:r>
          </w:p>
        </w:tc>
        <w:tc>
          <w:tcPr>
            <w:tcW w:w="1763" w:type="dxa"/>
            <w:vAlign w:val="center"/>
          </w:tcPr>
          <w:p w:rsidR="00475650" w:rsidRDefault="00475650">
            <w:pPr>
              <w:pStyle w:val="afffffffd"/>
              <w:ind w:firstLine="480"/>
              <w:rPr>
                <w:rFonts w:ascii="Times New Roman" w:hAnsi="Times New Roman" w:cs="Times New Roman"/>
                <w:szCs w:val="21"/>
              </w:rPr>
            </w:pPr>
            <w:r>
              <w:rPr>
                <w:rFonts w:ascii="Times New Roman" w:cs="Times New Roman"/>
                <w:szCs w:val="21"/>
              </w:rPr>
              <w:t>一</w:t>
            </w:r>
          </w:p>
        </w:tc>
      </w:tr>
    </w:tbl>
    <w:p w:rsidR="00475650" w:rsidRDefault="00475650">
      <w:pPr>
        <w:pStyle w:val="h"/>
        <w:snapToGrid w:val="0"/>
        <w:spacing w:before="0" w:after="0" w:line="360" w:lineRule="auto"/>
        <w:ind w:firstLine="0"/>
        <w:outlineLvl w:val="0"/>
        <w:rPr>
          <w:rStyle w:val="2Char1Char"/>
          <w:rFonts w:ascii="Times New Roman" w:eastAsia="宋体" w:hAnsi="Times New Roman" w:cs="Times New Roman"/>
          <w:b w:val="0"/>
          <w:sz w:val="28"/>
          <w:szCs w:val="28"/>
        </w:rPr>
      </w:pPr>
      <w:bookmarkStart w:id="875" w:name="_Toc269809355"/>
      <w:bookmarkStart w:id="876" w:name="_Toc11109"/>
      <w:bookmarkStart w:id="877" w:name="_Toc270867257"/>
      <w:bookmarkStart w:id="878" w:name="_Toc270622954"/>
      <w:bookmarkStart w:id="879" w:name="_Toc332293043"/>
      <w:r>
        <w:rPr>
          <w:rStyle w:val="2Char1Char"/>
          <w:rFonts w:ascii="Times New Roman" w:eastAsia="宋体" w:hAnsi="Times New Roman" w:cs="Times New Roman"/>
          <w:b w:val="0"/>
          <w:sz w:val="28"/>
          <w:szCs w:val="28"/>
        </w:rPr>
        <w:t>6.4</w:t>
      </w:r>
      <w:r>
        <w:rPr>
          <w:rStyle w:val="2Char1Char"/>
          <w:rFonts w:ascii="Times New Roman" w:eastAsia="宋体" w:hAnsi="宋体" w:cs="Times New Roman"/>
          <w:b w:val="0"/>
          <w:sz w:val="28"/>
          <w:szCs w:val="28"/>
        </w:rPr>
        <w:t>风险源项分析</w:t>
      </w:r>
      <w:bookmarkEnd w:id="875"/>
      <w:bookmarkEnd w:id="876"/>
      <w:bookmarkEnd w:id="877"/>
      <w:bookmarkEnd w:id="878"/>
      <w:bookmarkEnd w:id="879"/>
    </w:p>
    <w:p w:rsidR="00475650" w:rsidRDefault="00475650">
      <w:pPr>
        <w:pStyle w:val="h"/>
        <w:snapToGrid w:val="0"/>
        <w:spacing w:before="0" w:after="0" w:line="360" w:lineRule="auto"/>
        <w:ind w:firstLine="0"/>
        <w:outlineLvl w:val="1"/>
        <w:rPr>
          <w:rStyle w:val="2Char1Char"/>
          <w:rFonts w:ascii="Times New Roman" w:eastAsia="宋体" w:hAnsi="Times New Roman" w:cs="Times New Roman"/>
          <w:b w:val="0"/>
          <w:sz w:val="24"/>
          <w:szCs w:val="24"/>
        </w:rPr>
      </w:pPr>
      <w:bookmarkStart w:id="880" w:name="_Toc334014235"/>
      <w:bookmarkStart w:id="881" w:name="_Toc302936867"/>
      <w:bookmarkStart w:id="882" w:name="_Toc334080877"/>
      <w:bookmarkStart w:id="883" w:name="_Toc333230059"/>
      <w:bookmarkStart w:id="884" w:name="_Toc332293044"/>
      <w:bookmarkStart w:id="885" w:name="_Toc465677048"/>
      <w:bookmarkStart w:id="886" w:name="_Toc19278"/>
      <w:bookmarkStart w:id="887" w:name="_Toc274984958"/>
      <w:bookmarkStart w:id="888" w:name="_Toc273461876"/>
      <w:bookmarkStart w:id="889" w:name="_Toc273462527"/>
      <w:bookmarkStart w:id="890" w:name="_Toc270622955"/>
      <w:r>
        <w:rPr>
          <w:rStyle w:val="2Char1Char"/>
          <w:rFonts w:ascii="Times New Roman" w:eastAsia="宋体" w:hAnsi="Times New Roman" w:cs="Times New Roman"/>
          <w:b w:val="0"/>
          <w:sz w:val="24"/>
          <w:szCs w:val="24"/>
        </w:rPr>
        <w:t>6.4.1</w:t>
      </w:r>
      <w:r>
        <w:rPr>
          <w:rStyle w:val="2Char1Char"/>
          <w:rFonts w:ascii="Times New Roman" w:eastAsia="宋体" w:hAnsi="宋体" w:cs="Times New Roman"/>
          <w:b w:val="0"/>
          <w:sz w:val="24"/>
          <w:szCs w:val="24"/>
        </w:rPr>
        <w:t>风险发生原因及概率分析</w:t>
      </w:r>
      <w:bookmarkEnd w:id="880"/>
      <w:bookmarkEnd w:id="881"/>
      <w:bookmarkEnd w:id="882"/>
      <w:bookmarkEnd w:id="883"/>
      <w:bookmarkEnd w:id="884"/>
      <w:bookmarkEnd w:id="885"/>
      <w:bookmarkEnd w:id="886"/>
    </w:p>
    <w:p w:rsidR="00475650" w:rsidRDefault="00475650">
      <w:pPr>
        <w:snapToGrid w:val="0"/>
        <w:spacing w:line="360" w:lineRule="auto"/>
        <w:ind w:firstLineChars="200" w:firstLine="480"/>
        <w:rPr>
          <w:sz w:val="24"/>
        </w:rPr>
      </w:pPr>
      <w:r>
        <w:rPr>
          <w:rFonts w:hAnsi="宋体"/>
          <w:sz w:val="24"/>
        </w:rPr>
        <w:t>一般来说，环境风险主要有物料贮运和生产过程的泄漏、易燃易爆危化品的爆炸或火灾，主要原因有：</w:t>
      </w:r>
      <w:r>
        <w:rPr>
          <w:rFonts w:ascii="宋体" w:hAnsi="宋体"/>
          <w:sz w:val="24"/>
        </w:rPr>
        <w:t>⑴</w:t>
      </w:r>
      <w:r>
        <w:rPr>
          <w:rFonts w:hAnsi="宋体"/>
          <w:sz w:val="24"/>
        </w:rPr>
        <w:t>生产设备压力过高，泄压不及时引起爆炸或火灾，</w:t>
      </w:r>
      <w:r>
        <w:rPr>
          <w:rFonts w:ascii="宋体" w:hAnsi="宋体"/>
          <w:sz w:val="24"/>
        </w:rPr>
        <w:t>⑵</w:t>
      </w:r>
      <w:r>
        <w:rPr>
          <w:rFonts w:hAnsi="宋体"/>
          <w:sz w:val="24"/>
        </w:rPr>
        <w:t>贮罐、生产设备、管道及阀门被腐蚀，老化、年久失修等引起泄漏，</w:t>
      </w:r>
      <w:r>
        <w:rPr>
          <w:rFonts w:ascii="宋体" w:hAnsi="宋体"/>
          <w:sz w:val="24"/>
        </w:rPr>
        <w:t>⑶</w:t>
      </w:r>
      <w:r>
        <w:rPr>
          <w:rFonts w:hAnsi="宋体"/>
          <w:sz w:val="24"/>
        </w:rPr>
        <w:t>生产岗位操作不当造成物料泄漏或爆炸，或者发生泄漏事故应急处理不当也会引起爆炸，等等。据不完全统计</w:t>
      </w:r>
      <w:r>
        <w:rPr>
          <w:sz w:val="24"/>
        </w:rPr>
        <w:t>(</w:t>
      </w:r>
      <w:r>
        <w:rPr>
          <w:rFonts w:hAnsi="宋体"/>
          <w:sz w:val="24"/>
        </w:rPr>
        <w:t>见表</w:t>
      </w:r>
      <w:r>
        <w:rPr>
          <w:sz w:val="24"/>
        </w:rPr>
        <w:t>6.4-1)</w:t>
      </w:r>
      <w:r>
        <w:rPr>
          <w:rFonts w:hAnsi="宋体"/>
          <w:sz w:val="24"/>
        </w:rPr>
        <w:t>，化工装置事故以贮罐、设备、管道、阀门破损泄漏出现的几率最大。</w:t>
      </w:r>
    </w:p>
    <w:p w:rsidR="00475650" w:rsidRDefault="00475650">
      <w:pPr>
        <w:spacing w:line="360" w:lineRule="auto"/>
        <w:jc w:val="center"/>
        <w:rPr>
          <w:sz w:val="24"/>
        </w:rPr>
      </w:pPr>
      <w:r>
        <w:rPr>
          <w:rFonts w:hAnsi="宋体"/>
          <w:sz w:val="24"/>
        </w:rPr>
        <w:t>表</w:t>
      </w:r>
      <w:r>
        <w:rPr>
          <w:sz w:val="24"/>
        </w:rPr>
        <w:t xml:space="preserve">6.4-1    </w:t>
      </w:r>
      <w:r>
        <w:rPr>
          <w:rFonts w:hAnsi="宋体"/>
          <w:sz w:val="24"/>
        </w:rPr>
        <w:t>一般事故原因统计表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210"/>
        <w:gridCol w:w="3122"/>
        <w:gridCol w:w="3614"/>
      </w:tblGrid>
      <w:tr w:rsidR="00475650">
        <w:tc>
          <w:tcPr>
            <w:tcW w:w="2210" w:type="dxa"/>
            <w:vAlign w:val="center"/>
          </w:tcPr>
          <w:p w:rsidR="00475650" w:rsidRDefault="00475650">
            <w:pPr>
              <w:snapToGrid w:val="0"/>
              <w:spacing w:line="240" w:lineRule="exact"/>
              <w:jc w:val="center"/>
              <w:rPr>
                <w:szCs w:val="21"/>
              </w:rPr>
            </w:pPr>
            <w:r>
              <w:rPr>
                <w:rFonts w:hAnsi="宋体"/>
                <w:szCs w:val="21"/>
              </w:rPr>
              <w:t>序号</w:t>
            </w:r>
          </w:p>
        </w:tc>
        <w:tc>
          <w:tcPr>
            <w:tcW w:w="3122" w:type="dxa"/>
            <w:vAlign w:val="center"/>
          </w:tcPr>
          <w:p w:rsidR="00475650" w:rsidRDefault="00475650">
            <w:pPr>
              <w:snapToGrid w:val="0"/>
              <w:spacing w:line="240" w:lineRule="exact"/>
              <w:jc w:val="center"/>
              <w:rPr>
                <w:szCs w:val="21"/>
              </w:rPr>
            </w:pPr>
            <w:r>
              <w:rPr>
                <w:rFonts w:hAnsi="宋体"/>
                <w:szCs w:val="21"/>
              </w:rPr>
              <w:t>事故原因</w:t>
            </w:r>
          </w:p>
        </w:tc>
        <w:tc>
          <w:tcPr>
            <w:tcW w:w="3614" w:type="dxa"/>
            <w:vAlign w:val="center"/>
          </w:tcPr>
          <w:p w:rsidR="00475650" w:rsidRDefault="00475650">
            <w:pPr>
              <w:snapToGrid w:val="0"/>
              <w:spacing w:line="240" w:lineRule="exact"/>
              <w:jc w:val="center"/>
              <w:rPr>
                <w:szCs w:val="21"/>
              </w:rPr>
            </w:pPr>
            <w:r>
              <w:rPr>
                <w:rFonts w:hAnsi="宋体"/>
                <w:szCs w:val="21"/>
              </w:rPr>
              <w:t>出现几率</w:t>
            </w:r>
            <w:r>
              <w:rPr>
                <w:szCs w:val="21"/>
              </w:rPr>
              <w:t>%</w:t>
            </w:r>
          </w:p>
        </w:tc>
      </w:tr>
      <w:tr w:rsidR="00475650">
        <w:tc>
          <w:tcPr>
            <w:tcW w:w="2210" w:type="dxa"/>
            <w:vAlign w:val="center"/>
          </w:tcPr>
          <w:p w:rsidR="00475650" w:rsidRDefault="00475650">
            <w:pPr>
              <w:snapToGrid w:val="0"/>
              <w:spacing w:line="240" w:lineRule="exact"/>
              <w:jc w:val="center"/>
              <w:rPr>
                <w:szCs w:val="21"/>
              </w:rPr>
            </w:pPr>
            <w:r>
              <w:rPr>
                <w:szCs w:val="21"/>
              </w:rPr>
              <w:t>1</w:t>
            </w:r>
          </w:p>
        </w:tc>
        <w:tc>
          <w:tcPr>
            <w:tcW w:w="3122" w:type="dxa"/>
            <w:vAlign w:val="center"/>
          </w:tcPr>
          <w:p w:rsidR="00475650" w:rsidRDefault="00475650">
            <w:pPr>
              <w:snapToGrid w:val="0"/>
              <w:spacing w:line="240" w:lineRule="exact"/>
              <w:jc w:val="center"/>
              <w:rPr>
                <w:szCs w:val="21"/>
              </w:rPr>
            </w:pPr>
            <w:r>
              <w:rPr>
                <w:rFonts w:hAnsi="宋体"/>
                <w:szCs w:val="21"/>
              </w:rPr>
              <w:t>贮罐、管道和设备破损</w:t>
            </w:r>
          </w:p>
        </w:tc>
        <w:tc>
          <w:tcPr>
            <w:tcW w:w="3614" w:type="dxa"/>
            <w:vAlign w:val="center"/>
          </w:tcPr>
          <w:p w:rsidR="00475650" w:rsidRDefault="00475650">
            <w:pPr>
              <w:snapToGrid w:val="0"/>
              <w:spacing w:line="240" w:lineRule="exact"/>
              <w:jc w:val="center"/>
              <w:rPr>
                <w:szCs w:val="21"/>
              </w:rPr>
            </w:pPr>
            <w:r>
              <w:rPr>
                <w:szCs w:val="21"/>
              </w:rPr>
              <w:t>52</w:t>
            </w:r>
          </w:p>
        </w:tc>
      </w:tr>
      <w:tr w:rsidR="00475650">
        <w:tc>
          <w:tcPr>
            <w:tcW w:w="2210" w:type="dxa"/>
            <w:vAlign w:val="center"/>
          </w:tcPr>
          <w:p w:rsidR="00475650" w:rsidRDefault="00475650">
            <w:pPr>
              <w:snapToGrid w:val="0"/>
              <w:spacing w:line="240" w:lineRule="exact"/>
              <w:jc w:val="center"/>
              <w:rPr>
                <w:szCs w:val="21"/>
              </w:rPr>
            </w:pPr>
            <w:r>
              <w:rPr>
                <w:szCs w:val="21"/>
              </w:rPr>
              <w:t>2</w:t>
            </w:r>
          </w:p>
        </w:tc>
        <w:tc>
          <w:tcPr>
            <w:tcW w:w="3122" w:type="dxa"/>
            <w:vAlign w:val="center"/>
          </w:tcPr>
          <w:p w:rsidR="00475650" w:rsidRDefault="00475650">
            <w:pPr>
              <w:snapToGrid w:val="0"/>
              <w:spacing w:line="240" w:lineRule="exact"/>
              <w:jc w:val="center"/>
              <w:rPr>
                <w:szCs w:val="21"/>
              </w:rPr>
            </w:pPr>
            <w:r>
              <w:rPr>
                <w:rFonts w:hAnsi="宋体"/>
                <w:szCs w:val="21"/>
              </w:rPr>
              <w:t>操作不当</w:t>
            </w:r>
          </w:p>
        </w:tc>
        <w:tc>
          <w:tcPr>
            <w:tcW w:w="3614" w:type="dxa"/>
            <w:vAlign w:val="center"/>
          </w:tcPr>
          <w:p w:rsidR="00475650" w:rsidRDefault="00475650">
            <w:pPr>
              <w:snapToGrid w:val="0"/>
              <w:spacing w:line="240" w:lineRule="exact"/>
              <w:jc w:val="center"/>
              <w:rPr>
                <w:szCs w:val="21"/>
              </w:rPr>
            </w:pPr>
            <w:r>
              <w:rPr>
                <w:szCs w:val="21"/>
              </w:rPr>
              <w:t>11</w:t>
            </w:r>
          </w:p>
        </w:tc>
      </w:tr>
      <w:tr w:rsidR="00475650">
        <w:tc>
          <w:tcPr>
            <w:tcW w:w="2210" w:type="dxa"/>
            <w:vAlign w:val="center"/>
          </w:tcPr>
          <w:p w:rsidR="00475650" w:rsidRDefault="00475650">
            <w:pPr>
              <w:snapToGrid w:val="0"/>
              <w:spacing w:line="240" w:lineRule="exact"/>
              <w:jc w:val="center"/>
              <w:rPr>
                <w:szCs w:val="21"/>
              </w:rPr>
            </w:pPr>
            <w:r>
              <w:rPr>
                <w:szCs w:val="21"/>
              </w:rPr>
              <w:t>3</w:t>
            </w:r>
          </w:p>
        </w:tc>
        <w:tc>
          <w:tcPr>
            <w:tcW w:w="3122" w:type="dxa"/>
            <w:vAlign w:val="center"/>
          </w:tcPr>
          <w:p w:rsidR="00475650" w:rsidRDefault="00475650">
            <w:pPr>
              <w:snapToGrid w:val="0"/>
              <w:spacing w:line="240" w:lineRule="exact"/>
              <w:jc w:val="center"/>
              <w:rPr>
                <w:szCs w:val="21"/>
              </w:rPr>
            </w:pPr>
            <w:r>
              <w:rPr>
                <w:rFonts w:hAnsi="宋体"/>
                <w:szCs w:val="21"/>
              </w:rPr>
              <w:t>违反检修规程</w:t>
            </w:r>
          </w:p>
        </w:tc>
        <w:tc>
          <w:tcPr>
            <w:tcW w:w="3614" w:type="dxa"/>
            <w:vAlign w:val="center"/>
          </w:tcPr>
          <w:p w:rsidR="00475650" w:rsidRDefault="00475650">
            <w:pPr>
              <w:snapToGrid w:val="0"/>
              <w:spacing w:line="240" w:lineRule="exact"/>
              <w:jc w:val="center"/>
              <w:rPr>
                <w:szCs w:val="21"/>
              </w:rPr>
            </w:pPr>
            <w:r>
              <w:rPr>
                <w:szCs w:val="21"/>
              </w:rPr>
              <w:t>10</w:t>
            </w:r>
          </w:p>
        </w:tc>
      </w:tr>
      <w:tr w:rsidR="00475650">
        <w:tc>
          <w:tcPr>
            <w:tcW w:w="2210" w:type="dxa"/>
            <w:vAlign w:val="center"/>
          </w:tcPr>
          <w:p w:rsidR="00475650" w:rsidRDefault="00475650">
            <w:pPr>
              <w:snapToGrid w:val="0"/>
              <w:spacing w:line="240" w:lineRule="exact"/>
              <w:jc w:val="center"/>
              <w:rPr>
                <w:szCs w:val="21"/>
              </w:rPr>
            </w:pPr>
            <w:r>
              <w:rPr>
                <w:szCs w:val="21"/>
              </w:rPr>
              <w:t>4</w:t>
            </w:r>
          </w:p>
        </w:tc>
        <w:tc>
          <w:tcPr>
            <w:tcW w:w="3122" w:type="dxa"/>
            <w:vAlign w:val="center"/>
          </w:tcPr>
          <w:p w:rsidR="00475650" w:rsidRDefault="00475650">
            <w:pPr>
              <w:snapToGrid w:val="0"/>
              <w:spacing w:line="240" w:lineRule="exact"/>
              <w:jc w:val="center"/>
              <w:rPr>
                <w:szCs w:val="21"/>
              </w:rPr>
            </w:pPr>
            <w:r>
              <w:rPr>
                <w:rFonts w:hAnsi="宋体"/>
                <w:szCs w:val="21"/>
              </w:rPr>
              <w:t>处理系统故障</w:t>
            </w:r>
          </w:p>
        </w:tc>
        <w:tc>
          <w:tcPr>
            <w:tcW w:w="3614" w:type="dxa"/>
            <w:vAlign w:val="center"/>
          </w:tcPr>
          <w:p w:rsidR="00475650" w:rsidRDefault="00475650">
            <w:pPr>
              <w:snapToGrid w:val="0"/>
              <w:spacing w:line="240" w:lineRule="exact"/>
              <w:jc w:val="center"/>
              <w:rPr>
                <w:szCs w:val="21"/>
              </w:rPr>
            </w:pPr>
            <w:r>
              <w:rPr>
                <w:szCs w:val="21"/>
              </w:rPr>
              <w:t>15</w:t>
            </w:r>
          </w:p>
        </w:tc>
      </w:tr>
      <w:tr w:rsidR="00475650">
        <w:tc>
          <w:tcPr>
            <w:tcW w:w="2210" w:type="dxa"/>
            <w:vAlign w:val="center"/>
          </w:tcPr>
          <w:p w:rsidR="00475650" w:rsidRDefault="00475650">
            <w:pPr>
              <w:snapToGrid w:val="0"/>
              <w:spacing w:line="240" w:lineRule="exact"/>
              <w:jc w:val="center"/>
              <w:rPr>
                <w:szCs w:val="21"/>
              </w:rPr>
            </w:pPr>
            <w:r>
              <w:rPr>
                <w:szCs w:val="21"/>
              </w:rPr>
              <w:t>5</w:t>
            </w:r>
          </w:p>
        </w:tc>
        <w:tc>
          <w:tcPr>
            <w:tcW w:w="3122" w:type="dxa"/>
            <w:vAlign w:val="center"/>
          </w:tcPr>
          <w:p w:rsidR="00475650" w:rsidRDefault="00475650">
            <w:pPr>
              <w:snapToGrid w:val="0"/>
              <w:spacing w:line="240" w:lineRule="exact"/>
              <w:jc w:val="center"/>
              <w:rPr>
                <w:szCs w:val="21"/>
              </w:rPr>
            </w:pPr>
            <w:r>
              <w:rPr>
                <w:rFonts w:hAnsi="宋体"/>
                <w:szCs w:val="21"/>
              </w:rPr>
              <w:t>其它</w:t>
            </w:r>
          </w:p>
        </w:tc>
        <w:tc>
          <w:tcPr>
            <w:tcW w:w="3614" w:type="dxa"/>
            <w:vAlign w:val="center"/>
          </w:tcPr>
          <w:p w:rsidR="00475650" w:rsidRDefault="00475650">
            <w:pPr>
              <w:snapToGrid w:val="0"/>
              <w:spacing w:line="240" w:lineRule="exact"/>
              <w:jc w:val="center"/>
              <w:rPr>
                <w:szCs w:val="21"/>
              </w:rPr>
            </w:pPr>
            <w:r>
              <w:rPr>
                <w:szCs w:val="21"/>
              </w:rPr>
              <w:t>12</w:t>
            </w:r>
          </w:p>
        </w:tc>
      </w:tr>
    </w:tbl>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891" w:name="_Toc465677049"/>
      <w:bookmarkStart w:id="892" w:name="_Toc334014236"/>
      <w:bookmarkStart w:id="893" w:name="_Toc334080878"/>
      <w:bookmarkStart w:id="894" w:name="_Toc302936868"/>
      <w:bookmarkStart w:id="895" w:name="_Toc333230060"/>
      <w:bookmarkStart w:id="896" w:name="_Toc20195"/>
      <w:bookmarkStart w:id="897" w:name="_Toc332293045"/>
      <w:r>
        <w:rPr>
          <w:rStyle w:val="2Char1Char"/>
          <w:rFonts w:ascii="Times New Roman" w:eastAsia="宋体" w:hAnsi="Times New Roman" w:cs="Times New Roman"/>
          <w:b w:val="0"/>
          <w:sz w:val="24"/>
          <w:szCs w:val="24"/>
        </w:rPr>
        <w:lastRenderedPageBreak/>
        <w:t>6.4.2</w:t>
      </w:r>
      <w:r>
        <w:rPr>
          <w:rStyle w:val="2Char1Char"/>
          <w:rFonts w:ascii="Times New Roman" w:eastAsia="宋体" w:hAnsi="宋体" w:cs="Times New Roman"/>
          <w:b w:val="0"/>
          <w:sz w:val="24"/>
          <w:szCs w:val="24"/>
        </w:rPr>
        <w:t>最大可信事故</w:t>
      </w:r>
      <w:bookmarkEnd w:id="887"/>
      <w:bookmarkEnd w:id="888"/>
      <w:bookmarkEnd w:id="889"/>
      <w:bookmarkEnd w:id="890"/>
      <w:bookmarkEnd w:id="891"/>
      <w:bookmarkEnd w:id="892"/>
      <w:bookmarkEnd w:id="893"/>
      <w:bookmarkEnd w:id="894"/>
      <w:bookmarkEnd w:id="895"/>
      <w:bookmarkEnd w:id="896"/>
      <w:bookmarkEnd w:id="897"/>
    </w:p>
    <w:p w:rsidR="00475650" w:rsidRDefault="00475650">
      <w:pPr>
        <w:spacing w:line="360" w:lineRule="auto"/>
        <w:ind w:firstLineChars="200" w:firstLine="480"/>
        <w:rPr>
          <w:sz w:val="24"/>
        </w:rPr>
      </w:pPr>
      <w:r>
        <w:rPr>
          <w:rFonts w:hAnsi="宋体"/>
          <w:sz w:val="24"/>
        </w:rPr>
        <w:t>最大可信事故是指事故所造成的危害在所有预测的事故中最严重，并且发生该事故的概率不为</w:t>
      </w:r>
      <w:r>
        <w:rPr>
          <w:sz w:val="24"/>
        </w:rPr>
        <w:t>0</w:t>
      </w:r>
      <w:r>
        <w:rPr>
          <w:rFonts w:hAnsi="宋体"/>
          <w:sz w:val="24"/>
        </w:rPr>
        <w:t>。根据物质危险性分析、重大危险源辨识、以及国内外化工项目风险事故的调查分析，本项目主要风险事故为盐酸中间罐破损泄漏。</w:t>
      </w:r>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898" w:name="_Toc302936869"/>
      <w:bookmarkStart w:id="899" w:name="_Toc334014237"/>
      <w:bookmarkStart w:id="900" w:name="_Toc333230061"/>
      <w:bookmarkStart w:id="901" w:name="_Toc334080879"/>
      <w:bookmarkStart w:id="902" w:name="_Toc270622957"/>
      <w:bookmarkStart w:id="903" w:name="_Toc332293046"/>
      <w:bookmarkStart w:id="904" w:name="_Toc465677050"/>
      <w:bookmarkStart w:id="905" w:name="_Toc7016"/>
      <w:r>
        <w:rPr>
          <w:rStyle w:val="2Char1Char"/>
          <w:rFonts w:ascii="Times New Roman" w:eastAsia="宋体" w:hAnsi="Times New Roman" w:cs="Times New Roman"/>
          <w:b w:val="0"/>
          <w:sz w:val="24"/>
          <w:szCs w:val="24"/>
        </w:rPr>
        <w:t>6.4.3</w:t>
      </w:r>
      <w:r>
        <w:rPr>
          <w:rStyle w:val="2Char1Char"/>
          <w:rFonts w:ascii="Times New Roman" w:eastAsia="宋体" w:hAnsi="宋体" w:cs="Times New Roman"/>
          <w:b w:val="0"/>
          <w:sz w:val="24"/>
          <w:szCs w:val="24"/>
        </w:rPr>
        <w:t>最大可信事故源项</w:t>
      </w:r>
      <w:bookmarkEnd w:id="898"/>
      <w:bookmarkEnd w:id="899"/>
      <w:bookmarkEnd w:id="900"/>
      <w:bookmarkEnd w:id="901"/>
      <w:bookmarkEnd w:id="902"/>
      <w:bookmarkEnd w:id="903"/>
      <w:bookmarkEnd w:id="904"/>
      <w:bookmarkEnd w:id="905"/>
    </w:p>
    <w:p w:rsidR="00475650" w:rsidRDefault="00475650">
      <w:pPr>
        <w:pStyle w:val="h"/>
        <w:spacing w:before="0" w:after="0" w:line="360" w:lineRule="auto"/>
        <w:ind w:firstLine="0"/>
        <w:outlineLvl w:val="2"/>
        <w:rPr>
          <w:rStyle w:val="2Char1Char"/>
          <w:rFonts w:ascii="Times New Roman" w:eastAsia="宋体" w:hAnsi="Times New Roman" w:cs="Times New Roman"/>
          <w:b w:val="0"/>
          <w:bCs w:val="0"/>
          <w:sz w:val="24"/>
          <w:szCs w:val="24"/>
        </w:rPr>
      </w:pPr>
      <w:bookmarkStart w:id="906" w:name="_Toc334014238"/>
      <w:bookmarkStart w:id="907" w:name="_Toc333230062"/>
      <w:bookmarkStart w:id="908" w:name="_Toc334080880"/>
      <w:r>
        <w:rPr>
          <w:rStyle w:val="2Char1Char"/>
          <w:rFonts w:ascii="Times New Roman" w:eastAsia="宋体" w:hAnsi="Times New Roman" w:cs="Times New Roman"/>
          <w:b w:val="0"/>
          <w:bCs w:val="0"/>
          <w:sz w:val="24"/>
          <w:szCs w:val="24"/>
        </w:rPr>
        <w:t xml:space="preserve">6.4.3.1 </w:t>
      </w:r>
      <w:r>
        <w:rPr>
          <w:rStyle w:val="2Char1Char"/>
          <w:rFonts w:ascii="Times New Roman" w:eastAsia="宋体" w:hAnsi="宋体" w:cs="Times New Roman"/>
          <w:b w:val="0"/>
          <w:bCs w:val="0"/>
          <w:sz w:val="24"/>
          <w:szCs w:val="24"/>
        </w:rPr>
        <w:t>液体泄漏量</w:t>
      </w:r>
    </w:p>
    <w:bookmarkEnd w:id="906"/>
    <w:bookmarkEnd w:id="907"/>
    <w:bookmarkEnd w:id="908"/>
    <w:p w:rsidR="00475650" w:rsidRDefault="00475650">
      <w:pPr>
        <w:pStyle w:val="affffffff1"/>
      </w:pPr>
      <w:r>
        <w:rPr>
          <w:rFonts w:hAnsi="宋体"/>
        </w:rPr>
        <w:t>液体泄漏速率按照《环境风险评价技术导则》（</w:t>
      </w:r>
      <w:r>
        <w:t>HJ/T169-2004</w:t>
      </w:r>
      <w:r>
        <w:rPr>
          <w:rFonts w:hAnsi="宋体"/>
        </w:rPr>
        <w:t>）中推荐的液体泄漏公式进行计算：</w:t>
      </w:r>
    </w:p>
    <w:p w:rsidR="00475650" w:rsidRDefault="00475650">
      <w:pPr>
        <w:spacing w:line="360" w:lineRule="auto"/>
        <w:ind w:firstLineChars="100" w:firstLine="240"/>
        <w:rPr>
          <w:kern w:val="0"/>
          <w:sz w:val="24"/>
        </w:rPr>
      </w:pPr>
      <w:r w:rsidRPr="009964C3">
        <w:rPr>
          <w:position w:val="-30"/>
          <w:sz w:val="24"/>
        </w:rPr>
        <w:object w:dxaOrig="2863" w:dyaOrig="740">
          <v:shape id="对象 22" o:spid="_x0000_i1052" type="#_x0000_t75" style="width:125.4pt;height:32.4pt;mso-position-horizontal-relative:page;mso-position-vertical-relative:page" o:ole="">
            <v:imagedata r:id="rId89" o:title=""/>
          </v:shape>
          <o:OLEObject Type="Embed" ProgID="Equation.3" ShapeID="对象 22" DrawAspect="Content" ObjectID="_1546063778" r:id="rId90"/>
        </w:object>
      </w:r>
    </w:p>
    <w:p w:rsidR="00475650" w:rsidRDefault="00475650">
      <w:pPr>
        <w:spacing w:line="360" w:lineRule="auto"/>
        <w:ind w:firstLine="200"/>
        <w:rPr>
          <w:kern w:val="0"/>
          <w:sz w:val="24"/>
        </w:rPr>
      </w:pPr>
      <w:r>
        <w:rPr>
          <w:rFonts w:hAnsi="宋体"/>
          <w:kern w:val="0"/>
          <w:sz w:val="24"/>
        </w:rPr>
        <w:t>式中：</w:t>
      </w:r>
      <w:r>
        <w:rPr>
          <w:kern w:val="0"/>
          <w:sz w:val="24"/>
        </w:rPr>
        <w:t>Q</w:t>
      </w:r>
      <w:r>
        <w:rPr>
          <w:kern w:val="0"/>
          <w:sz w:val="24"/>
          <w:vertAlign w:val="subscript"/>
        </w:rPr>
        <w:t>L</w:t>
      </w:r>
      <w:r>
        <w:rPr>
          <w:rFonts w:hAnsi="宋体"/>
          <w:kern w:val="0"/>
          <w:sz w:val="24"/>
        </w:rPr>
        <w:t>－液体泄漏速度，</w:t>
      </w:r>
      <w:r>
        <w:rPr>
          <w:kern w:val="0"/>
          <w:sz w:val="24"/>
        </w:rPr>
        <w:t>kg/s</w:t>
      </w:r>
      <w:r>
        <w:rPr>
          <w:rFonts w:hAnsi="宋体"/>
          <w:kern w:val="0"/>
          <w:sz w:val="24"/>
        </w:rPr>
        <w:t>；</w:t>
      </w:r>
    </w:p>
    <w:p w:rsidR="00475650" w:rsidRDefault="00475650">
      <w:pPr>
        <w:spacing w:line="360" w:lineRule="auto"/>
        <w:ind w:firstLineChars="400" w:firstLine="960"/>
        <w:rPr>
          <w:sz w:val="24"/>
        </w:rPr>
      </w:pPr>
      <w:r>
        <w:rPr>
          <w:sz w:val="24"/>
        </w:rPr>
        <w:t>C</w:t>
      </w:r>
      <w:r>
        <w:rPr>
          <w:sz w:val="24"/>
          <w:vertAlign w:val="subscript"/>
        </w:rPr>
        <w:t>d</w:t>
      </w:r>
      <w:r>
        <w:rPr>
          <w:rFonts w:hAnsi="宋体"/>
          <w:sz w:val="24"/>
        </w:rPr>
        <w:t>－液体泄漏系数，取</w:t>
      </w:r>
      <w:r>
        <w:rPr>
          <w:sz w:val="24"/>
        </w:rPr>
        <w:t>0.64</w:t>
      </w:r>
      <w:r>
        <w:rPr>
          <w:rFonts w:hAnsi="宋体"/>
          <w:sz w:val="24"/>
        </w:rPr>
        <w:t>；</w:t>
      </w:r>
    </w:p>
    <w:p w:rsidR="00475650" w:rsidRDefault="00475650">
      <w:pPr>
        <w:spacing w:line="360" w:lineRule="auto"/>
        <w:ind w:firstLineChars="400" w:firstLine="960"/>
        <w:rPr>
          <w:sz w:val="24"/>
        </w:rPr>
      </w:pPr>
      <w:r>
        <w:rPr>
          <w:sz w:val="24"/>
        </w:rPr>
        <w:t>A</w:t>
      </w:r>
      <w:r>
        <w:rPr>
          <w:rFonts w:hAnsi="宋体"/>
          <w:sz w:val="24"/>
        </w:rPr>
        <w:t>－裂口面积，</w:t>
      </w:r>
      <w:r>
        <w:rPr>
          <w:sz w:val="24"/>
        </w:rPr>
        <w:t>m</w:t>
      </w:r>
      <w:r>
        <w:rPr>
          <w:sz w:val="24"/>
          <w:vertAlign w:val="superscript"/>
        </w:rPr>
        <w:t>2</w:t>
      </w:r>
      <w:r>
        <w:rPr>
          <w:rFonts w:hAnsi="宋体"/>
          <w:sz w:val="24"/>
        </w:rPr>
        <w:t>：考虑连接管道全部破损，裂口面积约</w:t>
      </w:r>
      <w:r>
        <w:rPr>
          <w:sz w:val="24"/>
        </w:rPr>
        <w:t>0.002m</w:t>
      </w:r>
      <w:r>
        <w:rPr>
          <w:sz w:val="24"/>
          <w:vertAlign w:val="superscript"/>
        </w:rPr>
        <w:t>2</w:t>
      </w:r>
      <w:r>
        <w:rPr>
          <w:rFonts w:hAnsi="宋体"/>
          <w:sz w:val="24"/>
        </w:rPr>
        <w:t>；</w:t>
      </w:r>
    </w:p>
    <w:p w:rsidR="00475650" w:rsidRDefault="00475650">
      <w:pPr>
        <w:spacing w:line="360" w:lineRule="auto"/>
        <w:ind w:firstLineChars="400" w:firstLine="960"/>
        <w:rPr>
          <w:sz w:val="24"/>
        </w:rPr>
      </w:pPr>
      <w:r>
        <w:rPr>
          <w:sz w:val="24"/>
        </w:rPr>
        <w:t>ρ</w:t>
      </w:r>
      <w:r>
        <w:rPr>
          <w:rFonts w:hAnsi="宋体"/>
          <w:sz w:val="24"/>
        </w:rPr>
        <w:t>－泄漏液体密度，</w:t>
      </w:r>
      <w:r>
        <w:rPr>
          <w:sz w:val="24"/>
        </w:rPr>
        <w:t>kg/m</w:t>
      </w:r>
      <w:r>
        <w:rPr>
          <w:sz w:val="24"/>
          <w:vertAlign w:val="superscript"/>
        </w:rPr>
        <w:t>3</w:t>
      </w:r>
      <w:r>
        <w:rPr>
          <w:rFonts w:hAnsi="宋体"/>
          <w:sz w:val="24"/>
        </w:rPr>
        <w:t>；</w:t>
      </w:r>
    </w:p>
    <w:p w:rsidR="00475650" w:rsidRDefault="00475650">
      <w:pPr>
        <w:spacing w:line="360" w:lineRule="auto"/>
        <w:ind w:firstLineChars="400" w:firstLine="960"/>
        <w:rPr>
          <w:sz w:val="24"/>
        </w:rPr>
      </w:pPr>
      <w:r>
        <w:rPr>
          <w:sz w:val="24"/>
        </w:rPr>
        <w:t>P</w:t>
      </w:r>
      <w:r>
        <w:rPr>
          <w:rFonts w:hAnsi="宋体"/>
          <w:sz w:val="24"/>
        </w:rPr>
        <w:t>－容器内介质压力，</w:t>
      </w:r>
      <w:r>
        <w:rPr>
          <w:sz w:val="24"/>
        </w:rPr>
        <w:t>Pa</w:t>
      </w:r>
      <w:r>
        <w:rPr>
          <w:rFonts w:hAnsi="宋体"/>
          <w:sz w:val="24"/>
        </w:rPr>
        <w:t>；</w:t>
      </w:r>
    </w:p>
    <w:p w:rsidR="00475650" w:rsidRDefault="00475650">
      <w:pPr>
        <w:spacing w:line="360" w:lineRule="auto"/>
        <w:ind w:firstLineChars="400" w:firstLine="960"/>
        <w:rPr>
          <w:sz w:val="24"/>
        </w:rPr>
      </w:pPr>
      <w:r>
        <w:rPr>
          <w:sz w:val="24"/>
        </w:rPr>
        <w:t>P</w:t>
      </w:r>
      <w:r>
        <w:rPr>
          <w:sz w:val="24"/>
          <w:vertAlign w:val="subscript"/>
        </w:rPr>
        <w:t>0</w:t>
      </w:r>
      <w:r>
        <w:rPr>
          <w:rFonts w:hAnsi="宋体"/>
          <w:sz w:val="24"/>
        </w:rPr>
        <w:t>－环境压力：</w:t>
      </w:r>
      <w:r>
        <w:rPr>
          <w:sz w:val="24"/>
        </w:rPr>
        <w:t>101325Pa</w:t>
      </w:r>
      <w:r>
        <w:rPr>
          <w:rFonts w:hAnsi="宋体"/>
          <w:sz w:val="24"/>
        </w:rPr>
        <w:t>；</w:t>
      </w:r>
    </w:p>
    <w:p w:rsidR="00475650" w:rsidRDefault="00475650">
      <w:pPr>
        <w:spacing w:line="360" w:lineRule="auto"/>
        <w:ind w:firstLineChars="400" w:firstLine="960"/>
        <w:rPr>
          <w:sz w:val="24"/>
        </w:rPr>
      </w:pPr>
      <w:r>
        <w:rPr>
          <w:sz w:val="24"/>
        </w:rPr>
        <w:t>g</w:t>
      </w:r>
      <w:r>
        <w:rPr>
          <w:rFonts w:hAnsi="宋体"/>
          <w:sz w:val="24"/>
        </w:rPr>
        <w:t>－重力加速度：</w:t>
      </w:r>
      <w:r>
        <w:rPr>
          <w:sz w:val="24"/>
        </w:rPr>
        <w:t>9.8m/s</w:t>
      </w:r>
      <w:r>
        <w:rPr>
          <w:sz w:val="24"/>
          <w:vertAlign w:val="superscript"/>
        </w:rPr>
        <w:t>2</w:t>
      </w:r>
      <w:r>
        <w:rPr>
          <w:rFonts w:hAnsi="宋体"/>
          <w:sz w:val="24"/>
        </w:rPr>
        <w:t>；</w:t>
      </w:r>
    </w:p>
    <w:p w:rsidR="00475650" w:rsidRDefault="00475650">
      <w:pPr>
        <w:spacing w:line="360" w:lineRule="auto"/>
        <w:ind w:firstLineChars="400" w:firstLine="960"/>
        <w:rPr>
          <w:sz w:val="24"/>
        </w:rPr>
      </w:pPr>
      <w:r>
        <w:rPr>
          <w:sz w:val="24"/>
        </w:rPr>
        <w:t>H</w:t>
      </w:r>
      <w:r>
        <w:rPr>
          <w:rFonts w:hAnsi="宋体"/>
          <w:sz w:val="24"/>
        </w:rPr>
        <w:t>－裂口之上液位高度，</w:t>
      </w:r>
      <w:r>
        <w:rPr>
          <w:sz w:val="24"/>
        </w:rPr>
        <w:t>m</w:t>
      </w:r>
      <w:r>
        <w:rPr>
          <w:rFonts w:hAnsi="宋体"/>
          <w:sz w:val="24"/>
        </w:rPr>
        <w:t>；。</w:t>
      </w:r>
    </w:p>
    <w:p w:rsidR="00475650" w:rsidRDefault="00475650" w:rsidP="00475650">
      <w:pPr>
        <w:pStyle w:val="38"/>
        <w:spacing w:after="0" w:line="360" w:lineRule="auto"/>
        <w:ind w:leftChars="0" w:left="0" w:firstLineChars="232" w:firstLine="557"/>
        <w:rPr>
          <w:sz w:val="24"/>
          <w:szCs w:val="24"/>
        </w:rPr>
      </w:pPr>
      <w:r>
        <w:rPr>
          <w:rFonts w:hAnsi="宋体"/>
          <w:sz w:val="24"/>
          <w:szCs w:val="24"/>
        </w:rPr>
        <w:t>盐酸中间罐一次储存量不大，罐内液面下降到一定的高度原料泵会从盐酸产品池内抽吸盐酸至盐酸中间罐，综合考虑建设单位风险管理水平及盐酸中间罐作用原理，泄露时间按照</w:t>
      </w:r>
      <w:r>
        <w:rPr>
          <w:sz w:val="24"/>
          <w:szCs w:val="24"/>
        </w:rPr>
        <w:t>10min</w:t>
      </w:r>
      <w:r>
        <w:rPr>
          <w:rFonts w:hAnsi="宋体"/>
          <w:sz w:val="24"/>
          <w:szCs w:val="24"/>
        </w:rPr>
        <w:t>考虑，盐酸的泄漏速度为</w:t>
      </w:r>
      <w:r>
        <w:rPr>
          <w:sz w:val="24"/>
          <w:szCs w:val="24"/>
        </w:rPr>
        <w:t>8.0kg/s</w:t>
      </w:r>
      <w:r>
        <w:rPr>
          <w:rFonts w:hAnsi="宋体"/>
          <w:sz w:val="24"/>
          <w:szCs w:val="24"/>
        </w:rPr>
        <w:t>，</w:t>
      </w:r>
      <w:r>
        <w:rPr>
          <w:sz w:val="24"/>
          <w:szCs w:val="24"/>
        </w:rPr>
        <w:t>10</w:t>
      </w:r>
      <w:r>
        <w:rPr>
          <w:rFonts w:hAnsi="宋体"/>
          <w:sz w:val="24"/>
          <w:szCs w:val="24"/>
        </w:rPr>
        <w:t>分钟的释放量为</w:t>
      </w:r>
      <w:r>
        <w:rPr>
          <w:sz w:val="24"/>
          <w:szCs w:val="24"/>
        </w:rPr>
        <w:t>4.8t</w:t>
      </w:r>
      <w:r>
        <w:rPr>
          <w:rFonts w:hAnsi="宋体" w:hint="eastAsia"/>
          <w:sz w:val="24"/>
          <w:szCs w:val="24"/>
        </w:rPr>
        <w:t>；而乙酸酐原料储存方式为桶装，每桶物料量为</w:t>
      </w:r>
      <w:r>
        <w:rPr>
          <w:rFonts w:hAnsi="宋体" w:hint="eastAsia"/>
          <w:sz w:val="24"/>
          <w:szCs w:val="24"/>
        </w:rPr>
        <w:t>200kg</w:t>
      </w:r>
      <w:r>
        <w:rPr>
          <w:rFonts w:hAnsi="宋体" w:hint="eastAsia"/>
          <w:sz w:val="24"/>
          <w:szCs w:val="24"/>
        </w:rPr>
        <w:t>，破损考虑最不利的情况及桶底破损，</w:t>
      </w:r>
      <w:r>
        <w:rPr>
          <w:rFonts w:hAnsi="宋体" w:hint="eastAsia"/>
          <w:sz w:val="24"/>
          <w:szCs w:val="24"/>
        </w:rPr>
        <w:t>10</w:t>
      </w:r>
      <w:r>
        <w:rPr>
          <w:rFonts w:hAnsi="宋体" w:hint="eastAsia"/>
          <w:sz w:val="24"/>
          <w:szCs w:val="24"/>
        </w:rPr>
        <w:t>分钟整桶物料将全部泄露。</w:t>
      </w:r>
    </w:p>
    <w:p w:rsidR="00475650" w:rsidRDefault="00475650">
      <w:pPr>
        <w:pStyle w:val="h"/>
        <w:spacing w:before="0" w:after="0" w:line="360" w:lineRule="auto"/>
        <w:ind w:firstLine="0"/>
        <w:outlineLvl w:val="2"/>
        <w:rPr>
          <w:rStyle w:val="2Char1Char"/>
          <w:rFonts w:ascii="Times New Roman" w:eastAsia="宋体" w:hAnsi="Times New Roman" w:cs="Times New Roman"/>
          <w:b w:val="0"/>
          <w:bCs w:val="0"/>
          <w:sz w:val="24"/>
          <w:szCs w:val="24"/>
        </w:rPr>
      </w:pPr>
      <w:r>
        <w:rPr>
          <w:rStyle w:val="2Char1Char"/>
          <w:rFonts w:ascii="Times New Roman" w:eastAsia="宋体" w:hAnsi="Times New Roman" w:cs="Times New Roman"/>
          <w:b w:val="0"/>
          <w:bCs w:val="0"/>
          <w:sz w:val="24"/>
          <w:szCs w:val="24"/>
        </w:rPr>
        <w:t xml:space="preserve">6.4.3.2 </w:t>
      </w:r>
      <w:r>
        <w:rPr>
          <w:rStyle w:val="2Char1Char"/>
          <w:rFonts w:ascii="Times New Roman" w:eastAsia="宋体" w:hAnsi="宋体" w:cs="Times New Roman"/>
          <w:b w:val="0"/>
          <w:bCs w:val="0"/>
          <w:sz w:val="24"/>
          <w:szCs w:val="24"/>
        </w:rPr>
        <w:t>液体泄露后有害物质的散发量</w:t>
      </w:r>
    </w:p>
    <w:p w:rsidR="00475650" w:rsidRDefault="00475650" w:rsidP="00475650">
      <w:pPr>
        <w:pStyle w:val="38"/>
        <w:spacing w:after="0" w:line="360" w:lineRule="auto"/>
        <w:ind w:leftChars="0" w:left="0" w:firstLineChars="232" w:firstLine="557"/>
        <w:rPr>
          <w:sz w:val="24"/>
          <w:szCs w:val="24"/>
        </w:rPr>
      </w:pPr>
      <w:r>
        <w:rPr>
          <w:rFonts w:hAnsi="宋体"/>
          <w:sz w:val="24"/>
          <w:szCs w:val="24"/>
        </w:rPr>
        <w:t>盐酸泄漏后漫流至装置区地面，形成液膜。随着质量蒸发、热量蒸发及闪蒸等蒸发损失，盐酸中氯化氢进入大气。</w:t>
      </w:r>
      <w:r>
        <w:rPr>
          <w:rFonts w:hAnsi="宋体" w:hint="eastAsia"/>
          <w:sz w:val="24"/>
          <w:szCs w:val="24"/>
        </w:rPr>
        <w:t>本处</w:t>
      </w:r>
      <w:r>
        <w:rPr>
          <w:rFonts w:hAnsi="宋体"/>
          <w:sz w:val="24"/>
          <w:szCs w:val="24"/>
        </w:rPr>
        <w:t>考虑液体中氯化氢的全部挥发，氯化氢的散发速度为</w:t>
      </w:r>
      <w:r>
        <w:rPr>
          <w:sz w:val="24"/>
          <w:szCs w:val="24"/>
        </w:rPr>
        <w:t>2.48kg/s</w:t>
      </w:r>
      <w:r>
        <w:rPr>
          <w:rFonts w:hAnsi="宋体"/>
          <w:sz w:val="24"/>
          <w:szCs w:val="24"/>
        </w:rPr>
        <w:t>。</w:t>
      </w:r>
      <w:r>
        <w:rPr>
          <w:sz w:val="24"/>
          <w:szCs w:val="24"/>
        </w:rPr>
        <w:t>10</w:t>
      </w:r>
      <w:r>
        <w:rPr>
          <w:rFonts w:hAnsi="宋体"/>
          <w:sz w:val="24"/>
          <w:szCs w:val="24"/>
        </w:rPr>
        <w:t>分钟的总散发量为</w:t>
      </w:r>
      <w:r>
        <w:rPr>
          <w:sz w:val="24"/>
          <w:szCs w:val="24"/>
        </w:rPr>
        <w:t>1.488t</w:t>
      </w:r>
      <w:r>
        <w:rPr>
          <w:rFonts w:hAnsi="宋体"/>
          <w:sz w:val="24"/>
          <w:szCs w:val="24"/>
        </w:rPr>
        <w:t>。</w:t>
      </w:r>
      <w:r>
        <w:rPr>
          <w:rFonts w:hAnsi="宋体" w:hint="eastAsia"/>
          <w:sz w:val="24"/>
          <w:szCs w:val="24"/>
        </w:rPr>
        <w:t>而乙酸酐沸点较高，常温环境下不会产生挥发，主要污染为地面漫流污染影响。</w:t>
      </w:r>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909" w:name="_Toc27771"/>
      <w:r>
        <w:rPr>
          <w:rStyle w:val="2Char1Char"/>
          <w:rFonts w:ascii="Times New Roman" w:eastAsia="宋体" w:hAnsi="Times New Roman" w:cs="Times New Roman"/>
          <w:b w:val="0"/>
          <w:sz w:val="28"/>
          <w:szCs w:val="28"/>
        </w:rPr>
        <w:lastRenderedPageBreak/>
        <w:t>6.5</w:t>
      </w:r>
      <w:r>
        <w:rPr>
          <w:rStyle w:val="2Char1Char"/>
          <w:rFonts w:ascii="Times New Roman" w:eastAsia="宋体" w:hAnsi="宋体" w:cs="Times New Roman"/>
          <w:b w:val="0"/>
          <w:sz w:val="28"/>
          <w:szCs w:val="28"/>
        </w:rPr>
        <w:t>事故风险影响</w:t>
      </w:r>
      <w:bookmarkEnd w:id="909"/>
    </w:p>
    <w:p w:rsidR="00475650" w:rsidRDefault="00475650">
      <w:pPr>
        <w:pStyle w:val="h"/>
        <w:spacing w:before="0" w:after="0" w:line="360" w:lineRule="auto"/>
        <w:ind w:firstLine="0"/>
        <w:outlineLvl w:val="0"/>
        <w:rPr>
          <w:rStyle w:val="2Char1Char"/>
          <w:rFonts w:ascii="Times New Roman" w:eastAsia="宋体" w:hAnsi="Times New Roman" w:cs="Times New Roman"/>
          <w:sz w:val="24"/>
          <w:szCs w:val="24"/>
        </w:rPr>
      </w:pPr>
      <w:bookmarkStart w:id="910" w:name="_Toc24587"/>
      <w:bookmarkStart w:id="911" w:name="_Toc465677052"/>
      <w:r>
        <w:rPr>
          <w:rStyle w:val="2Char1Char"/>
          <w:rFonts w:ascii="Times New Roman" w:eastAsia="宋体" w:hAnsi="Times New Roman" w:cs="Times New Roman"/>
          <w:sz w:val="24"/>
          <w:szCs w:val="24"/>
        </w:rPr>
        <w:t>6.5.1</w:t>
      </w:r>
      <w:r>
        <w:rPr>
          <w:rStyle w:val="2Char1Char"/>
          <w:rFonts w:ascii="Times New Roman" w:eastAsia="宋体" w:hAnsi="宋体" w:cs="Times New Roman"/>
          <w:sz w:val="24"/>
          <w:szCs w:val="24"/>
        </w:rPr>
        <w:t>、事故风险对大气环境的影响</w:t>
      </w:r>
      <w:bookmarkEnd w:id="910"/>
      <w:bookmarkEnd w:id="911"/>
    </w:p>
    <w:p w:rsidR="00475650" w:rsidRDefault="00475650">
      <w:pPr>
        <w:pStyle w:val="afffff9"/>
        <w:spacing w:before="60" w:line="360" w:lineRule="auto"/>
        <w:rPr>
          <w:color w:val="auto"/>
        </w:rPr>
      </w:pPr>
      <w:r>
        <w:rPr>
          <w:rFonts w:hAnsi="宋体"/>
          <w:color w:val="auto"/>
        </w:rPr>
        <w:t>预测模式采用《建设项目环境风险评价技术导则》（</w:t>
      </w:r>
      <w:r>
        <w:rPr>
          <w:color w:val="auto"/>
        </w:rPr>
        <w:t>HJ/T169-2004</w:t>
      </w:r>
      <w:r>
        <w:rPr>
          <w:rFonts w:hAnsi="宋体"/>
          <w:color w:val="auto"/>
        </w:rPr>
        <w:t>）推荐的多烟团模式（有毒有害物质面源扩散模式）。泄漏时间取</w:t>
      </w:r>
      <w:r>
        <w:rPr>
          <w:color w:val="auto"/>
        </w:rPr>
        <w:t>10min</w:t>
      </w:r>
      <w:r>
        <w:rPr>
          <w:rFonts w:hAnsi="宋体"/>
          <w:color w:val="auto"/>
        </w:rPr>
        <w:t>，预测</w:t>
      </w:r>
      <w:r>
        <w:rPr>
          <w:color w:val="auto"/>
        </w:rPr>
        <w:t>A-B</w:t>
      </w:r>
      <w:r>
        <w:rPr>
          <w:rFonts w:hAnsi="宋体"/>
          <w:color w:val="auto"/>
        </w:rPr>
        <w:t>稳定度、小风风速（</w:t>
      </w:r>
      <w:r>
        <w:rPr>
          <w:color w:val="auto"/>
        </w:rPr>
        <w:t>1.0m/s</w:t>
      </w:r>
      <w:r>
        <w:rPr>
          <w:rFonts w:hAnsi="宋体"/>
          <w:color w:val="auto"/>
        </w:rPr>
        <w:t>）气象条件下的风险影响；氯化氢半致死浓度值为</w:t>
      </w:r>
      <w:r>
        <w:rPr>
          <w:color w:val="auto"/>
        </w:rPr>
        <w:t>4600mg/m</w:t>
      </w:r>
      <w:r>
        <w:rPr>
          <w:color w:val="auto"/>
          <w:vertAlign w:val="superscript"/>
        </w:rPr>
        <w:t>3</w:t>
      </w:r>
      <w:r>
        <w:rPr>
          <w:rFonts w:hAnsi="宋体"/>
          <w:color w:val="auto"/>
        </w:rPr>
        <w:t>；允许接触浓度限值为</w:t>
      </w:r>
      <w:r>
        <w:rPr>
          <w:color w:val="auto"/>
        </w:rPr>
        <w:t>15mg/m</w:t>
      </w:r>
      <w:r>
        <w:rPr>
          <w:color w:val="auto"/>
          <w:vertAlign w:val="superscript"/>
        </w:rPr>
        <w:t>3</w:t>
      </w:r>
      <w:r>
        <w:rPr>
          <w:rFonts w:hAnsi="宋体"/>
          <w:color w:val="auto"/>
        </w:rPr>
        <w:t>；大气环境质量标准限值为</w:t>
      </w:r>
      <w:r>
        <w:rPr>
          <w:color w:val="auto"/>
        </w:rPr>
        <w:t>0.05mg/m</w:t>
      </w:r>
      <w:r>
        <w:rPr>
          <w:color w:val="auto"/>
          <w:vertAlign w:val="superscript"/>
        </w:rPr>
        <w:t>3</w:t>
      </w:r>
      <w:r>
        <w:rPr>
          <w:rFonts w:hAnsi="宋体"/>
          <w:color w:val="auto"/>
        </w:rPr>
        <w:t>。</w:t>
      </w:r>
    </w:p>
    <w:p w:rsidR="00475650" w:rsidRDefault="00475650">
      <w:pPr>
        <w:pStyle w:val="afffff9"/>
        <w:spacing w:before="60" w:line="360" w:lineRule="auto"/>
        <w:rPr>
          <w:rFonts w:hAnsi="宋体"/>
          <w:color w:val="auto"/>
        </w:rPr>
      </w:pPr>
      <w:r>
        <w:rPr>
          <w:rFonts w:hAnsi="宋体"/>
          <w:color w:val="auto"/>
        </w:rPr>
        <w:t>本项目拟定的风险事故对大气环境的影响情况见表</w:t>
      </w:r>
      <w:r>
        <w:rPr>
          <w:color w:val="auto"/>
        </w:rPr>
        <w:t>6.5-1</w:t>
      </w:r>
      <w:r>
        <w:rPr>
          <w:rFonts w:hAnsi="宋体"/>
          <w:color w:val="auto"/>
        </w:rPr>
        <w:t>及表</w:t>
      </w:r>
      <w:r>
        <w:rPr>
          <w:color w:val="auto"/>
        </w:rPr>
        <w:t>6.5-2</w:t>
      </w:r>
      <w:r>
        <w:rPr>
          <w:rFonts w:hAnsi="宋体"/>
          <w:color w:val="auto"/>
        </w:rPr>
        <w:t>。根据预测结果可知，在泄露事故持续发生的</w:t>
      </w:r>
      <w:r>
        <w:rPr>
          <w:color w:val="auto"/>
        </w:rPr>
        <w:t>30</w:t>
      </w:r>
      <w:r>
        <w:rPr>
          <w:rFonts w:hAnsi="宋体"/>
          <w:color w:val="auto"/>
        </w:rPr>
        <w:t>分钟内，最大落地浓度为</w:t>
      </w:r>
      <w:r>
        <w:rPr>
          <w:color w:val="auto"/>
        </w:rPr>
        <w:t>4390.78mg/m</w:t>
      </w:r>
      <w:r>
        <w:rPr>
          <w:color w:val="auto"/>
          <w:vertAlign w:val="superscript"/>
        </w:rPr>
        <w:t>3</w:t>
      </w:r>
      <w:r>
        <w:rPr>
          <w:rFonts w:hAnsi="宋体"/>
          <w:color w:val="auto"/>
        </w:rPr>
        <w:t>，其浓度不会造成致死现象，但超过短时间允许接触浓度计大气环境质量标准，在泄漏的</w:t>
      </w:r>
      <w:r>
        <w:rPr>
          <w:color w:val="auto"/>
        </w:rPr>
        <w:t>10min</w:t>
      </w:r>
      <w:r>
        <w:rPr>
          <w:rFonts w:hAnsi="宋体"/>
          <w:color w:val="auto"/>
        </w:rPr>
        <w:t>内</w:t>
      </w:r>
      <w:r>
        <w:rPr>
          <w:color w:val="auto"/>
        </w:rPr>
        <w:t>210.8m</w:t>
      </w:r>
      <w:r>
        <w:rPr>
          <w:rFonts w:hAnsi="宋体"/>
          <w:color w:val="auto"/>
        </w:rPr>
        <w:t>范围内的大气浓度低于短时间允许接触浓度范围，该范围内主要是装置区及荒地，无居民点分布。在</w:t>
      </w:r>
      <w:r>
        <w:rPr>
          <w:color w:val="auto"/>
        </w:rPr>
        <w:t>30min</w:t>
      </w:r>
      <w:r>
        <w:rPr>
          <w:rFonts w:hAnsi="宋体"/>
          <w:color w:val="auto"/>
        </w:rPr>
        <w:t>内，</w:t>
      </w:r>
      <w:r>
        <w:rPr>
          <w:color w:val="auto"/>
        </w:rPr>
        <w:t>2156.8m</w:t>
      </w:r>
      <w:r>
        <w:rPr>
          <w:rFonts w:hAnsi="宋体"/>
          <w:color w:val="auto"/>
        </w:rPr>
        <w:t>范围内的环境空气质量将超过二类区大气环境质量标准。</w:t>
      </w:r>
    </w:p>
    <w:p w:rsidR="00475650" w:rsidRDefault="00475650">
      <w:pPr>
        <w:pStyle w:val="afffff9"/>
        <w:spacing w:before="60" w:line="360" w:lineRule="auto"/>
        <w:rPr>
          <w:color w:val="auto"/>
        </w:rPr>
      </w:pPr>
      <w:r>
        <w:rPr>
          <w:rFonts w:hAnsi="宋体" w:hint="eastAsia"/>
          <w:color w:val="auto"/>
        </w:rPr>
        <w:t>环境风险考虑了极端情况下得风险，实际情况下，</w:t>
      </w:r>
      <w:r>
        <w:rPr>
          <w:rFonts w:hAnsi="宋体"/>
          <w:color w:val="auto"/>
        </w:rPr>
        <w:t>氯化氢极易溶于水及碱液，在泄漏发生后，</w:t>
      </w:r>
      <w:r>
        <w:rPr>
          <w:rFonts w:hAnsi="宋体" w:hint="eastAsia"/>
          <w:color w:val="auto"/>
        </w:rPr>
        <w:t>可</w:t>
      </w:r>
      <w:r>
        <w:rPr>
          <w:rFonts w:hAnsi="宋体"/>
          <w:color w:val="auto"/>
        </w:rPr>
        <w:t>通过及时堵漏并采取碱液中和等方式有效减少氯化氢挥发量，</w:t>
      </w:r>
      <w:r>
        <w:rPr>
          <w:rFonts w:hAnsi="宋体" w:hint="eastAsia"/>
          <w:color w:val="auto"/>
        </w:rPr>
        <w:t>盐酸为化工工业常用化学品，其应急处理措施成熟，可有效降低风险污染影响</w:t>
      </w:r>
      <w:r>
        <w:rPr>
          <w:rFonts w:hAnsi="宋体"/>
          <w:color w:val="auto"/>
        </w:rPr>
        <w:t>。本项目风险情况下不会出现致死浓度。</w:t>
      </w:r>
    </w:p>
    <w:p w:rsidR="00475650" w:rsidRDefault="00475650">
      <w:pPr>
        <w:spacing w:line="360" w:lineRule="auto"/>
        <w:jc w:val="center"/>
        <w:rPr>
          <w:b/>
          <w:sz w:val="24"/>
        </w:rPr>
      </w:pPr>
      <w:r>
        <w:rPr>
          <w:rFonts w:hAnsi="宋体"/>
          <w:b/>
          <w:sz w:val="24"/>
        </w:rPr>
        <w:t>表</w:t>
      </w:r>
      <w:r>
        <w:rPr>
          <w:b/>
          <w:sz w:val="24"/>
        </w:rPr>
        <w:t xml:space="preserve">6.5-1 </w:t>
      </w:r>
      <w:r>
        <w:rPr>
          <w:rFonts w:hAnsi="宋体"/>
          <w:b/>
          <w:sz w:val="24"/>
        </w:rPr>
        <w:t>盐酸泄漏后下风向地面浓度预测结果（风速</w:t>
      </w:r>
      <w:r>
        <w:rPr>
          <w:b/>
          <w:sz w:val="24"/>
        </w:rPr>
        <w:t>1.0m/s</w:t>
      </w:r>
      <w:r>
        <w:rPr>
          <w:rFonts w:hAnsi="宋体"/>
          <w:b/>
          <w:sz w:val="24"/>
        </w:rPr>
        <w:t>）</w:t>
      </w:r>
      <w:r>
        <w:rPr>
          <w:b/>
          <w:sz w:val="24"/>
        </w:rPr>
        <w:t xml:space="preserve">  </w:t>
      </w:r>
      <w:r>
        <w:rPr>
          <w:rFonts w:hAnsi="宋体"/>
          <w:b/>
          <w:sz w:val="24"/>
        </w:rPr>
        <w:t>单位：</w:t>
      </w:r>
      <w:r>
        <w:rPr>
          <w:b/>
          <w:sz w:val="24"/>
        </w:rPr>
        <w:t>mg/m</w:t>
      </w:r>
      <w:r>
        <w:rPr>
          <w:b/>
          <w:sz w:val="24"/>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407"/>
        <w:gridCol w:w="1508"/>
        <w:gridCol w:w="1508"/>
        <w:gridCol w:w="1508"/>
        <w:gridCol w:w="1508"/>
        <w:gridCol w:w="1507"/>
      </w:tblGrid>
      <w:tr w:rsidR="00475650">
        <w:trPr>
          <w:trHeight w:val="180"/>
          <w:tblHeader/>
          <w:jc w:val="center"/>
        </w:trPr>
        <w:tc>
          <w:tcPr>
            <w:tcW w:w="1407" w:type="dxa"/>
            <w:vMerge w:val="restart"/>
            <w:vAlign w:val="center"/>
          </w:tcPr>
          <w:p w:rsidR="00475650" w:rsidRDefault="00475650">
            <w:pPr>
              <w:ind w:firstLineChars="150" w:firstLine="315"/>
              <w:jc w:val="center"/>
              <w:rPr>
                <w:szCs w:val="21"/>
              </w:rPr>
            </w:pPr>
            <w:r>
              <w:rPr>
                <w:rFonts w:hAnsi="宋体"/>
                <w:szCs w:val="21"/>
              </w:rPr>
              <w:t>项目</w:t>
            </w:r>
          </w:p>
          <w:p w:rsidR="00475650" w:rsidRDefault="00475650">
            <w:pPr>
              <w:jc w:val="center"/>
              <w:rPr>
                <w:szCs w:val="21"/>
              </w:rPr>
            </w:pPr>
            <w:r>
              <w:rPr>
                <w:rFonts w:hAnsi="宋体"/>
                <w:szCs w:val="21"/>
              </w:rPr>
              <w:t>距离</w:t>
            </w:r>
            <w:r>
              <w:rPr>
                <w:szCs w:val="21"/>
              </w:rPr>
              <w:t>m</w:t>
            </w:r>
          </w:p>
        </w:tc>
        <w:tc>
          <w:tcPr>
            <w:tcW w:w="7539" w:type="dxa"/>
            <w:gridSpan w:val="5"/>
            <w:vAlign w:val="center"/>
          </w:tcPr>
          <w:p w:rsidR="00475650" w:rsidRDefault="00475650">
            <w:pPr>
              <w:jc w:val="center"/>
              <w:rPr>
                <w:szCs w:val="21"/>
              </w:rPr>
            </w:pPr>
            <w:r>
              <w:rPr>
                <w:rFonts w:hAnsi="宋体"/>
                <w:szCs w:val="21"/>
              </w:rPr>
              <w:t>稳定度</w:t>
            </w:r>
            <w:r>
              <w:rPr>
                <w:szCs w:val="21"/>
              </w:rPr>
              <w:t>A-B</w:t>
            </w:r>
          </w:p>
        </w:tc>
      </w:tr>
      <w:tr w:rsidR="00475650">
        <w:trPr>
          <w:trHeight w:val="392"/>
          <w:tblHeader/>
          <w:jc w:val="center"/>
        </w:trPr>
        <w:tc>
          <w:tcPr>
            <w:tcW w:w="1407" w:type="dxa"/>
            <w:vMerge/>
            <w:vAlign w:val="center"/>
          </w:tcPr>
          <w:p w:rsidR="00475650" w:rsidRDefault="00475650">
            <w:pPr>
              <w:ind w:firstLineChars="450" w:firstLine="945"/>
              <w:jc w:val="center"/>
              <w:rPr>
                <w:szCs w:val="21"/>
              </w:rPr>
            </w:pPr>
          </w:p>
        </w:tc>
        <w:tc>
          <w:tcPr>
            <w:tcW w:w="1508" w:type="dxa"/>
            <w:vAlign w:val="center"/>
          </w:tcPr>
          <w:p w:rsidR="00475650" w:rsidRDefault="00475650">
            <w:pPr>
              <w:jc w:val="center"/>
              <w:rPr>
                <w:szCs w:val="21"/>
              </w:rPr>
            </w:pPr>
            <w:r>
              <w:rPr>
                <w:szCs w:val="21"/>
              </w:rPr>
              <w:t>5min</w:t>
            </w:r>
          </w:p>
        </w:tc>
        <w:tc>
          <w:tcPr>
            <w:tcW w:w="1508" w:type="dxa"/>
            <w:vAlign w:val="center"/>
          </w:tcPr>
          <w:p w:rsidR="00475650" w:rsidRDefault="00475650">
            <w:pPr>
              <w:jc w:val="center"/>
              <w:rPr>
                <w:szCs w:val="21"/>
              </w:rPr>
            </w:pPr>
            <w:r>
              <w:rPr>
                <w:szCs w:val="21"/>
              </w:rPr>
              <w:t>10min</w:t>
            </w:r>
          </w:p>
        </w:tc>
        <w:tc>
          <w:tcPr>
            <w:tcW w:w="1508" w:type="dxa"/>
            <w:vAlign w:val="center"/>
          </w:tcPr>
          <w:p w:rsidR="00475650" w:rsidRDefault="00475650">
            <w:pPr>
              <w:jc w:val="center"/>
              <w:rPr>
                <w:szCs w:val="21"/>
              </w:rPr>
            </w:pPr>
            <w:r>
              <w:rPr>
                <w:szCs w:val="21"/>
              </w:rPr>
              <w:t>15min</w:t>
            </w:r>
          </w:p>
        </w:tc>
        <w:tc>
          <w:tcPr>
            <w:tcW w:w="1508" w:type="dxa"/>
            <w:vAlign w:val="center"/>
          </w:tcPr>
          <w:p w:rsidR="00475650" w:rsidRDefault="00475650">
            <w:pPr>
              <w:jc w:val="center"/>
              <w:rPr>
                <w:szCs w:val="21"/>
              </w:rPr>
            </w:pPr>
            <w:r>
              <w:rPr>
                <w:szCs w:val="21"/>
              </w:rPr>
              <w:t>20min</w:t>
            </w:r>
          </w:p>
        </w:tc>
        <w:tc>
          <w:tcPr>
            <w:tcW w:w="1507" w:type="dxa"/>
            <w:vAlign w:val="center"/>
          </w:tcPr>
          <w:p w:rsidR="00475650" w:rsidRDefault="00475650">
            <w:pPr>
              <w:jc w:val="center"/>
              <w:rPr>
                <w:szCs w:val="21"/>
              </w:rPr>
            </w:pPr>
            <w:r>
              <w:rPr>
                <w:szCs w:val="21"/>
              </w:rPr>
              <w:t>30min</w:t>
            </w:r>
          </w:p>
        </w:tc>
      </w:tr>
      <w:tr w:rsidR="00475650">
        <w:trPr>
          <w:trHeight w:val="320"/>
          <w:jc w:val="center"/>
        </w:trPr>
        <w:tc>
          <w:tcPr>
            <w:tcW w:w="1407" w:type="dxa"/>
            <w:vAlign w:val="center"/>
          </w:tcPr>
          <w:p w:rsidR="00475650" w:rsidRDefault="00475650">
            <w:pPr>
              <w:jc w:val="center"/>
              <w:rPr>
                <w:szCs w:val="21"/>
              </w:rPr>
            </w:pPr>
            <w:r>
              <w:rPr>
                <w:szCs w:val="21"/>
              </w:rPr>
              <w:t>50</w:t>
            </w:r>
          </w:p>
        </w:tc>
        <w:tc>
          <w:tcPr>
            <w:tcW w:w="1508" w:type="dxa"/>
            <w:vAlign w:val="bottom"/>
          </w:tcPr>
          <w:p w:rsidR="00475650" w:rsidRDefault="00475650">
            <w:pPr>
              <w:jc w:val="center"/>
              <w:rPr>
                <w:szCs w:val="21"/>
              </w:rPr>
            </w:pPr>
            <w:r>
              <w:rPr>
                <w:szCs w:val="21"/>
              </w:rPr>
              <w:t>274.986</w:t>
            </w:r>
          </w:p>
        </w:tc>
        <w:tc>
          <w:tcPr>
            <w:tcW w:w="1508" w:type="dxa"/>
            <w:vAlign w:val="bottom"/>
          </w:tcPr>
          <w:p w:rsidR="00475650" w:rsidRDefault="00475650">
            <w:pPr>
              <w:jc w:val="center"/>
              <w:rPr>
                <w:szCs w:val="21"/>
              </w:rPr>
            </w:pPr>
            <w:r>
              <w:rPr>
                <w:szCs w:val="21"/>
              </w:rPr>
              <w:t>276.047</w:t>
            </w:r>
          </w:p>
        </w:tc>
        <w:tc>
          <w:tcPr>
            <w:tcW w:w="1508" w:type="dxa"/>
            <w:vAlign w:val="bottom"/>
          </w:tcPr>
          <w:p w:rsidR="00475650" w:rsidRDefault="00475650">
            <w:pPr>
              <w:jc w:val="center"/>
              <w:rPr>
                <w:szCs w:val="21"/>
              </w:rPr>
            </w:pPr>
            <w:r>
              <w:rPr>
                <w:szCs w:val="21"/>
              </w:rPr>
              <w:t>1.249</w:t>
            </w:r>
          </w:p>
        </w:tc>
        <w:tc>
          <w:tcPr>
            <w:tcW w:w="1508" w:type="dxa"/>
            <w:vAlign w:val="bottom"/>
          </w:tcPr>
          <w:p w:rsidR="00475650" w:rsidRDefault="00475650">
            <w:pPr>
              <w:jc w:val="center"/>
              <w:rPr>
                <w:szCs w:val="21"/>
              </w:rPr>
            </w:pPr>
            <w:r>
              <w:rPr>
                <w:szCs w:val="21"/>
              </w:rPr>
              <w:t>0.252</w:t>
            </w:r>
          </w:p>
        </w:tc>
        <w:tc>
          <w:tcPr>
            <w:tcW w:w="1507" w:type="dxa"/>
            <w:vAlign w:val="bottom"/>
          </w:tcPr>
          <w:p w:rsidR="00475650" w:rsidRDefault="00475650">
            <w:pPr>
              <w:jc w:val="center"/>
              <w:rPr>
                <w:szCs w:val="21"/>
              </w:rPr>
            </w:pPr>
            <w:r>
              <w:rPr>
                <w:szCs w:val="21"/>
              </w:rPr>
              <w:t>0.046</w:t>
            </w:r>
          </w:p>
        </w:tc>
      </w:tr>
      <w:tr w:rsidR="00475650">
        <w:trPr>
          <w:trHeight w:val="320"/>
          <w:jc w:val="center"/>
        </w:trPr>
        <w:tc>
          <w:tcPr>
            <w:tcW w:w="1407" w:type="dxa"/>
            <w:vAlign w:val="center"/>
          </w:tcPr>
          <w:p w:rsidR="00475650" w:rsidRDefault="00475650">
            <w:pPr>
              <w:jc w:val="center"/>
              <w:rPr>
                <w:szCs w:val="21"/>
              </w:rPr>
            </w:pPr>
            <w:r>
              <w:rPr>
                <w:szCs w:val="21"/>
              </w:rPr>
              <w:t>100</w:t>
            </w:r>
          </w:p>
        </w:tc>
        <w:tc>
          <w:tcPr>
            <w:tcW w:w="1508" w:type="dxa"/>
            <w:vAlign w:val="bottom"/>
          </w:tcPr>
          <w:p w:rsidR="00475650" w:rsidRDefault="00475650">
            <w:pPr>
              <w:jc w:val="center"/>
              <w:rPr>
                <w:szCs w:val="21"/>
              </w:rPr>
            </w:pPr>
            <w:r>
              <w:rPr>
                <w:szCs w:val="21"/>
              </w:rPr>
              <w:t>66.859</w:t>
            </w:r>
          </w:p>
        </w:tc>
        <w:tc>
          <w:tcPr>
            <w:tcW w:w="1508" w:type="dxa"/>
            <w:vAlign w:val="bottom"/>
          </w:tcPr>
          <w:p w:rsidR="00475650" w:rsidRDefault="00475650">
            <w:pPr>
              <w:jc w:val="center"/>
              <w:rPr>
                <w:szCs w:val="21"/>
              </w:rPr>
            </w:pPr>
            <w:r>
              <w:rPr>
                <w:szCs w:val="21"/>
              </w:rPr>
              <w:t>68.56</w:t>
            </w:r>
          </w:p>
        </w:tc>
        <w:tc>
          <w:tcPr>
            <w:tcW w:w="1508" w:type="dxa"/>
            <w:vAlign w:val="bottom"/>
          </w:tcPr>
          <w:p w:rsidR="00475650" w:rsidRDefault="00475650">
            <w:pPr>
              <w:jc w:val="center"/>
              <w:rPr>
                <w:szCs w:val="21"/>
              </w:rPr>
            </w:pPr>
            <w:r>
              <w:rPr>
                <w:szCs w:val="21"/>
              </w:rPr>
              <w:t>1.400</w:t>
            </w:r>
          </w:p>
        </w:tc>
        <w:tc>
          <w:tcPr>
            <w:tcW w:w="1508" w:type="dxa"/>
            <w:vAlign w:val="bottom"/>
          </w:tcPr>
          <w:p w:rsidR="00475650" w:rsidRDefault="00475650">
            <w:pPr>
              <w:jc w:val="center"/>
              <w:rPr>
                <w:szCs w:val="21"/>
              </w:rPr>
            </w:pPr>
            <w:r>
              <w:rPr>
                <w:szCs w:val="21"/>
              </w:rPr>
              <w:t>0.271</w:t>
            </w:r>
          </w:p>
        </w:tc>
        <w:tc>
          <w:tcPr>
            <w:tcW w:w="1507" w:type="dxa"/>
            <w:vAlign w:val="bottom"/>
          </w:tcPr>
          <w:p w:rsidR="00475650" w:rsidRDefault="00475650">
            <w:pPr>
              <w:jc w:val="center"/>
              <w:rPr>
                <w:szCs w:val="21"/>
              </w:rPr>
            </w:pPr>
            <w:r>
              <w:rPr>
                <w:szCs w:val="21"/>
              </w:rPr>
              <w:t>0.048</w:t>
            </w:r>
          </w:p>
        </w:tc>
      </w:tr>
      <w:tr w:rsidR="00475650">
        <w:trPr>
          <w:trHeight w:val="320"/>
          <w:jc w:val="center"/>
        </w:trPr>
        <w:tc>
          <w:tcPr>
            <w:tcW w:w="1407" w:type="dxa"/>
            <w:vAlign w:val="center"/>
          </w:tcPr>
          <w:p w:rsidR="00475650" w:rsidRDefault="00475650">
            <w:pPr>
              <w:jc w:val="center"/>
              <w:rPr>
                <w:szCs w:val="21"/>
              </w:rPr>
            </w:pPr>
            <w:r>
              <w:rPr>
                <w:szCs w:val="21"/>
              </w:rPr>
              <w:t>200</w:t>
            </w:r>
          </w:p>
        </w:tc>
        <w:tc>
          <w:tcPr>
            <w:tcW w:w="1508" w:type="dxa"/>
            <w:vAlign w:val="bottom"/>
          </w:tcPr>
          <w:p w:rsidR="00475650" w:rsidRDefault="00475650">
            <w:pPr>
              <w:jc w:val="center"/>
              <w:rPr>
                <w:szCs w:val="21"/>
              </w:rPr>
            </w:pPr>
            <w:r>
              <w:rPr>
                <w:szCs w:val="21"/>
              </w:rPr>
              <w:t>15.304</w:t>
            </w:r>
          </w:p>
        </w:tc>
        <w:tc>
          <w:tcPr>
            <w:tcW w:w="1508" w:type="dxa"/>
            <w:vAlign w:val="bottom"/>
          </w:tcPr>
          <w:p w:rsidR="00475650" w:rsidRDefault="00475650">
            <w:pPr>
              <w:jc w:val="center"/>
              <w:rPr>
                <w:szCs w:val="21"/>
              </w:rPr>
            </w:pPr>
            <w:r>
              <w:rPr>
                <w:szCs w:val="21"/>
              </w:rPr>
              <w:t>16.713</w:t>
            </w:r>
          </w:p>
        </w:tc>
        <w:tc>
          <w:tcPr>
            <w:tcW w:w="1508" w:type="dxa"/>
            <w:vAlign w:val="bottom"/>
          </w:tcPr>
          <w:p w:rsidR="00475650" w:rsidRDefault="00475650">
            <w:pPr>
              <w:jc w:val="center"/>
              <w:rPr>
                <w:szCs w:val="21"/>
              </w:rPr>
            </w:pPr>
            <w:r>
              <w:rPr>
                <w:szCs w:val="21"/>
              </w:rPr>
              <w:t>1.640</w:t>
            </w:r>
          </w:p>
        </w:tc>
        <w:tc>
          <w:tcPr>
            <w:tcW w:w="1508" w:type="dxa"/>
            <w:vAlign w:val="bottom"/>
          </w:tcPr>
          <w:p w:rsidR="00475650" w:rsidRDefault="00475650">
            <w:pPr>
              <w:jc w:val="center"/>
              <w:rPr>
                <w:szCs w:val="21"/>
              </w:rPr>
            </w:pPr>
            <w:r>
              <w:rPr>
                <w:szCs w:val="21"/>
              </w:rPr>
              <w:t>0.306</w:t>
            </w:r>
          </w:p>
        </w:tc>
        <w:tc>
          <w:tcPr>
            <w:tcW w:w="1507" w:type="dxa"/>
            <w:vAlign w:val="bottom"/>
          </w:tcPr>
          <w:p w:rsidR="00475650" w:rsidRDefault="00475650">
            <w:pPr>
              <w:jc w:val="center"/>
              <w:rPr>
                <w:szCs w:val="21"/>
              </w:rPr>
            </w:pPr>
            <w:r>
              <w:rPr>
                <w:szCs w:val="21"/>
              </w:rPr>
              <w:t>0.051</w:t>
            </w:r>
          </w:p>
        </w:tc>
      </w:tr>
      <w:tr w:rsidR="00475650">
        <w:trPr>
          <w:trHeight w:val="320"/>
          <w:jc w:val="center"/>
        </w:trPr>
        <w:tc>
          <w:tcPr>
            <w:tcW w:w="1407" w:type="dxa"/>
            <w:vAlign w:val="center"/>
          </w:tcPr>
          <w:p w:rsidR="00475650" w:rsidRDefault="00475650">
            <w:pPr>
              <w:jc w:val="center"/>
              <w:rPr>
                <w:szCs w:val="21"/>
              </w:rPr>
            </w:pPr>
            <w:r>
              <w:rPr>
                <w:szCs w:val="21"/>
              </w:rPr>
              <w:t>300</w:t>
            </w:r>
          </w:p>
        </w:tc>
        <w:tc>
          <w:tcPr>
            <w:tcW w:w="1508" w:type="dxa"/>
            <w:vAlign w:val="bottom"/>
          </w:tcPr>
          <w:p w:rsidR="00475650" w:rsidRDefault="00475650">
            <w:pPr>
              <w:jc w:val="center"/>
              <w:rPr>
                <w:szCs w:val="21"/>
              </w:rPr>
            </w:pPr>
            <w:r>
              <w:rPr>
                <w:szCs w:val="21"/>
              </w:rPr>
              <w:t>5.676</w:t>
            </w:r>
          </w:p>
        </w:tc>
        <w:tc>
          <w:tcPr>
            <w:tcW w:w="1508" w:type="dxa"/>
            <w:vAlign w:val="bottom"/>
          </w:tcPr>
          <w:p w:rsidR="00475650" w:rsidRDefault="00475650">
            <w:pPr>
              <w:jc w:val="center"/>
              <w:rPr>
                <w:szCs w:val="21"/>
              </w:rPr>
            </w:pPr>
            <w:r>
              <w:rPr>
                <w:szCs w:val="21"/>
              </w:rPr>
              <w:t>7.173</w:t>
            </w:r>
          </w:p>
        </w:tc>
        <w:tc>
          <w:tcPr>
            <w:tcW w:w="1508" w:type="dxa"/>
            <w:vAlign w:val="bottom"/>
          </w:tcPr>
          <w:p w:rsidR="00475650" w:rsidRDefault="00475650">
            <w:pPr>
              <w:jc w:val="center"/>
              <w:rPr>
                <w:szCs w:val="21"/>
              </w:rPr>
            </w:pPr>
            <w:r>
              <w:rPr>
                <w:szCs w:val="21"/>
              </w:rPr>
              <w:t>1.752</w:t>
            </w:r>
          </w:p>
        </w:tc>
        <w:tc>
          <w:tcPr>
            <w:tcW w:w="1508" w:type="dxa"/>
            <w:vAlign w:val="bottom"/>
          </w:tcPr>
          <w:p w:rsidR="00475650" w:rsidRDefault="00475650">
            <w:pPr>
              <w:jc w:val="center"/>
              <w:rPr>
                <w:szCs w:val="21"/>
              </w:rPr>
            </w:pPr>
            <w:r>
              <w:rPr>
                <w:szCs w:val="21"/>
              </w:rPr>
              <w:t>0.336</w:t>
            </w:r>
          </w:p>
        </w:tc>
        <w:tc>
          <w:tcPr>
            <w:tcW w:w="1507" w:type="dxa"/>
            <w:vAlign w:val="bottom"/>
          </w:tcPr>
          <w:p w:rsidR="00475650" w:rsidRDefault="00475650">
            <w:pPr>
              <w:jc w:val="center"/>
              <w:rPr>
                <w:szCs w:val="21"/>
              </w:rPr>
            </w:pPr>
            <w:r>
              <w:rPr>
                <w:szCs w:val="21"/>
              </w:rPr>
              <w:t>0.055</w:t>
            </w:r>
          </w:p>
        </w:tc>
      </w:tr>
      <w:tr w:rsidR="00475650">
        <w:trPr>
          <w:trHeight w:val="320"/>
          <w:jc w:val="center"/>
        </w:trPr>
        <w:tc>
          <w:tcPr>
            <w:tcW w:w="1407" w:type="dxa"/>
            <w:vAlign w:val="center"/>
          </w:tcPr>
          <w:p w:rsidR="00475650" w:rsidRDefault="00475650">
            <w:pPr>
              <w:jc w:val="center"/>
              <w:rPr>
                <w:szCs w:val="21"/>
              </w:rPr>
            </w:pPr>
            <w:r>
              <w:rPr>
                <w:szCs w:val="21"/>
              </w:rPr>
              <w:t>400</w:t>
            </w:r>
          </w:p>
        </w:tc>
        <w:tc>
          <w:tcPr>
            <w:tcW w:w="1508" w:type="dxa"/>
            <w:vAlign w:val="bottom"/>
          </w:tcPr>
          <w:p w:rsidR="00475650" w:rsidRDefault="00475650">
            <w:pPr>
              <w:jc w:val="center"/>
              <w:rPr>
                <w:szCs w:val="21"/>
              </w:rPr>
            </w:pPr>
            <w:r>
              <w:rPr>
                <w:szCs w:val="21"/>
              </w:rPr>
              <w:t>2.378</w:t>
            </w:r>
          </w:p>
        </w:tc>
        <w:tc>
          <w:tcPr>
            <w:tcW w:w="1508" w:type="dxa"/>
            <w:vAlign w:val="bottom"/>
          </w:tcPr>
          <w:p w:rsidR="00475650" w:rsidRDefault="00475650">
            <w:pPr>
              <w:jc w:val="center"/>
              <w:rPr>
                <w:szCs w:val="21"/>
              </w:rPr>
            </w:pPr>
            <w:r>
              <w:rPr>
                <w:szCs w:val="21"/>
              </w:rPr>
              <w:t>3.818</w:t>
            </w:r>
          </w:p>
        </w:tc>
        <w:tc>
          <w:tcPr>
            <w:tcW w:w="1508" w:type="dxa"/>
            <w:vAlign w:val="bottom"/>
          </w:tcPr>
          <w:p w:rsidR="00475650" w:rsidRDefault="00475650">
            <w:pPr>
              <w:jc w:val="center"/>
              <w:rPr>
                <w:szCs w:val="21"/>
              </w:rPr>
            </w:pPr>
            <w:r>
              <w:rPr>
                <w:szCs w:val="21"/>
              </w:rPr>
              <w:t>1.712</w:t>
            </w:r>
          </w:p>
        </w:tc>
        <w:tc>
          <w:tcPr>
            <w:tcW w:w="1508" w:type="dxa"/>
            <w:vAlign w:val="bottom"/>
          </w:tcPr>
          <w:p w:rsidR="00475650" w:rsidRDefault="00475650">
            <w:pPr>
              <w:jc w:val="center"/>
              <w:rPr>
                <w:szCs w:val="21"/>
              </w:rPr>
            </w:pPr>
            <w:r>
              <w:rPr>
                <w:szCs w:val="21"/>
              </w:rPr>
              <w:t>0.360</w:t>
            </w:r>
          </w:p>
        </w:tc>
        <w:tc>
          <w:tcPr>
            <w:tcW w:w="1507" w:type="dxa"/>
            <w:vAlign w:val="bottom"/>
          </w:tcPr>
          <w:p w:rsidR="00475650" w:rsidRDefault="00475650">
            <w:pPr>
              <w:jc w:val="center"/>
              <w:rPr>
                <w:szCs w:val="21"/>
              </w:rPr>
            </w:pPr>
            <w:r>
              <w:rPr>
                <w:szCs w:val="21"/>
              </w:rPr>
              <w:t>0.058</w:t>
            </w:r>
          </w:p>
        </w:tc>
      </w:tr>
      <w:tr w:rsidR="00475650">
        <w:trPr>
          <w:trHeight w:val="320"/>
          <w:jc w:val="center"/>
        </w:trPr>
        <w:tc>
          <w:tcPr>
            <w:tcW w:w="1407" w:type="dxa"/>
            <w:vAlign w:val="center"/>
          </w:tcPr>
          <w:p w:rsidR="00475650" w:rsidRDefault="00475650">
            <w:pPr>
              <w:jc w:val="center"/>
              <w:rPr>
                <w:szCs w:val="21"/>
              </w:rPr>
            </w:pPr>
            <w:r>
              <w:rPr>
                <w:szCs w:val="21"/>
              </w:rPr>
              <w:t>500</w:t>
            </w:r>
          </w:p>
        </w:tc>
        <w:tc>
          <w:tcPr>
            <w:tcW w:w="1508" w:type="dxa"/>
            <w:vAlign w:val="bottom"/>
          </w:tcPr>
          <w:p w:rsidR="00475650" w:rsidRDefault="00475650">
            <w:pPr>
              <w:jc w:val="center"/>
              <w:rPr>
                <w:szCs w:val="21"/>
              </w:rPr>
            </w:pPr>
            <w:r>
              <w:rPr>
                <w:szCs w:val="21"/>
              </w:rPr>
              <w:t>0.997</w:t>
            </w:r>
          </w:p>
        </w:tc>
        <w:tc>
          <w:tcPr>
            <w:tcW w:w="1508" w:type="dxa"/>
            <w:vAlign w:val="bottom"/>
          </w:tcPr>
          <w:p w:rsidR="00475650" w:rsidRDefault="00475650">
            <w:pPr>
              <w:jc w:val="center"/>
              <w:rPr>
                <w:szCs w:val="21"/>
              </w:rPr>
            </w:pPr>
            <w:r>
              <w:rPr>
                <w:szCs w:val="21"/>
              </w:rPr>
              <w:t>2.258</w:t>
            </w:r>
          </w:p>
        </w:tc>
        <w:tc>
          <w:tcPr>
            <w:tcW w:w="1508" w:type="dxa"/>
            <w:vAlign w:val="bottom"/>
          </w:tcPr>
          <w:p w:rsidR="00475650" w:rsidRDefault="00475650">
            <w:pPr>
              <w:jc w:val="center"/>
              <w:rPr>
                <w:szCs w:val="21"/>
              </w:rPr>
            </w:pPr>
            <w:r>
              <w:rPr>
                <w:szCs w:val="21"/>
              </w:rPr>
              <w:t>1.544</w:t>
            </w:r>
          </w:p>
        </w:tc>
        <w:tc>
          <w:tcPr>
            <w:tcW w:w="1508" w:type="dxa"/>
            <w:vAlign w:val="bottom"/>
          </w:tcPr>
          <w:p w:rsidR="00475650" w:rsidRDefault="00475650">
            <w:pPr>
              <w:jc w:val="center"/>
              <w:rPr>
                <w:szCs w:val="21"/>
              </w:rPr>
            </w:pPr>
            <w:r>
              <w:rPr>
                <w:szCs w:val="21"/>
              </w:rPr>
              <w:t>0.376</w:t>
            </w:r>
          </w:p>
        </w:tc>
        <w:tc>
          <w:tcPr>
            <w:tcW w:w="1507" w:type="dxa"/>
            <w:vAlign w:val="bottom"/>
          </w:tcPr>
          <w:p w:rsidR="00475650" w:rsidRDefault="00475650">
            <w:pPr>
              <w:jc w:val="center"/>
              <w:rPr>
                <w:szCs w:val="21"/>
              </w:rPr>
            </w:pPr>
            <w:r>
              <w:rPr>
                <w:szCs w:val="21"/>
              </w:rPr>
              <w:t>0.061</w:t>
            </w:r>
          </w:p>
        </w:tc>
      </w:tr>
      <w:tr w:rsidR="00475650">
        <w:trPr>
          <w:trHeight w:val="320"/>
          <w:jc w:val="center"/>
        </w:trPr>
        <w:tc>
          <w:tcPr>
            <w:tcW w:w="1407" w:type="dxa"/>
            <w:vAlign w:val="center"/>
          </w:tcPr>
          <w:p w:rsidR="00475650" w:rsidRDefault="00475650">
            <w:pPr>
              <w:jc w:val="center"/>
              <w:rPr>
                <w:szCs w:val="21"/>
              </w:rPr>
            </w:pPr>
            <w:r>
              <w:rPr>
                <w:szCs w:val="21"/>
              </w:rPr>
              <w:t>600</w:t>
            </w:r>
          </w:p>
        </w:tc>
        <w:tc>
          <w:tcPr>
            <w:tcW w:w="1508" w:type="dxa"/>
            <w:vAlign w:val="bottom"/>
          </w:tcPr>
          <w:p w:rsidR="00475650" w:rsidRDefault="00475650">
            <w:pPr>
              <w:jc w:val="center"/>
              <w:rPr>
                <w:szCs w:val="21"/>
              </w:rPr>
            </w:pPr>
            <w:r>
              <w:rPr>
                <w:szCs w:val="21"/>
              </w:rPr>
              <w:t>0.394</w:t>
            </w:r>
          </w:p>
        </w:tc>
        <w:tc>
          <w:tcPr>
            <w:tcW w:w="1508" w:type="dxa"/>
            <w:vAlign w:val="bottom"/>
          </w:tcPr>
          <w:p w:rsidR="00475650" w:rsidRDefault="00475650">
            <w:pPr>
              <w:jc w:val="center"/>
              <w:rPr>
                <w:szCs w:val="21"/>
              </w:rPr>
            </w:pPr>
            <w:r>
              <w:rPr>
                <w:szCs w:val="21"/>
              </w:rPr>
              <w:t>1.411</w:t>
            </w:r>
          </w:p>
        </w:tc>
        <w:tc>
          <w:tcPr>
            <w:tcW w:w="1508" w:type="dxa"/>
            <w:vAlign w:val="bottom"/>
          </w:tcPr>
          <w:p w:rsidR="00475650" w:rsidRDefault="00475650">
            <w:pPr>
              <w:jc w:val="center"/>
              <w:rPr>
                <w:szCs w:val="21"/>
              </w:rPr>
            </w:pPr>
            <w:r>
              <w:rPr>
                <w:szCs w:val="21"/>
              </w:rPr>
              <w:t>1.301</w:t>
            </w:r>
          </w:p>
        </w:tc>
        <w:tc>
          <w:tcPr>
            <w:tcW w:w="1508" w:type="dxa"/>
            <w:vAlign w:val="bottom"/>
          </w:tcPr>
          <w:p w:rsidR="00475650" w:rsidRDefault="00475650">
            <w:pPr>
              <w:jc w:val="center"/>
              <w:rPr>
                <w:szCs w:val="21"/>
              </w:rPr>
            </w:pPr>
            <w:r>
              <w:rPr>
                <w:szCs w:val="21"/>
              </w:rPr>
              <w:t>0.382</w:t>
            </w:r>
          </w:p>
        </w:tc>
        <w:tc>
          <w:tcPr>
            <w:tcW w:w="1507" w:type="dxa"/>
            <w:vAlign w:val="bottom"/>
          </w:tcPr>
          <w:p w:rsidR="00475650" w:rsidRDefault="00475650">
            <w:pPr>
              <w:jc w:val="center"/>
              <w:rPr>
                <w:szCs w:val="21"/>
              </w:rPr>
            </w:pPr>
            <w:r>
              <w:rPr>
                <w:szCs w:val="21"/>
              </w:rPr>
              <w:t>0.064</w:t>
            </w:r>
          </w:p>
        </w:tc>
      </w:tr>
      <w:tr w:rsidR="00475650">
        <w:trPr>
          <w:trHeight w:val="320"/>
          <w:jc w:val="center"/>
        </w:trPr>
        <w:tc>
          <w:tcPr>
            <w:tcW w:w="1407" w:type="dxa"/>
            <w:vAlign w:val="center"/>
          </w:tcPr>
          <w:p w:rsidR="00475650" w:rsidRDefault="00475650">
            <w:pPr>
              <w:jc w:val="center"/>
              <w:rPr>
                <w:szCs w:val="21"/>
              </w:rPr>
            </w:pPr>
            <w:r>
              <w:rPr>
                <w:szCs w:val="21"/>
              </w:rPr>
              <w:t>700</w:t>
            </w:r>
          </w:p>
        </w:tc>
        <w:tc>
          <w:tcPr>
            <w:tcW w:w="1508" w:type="dxa"/>
            <w:vAlign w:val="bottom"/>
          </w:tcPr>
          <w:p w:rsidR="00475650" w:rsidRDefault="00475650">
            <w:pPr>
              <w:jc w:val="center"/>
              <w:rPr>
                <w:szCs w:val="21"/>
              </w:rPr>
            </w:pPr>
            <w:r>
              <w:rPr>
                <w:szCs w:val="21"/>
              </w:rPr>
              <w:t>0.143</w:t>
            </w:r>
          </w:p>
        </w:tc>
        <w:tc>
          <w:tcPr>
            <w:tcW w:w="1508" w:type="dxa"/>
            <w:vAlign w:val="bottom"/>
          </w:tcPr>
          <w:p w:rsidR="00475650" w:rsidRDefault="00475650">
            <w:pPr>
              <w:jc w:val="center"/>
              <w:rPr>
                <w:szCs w:val="21"/>
              </w:rPr>
            </w:pPr>
            <w:r>
              <w:rPr>
                <w:szCs w:val="21"/>
              </w:rPr>
              <w:t>0.906</w:t>
            </w:r>
          </w:p>
        </w:tc>
        <w:tc>
          <w:tcPr>
            <w:tcW w:w="1508" w:type="dxa"/>
            <w:vAlign w:val="bottom"/>
          </w:tcPr>
          <w:p w:rsidR="00475650" w:rsidRDefault="00475650">
            <w:pPr>
              <w:jc w:val="center"/>
              <w:rPr>
                <w:szCs w:val="21"/>
              </w:rPr>
            </w:pPr>
            <w:r>
              <w:rPr>
                <w:szCs w:val="21"/>
              </w:rPr>
              <w:t>1.042</w:t>
            </w:r>
          </w:p>
        </w:tc>
        <w:tc>
          <w:tcPr>
            <w:tcW w:w="1508" w:type="dxa"/>
            <w:vAlign w:val="bottom"/>
          </w:tcPr>
          <w:p w:rsidR="00475650" w:rsidRDefault="00475650">
            <w:pPr>
              <w:jc w:val="center"/>
              <w:rPr>
                <w:szCs w:val="21"/>
              </w:rPr>
            </w:pPr>
            <w:r>
              <w:rPr>
                <w:szCs w:val="21"/>
              </w:rPr>
              <w:t>0.378</w:t>
            </w:r>
          </w:p>
        </w:tc>
        <w:tc>
          <w:tcPr>
            <w:tcW w:w="1507" w:type="dxa"/>
            <w:vAlign w:val="bottom"/>
          </w:tcPr>
          <w:p w:rsidR="00475650" w:rsidRDefault="00475650">
            <w:pPr>
              <w:jc w:val="center"/>
              <w:rPr>
                <w:szCs w:val="21"/>
              </w:rPr>
            </w:pPr>
            <w:r>
              <w:rPr>
                <w:szCs w:val="21"/>
              </w:rPr>
              <w:t>0.067</w:t>
            </w:r>
          </w:p>
        </w:tc>
      </w:tr>
      <w:tr w:rsidR="00475650">
        <w:trPr>
          <w:trHeight w:val="320"/>
          <w:jc w:val="center"/>
        </w:trPr>
        <w:tc>
          <w:tcPr>
            <w:tcW w:w="1407" w:type="dxa"/>
            <w:vAlign w:val="center"/>
          </w:tcPr>
          <w:p w:rsidR="00475650" w:rsidRDefault="00475650">
            <w:pPr>
              <w:jc w:val="center"/>
              <w:rPr>
                <w:szCs w:val="21"/>
              </w:rPr>
            </w:pPr>
            <w:r>
              <w:rPr>
                <w:szCs w:val="21"/>
              </w:rPr>
              <w:t>800</w:t>
            </w:r>
          </w:p>
        </w:tc>
        <w:tc>
          <w:tcPr>
            <w:tcW w:w="1508" w:type="dxa"/>
            <w:vAlign w:val="bottom"/>
          </w:tcPr>
          <w:p w:rsidR="00475650" w:rsidRDefault="00475650">
            <w:pPr>
              <w:jc w:val="center"/>
              <w:rPr>
                <w:szCs w:val="21"/>
              </w:rPr>
            </w:pPr>
            <w:r>
              <w:rPr>
                <w:szCs w:val="21"/>
              </w:rPr>
              <w:t>0.046</w:t>
            </w:r>
          </w:p>
        </w:tc>
        <w:tc>
          <w:tcPr>
            <w:tcW w:w="1508" w:type="dxa"/>
            <w:vAlign w:val="bottom"/>
          </w:tcPr>
          <w:p w:rsidR="00475650" w:rsidRDefault="00475650">
            <w:pPr>
              <w:jc w:val="center"/>
              <w:rPr>
                <w:szCs w:val="21"/>
              </w:rPr>
            </w:pPr>
            <w:r>
              <w:rPr>
                <w:szCs w:val="21"/>
              </w:rPr>
              <w:t>0.587</w:t>
            </w:r>
          </w:p>
        </w:tc>
        <w:tc>
          <w:tcPr>
            <w:tcW w:w="1508" w:type="dxa"/>
            <w:vAlign w:val="bottom"/>
          </w:tcPr>
          <w:p w:rsidR="00475650" w:rsidRDefault="00475650">
            <w:pPr>
              <w:jc w:val="center"/>
              <w:rPr>
                <w:szCs w:val="21"/>
              </w:rPr>
            </w:pPr>
            <w:r>
              <w:rPr>
                <w:szCs w:val="21"/>
              </w:rPr>
              <w:t>0.807</w:t>
            </w:r>
          </w:p>
        </w:tc>
        <w:tc>
          <w:tcPr>
            <w:tcW w:w="1508" w:type="dxa"/>
            <w:vAlign w:val="bottom"/>
          </w:tcPr>
          <w:p w:rsidR="00475650" w:rsidRDefault="00475650">
            <w:pPr>
              <w:jc w:val="center"/>
              <w:rPr>
                <w:szCs w:val="21"/>
              </w:rPr>
            </w:pPr>
            <w:r>
              <w:rPr>
                <w:szCs w:val="21"/>
              </w:rPr>
              <w:t>0.366</w:t>
            </w:r>
          </w:p>
        </w:tc>
        <w:tc>
          <w:tcPr>
            <w:tcW w:w="1507" w:type="dxa"/>
            <w:vAlign w:val="bottom"/>
          </w:tcPr>
          <w:p w:rsidR="00475650" w:rsidRDefault="00475650">
            <w:pPr>
              <w:jc w:val="center"/>
              <w:rPr>
                <w:szCs w:val="21"/>
              </w:rPr>
            </w:pPr>
            <w:r>
              <w:rPr>
                <w:szCs w:val="21"/>
              </w:rPr>
              <w:t>0.069</w:t>
            </w:r>
          </w:p>
        </w:tc>
      </w:tr>
      <w:tr w:rsidR="00475650">
        <w:trPr>
          <w:trHeight w:val="320"/>
          <w:jc w:val="center"/>
        </w:trPr>
        <w:tc>
          <w:tcPr>
            <w:tcW w:w="1407" w:type="dxa"/>
            <w:vAlign w:val="center"/>
          </w:tcPr>
          <w:p w:rsidR="00475650" w:rsidRDefault="00475650">
            <w:pPr>
              <w:jc w:val="center"/>
              <w:rPr>
                <w:szCs w:val="21"/>
              </w:rPr>
            </w:pPr>
            <w:r>
              <w:rPr>
                <w:szCs w:val="21"/>
              </w:rPr>
              <w:t>900</w:t>
            </w:r>
          </w:p>
        </w:tc>
        <w:tc>
          <w:tcPr>
            <w:tcW w:w="1508" w:type="dxa"/>
            <w:vAlign w:val="bottom"/>
          </w:tcPr>
          <w:p w:rsidR="00475650" w:rsidRDefault="00475650">
            <w:pPr>
              <w:jc w:val="center"/>
              <w:rPr>
                <w:szCs w:val="21"/>
              </w:rPr>
            </w:pPr>
            <w:r>
              <w:rPr>
                <w:szCs w:val="21"/>
              </w:rPr>
              <w:t>0.013</w:t>
            </w:r>
          </w:p>
        </w:tc>
        <w:tc>
          <w:tcPr>
            <w:tcW w:w="1508" w:type="dxa"/>
            <w:vAlign w:val="bottom"/>
          </w:tcPr>
          <w:p w:rsidR="00475650" w:rsidRDefault="00475650">
            <w:pPr>
              <w:jc w:val="center"/>
              <w:rPr>
                <w:szCs w:val="21"/>
              </w:rPr>
            </w:pPr>
            <w:r>
              <w:rPr>
                <w:szCs w:val="21"/>
              </w:rPr>
              <w:t>0.380</w:t>
            </w:r>
          </w:p>
        </w:tc>
        <w:tc>
          <w:tcPr>
            <w:tcW w:w="1508" w:type="dxa"/>
            <w:vAlign w:val="bottom"/>
          </w:tcPr>
          <w:p w:rsidR="00475650" w:rsidRDefault="00475650">
            <w:pPr>
              <w:jc w:val="center"/>
              <w:rPr>
                <w:szCs w:val="21"/>
              </w:rPr>
            </w:pPr>
            <w:r>
              <w:rPr>
                <w:szCs w:val="21"/>
              </w:rPr>
              <w:t>0.613</w:t>
            </w:r>
          </w:p>
        </w:tc>
        <w:tc>
          <w:tcPr>
            <w:tcW w:w="1508" w:type="dxa"/>
            <w:vAlign w:val="bottom"/>
          </w:tcPr>
          <w:p w:rsidR="00475650" w:rsidRDefault="00475650">
            <w:pPr>
              <w:jc w:val="center"/>
              <w:rPr>
                <w:szCs w:val="21"/>
              </w:rPr>
            </w:pPr>
            <w:r>
              <w:rPr>
                <w:szCs w:val="21"/>
              </w:rPr>
              <w:t>0.346</w:t>
            </w:r>
          </w:p>
        </w:tc>
        <w:tc>
          <w:tcPr>
            <w:tcW w:w="1507" w:type="dxa"/>
            <w:vAlign w:val="bottom"/>
          </w:tcPr>
          <w:p w:rsidR="00475650" w:rsidRDefault="00475650">
            <w:pPr>
              <w:jc w:val="center"/>
              <w:rPr>
                <w:szCs w:val="21"/>
              </w:rPr>
            </w:pPr>
            <w:r>
              <w:rPr>
                <w:szCs w:val="21"/>
              </w:rPr>
              <w:t>0.070</w:t>
            </w:r>
          </w:p>
        </w:tc>
      </w:tr>
      <w:tr w:rsidR="00475650">
        <w:trPr>
          <w:trHeight w:val="320"/>
          <w:jc w:val="center"/>
        </w:trPr>
        <w:tc>
          <w:tcPr>
            <w:tcW w:w="1407" w:type="dxa"/>
            <w:vAlign w:val="center"/>
          </w:tcPr>
          <w:p w:rsidR="00475650" w:rsidRDefault="00475650">
            <w:pPr>
              <w:jc w:val="center"/>
              <w:rPr>
                <w:szCs w:val="21"/>
              </w:rPr>
            </w:pPr>
            <w:r>
              <w:rPr>
                <w:szCs w:val="21"/>
              </w:rPr>
              <w:t>1000</w:t>
            </w:r>
          </w:p>
        </w:tc>
        <w:tc>
          <w:tcPr>
            <w:tcW w:w="1508" w:type="dxa"/>
            <w:vAlign w:val="bottom"/>
          </w:tcPr>
          <w:p w:rsidR="00475650" w:rsidRDefault="00475650">
            <w:pPr>
              <w:jc w:val="center"/>
              <w:rPr>
                <w:szCs w:val="21"/>
              </w:rPr>
            </w:pPr>
            <w:r>
              <w:rPr>
                <w:szCs w:val="21"/>
              </w:rPr>
              <w:t>0.003</w:t>
            </w:r>
          </w:p>
        </w:tc>
        <w:tc>
          <w:tcPr>
            <w:tcW w:w="1508" w:type="dxa"/>
            <w:vAlign w:val="bottom"/>
          </w:tcPr>
          <w:p w:rsidR="00475650" w:rsidRDefault="00475650">
            <w:pPr>
              <w:jc w:val="center"/>
              <w:rPr>
                <w:szCs w:val="21"/>
              </w:rPr>
            </w:pPr>
            <w:r>
              <w:rPr>
                <w:szCs w:val="21"/>
              </w:rPr>
              <w:t>0.244</w:t>
            </w:r>
          </w:p>
        </w:tc>
        <w:tc>
          <w:tcPr>
            <w:tcW w:w="1508" w:type="dxa"/>
            <w:vAlign w:val="bottom"/>
          </w:tcPr>
          <w:p w:rsidR="00475650" w:rsidRDefault="00475650">
            <w:pPr>
              <w:jc w:val="center"/>
              <w:rPr>
                <w:szCs w:val="21"/>
              </w:rPr>
            </w:pPr>
            <w:r>
              <w:rPr>
                <w:szCs w:val="21"/>
              </w:rPr>
              <w:t>0.461</w:t>
            </w:r>
          </w:p>
        </w:tc>
        <w:tc>
          <w:tcPr>
            <w:tcW w:w="1508" w:type="dxa"/>
            <w:vAlign w:val="bottom"/>
          </w:tcPr>
          <w:p w:rsidR="00475650" w:rsidRDefault="00475650">
            <w:pPr>
              <w:jc w:val="center"/>
              <w:rPr>
                <w:szCs w:val="21"/>
              </w:rPr>
            </w:pPr>
            <w:r>
              <w:rPr>
                <w:szCs w:val="21"/>
              </w:rPr>
              <w:t>0.319</w:t>
            </w:r>
          </w:p>
        </w:tc>
        <w:tc>
          <w:tcPr>
            <w:tcW w:w="1507" w:type="dxa"/>
            <w:vAlign w:val="bottom"/>
          </w:tcPr>
          <w:p w:rsidR="00475650" w:rsidRDefault="00475650">
            <w:pPr>
              <w:jc w:val="center"/>
              <w:rPr>
                <w:szCs w:val="21"/>
              </w:rPr>
            </w:pPr>
            <w:r>
              <w:rPr>
                <w:szCs w:val="21"/>
              </w:rPr>
              <w:t>0.071</w:t>
            </w:r>
          </w:p>
        </w:tc>
      </w:tr>
      <w:tr w:rsidR="00475650">
        <w:trPr>
          <w:trHeight w:val="320"/>
          <w:jc w:val="center"/>
        </w:trPr>
        <w:tc>
          <w:tcPr>
            <w:tcW w:w="1407" w:type="dxa"/>
            <w:vAlign w:val="center"/>
          </w:tcPr>
          <w:p w:rsidR="00475650" w:rsidRDefault="00475650">
            <w:pPr>
              <w:jc w:val="center"/>
              <w:rPr>
                <w:szCs w:val="21"/>
              </w:rPr>
            </w:pPr>
            <w:r>
              <w:rPr>
                <w:szCs w:val="21"/>
              </w:rPr>
              <w:t>1100</w:t>
            </w:r>
          </w:p>
        </w:tc>
        <w:tc>
          <w:tcPr>
            <w:tcW w:w="1508" w:type="dxa"/>
            <w:vAlign w:val="bottom"/>
          </w:tcPr>
          <w:p w:rsidR="00475650" w:rsidRDefault="00475650">
            <w:pPr>
              <w:jc w:val="center"/>
              <w:rPr>
                <w:szCs w:val="21"/>
              </w:rPr>
            </w:pPr>
            <w:r>
              <w:rPr>
                <w:szCs w:val="21"/>
              </w:rPr>
              <w:t>0.001</w:t>
            </w:r>
          </w:p>
        </w:tc>
        <w:tc>
          <w:tcPr>
            <w:tcW w:w="1508" w:type="dxa"/>
            <w:vAlign w:val="bottom"/>
          </w:tcPr>
          <w:p w:rsidR="00475650" w:rsidRDefault="00475650">
            <w:pPr>
              <w:jc w:val="center"/>
              <w:rPr>
                <w:szCs w:val="21"/>
              </w:rPr>
            </w:pPr>
            <w:r>
              <w:rPr>
                <w:szCs w:val="21"/>
              </w:rPr>
              <w:t>0.154</w:t>
            </w:r>
          </w:p>
        </w:tc>
        <w:tc>
          <w:tcPr>
            <w:tcW w:w="1508" w:type="dxa"/>
            <w:vAlign w:val="bottom"/>
          </w:tcPr>
          <w:p w:rsidR="00475650" w:rsidRDefault="00475650">
            <w:pPr>
              <w:jc w:val="center"/>
              <w:rPr>
                <w:szCs w:val="21"/>
              </w:rPr>
            </w:pPr>
            <w:r>
              <w:rPr>
                <w:szCs w:val="21"/>
              </w:rPr>
              <w:t>0.346</w:t>
            </w:r>
          </w:p>
        </w:tc>
        <w:tc>
          <w:tcPr>
            <w:tcW w:w="1508" w:type="dxa"/>
            <w:vAlign w:val="bottom"/>
          </w:tcPr>
          <w:p w:rsidR="00475650" w:rsidRDefault="00475650">
            <w:pPr>
              <w:jc w:val="center"/>
              <w:rPr>
                <w:szCs w:val="21"/>
              </w:rPr>
            </w:pPr>
            <w:r>
              <w:rPr>
                <w:szCs w:val="21"/>
              </w:rPr>
              <w:t>0.289</w:t>
            </w:r>
          </w:p>
        </w:tc>
        <w:tc>
          <w:tcPr>
            <w:tcW w:w="1507" w:type="dxa"/>
            <w:vAlign w:val="bottom"/>
          </w:tcPr>
          <w:p w:rsidR="00475650" w:rsidRDefault="00475650">
            <w:pPr>
              <w:jc w:val="center"/>
              <w:rPr>
                <w:szCs w:val="21"/>
              </w:rPr>
            </w:pPr>
            <w:r>
              <w:rPr>
                <w:szCs w:val="21"/>
              </w:rPr>
              <w:t>0.072</w:t>
            </w:r>
          </w:p>
        </w:tc>
      </w:tr>
      <w:tr w:rsidR="00475650">
        <w:trPr>
          <w:trHeight w:val="320"/>
          <w:jc w:val="center"/>
        </w:trPr>
        <w:tc>
          <w:tcPr>
            <w:tcW w:w="1407" w:type="dxa"/>
            <w:vAlign w:val="center"/>
          </w:tcPr>
          <w:p w:rsidR="00475650" w:rsidRDefault="00475650">
            <w:pPr>
              <w:jc w:val="center"/>
              <w:rPr>
                <w:szCs w:val="21"/>
              </w:rPr>
            </w:pPr>
            <w:r>
              <w:rPr>
                <w:szCs w:val="21"/>
              </w:rPr>
              <w:t>1200</w:t>
            </w:r>
          </w:p>
        </w:tc>
        <w:tc>
          <w:tcPr>
            <w:tcW w:w="1508" w:type="dxa"/>
            <w:vAlign w:val="bottom"/>
          </w:tcPr>
          <w:p w:rsidR="00475650" w:rsidRDefault="00475650">
            <w:pPr>
              <w:jc w:val="center"/>
              <w:rPr>
                <w:szCs w:val="21"/>
              </w:rPr>
            </w:pPr>
            <w:r>
              <w:rPr>
                <w:szCs w:val="21"/>
              </w:rPr>
              <w:t>0.000</w:t>
            </w:r>
          </w:p>
        </w:tc>
        <w:tc>
          <w:tcPr>
            <w:tcW w:w="1508" w:type="dxa"/>
            <w:vAlign w:val="bottom"/>
          </w:tcPr>
          <w:p w:rsidR="00475650" w:rsidRDefault="00475650">
            <w:pPr>
              <w:jc w:val="center"/>
              <w:rPr>
                <w:szCs w:val="21"/>
              </w:rPr>
            </w:pPr>
            <w:r>
              <w:rPr>
                <w:szCs w:val="21"/>
              </w:rPr>
              <w:t>0.096</w:t>
            </w:r>
          </w:p>
        </w:tc>
        <w:tc>
          <w:tcPr>
            <w:tcW w:w="1508" w:type="dxa"/>
            <w:vAlign w:val="bottom"/>
          </w:tcPr>
          <w:p w:rsidR="00475650" w:rsidRDefault="00475650">
            <w:pPr>
              <w:jc w:val="center"/>
              <w:rPr>
                <w:szCs w:val="21"/>
              </w:rPr>
            </w:pPr>
            <w:r>
              <w:rPr>
                <w:szCs w:val="21"/>
              </w:rPr>
              <w:t>0.260</w:t>
            </w:r>
          </w:p>
        </w:tc>
        <w:tc>
          <w:tcPr>
            <w:tcW w:w="1508" w:type="dxa"/>
            <w:vAlign w:val="bottom"/>
          </w:tcPr>
          <w:p w:rsidR="00475650" w:rsidRDefault="00475650">
            <w:pPr>
              <w:jc w:val="center"/>
              <w:rPr>
                <w:szCs w:val="21"/>
              </w:rPr>
            </w:pPr>
            <w:r>
              <w:rPr>
                <w:szCs w:val="21"/>
              </w:rPr>
              <w:t>0.256</w:t>
            </w:r>
          </w:p>
        </w:tc>
        <w:tc>
          <w:tcPr>
            <w:tcW w:w="1507" w:type="dxa"/>
            <w:vAlign w:val="bottom"/>
          </w:tcPr>
          <w:p w:rsidR="00475650" w:rsidRDefault="00475650">
            <w:pPr>
              <w:jc w:val="center"/>
              <w:rPr>
                <w:szCs w:val="21"/>
              </w:rPr>
            </w:pPr>
            <w:r>
              <w:rPr>
                <w:szCs w:val="21"/>
              </w:rPr>
              <w:t>0.072</w:t>
            </w:r>
          </w:p>
        </w:tc>
      </w:tr>
      <w:tr w:rsidR="00475650">
        <w:trPr>
          <w:trHeight w:val="320"/>
          <w:jc w:val="center"/>
        </w:trPr>
        <w:tc>
          <w:tcPr>
            <w:tcW w:w="1407" w:type="dxa"/>
            <w:vAlign w:val="center"/>
          </w:tcPr>
          <w:p w:rsidR="00475650" w:rsidRDefault="00475650">
            <w:pPr>
              <w:jc w:val="center"/>
              <w:rPr>
                <w:szCs w:val="21"/>
              </w:rPr>
            </w:pPr>
            <w:r>
              <w:rPr>
                <w:szCs w:val="21"/>
              </w:rPr>
              <w:lastRenderedPageBreak/>
              <w:t>1300</w:t>
            </w:r>
          </w:p>
        </w:tc>
        <w:tc>
          <w:tcPr>
            <w:tcW w:w="1508" w:type="dxa"/>
          </w:tcPr>
          <w:p w:rsidR="00475650" w:rsidRDefault="00475650">
            <w:pPr>
              <w:jc w:val="center"/>
              <w:rPr>
                <w:szCs w:val="21"/>
              </w:rPr>
            </w:pPr>
            <w:r>
              <w:rPr>
                <w:szCs w:val="21"/>
              </w:rPr>
              <w:t>0.000</w:t>
            </w:r>
          </w:p>
        </w:tc>
        <w:tc>
          <w:tcPr>
            <w:tcW w:w="1508" w:type="dxa"/>
            <w:vAlign w:val="bottom"/>
          </w:tcPr>
          <w:p w:rsidR="00475650" w:rsidRDefault="00475650">
            <w:pPr>
              <w:jc w:val="center"/>
              <w:rPr>
                <w:szCs w:val="21"/>
              </w:rPr>
            </w:pPr>
            <w:r>
              <w:rPr>
                <w:szCs w:val="21"/>
              </w:rPr>
              <w:t>0.058</w:t>
            </w:r>
          </w:p>
        </w:tc>
        <w:tc>
          <w:tcPr>
            <w:tcW w:w="1508" w:type="dxa"/>
            <w:vAlign w:val="bottom"/>
          </w:tcPr>
          <w:p w:rsidR="00475650" w:rsidRDefault="00475650">
            <w:pPr>
              <w:jc w:val="center"/>
              <w:rPr>
                <w:szCs w:val="21"/>
              </w:rPr>
            </w:pPr>
            <w:r>
              <w:rPr>
                <w:szCs w:val="21"/>
              </w:rPr>
              <w:t>0.195</w:t>
            </w:r>
          </w:p>
        </w:tc>
        <w:tc>
          <w:tcPr>
            <w:tcW w:w="1508" w:type="dxa"/>
            <w:vAlign w:val="bottom"/>
          </w:tcPr>
          <w:p w:rsidR="00475650" w:rsidRDefault="00475650">
            <w:pPr>
              <w:jc w:val="center"/>
              <w:rPr>
                <w:szCs w:val="21"/>
              </w:rPr>
            </w:pPr>
            <w:r>
              <w:rPr>
                <w:szCs w:val="21"/>
              </w:rPr>
              <w:t>0.223</w:t>
            </w:r>
          </w:p>
        </w:tc>
        <w:tc>
          <w:tcPr>
            <w:tcW w:w="1507" w:type="dxa"/>
            <w:vAlign w:val="bottom"/>
          </w:tcPr>
          <w:p w:rsidR="00475650" w:rsidRDefault="00475650">
            <w:pPr>
              <w:jc w:val="center"/>
              <w:rPr>
                <w:szCs w:val="21"/>
              </w:rPr>
            </w:pPr>
            <w:r>
              <w:rPr>
                <w:szCs w:val="21"/>
              </w:rPr>
              <w:t>0.072</w:t>
            </w:r>
          </w:p>
        </w:tc>
      </w:tr>
      <w:tr w:rsidR="00475650">
        <w:trPr>
          <w:trHeight w:val="320"/>
          <w:jc w:val="center"/>
        </w:trPr>
        <w:tc>
          <w:tcPr>
            <w:tcW w:w="1407" w:type="dxa"/>
            <w:vAlign w:val="center"/>
          </w:tcPr>
          <w:p w:rsidR="00475650" w:rsidRDefault="00475650">
            <w:pPr>
              <w:jc w:val="center"/>
              <w:rPr>
                <w:szCs w:val="21"/>
              </w:rPr>
            </w:pPr>
            <w:r>
              <w:rPr>
                <w:szCs w:val="21"/>
              </w:rPr>
              <w:t>1400</w:t>
            </w:r>
          </w:p>
        </w:tc>
        <w:tc>
          <w:tcPr>
            <w:tcW w:w="1508" w:type="dxa"/>
          </w:tcPr>
          <w:p w:rsidR="00475650" w:rsidRDefault="00475650">
            <w:pPr>
              <w:jc w:val="center"/>
              <w:rPr>
                <w:szCs w:val="21"/>
              </w:rPr>
            </w:pPr>
            <w:r>
              <w:rPr>
                <w:szCs w:val="21"/>
              </w:rPr>
              <w:t>0.000</w:t>
            </w:r>
          </w:p>
        </w:tc>
        <w:tc>
          <w:tcPr>
            <w:tcW w:w="1508" w:type="dxa"/>
            <w:vAlign w:val="bottom"/>
          </w:tcPr>
          <w:p w:rsidR="00475650" w:rsidRDefault="00475650">
            <w:pPr>
              <w:jc w:val="center"/>
              <w:rPr>
                <w:szCs w:val="21"/>
              </w:rPr>
            </w:pPr>
            <w:r>
              <w:rPr>
                <w:szCs w:val="21"/>
              </w:rPr>
              <w:t>0.034</w:t>
            </w:r>
          </w:p>
        </w:tc>
        <w:tc>
          <w:tcPr>
            <w:tcW w:w="1508" w:type="dxa"/>
            <w:vAlign w:val="bottom"/>
          </w:tcPr>
          <w:p w:rsidR="00475650" w:rsidRDefault="00475650">
            <w:pPr>
              <w:jc w:val="center"/>
              <w:rPr>
                <w:szCs w:val="21"/>
              </w:rPr>
            </w:pPr>
            <w:r>
              <w:rPr>
                <w:szCs w:val="21"/>
              </w:rPr>
              <w:t>0.145</w:t>
            </w:r>
          </w:p>
        </w:tc>
        <w:tc>
          <w:tcPr>
            <w:tcW w:w="1508" w:type="dxa"/>
            <w:vAlign w:val="bottom"/>
          </w:tcPr>
          <w:p w:rsidR="00475650" w:rsidRDefault="00475650">
            <w:pPr>
              <w:jc w:val="center"/>
              <w:rPr>
                <w:szCs w:val="21"/>
              </w:rPr>
            </w:pPr>
            <w:r>
              <w:rPr>
                <w:szCs w:val="21"/>
              </w:rPr>
              <w:t>0.191</w:t>
            </w:r>
          </w:p>
        </w:tc>
        <w:tc>
          <w:tcPr>
            <w:tcW w:w="1507" w:type="dxa"/>
            <w:vAlign w:val="bottom"/>
          </w:tcPr>
          <w:p w:rsidR="00475650" w:rsidRDefault="00475650">
            <w:pPr>
              <w:jc w:val="center"/>
              <w:rPr>
                <w:szCs w:val="21"/>
              </w:rPr>
            </w:pPr>
            <w:r>
              <w:rPr>
                <w:szCs w:val="21"/>
              </w:rPr>
              <w:t>0.070</w:t>
            </w:r>
          </w:p>
        </w:tc>
      </w:tr>
      <w:tr w:rsidR="00475650">
        <w:trPr>
          <w:trHeight w:val="320"/>
          <w:jc w:val="center"/>
        </w:trPr>
        <w:tc>
          <w:tcPr>
            <w:tcW w:w="1407" w:type="dxa"/>
            <w:vAlign w:val="center"/>
          </w:tcPr>
          <w:p w:rsidR="00475650" w:rsidRDefault="00475650">
            <w:pPr>
              <w:jc w:val="center"/>
              <w:rPr>
                <w:szCs w:val="21"/>
              </w:rPr>
            </w:pPr>
            <w:r>
              <w:rPr>
                <w:szCs w:val="21"/>
              </w:rPr>
              <w:t>1500</w:t>
            </w:r>
          </w:p>
        </w:tc>
        <w:tc>
          <w:tcPr>
            <w:tcW w:w="1508" w:type="dxa"/>
          </w:tcPr>
          <w:p w:rsidR="00475650" w:rsidRDefault="00475650">
            <w:pPr>
              <w:jc w:val="center"/>
              <w:rPr>
                <w:szCs w:val="21"/>
              </w:rPr>
            </w:pPr>
            <w:r>
              <w:rPr>
                <w:szCs w:val="21"/>
              </w:rPr>
              <w:t>0.000</w:t>
            </w:r>
          </w:p>
        </w:tc>
        <w:tc>
          <w:tcPr>
            <w:tcW w:w="1508" w:type="dxa"/>
            <w:vAlign w:val="bottom"/>
          </w:tcPr>
          <w:p w:rsidR="00475650" w:rsidRDefault="00475650">
            <w:pPr>
              <w:jc w:val="center"/>
              <w:rPr>
                <w:szCs w:val="21"/>
              </w:rPr>
            </w:pPr>
            <w:r>
              <w:rPr>
                <w:szCs w:val="21"/>
              </w:rPr>
              <w:t>0.020</w:t>
            </w:r>
          </w:p>
        </w:tc>
        <w:tc>
          <w:tcPr>
            <w:tcW w:w="1508" w:type="dxa"/>
            <w:vAlign w:val="bottom"/>
          </w:tcPr>
          <w:p w:rsidR="00475650" w:rsidRDefault="00475650">
            <w:pPr>
              <w:jc w:val="center"/>
              <w:rPr>
                <w:szCs w:val="21"/>
              </w:rPr>
            </w:pPr>
            <w:r>
              <w:rPr>
                <w:szCs w:val="21"/>
              </w:rPr>
              <w:t>0.108</w:t>
            </w:r>
          </w:p>
        </w:tc>
        <w:tc>
          <w:tcPr>
            <w:tcW w:w="1508" w:type="dxa"/>
            <w:vAlign w:val="bottom"/>
          </w:tcPr>
          <w:p w:rsidR="00475650" w:rsidRDefault="00475650">
            <w:pPr>
              <w:jc w:val="center"/>
              <w:rPr>
                <w:szCs w:val="21"/>
              </w:rPr>
            </w:pPr>
            <w:r>
              <w:rPr>
                <w:szCs w:val="21"/>
              </w:rPr>
              <w:t>0.162</w:t>
            </w:r>
          </w:p>
        </w:tc>
        <w:tc>
          <w:tcPr>
            <w:tcW w:w="1507" w:type="dxa"/>
            <w:vAlign w:val="bottom"/>
          </w:tcPr>
          <w:p w:rsidR="00475650" w:rsidRDefault="00475650">
            <w:pPr>
              <w:jc w:val="center"/>
              <w:rPr>
                <w:szCs w:val="21"/>
              </w:rPr>
            </w:pPr>
            <w:r>
              <w:rPr>
                <w:szCs w:val="21"/>
              </w:rPr>
              <w:t>0.069</w:t>
            </w:r>
          </w:p>
        </w:tc>
      </w:tr>
      <w:tr w:rsidR="00475650">
        <w:trPr>
          <w:trHeight w:val="320"/>
          <w:jc w:val="center"/>
        </w:trPr>
        <w:tc>
          <w:tcPr>
            <w:tcW w:w="1407" w:type="dxa"/>
            <w:vAlign w:val="center"/>
          </w:tcPr>
          <w:p w:rsidR="00475650" w:rsidRDefault="00475650">
            <w:pPr>
              <w:jc w:val="center"/>
              <w:rPr>
                <w:szCs w:val="21"/>
              </w:rPr>
            </w:pPr>
            <w:r>
              <w:rPr>
                <w:szCs w:val="21"/>
              </w:rPr>
              <w:t>2000</w:t>
            </w:r>
          </w:p>
        </w:tc>
        <w:tc>
          <w:tcPr>
            <w:tcW w:w="1508" w:type="dxa"/>
          </w:tcPr>
          <w:p w:rsidR="00475650" w:rsidRDefault="00475650">
            <w:pPr>
              <w:jc w:val="center"/>
              <w:rPr>
                <w:szCs w:val="21"/>
              </w:rPr>
            </w:pPr>
            <w:r>
              <w:rPr>
                <w:szCs w:val="21"/>
              </w:rPr>
              <w:t>0.000</w:t>
            </w:r>
          </w:p>
        </w:tc>
        <w:tc>
          <w:tcPr>
            <w:tcW w:w="1508" w:type="dxa"/>
            <w:vAlign w:val="bottom"/>
          </w:tcPr>
          <w:p w:rsidR="00475650" w:rsidRDefault="00475650">
            <w:pPr>
              <w:jc w:val="center"/>
              <w:rPr>
                <w:szCs w:val="21"/>
              </w:rPr>
            </w:pPr>
            <w:r>
              <w:rPr>
                <w:szCs w:val="21"/>
              </w:rPr>
              <w:t>0.001</w:t>
            </w:r>
          </w:p>
        </w:tc>
        <w:tc>
          <w:tcPr>
            <w:tcW w:w="1508" w:type="dxa"/>
            <w:vAlign w:val="bottom"/>
          </w:tcPr>
          <w:p w:rsidR="00475650" w:rsidRDefault="00475650">
            <w:pPr>
              <w:jc w:val="center"/>
              <w:rPr>
                <w:szCs w:val="21"/>
              </w:rPr>
            </w:pPr>
            <w:r>
              <w:rPr>
                <w:szCs w:val="21"/>
              </w:rPr>
              <w:t>0.021</w:t>
            </w:r>
          </w:p>
        </w:tc>
        <w:tc>
          <w:tcPr>
            <w:tcW w:w="1508" w:type="dxa"/>
            <w:vAlign w:val="bottom"/>
          </w:tcPr>
          <w:p w:rsidR="00475650" w:rsidRDefault="00475650">
            <w:pPr>
              <w:jc w:val="center"/>
              <w:rPr>
                <w:szCs w:val="21"/>
              </w:rPr>
            </w:pPr>
            <w:r>
              <w:rPr>
                <w:szCs w:val="21"/>
              </w:rPr>
              <w:t>0.060</w:t>
            </w:r>
          </w:p>
        </w:tc>
        <w:tc>
          <w:tcPr>
            <w:tcW w:w="1507" w:type="dxa"/>
            <w:vAlign w:val="bottom"/>
          </w:tcPr>
          <w:p w:rsidR="00475650" w:rsidRDefault="00475650">
            <w:pPr>
              <w:jc w:val="center"/>
              <w:rPr>
                <w:szCs w:val="21"/>
              </w:rPr>
            </w:pPr>
            <w:r>
              <w:rPr>
                <w:szCs w:val="21"/>
              </w:rPr>
              <w:t>0.055</w:t>
            </w:r>
          </w:p>
        </w:tc>
      </w:tr>
      <w:tr w:rsidR="00475650">
        <w:trPr>
          <w:trHeight w:val="320"/>
          <w:jc w:val="center"/>
        </w:trPr>
        <w:tc>
          <w:tcPr>
            <w:tcW w:w="1407" w:type="dxa"/>
            <w:vAlign w:val="center"/>
          </w:tcPr>
          <w:p w:rsidR="00475650" w:rsidRDefault="00475650">
            <w:pPr>
              <w:jc w:val="center"/>
              <w:rPr>
                <w:szCs w:val="21"/>
              </w:rPr>
            </w:pPr>
            <w:r>
              <w:rPr>
                <w:szCs w:val="21"/>
              </w:rPr>
              <w:t>2500</w:t>
            </w:r>
          </w:p>
        </w:tc>
        <w:tc>
          <w:tcPr>
            <w:tcW w:w="1508" w:type="dxa"/>
          </w:tcPr>
          <w:p w:rsidR="00475650" w:rsidRDefault="00475650">
            <w:pPr>
              <w:jc w:val="center"/>
              <w:rPr>
                <w:szCs w:val="21"/>
              </w:rPr>
            </w:pPr>
            <w:r>
              <w:rPr>
                <w:szCs w:val="21"/>
              </w:rPr>
              <w:t>0.000</w:t>
            </w:r>
          </w:p>
        </w:tc>
        <w:tc>
          <w:tcPr>
            <w:tcW w:w="1508" w:type="dxa"/>
          </w:tcPr>
          <w:p w:rsidR="00475650" w:rsidRDefault="00475650">
            <w:pPr>
              <w:jc w:val="center"/>
              <w:rPr>
                <w:szCs w:val="21"/>
              </w:rPr>
            </w:pPr>
            <w:r>
              <w:rPr>
                <w:szCs w:val="21"/>
              </w:rPr>
              <w:t>0.000</w:t>
            </w:r>
          </w:p>
        </w:tc>
        <w:tc>
          <w:tcPr>
            <w:tcW w:w="1508" w:type="dxa"/>
            <w:vAlign w:val="bottom"/>
          </w:tcPr>
          <w:p w:rsidR="00475650" w:rsidRDefault="00475650">
            <w:pPr>
              <w:jc w:val="center"/>
              <w:rPr>
                <w:szCs w:val="21"/>
              </w:rPr>
            </w:pPr>
            <w:r>
              <w:rPr>
                <w:szCs w:val="21"/>
              </w:rPr>
              <w:t>0.003</w:t>
            </w:r>
          </w:p>
        </w:tc>
        <w:tc>
          <w:tcPr>
            <w:tcW w:w="1508" w:type="dxa"/>
            <w:vAlign w:val="bottom"/>
          </w:tcPr>
          <w:p w:rsidR="00475650" w:rsidRDefault="00475650">
            <w:pPr>
              <w:jc w:val="center"/>
              <w:rPr>
                <w:szCs w:val="21"/>
              </w:rPr>
            </w:pPr>
            <w:r>
              <w:rPr>
                <w:szCs w:val="21"/>
              </w:rPr>
              <w:t>0.018</w:t>
            </w:r>
          </w:p>
        </w:tc>
        <w:tc>
          <w:tcPr>
            <w:tcW w:w="1507" w:type="dxa"/>
            <w:vAlign w:val="bottom"/>
          </w:tcPr>
          <w:p w:rsidR="00475650" w:rsidRDefault="00475650">
            <w:pPr>
              <w:jc w:val="center"/>
              <w:rPr>
                <w:szCs w:val="21"/>
              </w:rPr>
            </w:pPr>
            <w:r>
              <w:rPr>
                <w:szCs w:val="21"/>
              </w:rPr>
              <w:t>0.038</w:t>
            </w:r>
          </w:p>
        </w:tc>
      </w:tr>
      <w:tr w:rsidR="00475650">
        <w:trPr>
          <w:trHeight w:val="320"/>
          <w:jc w:val="center"/>
        </w:trPr>
        <w:tc>
          <w:tcPr>
            <w:tcW w:w="1407" w:type="dxa"/>
            <w:vAlign w:val="center"/>
          </w:tcPr>
          <w:p w:rsidR="00475650" w:rsidRDefault="00475650">
            <w:pPr>
              <w:jc w:val="center"/>
              <w:rPr>
                <w:szCs w:val="21"/>
              </w:rPr>
            </w:pPr>
            <w:r>
              <w:rPr>
                <w:szCs w:val="21"/>
              </w:rPr>
              <w:t>3000</w:t>
            </w:r>
          </w:p>
        </w:tc>
        <w:tc>
          <w:tcPr>
            <w:tcW w:w="1508" w:type="dxa"/>
          </w:tcPr>
          <w:p w:rsidR="00475650" w:rsidRDefault="00475650">
            <w:pPr>
              <w:jc w:val="center"/>
              <w:rPr>
                <w:szCs w:val="21"/>
              </w:rPr>
            </w:pPr>
            <w:r>
              <w:rPr>
                <w:szCs w:val="21"/>
              </w:rPr>
              <w:t>0.000</w:t>
            </w:r>
          </w:p>
        </w:tc>
        <w:tc>
          <w:tcPr>
            <w:tcW w:w="1508" w:type="dxa"/>
          </w:tcPr>
          <w:p w:rsidR="00475650" w:rsidRDefault="00475650">
            <w:pPr>
              <w:jc w:val="center"/>
              <w:rPr>
                <w:szCs w:val="21"/>
              </w:rPr>
            </w:pPr>
            <w:r>
              <w:rPr>
                <w:szCs w:val="21"/>
              </w:rPr>
              <w:t>0.000</w:t>
            </w:r>
          </w:p>
        </w:tc>
        <w:tc>
          <w:tcPr>
            <w:tcW w:w="1508" w:type="dxa"/>
          </w:tcPr>
          <w:p w:rsidR="00475650" w:rsidRDefault="00475650">
            <w:pPr>
              <w:jc w:val="center"/>
              <w:rPr>
                <w:szCs w:val="21"/>
              </w:rPr>
            </w:pPr>
            <w:r>
              <w:rPr>
                <w:szCs w:val="21"/>
              </w:rPr>
              <w:t>0.000</w:t>
            </w:r>
          </w:p>
        </w:tc>
        <w:tc>
          <w:tcPr>
            <w:tcW w:w="1508" w:type="dxa"/>
            <w:vAlign w:val="bottom"/>
          </w:tcPr>
          <w:p w:rsidR="00475650" w:rsidRDefault="00475650">
            <w:pPr>
              <w:jc w:val="center"/>
              <w:rPr>
                <w:szCs w:val="21"/>
              </w:rPr>
            </w:pPr>
            <w:r>
              <w:rPr>
                <w:szCs w:val="21"/>
              </w:rPr>
              <w:t>0.005</w:t>
            </w:r>
          </w:p>
        </w:tc>
        <w:tc>
          <w:tcPr>
            <w:tcW w:w="1507" w:type="dxa"/>
            <w:vAlign w:val="bottom"/>
          </w:tcPr>
          <w:p w:rsidR="00475650" w:rsidRDefault="00475650">
            <w:pPr>
              <w:jc w:val="center"/>
              <w:rPr>
                <w:szCs w:val="21"/>
              </w:rPr>
            </w:pPr>
            <w:r>
              <w:rPr>
                <w:szCs w:val="21"/>
              </w:rPr>
              <w:t>0.022</w:t>
            </w:r>
          </w:p>
        </w:tc>
      </w:tr>
      <w:tr w:rsidR="00475650">
        <w:trPr>
          <w:trHeight w:val="320"/>
          <w:jc w:val="center"/>
        </w:trPr>
        <w:tc>
          <w:tcPr>
            <w:tcW w:w="1407" w:type="dxa"/>
            <w:vAlign w:val="center"/>
          </w:tcPr>
          <w:p w:rsidR="00475650" w:rsidRDefault="00475650">
            <w:pPr>
              <w:jc w:val="center"/>
              <w:rPr>
                <w:szCs w:val="21"/>
              </w:rPr>
            </w:pPr>
            <w:r>
              <w:rPr>
                <w:szCs w:val="21"/>
              </w:rPr>
              <w:t>4000</w:t>
            </w:r>
          </w:p>
        </w:tc>
        <w:tc>
          <w:tcPr>
            <w:tcW w:w="1508" w:type="dxa"/>
          </w:tcPr>
          <w:p w:rsidR="00475650" w:rsidRDefault="00475650">
            <w:pPr>
              <w:jc w:val="center"/>
              <w:rPr>
                <w:szCs w:val="21"/>
              </w:rPr>
            </w:pPr>
            <w:r>
              <w:rPr>
                <w:szCs w:val="21"/>
              </w:rPr>
              <w:t>0.000</w:t>
            </w:r>
          </w:p>
        </w:tc>
        <w:tc>
          <w:tcPr>
            <w:tcW w:w="1508" w:type="dxa"/>
          </w:tcPr>
          <w:p w:rsidR="00475650" w:rsidRDefault="00475650">
            <w:pPr>
              <w:jc w:val="center"/>
              <w:rPr>
                <w:szCs w:val="21"/>
              </w:rPr>
            </w:pPr>
            <w:r>
              <w:rPr>
                <w:szCs w:val="21"/>
              </w:rPr>
              <w:t>0.000</w:t>
            </w:r>
          </w:p>
        </w:tc>
        <w:tc>
          <w:tcPr>
            <w:tcW w:w="1508" w:type="dxa"/>
          </w:tcPr>
          <w:p w:rsidR="00475650" w:rsidRDefault="00475650">
            <w:pPr>
              <w:jc w:val="center"/>
              <w:rPr>
                <w:szCs w:val="21"/>
              </w:rPr>
            </w:pPr>
            <w:r>
              <w:rPr>
                <w:szCs w:val="21"/>
              </w:rPr>
              <w:t>0.000</w:t>
            </w:r>
          </w:p>
        </w:tc>
        <w:tc>
          <w:tcPr>
            <w:tcW w:w="1508" w:type="dxa"/>
          </w:tcPr>
          <w:p w:rsidR="00475650" w:rsidRDefault="00475650">
            <w:pPr>
              <w:jc w:val="center"/>
              <w:rPr>
                <w:szCs w:val="21"/>
              </w:rPr>
            </w:pPr>
            <w:r>
              <w:rPr>
                <w:szCs w:val="21"/>
              </w:rPr>
              <w:t>0.000</w:t>
            </w:r>
          </w:p>
        </w:tc>
        <w:tc>
          <w:tcPr>
            <w:tcW w:w="1507" w:type="dxa"/>
            <w:vAlign w:val="bottom"/>
          </w:tcPr>
          <w:p w:rsidR="00475650" w:rsidRDefault="00475650">
            <w:pPr>
              <w:jc w:val="center"/>
              <w:rPr>
                <w:szCs w:val="21"/>
              </w:rPr>
            </w:pPr>
            <w:r>
              <w:rPr>
                <w:szCs w:val="21"/>
              </w:rPr>
              <w:t>0.005</w:t>
            </w:r>
          </w:p>
        </w:tc>
      </w:tr>
      <w:tr w:rsidR="00475650">
        <w:trPr>
          <w:trHeight w:val="320"/>
          <w:jc w:val="center"/>
        </w:trPr>
        <w:tc>
          <w:tcPr>
            <w:tcW w:w="1407" w:type="dxa"/>
            <w:vAlign w:val="center"/>
          </w:tcPr>
          <w:p w:rsidR="00475650" w:rsidRDefault="00475650">
            <w:pPr>
              <w:jc w:val="center"/>
              <w:rPr>
                <w:szCs w:val="21"/>
              </w:rPr>
            </w:pPr>
            <w:r>
              <w:rPr>
                <w:szCs w:val="21"/>
              </w:rPr>
              <w:t>5000</w:t>
            </w:r>
          </w:p>
        </w:tc>
        <w:tc>
          <w:tcPr>
            <w:tcW w:w="1508" w:type="dxa"/>
          </w:tcPr>
          <w:p w:rsidR="00475650" w:rsidRDefault="00475650">
            <w:pPr>
              <w:jc w:val="center"/>
              <w:rPr>
                <w:szCs w:val="21"/>
              </w:rPr>
            </w:pPr>
            <w:r>
              <w:rPr>
                <w:szCs w:val="21"/>
              </w:rPr>
              <w:t>0.000</w:t>
            </w:r>
          </w:p>
        </w:tc>
        <w:tc>
          <w:tcPr>
            <w:tcW w:w="1508" w:type="dxa"/>
          </w:tcPr>
          <w:p w:rsidR="00475650" w:rsidRDefault="00475650">
            <w:pPr>
              <w:jc w:val="center"/>
              <w:rPr>
                <w:szCs w:val="21"/>
              </w:rPr>
            </w:pPr>
            <w:r>
              <w:rPr>
                <w:szCs w:val="21"/>
              </w:rPr>
              <w:t>0.000</w:t>
            </w:r>
          </w:p>
        </w:tc>
        <w:tc>
          <w:tcPr>
            <w:tcW w:w="1508" w:type="dxa"/>
          </w:tcPr>
          <w:p w:rsidR="00475650" w:rsidRDefault="00475650">
            <w:pPr>
              <w:jc w:val="center"/>
              <w:rPr>
                <w:szCs w:val="21"/>
              </w:rPr>
            </w:pPr>
            <w:r>
              <w:rPr>
                <w:szCs w:val="21"/>
              </w:rPr>
              <w:t>0.000</w:t>
            </w:r>
          </w:p>
        </w:tc>
        <w:tc>
          <w:tcPr>
            <w:tcW w:w="1508" w:type="dxa"/>
          </w:tcPr>
          <w:p w:rsidR="00475650" w:rsidRDefault="00475650">
            <w:pPr>
              <w:jc w:val="center"/>
              <w:rPr>
                <w:szCs w:val="21"/>
              </w:rPr>
            </w:pPr>
            <w:r>
              <w:rPr>
                <w:szCs w:val="21"/>
              </w:rPr>
              <w:t>0.000</w:t>
            </w:r>
          </w:p>
        </w:tc>
        <w:tc>
          <w:tcPr>
            <w:tcW w:w="1507" w:type="dxa"/>
            <w:vAlign w:val="bottom"/>
          </w:tcPr>
          <w:p w:rsidR="00475650" w:rsidRDefault="00475650">
            <w:pPr>
              <w:jc w:val="center"/>
              <w:rPr>
                <w:szCs w:val="21"/>
              </w:rPr>
            </w:pPr>
            <w:r>
              <w:rPr>
                <w:szCs w:val="21"/>
              </w:rPr>
              <w:t>0.001</w:t>
            </w:r>
          </w:p>
        </w:tc>
      </w:tr>
    </w:tbl>
    <w:p w:rsidR="00475650" w:rsidRDefault="00475650">
      <w:pPr>
        <w:spacing w:line="360" w:lineRule="auto"/>
        <w:jc w:val="center"/>
        <w:rPr>
          <w:rFonts w:hAnsi="宋体"/>
          <w:b/>
          <w:sz w:val="24"/>
        </w:rPr>
      </w:pPr>
    </w:p>
    <w:p w:rsidR="00475650" w:rsidRDefault="00475650">
      <w:pPr>
        <w:spacing w:line="360" w:lineRule="auto"/>
        <w:jc w:val="center"/>
        <w:rPr>
          <w:b/>
          <w:sz w:val="24"/>
        </w:rPr>
      </w:pPr>
      <w:r>
        <w:rPr>
          <w:rFonts w:hAnsi="宋体"/>
          <w:b/>
          <w:sz w:val="24"/>
        </w:rPr>
        <w:t>表</w:t>
      </w:r>
      <w:r>
        <w:rPr>
          <w:b/>
          <w:sz w:val="24"/>
        </w:rPr>
        <w:t xml:space="preserve">6.5-2    </w:t>
      </w:r>
      <w:r>
        <w:rPr>
          <w:rFonts w:hAnsi="宋体"/>
          <w:b/>
          <w:sz w:val="24"/>
        </w:rPr>
        <w:t xml:space="preserve">盐酸泄漏危害结果表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618"/>
        <w:gridCol w:w="760"/>
        <w:gridCol w:w="1573"/>
        <w:gridCol w:w="1494"/>
        <w:gridCol w:w="1181"/>
        <w:gridCol w:w="1372"/>
        <w:gridCol w:w="1948"/>
      </w:tblGrid>
      <w:tr w:rsidR="00475650">
        <w:trPr>
          <w:trHeight w:val="280"/>
        </w:trPr>
        <w:tc>
          <w:tcPr>
            <w:tcW w:w="1378" w:type="dxa"/>
            <w:gridSpan w:val="2"/>
            <w:vAlign w:val="center"/>
          </w:tcPr>
          <w:p w:rsidR="00475650" w:rsidRDefault="00475650" w:rsidP="00BD74CB">
            <w:pPr>
              <w:spacing w:beforeLines="5" w:afterLines="5"/>
              <w:jc w:val="center"/>
              <w:rPr>
                <w:szCs w:val="21"/>
              </w:rPr>
            </w:pPr>
            <w:r>
              <w:rPr>
                <w:rFonts w:hAnsi="宋体"/>
                <w:szCs w:val="21"/>
              </w:rPr>
              <w:t>预测时刻</w:t>
            </w:r>
          </w:p>
        </w:tc>
        <w:tc>
          <w:tcPr>
            <w:tcW w:w="1573" w:type="dxa"/>
            <w:vAlign w:val="center"/>
          </w:tcPr>
          <w:p w:rsidR="00475650" w:rsidRDefault="00475650" w:rsidP="00BD74CB">
            <w:pPr>
              <w:spacing w:beforeLines="5" w:afterLines="5"/>
              <w:jc w:val="center"/>
              <w:rPr>
                <w:szCs w:val="21"/>
              </w:rPr>
            </w:pPr>
            <w:r>
              <w:rPr>
                <w:rFonts w:hAnsi="宋体"/>
                <w:szCs w:val="21"/>
              </w:rPr>
              <w:t>最大落地浓（</w:t>
            </w:r>
            <w:r>
              <w:rPr>
                <w:szCs w:val="21"/>
              </w:rPr>
              <w:t>mg/m</w:t>
            </w:r>
            <w:r>
              <w:rPr>
                <w:szCs w:val="21"/>
                <w:vertAlign w:val="superscript"/>
              </w:rPr>
              <w:t>3</w:t>
            </w:r>
            <w:r>
              <w:rPr>
                <w:rFonts w:hAnsi="宋体"/>
                <w:szCs w:val="21"/>
              </w:rPr>
              <w:t>）</w:t>
            </w:r>
          </w:p>
        </w:tc>
        <w:tc>
          <w:tcPr>
            <w:tcW w:w="1494" w:type="dxa"/>
            <w:vAlign w:val="center"/>
          </w:tcPr>
          <w:p w:rsidR="00475650" w:rsidRDefault="00475650" w:rsidP="00BD74CB">
            <w:pPr>
              <w:spacing w:beforeLines="5" w:afterLines="5"/>
              <w:jc w:val="center"/>
              <w:rPr>
                <w:szCs w:val="21"/>
              </w:rPr>
            </w:pPr>
            <w:r>
              <w:rPr>
                <w:rFonts w:hAnsi="宋体"/>
                <w:szCs w:val="21"/>
              </w:rPr>
              <w:t>出现距离（</w:t>
            </w:r>
            <w:r>
              <w:rPr>
                <w:szCs w:val="21"/>
              </w:rPr>
              <w:t>m</w:t>
            </w:r>
            <w:r>
              <w:rPr>
                <w:rFonts w:hAnsi="宋体"/>
                <w:szCs w:val="21"/>
              </w:rPr>
              <w:t>）</w:t>
            </w:r>
          </w:p>
        </w:tc>
        <w:tc>
          <w:tcPr>
            <w:tcW w:w="1181" w:type="dxa"/>
            <w:vAlign w:val="center"/>
          </w:tcPr>
          <w:p w:rsidR="00475650" w:rsidRDefault="00475650" w:rsidP="00BD74CB">
            <w:pPr>
              <w:spacing w:beforeLines="5" w:afterLines="5"/>
              <w:jc w:val="center"/>
              <w:rPr>
                <w:szCs w:val="21"/>
              </w:rPr>
            </w:pPr>
            <w:r>
              <w:rPr>
                <w:rFonts w:hAnsi="宋体"/>
                <w:szCs w:val="21"/>
              </w:rPr>
              <w:t>半致死浓度范围（</w:t>
            </w:r>
            <w:r>
              <w:rPr>
                <w:szCs w:val="21"/>
              </w:rPr>
              <w:t>m</w:t>
            </w:r>
            <w:r>
              <w:rPr>
                <w:rFonts w:hAnsi="宋体"/>
                <w:szCs w:val="21"/>
              </w:rPr>
              <w:t>）</w:t>
            </w:r>
          </w:p>
        </w:tc>
        <w:tc>
          <w:tcPr>
            <w:tcW w:w="1372" w:type="dxa"/>
            <w:vAlign w:val="center"/>
          </w:tcPr>
          <w:p w:rsidR="00475650" w:rsidRDefault="00475650" w:rsidP="00BD74CB">
            <w:pPr>
              <w:spacing w:beforeLines="5" w:afterLines="5"/>
              <w:jc w:val="center"/>
              <w:rPr>
                <w:szCs w:val="21"/>
              </w:rPr>
            </w:pPr>
            <w:r>
              <w:rPr>
                <w:rFonts w:hAnsi="宋体"/>
                <w:szCs w:val="21"/>
              </w:rPr>
              <w:t>短时间允许接触浓度范围（</w:t>
            </w:r>
            <w:r>
              <w:rPr>
                <w:szCs w:val="21"/>
              </w:rPr>
              <w:t>m</w:t>
            </w:r>
            <w:r>
              <w:rPr>
                <w:rFonts w:hAnsi="宋体"/>
                <w:szCs w:val="21"/>
              </w:rPr>
              <w:t>）</w:t>
            </w:r>
          </w:p>
        </w:tc>
        <w:tc>
          <w:tcPr>
            <w:tcW w:w="1948" w:type="dxa"/>
            <w:vAlign w:val="center"/>
          </w:tcPr>
          <w:p w:rsidR="00475650" w:rsidRDefault="00475650" w:rsidP="00BD74CB">
            <w:pPr>
              <w:spacing w:beforeLines="5" w:afterLines="5"/>
              <w:jc w:val="center"/>
              <w:rPr>
                <w:szCs w:val="21"/>
              </w:rPr>
            </w:pPr>
            <w:r>
              <w:rPr>
                <w:rFonts w:hAnsi="宋体"/>
                <w:szCs w:val="21"/>
              </w:rPr>
              <w:t>大气环境质量标准范围（</w:t>
            </w:r>
            <w:r>
              <w:rPr>
                <w:szCs w:val="21"/>
              </w:rPr>
              <w:t>m</w:t>
            </w:r>
            <w:r>
              <w:rPr>
                <w:rFonts w:hAnsi="宋体"/>
                <w:szCs w:val="21"/>
              </w:rPr>
              <w:t>）</w:t>
            </w:r>
          </w:p>
        </w:tc>
      </w:tr>
      <w:tr w:rsidR="00475650">
        <w:trPr>
          <w:trHeight w:val="262"/>
        </w:trPr>
        <w:tc>
          <w:tcPr>
            <w:tcW w:w="618" w:type="dxa"/>
            <w:vMerge w:val="restart"/>
            <w:vAlign w:val="center"/>
          </w:tcPr>
          <w:p w:rsidR="00475650" w:rsidRDefault="00475650" w:rsidP="00BD74CB">
            <w:pPr>
              <w:spacing w:beforeLines="5" w:afterLines="5"/>
              <w:jc w:val="center"/>
              <w:rPr>
                <w:szCs w:val="21"/>
              </w:rPr>
            </w:pPr>
            <w:r>
              <w:rPr>
                <w:szCs w:val="21"/>
              </w:rPr>
              <w:t>A</w:t>
            </w:r>
            <w:r>
              <w:rPr>
                <w:rFonts w:hAnsi="宋体"/>
                <w:szCs w:val="21"/>
              </w:rPr>
              <w:t>稳定度</w:t>
            </w:r>
          </w:p>
        </w:tc>
        <w:tc>
          <w:tcPr>
            <w:tcW w:w="760" w:type="dxa"/>
            <w:vAlign w:val="center"/>
          </w:tcPr>
          <w:p w:rsidR="00475650" w:rsidRDefault="00475650" w:rsidP="00BD74CB">
            <w:pPr>
              <w:spacing w:beforeLines="5" w:afterLines="5"/>
              <w:jc w:val="center"/>
              <w:rPr>
                <w:szCs w:val="21"/>
              </w:rPr>
            </w:pPr>
            <w:r>
              <w:rPr>
                <w:szCs w:val="21"/>
              </w:rPr>
              <w:t>5min</w:t>
            </w:r>
          </w:p>
        </w:tc>
        <w:tc>
          <w:tcPr>
            <w:tcW w:w="1573" w:type="dxa"/>
            <w:vAlign w:val="bottom"/>
          </w:tcPr>
          <w:p w:rsidR="00475650" w:rsidRDefault="00475650" w:rsidP="00BD74CB">
            <w:pPr>
              <w:spacing w:beforeLines="5" w:afterLines="5"/>
              <w:jc w:val="center"/>
              <w:rPr>
                <w:szCs w:val="21"/>
              </w:rPr>
            </w:pPr>
            <w:r>
              <w:rPr>
                <w:szCs w:val="21"/>
              </w:rPr>
              <w:t>4389.84</w:t>
            </w:r>
          </w:p>
        </w:tc>
        <w:tc>
          <w:tcPr>
            <w:tcW w:w="1494" w:type="dxa"/>
            <w:vAlign w:val="bottom"/>
          </w:tcPr>
          <w:p w:rsidR="00475650" w:rsidRDefault="00475650" w:rsidP="00BD74CB">
            <w:pPr>
              <w:spacing w:beforeLines="5" w:afterLines="5"/>
              <w:jc w:val="center"/>
              <w:rPr>
                <w:szCs w:val="21"/>
              </w:rPr>
            </w:pPr>
            <w:r>
              <w:rPr>
                <w:szCs w:val="21"/>
              </w:rPr>
              <w:t>8.5</w:t>
            </w:r>
          </w:p>
        </w:tc>
        <w:tc>
          <w:tcPr>
            <w:tcW w:w="1181" w:type="dxa"/>
            <w:vAlign w:val="bottom"/>
          </w:tcPr>
          <w:p w:rsidR="00475650" w:rsidRDefault="00475650" w:rsidP="00BD74CB">
            <w:pPr>
              <w:spacing w:beforeLines="5" w:afterLines="5"/>
              <w:jc w:val="center"/>
              <w:rPr>
                <w:szCs w:val="21"/>
              </w:rPr>
            </w:pPr>
          </w:p>
        </w:tc>
        <w:tc>
          <w:tcPr>
            <w:tcW w:w="1372" w:type="dxa"/>
            <w:vAlign w:val="bottom"/>
          </w:tcPr>
          <w:p w:rsidR="00475650" w:rsidRDefault="00475650" w:rsidP="00BD74CB">
            <w:pPr>
              <w:spacing w:beforeLines="5" w:afterLines="5"/>
              <w:jc w:val="center"/>
              <w:rPr>
                <w:szCs w:val="21"/>
              </w:rPr>
            </w:pPr>
            <w:r>
              <w:rPr>
                <w:szCs w:val="21"/>
              </w:rPr>
              <w:t>201.8</w:t>
            </w:r>
          </w:p>
        </w:tc>
        <w:tc>
          <w:tcPr>
            <w:tcW w:w="1948" w:type="dxa"/>
            <w:vAlign w:val="bottom"/>
          </w:tcPr>
          <w:p w:rsidR="00475650" w:rsidRDefault="00475650" w:rsidP="00BD74CB">
            <w:pPr>
              <w:spacing w:beforeLines="5" w:afterLines="5"/>
              <w:jc w:val="center"/>
              <w:rPr>
                <w:szCs w:val="21"/>
              </w:rPr>
            </w:pPr>
            <w:r>
              <w:rPr>
                <w:szCs w:val="21"/>
              </w:rPr>
              <w:t>793.2</w:t>
            </w:r>
          </w:p>
        </w:tc>
      </w:tr>
      <w:tr w:rsidR="00475650">
        <w:trPr>
          <w:trHeight w:val="280"/>
        </w:trPr>
        <w:tc>
          <w:tcPr>
            <w:tcW w:w="618" w:type="dxa"/>
            <w:vMerge/>
            <w:vAlign w:val="center"/>
          </w:tcPr>
          <w:p w:rsidR="00475650" w:rsidRDefault="00475650" w:rsidP="00BD74CB">
            <w:pPr>
              <w:spacing w:beforeLines="5" w:afterLines="5"/>
              <w:jc w:val="center"/>
              <w:rPr>
                <w:szCs w:val="21"/>
              </w:rPr>
            </w:pPr>
          </w:p>
        </w:tc>
        <w:tc>
          <w:tcPr>
            <w:tcW w:w="760" w:type="dxa"/>
            <w:vAlign w:val="center"/>
          </w:tcPr>
          <w:p w:rsidR="00475650" w:rsidRDefault="00475650" w:rsidP="00BD74CB">
            <w:pPr>
              <w:spacing w:beforeLines="5" w:afterLines="5"/>
              <w:jc w:val="center"/>
              <w:rPr>
                <w:szCs w:val="21"/>
              </w:rPr>
            </w:pPr>
            <w:r>
              <w:rPr>
                <w:szCs w:val="21"/>
              </w:rPr>
              <w:t>10min</w:t>
            </w:r>
          </w:p>
        </w:tc>
        <w:tc>
          <w:tcPr>
            <w:tcW w:w="1573" w:type="dxa"/>
            <w:vAlign w:val="bottom"/>
          </w:tcPr>
          <w:p w:rsidR="00475650" w:rsidRDefault="00475650">
            <w:pPr>
              <w:jc w:val="center"/>
            </w:pPr>
            <w:r>
              <w:t>4390.78</w:t>
            </w:r>
          </w:p>
        </w:tc>
        <w:tc>
          <w:tcPr>
            <w:tcW w:w="1494" w:type="dxa"/>
            <w:vAlign w:val="bottom"/>
          </w:tcPr>
          <w:p w:rsidR="00475650" w:rsidRDefault="00475650" w:rsidP="00BD74CB">
            <w:pPr>
              <w:spacing w:beforeLines="5" w:afterLines="5"/>
              <w:jc w:val="center"/>
              <w:rPr>
                <w:szCs w:val="21"/>
              </w:rPr>
            </w:pPr>
            <w:r>
              <w:rPr>
                <w:szCs w:val="21"/>
              </w:rPr>
              <w:t>8.5</w:t>
            </w:r>
          </w:p>
        </w:tc>
        <w:tc>
          <w:tcPr>
            <w:tcW w:w="1181" w:type="dxa"/>
            <w:vAlign w:val="bottom"/>
          </w:tcPr>
          <w:p w:rsidR="00475650" w:rsidRDefault="00475650" w:rsidP="00BD74CB">
            <w:pPr>
              <w:spacing w:beforeLines="5" w:afterLines="5"/>
              <w:jc w:val="center"/>
              <w:rPr>
                <w:szCs w:val="21"/>
              </w:rPr>
            </w:pPr>
          </w:p>
        </w:tc>
        <w:tc>
          <w:tcPr>
            <w:tcW w:w="1372" w:type="dxa"/>
            <w:vAlign w:val="bottom"/>
          </w:tcPr>
          <w:p w:rsidR="00475650" w:rsidRDefault="00475650" w:rsidP="00BD74CB">
            <w:pPr>
              <w:spacing w:beforeLines="5" w:afterLines="5"/>
              <w:jc w:val="center"/>
              <w:rPr>
                <w:szCs w:val="21"/>
              </w:rPr>
            </w:pPr>
            <w:r>
              <w:rPr>
                <w:szCs w:val="21"/>
              </w:rPr>
              <w:t>210.8</w:t>
            </w:r>
          </w:p>
        </w:tc>
        <w:tc>
          <w:tcPr>
            <w:tcW w:w="1948" w:type="dxa"/>
            <w:vAlign w:val="bottom"/>
          </w:tcPr>
          <w:p w:rsidR="00475650" w:rsidRDefault="00475650" w:rsidP="00BD74CB">
            <w:pPr>
              <w:spacing w:beforeLines="5" w:afterLines="5"/>
              <w:jc w:val="center"/>
              <w:rPr>
                <w:szCs w:val="21"/>
              </w:rPr>
            </w:pPr>
            <w:r>
              <w:rPr>
                <w:szCs w:val="21"/>
              </w:rPr>
              <w:t>1327.9</w:t>
            </w:r>
          </w:p>
        </w:tc>
      </w:tr>
      <w:tr w:rsidR="00475650">
        <w:trPr>
          <w:trHeight w:val="280"/>
        </w:trPr>
        <w:tc>
          <w:tcPr>
            <w:tcW w:w="618" w:type="dxa"/>
            <w:vMerge/>
            <w:vAlign w:val="center"/>
          </w:tcPr>
          <w:p w:rsidR="00475650" w:rsidRDefault="00475650" w:rsidP="00BD74CB">
            <w:pPr>
              <w:spacing w:beforeLines="5" w:afterLines="5"/>
              <w:jc w:val="center"/>
              <w:rPr>
                <w:szCs w:val="21"/>
              </w:rPr>
            </w:pPr>
          </w:p>
        </w:tc>
        <w:tc>
          <w:tcPr>
            <w:tcW w:w="760" w:type="dxa"/>
            <w:vAlign w:val="center"/>
          </w:tcPr>
          <w:p w:rsidR="00475650" w:rsidRDefault="00475650" w:rsidP="00BD74CB">
            <w:pPr>
              <w:spacing w:beforeLines="5" w:afterLines="5"/>
              <w:jc w:val="center"/>
              <w:rPr>
                <w:szCs w:val="21"/>
              </w:rPr>
            </w:pPr>
            <w:r>
              <w:rPr>
                <w:szCs w:val="21"/>
              </w:rPr>
              <w:t>15min</w:t>
            </w:r>
          </w:p>
        </w:tc>
        <w:tc>
          <w:tcPr>
            <w:tcW w:w="1573" w:type="dxa"/>
            <w:vAlign w:val="bottom"/>
          </w:tcPr>
          <w:p w:rsidR="00475650" w:rsidRDefault="00475650">
            <w:pPr>
              <w:jc w:val="center"/>
            </w:pPr>
            <w:r>
              <w:t>1.756</w:t>
            </w:r>
          </w:p>
        </w:tc>
        <w:tc>
          <w:tcPr>
            <w:tcW w:w="1494" w:type="dxa"/>
            <w:vAlign w:val="bottom"/>
          </w:tcPr>
          <w:p w:rsidR="00475650" w:rsidRDefault="00475650" w:rsidP="00BD74CB">
            <w:pPr>
              <w:spacing w:beforeLines="5" w:afterLines="5"/>
              <w:jc w:val="center"/>
              <w:rPr>
                <w:szCs w:val="21"/>
              </w:rPr>
            </w:pPr>
            <w:r>
              <w:rPr>
                <w:szCs w:val="21"/>
              </w:rPr>
              <w:t>323.0</w:t>
            </w:r>
          </w:p>
        </w:tc>
        <w:tc>
          <w:tcPr>
            <w:tcW w:w="1181" w:type="dxa"/>
            <w:vAlign w:val="bottom"/>
          </w:tcPr>
          <w:p w:rsidR="00475650" w:rsidRDefault="00475650" w:rsidP="00BD74CB">
            <w:pPr>
              <w:spacing w:beforeLines="5" w:afterLines="5"/>
              <w:jc w:val="center"/>
              <w:rPr>
                <w:szCs w:val="21"/>
              </w:rPr>
            </w:pPr>
          </w:p>
        </w:tc>
        <w:tc>
          <w:tcPr>
            <w:tcW w:w="1372" w:type="dxa"/>
            <w:vAlign w:val="bottom"/>
          </w:tcPr>
          <w:p w:rsidR="00475650" w:rsidRDefault="00475650" w:rsidP="00BD74CB">
            <w:pPr>
              <w:spacing w:beforeLines="5" w:afterLines="5"/>
              <w:jc w:val="center"/>
              <w:rPr>
                <w:szCs w:val="21"/>
              </w:rPr>
            </w:pPr>
          </w:p>
        </w:tc>
        <w:tc>
          <w:tcPr>
            <w:tcW w:w="1948" w:type="dxa"/>
            <w:vAlign w:val="bottom"/>
          </w:tcPr>
          <w:p w:rsidR="00475650" w:rsidRDefault="00475650" w:rsidP="00BD74CB">
            <w:pPr>
              <w:spacing w:beforeLines="5" w:afterLines="5"/>
              <w:jc w:val="center"/>
              <w:rPr>
                <w:szCs w:val="21"/>
              </w:rPr>
            </w:pPr>
            <w:r>
              <w:rPr>
                <w:szCs w:val="21"/>
              </w:rPr>
              <w:t>1746.3</w:t>
            </w:r>
          </w:p>
        </w:tc>
      </w:tr>
      <w:tr w:rsidR="00475650">
        <w:trPr>
          <w:trHeight w:val="280"/>
        </w:trPr>
        <w:tc>
          <w:tcPr>
            <w:tcW w:w="618" w:type="dxa"/>
            <w:vMerge/>
            <w:vAlign w:val="center"/>
          </w:tcPr>
          <w:p w:rsidR="00475650" w:rsidRDefault="00475650" w:rsidP="00BD74CB">
            <w:pPr>
              <w:spacing w:beforeLines="5" w:afterLines="5"/>
              <w:jc w:val="center"/>
              <w:rPr>
                <w:szCs w:val="21"/>
              </w:rPr>
            </w:pPr>
          </w:p>
        </w:tc>
        <w:tc>
          <w:tcPr>
            <w:tcW w:w="760" w:type="dxa"/>
            <w:vAlign w:val="center"/>
          </w:tcPr>
          <w:p w:rsidR="00475650" w:rsidRDefault="00475650" w:rsidP="00BD74CB">
            <w:pPr>
              <w:spacing w:beforeLines="5" w:afterLines="5"/>
              <w:jc w:val="center"/>
              <w:rPr>
                <w:szCs w:val="21"/>
              </w:rPr>
            </w:pPr>
            <w:r>
              <w:rPr>
                <w:szCs w:val="21"/>
              </w:rPr>
              <w:t>20min</w:t>
            </w:r>
          </w:p>
        </w:tc>
        <w:tc>
          <w:tcPr>
            <w:tcW w:w="1573" w:type="dxa"/>
            <w:vAlign w:val="bottom"/>
          </w:tcPr>
          <w:p w:rsidR="00475650" w:rsidRDefault="00475650">
            <w:pPr>
              <w:jc w:val="center"/>
            </w:pPr>
            <w:r>
              <w:t>0.382</w:t>
            </w:r>
          </w:p>
        </w:tc>
        <w:tc>
          <w:tcPr>
            <w:tcW w:w="1494" w:type="dxa"/>
            <w:vAlign w:val="bottom"/>
          </w:tcPr>
          <w:p w:rsidR="00475650" w:rsidRDefault="00475650" w:rsidP="00BD74CB">
            <w:pPr>
              <w:spacing w:beforeLines="5" w:afterLines="5"/>
              <w:jc w:val="center"/>
              <w:rPr>
                <w:szCs w:val="21"/>
              </w:rPr>
            </w:pPr>
            <w:r>
              <w:rPr>
                <w:szCs w:val="21"/>
              </w:rPr>
              <w:t>614.7</w:t>
            </w:r>
          </w:p>
        </w:tc>
        <w:tc>
          <w:tcPr>
            <w:tcW w:w="1181" w:type="dxa"/>
            <w:vAlign w:val="bottom"/>
          </w:tcPr>
          <w:p w:rsidR="00475650" w:rsidRDefault="00475650" w:rsidP="00BD74CB">
            <w:pPr>
              <w:spacing w:beforeLines="5" w:afterLines="5"/>
              <w:jc w:val="center"/>
              <w:rPr>
                <w:szCs w:val="21"/>
              </w:rPr>
            </w:pPr>
          </w:p>
        </w:tc>
        <w:tc>
          <w:tcPr>
            <w:tcW w:w="1372" w:type="dxa"/>
            <w:vAlign w:val="bottom"/>
          </w:tcPr>
          <w:p w:rsidR="00475650" w:rsidRDefault="00475650" w:rsidP="00BD74CB">
            <w:pPr>
              <w:spacing w:beforeLines="5" w:afterLines="5"/>
              <w:jc w:val="center"/>
              <w:rPr>
                <w:szCs w:val="21"/>
              </w:rPr>
            </w:pPr>
          </w:p>
        </w:tc>
        <w:tc>
          <w:tcPr>
            <w:tcW w:w="1948" w:type="dxa"/>
            <w:vAlign w:val="bottom"/>
          </w:tcPr>
          <w:p w:rsidR="00475650" w:rsidRDefault="00475650" w:rsidP="00BD74CB">
            <w:pPr>
              <w:spacing w:beforeLines="5" w:afterLines="5"/>
              <w:jc w:val="center"/>
              <w:rPr>
                <w:szCs w:val="21"/>
              </w:rPr>
            </w:pPr>
            <w:r>
              <w:rPr>
                <w:szCs w:val="21"/>
              </w:rPr>
              <w:t>2079.0</w:t>
            </w:r>
          </w:p>
        </w:tc>
      </w:tr>
      <w:tr w:rsidR="00475650">
        <w:trPr>
          <w:trHeight w:val="280"/>
        </w:trPr>
        <w:tc>
          <w:tcPr>
            <w:tcW w:w="618" w:type="dxa"/>
            <w:vMerge/>
            <w:vAlign w:val="center"/>
          </w:tcPr>
          <w:p w:rsidR="00475650" w:rsidRDefault="00475650" w:rsidP="00BD74CB">
            <w:pPr>
              <w:spacing w:beforeLines="5" w:afterLines="5"/>
              <w:jc w:val="center"/>
              <w:rPr>
                <w:szCs w:val="21"/>
              </w:rPr>
            </w:pPr>
          </w:p>
        </w:tc>
        <w:tc>
          <w:tcPr>
            <w:tcW w:w="760" w:type="dxa"/>
            <w:vAlign w:val="center"/>
          </w:tcPr>
          <w:p w:rsidR="00475650" w:rsidRDefault="00475650" w:rsidP="00BD74CB">
            <w:pPr>
              <w:spacing w:beforeLines="5" w:afterLines="5"/>
              <w:jc w:val="center"/>
              <w:rPr>
                <w:szCs w:val="21"/>
              </w:rPr>
            </w:pPr>
            <w:r>
              <w:rPr>
                <w:szCs w:val="21"/>
              </w:rPr>
              <w:t>30min</w:t>
            </w:r>
          </w:p>
        </w:tc>
        <w:tc>
          <w:tcPr>
            <w:tcW w:w="1573" w:type="dxa"/>
            <w:vAlign w:val="bottom"/>
          </w:tcPr>
          <w:p w:rsidR="00475650" w:rsidRDefault="00475650">
            <w:pPr>
              <w:jc w:val="center"/>
              <w:rPr>
                <w:szCs w:val="21"/>
              </w:rPr>
            </w:pPr>
            <w:r>
              <w:rPr>
                <w:szCs w:val="21"/>
              </w:rPr>
              <w:t>0.072</w:t>
            </w:r>
          </w:p>
        </w:tc>
        <w:tc>
          <w:tcPr>
            <w:tcW w:w="1494" w:type="dxa"/>
            <w:vAlign w:val="bottom"/>
          </w:tcPr>
          <w:p w:rsidR="00475650" w:rsidRDefault="00475650" w:rsidP="00BD74CB">
            <w:pPr>
              <w:spacing w:beforeLines="5" w:afterLines="5"/>
              <w:jc w:val="center"/>
              <w:rPr>
                <w:szCs w:val="21"/>
              </w:rPr>
            </w:pPr>
            <w:r>
              <w:rPr>
                <w:szCs w:val="21"/>
              </w:rPr>
              <w:t>1151.5</w:t>
            </w:r>
          </w:p>
        </w:tc>
        <w:tc>
          <w:tcPr>
            <w:tcW w:w="1181" w:type="dxa"/>
            <w:vAlign w:val="bottom"/>
          </w:tcPr>
          <w:p w:rsidR="00475650" w:rsidRDefault="00475650" w:rsidP="00BD74CB">
            <w:pPr>
              <w:spacing w:beforeLines="5" w:afterLines="5"/>
              <w:jc w:val="center"/>
              <w:rPr>
                <w:szCs w:val="21"/>
              </w:rPr>
            </w:pPr>
          </w:p>
        </w:tc>
        <w:tc>
          <w:tcPr>
            <w:tcW w:w="1372" w:type="dxa"/>
            <w:vAlign w:val="bottom"/>
          </w:tcPr>
          <w:p w:rsidR="00475650" w:rsidRDefault="00475650" w:rsidP="00BD74CB">
            <w:pPr>
              <w:spacing w:beforeLines="5" w:afterLines="5"/>
              <w:jc w:val="center"/>
              <w:rPr>
                <w:szCs w:val="21"/>
              </w:rPr>
            </w:pPr>
          </w:p>
        </w:tc>
        <w:tc>
          <w:tcPr>
            <w:tcW w:w="1948" w:type="dxa"/>
            <w:vAlign w:val="bottom"/>
          </w:tcPr>
          <w:p w:rsidR="00475650" w:rsidRDefault="00475650" w:rsidP="00BD74CB">
            <w:pPr>
              <w:spacing w:beforeLines="5" w:afterLines="5"/>
              <w:jc w:val="center"/>
              <w:rPr>
                <w:szCs w:val="21"/>
              </w:rPr>
            </w:pPr>
            <w:r>
              <w:rPr>
                <w:szCs w:val="21"/>
              </w:rPr>
              <w:t>2156.8</w:t>
            </w:r>
          </w:p>
        </w:tc>
      </w:tr>
    </w:tbl>
    <w:p w:rsidR="00475650" w:rsidRDefault="00475650">
      <w:pPr>
        <w:pStyle w:val="affffffff1"/>
        <w:ind w:firstLine="420"/>
        <w:rPr>
          <w:snapToGrid/>
          <w:kern w:val="2"/>
          <w:sz w:val="21"/>
        </w:rPr>
      </w:pPr>
    </w:p>
    <w:p w:rsidR="00475650" w:rsidRDefault="00475650">
      <w:pPr>
        <w:pStyle w:val="h"/>
        <w:spacing w:before="0" w:after="0" w:line="360" w:lineRule="auto"/>
        <w:ind w:firstLine="0"/>
        <w:outlineLvl w:val="0"/>
        <w:rPr>
          <w:rStyle w:val="2Char1Char"/>
          <w:rFonts w:ascii="Times New Roman" w:eastAsia="宋体" w:hAnsi="Times New Roman" w:cs="Times New Roman"/>
          <w:sz w:val="24"/>
          <w:szCs w:val="24"/>
        </w:rPr>
      </w:pPr>
      <w:bookmarkStart w:id="912" w:name="_Toc465677053"/>
      <w:bookmarkStart w:id="913" w:name="_Toc28916"/>
      <w:bookmarkEnd w:id="713"/>
      <w:bookmarkEnd w:id="791"/>
      <w:bookmarkEnd w:id="792"/>
      <w:bookmarkEnd w:id="793"/>
      <w:bookmarkEnd w:id="794"/>
      <w:bookmarkEnd w:id="795"/>
      <w:bookmarkEnd w:id="796"/>
      <w:r>
        <w:rPr>
          <w:rStyle w:val="2Char1Char"/>
          <w:rFonts w:ascii="Times New Roman" w:eastAsia="宋体" w:hAnsi="Times New Roman" w:cs="Times New Roman"/>
          <w:sz w:val="24"/>
          <w:szCs w:val="24"/>
        </w:rPr>
        <w:t>6.5.2</w:t>
      </w:r>
      <w:r>
        <w:rPr>
          <w:rStyle w:val="2Char1Char"/>
          <w:rFonts w:ascii="Times New Roman" w:eastAsia="宋体" w:hAnsi="宋体" w:cs="Times New Roman"/>
          <w:sz w:val="24"/>
          <w:szCs w:val="24"/>
        </w:rPr>
        <w:t>、事故风险对水体和土壤环境的影响</w:t>
      </w:r>
      <w:bookmarkEnd w:id="912"/>
      <w:bookmarkEnd w:id="913"/>
    </w:p>
    <w:p w:rsidR="00475650" w:rsidRDefault="00475650">
      <w:pPr>
        <w:pStyle w:val="affffffff1"/>
        <w:rPr>
          <w:rFonts w:hAnsi="宋体"/>
        </w:rPr>
      </w:pPr>
      <w:r>
        <w:rPr>
          <w:rFonts w:hAnsi="宋体"/>
        </w:rPr>
        <w:t>项目位于工业园内，中间罐区设有围堰，装置区周边设有集水沟渠，一旦发生气体泄漏，事故液及消防水经收集后送入事故池暂存，事故池废水送厂内污水处理站处理，污水处理站废水由总排口送园区污水处理站，因此，事故液的处理设有三级防控措施，非人为因素直排至周边水体的可能性较小；在采取有效的风险防控措施及应急措施的前提下，厂内泄漏事故对周边的水体及土壤环境的影响较小。</w:t>
      </w:r>
    </w:p>
    <w:p w:rsidR="00475650" w:rsidRDefault="00475650">
      <w:pPr>
        <w:pStyle w:val="affffffff1"/>
        <w:rPr>
          <w:rFonts w:hAnsi="宋体"/>
        </w:rPr>
      </w:pPr>
      <w:r>
        <w:rPr>
          <w:rFonts w:hAnsi="宋体"/>
        </w:rPr>
        <w:t>本项目位于长江沿岸，危险物料在运输途中发生泄漏可能对泄漏区的水环境及土壤环境产生影响，由物料性质知泄漏物对水体及土壤的影响主要是腐蚀性影响。项目运输主要包括公司内运输和厂外运输两个部分，盐酸由公司内现有氯化石蜡项目直接供给，不涉及厂外运输，原料大部分于公司内用管道进行运输，乙酸酐、碳酸钠、尿素、氢氧化钠（片碱）等辅助材料需外购，其中乙酸酐采用</w:t>
      </w:r>
      <w:r>
        <w:rPr>
          <w:rFonts w:hAnsi="宋体" w:hint="eastAsia"/>
        </w:rPr>
        <w:t>独立桶包装，</w:t>
      </w:r>
      <w:r>
        <w:rPr>
          <w:rFonts w:hAnsi="宋体"/>
        </w:rPr>
        <w:t>其余物质为固体粉末，采用袋装方式车运购入，均由生产或销售厂家直接运送至厂区装置区内。乙酸酐、氢氧化钠等具有腐蚀性，</w:t>
      </w:r>
      <w:r>
        <w:rPr>
          <w:rFonts w:hAnsi="宋体" w:hint="eastAsia"/>
        </w:rPr>
        <w:t>其中乙酸酐属于</w:t>
      </w:r>
      <w:r>
        <w:rPr>
          <w:rFonts w:hAnsi="宋体"/>
        </w:rPr>
        <w:t>易燃</w:t>
      </w:r>
      <w:r>
        <w:rPr>
          <w:rFonts w:hAnsi="宋体" w:hint="eastAsia"/>
        </w:rPr>
        <w:t>液体</w:t>
      </w:r>
      <w:r>
        <w:rPr>
          <w:rFonts w:hAnsi="宋体"/>
        </w:rPr>
        <w:t>，其蒸气与空气可形成爆炸性混合物，遇明火、高热能引起燃烧爆炸</w:t>
      </w:r>
      <w:r>
        <w:rPr>
          <w:rFonts w:hAnsi="宋体" w:hint="eastAsia"/>
        </w:rPr>
        <w:t>，危险性较大，对人体、</w:t>
      </w:r>
      <w:r>
        <w:rPr>
          <w:rFonts w:hAnsi="宋体" w:hint="eastAsia"/>
        </w:rPr>
        <w:lastRenderedPageBreak/>
        <w:t>水体及大气环境均有较大影响，需加强风险防范措施</w:t>
      </w:r>
      <w:r>
        <w:rPr>
          <w:rFonts w:hAnsi="宋体"/>
        </w:rPr>
        <w:t>。</w:t>
      </w:r>
    </w:p>
    <w:p w:rsidR="00475650" w:rsidRDefault="00475650">
      <w:pPr>
        <w:pStyle w:val="affffffff1"/>
        <w:rPr>
          <w:rFonts w:hAnsi="宋体"/>
        </w:rPr>
      </w:pPr>
      <w:r>
        <w:rPr>
          <w:rFonts w:hAnsi="宋体"/>
        </w:rPr>
        <w:t>一旦进入沿线水体水质将造成水质酸碱污染，进而影响水质自净能力及水生生物的生境；威胁水体动植物，进而影响人群生命安全。</w:t>
      </w:r>
      <w:r>
        <w:rPr>
          <w:rFonts w:hAnsi="宋体" w:hint="eastAsia"/>
        </w:rPr>
        <w:t>腐蚀性物质</w:t>
      </w:r>
      <w:r>
        <w:rPr>
          <w:rFonts w:hAnsi="宋体"/>
        </w:rPr>
        <w:t>等进入水体后漫入地表土壤将造成土壤肥力下降乃至结块等失肥影响，进而影响地表植被的生长。</w:t>
      </w:r>
    </w:p>
    <w:p w:rsidR="00475650" w:rsidRDefault="00475650">
      <w:pPr>
        <w:pStyle w:val="affffffff1"/>
        <w:rPr>
          <w:rFonts w:hAnsi="宋体"/>
        </w:rPr>
      </w:pPr>
      <w:r>
        <w:rPr>
          <w:rFonts w:hAnsi="宋体"/>
        </w:rPr>
        <w:t>公司应选择有专业运输资质及运输经验的销售方或厂家，熟练掌握各运输物料的风险防范措施，一旦发生运输作业途中的泄漏事故，应能采取有效应急措施以最大程度的减少物料对周边水体及土壤的环境影响。</w:t>
      </w:r>
    </w:p>
    <w:p w:rsidR="00475650" w:rsidRDefault="00475650">
      <w:pPr>
        <w:pStyle w:val="h"/>
        <w:spacing w:before="0" w:after="0" w:line="360" w:lineRule="auto"/>
        <w:ind w:firstLine="0"/>
        <w:outlineLvl w:val="0"/>
        <w:rPr>
          <w:rStyle w:val="2Char1Char"/>
          <w:rFonts w:ascii="Times New Roman" w:eastAsia="宋体" w:hAnsi="Times New Roman" w:cs="Times New Roman"/>
          <w:sz w:val="24"/>
          <w:szCs w:val="24"/>
        </w:rPr>
      </w:pPr>
      <w:bookmarkStart w:id="914" w:name="_Toc334080886"/>
      <w:bookmarkStart w:id="915" w:name="_Toc332293049"/>
      <w:bookmarkStart w:id="916" w:name="_Toc334014244"/>
      <w:bookmarkStart w:id="917" w:name="_Toc333230068"/>
      <w:bookmarkStart w:id="918" w:name="_Toc465677054"/>
      <w:bookmarkStart w:id="919" w:name="_Toc23452"/>
      <w:r>
        <w:rPr>
          <w:rStyle w:val="2Char1Char"/>
          <w:rFonts w:ascii="Times New Roman" w:eastAsia="宋体" w:hAnsi="Times New Roman" w:cs="Times New Roman"/>
          <w:sz w:val="24"/>
          <w:szCs w:val="24"/>
        </w:rPr>
        <w:t>6.5.3</w:t>
      </w:r>
      <w:r>
        <w:rPr>
          <w:rStyle w:val="2Char1Char"/>
          <w:rFonts w:ascii="Times New Roman" w:eastAsia="宋体" w:hAnsi="宋体" w:cs="Times New Roman"/>
          <w:sz w:val="24"/>
          <w:szCs w:val="24"/>
        </w:rPr>
        <w:t>环保设施故障风险</w:t>
      </w:r>
      <w:bookmarkEnd w:id="914"/>
      <w:bookmarkEnd w:id="915"/>
      <w:bookmarkEnd w:id="916"/>
      <w:bookmarkEnd w:id="917"/>
      <w:bookmarkEnd w:id="918"/>
      <w:bookmarkEnd w:id="919"/>
    </w:p>
    <w:p w:rsidR="00475650" w:rsidRDefault="00475650">
      <w:pPr>
        <w:snapToGrid w:val="0"/>
        <w:spacing w:line="336" w:lineRule="auto"/>
        <w:outlineLvl w:val="2"/>
        <w:rPr>
          <w:sz w:val="24"/>
        </w:rPr>
      </w:pPr>
      <w:r>
        <w:rPr>
          <w:sz w:val="24"/>
        </w:rPr>
        <w:t xml:space="preserve">6.5.3.1 </w:t>
      </w:r>
      <w:r>
        <w:rPr>
          <w:rFonts w:hAnsi="宋体"/>
          <w:sz w:val="24"/>
        </w:rPr>
        <w:t>废气处理设施故障</w:t>
      </w:r>
    </w:p>
    <w:p w:rsidR="00475650" w:rsidRDefault="00475650">
      <w:pPr>
        <w:pStyle w:val="affffffff1"/>
        <w:rPr>
          <w:rFonts w:hAnsi="宋体"/>
        </w:rPr>
      </w:pPr>
      <w:r>
        <w:rPr>
          <w:rFonts w:hAnsi="宋体"/>
        </w:rPr>
        <w:t>工程有组织废气为装置区的粉尘废气，经布袋收尘后外排，在污染防治措施失效后，本项目废气中污染物对下风向地面浓度贡献值如表</w:t>
      </w:r>
      <w:r>
        <w:rPr>
          <w:rFonts w:hAnsi="宋体"/>
        </w:rPr>
        <w:t>6.5-3</w:t>
      </w:r>
      <w:r>
        <w:rPr>
          <w:rFonts w:hAnsi="宋体"/>
        </w:rPr>
        <w:t>。由表中数据可知，在污染防治措施失效后，超标外排的废气影响将成倍增长，其中烟尘下风向贡献浓度将出现超标影响，对空气环境影响极大。在废气处理设施出现故障的情况下应立即停工检修至环保措施恢复正常工作。禁止未经处理达标直接外排生产废气。</w:t>
      </w:r>
    </w:p>
    <w:p w:rsidR="00475650" w:rsidRDefault="00475650">
      <w:pPr>
        <w:snapToGrid w:val="0"/>
        <w:spacing w:line="336" w:lineRule="auto"/>
        <w:ind w:firstLine="480"/>
        <w:jc w:val="center"/>
        <w:rPr>
          <w:rFonts w:hAnsi="宋体"/>
          <w:sz w:val="24"/>
        </w:rPr>
      </w:pPr>
      <w:r>
        <w:rPr>
          <w:rFonts w:hAnsi="宋体"/>
          <w:sz w:val="24"/>
        </w:rPr>
        <w:t>表</w:t>
      </w:r>
      <w:r>
        <w:rPr>
          <w:sz w:val="24"/>
        </w:rPr>
        <w:t xml:space="preserve">6.5-3   </w:t>
      </w:r>
      <w:r>
        <w:rPr>
          <w:rFonts w:hAnsi="宋体"/>
          <w:sz w:val="24"/>
        </w:rPr>
        <w:t>废气污染防治措施失效后污染物下风向轴线浓度预测结果表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547"/>
        <w:gridCol w:w="1396"/>
        <w:gridCol w:w="993"/>
        <w:gridCol w:w="1418"/>
        <w:gridCol w:w="1135"/>
        <w:gridCol w:w="1378"/>
        <w:gridCol w:w="1313"/>
      </w:tblGrid>
      <w:tr w:rsidR="00475650">
        <w:trPr>
          <w:trHeight w:hRule="exact" w:val="346"/>
          <w:tblHeader/>
        </w:trPr>
        <w:tc>
          <w:tcPr>
            <w:tcW w:w="1547" w:type="dxa"/>
            <w:vMerge w:val="restart"/>
            <w:tcMar>
              <w:top w:w="28" w:type="dxa"/>
              <w:bottom w:w="28" w:type="dxa"/>
            </w:tcMar>
            <w:vAlign w:val="center"/>
          </w:tcPr>
          <w:p w:rsidR="00475650" w:rsidRDefault="00475650" w:rsidP="00BD74CB">
            <w:pPr>
              <w:snapToGrid w:val="0"/>
              <w:spacing w:beforeLines="20" w:afterLines="20" w:line="240" w:lineRule="exact"/>
              <w:jc w:val="center"/>
              <w:rPr>
                <w:szCs w:val="21"/>
              </w:rPr>
            </w:pPr>
            <w:r>
              <w:rPr>
                <w:rFonts w:hAnsi="宋体"/>
                <w:szCs w:val="21"/>
              </w:rPr>
              <w:t>距离</w:t>
            </w:r>
          </w:p>
        </w:tc>
        <w:tc>
          <w:tcPr>
            <w:tcW w:w="7633" w:type="dxa"/>
            <w:gridSpan w:val="6"/>
            <w:tcBorders>
              <w:bottom w:val="single" w:sz="4" w:space="0" w:color="auto"/>
            </w:tcBorders>
            <w:tcMar>
              <w:top w:w="28" w:type="dxa"/>
              <w:bottom w:w="28" w:type="dxa"/>
            </w:tcMar>
            <w:vAlign w:val="center"/>
          </w:tcPr>
          <w:p w:rsidR="00475650" w:rsidRDefault="00475650" w:rsidP="00BD74CB">
            <w:pPr>
              <w:snapToGrid w:val="0"/>
              <w:spacing w:beforeLines="20" w:afterLines="20" w:line="240" w:lineRule="exact"/>
              <w:jc w:val="center"/>
              <w:rPr>
                <w:szCs w:val="21"/>
              </w:rPr>
            </w:pPr>
            <w:r>
              <w:rPr>
                <w:rFonts w:hAnsi="宋体"/>
                <w:szCs w:val="21"/>
              </w:rPr>
              <w:t>污染因子</w:t>
            </w:r>
          </w:p>
        </w:tc>
      </w:tr>
      <w:tr w:rsidR="00475650">
        <w:trPr>
          <w:trHeight w:hRule="exact" w:val="378"/>
          <w:tblHeader/>
        </w:trPr>
        <w:tc>
          <w:tcPr>
            <w:tcW w:w="1547" w:type="dxa"/>
            <w:vMerge/>
            <w:tcMar>
              <w:top w:w="28" w:type="dxa"/>
              <w:bottom w:w="28" w:type="dxa"/>
            </w:tcMar>
            <w:vAlign w:val="center"/>
          </w:tcPr>
          <w:p w:rsidR="00475650" w:rsidRDefault="00475650" w:rsidP="00BD74CB">
            <w:pPr>
              <w:snapToGrid w:val="0"/>
              <w:spacing w:beforeLines="20" w:afterLines="20" w:line="240" w:lineRule="exact"/>
              <w:jc w:val="center"/>
              <w:rPr>
                <w:szCs w:val="21"/>
              </w:rPr>
            </w:pPr>
          </w:p>
        </w:tc>
        <w:tc>
          <w:tcPr>
            <w:tcW w:w="2389" w:type="dxa"/>
            <w:gridSpan w:val="2"/>
            <w:tcBorders>
              <w:top w:val="single" w:sz="4" w:space="0" w:color="auto"/>
            </w:tcBorders>
            <w:tcMar>
              <w:top w:w="28" w:type="dxa"/>
              <w:bottom w:w="28" w:type="dxa"/>
            </w:tcMar>
            <w:vAlign w:val="center"/>
          </w:tcPr>
          <w:p w:rsidR="00475650" w:rsidRDefault="00475650" w:rsidP="00BD74CB">
            <w:pPr>
              <w:snapToGrid w:val="0"/>
              <w:spacing w:beforeLines="20" w:afterLines="20" w:line="240" w:lineRule="exact"/>
              <w:jc w:val="center"/>
              <w:rPr>
                <w:szCs w:val="21"/>
              </w:rPr>
            </w:pPr>
            <w:r>
              <w:rPr>
                <w:rFonts w:hAnsi="宋体"/>
                <w:szCs w:val="21"/>
              </w:rPr>
              <w:t>氯化氢</w:t>
            </w:r>
          </w:p>
        </w:tc>
        <w:tc>
          <w:tcPr>
            <w:tcW w:w="2553" w:type="dxa"/>
            <w:gridSpan w:val="2"/>
            <w:tcBorders>
              <w:top w:val="single" w:sz="4" w:space="0" w:color="auto"/>
            </w:tcBorders>
            <w:vAlign w:val="center"/>
          </w:tcPr>
          <w:p w:rsidR="00475650" w:rsidRDefault="00475650" w:rsidP="00BD74CB">
            <w:pPr>
              <w:snapToGrid w:val="0"/>
              <w:spacing w:beforeLines="20" w:afterLines="20" w:line="240" w:lineRule="exact"/>
              <w:jc w:val="center"/>
              <w:rPr>
                <w:szCs w:val="21"/>
              </w:rPr>
            </w:pPr>
            <w:r>
              <w:rPr>
                <w:rFonts w:hAnsi="宋体"/>
                <w:szCs w:val="21"/>
              </w:rPr>
              <w:t>氨气</w:t>
            </w:r>
          </w:p>
        </w:tc>
        <w:tc>
          <w:tcPr>
            <w:tcW w:w="2691" w:type="dxa"/>
            <w:gridSpan w:val="2"/>
            <w:tcBorders>
              <w:top w:val="single" w:sz="4" w:space="0" w:color="auto"/>
            </w:tcBorders>
            <w:vAlign w:val="center"/>
          </w:tcPr>
          <w:p w:rsidR="00475650" w:rsidRDefault="00475650" w:rsidP="00BD74CB">
            <w:pPr>
              <w:snapToGrid w:val="0"/>
              <w:spacing w:beforeLines="20" w:afterLines="20" w:line="240" w:lineRule="exact"/>
              <w:jc w:val="center"/>
              <w:rPr>
                <w:szCs w:val="21"/>
              </w:rPr>
            </w:pPr>
            <w:r>
              <w:rPr>
                <w:rFonts w:hAnsi="宋体"/>
                <w:szCs w:val="21"/>
              </w:rPr>
              <w:t>粉尘</w:t>
            </w:r>
          </w:p>
        </w:tc>
      </w:tr>
      <w:tr w:rsidR="00475650">
        <w:trPr>
          <w:trHeight w:hRule="exact" w:val="676"/>
          <w:tblHeader/>
        </w:trPr>
        <w:tc>
          <w:tcPr>
            <w:tcW w:w="1547" w:type="dxa"/>
            <w:tcMar>
              <w:top w:w="28" w:type="dxa"/>
              <w:bottom w:w="28" w:type="dxa"/>
            </w:tcMar>
            <w:vAlign w:val="center"/>
          </w:tcPr>
          <w:p w:rsidR="00475650" w:rsidRDefault="00475650" w:rsidP="00BD74CB">
            <w:pPr>
              <w:snapToGrid w:val="0"/>
              <w:spacing w:beforeLines="20" w:afterLines="20" w:line="240" w:lineRule="exact"/>
              <w:jc w:val="center"/>
              <w:rPr>
                <w:szCs w:val="21"/>
              </w:rPr>
            </w:pPr>
            <w:r>
              <w:rPr>
                <w:rFonts w:hAnsi="宋体"/>
                <w:szCs w:val="21"/>
              </w:rPr>
              <w:t>下风向轴线距离</w:t>
            </w:r>
            <w:r>
              <w:rPr>
                <w:szCs w:val="21"/>
              </w:rPr>
              <w:t>(m)</w:t>
            </w:r>
          </w:p>
        </w:tc>
        <w:tc>
          <w:tcPr>
            <w:tcW w:w="1396" w:type="dxa"/>
            <w:tcMar>
              <w:top w:w="28" w:type="dxa"/>
              <w:bottom w:w="28" w:type="dxa"/>
            </w:tcMar>
            <w:vAlign w:val="center"/>
          </w:tcPr>
          <w:p w:rsidR="00475650" w:rsidRDefault="00475650" w:rsidP="00BD74CB">
            <w:pPr>
              <w:snapToGrid w:val="0"/>
              <w:spacing w:beforeLines="20" w:afterLines="20" w:line="240" w:lineRule="exact"/>
              <w:jc w:val="center"/>
              <w:rPr>
                <w:szCs w:val="21"/>
              </w:rPr>
            </w:pPr>
            <w:r>
              <w:rPr>
                <w:rFonts w:hAnsi="宋体"/>
                <w:szCs w:val="21"/>
              </w:rPr>
              <w:t>小时浓度贡献值</w:t>
            </w:r>
            <w:r>
              <w:rPr>
                <w:szCs w:val="21"/>
              </w:rPr>
              <w:t>(ug/m</w:t>
            </w:r>
            <w:r>
              <w:rPr>
                <w:szCs w:val="21"/>
                <w:vertAlign w:val="superscript"/>
              </w:rPr>
              <w:t>3</w:t>
            </w:r>
            <w:r>
              <w:rPr>
                <w:szCs w:val="21"/>
              </w:rPr>
              <w:t>)</w:t>
            </w:r>
          </w:p>
        </w:tc>
        <w:tc>
          <w:tcPr>
            <w:tcW w:w="993" w:type="dxa"/>
            <w:vAlign w:val="center"/>
          </w:tcPr>
          <w:p w:rsidR="00475650" w:rsidRDefault="00475650" w:rsidP="00BD74CB">
            <w:pPr>
              <w:snapToGrid w:val="0"/>
              <w:spacing w:beforeLines="20" w:afterLines="20" w:line="240" w:lineRule="exact"/>
              <w:jc w:val="center"/>
              <w:rPr>
                <w:szCs w:val="21"/>
              </w:rPr>
            </w:pPr>
            <w:r>
              <w:rPr>
                <w:rFonts w:hAnsi="宋体"/>
                <w:szCs w:val="21"/>
              </w:rPr>
              <w:t>占标率</w:t>
            </w:r>
            <w:r>
              <w:rPr>
                <w:szCs w:val="21"/>
              </w:rPr>
              <w:t>(%)</w:t>
            </w:r>
          </w:p>
        </w:tc>
        <w:tc>
          <w:tcPr>
            <w:tcW w:w="1418" w:type="dxa"/>
            <w:vAlign w:val="center"/>
          </w:tcPr>
          <w:p w:rsidR="00475650" w:rsidRDefault="00475650" w:rsidP="00BD74CB">
            <w:pPr>
              <w:snapToGrid w:val="0"/>
              <w:spacing w:beforeLines="20" w:afterLines="20" w:line="240" w:lineRule="exact"/>
              <w:jc w:val="center"/>
              <w:rPr>
                <w:szCs w:val="21"/>
              </w:rPr>
            </w:pPr>
            <w:r>
              <w:rPr>
                <w:rFonts w:hAnsi="宋体"/>
                <w:szCs w:val="21"/>
              </w:rPr>
              <w:t>小时浓度贡献值</w:t>
            </w:r>
            <w:r>
              <w:rPr>
                <w:szCs w:val="21"/>
              </w:rPr>
              <w:t>(ug/m</w:t>
            </w:r>
            <w:r>
              <w:rPr>
                <w:szCs w:val="21"/>
                <w:vertAlign w:val="superscript"/>
              </w:rPr>
              <w:t>3</w:t>
            </w:r>
            <w:r>
              <w:rPr>
                <w:szCs w:val="21"/>
              </w:rPr>
              <w:t>)</w:t>
            </w:r>
          </w:p>
        </w:tc>
        <w:tc>
          <w:tcPr>
            <w:tcW w:w="1135" w:type="dxa"/>
            <w:tcMar>
              <w:top w:w="28" w:type="dxa"/>
              <w:bottom w:w="28" w:type="dxa"/>
            </w:tcMar>
            <w:vAlign w:val="center"/>
          </w:tcPr>
          <w:p w:rsidR="00475650" w:rsidRDefault="00475650" w:rsidP="00BD74CB">
            <w:pPr>
              <w:snapToGrid w:val="0"/>
              <w:spacing w:beforeLines="20" w:afterLines="20" w:line="240" w:lineRule="exact"/>
              <w:jc w:val="center"/>
              <w:rPr>
                <w:szCs w:val="21"/>
              </w:rPr>
            </w:pPr>
            <w:r>
              <w:rPr>
                <w:rFonts w:hAnsi="宋体"/>
                <w:szCs w:val="21"/>
              </w:rPr>
              <w:t>占标率</w:t>
            </w:r>
            <w:r>
              <w:rPr>
                <w:szCs w:val="21"/>
              </w:rPr>
              <w:t>(%)</w:t>
            </w:r>
          </w:p>
        </w:tc>
        <w:tc>
          <w:tcPr>
            <w:tcW w:w="1378" w:type="dxa"/>
            <w:tcBorders>
              <w:right w:val="single" w:sz="4" w:space="0" w:color="auto"/>
            </w:tcBorders>
            <w:vAlign w:val="center"/>
          </w:tcPr>
          <w:p w:rsidR="00475650" w:rsidRDefault="00475650" w:rsidP="00BD74CB">
            <w:pPr>
              <w:snapToGrid w:val="0"/>
              <w:spacing w:beforeLines="20" w:afterLines="20" w:line="240" w:lineRule="exact"/>
              <w:jc w:val="center"/>
              <w:rPr>
                <w:szCs w:val="21"/>
              </w:rPr>
            </w:pPr>
            <w:r>
              <w:rPr>
                <w:rFonts w:hAnsi="宋体"/>
                <w:szCs w:val="21"/>
              </w:rPr>
              <w:t>小时浓度贡献值</w:t>
            </w:r>
            <w:r>
              <w:rPr>
                <w:szCs w:val="21"/>
              </w:rPr>
              <w:t>(ug/m</w:t>
            </w:r>
            <w:r>
              <w:rPr>
                <w:szCs w:val="21"/>
                <w:vertAlign w:val="superscript"/>
              </w:rPr>
              <w:t>3</w:t>
            </w:r>
            <w:r>
              <w:rPr>
                <w:szCs w:val="21"/>
              </w:rPr>
              <w:t>)</w:t>
            </w:r>
          </w:p>
        </w:tc>
        <w:tc>
          <w:tcPr>
            <w:tcW w:w="1313" w:type="dxa"/>
            <w:tcBorders>
              <w:left w:val="single" w:sz="4" w:space="0" w:color="auto"/>
            </w:tcBorders>
            <w:vAlign w:val="center"/>
          </w:tcPr>
          <w:p w:rsidR="00475650" w:rsidRDefault="00475650" w:rsidP="00BD74CB">
            <w:pPr>
              <w:snapToGrid w:val="0"/>
              <w:spacing w:beforeLines="20" w:afterLines="20" w:line="240" w:lineRule="exact"/>
              <w:jc w:val="center"/>
              <w:rPr>
                <w:szCs w:val="21"/>
              </w:rPr>
            </w:pPr>
            <w:r>
              <w:rPr>
                <w:rFonts w:hAnsi="宋体"/>
                <w:szCs w:val="21"/>
              </w:rPr>
              <w:t>占标率</w:t>
            </w:r>
            <w:r>
              <w:rPr>
                <w:szCs w:val="21"/>
              </w:rPr>
              <w:t>(%)</w:t>
            </w:r>
          </w:p>
        </w:tc>
      </w:tr>
      <w:tr w:rsidR="00475650">
        <w:trPr>
          <w:trHeight w:hRule="exact" w:val="312"/>
        </w:trPr>
        <w:tc>
          <w:tcPr>
            <w:tcW w:w="1547" w:type="dxa"/>
            <w:tcMar>
              <w:top w:w="28" w:type="dxa"/>
              <w:bottom w:w="28" w:type="dxa"/>
            </w:tcMar>
            <w:vAlign w:val="center"/>
          </w:tcPr>
          <w:p w:rsidR="00475650" w:rsidRDefault="00475650">
            <w:pPr>
              <w:jc w:val="center"/>
              <w:rPr>
                <w:szCs w:val="21"/>
              </w:rPr>
            </w:pPr>
            <w:r>
              <w:rPr>
                <w:szCs w:val="21"/>
              </w:rPr>
              <w:t>100</w:t>
            </w:r>
          </w:p>
        </w:tc>
        <w:tc>
          <w:tcPr>
            <w:tcW w:w="1396" w:type="dxa"/>
            <w:tcMar>
              <w:top w:w="28" w:type="dxa"/>
              <w:bottom w:w="28" w:type="dxa"/>
            </w:tcMar>
            <w:vAlign w:val="center"/>
          </w:tcPr>
          <w:p w:rsidR="00475650" w:rsidRDefault="00475650">
            <w:pPr>
              <w:jc w:val="center"/>
              <w:rPr>
                <w:szCs w:val="21"/>
              </w:rPr>
            </w:pPr>
            <w:r>
              <w:rPr>
                <w:szCs w:val="21"/>
              </w:rPr>
              <w:t>18.940</w:t>
            </w:r>
          </w:p>
        </w:tc>
        <w:tc>
          <w:tcPr>
            <w:tcW w:w="993" w:type="dxa"/>
            <w:vAlign w:val="center"/>
          </w:tcPr>
          <w:p w:rsidR="00475650" w:rsidRDefault="00475650">
            <w:pPr>
              <w:jc w:val="center"/>
              <w:rPr>
                <w:szCs w:val="21"/>
              </w:rPr>
            </w:pPr>
            <w:r>
              <w:rPr>
                <w:szCs w:val="21"/>
              </w:rPr>
              <w:t>37.880</w:t>
            </w:r>
          </w:p>
        </w:tc>
        <w:tc>
          <w:tcPr>
            <w:tcW w:w="1418" w:type="dxa"/>
            <w:vAlign w:val="center"/>
          </w:tcPr>
          <w:p w:rsidR="00475650" w:rsidRDefault="00475650">
            <w:pPr>
              <w:jc w:val="center"/>
              <w:rPr>
                <w:szCs w:val="21"/>
              </w:rPr>
            </w:pPr>
            <w:r>
              <w:rPr>
                <w:szCs w:val="21"/>
              </w:rPr>
              <w:t>0.674</w:t>
            </w:r>
          </w:p>
        </w:tc>
        <w:tc>
          <w:tcPr>
            <w:tcW w:w="1135" w:type="dxa"/>
            <w:tcMar>
              <w:top w:w="28" w:type="dxa"/>
              <w:bottom w:w="28" w:type="dxa"/>
            </w:tcMar>
            <w:vAlign w:val="center"/>
          </w:tcPr>
          <w:p w:rsidR="00475650" w:rsidRDefault="00475650">
            <w:pPr>
              <w:jc w:val="center"/>
              <w:rPr>
                <w:szCs w:val="21"/>
              </w:rPr>
            </w:pPr>
            <w:r>
              <w:rPr>
                <w:szCs w:val="21"/>
              </w:rPr>
              <w:t>0.337</w:t>
            </w:r>
          </w:p>
        </w:tc>
        <w:tc>
          <w:tcPr>
            <w:tcW w:w="1378" w:type="dxa"/>
            <w:tcBorders>
              <w:right w:val="single" w:sz="4" w:space="0" w:color="auto"/>
            </w:tcBorders>
            <w:vAlign w:val="bottom"/>
          </w:tcPr>
          <w:p w:rsidR="00475650" w:rsidRDefault="00475650">
            <w:pPr>
              <w:jc w:val="center"/>
              <w:rPr>
                <w:szCs w:val="21"/>
              </w:rPr>
            </w:pPr>
            <w:r>
              <w:rPr>
                <w:rFonts w:hint="eastAsia"/>
                <w:szCs w:val="21"/>
              </w:rPr>
              <w:t xml:space="preserve">593.20 </w:t>
            </w:r>
          </w:p>
        </w:tc>
        <w:tc>
          <w:tcPr>
            <w:tcW w:w="1313" w:type="dxa"/>
            <w:tcBorders>
              <w:left w:val="single" w:sz="4" w:space="0" w:color="auto"/>
            </w:tcBorders>
            <w:vAlign w:val="bottom"/>
          </w:tcPr>
          <w:p w:rsidR="00475650" w:rsidRDefault="00475650">
            <w:pPr>
              <w:jc w:val="center"/>
              <w:rPr>
                <w:szCs w:val="21"/>
              </w:rPr>
            </w:pPr>
            <w:r>
              <w:rPr>
                <w:rFonts w:hint="eastAsia"/>
                <w:szCs w:val="21"/>
              </w:rPr>
              <w:t xml:space="preserve">131.80 </w:t>
            </w:r>
          </w:p>
        </w:tc>
      </w:tr>
      <w:tr w:rsidR="00475650">
        <w:trPr>
          <w:trHeight w:hRule="exact" w:val="312"/>
        </w:trPr>
        <w:tc>
          <w:tcPr>
            <w:tcW w:w="1547" w:type="dxa"/>
            <w:tcMar>
              <w:top w:w="28" w:type="dxa"/>
              <w:bottom w:w="28" w:type="dxa"/>
            </w:tcMar>
            <w:vAlign w:val="center"/>
          </w:tcPr>
          <w:p w:rsidR="00475650" w:rsidRDefault="00475650">
            <w:pPr>
              <w:jc w:val="center"/>
              <w:rPr>
                <w:szCs w:val="21"/>
              </w:rPr>
            </w:pPr>
            <w:r>
              <w:rPr>
                <w:szCs w:val="21"/>
              </w:rPr>
              <w:t>200</w:t>
            </w:r>
          </w:p>
        </w:tc>
        <w:tc>
          <w:tcPr>
            <w:tcW w:w="1396" w:type="dxa"/>
            <w:tcMar>
              <w:top w:w="28" w:type="dxa"/>
              <w:bottom w:w="28" w:type="dxa"/>
            </w:tcMar>
            <w:vAlign w:val="center"/>
          </w:tcPr>
          <w:p w:rsidR="00475650" w:rsidRDefault="00475650">
            <w:pPr>
              <w:jc w:val="center"/>
              <w:rPr>
                <w:szCs w:val="21"/>
              </w:rPr>
            </w:pPr>
            <w:r>
              <w:rPr>
                <w:szCs w:val="21"/>
              </w:rPr>
              <w:t>23.180</w:t>
            </w:r>
          </w:p>
        </w:tc>
        <w:tc>
          <w:tcPr>
            <w:tcW w:w="993" w:type="dxa"/>
            <w:vAlign w:val="center"/>
          </w:tcPr>
          <w:p w:rsidR="00475650" w:rsidRDefault="00475650">
            <w:pPr>
              <w:jc w:val="center"/>
              <w:rPr>
                <w:szCs w:val="21"/>
              </w:rPr>
            </w:pPr>
            <w:r>
              <w:rPr>
                <w:szCs w:val="21"/>
              </w:rPr>
              <w:t>46.360</w:t>
            </w:r>
          </w:p>
        </w:tc>
        <w:tc>
          <w:tcPr>
            <w:tcW w:w="1418" w:type="dxa"/>
            <w:vAlign w:val="center"/>
          </w:tcPr>
          <w:p w:rsidR="00475650" w:rsidRDefault="00475650">
            <w:pPr>
              <w:jc w:val="center"/>
              <w:rPr>
                <w:szCs w:val="21"/>
              </w:rPr>
            </w:pPr>
            <w:r>
              <w:rPr>
                <w:szCs w:val="21"/>
              </w:rPr>
              <w:t>0.825</w:t>
            </w:r>
          </w:p>
        </w:tc>
        <w:tc>
          <w:tcPr>
            <w:tcW w:w="1135" w:type="dxa"/>
            <w:tcMar>
              <w:top w:w="28" w:type="dxa"/>
              <w:bottom w:w="28" w:type="dxa"/>
            </w:tcMar>
            <w:vAlign w:val="center"/>
          </w:tcPr>
          <w:p w:rsidR="00475650" w:rsidRDefault="00475650">
            <w:pPr>
              <w:jc w:val="center"/>
              <w:rPr>
                <w:szCs w:val="21"/>
              </w:rPr>
            </w:pPr>
            <w:r>
              <w:rPr>
                <w:szCs w:val="21"/>
              </w:rPr>
              <w:t>0.412</w:t>
            </w:r>
          </w:p>
        </w:tc>
        <w:tc>
          <w:tcPr>
            <w:tcW w:w="1378" w:type="dxa"/>
            <w:tcBorders>
              <w:right w:val="single" w:sz="4" w:space="0" w:color="auto"/>
            </w:tcBorders>
            <w:vAlign w:val="bottom"/>
          </w:tcPr>
          <w:p w:rsidR="00475650" w:rsidRDefault="00475650">
            <w:pPr>
              <w:jc w:val="center"/>
              <w:rPr>
                <w:szCs w:val="21"/>
              </w:rPr>
            </w:pPr>
            <w:r>
              <w:rPr>
                <w:rFonts w:hint="eastAsia"/>
                <w:szCs w:val="21"/>
              </w:rPr>
              <w:t xml:space="preserve">725.80 </w:t>
            </w:r>
          </w:p>
        </w:tc>
        <w:tc>
          <w:tcPr>
            <w:tcW w:w="1313" w:type="dxa"/>
            <w:tcBorders>
              <w:left w:val="single" w:sz="4" w:space="0" w:color="auto"/>
            </w:tcBorders>
            <w:vAlign w:val="bottom"/>
          </w:tcPr>
          <w:p w:rsidR="00475650" w:rsidRDefault="00475650">
            <w:pPr>
              <w:jc w:val="center"/>
              <w:rPr>
                <w:szCs w:val="21"/>
              </w:rPr>
            </w:pPr>
            <w:r>
              <w:rPr>
                <w:rFonts w:hint="eastAsia"/>
                <w:szCs w:val="21"/>
              </w:rPr>
              <w:t xml:space="preserve">161.20 </w:t>
            </w:r>
          </w:p>
        </w:tc>
      </w:tr>
      <w:tr w:rsidR="00475650">
        <w:trPr>
          <w:trHeight w:hRule="exact" w:val="312"/>
        </w:trPr>
        <w:tc>
          <w:tcPr>
            <w:tcW w:w="1547" w:type="dxa"/>
            <w:tcMar>
              <w:top w:w="28" w:type="dxa"/>
              <w:bottom w:w="28" w:type="dxa"/>
            </w:tcMar>
            <w:vAlign w:val="center"/>
          </w:tcPr>
          <w:p w:rsidR="00475650" w:rsidRDefault="00475650">
            <w:pPr>
              <w:jc w:val="center"/>
              <w:rPr>
                <w:szCs w:val="21"/>
              </w:rPr>
            </w:pPr>
            <w:r>
              <w:rPr>
                <w:szCs w:val="21"/>
              </w:rPr>
              <w:t>300</w:t>
            </w:r>
          </w:p>
        </w:tc>
        <w:tc>
          <w:tcPr>
            <w:tcW w:w="1396" w:type="dxa"/>
            <w:tcMar>
              <w:top w:w="28" w:type="dxa"/>
              <w:bottom w:w="28" w:type="dxa"/>
            </w:tcMar>
            <w:vAlign w:val="center"/>
          </w:tcPr>
          <w:p w:rsidR="00475650" w:rsidRDefault="00475650">
            <w:pPr>
              <w:jc w:val="center"/>
              <w:rPr>
                <w:szCs w:val="21"/>
              </w:rPr>
            </w:pPr>
            <w:r>
              <w:rPr>
                <w:szCs w:val="21"/>
              </w:rPr>
              <w:t>24.530</w:t>
            </w:r>
          </w:p>
        </w:tc>
        <w:tc>
          <w:tcPr>
            <w:tcW w:w="993" w:type="dxa"/>
            <w:vAlign w:val="center"/>
          </w:tcPr>
          <w:p w:rsidR="00475650" w:rsidRDefault="00475650">
            <w:pPr>
              <w:jc w:val="center"/>
              <w:rPr>
                <w:szCs w:val="21"/>
              </w:rPr>
            </w:pPr>
            <w:r>
              <w:rPr>
                <w:szCs w:val="21"/>
              </w:rPr>
              <w:t>49.060</w:t>
            </w:r>
          </w:p>
        </w:tc>
        <w:tc>
          <w:tcPr>
            <w:tcW w:w="1418" w:type="dxa"/>
            <w:vAlign w:val="center"/>
          </w:tcPr>
          <w:p w:rsidR="00475650" w:rsidRDefault="00475650">
            <w:pPr>
              <w:jc w:val="center"/>
              <w:rPr>
                <w:szCs w:val="21"/>
              </w:rPr>
            </w:pPr>
            <w:r>
              <w:rPr>
                <w:szCs w:val="21"/>
              </w:rPr>
              <w:t>0.873</w:t>
            </w:r>
          </w:p>
        </w:tc>
        <w:tc>
          <w:tcPr>
            <w:tcW w:w="1135" w:type="dxa"/>
            <w:tcMar>
              <w:top w:w="28" w:type="dxa"/>
              <w:bottom w:w="28" w:type="dxa"/>
            </w:tcMar>
            <w:vAlign w:val="center"/>
          </w:tcPr>
          <w:p w:rsidR="00475650" w:rsidRDefault="00475650">
            <w:pPr>
              <w:jc w:val="center"/>
              <w:rPr>
                <w:szCs w:val="21"/>
              </w:rPr>
            </w:pPr>
            <w:r>
              <w:rPr>
                <w:szCs w:val="21"/>
              </w:rPr>
              <w:t>0.437</w:t>
            </w:r>
          </w:p>
        </w:tc>
        <w:tc>
          <w:tcPr>
            <w:tcW w:w="1378" w:type="dxa"/>
            <w:tcBorders>
              <w:right w:val="single" w:sz="4" w:space="0" w:color="auto"/>
            </w:tcBorders>
            <w:vAlign w:val="bottom"/>
          </w:tcPr>
          <w:p w:rsidR="00475650" w:rsidRDefault="00475650">
            <w:pPr>
              <w:jc w:val="center"/>
              <w:rPr>
                <w:szCs w:val="21"/>
              </w:rPr>
            </w:pPr>
            <w:r>
              <w:rPr>
                <w:rFonts w:hint="eastAsia"/>
                <w:szCs w:val="21"/>
              </w:rPr>
              <w:t xml:space="preserve">768.20 </w:t>
            </w:r>
          </w:p>
        </w:tc>
        <w:tc>
          <w:tcPr>
            <w:tcW w:w="1313" w:type="dxa"/>
            <w:tcBorders>
              <w:left w:val="single" w:sz="4" w:space="0" w:color="auto"/>
            </w:tcBorders>
            <w:vAlign w:val="bottom"/>
          </w:tcPr>
          <w:p w:rsidR="00475650" w:rsidRDefault="00475650">
            <w:pPr>
              <w:jc w:val="center"/>
              <w:rPr>
                <w:szCs w:val="21"/>
              </w:rPr>
            </w:pPr>
            <w:r>
              <w:rPr>
                <w:rFonts w:hint="eastAsia"/>
                <w:szCs w:val="21"/>
              </w:rPr>
              <w:t xml:space="preserve">170.80 </w:t>
            </w:r>
          </w:p>
        </w:tc>
      </w:tr>
      <w:tr w:rsidR="00475650">
        <w:trPr>
          <w:trHeight w:hRule="exact" w:val="424"/>
        </w:trPr>
        <w:tc>
          <w:tcPr>
            <w:tcW w:w="1547" w:type="dxa"/>
            <w:tcMar>
              <w:top w:w="28" w:type="dxa"/>
              <w:bottom w:w="28" w:type="dxa"/>
            </w:tcMar>
            <w:vAlign w:val="center"/>
          </w:tcPr>
          <w:p w:rsidR="00475650" w:rsidRDefault="00475650">
            <w:pPr>
              <w:jc w:val="center"/>
              <w:rPr>
                <w:szCs w:val="21"/>
              </w:rPr>
            </w:pPr>
            <w:r>
              <w:rPr>
                <w:szCs w:val="21"/>
              </w:rPr>
              <w:t>400</w:t>
            </w:r>
          </w:p>
        </w:tc>
        <w:tc>
          <w:tcPr>
            <w:tcW w:w="1396" w:type="dxa"/>
            <w:tcMar>
              <w:top w:w="28" w:type="dxa"/>
              <w:bottom w:w="28" w:type="dxa"/>
            </w:tcMar>
            <w:vAlign w:val="center"/>
          </w:tcPr>
          <w:p w:rsidR="00475650" w:rsidRDefault="00475650">
            <w:pPr>
              <w:jc w:val="center"/>
              <w:rPr>
                <w:szCs w:val="21"/>
              </w:rPr>
            </w:pPr>
            <w:r>
              <w:rPr>
                <w:szCs w:val="21"/>
              </w:rPr>
              <w:t>23.370</w:t>
            </w:r>
          </w:p>
        </w:tc>
        <w:tc>
          <w:tcPr>
            <w:tcW w:w="993" w:type="dxa"/>
            <w:vAlign w:val="center"/>
          </w:tcPr>
          <w:p w:rsidR="00475650" w:rsidRDefault="00475650">
            <w:pPr>
              <w:jc w:val="center"/>
              <w:rPr>
                <w:szCs w:val="21"/>
              </w:rPr>
            </w:pPr>
            <w:r>
              <w:rPr>
                <w:szCs w:val="21"/>
              </w:rPr>
              <w:t>46.740</w:t>
            </w:r>
          </w:p>
        </w:tc>
        <w:tc>
          <w:tcPr>
            <w:tcW w:w="1418" w:type="dxa"/>
            <w:vAlign w:val="center"/>
          </w:tcPr>
          <w:p w:rsidR="00475650" w:rsidRDefault="00475650">
            <w:pPr>
              <w:jc w:val="center"/>
              <w:rPr>
                <w:szCs w:val="21"/>
              </w:rPr>
            </w:pPr>
            <w:r>
              <w:rPr>
                <w:szCs w:val="21"/>
              </w:rPr>
              <w:t>0.832</w:t>
            </w:r>
          </w:p>
        </w:tc>
        <w:tc>
          <w:tcPr>
            <w:tcW w:w="1135" w:type="dxa"/>
            <w:tcMar>
              <w:top w:w="28" w:type="dxa"/>
              <w:bottom w:w="28" w:type="dxa"/>
            </w:tcMar>
            <w:vAlign w:val="center"/>
          </w:tcPr>
          <w:p w:rsidR="00475650" w:rsidRDefault="00475650">
            <w:pPr>
              <w:jc w:val="center"/>
              <w:rPr>
                <w:szCs w:val="21"/>
              </w:rPr>
            </w:pPr>
            <w:r>
              <w:rPr>
                <w:szCs w:val="21"/>
              </w:rPr>
              <w:t>0.416</w:t>
            </w:r>
          </w:p>
        </w:tc>
        <w:tc>
          <w:tcPr>
            <w:tcW w:w="1378" w:type="dxa"/>
            <w:tcBorders>
              <w:right w:val="single" w:sz="4" w:space="0" w:color="auto"/>
            </w:tcBorders>
            <w:vAlign w:val="bottom"/>
          </w:tcPr>
          <w:p w:rsidR="00475650" w:rsidRDefault="00475650">
            <w:pPr>
              <w:jc w:val="center"/>
              <w:rPr>
                <w:szCs w:val="21"/>
              </w:rPr>
            </w:pPr>
            <w:r>
              <w:rPr>
                <w:rFonts w:hint="eastAsia"/>
                <w:szCs w:val="21"/>
              </w:rPr>
              <w:t xml:space="preserve">732.00 </w:t>
            </w:r>
          </w:p>
        </w:tc>
        <w:tc>
          <w:tcPr>
            <w:tcW w:w="1313" w:type="dxa"/>
            <w:tcBorders>
              <w:left w:val="single" w:sz="4" w:space="0" w:color="auto"/>
            </w:tcBorders>
            <w:vAlign w:val="bottom"/>
          </w:tcPr>
          <w:p w:rsidR="00475650" w:rsidRDefault="00475650">
            <w:pPr>
              <w:jc w:val="center"/>
              <w:rPr>
                <w:szCs w:val="21"/>
              </w:rPr>
            </w:pPr>
            <w:r>
              <w:rPr>
                <w:rFonts w:hint="eastAsia"/>
                <w:szCs w:val="21"/>
              </w:rPr>
              <w:t xml:space="preserve">162.60 </w:t>
            </w:r>
          </w:p>
        </w:tc>
      </w:tr>
      <w:tr w:rsidR="00475650">
        <w:trPr>
          <w:trHeight w:hRule="exact" w:val="312"/>
        </w:trPr>
        <w:tc>
          <w:tcPr>
            <w:tcW w:w="1547" w:type="dxa"/>
            <w:tcMar>
              <w:top w:w="28" w:type="dxa"/>
              <w:bottom w:w="28" w:type="dxa"/>
            </w:tcMar>
            <w:vAlign w:val="center"/>
          </w:tcPr>
          <w:p w:rsidR="00475650" w:rsidRDefault="00475650">
            <w:pPr>
              <w:jc w:val="center"/>
              <w:rPr>
                <w:szCs w:val="21"/>
              </w:rPr>
            </w:pPr>
            <w:r>
              <w:rPr>
                <w:szCs w:val="21"/>
              </w:rPr>
              <w:t>500</w:t>
            </w:r>
          </w:p>
        </w:tc>
        <w:tc>
          <w:tcPr>
            <w:tcW w:w="1396" w:type="dxa"/>
            <w:tcMar>
              <w:top w:w="28" w:type="dxa"/>
              <w:bottom w:w="28" w:type="dxa"/>
            </w:tcMar>
            <w:vAlign w:val="center"/>
          </w:tcPr>
          <w:p w:rsidR="00475650" w:rsidRDefault="00475650">
            <w:pPr>
              <w:jc w:val="center"/>
              <w:rPr>
                <w:szCs w:val="21"/>
              </w:rPr>
            </w:pPr>
            <w:r>
              <w:rPr>
                <w:szCs w:val="21"/>
              </w:rPr>
              <w:t>22.290</w:t>
            </w:r>
          </w:p>
        </w:tc>
        <w:tc>
          <w:tcPr>
            <w:tcW w:w="993" w:type="dxa"/>
            <w:vAlign w:val="center"/>
          </w:tcPr>
          <w:p w:rsidR="00475650" w:rsidRDefault="00475650">
            <w:pPr>
              <w:jc w:val="center"/>
              <w:rPr>
                <w:szCs w:val="21"/>
              </w:rPr>
            </w:pPr>
            <w:r>
              <w:rPr>
                <w:szCs w:val="21"/>
              </w:rPr>
              <w:t>44.580</w:t>
            </w:r>
          </w:p>
        </w:tc>
        <w:tc>
          <w:tcPr>
            <w:tcW w:w="1418" w:type="dxa"/>
            <w:vAlign w:val="center"/>
          </w:tcPr>
          <w:p w:rsidR="00475650" w:rsidRDefault="00475650">
            <w:pPr>
              <w:jc w:val="center"/>
              <w:rPr>
                <w:szCs w:val="21"/>
              </w:rPr>
            </w:pPr>
            <w:r>
              <w:rPr>
                <w:szCs w:val="21"/>
              </w:rPr>
              <w:t>0.793</w:t>
            </w:r>
          </w:p>
        </w:tc>
        <w:tc>
          <w:tcPr>
            <w:tcW w:w="1135" w:type="dxa"/>
            <w:tcMar>
              <w:top w:w="28" w:type="dxa"/>
              <w:bottom w:w="28" w:type="dxa"/>
            </w:tcMar>
            <w:vAlign w:val="center"/>
          </w:tcPr>
          <w:p w:rsidR="00475650" w:rsidRDefault="00475650">
            <w:pPr>
              <w:jc w:val="center"/>
              <w:rPr>
                <w:szCs w:val="21"/>
              </w:rPr>
            </w:pPr>
            <w:r>
              <w:rPr>
                <w:szCs w:val="21"/>
              </w:rPr>
              <w:t>0.397</w:t>
            </w:r>
          </w:p>
        </w:tc>
        <w:tc>
          <w:tcPr>
            <w:tcW w:w="1378" w:type="dxa"/>
            <w:tcBorders>
              <w:right w:val="single" w:sz="4" w:space="0" w:color="auto"/>
            </w:tcBorders>
            <w:vAlign w:val="bottom"/>
          </w:tcPr>
          <w:p w:rsidR="00475650" w:rsidRDefault="00475650">
            <w:pPr>
              <w:jc w:val="center"/>
              <w:rPr>
                <w:szCs w:val="21"/>
              </w:rPr>
            </w:pPr>
            <w:r>
              <w:rPr>
                <w:rFonts w:hint="eastAsia"/>
                <w:szCs w:val="21"/>
              </w:rPr>
              <w:t xml:space="preserve">698.00 </w:t>
            </w:r>
          </w:p>
        </w:tc>
        <w:tc>
          <w:tcPr>
            <w:tcW w:w="1313" w:type="dxa"/>
            <w:tcBorders>
              <w:left w:val="single" w:sz="4" w:space="0" w:color="auto"/>
            </w:tcBorders>
            <w:vAlign w:val="bottom"/>
          </w:tcPr>
          <w:p w:rsidR="00475650" w:rsidRDefault="00475650">
            <w:pPr>
              <w:jc w:val="center"/>
              <w:rPr>
                <w:szCs w:val="21"/>
              </w:rPr>
            </w:pPr>
            <w:r>
              <w:rPr>
                <w:rFonts w:hint="eastAsia"/>
                <w:szCs w:val="21"/>
              </w:rPr>
              <w:t xml:space="preserve">155.20 </w:t>
            </w:r>
          </w:p>
        </w:tc>
      </w:tr>
      <w:tr w:rsidR="00475650">
        <w:trPr>
          <w:trHeight w:hRule="exact" w:val="312"/>
        </w:trPr>
        <w:tc>
          <w:tcPr>
            <w:tcW w:w="1547" w:type="dxa"/>
            <w:tcMar>
              <w:top w:w="28" w:type="dxa"/>
              <w:bottom w:w="28" w:type="dxa"/>
            </w:tcMar>
            <w:vAlign w:val="center"/>
          </w:tcPr>
          <w:p w:rsidR="00475650" w:rsidRDefault="00475650">
            <w:pPr>
              <w:jc w:val="center"/>
              <w:rPr>
                <w:szCs w:val="21"/>
              </w:rPr>
            </w:pPr>
            <w:r>
              <w:rPr>
                <w:szCs w:val="21"/>
              </w:rPr>
              <w:t>600</w:t>
            </w:r>
          </w:p>
        </w:tc>
        <w:tc>
          <w:tcPr>
            <w:tcW w:w="1396" w:type="dxa"/>
            <w:tcMar>
              <w:top w:w="28" w:type="dxa"/>
              <w:bottom w:w="28" w:type="dxa"/>
            </w:tcMar>
            <w:vAlign w:val="center"/>
          </w:tcPr>
          <w:p w:rsidR="00475650" w:rsidRDefault="00475650">
            <w:pPr>
              <w:jc w:val="center"/>
              <w:rPr>
                <w:szCs w:val="21"/>
              </w:rPr>
            </w:pPr>
            <w:r>
              <w:rPr>
                <w:szCs w:val="21"/>
              </w:rPr>
              <w:t>20.820</w:t>
            </w:r>
          </w:p>
        </w:tc>
        <w:tc>
          <w:tcPr>
            <w:tcW w:w="993" w:type="dxa"/>
            <w:vAlign w:val="center"/>
          </w:tcPr>
          <w:p w:rsidR="00475650" w:rsidRDefault="00475650">
            <w:pPr>
              <w:jc w:val="center"/>
              <w:rPr>
                <w:szCs w:val="21"/>
              </w:rPr>
            </w:pPr>
            <w:r>
              <w:rPr>
                <w:szCs w:val="21"/>
              </w:rPr>
              <w:t>41.640</w:t>
            </w:r>
          </w:p>
        </w:tc>
        <w:tc>
          <w:tcPr>
            <w:tcW w:w="1418" w:type="dxa"/>
            <w:vAlign w:val="center"/>
          </w:tcPr>
          <w:p w:rsidR="00475650" w:rsidRDefault="00475650">
            <w:pPr>
              <w:jc w:val="center"/>
              <w:rPr>
                <w:szCs w:val="21"/>
              </w:rPr>
            </w:pPr>
            <w:r>
              <w:rPr>
                <w:szCs w:val="21"/>
              </w:rPr>
              <w:t>0.741</w:t>
            </w:r>
          </w:p>
        </w:tc>
        <w:tc>
          <w:tcPr>
            <w:tcW w:w="1135" w:type="dxa"/>
            <w:tcMar>
              <w:top w:w="28" w:type="dxa"/>
              <w:bottom w:w="28" w:type="dxa"/>
            </w:tcMar>
            <w:vAlign w:val="center"/>
          </w:tcPr>
          <w:p w:rsidR="00475650" w:rsidRDefault="00475650">
            <w:pPr>
              <w:jc w:val="center"/>
              <w:rPr>
                <w:szCs w:val="21"/>
              </w:rPr>
            </w:pPr>
            <w:r>
              <w:rPr>
                <w:szCs w:val="21"/>
              </w:rPr>
              <w:t>0.371</w:t>
            </w:r>
          </w:p>
        </w:tc>
        <w:tc>
          <w:tcPr>
            <w:tcW w:w="1378" w:type="dxa"/>
            <w:tcBorders>
              <w:right w:val="single" w:sz="4" w:space="0" w:color="auto"/>
            </w:tcBorders>
            <w:vAlign w:val="bottom"/>
          </w:tcPr>
          <w:p w:rsidR="00475650" w:rsidRDefault="00475650">
            <w:pPr>
              <w:jc w:val="center"/>
              <w:rPr>
                <w:szCs w:val="21"/>
              </w:rPr>
            </w:pPr>
            <w:r>
              <w:rPr>
                <w:rFonts w:hint="eastAsia"/>
                <w:szCs w:val="21"/>
              </w:rPr>
              <w:t xml:space="preserve">652.00 </w:t>
            </w:r>
          </w:p>
        </w:tc>
        <w:tc>
          <w:tcPr>
            <w:tcW w:w="1313" w:type="dxa"/>
            <w:tcBorders>
              <w:left w:val="single" w:sz="4" w:space="0" w:color="auto"/>
            </w:tcBorders>
            <w:vAlign w:val="bottom"/>
          </w:tcPr>
          <w:p w:rsidR="00475650" w:rsidRDefault="00475650">
            <w:pPr>
              <w:jc w:val="center"/>
              <w:rPr>
                <w:szCs w:val="21"/>
              </w:rPr>
            </w:pPr>
            <w:r>
              <w:rPr>
                <w:rFonts w:hint="eastAsia"/>
                <w:szCs w:val="21"/>
              </w:rPr>
              <w:t xml:space="preserve">144.80 </w:t>
            </w:r>
          </w:p>
        </w:tc>
      </w:tr>
      <w:tr w:rsidR="00475650">
        <w:trPr>
          <w:trHeight w:hRule="exact" w:val="312"/>
        </w:trPr>
        <w:tc>
          <w:tcPr>
            <w:tcW w:w="1547" w:type="dxa"/>
            <w:tcMar>
              <w:top w:w="28" w:type="dxa"/>
              <w:bottom w:w="28" w:type="dxa"/>
            </w:tcMar>
            <w:vAlign w:val="center"/>
          </w:tcPr>
          <w:p w:rsidR="00475650" w:rsidRDefault="00475650">
            <w:pPr>
              <w:jc w:val="center"/>
              <w:rPr>
                <w:szCs w:val="21"/>
              </w:rPr>
            </w:pPr>
            <w:r>
              <w:rPr>
                <w:szCs w:val="21"/>
              </w:rPr>
              <w:t>700</w:t>
            </w:r>
          </w:p>
        </w:tc>
        <w:tc>
          <w:tcPr>
            <w:tcW w:w="1396" w:type="dxa"/>
            <w:tcMar>
              <w:top w:w="28" w:type="dxa"/>
              <w:bottom w:w="28" w:type="dxa"/>
            </w:tcMar>
            <w:vAlign w:val="center"/>
          </w:tcPr>
          <w:p w:rsidR="00475650" w:rsidRDefault="00475650">
            <w:pPr>
              <w:jc w:val="center"/>
              <w:rPr>
                <w:szCs w:val="21"/>
              </w:rPr>
            </w:pPr>
            <w:r>
              <w:rPr>
                <w:szCs w:val="21"/>
              </w:rPr>
              <w:t>21.450</w:t>
            </w:r>
          </w:p>
        </w:tc>
        <w:tc>
          <w:tcPr>
            <w:tcW w:w="993" w:type="dxa"/>
            <w:vAlign w:val="center"/>
          </w:tcPr>
          <w:p w:rsidR="00475650" w:rsidRDefault="00475650">
            <w:pPr>
              <w:jc w:val="center"/>
              <w:rPr>
                <w:szCs w:val="21"/>
              </w:rPr>
            </w:pPr>
            <w:r>
              <w:rPr>
                <w:szCs w:val="21"/>
              </w:rPr>
              <w:t>42.900</w:t>
            </w:r>
          </w:p>
        </w:tc>
        <w:tc>
          <w:tcPr>
            <w:tcW w:w="1418" w:type="dxa"/>
            <w:vAlign w:val="center"/>
          </w:tcPr>
          <w:p w:rsidR="00475650" w:rsidRDefault="00475650">
            <w:pPr>
              <w:jc w:val="center"/>
              <w:rPr>
                <w:szCs w:val="21"/>
              </w:rPr>
            </w:pPr>
            <w:r>
              <w:rPr>
                <w:szCs w:val="21"/>
              </w:rPr>
              <w:t>0.763</w:t>
            </w:r>
          </w:p>
        </w:tc>
        <w:tc>
          <w:tcPr>
            <w:tcW w:w="1135" w:type="dxa"/>
            <w:tcMar>
              <w:top w:w="28" w:type="dxa"/>
              <w:bottom w:w="28" w:type="dxa"/>
            </w:tcMar>
            <w:vAlign w:val="center"/>
          </w:tcPr>
          <w:p w:rsidR="00475650" w:rsidRDefault="00475650">
            <w:pPr>
              <w:jc w:val="center"/>
              <w:rPr>
                <w:szCs w:val="21"/>
              </w:rPr>
            </w:pPr>
            <w:r>
              <w:rPr>
                <w:szCs w:val="21"/>
              </w:rPr>
              <w:t>0.382</w:t>
            </w:r>
          </w:p>
        </w:tc>
        <w:tc>
          <w:tcPr>
            <w:tcW w:w="1378" w:type="dxa"/>
            <w:tcBorders>
              <w:right w:val="single" w:sz="4" w:space="0" w:color="auto"/>
            </w:tcBorders>
            <w:vAlign w:val="bottom"/>
          </w:tcPr>
          <w:p w:rsidR="00475650" w:rsidRDefault="00475650">
            <w:pPr>
              <w:jc w:val="center"/>
              <w:rPr>
                <w:szCs w:val="21"/>
              </w:rPr>
            </w:pPr>
            <w:r>
              <w:rPr>
                <w:rFonts w:hint="eastAsia"/>
                <w:szCs w:val="21"/>
              </w:rPr>
              <w:t xml:space="preserve">671.80 </w:t>
            </w:r>
          </w:p>
        </w:tc>
        <w:tc>
          <w:tcPr>
            <w:tcW w:w="1313" w:type="dxa"/>
            <w:tcBorders>
              <w:left w:val="single" w:sz="4" w:space="0" w:color="auto"/>
            </w:tcBorders>
            <w:vAlign w:val="bottom"/>
          </w:tcPr>
          <w:p w:rsidR="00475650" w:rsidRDefault="00475650">
            <w:pPr>
              <w:jc w:val="center"/>
              <w:rPr>
                <w:szCs w:val="21"/>
              </w:rPr>
            </w:pPr>
            <w:r>
              <w:rPr>
                <w:rFonts w:hint="eastAsia"/>
                <w:szCs w:val="21"/>
              </w:rPr>
              <w:t xml:space="preserve">149.20 </w:t>
            </w:r>
          </w:p>
        </w:tc>
      </w:tr>
      <w:tr w:rsidR="00475650">
        <w:trPr>
          <w:trHeight w:hRule="exact" w:val="312"/>
        </w:trPr>
        <w:tc>
          <w:tcPr>
            <w:tcW w:w="1547" w:type="dxa"/>
            <w:tcMar>
              <w:top w:w="28" w:type="dxa"/>
              <w:bottom w:w="28" w:type="dxa"/>
            </w:tcMar>
            <w:vAlign w:val="center"/>
          </w:tcPr>
          <w:p w:rsidR="00475650" w:rsidRDefault="00475650">
            <w:pPr>
              <w:jc w:val="center"/>
              <w:rPr>
                <w:szCs w:val="21"/>
              </w:rPr>
            </w:pPr>
            <w:r>
              <w:rPr>
                <w:szCs w:val="21"/>
              </w:rPr>
              <w:t>800</w:t>
            </w:r>
          </w:p>
        </w:tc>
        <w:tc>
          <w:tcPr>
            <w:tcW w:w="1396" w:type="dxa"/>
            <w:tcMar>
              <w:top w:w="28" w:type="dxa"/>
              <w:bottom w:w="28" w:type="dxa"/>
            </w:tcMar>
            <w:vAlign w:val="center"/>
          </w:tcPr>
          <w:p w:rsidR="00475650" w:rsidRDefault="00475650">
            <w:pPr>
              <w:jc w:val="center"/>
              <w:rPr>
                <w:szCs w:val="21"/>
              </w:rPr>
            </w:pPr>
            <w:r>
              <w:rPr>
                <w:szCs w:val="21"/>
              </w:rPr>
              <w:t>23.290</w:t>
            </w:r>
          </w:p>
        </w:tc>
        <w:tc>
          <w:tcPr>
            <w:tcW w:w="993" w:type="dxa"/>
            <w:vAlign w:val="center"/>
          </w:tcPr>
          <w:p w:rsidR="00475650" w:rsidRDefault="00475650">
            <w:pPr>
              <w:jc w:val="center"/>
              <w:rPr>
                <w:szCs w:val="21"/>
              </w:rPr>
            </w:pPr>
            <w:r>
              <w:rPr>
                <w:szCs w:val="21"/>
              </w:rPr>
              <w:t>46.580</w:t>
            </w:r>
          </w:p>
        </w:tc>
        <w:tc>
          <w:tcPr>
            <w:tcW w:w="1418" w:type="dxa"/>
            <w:vAlign w:val="center"/>
          </w:tcPr>
          <w:p w:rsidR="00475650" w:rsidRDefault="00475650">
            <w:pPr>
              <w:jc w:val="center"/>
              <w:rPr>
                <w:szCs w:val="21"/>
              </w:rPr>
            </w:pPr>
            <w:r>
              <w:rPr>
                <w:szCs w:val="21"/>
              </w:rPr>
              <w:t>0.829</w:t>
            </w:r>
          </w:p>
        </w:tc>
        <w:tc>
          <w:tcPr>
            <w:tcW w:w="1135" w:type="dxa"/>
            <w:tcMar>
              <w:top w:w="28" w:type="dxa"/>
              <w:bottom w:w="28" w:type="dxa"/>
            </w:tcMar>
            <w:vAlign w:val="center"/>
          </w:tcPr>
          <w:p w:rsidR="00475650" w:rsidRDefault="00475650">
            <w:pPr>
              <w:jc w:val="center"/>
              <w:rPr>
                <w:szCs w:val="21"/>
              </w:rPr>
            </w:pPr>
            <w:r>
              <w:rPr>
                <w:szCs w:val="21"/>
              </w:rPr>
              <w:t>0.414</w:t>
            </w:r>
          </w:p>
        </w:tc>
        <w:tc>
          <w:tcPr>
            <w:tcW w:w="1378" w:type="dxa"/>
            <w:tcBorders>
              <w:right w:val="single" w:sz="4" w:space="0" w:color="auto"/>
            </w:tcBorders>
            <w:vAlign w:val="bottom"/>
          </w:tcPr>
          <w:p w:rsidR="00475650" w:rsidRDefault="00475650">
            <w:pPr>
              <w:jc w:val="center"/>
              <w:rPr>
                <w:szCs w:val="21"/>
              </w:rPr>
            </w:pPr>
            <w:r>
              <w:rPr>
                <w:rFonts w:hint="eastAsia"/>
                <w:szCs w:val="21"/>
              </w:rPr>
              <w:t xml:space="preserve">729.40 </w:t>
            </w:r>
          </w:p>
        </w:tc>
        <w:tc>
          <w:tcPr>
            <w:tcW w:w="1313" w:type="dxa"/>
            <w:tcBorders>
              <w:left w:val="single" w:sz="4" w:space="0" w:color="auto"/>
            </w:tcBorders>
            <w:vAlign w:val="bottom"/>
          </w:tcPr>
          <w:p w:rsidR="00475650" w:rsidRDefault="00475650">
            <w:pPr>
              <w:jc w:val="center"/>
              <w:rPr>
                <w:szCs w:val="21"/>
              </w:rPr>
            </w:pPr>
            <w:r>
              <w:rPr>
                <w:rFonts w:hint="eastAsia"/>
                <w:szCs w:val="21"/>
              </w:rPr>
              <w:t xml:space="preserve">162.00 </w:t>
            </w:r>
          </w:p>
        </w:tc>
      </w:tr>
      <w:tr w:rsidR="00475650">
        <w:trPr>
          <w:trHeight w:hRule="exact" w:val="312"/>
        </w:trPr>
        <w:tc>
          <w:tcPr>
            <w:tcW w:w="1547" w:type="dxa"/>
            <w:tcMar>
              <w:top w:w="28" w:type="dxa"/>
              <w:bottom w:w="28" w:type="dxa"/>
            </w:tcMar>
            <w:vAlign w:val="center"/>
          </w:tcPr>
          <w:p w:rsidR="00475650" w:rsidRDefault="00475650">
            <w:pPr>
              <w:jc w:val="center"/>
              <w:rPr>
                <w:szCs w:val="21"/>
              </w:rPr>
            </w:pPr>
            <w:r>
              <w:rPr>
                <w:szCs w:val="21"/>
              </w:rPr>
              <w:t>900</w:t>
            </w:r>
          </w:p>
        </w:tc>
        <w:tc>
          <w:tcPr>
            <w:tcW w:w="1396" w:type="dxa"/>
            <w:tcMar>
              <w:top w:w="28" w:type="dxa"/>
              <w:bottom w:w="28" w:type="dxa"/>
            </w:tcMar>
            <w:vAlign w:val="center"/>
          </w:tcPr>
          <w:p w:rsidR="00475650" w:rsidRDefault="00475650">
            <w:pPr>
              <w:jc w:val="center"/>
              <w:rPr>
                <w:szCs w:val="21"/>
              </w:rPr>
            </w:pPr>
            <w:r>
              <w:rPr>
                <w:szCs w:val="21"/>
              </w:rPr>
              <w:t>24.040</w:t>
            </w:r>
          </w:p>
        </w:tc>
        <w:tc>
          <w:tcPr>
            <w:tcW w:w="993" w:type="dxa"/>
            <w:vAlign w:val="center"/>
          </w:tcPr>
          <w:p w:rsidR="00475650" w:rsidRDefault="00475650">
            <w:pPr>
              <w:jc w:val="center"/>
              <w:rPr>
                <w:szCs w:val="21"/>
              </w:rPr>
            </w:pPr>
            <w:r>
              <w:rPr>
                <w:szCs w:val="21"/>
              </w:rPr>
              <w:t>48.080</w:t>
            </w:r>
          </w:p>
        </w:tc>
        <w:tc>
          <w:tcPr>
            <w:tcW w:w="1418" w:type="dxa"/>
            <w:vAlign w:val="center"/>
          </w:tcPr>
          <w:p w:rsidR="00475650" w:rsidRDefault="00475650">
            <w:pPr>
              <w:jc w:val="center"/>
              <w:rPr>
                <w:szCs w:val="21"/>
              </w:rPr>
            </w:pPr>
            <w:r>
              <w:rPr>
                <w:szCs w:val="21"/>
              </w:rPr>
              <w:t>0.855</w:t>
            </w:r>
          </w:p>
        </w:tc>
        <w:tc>
          <w:tcPr>
            <w:tcW w:w="1135" w:type="dxa"/>
            <w:tcMar>
              <w:top w:w="28" w:type="dxa"/>
              <w:bottom w:w="28" w:type="dxa"/>
            </w:tcMar>
            <w:vAlign w:val="center"/>
          </w:tcPr>
          <w:p w:rsidR="00475650" w:rsidRDefault="00475650">
            <w:pPr>
              <w:jc w:val="center"/>
              <w:rPr>
                <w:szCs w:val="21"/>
              </w:rPr>
            </w:pPr>
            <w:r>
              <w:rPr>
                <w:szCs w:val="21"/>
              </w:rPr>
              <w:t>0.428</w:t>
            </w:r>
          </w:p>
        </w:tc>
        <w:tc>
          <w:tcPr>
            <w:tcW w:w="1378" w:type="dxa"/>
            <w:tcBorders>
              <w:right w:val="single" w:sz="4" w:space="0" w:color="auto"/>
            </w:tcBorders>
            <w:vAlign w:val="bottom"/>
          </w:tcPr>
          <w:p w:rsidR="00475650" w:rsidRDefault="00475650">
            <w:pPr>
              <w:jc w:val="center"/>
              <w:rPr>
                <w:szCs w:val="21"/>
              </w:rPr>
            </w:pPr>
            <w:r>
              <w:rPr>
                <w:rFonts w:hint="eastAsia"/>
                <w:szCs w:val="21"/>
              </w:rPr>
              <w:t xml:space="preserve">752.80 </w:t>
            </w:r>
          </w:p>
        </w:tc>
        <w:tc>
          <w:tcPr>
            <w:tcW w:w="1313" w:type="dxa"/>
            <w:tcBorders>
              <w:left w:val="single" w:sz="4" w:space="0" w:color="auto"/>
            </w:tcBorders>
            <w:vAlign w:val="bottom"/>
          </w:tcPr>
          <w:p w:rsidR="00475650" w:rsidRDefault="00475650">
            <w:pPr>
              <w:jc w:val="center"/>
              <w:rPr>
                <w:szCs w:val="21"/>
              </w:rPr>
            </w:pPr>
            <w:r>
              <w:rPr>
                <w:rFonts w:hint="eastAsia"/>
                <w:szCs w:val="21"/>
              </w:rPr>
              <w:t xml:space="preserve">167.20 </w:t>
            </w:r>
          </w:p>
        </w:tc>
      </w:tr>
      <w:tr w:rsidR="00475650">
        <w:trPr>
          <w:trHeight w:hRule="exact" w:val="312"/>
        </w:trPr>
        <w:tc>
          <w:tcPr>
            <w:tcW w:w="1547" w:type="dxa"/>
            <w:tcMar>
              <w:top w:w="28" w:type="dxa"/>
              <w:bottom w:w="28" w:type="dxa"/>
            </w:tcMar>
            <w:vAlign w:val="center"/>
          </w:tcPr>
          <w:p w:rsidR="00475650" w:rsidRDefault="00475650">
            <w:pPr>
              <w:jc w:val="center"/>
              <w:rPr>
                <w:szCs w:val="21"/>
              </w:rPr>
            </w:pPr>
            <w:r>
              <w:rPr>
                <w:szCs w:val="21"/>
              </w:rPr>
              <w:t>1000</w:t>
            </w:r>
          </w:p>
        </w:tc>
        <w:tc>
          <w:tcPr>
            <w:tcW w:w="1396" w:type="dxa"/>
            <w:tcMar>
              <w:top w:w="28" w:type="dxa"/>
              <w:bottom w:w="28" w:type="dxa"/>
            </w:tcMar>
            <w:vAlign w:val="center"/>
          </w:tcPr>
          <w:p w:rsidR="00475650" w:rsidRDefault="00475650">
            <w:pPr>
              <w:jc w:val="center"/>
              <w:rPr>
                <w:szCs w:val="21"/>
              </w:rPr>
            </w:pPr>
            <w:r>
              <w:rPr>
                <w:szCs w:val="21"/>
              </w:rPr>
              <w:t>24.030</w:t>
            </w:r>
          </w:p>
        </w:tc>
        <w:tc>
          <w:tcPr>
            <w:tcW w:w="993" w:type="dxa"/>
            <w:vAlign w:val="center"/>
          </w:tcPr>
          <w:p w:rsidR="00475650" w:rsidRDefault="00475650">
            <w:pPr>
              <w:jc w:val="center"/>
              <w:rPr>
                <w:szCs w:val="21"/>
              </w:rPr>
            </w:pPr>
            <w:r>
              <w:rPr>
                <w:szCs w:val="21"/>
              </w:rPr>
              <w:t>48.060</w:t>
            </w:r>
          </w:p>
        </w:tc>
        <w:tc>
          <w:tcPr>
            <w:tcW w:w="1418" w:type="dxa"/>
            <w:vAlign w:val="center"/>
          </w:tcPr>
          <w:p w:rsidR="00475650" w:rsidRDefault="00475650">
            <w:pPr>
              <w:jc w:val="center"/>
              <w:rPr>
                <w:szCs w:val="21"/>
              </w:rPr>
            </w:pPr>
            <w:r>
              <w:rPr>
                <w:szCs w:val="21"/>
              </w:rPr>
              <w:t>0.855</w:t>
            </w:r>
          </w:p>
        </w:tc>
        <w:tc>
          <w:tcPr>
            <w:tcW w:w="1135" w:type="dxa"/>
            <w:tcMar>
              <w:top w:w="28" w:type="dxa"/>
              <w:bottom w:w="28" w:type="dxa"/>
            </w:tcMar>
            <w:vAlign w:val="center"/>
          </w:tcPr>
          <w:p w:rsidR="00475650" w:rsidRDefault="00475650">
            <w:pPr>
              <w:jc w:val="center"/>
              <w:rPr>
                <w:szCs w:val="21"/>
              </w:rPr>
            </w:pPr>
            <w:r>
              <w:rPr>
                <w:szCs w:val="21"/>
              </w:rPr>
              <w:t>0.428</w:t>
            </w:r>
          </w:p>
        </w:tc>
        <w:tc>
          <w:tcPr>
            <w:tcW w:w="1378" w:type="dxa"/>
            <w:tcBorders>
              <w:right w:val="single" w:sz="4" w:space="0" w:color="auto"/>
            </w:tcBorders>
            <w:vAlign w:val="bottom"/>
          </w:tcPr>
          <w:p w:rsidR="00475650" w:rsidRDefault="00475650">
            <w:pPr>
              <w:jc w:val="center"/>
              <w:rPr>
                <w:szCs w:val="21"/>
              </w:rPr>
            </w:pPr>
            <w:r>
              <w:rPr>
                <w:rFonts w:hint="eastAsia"/>
                <w:szCs w:val="21"/>
              </w:rPr>
              <w:t xml:space="preserve">752.60 </w:t>
            </w:r>
          </w:p>
        </w:tc>
        <w:tc>
          <w:tcPr>
            <w:tcW w:w="1313" w:type="dxa"/>
            <w:tcBorders>
              <w:left w:val="single" w:sz="4" w:space="0" w:color="auto"/>
            </w:tcBorders>
            <w:vAlign w:val="bottom"/>
          </w:tcPr>
          <w:p w:rsidR="00475650" w:rsidRDefault="00475650">
            <w:pPr>
              <w:jc w:val="center"/>
              <w:rPr>
                <w:szCs w:val="21"/>
              </w:rPr>
            </w:pPr>
            <w:r>
              <w:rPr>
                <w:rFonts w:hint="eastAsia"/>
                <w:szCs w:val="21"/>
              </w:rPr>
              <w:t xml:space="preserve">167.20 </w:t>
            </w:r>
          </w:p>
        </w:tc>
      </w:tr>
      <w:tr w:rsidR="00475650">
        <w:trPr>
          <w:trHeight w:hRule="exact" w:val="312"/>
        </w:trPr>
        <w:tc>
          <w:tcPr>
            <w:tcW w:w="1547" w:type="dxa"/>
            <w:tcMar>
              <w:top w:w="28" w:type="dxa"/>
              <w:bottom w:w="28" w:type="dxa"/>
            </w:tcMar>
            <w:vAlign w:val="center"/>
          </w:tcPr>
          <w:p w:rsidR="00475650" w:rsidRDefault="00475650">
            <w:pPr>
              <w:jc w:val="center"/>
              <w:rPr>
                <w:szCs w:val="21"/>
              </w:rPr>
            </w:pPr>
            <w:r>
              <w:rPr>
                <w:szCs w:val="21"/>
              </w:rPr>
              <w:t>1100</w:t>
            </w:r>
          </w:p>
        </w:tc>
        <w:tc>
          <w:tcPr>
            <w:tcW w:w="1396" w:type="dxa"/>
            <w:tcMar>
              <w:top w:w="28" w:type="dxa"/>
              <w:bottom w:w="28" w:type="dxa"/>
            </w:tcMar>
            <w:vAlign w:val="center"/>
          </w:tcPr>
          <w:p w:rsidR="00475650" w:rsidRDefault="00475650">
            <w:pPr>
              <w:jc w:val="center"/>
              <w:rPr>
                <w:szCs w:val="21"/>
              </w:rPr>
            </w:pPr>
            <w:r>
              <w:rPr>
                <w:szCs w:val="21"/>
              </w:rPr>
              <w:t>23.320</w:t>
            </w:r>
          </w:p>
        </w:tc>
        <w:tc>
          <w:tcPr>
            <w:tcW w:w="993" w:type="dxa"/>
            <w:vAlign w:val="center"/>
          </w:tcPr>
          <w:p w:rsidR="00475650" w:rsidRDefault="00475650">
            <w:pPr>
              <w:jc w:val="center"/>
              <w:rPr>
                <w:szCs w:val="21"/>
              </w:rPr>
            </w:pPr>
            <w:r>
              <w:rPr>
                <w:szCs w:val="21"/>
              </w:rPr>
              <w:t>46.640</w:t>
            </w:r>
          </w:p>
        </w:tc>
        <w:tc>
          <w:tcPr>
            <w:tcW w:w="1418" w:type="dxa"/>
            <w:vAlign w:val="center"/>
          </w:tcPr>
          <w:p w:rsidR="00475650" w:rsidRDefault="00475650">
            <w:pPr>
              <w:jc w:val="center"/>
              <w:rPr>
                <w:szCs w:val="21"/>
              </w:rPr>
            </w:pPr>
            <w:r>
              <w:rPr>
                <w:szCs w:val="21"/>
              </w:rPr>
              <w:t>0.830</w:t>
            </w:r>
          </w:p>
        </w:tc>
        <w:tc>
          <w:tcPr>
            <w:tcW w:w="1135" w:type="dxa"/>
            <w:tcMar>
              <w:top w:w="28" w:type="dxa"/>
              <w:bottom w:w="28" w:type="dxa"/>
            </w:tcMar>
            <w:vAlign w:val="center"/>
          </w:tcPr>
          <w:p w:rsidR="00475650" w:rsidRDefault="00475650">
            <w:pPr>
              <w:jc w:val="center"/>
              <w:rPr>
                <w:szCs w:val="21"/>
              </w:rPr>
            </w:pPr>
            <w:r>
              <w:rPr>
                <w:szCs w:val="21"/>
              </w:rPr>
              <w:t>0.415</w:t>
            </w:r>
          </w:p>
        </w:tc>
        <w:tc>
          <w:tcPr>
            <w:tcW w:w="1378" w:type="dxa"/>
            <w:tcBorders>
              <w:right w:val="single" w:sz="4" w:space="0" w:color="auto"/>
            </w:tcBorders>
            <w:vAlign w:val="bottom"/>
          </w:tcPr>
          <w:p w:rsidR="00475650" w:rsidRDefault="00475650">
            <w:pPr>
              <w:jc w:val="center"/>
              <w:rPr>
                <w:szCs w:val="21"/>
              </w:rPr>
            </w:pPr>
            <w:r>
              <w:rPr>
                <w:rFonts w:hint="eastAsia"/>
                <w:szCs w:val="21"/>
              </w:rPr>
              <w:t xml:space="preserve">730.40 </w:t>
            </w:r>
          </w:p>
        </w:tc>
        <w:tc>
          <w:tcPr>
            <w:tcW w:w="1313" w:type="dxa"/>
            <w:tcBorders>
              <w:left w:val="single" w:sz="4" w:space="0" w:color="auto"/>
            </w:tcBorders>
            <w:vAlign w:val="bottom"/>
          </w:tcPr>
          <w:p w:rsidR="00475650" w:rsidRDefault="00475650">
            <w:pPr>
              <w:jc w:val="center"/>
              <w:rPr>
                <w:szCs w:val="21"/>
              </w:rPr>
            </w:pPr>
            <w:r>
              <w:rPr>
                <w:rFonts w:hint="eastAsia"/>
                <w:szCs w:val="21"/>
              </w:rPr>
              <w:t xml:space="preserve">162.40 </w:t>
            </w:r>
          </w:p>
        </w:tc>
      </w:tr>
      <w:tr w:rsidR="00475650">
        <w:trPr>
          <w:trHeight w:hRule="exact" w:val="376"/>
        </w:trPr>
        <w:tc>
          <w:tcPr>
            <w:tcW w:w="1547" w:type="dxa"/>
            <w:tcMar>
              <w:top w:w="28" w:type="dxa"/>
              <w:bottom w:w="28" w:type="dxa"/>
            </w:tcMar>
            <w:vAlign w:val="center"/>
          </w:tcPr>
          <w:p w:rsidR="00475650" w:rsidRDefault="00475650">
            <w:pPr>
              <w:jc w:val="center"/>
              <w:rPr>
                <w:szCs w:val="21"/>
              </w:rPr>
            </w:pPr>
            <w:r>
              <w:rPr>
                <w:szCs w:val="21"/>
              </w:rPr>
              <w:t>1200</w:t>
            </w:r>
          </w:p>
        </w:tc>
        <w:tc>
          <w:tcPr>
            <w:tcW w:w="1396" w:type="dxa"/>
            <w:tcMar>
              <w:top w:w="28" w:type="dxa"/>
              <w:bottom w:w="28" w:type="dxa"/>
            </w:tcMar>
            <w:vAlign w:val="center"/>
          </w:tcPr>
          <w:p w:rsidR="00475650" w:rsidRDefault="00475650">
            <w:pPr>
              <w:jc w:val="center"/>
              <w:rPr>
                <w:szCs w:val="21"/>
              </w:rPr>
            </w:pPr>
            <w:r>
              <w:rPr>
                <w:szCs w:val="21"/>
              </w:rPr>
              <w:t>22.500</w:t>
            </w:r>
          </w:p>
        </w:tc>
        <w:tc>
          <w:tcPr>
            <w:tcW w:w="993" w:type="dxa"/>
            <w:vAlign w:val="center"/>
          </w:tcPr>
          <w:p w:rsidR="00475650" w:rsidRDefault="00475650">
            <w:pPr>
              <w:jc w:val="center"/>
              <w:rPr>
                <w:szCs w:val="21"/>
              </w:rPr>
            </w:pPr>
            <w:r>
              <w:rPr>
                <w:szCs w:val="21"/>
              </w:rPr>
              <w:t>45.000</w:t>
            </w:r>
          </w:p>
        </w:tc>
        <w:tc>
          <w:tcPr>
            <w:tcW w:w="1418" w:type="dxa"/>
            <w:vAlign w:val="center"/>
          </w:tcPr>
          <w:p w:rsidR="00475650" w:rsidRDefault="00475650">
            <w:pPr>
              <w:jc w:val="center"/>
              <w:rPr>
                <w:szCs w:val="21"/>
              </w:rPr>
            </w:pPr>
            <w:r>
              <w:rPr>
                <w:szCs w:val="21"/>
              </w:rPr>
              <w:t>0.801</w:t>
            </w:r>
          </w:p>
        </w:tc>
        <w:tc>
          <w:tcPr>
            <w:tcW w:w="1135" w:type="dxa"/>
            <w:tcMar>
              <w:top w:w="28" w:type="dxa"/>
              <w:bottom w:w="28" w:type="dxa"/>
            </w:tcMar>
            <w:vAlign w:val="center"/>
          </w:tcPr>
          <w:p w:rsidR="00475650" w:rsidRDefault="00475650">
            <w:pPr>
              <w:jc w:val="center"/>
              <w:rPr>
                <w:szCs w:val="21"/>
              </w:rPr>
            </w:pPr>
            <w:r>
              <w:rPr>
                <w:szCs w:val="21"/>
              </w:rPr>
              <w:t>0.400</w:t>
            </w:r>
          </w:p>
        </w:tc>
        <w:tc>
          <w:tcPr>
            <w:tcW w:w="1378" w:type="dxa"/>
            <w:tcBorders>
              <w:right w:val="single" w:sz="4" w:space="0" w:color="auto"/>
            </w:tcBorders>
            <w:vAlign w:val="bottom"/>
          </w:tcPr>
          <w:p w:rsidR="00475650" w:rsidRDefault="00475650">
            <w:pPr>
              <w:jc w:val="center"/>
              <w:rPr>
                <w:szCs w:val="21"/>
              </w:rPr>
            </w:pPr>
            <w:r>
              <w:rPr>
                <w:rFonts w:hint="eastAsia"/>
                <w:szCs w:val="21"/>
              </w:rPr>
              <w:t xml:space="preserve">704.60 </w:t>
            </w:r>
          </w:p>
        </w:tc>
        <w:tc>
          <w:tcPr>
            <w:tcW w:w="1313" w:type="dxa"/>
            <w:tcBorders>
              <w:left w:val="single" w:sz="4" w:space="0" w:color="auto"/>
            </w:tcBorders>
            <w:vAlign w:val="bottom"/>
          </w:tcPr>
          <w:p w:rsidR="00475650" w:rsidRDefault="00475650">
            <w:pPr>
              <w:jc w:val="center"/>
              <w:rPr>
                <w:szCs w:val="21"/>
              </w:rPr>
            </w:pPr>
            <w:r>
              <w:rPr>
                <w:rFonts w:hint="eastAsia"/>
                <w:szCs w:val="21"/>
              </w:rPr>
              <w:t xml:space="preserve">156.60 </w:t>
            </w:r>
          </w:p>
        </w:tc>
      </w:tr>
      <w:tr w:rsidR="00475650">
        <w:trPr>
          <w:trHeight w:hRule="exact" w:val="312"/>
        </w:trPr>
        <w:tc>
          <w:tcPr>
            <w:tcW w:w="1547" w:type="dxa"/>
            <w:tcMar>
              <w:top w:w="28" w:type="dxa"/>
              <w:bottom w:w="28" w:type="dxa"/>
            </w:tcMar>
            <w:vAlign w:val="center"/>
          </w:tcPr>
          <w:p w:rsidR="00475650" w:rsidRDefault="00475650">
            <w:pPr>
              <w:jc w:val="center"/>
              <w:rPr>
                <w:szCs w:val="21"/>
              </w:rPr>
            </w:pPr>
            <w:r>
              <w:rPr>
                <w:szCs w:val="21"/>
              </w:rPr>
              <w:t>1300</w:t>
            </w:r>
          </w:p>
        </w:tc>
        <w:tc>
          <w:tcPr>
            <w:tcW w:w="1396" w:type="dxa"/>
            <w:tcMar>
              <w:top w:w="28" w:type="dxa"/>
              <w:bottom w:w="28" w:type="dxa"/>
            </w:tcMar>
            <w:vAlign w:val="center"/>
          </w:tcPr>
          <w:p w:rsidR="00475650" w:rsidRDefault="00475650">
            <w:pPr>
              <w:jc w:val="center"/>
              <w:rPr>
                <w:szCs w:val="21"/>
              </w:rPr>
            </w:pPr>
            <w:r>
              <w:rPr>
                <w:szCs w:val="21"/>
              </w:rPr>
              <w:t>23.060</w:t>
            </w:r>
          </w:p>
        </w:tc>
        <w:tc>
          <w:tcPr>
            <w:tcW w:w="993" w:type="dxa"/>
            <w:vAlign w:val="center"/>
          </w:tcPr>
          <w:p w:rsidR="00475650" w:rsidRDefault="00475650">
            <w:pPr>
              <w:jc w:val="center"/>
              <w:rPr>
                <w:szCs w:val="21"/>
              </w:rPr>
            </w:pPr>
            <w:r>
              <w:rPr>
                <w:szCs w:val="21"/>
              </w:rPr>
              <w:t>46.120</w:t>
            </w:r>
          </w:p>
        </w:tc>
        <w:tc>
          <w:tcPr>
            <w:tcW w:w="1418" w:type="dxa"/>
            <w:vAlign w:val="center"/>
          </w:tcPr>
          <w:p w:rsidR="00475650" w:rsidRDefault="00475650">
            <w:pPr>
              <w:jc w:val="center"/>
              <w:rPr>
                <w:szCs w:val="21"/>
              </w:rPr>
            </w:pPr>
            <w:r>
              <w:rPr>
                <w:szCs w:val="21"/>
              </w:rPr>
              <w:t>0.821</w:t>
            </w:r>
          </w:p>
        </w:tc>
        <w:tc>
          <w:tcPr>
            <w:tcW w:w="1135" w:type="dxa"/>
            <w:tcMar>
              <w:top w:w="28" w:type="dxa"/>
              <w:bottom w:w="28" w:type="dxa"/>
            </w:tcMar>
            <w:vAlign w:val="center"/>
          </w:tcPr>
          <w:p w:rsidR="00475650" w:rsidRDefault="00475650">
            <w:pPr>
              <w:jc w:val="center"/>
              <w:rPr>
                <w:szCs w:val="21"/>
              </w:rPr>
            </w:pPr>
            <w:r>
              <w:rPr>
                <w:szCs w:val="21"/>
              </w:rPr>
              <w:t>0.410</w:t>
            </w:r>
          </w:p>
        </w:tc>
        <w:tc>
          <w:tcPr>
            <w:tcW w:w="1378" w:type="dxa"/>
            <w:tcBorders>
              <w:right w:val="single" w:sz="4" w:space="0" w:color="auto"/>
            </w:tcBorders>
            <w:vAlign w:val="bottom"/>
          </w:tcPr>
          <w:p w:rsidR="00475650" w:rsidRDefault="00475650">
            <w:pPr>
              <w:jc w:val="center"/>
              <w:rPr>
                <w:szCs w:val="21"/>
              </w:rPr>
            </w:pPr>
            <w:r>
              <w:rPr>
                <w:rFonts w:hint="eastAsia"/>
                <w:szCs w:val="21"/>
              </w:rPr>
              <w:t xml:space="preserve">722.20 </w:t>
            </w:r>
          </w:p>
        </w:tc>
        <w:tc>
          <w:tcPr>
            <w:tcW w:w="1313" w:type="dxa"/>
            <w:tcBorders>
              <w:left w:val="single" w:sz="4" w:space="0" w:color="auto"/>
            </w:tcBorders>
            <w:vAlign w:val="bottom"/>
          </w:tcPr>
          <w:p w:rsidR="00475650" w:rsidRDefault="00475650">
            <w:pPr>
              <w:jc w:val="center"/>
              <w:rPr>
                <w:szCs w:val="21"/>
              </w:rPr>
            </w:pPr>
            <w:r>
              <w:rPr>
                <w:rFonts w:hint="eastAsia"/>
                <w:szCs w:val="21"/>
              </w:rPr>
              <w:t xml:space="preserve">160.40 </w:t>
            </w:r>
          </w:p>
        </w:tc>
      </w:tr>
      <w:tr w:rsidR="00475650">
        <w:trPr>
          <w:trHeight w:hRule="exact" w:val="312"/>
        </w:trPr>
        <w:tc>
          <w:tcPr>
            <w:tcW w:w="1547" w:type="dxa"/>
            <w:tcMar>
              <w:top w:w="28" w:type="dxa"/>
              <w:bottom w:w="28" w:type="dxa"/>
            </w:tcMar>
            <w:vAlign w:val="center"/>
          </w:tcPr>
          <w:p w:rsidR="00475650" w:rsidRDefault="00475650">
            <w:pPr>
              <w:jc w:val="center"/>
              <w:rPr>
                <w:szCs w:val="21"/>
              </w:rPr>
            </w:pPr>
            <w:r>
              <w:rPr>
                <w:szCs w:val="21"/>
              </w:rPr>
              <w:t>1400</w:t>
            </w:r>
          </w:p>
        </w:tc>
        <w:tc>
          <w:tcPr>
            <w:tcW w:w="1396" w:type="dxa"/>
            <w:tcMar>
              <w:top w:w="28" w:type="dxa"/>
              <w:bottom w:w="28" w:type="dxa"/>
            </w:tcMar>
            <w:vAlign w:val="center"/>
          </w:tcPr>
          <w:p w:rsidR="00475650" w:rsidRDefault="00475650">
            <w:pPr>
              <w:jc w:val="center"/>
              <w:rPr>
                <w:szCs w:val="21"/>
              </w:rPr>
            </w:pPr>
            <w:r>
              <w:rPr>
                <w:szCs w:val="21"/>
              </w:rPr>
              <w:t>23.320</w:t>
            </w:r>
          </w:p>
        </w:tc>
        <w:tc>
          <w:tcPr>
            <w:tcW w:w="993" w:type="dxa"/>
            <w:vAlign w:val="center"/>
          </w:tcPr>
          <w:p w:rsidR="00475650" w:rsidRDefault="00475650">
            <w:pPr>
              <w:jc w:val="center"/>
              <w:rPr>
                <w:szCs w:val="21"/>
              </w:rPr>
            </w:pPr>
            <w:r>
              <w:rPr>
                <w:szCs w:val="21"/>
              </w:rPr>
              <w:t>46.640</w:t>
            </w:r>
          </w:p>
        </w:tc>
        <w:tc>
          <w:tcPr>
            <w:tcW w:w="1418" w:type="dxa"/>
            <w:vAlign w:val="center"/>
          </w:tcPr>
          <w:p w:rsidR="00475650" w:rsidRDefault="00475650">
            <w:pPr>
              <w:jc w:val="center"/>
              <w:rPr>
                <w:szCs w:val="21"/>
              </w:rPr>
            </w:pPr>
            <w:r>
              <w:rPr>
                <w:szCs w:val="21"/>
              </w:rPr>
              <w:t>0.830</w:t>
            </w:r>
          </w:p>
        </w:tc>
        <w:tc>
          <w:tcPr>
            <w:tcW w:w="1135" w:type="dxa"/>
            <w:tcMar>
              <w:top w:w="28" w:type="dxa"/>
              <w:bottom w:w="28" w:type="dxa"/>
            </w:tcMar>
            <w:vAlign w:val="center"/>
          </w:tcPr>
          <w:p w:rsidR="00475650" w:rsidRDefault="00475650">
            <w:pPr>
              <w:jc w:val="center"/>
              <w:rPr>
                <w:szCs w:val="21"/>
              </w:rPr>
            </w:pPr>
            <w:r>
              <w:rPr>
                <w:szCs w:val="21"/>
              </w:rPr>
              <w:t>0.415</w:t>
            </w:r>
          </w:p>
        </w:tc>
        <w:tc>
          <w:tcPr>
            <w:tcW w:w="1378" w:type="dxa"/>
            <w:tcBorders>
              <w:right w:val="single" w:sz="4" w:space="0" w:color="auto"/>
            </w:tcBorders>
            <w:vAlign w:val="bottom"/>
          </w:tcPr>
          <w:p w:rsidR="00475650" w:rsidRDefault="00475650">
            <w:pPr>
              <w:jc w:val="center"/>
              <w:rPr>
                <w:szCs w:val="21"/>
              </w:rPr>
            </w:pPr>
            <w:r>
              <w:rPr>
                <w:rFonts w:hint="eastAsia"/>
                <w:szCs w:val="21"/>
              </w:rPr>
              <w:t xml:space="preserve">730.40 </w:t>
            </w:r>
          </w:p>
        </w:tc>
        <w:tc>
          <w:tcPr>
            <w:tcW w:w="1313" w:type="dxa"/>
            <w:tcBorders>
              <w:left w:val="single" w:sz="4" w:space="0" w:color="auto"/>
            </w:tcBorders>
            <w:vAlign w:val="bottom"/>
          </w:tcPr>
          <w:p w:rsidR="00475650" w:rsidRDefault="00475650">
            <w:pPr>
              <w:jc w:val="center"/>
              <w:rPr>
                <w:szCs w:val="21"/>
              </w:rPr>
            </w:pPr>
            <w:r>
              <w:rPr>
                <w:rFonts w:hint="eastAsia"/>
                <w:szCs w:val="21"/>
              </w:rPr>
              <w:t xml:space="preserve">162.40 </w:t>
            </w:r>
          </w:p>
        </w:tc>
      </w:tr>
      <w:tr w:rsidR="00475650">
        <w:trPr>
          <w:trHeight w:hRule="exact" w:val="312"/>
        </w:trPr>
        <w:tc>
          <w:tcPr>
            <w:tcW w:w="1547" w:type="dxa"/>
            <w:tcMar>
              <w:top w:w="28" w:type="dxa"/>
              <w:bottom w:w="28" w:type="dxa"/>
            </w:tcMar>
            <w:vAlign w:val="center"/>
          </w:tcPr>
          <w:p w:rsidR="00475650" w:rsidRDefault="00475650">
            <w:pPr>
              <w:jc w:val="center"/>
              <w:rPr>
                <w:szCs w:val="21"/>
              </w:rPr>
            </w:pPr>
            <w:r>
              <w:rPr>
                <w:szCs w:val="21"/>
              </w:rPr>
              <w:lastRenderedPageBreak/>
              <w:t>1500</w:t>
            </w:r>
          </w:p>
        </w:tc>
        <w:tc>
          <w:tcPr>
            <w:tcW w:w="1396" w:type="dxa"/>
            <w:tcMar>
              <w:top w:w="28" w:type="dxa"/>
              <w:bottom w:w="28" w:type="dxa"/>
            </w:tcMar>
            <w:vAlign w:val="center"/>
          </w:tcPr>
          <w:p w:rsidR="00475650" w:rsidRDefault="00475650">
            <w:pPr>
              <w:jc w:val="center"/>
              <w:rPr>
                <w:szCs w:val="21"/>
              </w:rPr>
            </w:pPr>
            <w:r>
              <w:rPr>
                <w:szCs w:val="21"/>
              </w:rPr>
              <w:t>23.360</w:t>
            </w:r>
          </w:p>
        </w:tc>
        <w:tc>
          <w:tcPr>
            <w:tcW w:w="993" w:type="dxa"/>
            <w:vAlign w:val="center"/>
          </w:tcPr>
          <w:p w:rsidR="00475650" w:rsidRDefault="00475650">
            <w:pPr>
              <w:jc w:val="center"/>
              <w:rPr>
                <w:szCs w:val="21"/>
              </w:rPr>
            </w:pPr>
            <w:r>
              <w:rPr>
                <w:szCs w:val="21"/>
              </w:rPr>
              <w:t>46.720</w:t>
            </w:r>
          </w:p>
        </w:tc>
        <w:tc>
          <w:tcPr>
            <w:tcW w:w="1418" w:type="dxa"/>
            <w:vAlign w:val="center"/>
          </w:tcPr>
          <w:p w:rsidR="00475650" w:rsidRDefault="00475650">
            <w:pPr>
              <w:jc w:val="center"/>
              <w:rPr>
                <w:szCs w:val="21"/>
              </w:rPr>
            </w:pPr>
            <w:r>
              <w:rPr>
                <w:szCs w:val="21"/>
              </w:rPr>
              <w:t>0.831</w:t>
            </w:r>
          </w:p>
        </w:tc>
        <w:tc>
          <w:tcPr>
            <w:tcW w:w="1135" w:type="dxa"/>
            <w:tcMar>
              <w:top w:w="28" w:type="dxa"/>
              <w:bottom w:w="28" w:type="dxa"/>
            </w:tcMar>
            <w:vAlign w:val="center"/>
          </w:tcPr>
          <w:p w:rsidR="00475650" w:rsidRDefault="00475650">
            <w:pPr>
              <w:jc w:val="center"/>
              <w:rPr>
                <w:szCs w:val="21"/>
              </w:rPr>
            </w:pPr>
            <w:r>
              <w:rPr>
                <w:szCs w:val="21"/>
              </w:rPr>
              <w:t>0.416</w:t>
            </w:r>
          </w:p>
        </w:tc>
        <w:tc>
          <w:tcPr>
            <w:tcW w:w="1378" w:type="dxa"/>
            <w:tcBorders>
              <w:right w:val="single" w:sz="4" w:space="0" w:color="auto"/>
            </w:tcBorders>
            <w:vAlign w:val="bottom"/>
          </w:tcPr>
          <w:p w:rsidR="00475650" w:rsidRDefault="00475650">
            <w:pPr>
              <w:jc w:val="center"/>
              <w:rPr>
                <w:szCs w:val="21"/>
              </w:rPr>
            </w:pPr>
            <w:r>
              <w:rPr>
                <w:rFonts w:hint="eastAsia"/>
                <w:szCs w:val="21"/>
              </w:rPr>
              <w:t xml:space="preserve">731.60 </w:t>
            </w:r>
          </w:p>
        </w:tc>
        <w:tc>
          <w:tcPr>
            <w:tcW w:w="1313" w:type="dxa"/>
            <w:tcBorders>
              <w:left w:val="single" w:sz="4" w:space="0" w:color="auto"/>
            </w:tcBorders>
            <w:vAlign w:val="bottom"/>
          </w:tcPr>
          <w:p w:rsidR="00475650" w:rsidRDefault="00475650">
            <w:pPr>
              <w:jc w:val="center"/>
              <w:rPr>
                <w:szCs w:val="21"/>
              </w:rPr>
            </w:pPr>
            <w:r>
              <w:rPr>
                <w:rFonts w:hint="eastAsia"/>
                <w:szCs w:val="21"/>
              </w:rPr>
              <w:t xml:space="preserve">162.60 </w:t>
            </w:r>
          </w:p>
        </w:tc>
      </w:tr>
      <w:tr w:rsidR="00475650">
        <w:trPr>
          <w:trHeight w:hRule="exact" w:val="312"/>
        </w:trPr>
        <w:tc>
          <w:tcPr>
            <w:tcW w:w="1547" w:type="dxa"/>
            <w:tcMar>
              <w:top w:w="28" w:type="dxa"/>
              <w:bottom w:w="28" w:type="dxa"/>
            </w:tcMar>
            <w:vAlign w:val="center"/>
          </w:tcPr>
          <w:p w:rsidR="00475650" w:rsidRDefault="00475650">
            <w:pPr>
              <w:jc w:val="center"/>
              <w:rPr>
                <w:szCs w:val="21"/>
              </w:rPr>
            </w:pPr>
            <w:r>
              <w:rPr>
                <w:szCs w:val="21"/>
              </w:rPr>
              <w:t>2000</w:t>
            </w:r>
          </w:p>
        </w:tc>
        <w:tc>
          <w:tcPr>
            <w:tcW w:w="1396" w:type="dxa"/>
            <w:tcMar>
              <w:top w:w="28" w:type="dxa"/>
              <w:bottom w:w="28" w:type="dxa"/>
            </w:tcMar>
            <w:vAlign w:val="center"/>
          </w:tcPr>
          <w:p w:rsidR="00475650" w:rsidRDefault="00475650">
            <w:pPr>
              <w:jc w:val="center"/>
              <w:rPr>
                <w:szCs w:val="21"/>
              </w:rPr>
            </w:pPr>
            <w:r>
              <w:rPr>
                <w:szCs w:val="21"/>
              </w:rPr>
              <w:t>21.650</w:t>
            </w:r>
          </w:p>
        </w:tc>
        <w:tc>
          <w:tcPr>
            <w:tcW w:w="993" w:type="dxa"/>
            <w:vAlign w:val="center"/>
          </w:tcPr>
          <w:p w:rsidR="00475650" w:rsidRDefault="00475650">
            <w:pPr>
              <w:jc w:val="center"/>
              <w:rPr>
                <w:szCs w:val="21"/>
              </w:rPr>
            </w:pPr>
            <w:r>
              <w:rPr>
                <w:szCs w:val="21"/>
              </w:rPr>
              <w:t>43.300</w:t>
            </w:r>
          </w:p>
        </w:tc>
        <w:tc>
          <w:tcPr>
            <w:tcW w:w="1418" w:type="dxa"/>
            <w:vAlign w:val="center"/>
          </w:tcPr>
          <w:p w:rsidR="00475650" w:rsidRDefault="00475650">
            <w:pPr>
              <w:jc w:val="center"/>
              <w:rPr>
                <w:szCs w:val="21"/>
              </w:rPr>
            </w:pPr>
            <w:r>
              <w:rPr>
                <w:szCs w:val="21"/>
              </w:rPr>
              <w:t>0.771</w:t>
            </w:r>
          </w:p>
        </w:tc>
        <w:tc>
          <w:tcPr>
            <w:tcW w:w="1135" w:type="dxa"/>
            <w:tcMar>
              <w:top w:w="28" w:type="dxa"/>
              <w:bottom w:w="28" w:type="dxa"/>
            </w:tcMar>
            <w:vAlign w:val="center"/>
          </w:tcPr>
          <w:p w:rsidR="00475650" w:rsidRDefault="00475650">
            <w:pPr>
              <w:jc w:val="center"/>
              <w:rPr>
                <w:szCs w:val="21"/>
              </w:rPr>
            </w:pPr>
            <w:r>
              <w:rPr>
                <w:szCs w:val="21"/>
              </w:rPr>
              <w:t>0.385</w:t>
            </w:r>
          </w:p>
        </w:tc>
        <w:tc>
          <w:tcPr>
            <w:tcW w:w="1378" w:type="dxa"/>
            <w:tcBorders>
              <w:right w:val="single" w:sz="4" w:space="0" w:color="auto"/>
            </w:tcBorders>
            <w:vAlign w:val="bottom"/>
          </w:tcPr>
          <w:p w:rsidR="00475650" w:rsidRDefault="00475650">
            <w:pPr>
              <w:jc w:val="center"/>
              <w:rPr>
                <w:szCs w:val="21"/>
              </w:rPr>
            </w:pPr>
            <w:r>
              <w:rPr>
                <w:rFonts w:hint="eastAsia"/>
                <w:szCs w:val="21"/>
              </w:rPr>
              <w:t xml:space="preserve">678.00 </w:t>
            </w:r>
          </w:p>
        </w:tc>
        <w:tc>
          <w:tcPr>
            <w:tcW w:w="1313" w:type="dxa"/>
            <w:tcBorders>
              <w:left w:val="single" w:sz="4" w:space="0" w:color="auto"/>
            </w:tcBorders>
            <w:vAlign w:val="bottom"/>
          </w:tcPr>
          <w:p w:rsidR="00475650" w:rsidRDefault="00475650">
            <w:pPr>
              <w:jc w:val="center"/>
              <w:rPr>
                <w:szCs w:val="21"/>
              </w:rPr>
            </w:pPr>
            <w:r>
              <w:rPr>
                <w:rFonts w:hint="eastAsia"/>
                <w:szCs w:val="21"/>
              </w:rPr>
              <w:t xml:space="preserve">150.60 </w:t>
            </w:r>
          </w:p>
        </w:tc>
      </w:tr>
      <w:tr w:rsidR="00475650">
        <w:trPr>
          <w:trHeight w:hRule="exact" w:val="312"/>
        </w:trPr>
        <w:tc>
          <w:tcPr>
            <w:tcW w:w="1547" w:type="dxa"/>
            <w:tcMar>
              <w:top w:w="28" w:type="dxa"/>
              <w:bottom w:w="28" w:type="dxa"/>
            </w:tcMar>
            <w:vAlign w:val="center"/>
          </w:tcPr>
          <w:p w:rsidR="00475650" w:rsidRDefault="00475650">
            <w:pPr>
              <w:jc w:val="center"/>
              <w:rPr>
                <w:szCs w:val="21"/>
              </w:rPr>
            </w:pPr>
            <w:r>
              <w:rPr>
                <w:szCs w:val="21"/>
              </w:rPr>
              <w:t>2500</w:t>
            </w:r>
          </w:p>
        </w:tc>
        <w:tc>
          <w:tcPr>
            <w:tcW w:w="1396" w:type="dxa"/>
            <w:tcMar>
              <w:top w:w="28" w:type="dxa"/>
              <w:bottom w:w="28" w:type="dxa"/>
            </w:tcMar>
            <w:vAlign w:val="center"/>
          </w:tcPr>
          <w:p w:rsidR="00475650" w:rsidRDefault="00475650">
            <w:pPr>
              <w:jc w:val="center"/>
              <w:rPr>
                <w:szCs w:val="21"/>
              </w:rPr>
            </w:pPr>
            <w:r>
              <w:rPr>
                <w:szCs w:val="21"/>
              </w:rPr>
              <w:t>18.840</w:t>
            </w:r>
          </w:p>
        </w:tc>
        <w:tc>
          <w:tcPr>
            <w:tcW w:w="993" w:type="dxa"/>
            <w:vAlign w:val="center"/>
          </w:tcPr>
          <w:p w:rsidR="00475650" w:rsidRDefault="00475650">
            <w:pPr>
              <w:jc w:val="center"/>
              <w:rPr>
                <w:szCs w:val="21"/>
              </w:rPr>
            </w:pPr>
            <w:r>
              <w:rPr>
                <w:szCs w:val="21"/>
              </w:rPr>
              <w:t>37.680</w:t>
            </w:r>
          </w:p>
        </w:tc>
        <w:tc>
          <w:tcPr>
            <w:tcW w:w="1418" w:type="dxa"/>
            <w:vAlign w:val="center"/>
          </w:tcPr>
          <w:p w:rsidR="00475650" w:rsidRDefault="00475650">
            <w:pPr>
              <w:jc w:val="center"/>
              <w:rPr>
                <w:szCs w:val="21"/>
              </w:rPr>
            </w:pPr>
            <w:r>
              <w:rPr>
                <w:szCs w:val="21"/>
              </w:rPr>
              <w:t>0.670</w:t>
            </w:r>
          </w:p>
        </w:tc>
        <w:tc>
          <w:tcPr>
            <w:tcW w:w="1135" w:type="dxa"/>
            <w:tcMar>
              <w:top w:w="28" w:type="dxa"/>
              <w:bottom w:w="28" w:type="dxa"/>
            </w:tcMar>
            <w:vAlign w:val="center"/>
          </w:tcPr>
          <w:p w:rsidR="00475650" w:rsidRDefault="00475650">
            <w:pPr>
              <w:jc w:val="center"/>
              <w:rPr>
                <w:szCs w:val="21"/>
              </w:rPr>
            </w:pPr>
            <w:r>
              <w:rPr>
                <w:szCs w:val="21"/>
              </w:rPr>
              <w:t>0.335</w:t>
            </w:r>
          </w:p>
        </w:tc>
        <w:tc>
          <w:tcPr>
            <w:tcW w:w="1378" w:type="dxa"/>
            <w:tcBorders>
              <w:right w:val="single" w:sz="4" w:space="0" w:color="auto"/>
            </w:tcBorders>
            <w:vAlign w:val="bottom"/>
          </w:tcPr>
          <w:p w:rsidR="00475650" w:rsidRDefault="00475650">
            <w:pPr>
              <w:jc w:val="center"/>
              <w:rPr>
                <w:szCs w:val="21"/>
              </w:rPr>
            </w:pPr>
            <w:r>
              <w:rPr>
                <w:rFonts w:hint="eastAsia"/>
                <w:szCs w:val="21"/>
              </w:rPr>
              <w:t xml:space="preserve">589.80 </w:t>
            </w:r>
          </w:p>
        </w:tc>
        <w:tc>
          <w:tcPr>
            <w:tcW w:w="1313" w:type="dxa"/>
            <w:tcBorders>
              <w:left w:val="single" w:sz="4" w:space="0" w:color="auto"/>
            </w:tcBorders>
            <w:vAlign w:val="bottom"/>
          </w:tcPr>
          <w:p w:rsidR="00475650" w:rsidRDefault="00475650">
            <w:pPr>
              <w:jc w:val="center"/>
              <w:rPr>
                <w:szCs w:val="21"/>
              </w:rPr>
            </w:pPr>
            <w:r>
              <w:rPr>
                <w:rFonts w:hint="eastAsia"/>
                <w:szCs w:val="21"/>
              </w:rPr>
              <w:t xml:space="preserve">131.00 </w:t>
            </w:r>
          </w:p>
        </w:tc>
      </w:tr>
      <w:tr w:rsidR="00475650">
        <w:trPr>
          <w:trHeight w:hRule="exact" w:val="380"/>
        </w:trPr>
        <w:tc>
          <w:tcPr>
            <w:tcW w:w="1547" w:type="dxa"/>
            <w:tcMar>
              <w:top w:w="28" w:type="dxa"/>
              <w:bottom w:w="28" w:type="dxa"/>
            </w:tcMar>
            <w:vAlign w:val="center"/>
          </w:tcPr>
          <w:p w:rsidR="00475650" w:rsidRDefault="00475650">
            <w:pPr>
              <w:jc w:val="center"/>
              <w:rPr>
                <w:szCs w:val="21"/>
              </w:rPr>
            </w:pPr>
            <w:r>
              <w:rPr>
                <w:rFonts w:hAnsi="宋体"/>
                <w:szCs w:val="21"/>
              </w:rPr>
              <w:t>最大地面浓度</w:t>
            </w:r>
          </w:p>
        </w:tc>
        <w:tc>
          <w:tcPr>
            <w:tcW w:w="1396" w:type="dxa"/>
            <w:tcMar>
              <w:top w:w="28" w:type="dxa"/>
              <w:bottom w:w="28" w:type="dxa"/>
            </w:tcMar>
            <w:vAlign w:val="center"/>
          </w:tcPr>
          <w:p w:rsidR="00475650" w:rsidRDefault="00475650">
            <w:pPr>
              <w:jc w:val="center"/>
              <w:rPr>
                <w:szCs w:val="21"/>
              </w:rPr>
            </w:pPr>
            <w:r>
              <w:rPr>
                <w:szCs w:val="21"/>
              </w:rPr>
              <w:t>24.79</w:t>
            </w:r>
            <w:r>
              <w:rPr>
                <w:rFonts w:hAnsi="宋体" w:hint="eastAsia"/>
                <w:szCs w:val="21"/>
              </w:rPr>
              <w:t xml:space="preserve"> (</w:t>
            </w:r>
            <w:r>
              <w:rPr>
                <w:szCs w:val="21"/>
              </w:rPr>
              <w:t>325m</w:t>
            </w:r>
            <w:r>
              <w:rPr>
                <w:rFonts w:hAnsi="宋体" w:hint="eastAsia"/>
                <w:szCs w:val="21"/>
              </w:rPr>
              <w:t>)</w:t>
            </w:r>
          </w:p>
        </w:tc>
        <w:tc>
          <w:tcPr>
            <w:tcW w:w="993" w:type="dxa"/>
            <w:vAlign w:val="center"/>
          </w:tcPr>
          <w:p w:rsidR="00475650" w:rsidRDefault="00475650">
            <w:pPr>
              <w:jc w:val="center"/>
              <w:rPr>
                <w:szCs w:val="21"/>
              </w:rPr>
            </w:pPr>
            <w:r>
              <w:rPr>
                <w:szCs w:val="21"/>
              </w:rPr>
              <w:t>49.58</w:t>
            </w:r>
          </w:p>
        </w:tc>
        <w:tc>
          <w:tcPr>
            <w:tcW w:w="1418" w:type="dxa"/>
            <w:vAlign w:val="center"/>
          </w:tcPr>
          <w:p w:rsidR="00475650" w:rsidRDefault="00475650">
            <w:pPr>
              <w:jc w:val="center"/>
              <w:rPr>
                <w:szCs w:val="21"/>
              </w:rPr>
            </w:pPr>
            <w:r>
              <w:rPr>
                <w:szCs w:val="21"/>
              </w:rPr>
              <w:t>0.882</w:t>
            </w:r>
            <w:r>
              <w:rPr>
                <w:rFonts w:hAnsi="宋体" w:hint="eastAsia"/>
                <w:szCs w:val="21"/>
              </w:rPr>
              <w:t>(</w:t>
            </w:r>
            <w:r>
              <w:rPr>
                <w:szCs w:val="21"/>
              </w:rPr>
              <w:t>325m</w:t>
            </w:r>
            <w:r>
              <w:rPr>
                <w:rFonts w:hAnsi="宋体" w:hint="eastAsia"/>
                <w:szCs w:val="21"/>
              </w:rPr>
              <w:t>)</w:t>
            </w:r>
          </w:p>
        </w:tc>
        <w:tc>
          <w:tcPr>
            <w:tcW w:w="1135" w:type="dxa"/>
            <w:tcMar>
              <w:top w:w="28" w:type="dxa"/>
              <w:bottom w:w="28" w:type="dxa"/>
            </w:tcMar>
            <w:vAlign w:val="center"/>
          </w:tcPr>
          <w:p w:rsidR="00475650" w:rsidRDefault="00475650">
            <w:pPr>
              <w:jc w:val="center"/>
              <w:rPr>
                <w:szCs w:val="21"/>
              </w:rPr>
            </w:pPr>
            <w:r>
              <w:rPr>
                <w:szCs w:val="21"/>
              </w:rPr>
              <w:t>0.441</w:t>
            </w:r>
          </w:p>
        </w:tc>
        <w:tc>
          <w:tcPr>
            <w:tcW w:w="1378" w:type="dxa"/>
            <w:tcBorders>
              <w:right w:val="single" w:sz="4" w:space="0" w:color="auto"/>
            </w:tcBorders>
            <w:vAlign w:val="center"/>
          </w:tcPr>
          <w:p w:rsidR="00475650" w:rsidRDefault="00475650">
            <w:pPr>
              <w:jc w:val="center"/>
              <w:rPr>
                <w:szCs w:val="21"/>
              </w:rPr>
            </w:pPr>
            <w:r>
              <w:rPr>
                <w:rFonts w:hint="eastAsia"/>
                <w:szCs w:val="21"/>
              </w:rPr>
              <w:t>776.2</w:t>
            </w:r>
            <w:r>
              <w:rPr>
                <w:rFonts w:hAnsi="宋体" w:hint="eastAsia"/>
                <w:szCs w:val="21"/>
              </w:rPr>
              <w:t>(</w:t>
            </w:r>
            <w:r>
              <w:rPr>
                <w:szCs w:val="21"/>
              </w:rPr>
              <w:t>325</w:t>
            </w:r>
            <w:r>
              <w:rPr>
                <w:rFonts w:hAnsi="宋体" w:hint="eastAsia"/>
                <w:szCs w:val="21"/>
              </w:rPr>
              <w:t>)</w:t>
            </w:r>
          </w:p>
        </w:tc>
        <w:tc>
          <w:tcPr>
            <w:tcW w:w="1313" w:type="dxa"/>
            <w:tcBorders>
              <w:left w:val="single" w:sz="4" w:space="0" w:color="auto"/>
            </w:tcBorders>
            <w:vAlign w:val="center"/>
          </w:tcPr>
          <w:p w:rsidR="00475650" w:rsidRDefault="00475650">
            <w:pPr>
              <w:jc w:val="center"/>
              <w:rPr>
                <w:szCs w:val="21"/>
              </w:rPr>
            </w:pPr>
            <w:r>
              <w:rPr>
                <w:rFonts w:hint="eastAsia"/>
                <w:szCs w:val="21"/>
              </w:rPr>
              <w:t>172.4</w:t>
            </w:r>
          </w:p>
        </w:tc>
      </w:tr>
      <w:tr w:rsidR="00475650">
        <w:trPr>
          <w:trHeight w:hRule="exact" w:val="401"/>
        </w:trPr>
        <w:tc>
          <w:tcPr>
            <w:tcW w:w="1547" w:type="dxa"/>
            <w:tcMar>
              <w:top w:w="28" w:type="dxa"/>
              <w:bottom w:w="28" w:type="dxa"/>
            </w:tcMar>
            <w:vAlign w:val="center"/>
          </w:tcPr>
          <w:p w:rsidR="00475650" w:rsidRDefault="00475650">
            <w:pPr>
              <w:jc w:val="center"/>
              <w:rPr>
                <w:szCs w:val="21"/>
              </w:rPr>
            </w:pPr>
            <w:r>
              <w:rPr>
                <w:rFonts w:hAnsi="宋体"/>
                <w:szCs w:val="21"/>
              </w:rPr>
              <w:t>标准</w:t>
            </w:r>
          </w:p>
        </w:tc>
        <w:tc>
          <w:tcPr>
            <w:tcW w:w="2389" w:type="dxa"/>
            <w:gridSpan w:val="2"/>
            <w:tcMar>
              <w:top w:w="28" w:type="dxa"/>
              <w:bottom w:w="28" w:type="dxa"/>
            </w:tcMar>
            <w:vAlign w:val="center"/>
          </w:tcPr>
          <w:p w:rsidR="00475650" w:rsidRDefault="00475650">
            <w:pPr>
              <w:jc w:val="center"/>
              <w:rPr>
                <w:szCs w:val="21"/>
              </w:rPr>
            </w:pPr>
            <w:r>
              <w:rPr>
                <w:szCs w:val="21"/>
              </w:rPr>
              <w:t>50</w:t>
            </w:r>
            <w:r>
              <w:rPr>
                <w:rFonts w:hAnsi="宋体"/>
                <w:szCs w:val="21"/>
              </w:rPr>
              <w:t>（</w:t>
            </w:r>
            <w:r>
              <w:rPr>
                <w:szCs w:val="21"/>
              </w:rPr>
              <w:t>TJ36-79</w:t>
            </w:r>
            <w:r>
              <w:rPr>
                <w:rFonts w:hAnsi="宋体"/>
                <w:szCs w:val="21"/>
              </w:rPr>
              <w:t>）</w:t>
            </w:r>
          </w:p>
        </w:tc>
        <w:tc>
          <w:tcPr>
            <w:tcW w:w="2553" w:type="dxa"/>
            <w:gridSpan w:val="2"/>
            <w:vAlign w:val="center"/>
          </w:tcPr>
          <w:p w:rsidR="00475650" w:rsidRDefault="00475650">
            <w:pPr>
              <w:jc w:val="center"/>
              <w:rPr>
                <w:szCs w:val="21"/>
              </w:rPr>
            </w:pPr>
            <w:r>
              <w:rPr>
                <w:szCs w:val="21"/>
              </w:rPr>
              <w:t>200</w:t>
            </w:r>
            <w:r>
              <w:rPr>
                <w:rFonts w:hAnsi="宋体"/>
                <w:szCs w:val="21"/>
              </w:rPr>
              <w:t>（</w:t>
            </w:r>
            <w:r>
              <w:rPr>
                <w:szCs w:val="21"/>
              </w:rPr>
              <w:t>TJ36-79</w:t>
            </w:r>
            <w:r>
              <w:rPr>
                <w:rFonts w:hAnsi="宋体"/>
                <w:szCs w:val="21"/>
              </w:rPr>
              <w:t>）</w:t>
            </w:r>
          </w:p>
        </w:tc>
        <w:tc>
          <w:tcPr>
            <w:tcW w:w="2691" w:type="dxa"/>
            <w:gridSpan w:val="2"/>
            <w:vAlign w:val="center"/>
          </w:tcPr>
          <w:p w:rsidR="00475650" w:rsidRDefault="00475650">
            <w:pPr>
              <w:jc w:val="center"/>
              <w:rPr>
                <w:szCs w:val="21"/>
              </w:rPr>
            </w:pPr>
            <w:r>
              <w:rPr>
                <w:szCs w:val="21"/>
              </w:rPr>
              <w:t>450</w:t>
            </w:r>
            <w:r>
              <w:rPr>
                <w:rFonts w:hAnsi="宋体"/>
                <w:szCs w:val="21"/>
              </w:rPr>
              <w:t>（参考日均值的</w:t>
            </w:r>
            <w:r>
              <w:rPr>
                <w:szCs w:val="21"/>
              </w:rPr>
              <w:t>3</w:t>
            </w:r>
            <w:r>
              <w:rPr>
                <w:rFonts w:hAnsi="宋体"/>
                <w:szCs w:val="21"/>
              </w:rPr>
              <w:t>倍值）</w:t>
            </w:r>
          </w:p>
        </w:tc>
      </w:tr>
    </w:tbl>
    <w:p w:rsidR="00475650" w:rsidRDefault="00475650">
      <w:pPr>
        <w:snapToGrid w:val="0"/>
        <w:spacing w:line="324" w:lineRule="auto"/>
        <w:outlineLvl w:val="2"/>
        <w:rPr>
          <w:rFonts w:hAnsi="宋体"/>
          <w:sz w:val="24"/>
        </w:rPr>
      </w:pPr>
      <w:bookmarkStart w:id="920" w:name="_Toc270622962"/>
      <w:bookmarkStart w:id="921" w:name="_Toc273462533"/>
      <w:bookmarkStart w:id="922" w:name="_Toc332293051"/>
      <w:bookmarkStart w:id="923" w:name="_Toc274984964"/>
      <w:bookmarkStart w:id="924" w:name="_Toc273461882"/>
      <w:bookmarkStart w:id="925" w:name="_Toc25328"/>
      <w:r>
        <w:rPr>
          <w:sz w:val="24"/>
        </w:rPr>
        <w:t>6.5.3.</w:t>
      </w:r>
      <w:r>
        <w:rPr>
          <w:rFonts w:hint="eastAsia"/>
          <w:sz w:val="24"/>
        </w:rPr>
        <w:t>2</w:t>
      </w:r>
      <w:r>
        <w:rPr>
          <w:sz w:val="24"/>
        </w:rPr>
        <w:t xml:space="preserve"> </w:t>
      </w:r>
      <w:r>
        <w:rPr>
          <w:rFonts w:hAnsi="宋体"/>
          <w:sz w:val="24"/>
        </w:rPr>
        <w:t>废气处理设施故障</w:t>
      </w:r>
    </w:p>
    <w:p w:rsidR="00475650" w:rsidRDefault="00475650">
      <w:pPr>
        <w:spacing w:line="324" w:lineRule="auto"/>
        <w:ind w:firstLineChars="200" w:firstLine="480"/>
        <w:rPr>
          <w:rFonts w:hAnsi="宋体"/>
          <w:sz w:val="24"/>
        </w:rPr>
      </w:pPr>
      <w:r>
        <w:rPr>
          <w:rFonts w:hAnsi="宋体" w:hint="eastAsia"/>
          <w:sz w:val="24"/>
        </w:rPr>
        <w:t>本项目废水属于高浓度废水，送公司自设的污水处理设施处理达标后送园区污水处理厂处理；一旦发生污水处理设施故障，将对园区污水处理厂造成较大的冲击影响，对园区污水处理厂的整体稳定运行及废水达标外排造成威胁，社会影响极大。一旦出现污水处理事故，应立即停工检修，禁止废水的超标外排。</w:t>
      </w:r>
    </w:p>
    <w:p w:rsidR="00475650" w:rsidRDefault="00475650">
      <w:pPr>
        <w:spacing w:line="324" w:lineRule="auto"/>
        <w:ind w:firstLineChars="200" w:firstLine="480"/>
        <w:rPr>
          <w:rFonts w:hAnsi="宋体"/>
          <w:sz w:val="24"/>
        </w:rPr>
      </w:pPr>
      <w:r>
        <w:rPr>
          <w:rFonts w:hAnsi="宋体" w:hint="eastAsia"/>
          <w:sz w:val="24"/>
        </w:rPr>
        <w:t>公司废水总排口设有废水监控池，并设有专用管道及排水阀门外排至园区污水处理厂，一旦出现外排至园区污水处理厂的废水超标，应立即关闭阀门，禁止废水出厂区；利用现有的</w:t>
      </w:r>
      <w:r>
        <w:rPr>
          <w:rFonts w:hAnsi="宋体" w:hint="eastAsia"/>
          <w:sz w:val="24"/>
        </w:rPr>
        <w:t>500m</w:t>
      </w:r>
      <w:r>
        <w:rPr>
          <w:rFonts w:hAnsi="宋体" w:hint="eastAsia"/>
          <w:sz w:val="24"/>
          <w:vertAlign w:val="superscript"/>
        </w:rPr>
        <w:t>3</w:t>
      </w:r>
      <w:r>
        <w:rPr>
          <w:rFonts w:hAnsi="宋体" w:hint="eastAsia"/>
          <w:sz w:val="24"/>
        </w:rPr>
        <w:t>事故池及污水处理设施的调节池对废水进行暂存。</w:t>
      </w:r>
    </w:p>
    <w:p w:rsidR="00475650" w:rsidRDefault="00475650">
      <w:pPr>
        <w:pStyle w:val="h"/>
        <w:spacing w:before="100" w:beforeAutospacing="1" w:after="100" w:afterAutospacing="1" w:line="324" w:lineRule="auto"/>
        <w:ind w:firstLine="0"/>
        <w:outlineLvl w:val="0"/>
        <w:rPr>
          <w:rStyle w:val="2Char1Char"/>
          <w:rFonts w:ascii="Times New Roman" w:eastAsia="宋体" w:hAnsi="Times New Roman" w:cs="Times New Roman"/>
          <w:b w:val="0"/>
          <w:sz w:val="28"/>
          <w:szCs w:val="28"/>
        </w:rPr>
      </w:pPr>
      <w:r>
        <w:rPr>
          <w:rStyle w:val="2Char1Char"/>
          <w:rFonts w:ascii="Times New Roman" w:eastAsia="宋体" w:hAnsi="Times New Roman" w:cs="Times New Roman"/>
          <w:b w:val="0"/>
          <w:sz w:val="28"/>
          <w:szCs w:val="28"/>
        </w:rPr>
        <w:t>6.6</w:t>
      </w:r>
      <w:r>
        <w:rPr>
          <w:rStyle w:val="2Char1Char"/>
          <w:rFonts w:ascii="Times New Roman" w:eastAsia="宋体" w:hAnsi="宋体" w:cs="Times New Roman"/>
          <w:b w:val="0"/>
          <w:sz w:val="28"/>
          <w:szCs w:val="28"/>
        </w:rPr>
        <w:t>环境风险</w:t>
      </w:r>
      <w:bookmarkEnd w:id="920"/>
      <w:r>
        <w:rPr>
          <w:rStyle w:val="2Char1Char"/>
          <w:rFonts w:ascii="Times New Roman" w:eastAsia="宋体" w:hAnsi="宋体" w:cs="Times New Roman"/>
          <w:b w:val="0"/>
          <w:sz w:val="28"/>
          <w:szCs w:val="28"/>
        </w:rPr>
        <w:t>防控措施</w:t>
      </w:r>
      <w:bookmarkEnd w:id="921"/>
      <w:bookmarkEnd w:id="922"/>
      <w:bookmarkEnd w:id="923"/>
      <w:bookmarkEnd w:id="924"/>
      <w:bookmarkEnd w:id="925"/>
    </w:p>
    <w:p w:rsidR="00475650" w:rsidRDefault="00475650">
      <w:pPr>
        <w:pStyle w:val="h"/>
        <w:spacing w:before="0" w:after="0" w:line="324" w:lineRule="auto"/>
        <w:ind w:firstLine="0"/>
        <w:outlineLvl w:val="0"/>
        <w:rPr>
          <w:rStyle w:val="2Char1Char"/>
          <w:rFonts w:ascii="Times New Roman" w:eastAsia="宋体" w:hAnsi="Times New Roman" w:cs="Times New Roman"/>
          <w:b w:val="0"/>
          <w:sz w:val="24"/>
          <w:szCs w:val="24"/>
        </w:rPr>
      </w:pPr>
      <w:bookmarkStart w:id="926" w:name="_Toc334080890"/>
      <w:bookmarkStart w:id="927" w:name="_Toc333230072"/>
      <w:bookmarkStart w:id="928" w:name="_Toc302936872"/>
      <w:bookmarkStart w:id="929" w:name="_Toc332293052"/>
      <w:bookmarkStart w:id="930" w:name="_Toc334014248"/>
      <w:bookmarkStart w:id="931" w:name="_Toc465677056"/>
      <w:bookmarkStart w:id="932" w:name="_Toc22718"/>
      <w:r>
        <w:rPr>
          <w:rStyle w:val="2Char1Char"/>
          <w:rFonts w:ascii="Times New Roman" w:eastAsia="宋体" w:hAnsi="Times New Roman" w:cs="Times New Roman"/>
          <w:b w:val="0"/>
          <w:sz w:val="24"/>
          <w:szCs w:val="24"/>
        </w:rPr>
        <w:t xml:space="preserve">6.6.1 </w:t>
      </w:r>
      <w:r>
        <w:rPr>
          <w:rStyle w:val="2Char1Char"/>
          <w:rFonts w:ascii="Times New Roman" w:eastAsia="宋体" w:hAnsi="宋体" w:cs="Times New Roman"/>
          <w:b w:val="0"/>
          <w:sz w:val="24"/>
          <w:szCs w:val="24"/>
        </w:rPr>
        <w:t>环境风险事故防控措施</w:t>
      </w:r>
      <w:bookmarkEnd w:id="926"/>
      <w:bookmarkEnd w:id="927"/>
      <w:bookmarkEnd w:id="928"/>
      <w:bookmarkEnd w:id="929"/>
      <w:bookmarkEnd w:id="930"/>
      <w:bookmarkEnd w:id="931"/>
      <w:bookmarkEnd w:id="932"/>
    </w:p>
    <w:p w:rsidR="00475650" w:rsidRDefault="00475650">
      <w:pPr>
        <w:spacing w:line="331" w:lineRule="auto"/>
        <w:ind w:firstLineChars="200" w:firstLine="480"/>
        <w:rPr>
          <w:sz w:val="24"/>
        </w:rPr>
      </w:pPr>
      <w:r>
        <w:rPr>
          <w:rFonts w:hAnsi="宋体"/>
          <w:sz w:val="24"/>
        </w:rPr>
        <w:t>本项目依托公司现有工程的风险管理机制，并针对本项目物料及生产性质完善相应的防控措施。</w:t>
      </w:r>
    </w:p>
    <w:p w:rsidR="00475650" w:rsidRDefault="00475650">
      <w:pPr>
        <w:spacing w:line="331" w:lineRule="auto"/>
        <w:ind w:firstLineChars="200" w:firstLine="480"/>
        <w:rPr>
          <w:sz w:val="24"/>
        </w:rPr>
      </w:pPr>
      <w:r>
        <w:rPr>
          <w:sz w:val="24"/>
        </w:rPr>
        <w:t>1</w:t>
      </w:r>
      <w:r>
        <w:rPr>
          <w:rFonts w:hAnsi="宋体"/>
          <w:sz w:val="24"/>
        </w:rPr>
        <w:t>、化学危险品贮运总的原则</w:t>
      </w:r>
    </w:p>
    <w:p w:rsidR="00475650" w:rsidRDefault="00475650">
      <w:pPr>
        <w:spacing w:line="331" w:lineRule="auto"/>
        <w:ind w:firstLineChars="200" w:firstLine="480"/>
        <w:rPr>
          <w:sz w:val="24"/>
        </w:rPr>
      </w:pPr>
      <w:r>
        <w:rPr>
          <w:rFonts w:ascii="宋体" w:hAnsi="宋体"/>
          <w:sz w:val="24"/>
        </w:rPr>
        <w:t>⑴</w:t>
      </w:r>
      <w:r>
        <w:rPr>
          <w:sz w:val="24"/>
        </w:rPr>
        <w:t xml:space="preserve"> </w:t>
      </w:r>
      <w:r>
        <w:rPr>
          <w:rFonts w:hAnsi="宋体"/>
          <w:sz w:val="24"/>
        </w:rPr>
        <w:t>本项目应根据《危险化学品安全管理条例》（国务院令第</w:t>
      </w:r>
      <w:r>
        <w:rPr>
          <w:sz w:val="24"/>
        </w:rPr>
        <w:t>591</w:t>
      </w:r>
      <w:r>
        <w:rPr>
          <w:rFonts w:hAnsi="宋体"/>
          <w:sz w:val="24"/>
        </w:rPr>
        <w:t>号）、《工作场所安全使用化学品规定》（</w:t>
      </w:r>
      <w:r>
        <w:rPr>
          <w:sz w:val="24"/>
        </w:rPr>
        <w:t>[1996]</w:t>
      </w:r>
      <w:r>
        <w:rPr>
          <w:rFonts w:hAnsi="宋体"/>
          <w:sz w:val="24"/>
        </w:rPr>
        <w:t>劳部发</w:t>
      </w:r>
      <w:r>
        <w:rPr>
          <w:sz w:val="24"/>
        </w:rPr>
        <w:t>423</w:t>
      </w:r>
      <w:r>
        <w:rPr>
          <w:rFonts w:hAnsi="宋体"/>
          <w:sz w:val="24"/>
        </w:rPr>
        <w:t>号）等法规安全使用、生产、储存、运输、装卸危险化学品。对生产车间和仓库必须配置相应的消防设备和通风系统。消防系统等依托厂区已有设施；</w:t>
      </w:r>
    </w:p>
    <w:p w:rsidR="00475650" w:rsidRDefault="00475650">
      <w:pPr>
        <w:spacing w:line="331" w:lineRule="auto"/>
        <w:ind w:firstLineChars="200" w:firstLine="480"/>
        <w:rPr>
          <w:sz w:val="24"/>
        </w:rPr>
      </w:pPr>
      <w:r>
        <w:rPr>
          <w:rFonts w:ascii="宋体" w:hAnsi="宋体"/>
          <w:sz w:val="24"/>
        </w:rPr>
        <w:t>⑵</w:t>
      </w:r>
      <w:r>
        <w:rPr>
          <w:sz w:val="24"/>
        </w:rPr>
        <w:t xml:space="preserve"> </w:t>
      </w:r>
      <w:r>
        <w:rPr>
          <w:rFonts w:hAnsi="宋体"/>
          <w:sz w:val="24"/>
        </w:rPr>
        <w:t>生产车间和中间罐区的地面为防渗漏水泥地坪，罐区四周建围堤，围堰高度按照相关要求进行设置，贮槽应配备呼吸阀和正、负压水封。罐区应配备必需的消防、通风、围堰、降温、防潮、防地震及避雷等安全装置；</w:t>
      </w:r>
      <w:r>
        <w:rPr>
          <w:sz w:val="24"/>
        </w:rPr>
        <w:t xml:space="preserve"> </w:t>
      </w:r>
    </w:p>
    <w:p w:rsidR="00475650" w:rsidRDefault="00475650">
      <w:pPr>
        <w:spacing w:line="331" w:lineRule="auto"/>
        <w:ind w:firstLineChars="200" w:firstLine="480"/>
        <w:rPr>
          <w:sz w:val="24"/>
        </w:rPr>
      </w:pPr>
      <w:r>
        <w:rPr>
          <w:rFonts w:ascii="宋体" w:hAnsi="宋体"/>
          <w:sz w:val="24"/>
        </w:rPr>
        <w:t>⑶</w:t>
      </w:r>
      <w:r>
        <w:rPr>
          <w:rFonts w:hAnsi="宋体"/>
          <w:sz w:val="24"/>
        </w:rPr>
        <w:t>各危险物质应根据其不同的理化性质分别按照《腐蚀性商品储藏养护技术条件》（</w:t>
      </w:r>
      <w:r>
        <w:rPr>
          <w:sz w:val="24"/>
        </w:rPr>
        <w:t>GB17915-1999</w:t>
      </w:r>
      <w:r>
        <w:rPr>
          <w:rFonts w:hAnsi="宋体"/>
          <w:sz w:val="24"/>
        </w:rPr>
        <w:t>）、《易燃易爆性商品储藏养护技术条件》（</w:t>
      </w:r>
      <w:r>
        <w:rPr>
          <w:sz w:val="24"/>
        </w:rPr>
        <w:t>GB17914-1999</w:t>
      </w:r>
      <w:r>
        <w:rPr>
          <w:rFonts w:hAnsi="宋体"/>
          <w:sz w:val="24"/>
        </w:rPr>
        <w:t>）、《毒害性商品储藏养护技术条件》（</w:t>
      </w:r>
      <w:r>
        <w:rPr>
          <w:sz w:val="24"/>
        </w:rPr>
        <w:t>GB17916-1999</w:t>
      </w:r>
      <w:r>
        <w:rPr>
          <w:rFonts w:hAnsi="宋体"/>
          <w:sz w:val="24"/>
        </w:rPr>
        <w:t>）等相关要求实施储运及运输。盐酸</w:t>
      </w:r>
      <w:r>
        <w:rPr>
          <w:rFonts w:hAnsi="宋体" w:hint="eastAsia"/>
          <w:sz w:val="24"/>
        </w:rPr>
        <w:t>中</w:t>
      </w:r>
      <w:r>
        <w:rPr>
          <w:rFonts w:hAnsi="宋体" w:hint="eastAsia"/>
          <w:sz w:val="24"/>
        </w:rPr>
        <w:lastRenderedPageBreak/>
        <w:t>间罐</w:t>
      </w:r>
      <w:r>
        <w:rPr>
          <w:rFonts w:hAnsi="宋体"/>
          <w:sz w:val="24"/>
        </w:rPr>
        <w:t>属于安全重点防控对象，应加强其风险防范措施。</w:t>
      </w:r>
    </w:p>
    <w:p w:rsidR="00475650" w:rsidRDefault="00475650">
      <w:pPr>
        <w:spacing w:line="331" w:lineRule="auto"/>
        <w:ind w:firstLineChars="200" w:firstLine="480"/>
        <w:rPr>
          <w:sz w:val="24"/>
        </w:rPr>
      </w:pPr>
      <w:r>
        <w:rPr>
          <w:rFonts w:ascii="宋体" w:hAnsi="宋体"/>
          <w:sz w:val="24"/>
        </w:rPr>
        <w:t>⑷</w:t>
      </w:r>
      <w:r>
        <w:rPr>
          <w:rFonts w:hAnsi="宋体"/>
          <w:sz w:val="24"/>
        </w:rPr>
        <w:t>属危险品的原料及产品的运输必须严格按照危险品运输规定执行，搬运时应轻装轻卸，运输和贮存过程防止暴晒、防撞击；外购的危险化学品依托社会运输队伍进行运输，外购的化学品运输线路上敏感点分布较多，虽然运输风险由运输队伍承担，为减少社会影响并保障周边环境及居民的安全，公司应选择有专业运输队伍、运输资质及运输经验的单位或厂家，并要求对方相应的风险防范措施及应急措施以保障一旦发生风险事故能及时将风险控制在可接受的范围内。</w:t>
      </w:r>
    </w:p>
    <w:p w:rsidR="00475650" w:rsidRDefault="00475650">
      <w:pPr>
        <w:spacing w:line="331" w:lineRule="auto"/>
        <w:ind w:firstLineChars="200" w:firstLine="480"/>
        <w:rPr>
          <w:sz w:val="24"/>
        </w:rPr>
      </w:pPr>
      <w:r>
        <w:rPr>
          <w:sz w:val="24"/>
        </w:rPr>
        <w:t>2</w:t>
      </w:r>
      <w:r>
        <w:rPr>
          <w:rFonts w:hAnsi="宋体"/>
          <w:sz w:val="24"/>
        </w:rPr>
        <w:t>、储运具体防范措施</w:t>
      </w:r>
    </w:p>
    <w:p w:rsidR="00475650" w:rsidRDefault="00475650">
      <w:pPr>
        <w:spacing w:line="331" w:lineRule="auto"/>
        <w:ind w:firstLineChars="200" w:firstLine="480"/>
        <w:rPr>
          <w:sz w:val="24"/>
        </w:rPr>
      </w:pPr>
      <w:r>
        <w:rPr>
          <w:rFonts w:hAnsi="宋体"/>
          <w:sz w:val="24"/>
        </w:rPr>
        <w:t>项目运输主要包括公司内运输和厂外运输两个部分，公司内运输主要采取以下防范措施：</w:t>
      </w:r>
    </w:p>
    <w:p w:rsidR="00475650" w:rsidRDefault="00475650">
      <w:pPr>
        <w:spacing w:line="331" w:lineRule="auto"/>
        <w:ind w:firstLineChars="200" w:firstLine="480"/>
        <w:rPr>
          <w:rFonts w:hAnsi="宋体"/>
          <w:sz w:val="24"/>
        </w:rPr>
      </w:pPr>
      <w:r>
        <w:rPr>
          <w:rFonts w:ascii="宋体" w:hAnsi="宋体"/>
          <w:sz w:val="24"/>
        </w:rPr>
        <w:t>①</w:t>
      </w:r>
      <w:r>
        <w:rPr>
          <w:rFonts w:hAnsi="宋体"/>
          <w:sz w:val="24"/>
        </w:rPr>
        <w:t>本项目生产车间已建成，地面为防渗漏水泥地坪；</w:t>
      </w:r>
      <w:r>
        <w:rPr>
          <w:rFonts w:hAnsi="宋体" w:hint="eastAsia"/>
          <w:sz w:val="24"/>
        </w:rPr>
        <w:t>涉酸涉碱区域应增设防腐层，避免腐蚀性物体泄漏等风险情况下可能产生的下渗污染影响。</w:t>
      </w:r>
      <w:r>
        <w:rPr>
          <w:rFonts w:hAnsi="宋体"/>
          <w:sz w:val="24"/>
        </w:rPr>
        <w:t>盐酸</w:t>
      </w:r>
      <w:r>
        <w:rPr>
          <w:rFonts w:hAnsi="宋体" w:hint="eastAsia"/>
          <w:sz w:val="24"/>
        </w:rPr>
        <w:t>及乙酸酐均应设单独的储存区，并</w:t>
      </w:r>
      <w:r>
        <w:rPr>
          <w:rFonts w:hAnsi="宋体"/>
          <w:sz w:val="24"/>
        </w:rPr>
        <w:t>应加设围堰、报警装置及导流设施（正常情况下为关闭状态），围堰旁应储备有片碱，一旦发生泄漏应立即关闭进液阀门并于围堰内倒入片碱中和泄漏液；储罐应严格按照《建筑物防雷设计规范》、《工业与民用电力装置的接地设计规范》设置防雷击、防静电系统；</w:t>
      </w:r>
      <w:r>
        <w:rPr>
          <w:rFonts w:hAnsi="宋体" w:hint="eastAsia"/>
          <w:sz w:val="24"/>
        </w:rPr>
        <w:t>乙酸酐属于易燃液体，储区需防雷防电防热防火，因高热产生有毒蒸汽等次生污染影响比其泄漏影响更大，应采取积极有效的措施避免热源的接触。</w:t>
      </w:r>
    </w:p>
    <w:p w:rsidR="00475650" w:rsidRDefault="00475650">
      <w:pPr>
        <w:spacing w:line="331" w:lineRule="auto"/>
        <w:ind w:firstLineChars="200" w:firstLine="480"/>
        <w:rPr>
          <w:sz w:val="24"/>
        </w:rPr>
      </w:pPr>
      <w:r>
        <w:rPr>
          <w:rFonts w:hAnsi="宋体"/>
          <w:sz w:val="24"/>
        </w:rPr>
        <w:t>盐酸中间罐</w:t>
      </w:r>
      <w:r>
        <w:rPr>
          <w:rFonts w:hAnsi="宋体" w:hint="eastAsia"/>
          <w:sz w:val="24"/>
        </w:rPr>
        <w:t>及乙酸酐桶</w:t>
      </w:r>
      <w:r>
        <w:rPr>
          <w:rFonts w:hAnsi="宋体"/>
          <w:sz w:val="24"/>
        </w:rPr>
        <w:t>体积较小，事故情况下需收集的废水主要为地面冲洗液，按照</w:t>
      </w:r>
      <w:r>
        <w:rPr>
          <w:sz w:val="24"/>
        </w:rPr>
        <w:t>2</w:t>
      </w:r>
      <w:r>
        <w:rPr>
          <w:rFonts w:hAnsi="宋体"/>
          <w:sz w:val="24"/>
        </w:rPr>
        <w:t>小时的消防水量核实事故液量小于</w:t>
      </w:r>
      <w:r>
        <w:rPr>
          <w:rFonts w:hint="eastAsia"/>
          <w:sz w:val="24"/>
        </w:rPr>
        <w:t>100</w:t>
      </w:r>
      <w:r>
        <w:rPr>
          <w:sz w:val="24"/>
        </w:rPr>
        <w:t>m</w:t>
      </w:r>
      <w:r>
        <w:rPr>
          <w:sz w:val="24"/>
          <w:vertAlign w:val="superscript"/>
        </w:rPr>
        <w:t>3</w:t>
      </w:r>
      <w:r>
        <w:rPr>
          <w:rFonts w:hAnsi="宋体"/>
          <w:sz w:val="24"/>
        </w:rPr>
        <w:t>，公司现有</w:t>
      </w:r>
      <w:r>
        <w:rPr>
          <w:sz w:val="24"/>
        </w:rPr>
        <w:t>500 m</w:t>
      </w:r>
      <w:r>
        <w:rPr>
          <w:sz w:val="24"/>
          <w:vertAlign w:val="superscript"/>
        </w:rPr>
        <w:t>3</w:t>
      </w:r>
      <w:r>
        <w:rPr>
          <w:rFonts w:hAnsi="宋体"/>
          <w:sz w:val="24"/>
        </w:rPr>
        <w:t>事故池一座，可以依托。</w:t>
      </w:r>
    </w:p>
    <w:p w:rsidR="00475650" w:rsidRDefault="00475650">
      <w:pPr>
        <w:spacing w:line="331" w:lineRule="auto"/>
        <w:ind w:firstLineChars="200" w:firstLine="480"/>
        <w:rPr>
          <w:rFonts w:ascii="宋体" w:hAnsi="宋体"/>
          <w:sz w:val="24"/>
        </w:rPr>
      </w:pPr>
      <w:r>
        <w:rPr>
          <w:rFonts w:ascii="宋体" w:hAnsi="宋体"/>
          <w:sz w:val="24"/>
        </w:rPr>
        <w:t>②</w:t>
      </w:r>
      <w:r>
        <w:rPr>
          <w:rFonts w:ascii="宋体" w:hAnsi="宋体" w:hint="eastAsia"/>
          <w:sz w:val="24"/>
        </w:rPr>
        <w:t>袋装区域应加强管理措施，避免包装袋破损造成的泄漏污染，一旦发生泄漏应立即对泄漏固体进行收集并处理泄漏涉及的污染面，避免此生环境危害；</w:t>
      </w:r>
    </w:p>
    <w:p w:rsidR="00475650" w:rsidRDefault="00475650">
      <w:pPr>
        <w:spacing w:line="331" w:lineRule="auto"/>
        <w:ind w:firstLineChars="200" w:firstLine="480"/>
        <w:rPr>
          <w:sz w:val="24"/>
        </w:rPr>
      </w:pPr>
      <w:r>
        <w:rPr>
          <w:rFonts w:ascii="宋体" w:hAnsi="宋体"/>
          <w:sz w:val="24"/>
        </w:rPr>
        <w:t>③</w:t>
      </w:r>
      <w:r>
        <w:rPr>
          <w:rFonts w:hAnsi="宋体"/>
          <w:sz w:val="24"/>
        </w:rPr>
        <w:t>加强操作人员业务培训，岗位人员必须熟悉储罐布置、管线分布和阀门用途；定期检查管道密封性能，保持呼吸阀工作正常；工作人员应熟悉事故应急设备的使用和维护，了解应急手册应急处理流程，一旦发生意外，在采取应急处理的同时，迅速报告交通部门和环保等有关部门，必要时疏散群众，防止事态进一步扩大和恶化。</w:t>
      </w:r>
    </w:p>
    <w:p w:rsidR="00475650" w:rsidRDefault="00475650">
      <w:pPr>
        <w:spacing w:line="331" w:lineRule="auto"/>
        <w:ind w:firstLineChars="200" w:firstLine="480"/>
        <w:rPr>
          <w:sz w:val="24"/>
        </w:rPr>
      </w:pPr>
      <w:r>
        <w:rPr>
          <w:rFonts w:hAnsi="宋体" w:hint="eastAsia"/>
          <w:sz w:val="24"/>
        </w:rPr>
        <w:t>④本项目各物料的运输以公路运输为主，</w:t>
      </w:r>
      <w:r>
        <w:rPr>
          <w:rFonts w:hAnsi="宋体"/>
          <w:sz w:val="24"/>
        </w:rPr>
        <w:t>公路运输应严格遵守《道路危险货物运输管理规定》、《汽车运输货物规则》、《汽车运输液体危险货物常压容器</w:t>
      </w:r>
      <w:r>
        <w:rPr>
          <w:sz w:val="24"/>
        </w:rPr>
        <w:t>(</w:t>
      </w:r>
      <w:r>
        <w:rPr>
          <w:rFonts w:hAnsi="宋体"/>
          <w:sz w:val="24"/>
        </w:rPr>
        <w:t>罐体</w:t>
      </w:r>
      <w:r>
        <w:rPr>
          <w:sz w:val="24"/>
        </w:rPr>
        <w:t>)</w:t>
      </w:r>
      <w:r>
        <w:rPr>
          <w:rFonts w:hAnsi="宋体"/>
          <w:sz w:val="24"/>
        </w:rPr>
        <w:t>通用技术条件》等相关规定。铁路运输应严格遵守《道路危险货物运输管理规定》、《铁路危险货物运输管理规则》等相关规定。同时要加强与政府部门、消防部门及环保</w:t>
      </w:r>
      <w:r>
        <w:rPr>
          <w:rFonts w:hAnsi="宋体"/>
          <w:sz w:val="24"/>
        </w:rPr>
        <w:lastRenderedPageBreak/>
        <w:t>部门等有关单位的联系，制定风险防范预案，一旦发生风险事故，在第一时间做出有效的治理措施以最大程度的减小污染损害。</w:t>
      </w:r>
      <w:r>
        <w:rPr>
          <w:rFonts w:hAnsi="宋体" w:hint="eastAsia"/>
          <w:sz w:val="24"/>
        </w:rPr>
        <w:t>由于公司西面紧邻长江河堤，高程低于河堤约</w:t>
      </w:r>
      <w:r>
        <w:rPr>
          <w:rFonts w:hAnsi="宋体" w:hint="eastAsia"/>
          <w:sz w:val="24"/>
        </w:rPr>
        <w:t>5m</w:t>
      </w:r>
      <w:r>
        <w:rPr>
          <w:rFonts w:hAnsi="宋体" w:hint="eastAsia"/>
          <w:sz w:val="24"/>
        </w:rPr>
        <w:t>，公司内各污染水体的收集管网应斜向东面并采取截留、防渗等措施避免水体外流厂界而进入水体，此外，公司物料运输车辆（包括公司自有车辆及外运车辆）应走园区规划的物料运输道路，禁止于长江河堤上进行物料的运输，避免风险情况下对西面水体造成污染影响。</w:t>
      </w:r>
    </w:p>
    <w:p w:rsidR="00475650" w:rsidRDefault="00475650">
      <w:pPr>
        <w:spacing w:line="360" w:lineRule="auto"/>
        <w:ind w:firstLineChars="200" w:firstLine="480"/>
        <w:rPr>
          <w:sz w:val="24"/>
        </w:rPr>
      </w:pPr>
      <w:r>
        <w:rPr>
          <w:rFonts w:hAnsi="宋体" w:hint="eastAsia"/>
          <w:sz w:val="24"/>
        </w:rPr>
        <w:t>根据业主提供的资料，</w:t>
      </w:r>
      <w:r>
        <w:rPr>
          <w:rFonts w:hAnsi="宋体"/>
          <w:sz w:val="24"/>
        </w:rPr>
        <w:t>本项目厂外运输依托社会运输队伍，公司应选择专业运输队伍实施运输，并签订运输责任状，确保物料运输安全。</w:t>
      </w:r>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933" w:name="_Toc333230073"/>
      <w:bookmarkStart w:id="934" w:name="_Toc332293053"/>
      <w:bookmarkStart w:id="935" w:name="_Toc302936873"/>
      <w:bookmarkStart w:id="936" w:name="_Toc334080891"/>
      <w:bookmarkStart w:id="937" w:name="_Toc334014249"/>
      <w:bookmarkStart w:id="938" w:name="_Toc465677057"/>
      <w:bookmarkStart w:id="939" w:name="_Toc28390"/>
      <w:r>
        <w:rPr>
          <w:rStyle w:val="2Char1Char"/>
          <w:rFonts w:ascii="Times New Roman" w:eastAsia="宋体" w:hAnsi="Times New Roman" w:cs="Times New Roman"/>
          <w:b w:val="0"/>
          <w:sz w:val="24"/>
          <w:szCs w:val="24"/>
        </w:rPr>
        <w:t>6.6.2</w:t>
      </w:r>
      <w:r>
        <w:rPr>
          <w:rStyle w:val="2Char1Char"/>
          <w:rFonts w:ascii="Times New Roman" w:eastAsia="宋体" w:hAnsi="宋体" w:cs="Times New Roman"/>
          <w:b w:val="0"/>
          <w:sz w:val="24"/>
          <w:szCs w:val="24"/>
        </w:rPr>
        <w:t>应急预案</w:t>
      </w:r>
      <w:bookmarkEnd w:id="933"/>
      <w:bookmarkEnd w:id="934"/>
      <w:bookmarkEnd w:id="935"/>
      <w:bookmarkEnd w:id="936"/>
      <w:bookmarkEnd w:id="937"/>
      <w:bookmarkEnd w:id="938"/>
      <w:bookmarkEnd w:id="939"/>
    </w:p>
    <w:p w:rsidR="00475650" w:rsidRDefault="00475650">
      <w:pPr>
        <w:pStyle w:val="affffffff7"/>
        <w:rPr>
          <w:rFonts w:ascii="Times New Roman" w:hAnsi="Times New Roman" w:cs="Times New Roman"/>
          <w:color w:val="auto"/>
        </w:rPr>
      </w:pPr>
      <w:r>
        <w:rPr>
          <w:rFonts w:ascii="Times New Roman" w:cs="Times New Roman"/>
          <w:color w:val="auto"/>
        </w:rPr>
        <w:t>（</w:t>
      </w:r>
      <w:r>
        <w:rPr>
          <w:rFonts w:ascii="Times New Roman" w:hAnsi="Times New Roman" w:cs="Times New Roman"/>
          <w:color w:val="auto"/>
        </w:rPr>
        <w:t>1</w:t>
      </w:r>
      <w:r>
        <w:rPr>
          <w:rFonts w:ascii="Times New Roman" w:cs="Times New Roman"/>
          <w:color w:val="auto"/>
        </w:rPr>
        <w:t>）风险事故处理措施</w:t>
      </w:r>
    </w:p>
    <w:p w:rsidR="00475650" w:rsidRDefault="00475650">
      <w:pPr>
        <w:pStyle w:val="affffffff7"/>
        <w:rPr>
          <w:rFonts w:ascii="Times New Roman" w:hAnsi="Times New Roman" w:cs="Times New Roman"/>
          <w:color w:val="auto"/>
        </w:rPr>
      </w:pPr>
      <w:r>
        <w:rPr>
          <w:rFonts w:ascii="Times New Roman" w:cs="Times New Roman"/>
          <w:color w:val="auto"/>
        </w:rPr>
        <w:t>为了有效地处理风险事故，应有切实可行的处理措施。项目风险事故应急措施包括设备器材、事故现场指挥、救护、通讯等系统的建立、现场应急措施方案、事故危害监测队伍、现场撤离和善后措施方案等。</w:t>
      </w:r>
    </w:p>
    <w:p w:rsidR="00475650" w:rsidRDefault="00475650">
      <w:pPr>
        <w:pStyle w:val="affffffff7"/>
        <w:rPr>
          <w:rFonts w:ascii="Times New Roman" w:hAnsi="Times New Roman" w:cs="Times New Roman"/>
          <w:color w:val="auto"/>
        </w:rPr>
      </w:pPr>
      <w:r>
        <w:rPr>
          <w:rFonts w:ascii="Times New Roman" w:hAnsi="Times New Roman" w:cs="Times New Roman"/>
          <w:color w:val="auto"/>
        </w:rPr>
        <w:t>●</w:t>
      </w:r>
      <w:r>
        <w:rPr>
          <w:rFonts w:ascii="Times New Roman" w:cs="Times New Roman"/>
          <w:color w:val="auto"/>
        </w:rPr>
        <w:t>设立报警、通讯系统以及事故处置领导体系；</w:t>
      </w:r>
    </w:p>
    <w:p w:rsidR="00475650" w:rsidRDefault="00475650">
      <w:pPr>
        <w:pStyle w:val="affffffff7"/>
        <w:rPr>
          <w:rFonts w:ascii="Times New Roman" w:hAnsi="Times New Roman" w:cs="Times New Roman"/>
          <w:color w:val="auto"/>
        </w:rPr>
      </w:pPr>
      <w:r>
        <w:rPr>
          <w:rFonts w:ascii="Times New Roman" w:hAnsi="Times New Roman" w:cs="Times New Roman"/>
          <w:color w:val="auto"/>
        </w:rPr>
        <w:t>●</w:t>
      </w:r>
      <w:r>
        <w:rPr>
          <w:rFonts w:ascii="Times New Roman" w:cs="Times New Roman"/>
          <w:color w:val="auto"/>
        </w:rPr>
        <w:t>制定有效处理事故的应急行动方案，并得到公司内外有关部门的认可，能与有关部门有效配合；</w:t>
      </w:r>
    </w:p>
    <w:p w:rsidR="00475650" w:rsidRDefault="00475650">
      <w:pPr>
        <w:pStyle w:val="affffffff7"/>
        <w:rPr>
          <w:rFonts w:ascii="Times New Roman" w:hAnsi="Times New Roman" w:cs="Times New Roman"/>
          <w:color w:val="auto"/>
        </w:rPr>
      </w:pPr>
      <w:r>
        <w:rPr>
          <w:rFonts w:ascii="Times New Roman" w:hAnsi="Times New Roman" w:cs="Times New Roman"/>
          <w:color w:val="auto"/>
        </w:rPr>
        <w:t>●</w:t>
      </w:r>
      <w:r>
        <w:rPr>
          <w:rFonts w:ascii="Times New Roman" w:cs="Times New Roman"/>
          <w:color w:val="auto"/>
        </w:rPr>
        <w:t>明确职责，并落实到单位和有关人员；</w:t>
      </w:r>
    </w:p>
    <w:p w:rsidR="00475650" w:rsidRDefault="00475650">
      <w:pPr>
        <w:pStyle w:val="affffffff7"/>
        <w:rPr>
          <w:rFonts w:ascii="Times New Roman" w:hAnsi="Times New Roman" w:cs="Times New Roman"/>
          <w:color w:val="auto"/>
        </w:rPr>
      </w:pPr>
      <w:r>
        <w:rPr>
          <w:rFonts w:ascii="Times New Roman" w:hAnsi="Times New Roman" w:cs="Times New Roman"/>
          <w:color w:val="auto"/>
        </w:rPr>
        <w:t>●</w:t>
      </w:r>
      <w:r>
        <w:rPr>
          <w:rFonts w:ascii="Times New Roman" w:cs="Times New Roman"/>
          <w:color w:val="auto"/>
        </w:rPr>
        <w:t>制定控制和减少事故影响范围以及补救行动的实施计划；</w:t>
      </w:r>
    </w:p>
    <w:p w:rsidR="00475650" w:rsidRDefault="00475650">
      <w:pPr>
        <w:pStyle w:val="affffffff7"/>
        <w:rPr>
          <w:rFonts w:ascii="Times New Roman" w:hAnsi="Times New Roman" w:cs="Times New Roman"/>
          <w:color w:val="auto"/>
        </w:rPr>
      </w:pPr>
      <w:r>
        <w:rPr>
          <w:rFonts w:ascii="Times New Roman" w:hAnsi="Times New Roman" w:cs="Times New Roman"/>
          <w:color w:val="auto"/>
        </w:rPr>
        <w:t>●</w:t>
      </w:r>
      <w:r>
        <w:rPr>
          <w:rFonts w:ascii="Times New Roman" w:cs="Times New Roman"/>
          <w:color w:val="auto"/>
        </w:rPr>
        <w:t>对事故现场管理以及事故处置全过程的监督，应由富有事故处置经验的人员或有关部门工作人员承担；</w:t>
      </w:r>
    </w:p>
    <w:p w:rsidR="00475650" w:rsidRDefault="00475650">
      <w:pPr>
        <w:pStyle w:val="affffffff7"/>
        <w:rPr>
          <w:rFonts w:ascii="Times New Roman" w:hAnsi="Times New Roman" w:cs="Times New Roman"/>
          <w:color w:val="auto"/>
        </w:rPr>
      </w:pPr>
      <w:r>
        <w:rPr>
          <w:rFonts w:ascii="Times New Roman" w:hAnsi="Times New Roman" w:cs="Times New Roman"/>
          <w:color w:val="auto"/>
        </w:rPr>
        <w:t>●</w:t>
      </w:r>
      <w:r>
        <w:rPr>
          <w:rFonts w:ascii="Times New Roman" w:cs="Times New Roman"/>
          <w:color w:val="auto"/>
        </w:rPr>
        <w:t>为提高事故处置队伍的协同救援水平和实战能力，检验救援体系的应急综合运作状态，提高其实战水平，应进行应急救援演练。</w:t>
      </w:r>
    </w:p>
    <w:p w:rsidR="00475650" w:rsidRDefault="00475650">
      <w:pPr>
        <w:pStyle w:val="affffffff7"/>
        <w:rPr>
          <w:rFonts w:ascii="Times New Roman" w:hAnsi="Times New Roman" w:cs="Times New Roman"/>
          <w:color w:val="auto"/>
        </w:rPr>
      </w:pPr>
      <w:r>
        <w:rPr>
          <w:rFonts w:ascii="Times New Roman" w:cs="Times New Roman"/>
          <w:color w:val="auto"/>
        </w:rPr>
        <w:t>（</w:t>
      </w:r>
      <w:r>
        <w:rPr>
          <w:rFonts w:ascii="Times New Roman" w:hAnsi="Times New Roman" w:cs="Times New Roman"/>
          <w:color w:val="auto"/>
        </w:rPr>
        <w:t>2</w:t>
      </w:r>
      <w:r>
        <w:rPr>
          <w:rFonts w:ascii="Times New Roman" w:cs="Times New Roman"/>
          <w:color w:val="auto"/>
        </w:rPr>
        <w:t>）风险事故应急计划</w:t>
      </w:r>
    </w:p>
    <w:p w:rsidR="00475650" w:rsidRDefault="00475650">
      <w:pPr>
        <w:pStyle w:val="affffffff7"/>
        <w:rPr>
          <w:rFonts w:ascii="Times New Roman" w:hAnsi="Times New Roman" w:cs="Times New Roman"/>
          <w:color w:val="auto"/>
        </w:rPr>
      </w:pPr>
      <w:r>
        <w:rPr>
          <w:rFonts w:ascii="Times New Roman" w:cs="Times New Roman"/>
          <w:color w:val="auto"/>
        </w:rPr>
        <w:t>必须拟定事故应急预案，以应对可能发生的应急危害事故，一旦发生事故，即可在有充分准备的情况下，对事故进行积极处理。</w:t>
      </w:r>
    </w:p>
    <w:p w:rsidR="00475650" w:rsidRDefault="00475650">
      <w:pPr>
        <w:pStyle w:val="affffffff7"/>
        <w:rPr>
          <w:rFonts w:ascii="Times New Roman" w:hAnsi="Times New Roman" w:cs="Times New Roman"/>
          <w:color w:val="auto"/>
        </w:rPr>
      </w:pPr>
      <w:r>
        <w:rPr>
          <w:rFonts w:ascii="Times New Roman" w:cs="Times New Roman"/>
          <w:color w:val="auto"/>
        </w:rPr>
        <w:t>风险事故的应急计划包括应急状态分类、应急计划区和事故等级水平、应急防护、应急医学处理等。因此，风险事故应急计划应当包括以下内容：</w:t>
      </w:r>
    </w:p>
    <w:p w:rsidR="00475650" w:rsidRDefault="00475650">
      <w:pPr>
        <w:pStyle w:val="affffffff7"/>
        <w:rPr>
          <w:rFonts w:ascii="Times New Roman" w:hAnsi="Times New Roman" w:cs="Times New Roman"/>
          <w:color w:val="auto"/>
        </w:rPr>
      </w:pPr>
      <w:r>
        <w:rPr>
          <w:rFonts w:ascii="Times New Roman" w:hAnsi="Times New Roman" w:cs="Times New Roman"/>
          <w:color w:val="auto"/>
        </w:rPr>
        <w:t>●</w:t>
      </w:r>
      <w:r>
        <w:rPr>
          <w:rFonts w:ascii="Times New Roman" w:cs="Times New Roman"/>
          <w:color w:val="auto"/>
        </w:rPr>
        <w:t>项目在生产过程中所使用以及产生的有毒化学品、危险源的概况；</w:t>
      </w:r>
    </w:p>
    <w:p w:rsidR="00475650" w:rsidRDefault="00475650">
      <w:pPr>
        <w:pStyle w:val="affffffff7"/>
        <w:rPr>
          <w:rFonts w:ascii="Times New Roman" w:hAnsi="Times New Roman" w:cs="Times New Roman"/>
          <w:color w:val="auto"/>
        </w:rPr>
      </w:pPr>
      <w:r>
        <w:rPr>
          <w:rFonts w:ascii="Times New Roman" w:hAnsi="Times New Roman" w:cs="Times New Roman"/>
          <w:color w:val="auto"/>
        </w:rPr>
        <w:t>●</w:t>
      </w:r>
      <w:r>
        <w:rPr>
          <w:rFonts w:ascii="Times New Roman" w:cs="Times New Roman"/>
          <w:color w:val="auto"/>
        </w:rPr>
        <w:t>应急计划实施区域；</w:t>
      </w:r>
    </w:p>
    <w:p w:rsidR="00475650" w:rsidRDefault="00475650">
      <w:pPr>
        <w:pStyle w:val="affffffff7"/>
        <w:rPr>
          <w:rFonts w:ascii="Times New Roman" w:hAnsi="Times New Roman" w:cs="Times New Roman"/>
          <w:color w:val="auto"/>
        </w:rPr>
      </w:pPr>
      <w:r>
        <w:rPr>
          <w:rFonts w:ascii="Times New Roman" w:hAnsi="Times New Roman" w:cs="Times New Roman"/>
          <w:color w:val="auto"/>
        </w:rPr>
        <w:t>●</w:t>
      </w:r>
      <w:r>
        <w:rPr>
          <w:rFonts w:ascii="Times New Roman" w:cs="Times New Roman"/>
          <w:color w:val="auto"/>
        </w:rPr>
        <w:t>应急和事故灾害控制的组织、责任、授权人；</w:t>
      </w:r>
    </w:p>
    <w:p w:rsidR="00475650" w:rsidRDefault="00475650">
      <w:pPr>
        <w:pStyle w:val="affffffff7"/>
        <w:rPr>
          <w:rFonts w:ascii="Times New Roman" w:hAnsi="Times New Roman" w:cs="Times New Roman"/>
          <w:color w:val="auto"/>
        </w:rPr>
      </w:pPr>
      <w:r>
        <w:rPr>
          <w:rFonts w:ascii="Times New Roman" w:hAnsi="Times New Roman" w:cs="Times New Roman"/>
          <w:color w:val="auto"/>
        </w:rPr>
        <w:lastRenderedPageBreak/>
        <w:t>●</w:t>
      </w:r>
      <w:r>
        <w:rPr>
          <w:rFonts w:ascii="Times New Roman" w:cs="Times New Roman"/>
          <w:color w:val="auto"/>
        </w:rPr>
        <w:t>应急状态分类以及应急状态响应程序；</w:t>
      </w:r>
    </w:p>
    <w:p w:rsidR="00475650" w:rsidRDefault="00475650">
      <w:pPr>
        <w:pStyle w:val="affffffff7"/>
        <w:rPr>
          <w:rFonts w:ascii="Times New Roman" w:hAnsi="Times New Roman" w:cs="Times New Roman"/>
          <w:color w:val="auto"/>
        </w:rPr>
      </w:pPr>
      <w:r>
        <w:rPr>
          <w:rFonts w:ascii="Times New Roman" w:hAnsi="Times New Roman" w:cs="Times New Roman"/>
          <w:color w:val="auto"/>
        </w:rPr>
        <w:t>●</w:t>
      </w:r>
      <w:r>
        <w:rPr>
          <w:rFonts w:ascii="Times New Roman" w:cs="Times New Roman"/>
          <w:color w:val="auto"/>
        </w:rPr>
        <w:t>应急设备、设施、材料和人员调动系统和程序；</w:t>
      </w:r>
    </w:p>
    <w:p w:rsidR="00475650" w:rsidRDefault="00475650">
      <w:pPr>
        <w:pStyle w:val="affffffff7"/>
        <w:rPr>
          <w:rFonts w:ascii="Times New Roman" w:hAnsi="Times New Roman" w:cs="Times New Roman"/>
          <w:color w:val="auto"/>
        </w:rPr>
      </w:pPr>
      <w:r>
        <w:rPr>
          <w:rFonts w:ascii="Times New Roman" w:hAnsi="Times New Roman" w:cs="Times New Roman"/>
          <w:color w:val="auto"/>
        </w:rPr>
        <w:t>●</w:t>
      </w:r>
      <w:r>
        <w:rPr>
          <w:rFonts w:ascii="Times New Roman" w:cs="Times New Roman"/>
          <w:color w:val="auto"/>
        </w:rPr>
        <w:t>应急通知和与授权人、有关人员、相关方面的通讯系统和程序；</w:t>
      </w:r>
    </w:p>
    <w:p w:rsidR="00475650" w:rsidRDefault="00475650">
      <w:pPr>
        <w:pStyle w:val="affffffff7"/>
        <w:rPr>
          <w:rFonts w:ascii="Times New Roman" w:hAnsi="Times New Roman" w:cs="Times New Roman"/>
          <w:color w:val="auto"/>
        </w:rPr>
      </w:pPr>
      <w:r>
        <w:rPr>
          <w:rFonts w:ascii="Times New Roman" w:hAnsi="Times New Roman" w:cs="Times New Roman"/>
          <w:color w:val="auto"/>
        </w:rPr>
        <w:t>●</w:t>
      </w:r>
      <w:r>
        <w:rPr>
          <w:rFonts w:ascii="Times New Roman" w:cs="Times New Roman"/>
          <w:color w:val="auto"/>
        </w:rPr>
        <w:t>应急环境监测和事故环境影响评价；</w:t>
      </w:r>
    </w:p>
    <w:p w:rsidR="00475650" w:rsidRDefault="00475650">
      <w:pPr>
        <w:pStyle w:val="affffffff7"/>
        <w:rPr>
          <w:rFonts w:ascii="Times New Roman" w:hAnsi="Times New Roman" w:cs="Times New Roman"/>
          <w:color w:val="auto"/>
        </w:rPr>
      </w:pPr>
      <w:r>
        <w:rPr>
          <w:rFonts w:ascii="Times New Roman" w:hAnsi="Times New Roman" w:cs="Times New Roman"/>
          <w:color w:val="auto"/>
        </w:rPr>
        <w:t>●</w:t>
      </w:r>
      <w:r>
        <w:rPr>
          <w:rFonts w:ascii="Times New Roman" w:cs="Times New Roman"/>
          <w:color w:val="auto"/>
        </w:rPr>
        <w:t>应急防护措施，清除泄漏物的措施、方法和使用器材；</w:t>
      </w:r>
    </w:p>
    <w:p w:rsidR="00475650" w:rsidRDefault="00475650">
      <w:pPr>
        <w:pStyle w:val="affffffff7"/>
        <w:rPr>
          <w:rFonts w:ascii="Times New Roman" w:hAnsi="Times New Roman" w:cs="Times New Roman"/>
          <w:color w:val="auto"/>
        </w:rPr>
      </w:pPr>
      <w:r>
        <w:rPr>
          <w:rFonts w:ascii="Times New Roman" w:hAnsi="Times New Roman" w:cs="Times New Roman"/>
          <w:color w:val="auto"/>
        </w:rPr>
        <w:t>●</w:t>
      </w:r>
      <w:r>
        <w:rPr>
          <w:rFonts w:ascii="Times New Roman" w:cs="Times New Roman"/>
          <w:color w:val="auto"/>
        </w:rPr>
        <w:t>应急人员接触计量控制、人员撤离、医疗救助与公众健康保证的系统和程序；</w:t>
      </w:r>
    </w:p>
    <w:p w:rsidR="00475650" w:rsidRDefault="00475650">
      <w:pPr>
        <w:pStyle w:val="affffffff7"/>
        <w:spacing w:line="348" w:lineRule="auto"/>
        <w:rPr>
          <w:rFonts w:ascii="Times New Roman" w:hAnsi="Times New Roman" w:cs="Times New Roman"/>
          <w:color w:val="auto"/>
        </w:rPr>
      </w:pPr>
      <w:r>
        <w:rPr>
          <w:rFonts w:ascii="Times New Roman" w:hAnsi="Times New Roman" w:cs="Times New Roman"/>
          <w:color w:val="auto"/>
        </w:rPr>
        <w:t>●</w:t>
      </w:r>
      <w:r>
        <w:rPr>
          <w:rFonts w:ascii="Times New Roman" w:cs="Times New Roman"/>
          <w:color w:val="auto"/>
        </w:rPr>
        <w:t>应急状态终止与事故影响的恢复措施；</w:t>
      </w:r>
    </w:p>
    <w:p w:rsidR="00475650" w:rsidRDefault="00475650">
      <w:pPr>
        <w:pStyle w:val="affffffff7"/>
        <w:spacing w:line="348" w:lineRule="auto"/>
        <w:rPr>
          <w:rFonts w:ascii="Times New Roman" w:hAnsi="Times New Roman" w:cs="Times New Roman"/>
          <w:color w:val="auto"/>
        </w:rPr>
      </w:pPr>
      <w:r>
        <w:rPr>
          <w:rFonts w:ascii="Times New Roman" w:hAnsi="Times New Roman" w:cs="Times New Roman"/>
          <w:color w:val="auto"/>
        </w:rPr>
        <w:t>●</w:t>
      </w:r>
      <w:r>
        <w:rPr>
          <w:rFonts w:ascii="Times New Roman" w:cs="Times New Roman"/>
          <w:color w:val="auto"/>
        </w:rPr>
        <w:t>应急人员培训、演练和试验应急系统的程序；</w:t>
      </w:r>
    </w:p>
    <w:p w:rsidR="00475650" w:rsidRDefault="00475650">
      <w:pPr>
        <w:pStyle w:val="affffffff7"/>
        <w:spacing w:line="348" w:lineRule="auto"/>
        <w:rPr>
          <w:rFonts w:ascii="Times New Roman" w:hAnsi="Times New Roman" w:cs="Times New Roman"/>
          <w:color w:val="auto"/>
        </w:rPr>
      </w:pPr>
      <w:r>
        <w:rPr>
          <w:rFonts w:ascii="Times New Roman" w:hAnsi="Times New Roman" w:cs="Times New Roman"/>
          <w:color w:val="auto"/>
        </w:rPr>
        <w:t>●</w:t>
      </w:r>
      <w:r>
        <w:rPr>
          <w:rFonts w:ascii="Times New Roman" w:cs="Times New Roman"/>
          <w:color w:val="auto"/>
        </w:rPr>
        <w:t>应急事故的公众教育以及事故信息公布程序；</w:t>
      </w:r>
    </w:p>
    <w:p w:rsidR="00475650" w:rsidRDefault="00475650">
      <w:pPr>
        <w:pStyle w:val="affffffff7"/>
        <w:spacing w:line="348" w:lineRule="auto"/>
        <w:rPr>
          <w:rFonts w:ascii="Times New Roman" w:hAnsi="Times New Roman" w:cs="Times New Roman"/>
          <w:color w:val="auto"/>
        </w:rPr>
      </w:pPr>
      <w:r>
        <w:rPr>
          <w:rFonts w:ascii="Times New Roman" w:hAnsi="Times New Roman" w:cs="Times New Roman"/>
          <w:color w:val="auto"/>
        </w:rPr>
        <w:t>●</w:t>
      </w:r>
      <w:r>
        <w:rPr>
          <w:rFonts w:ascii="Times New Roman" w:cs="Times New Roman"/>
          <w:color w:val="auto"/>
        </w:rPr>
        <w:t>调动第三方资源进行应急支持的安排和程序；</w:t>
      </w:r>
    </w:p>
    <w:p w:rsidR="00475650" w:rsidRDefault="00475650">
      <w:pPr>
        <w:pStyle w:val="affffffff7"/>
        <w:spacing w:line="348" w:lineRule="auto"/>
        <w:rPr>
          <w:rFonts w:ascii="Times New Roman" w:hAnsi="Times New Roman" w:cs="Times New Roman"/>
          <w:color w:val="auto"/>
        </w:rPr>
      </w:pPr>
      <w:r>
        <w:rPr>
          <w:rFonts w:ascii="Times New Roman" w:hAnsi="Times New Roman" w:cs="Times New Roman"/>
          <w:color w:val="auto"/>
        </w:rPr>
        <w:t>●</w:t>
      </w:r>
      <w:r>
        <w:rPr>
          <w:rFonts w:ascii="Times New Roman" w:cs="Times New Roman"/>
          <w:color w:val="auto"/>
        </w:rPr>
        <w:t>事故的记录和报告程序；</w:t>
      </w:r>
    </w:p>
    <w:p w:rsidR="00475650" w:rsidRDefault="00475650">
      <w:pPr>
        <w:pStyle w:val="affffffff7"/>
        <w:spacing w:line="348" w:lineRule="auto"/>
        <w:rPr>
          <w:rFonts w:ascii="Times New Roman" w:hAnsi="Times New Roman" w:cs="Times New Roman"/>
          <w:color w:val="auto"/>
        </w:rPr>
      </w:pPr>
      <w:r>
        <w:rPr>
          <w:rFonts w:ascii="Times New Roman" w:cs="Times New Roman"/>
          <w:color w:val="auto"/>
        </w:rPr>
        <w:t>（</w:t>
      </w:r>
      <w:r>
        <w:rPr>
          <w:rFonts w:ascii="Times New Roman" w:hAnsi="Times New Roman" w:cs="Times New Roman"/>
          <w:color w:val="auto"/>
        </w:rPr>
        <w:t>3</w:t>
      </w:r>
      <w:r>
        <w:rPr>
          <w:rFonts w:ascii="Times New Roman" w:cs="Times New Roman"/>
          <w:color w:val="auto"/>
        </w:rPr>
        <w:t>）一旦发生风险事故</w:t>
      </w:r>
    </w:p>
    <w:p w:rsidR="00475650" w:rsidRDefault="00475650">
      <w:pPr>
        <w:snapToGrid w:val="0"/>
        <w:spacing w:line="348" w:lineRule="auto"/>
        <w:ind w:firstLineChars="200" w:firstLine="480"/>
        <w:rPr>
          <w:sz w:val="24"/>
        </w:rPr>
      </w:pPr>
      <w:bookmarkStart w:id="940" w:name="_Toc270623024"/>
      <w:bookmarkStart w:id="941" w:name="_Toc270867261"/>
      <w:r>
        <w:rPr>
          <w:rFonts w:hAnsi="宋体"/>
          <w:sz w:val="24"/>
        </w:rPr>
        <w:t>建立、完善应急通信系统，在应急工作中确保应急通信畅通，一旦发生风险事故，在最短的时间内与公司内应急部门取得联系并启动应急系统，根据事故情况确定疏散下风向的人群。各储罐（包括中间罐）周边设置有围堰，围堰需保证接纳容量，一旦发生泄漏能将事故液阻隔在围堰内，并启动输送泵将事故液送至装置区的备用罐，事故液收集后纳入自建事故池内暂存，待污水处理站负荷降低时，送自建污水处理站有效处理。</w:t>
      </w:r>
    </w:p>
    <w:p w:rsidR="00475650" w:rsidRDefault="00475650">
      <w:pPr>
        <w:pStyle w:val="h"/>
        <w:spacing w:before="100" w:beforeAutospacing="1" w:after="100" w:afterAutospacing="1" w:line="348" w:lineRule="auto"/>
        <w:ind w:firstLine="0"/>
        <w:outlineLvl w:val="0"/>
        <w:rPr>
          <w:rStyle w:val="2Char1Char"/>
          <w:rFonts w:ascii="Times New Roman" w:eastAsia="宋体" w:hAnsi="Times New Roman" w:cs="Times New Roman"/>
          <w:b w:val="0"/>
          <w:sz w:val="28"/>
          <w:szCs w:val="28"/>
        </w:rPr>
      </w:pPr>
      <w:bookmarkStart w:id="942" w:name="_Toc13542"/>
      <w:bookmarkStart w:id="943" w:name="_Toc332293054"/>
      <w:bookmarkStart w:id="944" w:name="_Toc270623035"/>
      <w:bookmarkEnd w:id="940"/>
      <w:bookmarkEnd w:id="941"/>
      <w:r>
        <w:rPr>
          <w:rStyle w:val="2Char1Char"/>
          <w:rFonts w:ascii="Times New Roman" w:eastAsia="宋体" w:hAnsi="Times New Roman" w:cs="Times New Roman"/>
          <w:b w:val="0"/>
          <w:sz w:val="28"/>
          <w:szCs w:val="28"/>
        </w:rPr>
        <w:t>6.7</w:t>
      </w:r>
      <w:r>
        <w:rPr>
          <w:rStyle w:val="2Char1Char"/>
          <w:rFonts w:ascii="Times New Roman" w:eastAsia="宋体" w:hAnsi="宋体" w:cs="Times New Roman"/>
          <w:b w:val="0"/>
          <w:sz w:val="28"/>
          <w:szCs w:val="28"/>
        </w:rPr>
        <w:t>安全预评价结论</w:t>
      </w:r>
      <w:bookmarkEnd w:id="942"/>
    </w:p>
    <w:p w:rsidR="00475650" w:rsidRDefault="00475650">
      <w:pPr>
        <w:spacing w:line="360" w:lineRule="auto"/>
        <w:ind w:firstLine="560"/>
        <w:rPr>
          <w:b/>
          <w:sz w:val="30"/>
          <w:szCs w:val="28"/>
        </w:rPr>
      </w:pPr>
      <w:r>
        <w:rPr>
          <w:rFonts w:hAnsi="宋体"/>
          <w:sz w:val="24"/>
        </w:rPr>
        <w:t>公司于</w:t>
      </w:r>
      <w:r>
        <w:rPr>
          <w:sz w:val="24"/>
        </w:rPr>
        <w:t>2014</w:t>
      </w:r>
      <w:r>
        <w:rPr>
          <w:rFonts w:hAnsi="宋体"/>
          <w:sz w:val="24"/>
        </w:rPr>
        <w:t>年委托湖南诺卫安全环境技术服务有限公司编制了本项目安全预评价报告，岳阳市安全生产监督管理局以岳市危化项目设立审字</w:t>
      </w:r>
      <w:r>
        <w:rPr>
          <w:sz w:val="24"/>
        </w:rPr>
        <w:t>[2014]23</w:t>
      </w:r>
      <w:r>
        <w:rPr>
          <w:rFonts w:hAnsi="宋体"/>
          <w:sz w:val="24"/>
        </w:rPr>
        <w:t>号文件出具了</w:t>
      </w:r>
      <w:r>
        <w:rPr>
          <w:sz w:val="24"/>
        </w:rPr>
        <w:t>“</w:t>
      </w:r>
      <w:r>
        <w:rPr>
          <w:rFonts w:hAnsi="宋体"/>
          <w:sz w:val="24"/>
        </w:rPr>
        <w:t>危险化学品建设项目安全条件审查意见书</w:t>
      </w:r>
      <w:r>
        <w:rPr>
          <w:sz w:val="24"/>
        </w:rPr>
        <w:t>”</w:t>
      </w:r>
      <w:r>
        <w:rPr>
          <w:rFonts w:hAnsi="宋体"/>
          <w:sz w:val="24"/>
        </w:rPr>
        <w:t>，同意本项目的建设。本处引用该报告中结论部分阐述项目的安全情况：临湘市鹏程化工有限公司年产</w:t>
      </w:r>
      <w:r>
        <w:rPr>
          <w:sz w:val="24"/>
        </w:rPr>
        <w:t>6000</w:t>
      </w:r>
      <w:r>
        <w:rPr>
          <w:rFonts w:hAnsi="宋体"/>
          <w:sz w:val="24"/>
        </w:rPr>
        <w:t>吨弱酸性染料建设项目在认真、严格按照本安全设施设计要求建设、实施后，本项目符合国家安全法律、法规和标准要求，可以满足安全生产的需要。</w:t>
      </w:r>
    </w:p>
    <w:p w:rsidR="00475650" w:rsidRDefault="00475650">
      <w:pPr>
        <w:pStyle w:val="h"/>
        <w:spacing w:before="100" w:beforeAutospacing="1" w:after="100" w:afterAutospacing="1" w:line="348" w:lineRule="auto"/>
        <w:ind w:firstLine="0"/>
        <w:outlineLvl w:val="0"/>
        <w:rPr>
          <w:rStyle w:val="2Char1Char"/>
          <w:rFonts w:ascii="Times New Roman" w:eastAsia="宋体" w:hAnsi="Times New Roman" w:cs="Times New Roman"/>
          <w:b w:val="0"/>
          <w:sz w:val="28"/>
          <w:szCs w:val="28"/>
        </w:rPr>
      </w:pPr>
      <w:bookmarkStart w:id="945" w:name="_Toc15338"/>
      <w:r>
        <w:rPr>
          <w:rStyle w:val="2Char1Char"/>
          <w:rFonts w:ascii="Times New Roman" w:eastAsia="宋体" w:hAnsi="Times New Roman" w:cs="Times New Roman"/>
          <w:b w:val="0"/>
          <w:sz w:val="28"/>
          <w:szCs w:val="28"/>
        </w:rPr>
        <w:t>6.8</w:t>
      </w:r>
      <w:r>
        <w:rPr>
          <w:rStyle w:val="2Char1Char"/>
          <w:rFonts w:ascii="Times New Roman" w:eastAsia="宋体" w:hAnsi="宋体" w:cs="Times New Roman"/>
          <w:b w:val="0"/>
          <w:sz w:val="28"/>
          <w:szCs w:val="28"/>
        </w:rPr>
        <w:t>建议</w:t>
      </w:r>
      <w:bookmarkEnd w:id="943"/>
      <w:bookmarkEnd w:id="944"/>
      <w:bookmarkEnd w:id="945"/>
    </w:p>
    <w:p w:rsidR="00475650" w:rsidRDefault="00475650">
      <w:pPr>
        <w:spacing w:line="348" w:lineRule="auto"/>
        <w:ind w:firstLineChars="200" w:firstLine="480"/>
        <w:rPr>
          <w:sz w:val="24"/>
        </w:rPr>
      </w:pPr>
      <w:r>
        <w:rPr>
          <w:sz w:val="24"/>
        </w:rPr>
        <w:t>(1)</w:t>
      </w:r>
      <w:r>
        <w:rPr>
          <w:rFonts w:hAnsi="宋体"/>
          <w:sz w:val="24"/>
        </w:rPr>
        <w:t>企业必须按照国家颁布的《危险化学品事故应急救援预案编制导则》的要求，</w:t>
      </w:r>
      <w:r>
        <w:rPr>
          <w:rFonts w:hAnsi="宋体"/>
          <w:sz w:val="24"/>
        </w:rPr>
        <w:lastRenderedPageBreak/>
        <w:t>结合项目自身特点，尽快编制拟建项目的应急预案。</w:t>
      </w:r>
    </w:p>
    <w:p w:rsidR="00475650" w:rsidRDefault="00475650">
      <w:pPr>
        <w:spacing w:line="348" w:lineRule="auto"/>
        <w:ind w:firstLineChars="200" w:firstLine="480"/>
        <w:rPr>
          <w:sz w:val="24"/>
        </w:rPr>
      </w:pPr>
      <w:r>
        <w:rPr>
          <w:sz w:val="24"/>
        </w:rPr>
        <w:t>(2)</w:t>
      </w:r>
      <w:r>
        <w:rPr>
          <w:sz w:val="24"/>
        </w:rPr>
        <w:t>环境风险防范措施和应急预案应列入环境风险验收</w:t>
      </w:r>
      <w:r>
        <w:rPr>
          <w:sz w:val="24"/>
        </w:rPr>
        <w:t>“</w:t>
      </w:r>
      <w:r>
        <w:rPr>
          <w:sz w:val="24"/>
        </w:rPr>
        <w:t>三同时</w:t>
      </w:r>
      <w:r>
        <w:rPr>
          <w:sz w:val="24"/>
        </w:rPr>
        <w:t>”</w:t>
      </w:r>
      <w:r>
        <w:rPr>
          <w:sz w:val="24"/>
        </w:rPr>
        <w:t>检查内。</w:t>
      </w:r>
    </w:p>
    <w:p w:rsidR="00475650" w:rsidRDefault="00475650">
      <w:pPr>
        <w:spacing w:line="348" w:lineRule="auto"/>
        <w:ind w:firstLineChars="200" w:firstLine="480"/>
        <w:rPr>
          <w:sz w:val="24"/>
        </w:rPr>
      </w:pPr>
      <w:r>
        <w:rPr>
          <w:sz w:val="24"/>
        </w:rPr>
        <w:t>(3)</w:t>
      </w:r>
      <w:r>
        <w:rPr>
          <w:sz w:val="24"/>
        </w:rPr>
        <w:t>公司应严格按照安全预评价及安全管理部门提出的要求实施安全生产，避免应安全事故带来环境污染事故。</w:t>
      </w:r>
    </w:p>
    <w:p w:rsidR="00475650" w:rsidRDefault="00475650">
      <w:pPr>
        <w:spacing w:line="348" w:lineRule="auto"/>
        <w:ind w:firstLineChars="200" w:firstLine="480"/>
        <w:rPr>
          <w:sz w:val="24"/>
        </w:rPr>
        <w:sectPr w:rsidR="00475650">
          <w:footerReference w:type="even" r:id="rId91"/>
          <w:footerReference w:type="default" r:id="rId92"/>
          <w:pgSz w:w="11906" w:h="16838"/>
          <w:pgMar w:top="1701" w:right="1588" w:bottom="1418" w:left="1588" w:header="851" w:footer="992" w:gutter="0"/>
          <w:paperSrc w:first="7" w:other="7"/>
          <w:cols w:space="720"/>
          <w:docGrid w:linePitch="312"/>
        </w:sectPr>
      </w:pPr>
      <w:r>
        <w:rPr>
          <w:rFonts w:hint="eastAsia"/>
          <w:sz w:val="24"/>
        </w:rPr>
        <w:t>(4)</w:t>
      </w:r>
      <w:r>
        <w:rPr>
          <w:rFonts w:hint="eastAsia"/>
          <w:sz w:val="24"/>
        </w:rPr>
        <w:t>加强公司现有工程氯气罐及盐酸罐的风险管理，避免风险事故的发生。</w:t>
      </w:r>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rPr>
      </w:pPr>
      <w:bookmarkStart w:id="946" w:name="_Toc332293055"/>
      <w:bookmarkStart w:id="947" w:name="_Toc1160"/>
      <w:r>
        <w:rPr>
          <w:rStyle w:val="2Char1Char"/>
          <w:rFonts w:ascii="Times New Roman" w:eastAsia="宋体" w:hAnsi="Times New Roman" w:cs="Times New Roman"/>
          <w:b w:val="0"/>
        </w:rPr>
        <w:lastRenderedPageBreak/>
        <w:t xml:space="preserve">7 </w:t>
      </w:r>
      <w:r>
        <w:rPr>
          <w:rStyle w:val="2Char1Char"/>
          <w:rFonts w:ascii="Times New Roman" w:eastAsia="宋体" w:hAnsi="宋体" w:cs="Times New Roman"/>
          <w:b w:val="0"/>
        </w:rPr>
        <w:t>污染防治措施有效性及达标排放可靠性分析</w:t>
      </w:r>
      <w:bookmarkEnd w:id="946"/>
      <w:bookmarkEnd w:id="947"/>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948" w:name="_Toc302936795"/>
      <w:bookmarkStart w:id="949" w:name="_Toc332293056"/>
      <w:bookmarkStart w:id="950" w:name="_Toc6051"/>
      <w:r>
        <w:rPr>
          <w:rStyle w:val="2Char1Char"/>
          <w:rFonts w:ascii="Times New Roman" w:eastAsia="宋体" w:hAnsi="Times New Roman" w:cs="Times New Roman"/>
          <w:b w:val="0"/>
          <w:sz w:val="24"/>
          <w:szCs w:val="24"/>
        </w:rPr>
        <w:t>7.1</w:t>
      </w:r>
      <w:r>
        <w:rPr>
          <w:rStyle w:val="2Char1Char"/>
          <w:rFonts w:ascii="Times New Roman" w:eastAsia="宋体" w:hAnsi="宋体" w:cs="Times New Roman"/>
          <w:b w:val="0"/>
          <w:sz w:val="24"/>
          <w:szCs w:val="24"/>
        </w:rPr>
        <w:t>废水污染防治措施</w:t>
      </w:r>
      <w:bookmarkEnd w:id="948"/>
      <w:bookmarkEnd w:id="949"/>
      <w:bookmarkEnd w:id="950"/>
    </w:p>
    <w:p w:rsidR="00475650" w:rsidRDefault="00475650">
      <w:pPr>
        <w:spacing w:line="360" w:lineRule="auto"/>
        <w:ind w:firstLineChars="200" w:firstLine="480"/>
        <w:rPr>
          <w:spacing w:val="-4"/>
          <w:sz w:val="24"/>
        </w:rPr>
      </w:pPr>
      <w:r>
        <w:rPr>
          <w:rFonts w:hAnsi="宋体"/>
          <w:sz w:val="24"/>
        </w:rPr>
        <w:t>通过工程分析章节可知，本项目生产废水处理采用</w:t>
      </w:r>
      <w:r>
        <w:rPr>
          <w:sz w:val="24"/>
        </w:rPr>
        <w:t>“</w:t>
      </w:r>
      <w:r>
        <w:rPr>
          <w:rFonts w:hint="eastAsia"/>
          <w:sz w:val="24"/>
        </w:rPr>
        <w:t>隔油</w:t>
      </w:r>
      <w:r>
        <w:rPr>
          <w:rFonts w:hint="eastAsia"/>
          <w:sz w:val="24"/>
        </w:rPr>
        <w:t>+</w:t>
      </w:r>
      <w:r>
        <w:rPr>
          <w:sz w:val="24"/>
        </w:rPr>
        <w:t>pH</w:t>
      </w:r>
      <w:r>
        <w:rPr>
          <w:rFonts w:hAnsi="宋体"/>
          <w:sz w:val="24"/>
        </w:rPr>
        <w:t>调节沉淀</w:t>
      </w:r>
      <w:r>
        <w:rPr>
          <w:sz w:val="24"/>
        </w:rPr>
        <w:t>+</w:t>
      </w:r>
      <w:r>
        <w:rPr>
          <w:rFonts w:hint="eastAsia"/>
          <w:sz w:val="24"/>
        </w:rPr>
        <w:t>活性炭吸附</w:t>
      </w:r>
      <w:r>
        <w:rPr>
          <w:rFonts w:hint="eastAsia"/>
          <w:sz w:val="24"/>
        </w:rPr>
        <w:t>+</w:t>
      </w:r>
      <w:r>
        <w:rPr>
          <w:rFonts w:hAnsi="宋体"/>
          <w:sz w:val="24"/>
        </w:rPr>
        <w:t>蒸发脱盐</w:t>
      </w:r>
      <w:r>
        <w:rPr>
          <w:sz w:val="24"/>
        </w:rPr>
        <w:t>+</w:t>
      </w:r>
      <w:r>
        <w:rPr>
          <w:rFonts w:hAnsi="宋体"/>
          <w:sz w:val="24"/>
        </w:rPr>
        <w:t>微电解</w:t>
      </w:r>
      <w:r>
        <w:rPr>
          <w:sz w:val="24"/>
        </w:rPr>
        <w:t>+</w:t>
      </w:r>
      <w:r>
        <w:rPr>
          <w:rFonts w:hAnsi="宋体"/>
          <w:sz w:val="24"/>
        </w:rPr>
        <w:t>化学氧化</w:t>
      </w:r>
      <w:r>
        <w:rPr>
          <w:sz w:val="24"/>
        </w:rPr>
        <w:t>+</w:t>
      </w:r>
      <w:r>
        <w:rPr>
          <w:rFonts w:hAnsi="宋体"/>
          <w:sz w:val="24"/>
        </w:rPr>
        <w:t>厌氧生化</w:t>
      </w:r>
      <w:r>
        <w:rPr>
          <w:sz w:val="24"/>
        </w:rPr>
        <w:t>+</w:t>
      </w:r>
      <w:r>
        <w:rPr>
          <w:rFonts w:hAnsi="宋体"/>
          <w:sz w:val="24"/>
        </w:rPr>
        <w:t>生物滤池处理</w:t>
      </w:r>
      <w:r>
        <w:rPr>
          <w:rFonts w:hAnsi="宋体" w:hint="eastAsia"/>
          <w:sz w:val="24"/>
        </w:rPr>
        <w:t>+</w:t>
      </w:r>
      <w:r>
        <w:rPr>
          <w:rFonts w:hAnsi="宋体" w:hint="eastAsia"/>
          <w:sz w:val="24"/>
        </w:rPr>
        <w:t>炉膛煤渣吸附</w:t>
      </w:r>
      <w:r>
        <w:rPr>
          <w:sz w:val="24"/>
        </w:rPr>
        <w:t>”</w:t>
      </w:r>
      <w:r>
        <w:rPr>
          <w:rFonts w:hAnsi="宋体"/>
          <w:sz w:val="24"/>
        </w:rPr>
        <w:t>预处理后送园区污水处理厂处理；生活废水经总排口直接送园区污水处理厂处理。经分析知，总排口的</w:t>
      </w:r>
      <w:r>
        <w:rPr>
          <w:rFonts w:hAnsi="宋体"/>
          <w:spacing w:val="-4"/>
          <w:sz w:val="24"/>
        </w:rPr>
        <w:t>水质水量均能满足依托设施进水要求；因此，本项目设定的排水方案能满足废水有效处理处置的要求，</w:t>
      </w:r>
      <w:r>
        <w:rPr>
          <w:rFonts w:hAnsi="宋体" w:hint="eastAsia"/>
          <w:spacing w:val="-4"/>
          <w:sz w:val="24"/>
        </w:rPr>
        <w:t>从技术及环评角度考虑，废水</w:t>
      </w:r>
      <w:r>
        <w:rPr>
          <w:rFonts w:hAnsi="宋体"/>
          <w:spacing w:val="-4"/>
          <w:sz w:val="24"/>
        </w:rPr>
        <w:t>污染防治措施有效可行。</w:t>
      </w:r>
      <w:r>
        <w:rPr>
          <w:rFonts w:hAnsi="宋体" w:hint="eastAsia"/>
          <w:spacing w:val="-4"/>
          <w:sz w:val="24"/>
        </w:rPr>
        <w:t>考虑到吨水耗资，微电解等处理措施费用均较高，从经济角度考虑，建议业主在废水满足园区进水水质要求的前提下进一步优化废水处理措施。</w:t>
      </w:r>
    </w:p>
    <w:p w:rsidR="00475650" w:rsidRDefault="00475650">
      <w:pPr>
        <w:spacing w:line="360" w:lineRule="auto"/>
        <w:ind w:firstLineChars="200" w:firstLine="464"/>
        <w:rPr>
          <w:rFonts w:hAnsi="宋体"/>
          <w:sz w:val="24"/>
        </w:rPr>
      </w:pPr>
      <w:r>
        <w:rPr>
          <w:rFonts w:hAnsi="宋体"/>
          <w:spacing w:val="-4"/>
          <w:sz w:val="24"/>
        </w:rPr>
        <w:t>项目位于</w:t>
      </w:r>
      <w:r>
        <w:rPr>
          <w:rFonts w:hAnsi="宋体"/>
          <w:sz w:val="24"/>
        </w:rPr>
        <w:t>临湘市鹏程化工有限公司预留地内，依托现有工程已有的</w:t>
      </w:r>
      <w:r>
        <w:rPr>
          <w:sz w:val="24"/>
        </w:rPr>
        <w:t>500 m</w:t>
      </w:r>
      <w:r>
        <w:rPr>
          <w:sz w:val="24"/>
          <w:vertAlign w:val="superscript"/>
        </w:rPr>
        <w:t>3</w:t>
      </w:r>
      <w:r>
        <w:rPr>
          <w:rFonts w:hAnsi="宋体"/>
          <w:sz w:val="24"/>
        </w:rPr>
        <w:t>废水事故池</w:t>
      </w:r>
      <w:r>
        <w:rPr>
          <w:rFonts w:hAnsi="宋体" w:hint="eastAsia"/>
          <w:sz w:val="24"/>
        </w:rPr>
        <w:t>、</w:t>
      </w:r>
      <w:r>
        <w:rPr>
          <w:rFonts w:hAnsi="宋体"/>
          <w:sz w:val="24"/>
        </w:rPr>
        <w:t>自建污水处理站调节池对事故液进行收集，依托现有工程已有的</w:t>
      </w:r>
      <w:r>
        <w:rPr>
          <w:sz w:val="24"/>
        </w:rPr>
        <w:t>350 m</w:t>
      </w:r>
      <w:r>
        <w:rPr>
          <w:sz w:val="24"/>
          <w:vertAlign w:val="superscript"/>
        </w:rPr>
        <w:t>3</w:t>
      </w:r>
      <w:r>
        <w:rPr>
          <w:rFonts w:hAnsi="宋体"/>
          <w:sz w:val="24"/>
        </w:rPr>
        <w:t>的初期雨水收集池对项目区的初期雨水进行收集。本项目事故液</w:t>
      </w:r>
      <w:r>
        <w:rPr>
          <w:rFonts w:hAnsi="宋体" w:hint="eastAsia"/>
          <w:sz w:val="24"/>
        </w:rPr>
        <w:t>主要</w:t>
      </w:r>
      <w:r>
        <w:rPr>
          <w:rFonts w:hAnsi="宋体"/>
          <w:sz w:val="24"/>
        </w:rPr>
        <w:t>为中间罐区盐酸液</w:t>
      </w:r>
      <w:r>
        <w:rPr>
          <w:rFonts w:hAnsi="宋体" w:hint="eastAsia"/>
          <w:sz w:val="24"/>
        </w:rPr>
        <w:t>以及易燃品燃烧事故带来的消防液</w:t>
      </w:r>
      <w:r>
        <w:rPr>
          <w:rFonts w:hAnsi="宋体"/>
          <w:sz w:val="24"/>
        </w:rPr>
        <w:t>，产生量低于</w:t>
      </w:r>
      <w:r>
        <w:rPr>
          <w:rFonts w:hint="eastAsia"/>
          <w:sz w:val="24"/>
        </w:rPr>
        <w:t>10</w:t>
      </w:r>
      <w:r>
        <w:rPr>
          <w:sz w:val="24"/>
        </w:rPr>
        <w:t>0m</w:t>
      </w:r>
      <w:r>
        <w:rPr>
          <w:sz w:val="24"/>
          <w:vertAlign w:val="superscript"/>
        </w:rPr>
        <w:t>3</w:t>
      </w:r>
      <w:r>
        <w:rPr>
          <w:rFonts w:hAnsi="宋体"/>
          <w:sz w:val="24"/>
        </w:rPr>
        <w:t>，依托工程容积满足事故液暂存要求，现有工程初期雨水收集池容积已考虑全厂作业场所初期雨水的收集要求且本项目位于公司预留地的厂房内，依托有效</w:t>
      </w:r>
      <w:r>
        <w:rPr>
          <w:rFonts w:hAnsi="宋体" w:hint="eastAsia"/>
          <w:sz w:val="24"/>
        </w:rPr>
        <w:t>。事故液送自建的污水处理站处理达标后外排园区污水处理厂。</w:t>
      </w:r>
      <w:r>
        <w:rPr>
          <w:rFonts w:hAnsi="宋体" w:hint="eastAsia"/>
          <w:sz w:val="24"/>
          <w:u w:val="single"/>
        </w:rPr>
        <w:t>目前，鹏程化工有限公司排污管网已并入园区污水管网（一企一管）到园区污水处理厂进行处理（证明见附件）。</w:t>
      </w:r>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951" w:name="_Toc332293062"/>
      <w:bookmarkStart w:id="952" w:name="_Toc302936798"/>
      <w:bookmarkStart w:id="953" w:name="_Toc17825"/>
      <w:r>
        <w:rPr>
          <w:rStyle w:val="2Char1Char"/>
          <w:rFonts w:ascii="Times New Roman" w:eastAsia="宋体" w:hAnsi="Times New Roman" w:cs="Times New Roman"/>
          <w:b w:val="0"/>
          <w:sz w:val="24"/>
          <w:szCs w:val="24"/>
        </w:rPr>
        <w:t xml:space="preserve">7.2 </w:t>
      </w:r>
      <w:r>
        <w:rPr>
          <w:rStyle w:val="2Char1Char"/>
          <w:rFonts w:ascii="Times New Roman" w:eastAsia="宋体" w:hAnsi="宋体" w:cs="Times New Roman"/>
          <w:b w:val="0"/>
          <w:sz w:val="24"/>
          <w:szCs w:val="24"/>
        </w:rPr>
        <w:t>废气污染防治措施可行性分析</w:t>
      </w:r>
      <w:bookmarkEnd w:id="951"/>
      <w:bookmarkEnd w:id="952"/>
      <w:bookmarkEnd w:id="953"/>
    </w:p>
    <w:p w:rsidR="00475650" w:rsidRDefault="00475650">
      <w:pPr>
        <w:snapToGrid w:val="0"/>
        <w:spacing w:line="360" w:lineRule="auto"/>
        <w:ind w:firstLineChars="200" w:firstLine="480"/>
        <w:rPr>
          <w:rFonts w:hAnsi="宋体"/>
          <w:spacing w:val="-4"/>
          <w:sz w:val="24"/>
        </w:rPr>
      </w:pPr>
      <w:r>
        <w:rPr>
          <w:rFonts w:hAnsi="宋体" w:hint="eastAsia"/>
          <w:sz w:val="24"/>
        </w:rPr>
        <w:t>根据工程分析</w:t>
      </w:r>
      <w:r>
        <w:rPr>
          <w:rFonts w:hAnsi="宋体"/>
          <w:sz w:val="24"/>
        </w:rPr>
        <w:t>结果</w:t>
      </w:r>
      <w:r>
        <w:rPr>
          <w:rFonts w:hAnsi="宋体" w:hint="eastAsia"/>
          <w:sz w:val="24"/>
        </w:rPr>
        <w:t>，生产车间产生的废气中主要的污染因子有氯化氢、氨和粉尘，采用负压收集后集中处理，其中氯化氢经碱液喷淋后由集中排气筒外排，含尘尾气中粉尘经过布袋收尘后由集中排气筒外排，项目设一个防腐排气筒，高</w:t>
      </w:r>
      <w:r>
        <w:rPr>
          <w:rFonts w:hAnsi="宋体" w:hint="eastAsia"/>
          <w:sz w:val="24"/>
        </w:rPr>
        <w:t>15m</w:t>
      </w:r>
      <w:r>
        <w:rPr>
          <w:rFonts w:hAnsi="宋体" w:hint="eastAsia"/>
          <w:sz w:val="24"/>
        </w:rPr>
        <w:t>，内径</w:t>
      </w:r>
      <w:r>
        <w:rPr>
          <w:rFonts w:hAnsi="宋体" w:hint="eastAsia"/>
          <w:sz w:val="24"/>
        </w:rPr>
        <w:t>0.6m</w:t>
      </w:r>
      <w:r>
        <w:rPr>
          <w:rFonts w:hAnsi="宋体" w:hint="eastAsia"/>
          <w:sz w:val="24"/>
        </w:rPr>
        <w:t>；采取有效污染防治措施后，</w:t>
      </w:r>
      <w:r>
        <w:rPr>
          <w:rFonts w:hAnsi="宋体" w:hint="eastAsia"/>
          <w:spacing w:val="-4"/>
          <w:sz w:val="24"/>
        </w:rPr>
        <w:t>车间无组织外排污染物的量为：氯化氢</w:t>
      </w:r>
      <w:r>
        <w:rPr>
          <w:rFonts w:hAnsi="宋体" w:hint="eastAsia"/>
          <w:spacing w:val="-4"/>
          <w:sz w:val="24"/>
        </w:rPr>
        <w:t>0.25t/a</w:t>
      </w:r>
      <w:r>
        <w:rPr>
          <w:rFonts w:hAnsi="宋体" w:hint="eastAsia"/>
          <w:spacing w:val="-4"/>
          <w:sz w:val="24"/>
        </w:rPr>
        <w:t>，氨</w:t>
      </w:r>
      <w:r>
        <w:rPr>
          <w:rFonts w:hAnsi="宋体" w:hint="eastAsia"/>
          <w:spacing w:val="-4"/>
          <w:sz w:val="24"/>
        </w:rPr>
        <w:t>0.014t/a</w:t>
      </w:r>
      <w:r>
        <w:rPr>
          <w:rFonts w:hAnsi="宋体" w:hint="eastAsia"/>
          <w:spacing w:val="-4"/>
          <w:sz w:val="24"/>
        </w:rPr>
        <w:t>，粉尘</w:t>
      </w:r>
      <w:r>
        <w:rPr>
          <w:rFonts w:hAnsi="宋体" w:hint="eastAsia"/>
          <w:spacing w:val="-4"/>
          <w:sz w:val="24"/>
        </w:rPr>
        <w:t>0.71t/a</w:t>
      </w:r>
      <w:r>
        <w:rPr>
          <w:rFonts w:hAnsi="宋体" w:hint="eastAsia"/>
          <w:spacing w:val="-4"/>
          <w:sz w:val="24"/>
        </w:rPr>
        <w:t>；通过高点有组织外排污染物的量为：氯化氢</w:t>
      </w:r>
      <w:r>
        <w:rPr>
          <w:rFonts w:hAnsi="宋体" w:hint="eastAsia"/>
          <w:spacing w:val="-4"/>
          <w:sz w:val="24"/>
        </w:rPr>
        <w:t>0.101kg/h</w:t>
      </w:r>
      <w:r>
        <w:rPr>
          <w:rFonts w:hAnsi="宋体" w:hint="eastAsia"/>
          <w:spacing w:val="-4"/>
          <w:sz w:val="24"/>
        </w:rPr>
        <w:t>（</w:t>
      </w:r>
      <w:r>
        <w:rPr>
          <w:rFonts w:hAnsi="宋体" w:hint="eastAsia"/>
          <w:spacing w:val="-4"/>
          <w:sz w:val="24"/>
        </w:rPr>
        <w:t>6.733 mg/m</w:t>
      </w:r>
      <w:r>
        <w:rPr>
          <w:rFonts w:hAnsi="宋体" w:hint="eastAsia"/>
          <w:spacing w:val="-4"/>
          <w:sz w:val="24"/>
          <w:vertAlign w:val="superscript"/>
        </w:rPr>
        <w:t>3</w:t>
      </w:r>
      <w:r>
        <w:rPr>
          <w:rFonts w:hAnsi="宋体" w:hint="eastAsia"/>
          <w:spacing w:val="-4"/>
          <w:sz w:val="24"/>
        </w:rPr>
        <w:t>），氨</w:t>
      </w:r>
      <w:r>
        <w:rPr>
          <w:rFonts w:hAnsi="宋体" w:hint="eastAsia"/>
          <w:spacing w:val="-4"/>
          <w:sz w:val="24"/>
        </w:rPr>
        <w:t>0.036 kg/h</w:t>
      </w:r>
      <w:r>
        <w:rPr>
          <w:rFonts w:hAnsi="宋体" w:hint="eastAsia"/>
          <w:spacing w:val="-4"/>
          <w:sz w:val="24"/>
        </w:rPr>
        <w:t>（</w:t>
      </w:r>
      <w:r>
        <w:rPr>
          <w:rFonts w:hAnsi="宋体" w:hint="eastAsia"/>
          <w:spacing w:val="-4"/>
          <w:sz w:val="24"/>
        </w:rPr>
        <w:t>2.4 mg/m</w:t>
      </w:r>
      <w:r>
        <w:rPr>
          <w:rFonts w:hAnsi="宋体" w:hint="eastAsia"/>
          <w:spacing w:val="-4"/>
          <w:sz w:val="24"/>
          <w:vertAlign w:val="superscript"/>
        </w:rPr>
        <w:t>3</w:t>
      </w:r>
      <w:r>
        <w:rPr>
          <w:rFonts w:hAnsi="宋体" w:hint="eastAsia"/>
          <w:spacing w:val="-4"/>
          <w:sz w:val="24"/>
        </w:rPr>
        <w:t>），粉尘</w:t>
      </w:r>
      <w:r>
        <w:rPr>
          <w:rFonts w:hAnsi="宋体" w:hint="eastAsia"/>
          <w:spacing w:val="-4"/>
          <w:sz w:val="24"/>
        </w:rPr>
        <w:t>0.158 kg/h</w:t>
      </w:r>
      <w:r>
        <w:rPr>
          <w:rFonts w:hAnsi="宋体" w:hint="eastAsia"/>
          <w:spacing w:val="-4"/>
          <w:sz w:val="24"/>
        </w:rPr>
        <w:t>（</w:t>
      </w:r>
      <w:r>
        <w:rPr>
          <w:rFonts w:hAnsi="宋体" w:hint="eastAsia"/>
          <w:spacing w:val="-4"/>
          <w:sz w:val="24"/>
        </w:rPr>
        <w:t>10.533mg/m</w:t>
      </w:r>
      <w:r>
        <w:rPr>
          <w:rFonts w:hAnsi="宋体" w:hint="eastAsia"/>
          <w:spacing w:val="-4"/>
          <w:sz w:val="24"/>
          <w:vertAlign w:val="superscript"/>
        </w:rPr>
        <w:t>3</w:t>
      </w:r>
      <w:r>
        <w:rPr>
          <w:rFonts w:hAnsi="宋体" w:hint="eastAsia"/>
          <w:spacing w:val="-4"/>
          <w:sz w:val="24"/>
        </w:rPr>
        <w:t>）；根据《大气污染物综合排放标准》（</w:t>
      </w:r>
      <w:r>
        <w:rPr>
          <w:rFonts w:hAnsi="宋体" w:hint="eastAsia"/>
          <w:spacing w:val="-4"/>
          <w:sz w:val="24"/>
        </w:rPr>
        <w:t>GB16297-1996</w:t>
      </w:r>
      <w:r>
        <w:rPr>
          <w:rFonts w:hAnsi="宋体" w:hint="eastAsia"/>
          <w:spacing w:val="-4"/>
          <w:sz w:val="24"/>
        </w:rPr>
        <w:t>），</w:t>
      </w:r>
      <w:r>
        <w:rPr>
          <w:rFonts w:hAnsi="宋体" w:hint="eastAsia"/>
          <w:spacing w:val="-4"/>
          <w:sz w:val="24"/>
        </w:rPr>
        <w:t xml:space="preserve">15m </w:t>
      </w:r>
      <w:r>
        <w:rPr>
          <w:rFonts w:hAnsi="宋体" w:hint="eastAsia"/>
          <w:spacing w:val="-4"/>
          <w:sz w:val="24"/>
        </w:rPr>
        <w:t>高排气筒污染物排放限值为：氯化氢</w:t>
      </w:r>
      <w:r>
        <w:rPr>
          <w:rFonts w:hAnsi="宋体" w:hint="eastAsia"/>
          <w:spacing w:val="-4"/>
          <w:sz w:val="24"/>
        </w:rPr>
        <w:t>0.26 kg/h</w:t>
      </w:r>
      <w:r>
        <w:rPr>
          <w:rFonts w:hAnsi="宋体" w:hint="eastAsia"/>
          <w:spacing w:val="-4"/>
          <w:sz w:val="24"/>
        </w:rPr>
        <w:t>（浓度为</w:t>
      </w:r>
      <w:r>
        <w:rPr>
          <w:rFonts w:hAnsi="宋体" w:hint="eastAsia"/>
          <w:spacing w:val="-4"/>
          <w:sz w:val="24"/>
        </w:rPr>
        <w:t>100mg/m</w:t>
      </w:r>
      <w:r>
        <w:rPr>
          <w:rFonts w:hAnsi="宋体" w:hint="eastAsia"/>
          <w:spacing w:val="-4"/>
          <w:sz w:val="24"/>
          <w:vertAlign w:val="superscript"/>
        </w:rPr>
        <w:t>3</w:t>
      </w:r>
      <w:r>
        <w:rPr>
          <w:rFonts w:hAnsi="宋体" w:hint="eastAsia"/>
          <w:spacing w:val="-4"/>
          <w:sz w:val="24"/>
        </w:rPr>
        <w:t>），颗粒物</w:t>
      </w:r>
      <w:r>
        <w:rPr>
          <w:rFonts w:hAnsi="宋体" w:hint="eastAsia"/>
          <w:spacing w:val="-4"/>
          <w:sz w:val="24"/>
        </w:rPr>
        <w:t>0.51kg/h</w:t>
      </w:r>
      <w:r>
        <w:rPr>
          <w:rFonts w:hAnsi="宋体" w:hint="eastAsia"/>
          <w:spacing w:val="-4"/>
          <w:sz w:val="24"/>
        </w:rPr>
        <w:t>（浓度为</w:t>
      </w:r>
      <w:r>
        <w:rPr>
          <w:rFonts w:hAnsi="宋体" w:hint="eastAsia"/>
          <w:spacing w:val="-4"/>
          <w:sz w:val="24"/>
        </w:rPr>
        <w:t>18mg/m</w:t>
      </w:r>
      <w:r>
        <w:rPr>
          <w:rFonts w:hAnsi="宋体" w:hint="eastAsia"/>
          <w:spacing w:val="-4"/>
          <w:sz w:val="24"/>
          <w:vertAlign w:val="superscript"/>
        </w:rPr>
        <w:t>3</w:t>
      </w:r>
      <w:r>
        <w:rPr>
          <w:rFonts w:hAnsi="宋体" w:hint="eastAsia"/>
          <w:spacing w:val="-4"/>
          <w:sz w:val="24"/>
        </w:rPr>
        <w:t>）；根据《恶臭污染物排放标准》（</w:t>
      </w:r>
      <w:r>
        <w:rPr>
          <w:rFonts w:hAnsi="宋体" w:hint="eastAsia"/>
          <w:spacing w:val="-4"/>
          <w:sz w:val="24"/>
        </w:rPr>
        <w:t>GB14554-93</w:t>
      </w:r>
      <w:r>
        <w:rPr>
          <w:rFonts w:hAnsi="宋体" w:hint="eastAsia"/>
          <w:spacing w:val="-4"/>
          <w:sz w:val="24"/>
        </w:rPr>
        <w:t>），</w:t>
      </w:r>
      <w:r>
        <w:rPr>
          <w:rFonts w:hAnsi="宋体" w:hint="eastAsia"/>
          <w:spacing w:val="-4"/>
          <w:sz w:val="24"/>
        </w:rPr>
        <w:t xml:space="preserve">15m </w:t>
      </w:r>
      <w:r>
        <w:rPr>
          <w:rFonts w:hAnsi="宋体" w:hint="eastAsia"/>
          <w:spacing w:val="-4"/>
          <w:sz w:val="24"/>
        </w:rPr>
        <w:t>高排气筒污染物排放限值为：氨</w:t>
      </w:r>
      <w:r>
        <w:rPr>
          <w:rFonts w:hAnsi="宋体" w:hint="eastAsia"/>
          <w:spacing w:val="-4"/>
          <w:sz w:val="24"/>
        </w:rPr>
        <w:t>4.9 kg/h</w:t>
      </w:r>
      <w:r>
        <w:rPr>
          <w:rFonts w:hAnsi="宋体" w:hint="eastAsia"/>
          <w:spacing w:val="-4"/>
          <w:sz w:val="24"/>
        </w:rPr>
        <w:t>。对比分析，本项目各污染组分外排速度及浓度低于标准限值。</w:t>
      </w:r>
    </w:p>
    <w:p w:rsidR="00475650" w:rsidRDefault="00475650">
      <w:pPr>
        <w:snapToGrid w:val="0"/>
        <w:spacing w:line="360" w:lineRule="auto"/>
        <w:ind w:firstLineChars="200" w:firstLine="480"/>
        <w:rPr>
          <w:rFonts w:hAnsi="宋体"/>
          <w:kern w:val="0"/>
          <w:sz w:val="24"/>
        </w:rPr>
      </w:pPr>
      <w:r>
        <w:rPr>
          <w:rFonts w:hAnsi="宋体" w:hint="eastAsia"/>
          <w:sz w:val="24"/>
        </w:rPr>
        <w:lastRenderedPageBreak/>
        <w:t>根据预测结果，本项目有组织废气通过</w:t>
      </w:r>
      <w:r>
        <w:rPr>
          <w:rFonts w:hAnsi="宋体" w:hint="eastAsia"/>
          <w:sz w:val="24"/>
        </w:rPr>
        <w:t>15m</w:t>
      </w:r>
      <w:r>
        <w:rPr>
          <w:rFonts w:hAnsi="宋体" w:hint="eastAsia"/>
          <w:sz w:val="24"/>
        </w:rPr>
        <w:t>高排气筒集中外排，下风向污染因子氯化氢、氨气及粉尘的最大落地浓度分别为</w:t>
      </w:r>
      <w:r>
        <w:rPr>
          <w:rFonts w:hAnsi="宋体" w:hint="eastAsia"/>
          <w:kern w:val="0"/>
          <w:sz w:val="24"/>
        </w:rPr>
        <w:t>0.013</w:t>
      </w:r>
      <w:r>
        <w:rPr>
          <w:kern w:val="0"/>
          <w:sz w:val="24"/>
        </w:rPr>
        <w:t xml:space="preserve"> </w:t>
      </w:r>
      <w:r>
        <w:rPr>
          <w:rFonts w:hint="eastAsia"/>
          <w:kern w:val="0"/>
          <w:sz w:val="24"/>
        </w:rPr>
        <w:t>m</w:t>
      </w:r>
      <w:r>
        <w:rPr>
          <w:kern w:val="0"/>
          <w:sz w:val="24"/>
        </w:rPr>
        <w:t>g/m</w:t>
      </w:r>
      <w:r>
        <w:rPr>
          <w:kern w:val="0"/>
          <w:sz w:val="24"/>
          <w:vertAlign w:val="superscript"/>
        </w:rPr>
        <w:t>3</w:t>
      </w:r>
      <w:r>
        <w:rPr>
          <w:rFonts w:hAnsi="宋体" w:hint="eastAsia"/>
          <w:kern w:val="0"/>
          <w:sz w:val="24"/>
        </w:rPr>
        <w:t>、</w:t>
      </w:r>
      <w:r>
        <w:rPr>
          <w:rFonts w:hAnsi="宋体" w:hint="eastAsia"/>
          <w:kern w:val="0"/>
          <w:sz w:val="24"/>
        </w:rPr>
        <w:t>0.07</w:t>
      </w:r>
      <w:r>
        <w:rPr>
          <w:rFonts w:hint="eastAsia"/>
          <w:kern w:val="0"/>
          <w:sz w:val="24"/>
        </w:rPr>
        <w:t xml:space="preserve"> m</w:t>
      </w:r>
      <w:r>
        <w:rPr>
          <w:kern w:val="0"/>
          <w:sz w:val="24"/>
        </w:rPr>
        <w:t>g/m</w:t>
      </w:r>
      <w:r>
        <w:rPr>
          <w:kern w:val="0"/>
          <w:sz w:val="24"/>
          <w:vertAlign w:val="superscript"/>
        </w:rPr>
        <w:t>3</w:t>
      </w:r>
      <w:r>
        <w:rPr>
          <w:rFonts w:hAnsi="宋体" w:hint="eastAsia"/>
          <w:kern w:val="0"/>
          <w:sz w:val="24"/>
        </w:rPr>
        <w:t>、</w:t>
      </w:r>
      <w:r>
        <w:rPr>
          <w:rFonts w:hAnsi="宋体" w:hint="eastAsia"/>
          <w:kern w:val="0"/>
          <w:sz w:val="24"/>
        </w:rPr>
        <w:t>0.133</w:t>
      </w:r>
      <w:r>
        <w:rPr>
          <w:rFonts w:hint="eastAsia"/>
          <w:kern w:val="0"/>
          <w:sz w:val="24"/>
        </w:rPr>
        <w:t xml:space="preserve"> m</w:t>
      </w:r>
      <w:r>
        <w:rPr>
          <w:kern w:val="0"/>
          <w:sz w:val="24"/>
        </w:rPr>
        <w:t>g/m</w:t>
      </w:r>
      <w:r>
        <w:rPr>
          <w:kern w:val="0"/>
          <w:sz w:val="24"/>
          <w:vertAlign w:val="superscript"/>
        </w:rPr>
        <w:t>3</w:t>
      </w:r>
      <w:r>
        <w:rPr>
          <w:rFonts w:hAnsi="宋体" w:hint="eastAsia"/>
          <w:sz w:val="24"/>
        </w:rPr>
        <w:t>，占标率</w:t>
      </w:r>
      <w:r>
        <w:rPr>
          <w:rFonts w:hAnsi="宋体"/>
          <w:kern w:val="0"/>
          <w:sz w:val="24"/>
        </w:rPr>
        <w:t>分别为</w:t>
      </w:r>
      <w:r>
        <w:rPr>
          <w:rFonts w:hAnsi="宋体" w:hint="eastAsia"/>
          <w:kern w:val="0"/>
          <w:sz w:val="24"/>
        </w:rPr>
        <w:t>4.958%</w:t>
      </w:r>
      <w:r>
        <w:rPr>
          <w:rFonts w:hAnsi="宋体" w:hint="eastAsia"/>
          <w:kern w:val="0"/>
          <w:sz w:val="24"/>
        </w:rPr>
        <w:t>、</w:t>
      </w:r>
      <w:r>
        <w:rPr>
          <w:rFonts w:hAnsi="宋体" w:hint="eastAsia"/>
          <w:kern w:val="0"/>
          <w:sz w:val="24"/>
        </w:rPr>
        <w:t>0.441%</w:t>
      </w:r>
      <w:r>
        <w:rPr>
          <w:rFonts w:hAnsi="宋体" w:hint="eastAsia"/>
          <w:kern w:val="0"/>
          <w:sz w:val="24"/>
        </w:rPr>
        <w:t>和</w:t>
      </w:r>
      <w:r>
        <w:rPr>
          <w:rFonts w:hAnsi="宋体" w:hint="eastAsia"/>
          <w:kern w:val="0"/>
          <w:sz w:val="24"/>
        </w:rPr>
        <w:t>0.862%</w:t>
      </w:r>
      <w:r>
        <w:rPr>
          <w:rFonts w:hAnsi="宋体" w:hint="eastAsia"/>
          <w:kern w:val="0"/>
          <w:sz w:val="24"/>
        </w:rPr>
        <w:t>，叠加背景值后区域污染物浓度最大占标率分别为</w:t>
      </w:r>
      <w:r>
        <w:rPr>
          <w:rFonts w:hAnsi="宋体" w:hint="eastAsia"/>
          <w:kern w:val="0"/>
          <w:sz w:val="24"/>
        </w:rPr>
        <w:t>31%</w:t>
      </w:r>
      <w:r>
        <w:rPr>
          <w:rFonts w:hAnsi="宋体" w:hint="eastAsia"/>
          <w:kern w:val="0"/>
          <w:sz w:val="24"/>
        </w:rPr>
        <w:t>、</w:t>
      </w:r>
      <w:r>
        <w:rPr>
          <w:rFonts w:hAnsi="宋体" w:hint="eastAsia"/>
          <w:kern w:val="0"/>
          <w:sz w:val="24"/>
        </w:rPr>
        <w:t>35.5%</w:t>
      </w:r>
      <w:r>
        <w:rPr>
          <w:rFonts w:hAnsi="宋体" w:hint="eastAsia"/>
          <w:kern w:val="0"/>
          <w:sz w:val="24"/>
        </w:rPr>
        <w:t>和</w:t>
      </w:r>
      <w:r>
        <w:rPr>
          <w:rFonts w:hAnsi="宋体" w:hint="eastAsia"/>
          <w:kern w:val="0"/>
          <w:sz w:val="24"/>
        </w:rPr>
        <w:t>30.4%</w:t>
      </w:r>
      <w:r>
        <w:rPr>
          <w:rFonts w:hAnsi="宋体" w:hint="eastAsia"/>
          <w:kern w:val="0"/>
          <w:sz w:val="24"/>
        </w:rPr>
        <w:t>。本项目的建设未改变区域大气环境质量功能。</w:t>
      </w:r>
    </w:p>
    <w:p w:rsidR="00475650" w:rsidRDefault="00475650">
      <w:pPr>
        <w:spacing w:line="360" w:lineRule="auto"/>
        <w:ind w:firstLineChars="200" w:firstLine="464"/>
        <w:rPr>
          <w:spacing w:val="-4"/>
          <w:sz w:val="24"/>
        </w:rPr>
      </w:pPr>
      <w:bookmarkStart w:id="954" w:name="_Toc302936801"/>
      <w:r>
        <w:rPr>
          <w:rFonts w:hAnsi="宋体"/>
          <w:spacing w:val="-4"/>
          <w:sz w:val="24"/>
        </w:rPr>
        <w:t>综上，本项目各废气污染物均能满足达标外排的要求，各废气污染物</w:t>
      </w:r>
      <w:r>
        <w:rPr>
          <w:rFonts w:hAnsi="宋体" w:hint="eastAsia"/>
          <w:spacing w:val="-4"/>
          <w:sz w:val="24"/>
        </w:rPr>
        <w:t>的达标外排不会影响区域大气</w:t>
      </w:r>
      <w:r>
        <w:rPr>
          <w:rFonts w:hAnsi="宋体"/>
          <w:spacing w:val="-4"/>
          <w:sz w:val="24"/>
        </w:rPr>
        <w:t>环境</w:t>
      </w:r>
      <w:r>
        <w:rPr>
          <w:rFonts w:hAnsi="宋体" w:hint="eastAsia"/>
          <w:spacing w:val="-4"/>
          <w:sz w:val="24"/>
        </w:rPr>
        <w:t>质量功能</w:t>
      </w:r>
      <w:r>
        <w:rPr>
          <w:rFonts w:hAnsi="宋体"/>
          <w:spacing w:val="-4"/>
          <w:sz w:val="24"/>
        </w:rPr>
        <w:t>；</w:t>
      </w:r>
      <w:r>
        <w:rPr>
          <w:rFonts w:hAnsi="宋体" w:hint="eastAsia"/>
          <w:spacing w:val="-4"/>
          <w:sz w:val="24"/>
        </w:rPr>
        <w:t>各污染防治措施为国内工业企业常用污染防治措施，本项目</w:t>
      </w:r>
      <w:r>
        <w:rPr>
          <w:rFonts w:hAnsi="宋体"/>
          <w:spacing w:val="-4"/>
          <w:sz w:val="24"/>
        </w:rPr>
        <w:t>采取的废气污染防治措施有效可行。</w:t>
      </w:r>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955" w:name="_Toc332293067"/>
      <w:bookmarkStart w:id="956" w:name="_Toc15147"/>
      <w:r>
        <w:rPr>
          <w:rStyle w:val="2Char1Char"/>
          <w:rFonts w:ascii="Times New Roman" w:eastAsia="宋体" w:hAnsi="Times New Roman" w:cs="Times New Roman"/>
          <w:b w:val="0"/>
          <w:sz w:val="24"/>
          <w:szCs w:val="24"/>
        </w:rPr>
        <w:t>7.3</w:t>
      </w:r>
      <w:bookmarkEnd w:id="954"/>
      <w:bookmarkEnd w:id="955"/>
      <w:r>
        <w:rPr>
          <w:rStyle w:val="2Char1Char"/>
          <w:rFonts w:ascii="Times New Roman" w:eastAsia="宋体" w:hAnsi="宋体" w:cs="Times New Roman"/>
          <w:b w:val="0"/>
          <w:sz w:val="24"/>
          <w:szCs w:val="24"/>
        </w:rPr>
        <w:t>固体废物污染防治措施可行性分析</w:t>
      </w:r>
      <w:bookmarkEnd w:id="956"/>
    </w:p>
    <w:p w:rsidR="00475650" w:rsidRDefault="00475650">
      <w:pPr>
        <w:snapToGrid w:val="0"/>
        <w:spacing w:line="360" w:lineRule="auto"/>
        <w:ind w:firstLineChars="200" w:firstLine="464"/>
        <w:rPr>
          <w:spacing w:val="-4"/>
          <w:sz w:val="24"/>
        </w:rPr>
      </w:pPr>
      <w:r>
        <w:rPr>
          <w:rFonts w:hAnsi="宋体"/>
          <w:spacing w:val="-4"/>
          <w:sz w:val="24"/>
        </w:rPr>
        <w:t>通过工程分析章节可知，本项目固体废物的处理方案为：废包装等主要成分为包装材料，一般为塑料、尼龙、纸等组成成分，生产厂家回收利用的方式为同类工程常用处理方式，且在生产厂家送货期间由送货车辆带回可减少运输车辆空载频率，节省固体处理的运输费用，其措施有效可行。</w:t>
      </w:r>
    </w:p>
    <w:p w:rsidR="00475650" w:rsidRDefault="00475650">
      <w:pPr>
        <w:snapToGrid w:val="0"/>
        <w:spacing w:line="360" w:lineRule="auto"/>
        <w:ind w:firstLineChars="200" w:firstLine="464"/>
        <w:rPr>
          <w:rFonts w:hAnsi="宋体"/>
          <w:spacing w:val="-4"/>
          <w:sz w:val="24"/>
        </w:rPr>
      </w:pPr>
      <w:r>
        <w:rPr>
          <w:rFonts w:hAnsi="宋体"/>
          <w:spacing w:val="-4"/>
          <w:sz w:val="24"/>
        </w:rPr>
        <w:t>污水处理站产生的污泥为危险废物</w:t>
      </w:r>
      <w:r>
        <w:rPr>
          <w:spacing w:val="-4"/>
          <w:sz w:val="24"/>
        </w:rPr>
        <w:t>HW12</w:t>
      </w:r>
      <w:r>
        <w:rPr>
          <w:rFonts w:hAnsi="宋体"/>
          <w:spacing w:val="-4"/>
          <w:sz w:val="24"/>
        </w:rPr>
        <w:t>（</w:t>
      </w:r>
      <w:r>
        <w:rPr>
          <w:spacing w:val="-4"/>
          <w:sz w:val="24"/>
        </w:rPr>
        <w:t>264-012-12</w:t>
      </w:r>
      <w:r>
        <w:rPr>
          <w:rFonts w:hAnsi="宋体"/>
          <w:spacing w:val="-4"/>
          <w:sz w:val="24"/>
        </w:rPr>
        <w:t>），</w:t>
      </w:r>
      <w:r>
        <w:rPr>
          <w:rFonts w:hAnsi="宋体" w:hint="eastAsia"/>
          <w:spacing w:val="-4"/>
          <w:sz w:val="24"/>
        </w:rPr>
        <w:t>拟委托有</w:t>
      </w:r>
      <w:r>
        <w:rPr>
          <w:rFonts w:hAnsi="宋体" w:hint="eastAsia"/>
          <w:spacing w:val="-4"/>
          <w:sz w:val="24"/>
        </w:rPr>
        <w:t>HW12</w:t>
      </w:r>
      <w:r>
        <w:rPr>
          <w:rFonts w:hAnsi="宋体" w:hint="eastAsia"/>
          <w:spacing w:val="-4"/>
          <w:sz w:val="24"/>
        </w:rPr>
        <w:t>处理资质的</w:t>
      </w:r>
      <w:r>
        <w:rPr>
          <w:rFonts w:hAnsi="宋体" w:hint="eastAsia"/>
          <w:sz w:val="24"/>
        </w:rPr>
        <w:t>湖南德泽环保科技有限公司安全处理处置</w:t>
      </w:r>
      <w:r>
        <w:rPr>
          <w:rFonts w:hAnsi="宋体" w:hint="eastAsia"/>
          <w:spacing w:val="-4"/>
          <w:sz w:val="24"/>
        </w:rPr>
        <w:t>，建议采取即处理即外委的方式，减少由污泥暂存带来的占地影响及臭气影响，如需于厂内暂存，需严格按照危险废物暂存设施的要求建设，避免因暂存导致的渗滤液泄漏污染等风险危害</w:t>
      </w:r>
      <w:r>
        <w:rPr>
          <w:rFonts w:hAnsi="宋体"/>
          <w:spacing w:val="-4"/>
          <w:sz w:val="24"/>
        </w:rPr>
        <w:t>。</w:t>
      </w:r>
    </w:p>
    <w:p w:rsidR="00475650" w:rsidRDefault="00475650">
      <w:pPr>
        <w:snapToGrid w:val="0"/>
        <w:spacing w:line="360" w:lineRule="auto"/>
        <w:ind w:firstLineChars="200" w:firstLine="480"/>
        <w:rPr>
          <w:rFonts w:hAnsi="宋体"/>
          <w:sz w:val="24"/>
          <w:u w:val="single"/>
        </w:rPr>
      </w:pPr>
      <w:r>
        <w:rPr>
          <w:rFonts w:hAnsi="宋体" w:hint="eastAsia"/>
          <w:sz w:val="24"/>
          <w:u w:val="single"/>
        </w:rPr>
        <w:t>三效蒸发产生的盐中可能含有少量本项目所使用的原辅材料及产品等有机污染物成分，环评要求在本项目竣工验收期间对三效蒸发产生的盐进行危险性质鉴别，按照其所属性质分质处理，如鉴定结果属于危险废物，应按照《危险废物贮存污染控制标准》（</w:t>
      </w:r>
      <w:r>
        <w:rPr>
          <w:rFonts w:hAnsi="宋体" w:hint="eastAsia"/>
          <w:sz w:val="24"/>
          <w:u w:val="single"/>
        </w:rPr>
        <w:t>GB 18597-2001</w:t>
      </w:r>
      <w:r>
        <w:rPr>
          <w:rFonts w:hAnsi="宋体" w:hint="eastAsia"/>
          <w:sz w:val="24"/>
          <w:u w:val="single"/>
        </w:rPr>
        <w:t>）对该物质进行处理处置，外委有相应处理资质的单位处理；如业主意向作为副产品外售，则需有相关管理部门出具的关于本项目符合市场流通产品质量标准的认定材料及接收单位与本公司签订的购买协议，确保本项目污水处理产生的盐有合理合法的去向。</w:t>
      </w:r>
    </w:p>
    <w:p w:rsidR="00475650" w:rsidRDefault="00475650">
      <w:pPr>
        <w:snapToGrid w:val="0"/>
        <w:spacing w:line="360" w:lineRule="auto"/>
        <w:ind w:firstLineChars="200" w:firstLine="480"/>
        <w:rPr>
          <w:sz w:val="24"/>
          <w:u w:val="single"/>
        </w:rPr>
      </w:pPr>
      <w:r>
        <w:rPr>
          <w:rFonts w:hAnsi="宋体" w:hint="eastAsia"/>
          <w:sz w:val="24"/>
          <w:u w:val="single"/>
        </w:rPr>
        <w:t>针对本项目固体废物的特征，环评要求本项目设危险废物暂存库，库房的建设及管理应满足《危险废物贮存污染控制标准》（</w:t>
      </w:r>
      <w:r>
        <w:rPr>
          <w:rFonts w:hAnsi="宋体" w:hint="eastAsia"/>
          <w:sz w:val="24"/>
          <w:u w:val="single"/>
        </w:rPr>
        <w:t>GB 18597-2001</w:t>
      </w:r>
      <w:r>
        <w:rPr>
          <w:rFonts w:hAnsi="宋体" w:hint="eastAsia"/>
          <w:sz w:val="24"/>
          <w:u w:val="single"/>
        </w:rPr>
        <w:t>），危险废物应分类暂存。一般固体废物为</w:t>
      </w:r>
      <w:r>
        <w:rPr>
          <w:rFonts w:hAnsi="宋体"/>
          <w:sz w:val="24"/>
          <w:u w:val="single"/>
        </w:rPr>
        <w:t>废包装袋和包装桶</w:t>
      </w:r>
      <w:r>
        <w:rPr>
          <w:rFonts w:hAnsi="宋体" w:hint="eastAsia"/>
          <w:sz w:val="24"/>
          <w:u w:val="single"/>
        </w:rPr>
        <w:t>，为原料包装材料，暂存于原料间，并由厂家回收综合利用的方式可行。</w:t>
      </w:r>
    </w:p>
    <w:p w:rsidR="00475650" w:rsidRDefault="00475650">
      <w:pPr>
        <w:snapToGrid w:val="0"/>
        <w:spacing w:line="360" w:lineRule="auto"/>
        <w:ind w:firstLineChars="200" w:firstLine="464"/>
        <w:rPr>
          <w:spacing w:val="-4"/>
          <w:sz w:val="24"/>
        </w:rPr>
      </w:pPr>
      <w:r>
        <w:rPr>
          <w:rFonts w:hint="eastAsia"/>
          <w:spacing w:val="-4"/>
          <w:sz w:val="24"/>
        </w:rPr>
        <w:t>综上，本项目产生的各固体废物按照废物的性质进行分类处理，处理方式为国内同类污染物常用处理方式，无固体废物的外排，其措施有效可行。</w:t>
      </w:r>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957" w:name="_Toc332293068"/>
      <w:bookmarkStart w:id="958" w:name="_Toc302936802"/>
      <w:bookmarkStart w:id="959" w:name="_Toc31663"/>
      <w:r>
        <w:rPr>
          <w:rStyle w:val="2Char1Char"/>
          <w:rFonts w:ascii="Times New Roman" w:eastAsia="宋体" w:hAnsi="Times New Roman" w:cs="Times New Roman"/>
          <w:b w:val="0"/>
          <w:sz w:val="24"/>
          <w:szCs w:val="24"/>
        </w:rPr>
        <w:lastRenderedPageBreak/>
        <w:t>7.4</w:t>
      </w:r>
      <w:r>
        <w:rPr>
          <w:rStyle w:val="2Char1Char"/>
          <w:rFonts w:ascii="Times New Roman" w:eastAsia="宋体" w:hAnsi="宋体" w:cs="Times New Roman"/>
          <w:b w:val="0"/>
          <w:sz w:val="24"/>
          <w:szCs w:val="24"/>
        </w:rPr>
        <w:t>噪声防治措施分析</w:t>
      </w:r>
      <w:bookmarkEnd w:id="957"/>
      <w:bookmarkEnd w:id="958"/>
      <w:bookmarkEnd w:id="959"/>
    </w:p>
    <w:p w:rsidR="00475650" w:rsidRDefault="00475650">
      <w:pPr>
        <w:snapToGrid w:val="0"/>
        <w:spacing w:line="360" w:lineRule="auto"/>
        <w:ind w:firstLineChars="200" w:firstLine="480"/>
        <w:rPr>
          <w:sz w:val="24"/>
        </w:rPr>
      </w:pPr>
      <w:bookmarkStart w:id="960" w:name="_Toc302936803"/>
      <w:r>
        <w:rPr>
          <w:rFonts w:hAnsi="宋体"/>
          <w:sz w:val="24"/>
        </w:rPr>
        <w:t>根据工程分析及预测章节的预测结果可知，通过将噪声源强较大的压缩机、各类泵等采取消声、减震、隔音以及集中设置于远离厂界的平面布局的优化等措施后，根据预测章节结果可知，厂界能满足</w:t>
      </w:r>
      <w:r>
        <w:rPr>
          <w:sz w:val="24"/>
        </w:rPr>
        <w:t>“</w:t>
      </w:r>
      <w:r>
        <w:rPr>
          <w:rFonts w:hAnsi="宋体"/>
          <w:sz w:val="24"/>
        </w:rPr>
        <w:t>三类</w:t>
      </w:r>
      <w:r>
        <w:rPr>
          <w:sz w:val="24"/>
        </w:rPr>
        <w:t>”</w:t>
      </w:r>
      <w:r>
        <w:rPr>
          <w:rFonts w:hAnsi="宋体"/>
          <w:sz w:val="24"/>
        </w:rPr>
        <w:t>声环境功能区声环境质量标准要求。噪声污染防治措施有效可行。</w:t>
      </w:r>
    </w:p>
    <w:p w:rsidR="00475650" w:rsidRDefault="00475650">
      <w:pPr>
        <w:pStyle w:val="h"/>
        <w:spacing w:before="0" w:after="0" w:line="360" w:lineRule="auto"/>
        <w:ind w:firstLine="0"/>
        <w:outlineLvl w:val="0"/>
        <w:rPr>
          <w:rStyle w:val="2Char1Char"/>
          <w:rFonts w:ascii="Times New Roman" w:eastAsia="宋体" w:hAnsi="Times New Roman" w:cs="Times New Roman"/>
          <w:b w:val="0"/>
          <w:sz w:val="24"/>
          <w:szCs w:val="24"/>
        </w:rPr>
      </w:pPr>
      <w:bookmarkStart w:id="961" w:name="_Toc332293069"/>
      <w:bookmarkStart w:id="962" w:name="_Toc14249"/>
      <w:r>
        <w:rPr>
          <w:rStyle w:val="2Char1Char"/>
          <w:rFonts w:ascii="Times New Roman" w:eastAsia="宋体" w:hAnsi="Times New Roman" w:cs="Times New Roman"/>
          <w:b w:val="0"/>
          <w:sz w:val="24"/>
          <w:szCs w:val="24"/>
        </w:rPr>
        <w:t>7.5</w:t>
      </w:r>
      <w:r>
        <w:rPr>
          <w:rStyle w:val="2Char1Char"/>
          <w:rFonts w:ascii="Times New Roman" w:eastAsia="宋体" w:hAnsi="宋体" w:cs="Times New Roman"/>
          <w:b w:val="0"/>
          <w:sz w:val="24"/>
          <w:szCs w:val="24"/>
        </w:rPr>
        <w:t>绿化措施分析</w:t>
      </w:r>
      <w:bookmarkEnd w:id="960"/>
      <w:bookmarkEnd w:id="961"/>
      <w:bookmarkEnd w:id="962"/>
    </w:p>
    <w:p w:rsidR="00475650" w:rsidRDefault="00475650">
      <w:pPr>
        <w:autoSpaceDE w:val="0"/>
        <w:autoSpaceDN w:val="0"/>
        <w:adjustRightInd w:val="0"/>
        <w:snapToGrid w:val="0"/>
        <w:spacing w:line="360" w:lineRule="auto"/>
        <w:ind w:firstLineChars="200" w:firstLine="480"/>
        <w:rPr>
          <w:sz w:val="24"/>
        </w:rPr>
        <w:sectPr w:rsidR="00475650">
          <w:footerReference w:type="even" r:id="rId93"/>
          <w:footerReference w:type="default" r:id="rId94"/>
          <w:pgSz w:w="11906" w:h="16838"/>
          <w:pgMar w:top="1701" w:right="1588" w:bottom="1418" w:left="1588" w:header="851" w:footer="992" w:gutter="0"/>
          <w:paperSrc w:first="7" w:other="7"/>
          <w:cols w:space="720"/>
          <w:docGrid w:linePitch="312"/>
        </w:sectPr>
      </w:pPr>
      <w:r>
        <w:rPr>
          <w:rFonts w:hAnsi="宋体"/>
          <w:sz w:val="24"/>
        </w:rPr>
        <w:t>本项目在公司内的预留场地上进行，建设前场地已平整并实施硬化，项目建设对区域的生态影响较小。项目建成后在装置区域外围的过道等处会栽种一定的草本植物，使公司的绿化率达到</w:t>
      </w:r>
      <w:r>
        <w:rPr>
          <w:sz w:val="24"/>
        </w:rPr>
        <w:t>10%</w:t>
      </w:r>
      <w:r>
        <w:rPr>
          <w:rFonts w:hAnsi="宋体"/>
          <w:sz w:val="24"/>
        </w:rPr>
        <w:t>；绿化对无组织废气有一定的吸收过滤作用，同时可以起到降噪和增加公司整体美观的效果。</w:t>
      </w:r>
    </w:p>
    <w:p w:rsidR="00475650" w:rsidRDefault="00475650">
      <w:pPr>
        <w:pStyle w:val="13"/>
        <w:spacing w:before="100" w:beforeAutospacing="1" w:after="100" w:afterAutospacing="1" w:line="360" w:lineRule="auto"/>
        <w:rPr>
          <w:rFonts w:eastAsia="宋体"/>
          <w:b w:val="0"/>
          <w:sz w:val="32"/>
          <w:szCs w:val="32"/>
        </w:rPr>
      </w:pPr>
      <w:bookmarkStart w:id="963" w:name="_Toc332293070"/>
      <w:bookmarkStart w:id="964" w:name="_Toc10329"/>
      <w:r>
        <w:rPr>
          <w:rFonts w:eastAsia="宋体"/>
          <w:b w:val="0"/>
          <w:sz w:val="32"/>
          <w:szCs w:val="32"/>
        </w:rPr>
        <w:lastRenderedPageBreak/>
        <w:t>8</w:t>
      </w:r>
      <w:r>
        <w:rPr>
          <w:rFonts w:eastAsia="宋体" w:hAnsi="宋体"/>
          <w:b w:val="0"/>
          <w:sz w:val="32"/>
          <w:szCs w:val="32"/>
        </w:rPr>
        <w:t>清洁生产和总量控制</w:t>
      </w:r>
      <w:bookmarkEnd w:id="963"/>
      <w:bookmarkEnd w:id="964"/>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965" w:name="_Toc332293071"/>
      <w:bookmarkStart w:id="966" w:name="_Toc20700"/>
      <w:r>
        <w:rPr>
          <w:rStyle w:val="2Char1Char"/>
          <w:rFonts w:ascii="Times New Roman" w:eastAsia="宋体" w:hAnsi="Times New Roman" w:cs="Times New Roman"/>
          <w:b w:val="0"/>
          <w:sz w:val="28"/>
          <w:szCs w:val="28"/>
        </w:rPr>
        <w:t>8.1</w:t>
      </w:r>
      <w:r>
        <w:rPr>
          <w:rStyle w:val="2Char1Char"/>
          <w:rFonts w:ascii="Times New Roman" w:eastAsia="宋体" w:hAnsi="宋体" w:cs="Times New Roman"/>
          <w:b w:val="0"/>
          <w:sz w:val="28"/>
          <w:szCs w:val="28"/>
        </w:rPr>
        <w:t>清洁生产</w:t>
      </w:r>
      <w:bookmarkEnd w:id="965"/>
      <w:bookmarkEnd w:id="966"/>
    </w:p>
    <w:p w:rsidR="00475650" w:rsidRDefault="00475650">
      <w:pPr>
        <w:autoSpaceDE w:val="0"/>
        <w:autoSpaceDN w:val="0"/>
        <w:adjustRightInd w:val="0"/>
        <w:snapToGrid w:val="0"/>
        <w:spacing w:line="360" w:lineRule="auto"/>
        <w:ind w:firstLineChars="200" w:firstLine="480"/>
        <w:rPr>
          <w:sz w:val="24"/>
        </w:rPr>
      </w:pPr>
      <w:r>
        <w:rPr>
          <w:rFonts w:hAnsi="宋体"/>
          <w:sz w:val="24"/>
        </w:rPr>
        <w:t>清洁生产是指不断采取改进设计、使用清洁的能源和原料、采用先进的工艺技术与设备、改善管理、综合利用等措施，从源头削减污染，提高资源利用效率，减少或者避免生产、服务和产品使用过程中污染物的产生和排放，以减轻或消除对人类健康和环境的危害。</w:t>
      </w:r>
    </w:p>
    <w:p w:rsidR="00475650" w:rsidRDefault="00475650">
      <w:pPr>
        <w:autoSpaceDE w:val="0"/>
        <w:autoSpaceDN w:val="0"/>
        <w:adjustRightInd w:val="0"/>
        <w:snapToGrid w:val="0"/>
        <w:spacing w:line="360" w:lineRule="auto"/>
        <w:ind w:firstLineChars="200" w:firstLine="480"/>
        <w:rPr>
          <w:sz w:val="24"/>
        </w:rPr>
      </w:pPr>
      <w:bookmarkStart w:id="967" w:name="_Toc302936807"/>
      <w:r>
        <w:rPr>
          <w:rFonts w:hAnsi="宋体"/>
          <w:sz w:val="24"/>
        </w:rPr>
        <w:t>清洁生产要以发展清洁技术为前提和基础，清洁技术包括改进生产工艺，改用无毒无害原材料；提高资源、能源利用率；采用更高效的工艺设备；综合利用生产过程的废弃物，生产过程的用水自循环等，尤其更是要长期坚持公司内防治的技术路线。目前，我国尚无酸性染料行业的清洁生产标准，本次环评将从工艺技术及装备水平、物耗能耗、单位产品排污等方面论述本工程的清洁生产水平。</w:t>
      </w:r>
    </w:p>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968" w:name="_Toc333230095"/>
      <w:bookmarkStart w:id="969" w:name="_Toc334014272"/>
      <w:bookmarkStart w:id="970" w:name="_Toc332293072"/>
      <w:bookmarkStart w:id="971" w:name="_Toc334080914"/>
      <w:bookmarkStart w:id="972" w:name="_Toc465677068"/>
      <w:bookmarkStart w:id="973" w:name="_Toc28238"/>
      <w:r>
        <w:rPr>
          <w:rStyle w:val="2Char1Char"/>
          <w:rFonts w:ascii="Times New Roman" w:eastAsia="宋体" w:hAnsi="Times New Roman" w:cs="Times New Roman"/>
          <w:b w:val="0"/>
          <w:sz w:val="24"/>
          <w:szCs w:val="24"/>
        </w:rPr>
        <w:t>8.1.1</w:t>
      </w:r>
      <w:r>
        <w:rPr>
          <w:rStyle w:val="2Char1Char"/>
          <w:rFonts w:ascii="Times New Roman" w:eastAsia="宋体" w:hAnsi="宋体" w:cs="Times New Roman"/>
          <w:b w:val="0"/>
          <w:sz w:val="24"/>
          <w:szCs w:val="24"/>
        </w:rPr>
        <w:t>燃料及产品</w:t>
      </w:r>
      <w:bookmarkEnd w:id="967"/>
      <w:bookmarkEnd w:id="968"/>
      <w:bookmarkEnd w:id="969"/>
      <w:bookmarkEnd w:id="970"/>
      <w:bookmarkEnd w:id="971"/>
      <w:bookmarkEnd w:id="972"/>
      <w:bookmarkEnd w:id="973"/>
    </w:p>
    <w:p w:rsidR="00475650" w:rsidRDefault="00475650">
      <w:pPr>
        <w:autoSpaceDE w:val="0"/>
        <w:autoSpaceDN w:val="0"/>
        <w:adjustRightInd w:val="0"/>
        <w:snapToGrid w:val="0"/>
        <w:spacing w:line="360" w:lineRule="auto"/>
        <w:ind w:firstLineChars="200" w:firstLine="480"/>
        <w:rPr>
          <w:sz w:val="24"/>
        </w:rPr>
      </w:pPr>
      <w:r>
        <w:rPr>
          <w:rFonts w:hAnsi="宋体"/>
          <w:sz w:val="24"/>
        </w:rPr>
        <w:t>本项目生产设备采用电能和蒸汽等洁净能源，</w:t>
      </w:r>
      <w:r>
        <w:rPr>
          <w:rFonts w:hAnsi="宋体" w:hint="eastAsia"/>
          <w:sz w:val="24"/>
        </w:rPr>
        <w:t>其中蒸汽来自园区集中供热装置，</w:t>
      </w:r>
      <w:r>
        <w:rPr>
          <w:rFonts w:hAnsi="宋体"/>
          <w:sz w:val="24"/>
        </w:rPr>
        <w:t>除盐酸外原辅材料均为外购的工业级成品原料，其中盐酸为公司现有工程的副产品，可做到副产品公司内部综合利用。产品为弱酸性染料，纯度较高，应用较广泛，</w:t>
      </w:r>
      <w:r>
        <w:rPr>
          <w:rFonts w:hAnsi="宋体"/>
          <w:spacing w:val="4"/>
          <w:sz w:val="24"/>
        </w:rPr>
        <w:t>主要用于酰胺纤维、羊毛和皮革染色，也用于羊毛、蚕丝织物的直接印花等，</w:t>
      </w:r>
      <w:r>
        <w:rPr>
          <w:rFonts w:hAnsi="宋体"/>
          <w:sz w:val="24"/>
        </w:rPr>
        <w:t>不含有重金属，</w:t>
      </w:r>
      <w:r>
        <w:rPr>
          <w:rFonts w:hAnsi="宋体" w:hint="eastAsia"/>
          <w:sz w:val="24"/>
        </w:rPr>
        <w:t>根据湖南省石油化学工业协会的专业审查意见，酸性红</w:t>
      </w:r>
      <w:r>
        <w:rPr>
          <w:rFonts w:hAnsi="宋体" w:hint="eastAsia"/>
          <w:sz w:val="24"/>
        </w:rPr>
        <w:t>37</w:t>
      </w:r>
      <w:r>
        <w:rPr>
          <w:rFonts w:hAnsi="宋体" w:hint="eastAsia"/>
          <w:sz w:val="24"/>
        </w:rPr>
        <w:t>、酸性黄</w:t>
      </w:r>
      <w:r>
        <w:rPr>
          <w:rFonts w:hAnsi="宋体" w:hint="eastAsia"/>
          <w:sz w:val="24"/>
        </w:rPr>
        <w:t>49</w:t>
      </w:r>
      <w:r>
        <w:rPr>
          <w:rFonts w:hAnsi="宋体" w:hint="eastAsia"/>
          <w:sz w:val="24"/>
        </w:rPr>
        <w:t>属于国家《产业结构调整指导目录（</w:t>
      </w:r>
      <w:r>
        <w:rPr>
          <w:rFonts w:hAnsi="宋体" w:hint="eastAsia"/>
          <w:sz w:val="24"/>
        </w:rPr>
        <w:t>2011</w:t>
      </w:r>
      <w:r>
        <w:rPr>
          <w:rFonts w:hAnsi="宋体" w:hint="eastAsia"/>
          <w:sz w:val="24"/>
        </w:rPr>
        <w:t>本）（</w:t>
      </w:r>
      <w:r>
        <w:rPr>
          <w:rFonts w:hAnsi="宋体" w:hint="eastAsia"/>
          <w:sz w:val="24"/>
        </w:rPr>
        <w:t>2013</w:t>
      </w:r>
      <w:r>
        <w:rPr>
          <w:rFonts w:hAnsi="宋体" w:hint="eastAsia"/>
          <w:sz w:val="24"/>
        </w:rPr>
        <w:t>年修正）》鼓励类产品。</w:t>
      </w:r>
      <w:r>
        <w:rPr>
          <w:rFonts w:hAnsi="宋体"/>
          <w:sz w:val="24"/>
        </w:rPr>
        <w:t>满足清洁生产要求。</w:t>
      </w:r>
    </w:p>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974" w:name="_Toc333230096"/>
      <w:bookmarkStart w:id="975" w:name="_Toc332293073"/>
      <w:bookmarkStart w:id="976" w:name="_Toc274984910"/>
      <w:bookmarkStart w:id="977" w:name="_Toc302936808"/>
      <w:bookmarkStart w:id="978" w:name="_Toc273462487"/>
      <w:bookmarkStart w:id="979" w:name="_Toc334014273"/>
      <w:bookmarkStart w:id="980" w:name="_Toc334080915"/>
      <w:bookmarkStart w:id="981" w:name="_Toc465677069"/>
      <w:bookmarkStart w:id="982" w:name="_Toc31992"/>
      <w:r>
        <w:rPr>
          <w:rStyle w:val="2Char1Char"/>
          <w:rFonts w:ascii="Times New Roman" w:eastAsia="宋体" w:hAnsi="Times New Roman" w:cs="Times New Roman"/>
          <w:b w:val="0"/>
          <w:sz w:val="24"/>
          <w:szCs w:val="24"/>
        </w:rPr>
        <w:t>8.1.2</w:t>
      </w:r>
      <w:r>
        <w:rPr>
          <w:rStyle w:val="2Char1Char"/>
          <w:rFonts w:ascii="Times New Roman" w:eastAsia="宋体" w:hAnsi="宋体" w:cs="Times New Roman"/>
          <w:b w:val="0"/>
          <w:sz w:val="24"/>
          <w:szCs w:val="24"/>
        </w:rPr>
        <w:t>生产工艺及生产设备先进性分析</w:t>
      </w:r>
      <w:bookmarkEnd w:id="974"/>
      <w:bookmarkEnd w:id="975"/>
      <w:bookmarkEnd w:id="976"/>
      <w:bookmarkEnd w:id="977"/>
      <w:bookmarkEnd w:id="978"/>
      <w:bookmarkEnd w:id="979"/>
      <w:bookmarkEnd w:id="980"/>
      <w:bookmarkEnd w:id="981"/>
      <w:bookmarkEnd w:id="982"/>
    </w:p>
    <w:p w:rsidR="00475650" w:rsidRDefault="00475650">
      <w:pPr>
        <w:pStyle w:val="afffffffff2"/>
        <w:adjustRightInd w:val="0"/>
        <w:snapToGrid w:val="0"/>
        <w:spacing w:line="360" w:lineRule="auto"/>
        <w:ind w:firstLine="496"/>
        <w:rPr>
          <w:rFonts w:ascii="Times New Roman" w:hAnsi="Times New Roman" w:cs="Times New Roman"/>
          <w:spacing w:val="4"/>
          <w:sz w:val="24"/>
          <w:szCs w:val="24"/>
        </w:rPr>
      </w:pPr>
      <w:bookmarkStart w:id="983" w:name="_Toc302936809"/>
      <w:r>
        <w:rPr>
          <w:rFonts w:ascii="Times New Roman" w:hAnsi="宋体" w:cs="Times New Roman"/>
          <w:spacing w:val="4"/>
          <w:sz w:val="24"/>
          <w:szCs w:val="24"/>
        </w:rPr>
        <w:t>重氮化和偶合反应是重要的有机合成反应，在精细化工中有很重要的地位，该类反应在染料合成中应用很广，是两个主要的工序。本工程采用国内染料行业成熟的重氮化和偶合工艺生产酸性红</w:t>
      </w:r>
      <w:r>
        <w:rPr>
          <w:rFonts w:ascii="Times New Roman" w:hAnsi="Times New Roman" w:cs="Times New Roman"/>
          <w:spacing w:val="4"/>
          <w:sz w:val="24"/>
          <w:szCs w:val="24"/>
        </w:rPr>
        <w:t>37</w:t>
      </w:r>
      <w:r>
        <w:rPr>
          <w:rFonts w:ascii="Times New Roman" w:hAnsi="宋体" w:cs="Times New Roman"/>
          <w:spacing w:val="4"/>
          <w:sz w:val="24"/>
          <w:szCs w:val="24"/>
        </w:rPr>
        <w:t>和酸性黄</w:t>
      </w:r>
      <w:r>
        <w:rPr>
          <w:rFonts w:ascii="Times New Roman" w:hAnsi="Times New Roman" w:cs="Times New Roman"/>
          <w:spacing w:val="4"/>
          <w:sz w:val="24"/>
          <w:szCs w:val="24"/>
        </w:rPr>
        <w:t>49</w:t>
      </w:r>
      <w:r>
        <w:rPr>
          <w:rFonts w:ascii="Times New Roman" w:hAnsi="宋体" w:cs="Times New Roman"/>
          <w:spacing w:val="4"/>
          <w:sz w:val="24"/>
          <w:szCs w:val="24"/>
        </w:rPr>
        <w:t>，采用</w:t>
      </w:r>
      <w:r>
        <w:rPr>
          <w:rFonts w:ascii="Times New Roman" w:hAnsi="Times New Roman" w:cs="Times New Roman"/>
          <w:spacing w:val="4"/>
          <w:sz w:val="24"/>
          <w:szCs w:val="24"/>
        </w:rPr>
        <w:t>2</w:t>
      </w:r>
      <w:r>
        <w:rPr>
          <w:rFonts w:ascii="Times New Roman" w:hAnsi="宋体" w:cs="Times New Roman"/>
          <w:spacing w:val="4"/>
          <w:sz w:val="24"/>
          <w:szCs w:val="24"/>
        </w:rPr>
        <w:t>，</w:t>
      </w:r>
      <w:r>
        <w:rPr>
          <w:rFonts w:ascii="Times New Roman" w:hAnsi="Times New Roman" w:cs="Times New Roman"/>
          <w:spacing w:val="4"/>
          <w:sz w:val="24"/>
          <w:szCs w:val="24"/>
        </w:rPr>
        <w:t>5-</w:t>
      </w:r>
      <w:r>
        <w:rPr>
          <w:rFonts w:ascii="Times New Roman" w:hAnsi="宋体" w:cs="Times New Roman"/>
          <w:spacing w:val="4"/>
          <w:sz w:val="24"/>
          <w:szCs w:val="24"/>
        </w:rPr>
        <w:t>二氨基苯磺酸、</w:t>
      </w:r>
      <w:r>
        <w:rPr>
          <w:rFonts w:ascii="Times New Roman" w:hAnsi="Times New Roman" w:cs="Times New Roman"/>
          <w:spacing w:val="4"/>
          <w:sz w:val="24"/>
          <w:szCs w:val="24"/>
        </w:rPr>
        <w:t>γ</w:t>
      </w:r>
      <w:r>
        <w:rPr>
          <w:rFonts w:ascii="Times New Roman" w:hAnsi="宋体" w:cs="Times New Roman"/>
          <w:spacing w:val="4"/>
          <w:sz w:val="24"/>
          <w:szCs w:val="24"/>
        </w:rPr>
        <w:t>酸、乙酸钠、</w:t>
      </w:r>
      <w:r>
        <w:rPr>
          <w:rFonts w:ascii="Times New Roman" w:hAnsi="Times New Roman" w:cs="Times New Roman"/>
          <w:spacing w:val="4"/>
          <w:sz w:val="24"/>
          <w:szCs w:val="24"/>
        </w:rPr>
        <w:t>2</w:t>
      </w:r>
      <w:r>
        <w:rPr>
          <w:rFonts w:ascii="Times New Roman" w:hAnsi="宋体" w:cs="Times New Roman"/>
          <w:spacing w:val="4"/>
          <w:sz w:val="24"/>
          <w:szCs w:val="24"/>
        </w:rPr>
        <w:t>，</w:t>
      </w:r>
      <w:r>
        <w:rPr>
          <w:rFonts w:ascii="Times New Roman" w:hAnsi="Times New Roman" w:cs="Times New Roman"/>
          <w:spacing w:val="4"/>
          <w:sz w:val="24"/>
          <w:szCs w:val="24"/>
        </w:rPr>
        <w:t>5-</w:t>
      </w:r>
      <w:r>
        <w:rPr>
          <w:rFonts w:ascii="Times New Roman" w:hAnsi="宋体" w:cs="Times New Roman"/>
          <w:spacing w:val="4"/>
          <w:sz w:val="24"/>
          <w:szCs w:val="24"/>
        </w:rPr>
        <w:t>二氯</w:t>
      </w:r>
      <w:r>
        <w:rPr>
          <w:rFonts w:ascii="Times New Roman" w:hAnsi="Times New Roman" w:cs="Times New Roman"/>
          <w:spacing w:val="4"/>
          <w:sz w:val="24"/>
          <w:szCs w:val="24"/>
        </w:rPr>
        <w:t>-4-</w:t>
      </w:r>
      <w:r>
        <w:rPr>
          <w:rFonts w:ascii="Times New Roman" w:hAnsi="宋体" w:cs="Times New Roman"/>
          <w:spacing w:val="4"/>
          <w:sz w:val="24"/>
          <w:szCs w:val="24"/>
        </w:rPr>
        <w:t>氨基苯磺酸、</w:t>
      </w:r>
      <w:r>
        <w:rPr>
          <w:rFonts w:ascii="Times New Roman" w:hAnsi="Times New Roman" w:cs="Times New Roman"/>
          <w:spacing w:val="4"/>
          <w:sz w:val="24"/>
          <w:szCs w:val="24"/>
        </w:rPr>
        <w:t>1-</w:t>
      </w:r>
      <w:r>
        <w:rPr>
          <w:rFonts w:ascii="Times New Roman" w:hAnsi="宋体" w:cs="Times New Roman"/>
          <w:spacing w:val="4"/>
          <w:sz w:val="24"/>
          <w:szCs w:val="24"/>
        </w:rPr>
        <w:t>苯基</w:t>
      </w:r>
      <w:r>
        <w:rPr>
          <w:rFonts w:ascii="Times New Roman" w:hAnsi="Times New Roman" w:cs="Times New Roman"/>
          <w:spacing w:val="4"/>
          <w:sz w:val="24"/>
          <w:szCs w:val="24"/>
        </w:rPr>
        <w:t>-3-</w:t>
      </w:r>
      <w:r>
        <w:rPr>
          <w:rFonts w:ascii="Times New Roman" w:hAnsi="宋体" w:cs="Times New Roman"/>
          <w:spacing w:val="4"/>
          <w:sz w:val="24"/>
          <w:szCs w:val="24"/>
        </w:rPr>
        <w:t>甲基</w:t>
      </w:r>
      <w:r>
        <w:rPr>
          <w:rFonts w:ascii="Times New Roman" w:hAnsi="Times New Roman" w:cs="Times New Roman"/>
          <w:spacing w:val="4"/>
          <w:sz w:val="24"/>
          <w:szCs w:val="24"/>
        </w:rPr>
        <w:t>-5-</w:t>
      </w:r>
      <w:r>
        <w:rPr>
          <w:rFonts w:ascii="Times New Roman" w:hAnsi="宋体" w:cs="Times New Roman"/>
          <w:spacing w:val="4"/>
          <w:sz w:val="24"/>
          <w:szCs w:val="24"/>
        </w:rPr>
        <w:t>氨基吡唑等毒害性较小的化学品为原料的环保染料生产工艺替代苯胺、对氨基乙酰苯胺等有毒或剧毒化学品的生产工艺，符合《产业结构调整指导目录》中</w:t>
      </w:r>
      <w:r>
        <w:rPr>
          <w:rFonts w:ascii="Times New Roman" w:hAnsi="Times New Roman" w:cs="Times New Roman"/>
          <w:spacing w:val="4"/>
          <w:sz w:val="24"/>
          <w:szCs w:val="24"/>
        </w:rPr>
        <w:t>“</w:t>
      </w:r>
      <w:r>
        <w:rPr>
          <w:rFonts w:ascii="Times New Roman" w:hAnsi="宋体" w:cs="Times New Roman"/>
          <w:spacing w:val="4"/>
          <w:sz w:val="24"/>
          <w:szCs w:val="24"/>
        </w:rPr>
        <w:t>鼓励类</w:t>
      </w:r>
      <w:r>
        <w:rPr>
          <w:rFonts w:ascii="Times New Roman" w:hAnsi="Times New Roman" w:cs="Times New Roman"/>
          <w:spacing w:val="4"/>
          <w:sz w:val="24"/>
          <w:szCs w:val="24"/>
        </w:rPr>
        <w:t>-</w:t>
      </w:r>
      <w:r>
        <w:rPr>
          <w:rFonts w:ascii="Times New Roman" w:hAnsi="宋体" w:cs="Times New Roman"/>
          <w:spacing w:val="4"/>
          <w:sz w:val="24"/>
          <w:szCs w:val="24"/>
        </w:rPr>
        <w:t>取代光气等剧毒原料的适用技术</w:t>
      </w:r>
      <w:r>
        <w:rPr>
          <w:rFonts w:ascii="Times New Roman" w:hAnsi="Times New Roman" w:cs="Times New Roman"/>
          <w:spacing w:val="4"/>
          <w:sz w:val="24"/>
          <w:szCs w:val="24"/>
        </w:rPr>
        <w:t>”</w:t>
      </w:r>
      <w:r>
        <w:rPr>
          <w:rFonts w:ascii="Times New Roman" w:hAnsi="宋体" w:cs="Times New Roman"/>
          <w:spacing w:val="4"/>
          <w:sz w:val="24"/>
          <w:szCs w:val="24"/>
        </w:rPr>
        <w:t>的要求；生产技术成熟可靠。</w:t>
      </w:r>
    </w:p>
    <w:p w:rsidR="00475650" w:rsidRDefault="00475650">
      <w:pPr>
        <w:pStyle w:val="afffffffff2"/>
        <w:adjustRightInd w:val="0"/>
        <w:snapToGrid w:val="0"/>
        <w:spacing w:line="360" w:lineRule="auto"/>
        <w:ind w:firstLine="496"/>
        <w:rPr>
          <w:rFonts w:ascii="Times New Roman" w:hAnsi="Times New Roman" w:cs="Times New Roman"/>
          <w:spacing w:val="4"/>
          <w:sz w:val="24"/>
          <w:szCs w:val="24"/>
        </w:rPr>
      </w:pPr>
      <w:r>
        <w:rPr>
          <w:rFonts w:ascii="Times New Roman" w:hAnsi="宋体" w:cs="Times New Roman" w:hint="eastAsia"/>
          <w:spacing w:val="4"/>
          <w:sz w:val="24"/>
          <w:szCs w:val="24"/>
        </w:rPr>
        <w:lastRenderedPageBreak/>
        <w:t>业主拟采用国内同类工程现成熟使用的标准成套设备来进行生产，</w:t>
      </w:r>
      <w:r>
        <w:rPr>
          <w:rFonts w:ascii="Times New Roman" w:hAnsi="宋体" w:cs="Times New Roman"/>
          <w:spacing w:val="4"/>
          <w:sz w:val="24"/>
          <w:szCs w:val="24"/>
        </w:rPr>
        <w:t>不涉及产业政策明令限制及淘汰设备</w:t>
      </w:r>
      <w:r>
        <w:rPr>
          <w:rFonts w:ascii="Times New Roman" w:hAnsi="宋体" w:cs="Times New Roman" w:hint="eastAsia"/>
          <w:spacing w:val="4"/>
          <w:sz w:val="24"/>
          <w:szCs w:val="24"/>
        </w:rPr>
        <w:t>。</w:t>
      </w:r>
    </w:p>
    <w:p w:rsidR="00475650" w:rsidRDefault="00475650">
      <w:pPr>
        <w:pStyle w:val="afffffffff2"/>
        <w:adjustRightInd w:val="0"/>
        <w:snapToGrid w:val="0"/>
        <w:spacing w:line="360" w:lineRule="auto"/>
        <w:ind w:firstLine="496"/>
        <w:rPr>
          <w:rFonts w:ascii="Times New Roman" w:hAnsi="Times New Roman" w:cs="Times New Roman"/>
          <w:spacing w:val="4"/>
          <w:sz w:val="24"/>
          <w:szCs w:val="24"/>
        </w:rPr>
      </w:pPr>
      <w:r>
        <w:rPr>
          <w:rFonts w:ascii="Times New Roman" w:hAnsi="宋体" w:cs="Times New Roman"/>
          <w:spacing w:val="4"/>
          <w:sz w:val="24"/>
          <w:szCs w:val="24"/>
        </w:rPr>
        <w:t>综上，本项目使用的生产工艺及生产设备清洁水平满足国内先进生产水平。</w:t>
      </w:r>
    </w:p>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984" w:name="_Toc333230097"/>
      <w:bookmarkStart w:id="985" w:name="_Toc334014274"/>
      <w:bookmarkStart w:id="986" w:name="_Toc302936811"/>
      <w:bookmarkStart w:id="987" w:name="_Toc273462488"/>
      <w:bookmarkStart w:id="988" w:name="_Toc274984911"/>
      <w:bookmarkStart w:id="989" w:name="_Toc334080916"/>
      <w:bookmarkStart w:id="990" w:name="_Toc332293074"/>
      <w:bookmarkStart w:id="991" w:name="_Toc465677070"/>
      <w:bookmarkStart w:id="992" w:name="_Toc22566"/>
      <w:bookmarkEnd w:id="983"/>
      <w:r>
        <w:rPr>
          <w:rStyle w:val="2Char1Char"/>
          <w:rFonts w:ascii="Times New Roman" w:eastAsia="宋体" w:hAnsi="Times New Roman" w:cs="Times New Roman"/>
          <w:b w:val="0"/>
          <w:sz w:val="24"/>
          <w:szCs w:val="24"/>
        </w:rPr>
        <w:t>8.1.3</w:t>
      </w:r>
      <w:r>
        <w:rPr>
          <w:rStyle w:val="2Char1Char"/>
          <w:rFonts w:ascii="Times New Roman" w:eastAsia="宋体" w:hAnsi="宋体" w:cs="Times New Roman"/>
          <w:b w:val="0"/>
          <w:sz w:val="24"/>
          <w:szCs w:val="24"/>
        </w:rPr>
        <w:t>节能降耗分析</w:t>
      </w:r>
      <w:bookmarkEnd w:id="984"/>
      <w:bookmarkEnd w:id="985"/>
      <w:bookmarkEnd w:id="986"/>
      <w:bookmarkEnd w:id="987"/>
      <w:bookmarkEnd w:id="988"/>
      <w:bookmarkEnd w:id="989"/>
      <w:bookmarkEnd w:id="990"/>
      <w:bookmarkEnd w:id="991"/>
      <w:bookmarkEnd w:id="992"/>
    </w:p>
    <w:p w:rsidR="00475650" w:rsidRDefault="00475650">
      <w:pPr>
        <w:autoSpaceDE w:val="0"/>
        <w:autoSpaceDN w:val="0"/>
        <w:adjustRightInd w:val="0"/>
        <w:snapToGrid w:val="0"/>
        <w:spacing w:line="360" w:lineRule="auto"/>
        <w:ind w:firstLineChars="200" w:firstLine="480"/>
        <w:rPr>
          <w:sz w:val="24"/>
        </w:rPr>
      </w:pPr>
      <w:bookmarkStart w:id="993" w:name="_Toc322525938"/>
      <w:r>
        <w:rPr>
          <w:rFonts w:hAnsi="宋体"/>
          <w:sz w:val="24"/>
        </w:rPr>
        <w:t>根据本项目节能评估报告，本项目采取的节能降耗措施为：</w:t>
      </w:r>
    </w:p>
    <w:p w:rsidR="00475650" w:rsidRDefault="00475650">
      <w:pPr>
        <w:autoSpaceDE w:val="0"/>
        <w:autoSpaceDN w:val="0"/>
        <w:adjustRightInd w:val="0"/>
        <w:snapToGrid w:val="0"/>
        <w:spacing w:line="360" w:lineRule="auto"/>
        <w:ind w:firstLineChars="200" w:firstLine="480"/>
        <w:rPr>
          <w:rFonts w:hAnsi="宋体"/>
          <w:sz w:val="24"/>
        </w:rPr>
      </w:pPr>
      <w:bookmarkStart w:id="994" w:name="_Toc322525940"/>
      <w:bookmarkEnd w:id="993"/>
      <w:r>
        <w:rPr>
          <w:sz w:val="24"/>
        </w:rPr>
        <w:t>1</w:t>
      </w:r>
      <w:r>
        <w:rPr>
          <w:rFonts w:hAnsi="宋体"/>
          <w:sz w:val="24"/>
        </w:rPr>
        <w:t>、选用能耗较低的生产设备，</w:t>
      </w:r>
      <w:r>
        <w:rPr>
          <w:rFonts w:hAnsi="宋体" w:hint="eastAsia"/>
          <w:sz w:val="24"/>
        </w:rPr>
        <w:t>采用</w:t>
      </w:r>
      <w:r>
        <w:rPr>
          <w:rFonts w:hAnsi="宋体"/>
          <w:sz w:val="24"/>
        </w:rPr>
        <w:t>国内成熟的大型规模化设备，有利于自动化控制、节约设备总电耗；</w:t>
      </w:r>
      <w:bookmarkEnd w:id="994"/>
    </w:p>
    <w:p w:rsidR="00475650" w:rsidRDefault="00475650">
      <w:pPr>
        <w:autoSpaceDE w:val="0"/>
        <w:autoSpaceDN w:val="0"/>
        <w:adjustRightInd w:val="0"/>
        <w:snapToGrid w:val="0"/>
        <w:spacing w:line="360" w:lineRule="auto"/>
        <w:ind w:firstLineChars="200" w:firstLine="480"/>
        <w:rPr>
          <w:sz w:val="24"/>
        </w:rPr>
      </w:pPr>
      <w:r>
        <w:rPr>
          <w:sz w:val="24"/>
        </w:rPr>
        <w:t xml:space="preserve"> 2</w:t>
      </w:r>
      <w:r>
        <w:rPr>
          <w:rFonts w:hAnsi="宋体"/>
          <w:sz w:val="24"/>
        </w:rPr>
        <w:t>、配套选择合理容量的电动机，采用节能型电力变压器等电力设备，以减少电力损耗；采用变频调节技术，提高电能利用效率，优化电缆通道布置，使电缆走向合理，降低有色金属材料的消耗；</w:t>
      </w:r>
    </w:p>
    <w:p w:rsidR="00475650" w:rsidRDefault="00475650">
      <w:pPr>
        <w:autoSpaceDE w:val="0"/>
        <w:autoSpaceDN w:val="0"/>
        <w:adjustRightInd w:val="0"/>
        <w:snapToGrid w:val="0"/>
        <w:spacing w:line="360" w:lineRule="auto"/>
        <w:ind w:firstLineChars="200" w:firstLine="480"/>
        <w:rPr>
          <w:sz w:val="24"/>
        </w:rPr>
      </w:pPr>
      <w:bookmarkStart w:id="995" w:name="_Toc322525941"/>
      <w:r>
        <w:rPr>
          <w:sz w:val="24"/>
        </w:rPr>
        <w:t>3</w:t>
      </w:r>
      <w:r>
        <w:rPr>
          <w:rFonts w:hAnsi="宋体"/>
          <w:sz w:val="24"/>
        </w:rPr>
        <w:t>、本项目选择照明高效光源，灯具采用电子镇流或节能型高功率因数电感镇流器，在满足照明质量的前提下，室内场所照明采用高效节能</w:t>
      </w:r>
      <w:r>
        <w:rPr>
          <w:sz w:val="24"/>
        </w:rPr>
        <w:t>LED</w:t>
      </w:r>
      <w:r>
        <w:rPr>
          <w:rFonts w:hAnsi="宋体"/>
          <w:sz w:val="24"/>
        </w:rPr>
        <w:t>灯，较传统灯具可节能</w:t>
      </w:r>
      <w:r>
        <w:rPr>
          <w:sz w:val="24"/>
        </w:rPr>
        <w:t>30%</w:t>
      </w:r>
      <w:r>
        <w:rPr>
          <w:rFonts w:hAnsi="宋体"/>
          <w:sz w:val="24"/>
        </w:rPr>
        <w:t>左右；尽可能使用声控照明；</w:t>
      </w:r>
    </w:p>
    <w:p w:rsidR="00475650" w:rsidRDefault="00475650">
      <w:pPr>
        <w:spacing w:line="360" w:lineRule="auto"/>
        <w:ind w:firstLineChars="200" w:firstLine="480"/>
        <w:rPr>
          <w:sz w:val="24"/>
        </w:rPr>
      </w:pPr>
      <w:r>
        <w:rPr>
          <w:sz w:val="24"/>
        </w:rPr>
        <w:t>4</w:t>
      </w:r>
      <w:r>
        <w:rPr>
          <w:rFonts w:hAnsi="宋体"/>
          <w:sz w:val="24"/>
        </w:rPr>
        <w:t>、采用冷冻机组提供装置</w:t>
      </w:r>
      <w:r>
        <w:rPr>
          <w:rFonts w:hAnsi="宋体" w:hint="eastAsia"/>
          <w:sz w:val="24"/>
        </w:rPr>
        <w:t>用</w:t>
      </w:r>
      <w:r>
        <w:rPr>
          <w:rFonts w:hint="eastAsia"/>
          <w:sz w:val="24"/>
        </w:rPr>
        <w:t>冷冻水</w:t>
      </w:r>
      <w:r>
        <w:rPr>
          <w:rFonts w:hAnsi="宋体"/>
          <w:sz w:val="24"/>
        </w:rPr>
        <w:t>，冷媒采用水及乙二醇水溶液，冷水循环使用减少制冷耗电并节约新鲜水的用量；</w:t>
      </w:r>
    </w:p>
    <w:p w:rsidR="00475650" w:rsidRDefault="00475650">
      <w:pPr>
        <w:autoSpaceDE w:val="0"/>
        <w:autoSpaceDN w:val="0"/>
        <w:adjustRightInd w:val="0"/>
        <w:snapToGrid w:val="0"/>
        <w:spacing w:line="360" w:lineRule="auto"/>
        <w:ind w:firstLineChars="200" w:firstLine="480"/>
        <w:rPr>
          <w:rFonts w:hAnsi="宋体"/>
          <w:sz w:val="24"/>
        </w:rPr>
      </w:pPr>
      <w:r>
        <w:rPr>
          <w:sz w:val="24"/>
        </w:rPr>
        <w:t>5</w:t>
      </w:r>
      <w:r>
        <w:rPr>
          <w:rFonts w:hAnsi="宋体"/>
          <w:sz w:val="24"/>
        </w:rPr>
        <w:t>、考虑建筑节能，尽量利用冬季日照取暖，减少夏季太阳热辐射，并充分利用自然通风。新建厂房建筑均为节能型建筑，选用新型墙体材料，除砖混结构建筑物采用多孔砖外，其余框架结构建筑物填充墙均采用加气砼块等轻质材料，保证墙体防火、防潮、防裂技术。采用合理窗墙比，屋顶加设倒置保温层。节能量可达</w:t>
      </w:r>
      <w:r>
        <w:rPr>
          <w:sz w:val="24"/>
        </w:rPr>
        <w:t>20%~40%</w:t>
      </w:r>
      <w:r>
        <w:rPr>
          <w:rFonts w:hAnsi="宋体"/>
          <w:sz w:val="24"/>
        </w:rPr>
        <w:t>本项目建筑物的朝向均接近南北向，满足建筑节能要求。</w:t>
      </w:r>
    </w:p>
    <w:bookmarkEnd w:id="995"/>
    <w:p w:rsidR="00475650" w:rsidRDefault="00475650">
      <w:pPr>
        <w:autoSpaceDE w:val="0"/>
        <w:autoSpaceDN w:val="0"/>
        <w:adjustRightInd w:val="0"/>
        <w:snapToGrid w:val="0"/>
        <w:spacing w:line="360" w:lineRule="auto"/>
        <w:ind w:firstLineChars="200" w:firstLine="480"/>
        <w:rPr>
          <w:sz w:val="24"/>
        </w:rPr>
      </w:pPr>
      <w:r>
        <w:rPr>
          <w:rFonts w:hAnsi="宋体"/>
          <w:sz w:val="24"/>
        </w:rPr>
        <w:t>根据节能评估报告相关章节的结论：</w:t>
      </w:r>
      <w:r>
        <w:rPr>
          <w:sz w:val="24"/>
        </w:rPr>
        <w:t>“</w:t>
      </w:r>
      <w:r>
        <w:rPr>
          <w:rFonts w:hAnsi="宋体"/>
          <w:sz w:val="24"/>
        </w:rPr>
        <w:t>该项目成熟可靠、先进合理，积极采用各种节能措施，并采用节能型设备。项目所有公用及工艺设备，均采用国家推荐的高效节能产品及引进的先进设备，设计中还考虑了尽量提高设备的利用率，以达到节能降耗目的。因此，本项目的建设方案充分考虑了能源利用的因素，为合理用能提供了良好的技术保障。</w:t>
      </w:r>
      <w:r>
        <w:rPr>
          <w:sz w:val="24"/>
        </w:rPr>
        <w:t>”</w:t>
      </w:r>
    </w:p>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996" w:name="_Toc333230098"/>
      <w:bookmarkStart w:id="997" w:name="_Toc334080917"/>
      <w:bookmarkStart w:id="998" w:name="_Toc334014275"/>
      <w:bookmarkStart w:id="999" w:name="_Toc332293075"/>
      <w:bookmarkStart w:id="1000" w:name="_Toc302936814"/>
      <w:bookmarkStart w:id="1001" w:name="_Toc465677071"/>
      <w:bookmarkStart w:id="1002" w:name="_Toc15497"/>
      <w:r>
        <w:rPr>
          <w:rStyle w:val="2Char1Char"/>
          <w:rFonts w:ascii="Times New Roman" w:eastAsia="宋体" w:hAnsi="Times New Roman" w:cs="Times New Roman"/>
          <w:b w:val="0"/>
          <w:sz w:val="24"/>
          <w:szCs w:val="24"/>
        </w:rPr>
        <w:t>8.1.4</w:t>
      </w:r>
      <w:r>
        <w:rPr>
          <w:rStyle w:val="2Char1Char"/>
          <w:rFonts w:ascii="Times New Roman" w:eastAsia="宋体" w:hAnsi="宋体" w:cs="Times New Roman"/>
          <w:b w:val="0"/>
          <w:sz w:val="24"/>
          <w:szCs w:val="24"/>
        </w:rPr>
        <w:t>污染物产生和资源综合利用情况</w:t>
      </w:r>
      <w:bookmarkEnd w:id="996"/>
      <w:bookmarkEnd w:id="997"/>
      <w:bookmarkEnd w:id="998"/>
      <w:bookmarkEnd w:id="999"/>
      <w:bookmarkEnd w:id="1000"/>
      <w:bookmarkEnd w:id="1001"/>
      <w:bookmarkEnd w:id="1002"/>
    </w:p>
    <w:p w:rsidR="00475650" w:rsidRDefault="00475650">
      <w:pPr>
        <w:spacing w:line="360" w:lineRule="auto"/>
        <w:ind w:firstLineChars="200" w:firstLine="480"/>
        <w:rPr>
          <w:sz w:val="24"/>
        </w:rPr>
      </w:pPr>
      <w:r>
        <w:rPr>
          <w:rFonts w:hAnsi="宋体"/>
          <w:sz w:val="24"/>
        </w:rPr>
        <w:t>根据工程分析的有关内容，本项目在污染物产生及资源综合利用方面采取的清洁生产水平如下：</w:t>
      </w:r>
    </w:p>
    <w:p w:rsidR="00475650" w:rsidRDefault="00475650">
      <w:pPr>
        <w:spacing w:line="360" w:lineRule="auto"/>
        <w:ind w:firstLineChars="200" w:firstLine="480"/>
        <w:rPr>
          <w:sz w:val="24"/>
        </w:rPr>
      </w:pPr>
      <w:r>
        <w:rPr>
          <w:sz w:val="24"/>
        </w:rPr>
        <w:t>1</w:t>
      </w:r>
      <w:r>
        <w:rPr>
          <w:rFonts w:hAnsi="宋体"/>
          <w:sz w:val="24"/>
        </w:rPr>
        <w:t>、废水：生产中设备及物料的冷却、加热均采取夹套等间接方式，间接水循环</w:t>
      </w:r>
      <w:r>
        <w:rPr>
          <w:rFonts w:hAnsi="宋体"/>
          <w:sz w:val="24"/>
        </w:rPr>
        <w:lastRenderedPageBreak/>
        <w:t>利用，从源头上减少废水的产生及处理量；生产废水经自建污水处理站预处理后送园区污水处理厂处理，降低园区对本项目废水的处理负荷，可有效减少外排污染物的总量；</w:t>
      </w:r>
    </w:p>
    <w:p w:rsidR="00475650" w:rsidRDefault="00475650">
      <w:pPr>
        <w:spacing w:line="360" w:lineRule="auto"/>
        <w:ind w:firstLineChars="200" w:firstLine="480"/>
        <w:rPr>
          <w:sz w:val="24"/>
        </w:rPr>
      </w:pPr>
      <w:r>
        <w:rPr>
          <w:sz w:val="24"/>
        </w:rPr>
        <w:t>2</w:t>
      </w:r>
      <w:r>
        <w:rPr>
          <w:rFonts w:hAnsi="宋体"/>
          <w:sz w:val="24"/>
        </w:rPr>
        <w:t>、废气：采用负压收集措施减少</w:t>
      </w:r>
      <w:r>
        <w:rPr>
          <w:rFonts w:hAnsi="宋体" w:hint="eastAsia"/>
          <w:sz w:val="24"/>
        </w:rPr>
        <w:t>污染物</w:t>
      </w:r>
      <w:r>
        <w:rPr>
          <w:rFonts w:hAnsi="宋体"/>
          <w:sz w:val="24"/>
        </w:rPr>
        <w:t>的</w:t>
      </w:r>
      <w:r>
        <w:rPr>
          <w:rFonts w:hAnsi="宋体" w:hint="eastAsia"/>
          <w:sz w:val="24"/>
        </w:rPr>
        <w:t>无组织排放</w:t>
      </w:r>
      <w:r>
        <w:rPr>
          <w:rFonts w:hAnsi="宋体"/>
          <w:sz w:val="24"/>
        </w:rPr>
        <w:t>量，粉尘经布袋收尘处理后外排，</w:t>
      </w:r>
      <w:r>
        <w:rPr>
          <w:rFonts w:hAnsi="宋体" w:hint="eastAsia"/>
          <w:sz w:val="24"/>
        </w:rPr>
        <w:t>收尘即为产品，氯化氢经碱液喷淋后集中外排，</w:t>
      </w:r>
      <w:r>
        <w:rPr>
          <w:rFonts w:hAnsi="宋体"/>
          <w:sz w:val="24"/>
        </w:rPr>
        <w:t>在回收产品提高产品收率的前提下减少污染物外排量，满足清洁生产要求；</w:t>
      </w:r>
    </w:p>
    <w:p w:rsidR="00475650" w:rsidRDefault="00475650">
      <w:pPr>
        <w:spacing w:line="360" w:lineRule="auto"/>
        <w:ind w:firstLineChars="200" w:firstLine="480"/>
        <w:rPr>
          <w:sz w:val="24"/>
        </w:rPr>
      </w:pPr>
      <w:r>
        <w:rPr>
          <w:sz w:val="24"/>
        </w:rPr>
        <w:t>3</w:t>
      </w:r>
      <w:r>
        <w:rPr>
          <w:rFonts w:hAnsi="宋体"/>
          <w:sz w:val="24"/>
        </w:rPr>
        <w:t>、固废：废包装回收至厂家综合利用，废水处理过程中产生的析出盐作为副产品工业盐外售，以上措施可变废为宝，减少固废处理投入，较少污染影响；</w:t>
      </w:r>
      <w:r>
        <w:rPr>
          <w:rFonts w:hAnsi="宋体" w:hint="eastAsia"/>
          <w:sz w:val="24"/>
        </w:rPr>
        <w:t>危险废物外委有资质的处理单位处理，</w:t>
      </w:r>
      <w:r>
        <w:rPr>
          <w:rFonts w:hAnsi="宋体"/>
          <w:sz w:val="24"/>
        </w:rPr>
        <w:t>综合分析各类固废均能得到合理的处理处置，从经济成本及环境保护角度综合考虑其处理方式，满足清洁生产要求；</w:t>
      </w:r>
      <w:r>
        <w:rPr>
          <w:sz w:val="24"/>
        </w:rPr>
        <w:t xml:space="preserve"> </w:t>
      </w:r>
    </w:p>
    <w:p w:rsidR="00475650" w:rsidRDefault="00475650">
      <w:pPr>
        <w:spacing w:line="360" w:lineRule="auto"/>
        <w:ind w:firstLineChars="200" w:firstLine="480"/>
        <w:rPr>
          <w:sz w:val="24"/>
        </w:rPr>
      </w:pPr>
      <w:r>
        <w:rPr>
          <w:rFonts w:hAnsi="宋体"/>
          <w:sz w:val="24"/>
        </w:rPr>
        <w:t>本项目采用经济可行的处理措施减少污染物的排放量，尽可能的综合利用固体废物，不能直接综合利用的外委无害化处理，项目污染物产生水平及资源综合利用水平</w:t>
      </w:r>
      <w:r>
        <w:rPr>
          <w:rFonts w:hAnsi="宋体" w:hint="eastAsia"/>
          <w:sz w:val="24"/>
        </w:rPr>
        <w:t>为国内同类工程现有水平</w:t>
      </w:r>
      <w:r>
        <w:rPr>
          <w:rFonts w:hAnsi="宋体"/>
          <w:sz w:val="24"/>
        </w:rPr>
        <w:t>。</w:t>
      </w:r>
    </w:p>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1003" w:name="_Toc332293076"/>
      <w:bookmarkStart w:id="1004" w:name="_Toc334014276"/>
      <w:bookmarkStart w:id="1005" w:name="_Toc334080918"/>
      <w:bookmarkStart w:id="1006" w:name="_Toc333230099"/>
      <w:bookmarkStart w:id="1007" w:name="_Toc465677072"/>
      <w:bookmarkStart w:id="1008" w:name="_Toc19275"/>
      <w:bookmarkStart w:id="1009" w:name="_Toc302936815"/>
      <w:bookmarkStart w:id="1010" w:name="_Toc238484683"/>
      <w:bookmarkStart w:id="1011" w:name="_Toc247302826"/>
      <w:r>
        <w:rPr>
          <w:rStyle w:val="2Char1Char"/>
          <w:rFonts w:ascii="Times New Roman" w:eastAsia="宋体" w:hAnsi="Times New Roman" w:cs="Times New Roman"/>
          <w:b w:val="0"/>
          <w:sz w:val="24"/>
          <w:szCs w:val="24"/>
        </w:rPr>
        <w:t xml:space="preserve">8.1.5 </w:t>
      </w:r>
      <w:r>
        <w:rPr>
          <w:rStyle w:val="2Char1Char"/>
          <w:rFonts w:ascii="Times New Roman" w:eastAsia="宋体" w:hAnsi="宋体" w:cs="Times New Roman"/>
          <w:b w:val="0"/>
          <w:sz w:val="24"/>
          <w:szCs w:val="24"/>
        </w:rPr>
        <w:t>管理水平</w:t>
      </w:r>
      <w:bookmarkEnd w:id="1003"/>
      <w:bookmarkEnd w:id="1004"/>
      <w:bookmarkEnd w:id="1005"/>
      <w:bookmarkEnd w:id="1006"/>
      <w:bookmarkEnd w:id="1007"/>
      <w:bookmarkEnd w:id="1008"/>
    </w:p>
    <w:p w:rsidR="00475650" w:rsidRDefault="00475650">
      <w:pPr>
        <w:spacing w:line="360" w:lineRule="auto"/>
        <w:ind w:firstLineChars="200" w:firstLine="480"/>
        <w:rPr>
          <w:sz w:val="24"/>
        </w:rPr>
      </w:pPr>
      <w:r>
        <w:rPr>
          <w:rFonts w:hAnsi="宋体"/>
          <w:sz w:val="24"/>
        </w:rPr>
        <w:t>本项目选址临湘工业园滨江产业区临湘市鹏程化工有限公司预留地内，公司现有工程已形成完善的管理系统及干部队伍，本项目根据工程特点另需招募懂技术擅管理的精英人员，生产管工作理纳入全厂管理范畴内。</w:t>
      </w:r>
    </w:p>
    <w:p w:rsidR="00475650" w:rsidRDefault="00475650">
      <w:pPr>
        <w:pStyle w:val="h"/>
        <w:spacing w:before="0" w:after="0" w:line="360" w:lineRule="auto"/>
        <w:ind w:firstLine="0"/>
        <w:outlineLvl w:val="1"/>
        <w:rPr>
          <w:rFonts w:ascii="Times New Roman" w:eastAsia="宋体" w:hAnsi="Times New Roman" w:cs="Times New Roman"/>
          <w:bCs/>
        </w:rPr>
      </w:pPr>
      <w:bookmarkStart w:id="1012" w:name="_Toc333230100"/>
      <w:bookmarkStart w:id="1013" w:name="_Toc334080919"/>
      <w:bookmarkStart w:id="1014" w:name="_Toc334014277"/>
      <w:bookmarkStart w:id="1015" w:name="_Toc332293077"/>
      <w:bookmarkStart w:id="1016" w:name="_Toc465677073"/>
      <w:bookmarkStart w:id="1017" w:name="_Toc21039"/>
      <w:r>
        <w:rPr>
          <w:rStyle w:val="2Char1Char"/>
          <w:rFonts w:ascii="Times New Roman" w:eastAsia="宋体" w:hAnsi="Times New Roman" w:cs="Times New Roman"/>
          <w:b w:val="0"/>
          <w:sz w:val="24"/>
          <w:szCs w:val="24"/>
        </w:rPr>
        <w:t>8.1.6</w:t>
      </w:r>
      <w:r>
        <w:rPr>
          <w:rStyle w:val="2Char1Char"/>
          <w:rFonts w:ascii="Times New Roman" w:eastAsia="宋体" w:hAnsi="宋体" w:cs="Times New Roman"/>
          <w:b w:val="0"/>
          <w:sz w:val="24"/>
          <w:szCs w:val="24"/>
        </w:rPr>
        <w:t>清洁生产评价</w:t>
      </w:r>
      <w:bookmarkEnd w:id="1009"/>
      <w:bookmarkEnd w:id="1010"/>
      <w:bookmarkEnd w:id="1011"/>
      <w:bookmarkEnd w:id="1012"/>
      <w:bookmarkEnd w:id="1013"/>
      <w:bookmarkEnd w:id="1014"/>
      <w:bookmarkEnd w:id="1015"/>
      <w:bookmarkEnd w:id="1016"/>
      <w:bookmarkEnd w:id="1017"/>
    </w:p>
    <w:p w:rsidR="00475650" w:rsidRDefault="00475650">
      <w:pPr>
        <w:snapToGrid w:val="0"/>
        <w:spacing w:line="360" w:lineRule="auto"/>
        <w:ind w:firstLineChars="200" w:firstLine="480"/>
        <w:rPr>
          <w:rFonts w:hAnsi="宋体"/>
          <w:sz w:val="24"/>
        </w:rPr>
      </w:pPr>
      <w:r>
        <w:rPr>
          <w:rFonts w:hAnsi="宋体"/>
          <w:sz w:val="24"/>
        </w:rPr>
        <w:t>综上所述，拟建工程使用较洁净的生产能源及常用化学品，采用国内</w:t>
      </w:r>
      <w:r>
        <w:rPr>
          <w:rFonts w:hAnsi="宋体" w:hint="eastAsia"/>
          <w:sz w:val="24"/>
        </w:rPr>
        <w:t>成熟</w:t>
      </w:r>
      <w:r>
        <w:rPr>
          <w:rFonts w:hAnsi="宋体"/>
          <w:sz w:val="24"/>
        </w:rPr>
        <w:t>生产工艺；各设备之间的联系充分考虑了物料之间的热能交换以减少蒸汽及电能等能源的消耗，加强生产管理，采用水循环等方式从源头减少污染物的产生，采用有效的污染防治措施减少污染物的排放量；</w:t>
      </w:r>
      <w:r>
        <w:rPr>
          <w:rFonts w:hAnsi="宋体" w:hint="eastAsia"/>
          <w:sz w:val="24"/>
        </w:rPr>
        <w:t>公司拟按照要求购置国内先进生产设备进行生产，生产设备采用密封装置，各废气产出点采用负压收集后外排或经过处理后外排，减少废物污染物的影响。</w:t>
      </w:r>
      <w:r>
        <w:rPr>
          <w:rFonts w:hAnsi="宋体"/>
          <w:sz w:val="24"/>
        </w:rPr>
        <w:t>生产管理依托于公司已有的完善的管理队伍并针对项目的特点招募懂技术的管理人员；</w:t>
      </w:r>
      <w:r>
        <w:rPr>
          <w:rFonts w:hAnsi="宋体" w:hint="eastAsia"/>
          <w:sz w:val="24"/>
        </w:rPr>
        <w:t>整个项目的清洁生产水平为国内同类工程清洁生产水平</w:t>
      </w:r>
      <w:r>
        <w:rPr>
          <w:rFonts w:hAnsi="宋体"/>
          <w:sz w:val="24"/>
        </w:rPr>
        <w:t>。</w:t>
      </w:r>
    </w:p>
    <w:p w:rsidR="00475650" w:rsidRDefault="00475650">
      <w:pPr>
        <w:snapToGrid w:val="0"/>
        <w:spacing w:line="360" w:lineRule="auto"/>
        <w:ind w:firstLineChars="200" w:firstLine="480"/>
        <w:rPr>
          <w:rFonts w:hAnsi="宋体"/>
          <w:sz w:val="24"/>
        </w:rPr>
      </w:pPr>
    </w:p>
    <w:p w:rsidR="00475650" w:rsidRDefault="00475650">
      <w:pPr>
        <w:snapToGrid w:val="0"/>
        <w:spacing w:line="360" w:lineRule="auto"/>
        <w:ind w:firstLineChars="200" w:firstLine="480"/>
        <w:rPr>
          <w:sz w:val="24"/>
        </w:rPr>
      </w:pPr>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1018" w:name="_Toc332293078"/>
      <w:bookmarkStart w:id="1019" w:name="_Toc12088"/>
      <w:r>
        <w:rPr>
          <w:rStyle w:val="2Char1Char"/>
          <w:rFonts w:ascii="Times New Roman" w:eastAsia="宋体" w:hAnsi="Times New Roman" w:cs="Times New Roman"/>
          <w:b w:val="0"/>
          <w:sz w:val="28"/>
          <w:szCs w:val="28"/>
        </w:rPr>
        <w:lastRenderedPageBreak/>
        <w:t>8.2</w:t>
      </w:r>
      <w:r>
        <w:rPr>
          <w:rStyle w:val="2Char1Char"/>
          <w:rFonts w:ascii="Times New Roman" w:eastAsia="宋体" w:hAnsi="宋体" w:cs="Times New Roman"/>
          <w:b w:val="0"/>
          <w:sz w:val="28"/>
          <w:szCs w:val="28"/>
        </w:rPr>
        <w:t>总量控制</w:t>
      </w:r>
      <w:bookmarkEnd w:id="1018"/>
      <w:bookmarkEnd w:id="1019"/>
    </w:p>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1020" w:name="_Toc465677075"/>
      <w:bookmarkStart w:id="1021" w:name="_Toc24942"/>
      <w:r>
        <w:rPr>
          <w:rStyle w:val="2Char1Char"/>
          <w:rFonts w:ascii="Times New Roman" w:eastAsia="宋体" w:hAnsi="Times New Roman" w:cs="Times New Roman"/>
          <w:b w:val="0"/>
          <w:sz w:val="24"/>
          <w:szCs w:val="24"/>
        </w:rPr>
        <w:t>8.2.1</w:t>
      </w:r>
      <w:r>
        <w:rPr>
          <w:rStyle w:val="2Char1Char"/>
          <w:rFonts w:ascii="Times New Roman" w:eastAsia="宋体" w:hAnsi="宋体" w:cs="Times New Roman"/>
          <w:b w:val="0"/>
          <w:sz w:val="24"/>
          <w:szCs w:val="24"/>
        </w:rPr>
        <w:t>总量指标核算</w:t>
      </w:r>
      <w:bookmarkEnd w:id="1020"/>
      <w:bookmarkEnd w:id="1021"/>
    </w:p>
    <w:p w:rsidR="00475650" w:rsidRDefault="00475650">
      <w:pPr>
        <w:snapToGrid w:val="0"/>
        <w:spacing w:line="360" w:lineRule="auto"/>
        <w:ind w:firstLineChars="200" w:firstLine="464"/>
        <w:rPr>
          <w:rFonts w:hAnsi="宋体"/>
          <w:sz w:val="24"/>
          <w:u w:val="single"/>
        </w:rPr>
      </w:pPr>
      <w:r>
        <w:rPr>
          <w:rFonts w:hAnsi="宋体"/>
          <w:spacing w:val="-4"/>
          <w:sz w:val="24"/>
        </w:rPr>
        <w:t>临湘市鹏程化工有限公司</w:t>
      </w:r>
      <w:r>
        <w:rPr>
          <w:rFonts w:hAnsi="宋体"/>
          <w:sz w:val="24"/>
        </w:rPr>
        <w:t>目前暂无由湖南省环境保护厅批复确认的气型污染物总量控制指标，</w:t>
      </w:r>
      <w:r>
        <w:rPr>
          <w:rFonts w:hAnsi="宋体" w:hint="eastAsia"/>
          <w:sz w:val="24"/>
          <w:u w:val="single"/>
        </w:rPr>
        <w:t>根据临湘市鹏程化工有限公司排污权证（见附件），公司现有</w:t>
      </w:r>
      <w:r>
        <w:rPr>
          <w:rFonts w:hAnsi="宋体" w:hint="eastAsia"/>
          <w:sz w:val="24"/>
          <w:u w:val="single"/>
        </w:rPr>
        <w:t>COD</w:t>
      </w:r>
      <w:r>
        <w:rPr>
          <w:rFonts w:hAnsi="宋体" w:hint="eastAsia"/>
          <w:sz w:val="24"/>
          <w:u w:val="single"/>
          <w:vertAlign w:val="subscript"/>
        </w:rPr>
        <w:t>cr</w:t>
      </w:r>
      <w:r>
        <w:rPr>
          <w:rFonts w:hAnsi="宋体" w:hint="eastAsia"/>
          <w:sz w:val="24"/>
          <w:u w:val="single"/>
        </w:rPr>
        <w:t>排放指标</w:t>
      </w:r>
      <w:r>
        <w:rPr>
          <w:rFonts w:hAnsi="宋体" w:hint="eastAsia"/>
          <w:sz w:val="24"/>
          <w:u w:val="single"/>
        </w:rPr>
        <w:t>19.7t/a</w:t>
      </w:r>
      <w:r>
        <w:rPr>
          <w:rFonts w:hAnsi="宋体" w:hint="eastAsia"/>
          <w:sz w:val="24"/>
          <w:u w:val="single"/>
        </w:rPr>
        <w:t>，氨氮</w:t>
      </w:r>
      <w:r>
        <w:rPr>
          <w:rFonts w:hAnsi="宋体" w:hint="eastAsia"/>
          <w:sz w:val="24"/>
          <w:u w:val="single"/>
        </w:rPr>
        <w:t>3t/a</w:t>
      </w:r>
      <w:r>
        <w:rPr>
          <w:rFonts w:hAnsi="宋体" w:hint="eastAsia"/>
          <w:sz w:val="24"/>
          <w:u w:val="single"/>
        </w:rPr>
        <w:t>。</w:t>
      </w:r>
    </w:p>
    <w:p w:rsidR="00475650" w:rsidRDefault="00475650" w:rsidP="00475650">
      <w:pPr>
        <w:spacing w:line="360" w:lineRule="auto"/>
        <w:ind w:firstLineChars="182" w:firstLine="437"/>
        <w:rPr>
          <w:sz w:val="24"/>
        </w:rPr>
      </w:pPr>
      <w:r>
        <w:rPr>
          <w:rFonts w:hAnsi="宋体"/>
          <w:sz w:val="24"/>
        </w:rPr>
        <w:t>根据国家环保部和湖南省实施总量控制的要求和本工程的特点，确定本项目的总量因子为：</w:t>
      </w:r>
      <w:r>
        <w:rPr>
          <w:sz w:val="24"/>
        </w:rPr>
        <w:t xml:space="preserve"> COD</w:t>
      </w:r>
      <w:r>
        <w:rPr>
          <w:rFonts w:hAnsi="宋体"/>
          <w:sz w:val="24"/>
        </w:rPr>
        <w:t>、氨氮；纳入公司总的控制指标管理范围。根据工程分析，本项目污染物总量控制情况见下表：</w:t>
      </w:r>
    </w:p>
    <w:p w:rsidR="00475650" w:rsidRDefault="00475650">
      <w:pPr>
        <w:adjustRightInd w:val="0"/>
        <w:snapToGrid w:val="0"/>
        <w:spacing w:line="360" w:lineRule="auto"/>
        <w:jc w:val="center"/>
        <w:rPr>
          <w:bCs/>
          <w:spacing w:val="4"/>
          <w:sz w:val="24"/>
        </w:rPr>
      </w:pPr>
      <w:r>
        <w:rPr>
          <w:rFonts w:hAnsi="宋体"/>
          <w:bCs/>
          <w:spacing w:val="4"/>
          <w:sz w:val="24"/>
        </w:rPr>
        <w:t>表</w:t>
      </w:r>
      <w:r>
        <w:rPr>
          <w:bCs/>
          <w:spacing w:val="4"/>
          <w:sz w:val="24"/>
        </w:rPr>
        <w:t xml:space="preserve">8.2-1    </w:t>
      </w:r>
      <w:r>
        <w:rPr>
          <w:rFonts w:hAnsi="宋体"/>
          <w:bCs/>
          <w:spacing w:val="4"/>
          <w:sz w:val="24"/>
        </w:rPr>
        <w:t>本工程污染物排放总量表</w:t>
      </w:r>
      <w:r>
        <w:rPr>
          <w:bCs/>
          <w:spacing w:val="4"/>
          <w:sz w:val="24"/>
        </w:rPr>
        <w:t xml:space="preserve">    </w:t>
      </w:r>
      <w:r>
        <w:rPr>
          <w:rFonts w:hAnsi="宋体"/>
          <w:bCs/>
          <w:spacing w:val="4"/>
          <w:sz w:val="24"/>
        </w:rPr>
        <w:t>单位：</w:t>
      </w:r>
      <w:r>
        <w:rPr>
          <w:bCs/>
          <w:spacing w:val="4"/>
          <w:sz w:val="24"/>
        </w:rPr>
        <w:t>t/a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3753"/>
        <w:gridCol w:w="1337"/>
        <w:gridCol w:w="1353"/>
        <w:gridCol w:w="1143"/>
        <w:gridCol w:w="1360"/>
      </w:tblGrid>
      <w:tr w:rsidR="00475650">
        <w:tc>
          <w:tcPr>
            <w:tcW w:w="3753" w:type="dxa"/>
            <w:vMerge w:val="restart"/>
            <w:tcBorders>
              <w:tl2br w:val="single" w:sz="4" w:space="0" w:color="auto"/>
            </w:tcBorders>
          </w:tcPr>
          <w:p w:rsidR="00475650" w:rsidRDefault="00475650">
            <w:pPr>
              <w:snapToGrid w:val="0"/>
              <w:spacing w:line="240" w:lineRule="exact"/>
              <w:jc w:val="center"/>
              <w:rPr>
                <w:kern w:val="0"/>
                <w:szCs w:val="21"/>
              </w:rPr>
            </w:pPr>
            <w:r>
              <w:rPr>
                <w:kern w:val="0"/>
                <w:szCs w:val="21"/>
              </w:rPr>
              <w:t xml:space="preserve"> </w:t>
            </w:r>
            <w:r>
              <w:rPr>
                <w:rFonts w:hAnsi="宋体"/>
                <w:kern w:val="0"/>
                <w:szCs w:val="21"/>
              </w:rPr>
              <w:t>因子</w:t>
            </w:r>
          </w:p>
          <w:p w:rsidR="00475650" w:rsidRDefault="00475650">
            <w:pPr>
              <w:snapToGrid w:val="0"/>
              <w:spacing w:line="240" w:lineRule="exact"/>
              <w:jc w:val="center"/>
              <w:rPr>
                <w:kern w:val="0"/>
                <w:szCs w:val="21"/>
              </w:rPr>
            </w:pPr>
          </w:p>
          <w:p w:rsidR="00475650" w:rsidRDefault="00475650">
            <w:pPr>
              <w:snapToGrid w:val="0"/>
              <w:spacing w:line="240" w:lineRule="exact"/>
              <w:rPr>
                <w:kern w:val="0"/>
                <w:szCs w:val="21"/>
              </w:rPr>
            </w:pPr>
            <w:r>
              <w:rPr>
                <w:rFonts w:hAnsi="宋体"/>
                <w:kern w:val="0"/>
                <w:szCs w:val="21"/>
              </w:rPr>
              <w:t>项目</w:t>
            </w:r>
          </w:p>
        </w:tc>
        <w:tc>
          <w:tcPr>
            <w:tcW w:w="2690" w:type="dxa"/>
            <w:gridSpan w:val="2"/>
            <w:tcMar>
              <w:top w:w="28" w:type="dxa"/>
              <w:bottom w:w="28" w:type="dxa"/>
            </w:tcMar>
          </w:tcPr>
          <w:p w:rsidR="00475650" w:rsidRDefault="00475650">
            <w:pPr>
              <w:snapToGrid w:val="0"/>
              <w:spacing w:line="240" w:lineRule="exact"/>
              <w:jc w:val="center"/>
              <w:rPr>
                <w:kern w:val="0"/>
                <w:szCs w:val="21"/>
              </w:rPr>
            </w:pPr>
            <w:r>
              <w:rPr>
                <w:rFonts w:hAnsi="宋体"/>
                <w:szCs w:val="21"/>
              </w:rPr>
              <w:t>气型污染物</w:t>
            </w:r>
            <w:r>
              <w:rPr>
                <w:szCs w:val="21"/>
              </w:rPr>
              <w:t>(t/a)</w:t>
            </w:r>
          </w:p>
        </w:tc>
        <w:tc>
          <w:tcPr>
            <w:tcW w:w="2503" w:type="dxa"/>
            <w:gridSpan w:val="2"/>
          </w:tcPr>
          <w:p w:rsidR="00475650" w:rsidRDefault="00475650">
            <w:pPr>
              <w:snapToGrid w:val="0"/>
              <w:spacing w:line="240" w:lineRule="exact"/>
              <w:jc w:val="center"/>
              <w:rPr>
                <w:kern w:val="0"/>
                <w:szCs w:val="21"/>
              </w:rPr>
            </w:pPr>
            <w:r>
              <w:rPr>
                <w:rFonts w:hAnsi="宋体"/>
                <w:szCs w:val="21"/>
              </w:rPr>
              <w:t>水型污染物</w:t>
            </w:r>
            <w:r>
              <w:rPr>
                <w:szCs w:val="21"/>
              </w:rPr>
              <w:t>(t/a)</w:t>
            </w:r>
          </w:p>
        </w:tc>
      </w:tr>
      <w:tr w:rsidR="00475650">
        <w:trPr>
          <w:trHeight w:val="329"/>
        </w:trPr>
        <w:tc>
          <w:tcPr>
            <w:tcW w:w="3753" w:type="dxa"/>
            <w:vMerge/>
          </w:tcPr>
          <w:p w:rsidR="00475650" w:rsidRDefault="00475650">
            <w:pPr>
              <w:snapToGrid w:val="0"/>
              <w:spacing w:line="240" w:lineRule="exact"/>
              <w:jc w:val="center"/>
              <w:rPr>
                <w:kern w:val="0"/>
                <w:szCs w:val="21"/>
              </w:rPr>
            </w:pPr>
          </w:p>
        </w:tc>
        <w:tc>
          <w:tcPr>
            <w:tcW w:w="1337" w:type="dxa"/>
            <w:tcMar>
              <w:top w:w="28" w:type="dxa"/>
              <w:bottom w:w="28" w:type="dxa"/>
            </w:tcMar>
          </w:tcPr>
          <w:p w:rsidR="00475650" w:rsidRDefault="00475650">
            <w:pPr>
              <w:snapToGrid w:val="0"/>
              <w:spacing w:line="240" w:lineRule="exact"/>
              <w:jc w:val="center"/>
              <w:rPr>
                <w:szCs w:val="21"/>
              </w:rPr>
            </w:pPr>
            <w:r>
              <w:rPr>
                <w:rFonts w:hAnsi="宋体"/>
                <w:kern w:val="0"/>
                <w:szCs w:val="21"/>
              </w:rPr>
              <w:t>二氧化硫</w:t>
            </w:r>
          </w:p>
        </w:tc>
        <w:tc>
          <w:tcPr>
            <w:tcW w:w="1353" w:type="dxa"/>
          </w:tcPr>
          <w:p w:rsidR="00475650" w:rsidRDefault="00475650">
            <w:pPr>
              <w:snapToGrid w:val="0"/>
              <w:spacing w:line="240" w:lineRule="exact"/>
              <w:jc w:val="center"/>
              <w:rPr>
                <w:szCs w:val="21"/>
              </w:rPr>
            </w:pPr>
            <w:r>
              <w:rPr>
                <w:rFonts w:hAnsi="宋体"/>
                <w:kern w:val="0"/>
                <w:szCs w:val="21"/>
              </w:rPr>
              <w:t>氮氧化物</w:t>
            </w:r>
          </w:p>
        </w:tc>
        <w:tc>
          <w:tcPr>
            <w:tcW w:w="1143" w:type="dxa"/>
          </w:tcPr>
          <w:p w:rsidR="00475650" w:rsidRDefault="00475650">
            <w:pPr>
              <w:snapToGrid w:val="0"/>
              <w:spacing w:line="240" w:lineRule="exact"/>
              <w:jc w:val="center"/>
              <w:rPr>
                <w:szCs w:val="21"/>
              </w:rPr>
            </w:pPr>
            <w:r>
              <w:rPr>
                <w:szCs w:val="21"/>
              </w:rPr>
              <w:t>COD</w:t>
            </w:r>
          </w:p>
        </w:tc>
        <w:tc>
          <w:tcPr>
            <w:tcW w:w="1360" w:type="dxa"/>
          </w:tcPr>
          <w:p w:rsidR="00475650" w:rsidRDefault="00475650">
            <w:pPr>
              <w:snapToGrid w:val="0"/>
              <w:spacing w:line="240" w:lineRule="exact"/>
              <w:jc w:val="center"/>
              <w:rPr>
                <w:szCs w:val="21"/>
              </w:rPr>
            </w:pPr>
            <w:r>
              <w:rPr>
                <w:rFonts w:hAnsi="宋体"/>
                <w:szCs w:val="21"/>
              </w:rPr>
              <w:t>氨氮</w:t>
            </w:r>
          </w:p>
        </w:tc>
      </w:tr>
      <w:tr w:rsidR="00475650">
        <w:trPr>
          <w:trHeight w:val="329"/>
        </w:trPr>
        <w:tc>
          <w:tcPr>
            <w:tcW w:w="3753" w:type="dxa"/>
          </w:tcPr>
          <w:p w:rsidR="00475650" w:rsidRDefault="00475650">
            <w:pPr>
              <w:snapToGrid w:val="0"/>
              <w:spacing w:line="240" w:lineRule="exact"/>
              <w:jc w:val="center"/>
              <w:rPr>
                <w:kern w:val="0"/>
                <w:szCs w:val="21"/>
              </w:rPr>
            </w:pPr>
            <w:r>
              <w:rPr>
                <w:rFonts w:hAnsi="宋体"/>
                <w:kern w:val="0"/>
                <w:szCs w:val="21"/>
              </w:rPr>
              <w:t>公司现有工程外排总量（监测提供）</w:t>
            </w:r>
          </w:p>
        </w:tc>
        <w:tc>
          <w:tcPr>
            <w:tcW w:w="1337" w:type="dxa"/>
            <w:tcMar>
              <w:top w:w="28" w:type="dxa"/>
              <w:bottom w:w="28" w:type="dxa"/>
            </w:tcMar>
          </w:tcPr>
          <w:p w:rsidR="00475650" w:rsidRDefault="00475650">
            <w:pPr>
              <w:snapToGrid w:val="0"/>
              <w:spacing w:line="240" w:lineRule="exact"/>
              <w:jc w:val="center"/>
              <w:rPr>
                <w:kern w:val="0"/>
                <w:szCs w:val="21"/>
              </w:rPr>
            </w:pPr>
            <w:r>
              <w:rPr>
                <w:kern w:val="0"/>
                <w:szCs w:val="21"/>
              </w:rPr>
              <w:t>0</w:t>
            </w:r>
          </w:p>
        </w:tc>
        <w:tc>
          <w:tcPr>
            <w:tcW w:w="1353" w:type="dxa"/>
          </w:tcPr>
          <w:p w:rsidR="00475650" w:rsidRDefault="00475650">
            <w:pPr>
              <w:snapToGrid w:val="0"/>
              <w:spacing w:line="240" w:lineRule="exact"/>
              <w:jc w:val="center"/>
              <w:rPr>
                <w:kern w:val="0"/>
                <w:szCs w:val="21"/>
              </w:rPr>
            </w:pPr>
            <w:r>
              <w:rPr>
                <w:kern w:val="0"/>
                <w:szCs w:val="21"/>
              </w:rPr>
              <w:t>0</w:t>
            </w:r>
          </w:p>
        </w:tc>
        <w:tc>
          <w:tcPr>
            <w:tcW w:w="1143" w:type="dxa"/>
          </w:tcPr>
          <w:p w:rsidR="00475650" w:rsidRDefault="00475650">
            <w:pPr>
              <w:snapToGrid w:val="0"/>
              <w:spacing w:line="240" w:lineRule="exact"/>
              <w:jc w:val="center"/>
              <w:rPr>
                <w:szCs w:val="21"/>
              </w:rPr>
            </w:pPr>
            <w:r>
              <w:rPr>
                <w:szCs w:val="21"/>
              </w:rPr>
              <w:t>0.</w:t>
            </w:r>
            <w:r>
              <w:rPr>
                <w:rFonts w:hint="eastAsia"/>
                <w:szCs w:val="21"/>
              </w:rPr>
              <w:t>1</w:t>
            </w:r>
          </w:p>
        </w:tc>
        <w:tc>
          <w:tcPr>
            <w:tcW w:w="1360" w:type="dxa"/>
          </w:tcPr>
          <w:p w:rsidR="00475650" w:rsidRDefault="00475650">
            <w:pPr>
              <w:snapToGrid w:val="0"/>
              <w:spacing w:line="240" w:lineRule="exact"/>
              <w:jc w:val="center"/>
              <w:rPr>
                <w:szCs w:val="21"/>
              </w:rPr>
            </w:pPr>
            <w:r>
              <w:rPr>
                <w:szCs w:val="21"/>
              </w:rPr>
              <w:t>0.00</w:t>
            </w:r>
            <w:r>
              <w:rPr>
                <w:rFonts w:hint="eastAsia"/>
                <w:szCs w:val="21"/>
              </w:rPr>
              <w:t>15</w:t>
            </w:r>
          </w:p>
        </w:tc>
      </w:tr>
      <w:tr w:rsidR="00475650">
        <w:trPr>
          <w:trHeight w:val="329"/>
        </w:trPr>
        <w:tc>
          <w:tcPr>
            <w:tcW w:w="3753" w:type="dxa"/>
          </w:tcPr>
          <w:p w:rsidR="00475650" w:rsidRDefault="00475650">
            <w:pPr>
              <w:snapToGrid w:val="0"/>
              <w:spacing w:line="240" w:lineRule="exact"/>
              <w:jc w:val="center"/>
              <w:rPr>
                <w:rFonts w:hAnsi="宋体"/>
                <w:kern w:val="0"/>
                <w:szCs w:val="21"/>
              </w:rPr>
            </w:pPr>
            <w:r>
              <w:rPr>
                <w:rFonts w:hAnsi="宋体" w:hint="eastAsia"/>
                <w:kern w:val="0"/>
                <w:szCs w:val="21"/>
              </w:rPr>
              <w:t>公司已有总量指标</w:t>
            </w:r>
          </w:p>
        </w:tc>
        <w:tc>
          <w:tcPr>
            <w:tcW w:w="1337" w:type="dxa"/>
            <w:tcMar>
              <w:top w:w="28" w:type="dxa"/>
              <w:bottom w:w="28" w:type="dxa"/>
            </w:tcMar>
          </w:tcPr>
          <w:p w:rsidR="00475650" w:rsidRDefault="00475650">
            <w:pPr>
              <w:snapToGrid w:val="0"/>
              <w:spacing w:line="240" w:lineRule="exact"/>
              <w:jc w:val="center"/>
              <w:rPr>
                <w:kern w:val="0"/>
                <w:szCs w:val="21"/>
              </w:rPr>
            </w:pPr>
            <w:r>
              <w:rPr>
                <w:rFonts w:hint="eastAsia"/>
                <w:kern w:val="0"/>
                <w:szCs w:val="21"/>
              </w:rPr>
              <w:t>0</w:t>
            </w:r>
          </w:p>
        </w:tc>
        <w:tc>
          <w:tcPr>
            <w:tcW w:w="1353" w:type="dxa"/>
          </w:tcPr>
          <w:p w:rsidR="00475650" w:rsidRDefault="00475650">
            <w:pPr>
              <w:snapToGrid w:val="0"/>
              <w:spacing w:line="240" w:lineRule="exact"/>
              <w:jc w:val="center"/>
              <w:rPr>
                <w:kern w:val="0"/>
                <w:szCs w:val="21"/>
              </w:rPr>
            </w:pPr>
            <w:r>
              <w:rPr>
                <w:rFonts w:hint="eastAsia"/>
                <w:kern w:val="0"/>
                <w:szCs w:val="21"/>
              </w:rPr>
              <w:t>0</w:t>
            </w:r>
          </w:p>
        </w:tc>
        <w:tc>
          <w:tcPr>
            <w:tcW w:w="1143" w:type="dxa"/>
          </w:tcPr>
          <w:p w:rsidR="00475650" w:rsidRDefault="00475650">
            <w:pPr>
              <w:snapToGrid w:val="0"/>
              <w:spacing w:line="240" w:lineRule="exact"/>
              <w:jc w:val="center"/>
              <w:rPr>
                <w:szCs w:val="21"/>
              </w:rPr>
            </w:pPr>
            <w:r>
              <w:rPr>
                <w:rFonts w:hint="eastAsia"/>
                <w:szCs w:val="21"/>
              </w:rPr>
              <w:t>19.7</w:t>
            </w:r>
          </w:p>
        </w:tc>
        <w:tc>
          <w:tcPr>
            <w:tcW w:w="1360" w:type="dxa"/>
          </w:tcPr>
          <w:p w:rsidR="00475650" w:rsidRDefault="00475650">
            <w:pPr>
              <w:snapToGrid w:val="0"/>
              <w:spacing w:line="240" w:lineRule="exact"/>
              <w:jc w:val="center"/>
              <w:rPr>
                <w:szCs w:val="21"/>
              </w:rPr>
            </w:pPr>
            <w:r>
              <w:rPr>
                <w:rFonts w:hint="eastAsia"/>
                <w:szCs w:val="21"/>
              </w:rPr>
              <w:t>3</w:t>
            </w:r>
          </w:p>
        </w:tc>
      </w:tr>
      <w:tr w:rsidR="00475650">
        <w:trPr>
          <w:trHeight w:val="329"/>
        </w:trPr>
        <w:tc>
          <w:tcPr>
            <w:tcW w:w="3753" w:type="dxa"/>
          </w:tcPr>
          <w:p w:rsidR="00475650" w:rsidRDefault="00475650">
            <w:pPr>
              <w:snapToGrid w:val="0"/>
              <w:spacing w:line="240" w:lineRule="exact"/>
              <w:jc w:val="center"/>
              <w:rPr>
                <w:rFonts w:hAnsi="宋体"/>
                <w:kern w:val="0"/>
                <w:szCs w:val="21"/>
              </w:rPr>
            </w:pPr>
            <w:r>
              <w:rPr>
                <w:rFonts w:hAnsi="宋体" w:hint="eastAsia"/>
                <w:kern w:val="0"/>
                <w:szCs w:val="21"/>
              </w:rPr>
              <w:t>现有总量指标是否满足排放要求</w:t>
            </w:r>
          </w:p>
        </w:tc>
        <w:tc>
          <w:tcPr>
            <w:tcW w:w="1337" w:type="dxa"/>
            <w:tcMar>
              <w:top w:w="28" w:type="dxa"/>
              <w:bottom w:w="28" w:type="dxa"/>
            </w:tcMar>
          </w:tcPr>
          <w:p w:rsidR="00475650" w:rsidRDefault="00475650">
            <w:pPr>
              <w:snapToGrid w:val="0"/>
              <w:spacing w:line="240" w:lineRule="exact"/>
              <w:jc w:val="center"/>
              <w:rPr>
                <w:kern w:val="0"/>
                <w:szCs w:val="21"/>
              </w:rPr>
            </w:pPr>
            <w:r>
              <w:rPr>
                <w:rFonts w:hint="eastAsia"/>
                <w:kern w:val="0"/>
                <w:szCs w:val="21"/>
              </w:rPr>
              <w:t>/</w:t>
            </w:r>
          </w:p>
        </w:tc>
        <w:tc>
          <w:tcPr>
            <w:tcW w:w="1353" w:type="dxa"/>
          </w:tcPr>
          <w:p w:rsidR="00475650" w:rsidRDefault="00475650">
            <w:pPr>
              <w:snapToGrid w:val="0"/>
              <w:spacing w:line="240" w:lineRule="exact"/>
              <w:jc w:val="center"/>
              <w:rPr>
                <w:kern w:val="0"/>
                <w:szCs w:val="21"/>
              </w:rPr>
            </w:pPr>
            <w:r>
              <w:rPr>
                <w:rFonts w:hint="eastAsia"/>
                <w:kern w:val="0"/>
                <w:szCs w:val="21"/>
              </w:rPr>
              <w:t>/</w:t>
            </w:r>
          </w:p>
        </w:tc>
        <w:tc>
          <w:tcPr>
            <w:tcW w:w="1143" w:type="dxa"/>
          </w:tcPr>
          <w:p w:rsidR="00475650" w:rsidRDefault="00475650">
            <w:pPr>
              <w:snapToGrid w:val="0"/>
              <w:spacing w:line="240" w:lineRule="exact"/>
              <w:jc w:val="center"/>
              <w:rPr>
                <w:szCs w:val="21"/>
              </w:rPr>
            </w:pPr>
            <w:r>
              <w:rPr>
                <w:rFonts w:hint="eastAsia"/>
                <w:szCs w:val="21"/>
              </w:rPr>
              <w:t>是</w:t>
            </w:r>
          </w:p>
        </w:tc>
        <w:tc>
          <w:tcPr>
            <w:tcW w:w="1360" w:type="dxa"/>
          </w:tcPr>
          <w:p w:rsidR="00475650" w:rsidRDefault="00475650">
            <w:pPr>
              <w:snapToGrid w:val="0"/>
              <w:spacing w:line="240" w:lineRule="exact"/>
              <w:jc w:val="center"/>
              <w:rPr>
                <w:szCs w:val="21"/>
              </w:rPr>
            </w:pPr>
            <w:r>
              <w:rPr>
                <w:rFonts w:hint="eastAsia"/>
                <w:szCs w:val="21"/>
              </w:rPr>
              <w:t>是</w:t>
            </w:r>
          </w:p>
        </w:tc>
      </w:tr>
      <w:tr w:rsidR="00475650">
        <w:trPr>
          <w:trHeight w:val="293"/>
        </w:trPr>
        <w:tc>
          <w:tcPr>
            <w:tcW w:w="3753" w:type="dxa"/>
            <w:vAlign w:val="center"/>
          </w:tcPr>
          <w:p w:rsidR="00475650" w:rsidRDefault="00475650">
            <w:pPr>
              <w:snapToGrid w:val="0"/>
              <w:spacing w:line="240" w:lineRule="exact"/>
              <w:jc w:val="center"/>
              <w:rPr>
                <w:kern w:val="0"/>
                <w:szCs w:val="21"/>
              </w:rPr>
            </w:pPr>
            <w:r>
              <w:rPr>
                <w:rFonts w:hAnsi="宋体"/>
                <w:kern w:val="0"/>
                <w:szCs w:val="21"/>
              </w:rPr>
              <w:t>本项目外排总量</w:t>
            </w:r>
            <w:r>
              <w:rPr>
                <w:rFonts w:hAnsi="宋体" w:hint="eastAsia"/>
                <w:kern w:val="0"/>
                <w:szCs w:val="21"/>
              </w:rPr>
              <w:t>（包括全厂初期雨水及生活废水、生产废水）</w:t>
            </w:r>
          </w:p>
        </w:tc>
        <w:tc>
          <w:tcPr>
            <w:tcW w:w="1337" w:type="dxa"/>
            <w:tcMar>
              <w:top w:w="28" w:type="dxa"/>
              <w:bottom w:w="28" w:type="dxa"/>
            </w:tcMar>
            <w:vAlign w:val="center"/>
          </w:tcPr>
          <w:p w:rsidR="00475650" w:rsidRDefault="00475650">
            <w:pPr>
              <w:snapToGrid w:val="0"/>
              <w:spacing w:line="240" w:lineRule="exact"/>
              <w:jc w:val="center"/>
              <w:rPr>
                <w:szCs w:val="21"/>
              </w:rPr>
            </w:pPr>
            <w:r>
              <w:rPr>
                <w:szCs w:val="21"/>
              </w:rPr>
              <w:t>0</w:t>
            </w:r>
          </w:p>
        </w:tc>
        <w:tc>
          <w:tcPr>
            <w:tcW w:w="1353" w:type="dxa"/>
            <w:vAlign w:val="center"/>
          </w:tcPr>
          <w:p w:rsidR="00475650" w:rsidRDefault="00475650">
            <w:pPr>
              <w:snapToGrid w:val="0"/>
              <w:spacing w:line="240" w:lineRule="exact"/>
              <w:jc w:val="center"/>
              <w:rPr>
                <w:szCs w:val="21"/>
              </w:rPr>
            </w:pPr>
            <w:r>
              <w:rPr>
                <w:szCs w:val="21"/>
              </w:rPr>
              <w:t>0</w:t>
            </w:r>
          </w:p>
        </w:tc>
        <w:tc>
          <w:tcPr>
            <w:tcW w:w="1143" w:type="dxa"/>
            <w:vAlign w:val="center"/>
          </w:tcPr>
          <w:p w:rsidR="00475650" w:rsidRDefault="00475650">
            <w:pPr>
              <w:snapToGrid w:val="0"/>
              <w:spacing w:line="240" w:lineRule="exact"/>
              <w:jc w:val="center"/>
              <w:rPr>
                <w:szCs w:val="21"/>
              </w:rPr>
            </w:pPr>
            <w:r>
              <w:rPr>
                <w:rFonts w:hint="eastAsia"/>
                <w:szCs w:val="21"/>
              </w:rPr>
              <w:t>41.99</w:t>
            </w:r>
          </w:p>
        </w:tc>
        <w:tc>
          <w:tcPr>
            <w:tcW w:w="1360" w:type="dxa"/>
            <w:vAlign w:val="center"/>
          </w:tcPr>
          <w:p w:rsidR="00475650" w:rsidRDefault="00475650">
            <w:pPr>
              <w:snapToGrid w:val="0"/>
              <w:spacing w:line="240" w:lineRule="exact"/>
              <w:jc w:val="center"/>
              <w:rPr>
                <w:szCs w:val="21"/>
              </w:rPr>
            </w:pPr>
            <w:r>
              <w:rPr>
                <w:rFonts w:hint="eastAsia"/>
                <w:szCs w:val="21"/>
              </w:rPr>
              <w:t>4.745</w:t>
            </w:r>
          </w:p>
        </w:tc>
      </w:tr>
      <w:tr w:rsidR="00475650">
        <w:tc>
          <w:tcPr>
            <w:tcW w:w="3753" w:type="dxa"/>
            <w:vAlign w:val="center"/>
          </w:tcPr>
          <w:p w:rsidR="00475650" w:rsidRDefault="00475650">
            <w:pPr>
              <w:snapToGrid w:val="0"/>
              <w:spacing w:line="240" w:lineRule="exact"/>
              <w:jc w:val="center"/>
              <w:rPr>
                <w:szCs w:val="21"/>
              </w:rPr>
            </w:pPr>
            <w:r>
              <w:rPr>
                <w:rFonts w:hAnsi="宋体"/>
                <w:szCs w:val="21"/>
              </w:rPr>
              <w:t>本项目经园区污水处理厂处理后外排量</w:t>
            </w:r>
          </w:p>
        </w:tc>
        <w:tc>
          <w:tcPr>
            <w:tcW w:w="1337" w:type="dxa"/>
            <w:tcMar>
              <w:top w:w="28" w:type="dxa"/>
              <w:bottom w:w="28" w:type="dxa"/>
            </w:tcMar>
            <w:vAlign w:val="center"/>
          </w:tcPr>
          <w:p w:rsidR="00475650" w:rsidRDefault="00475650">
            <w:pPr>
              <w:snapToGrid w:val="0"/>
              <w:spacing w:line="240" w:lineRule="exact"/>
              <w:jc w:val="center"/>
              <w:rPr>
                <w:szCs w:val="21"/>
              </w:rPr>
            </w:pPr>
            <w:r>
              <w:rPr>
                <w:szCs w:val="21"/>
              </w:rPr>
              <w:t>0</w:t>
            </w:r>
          </w:p>
        </w:tc>
        <w:tc>
          <w:tcPr>
            <w:tcW w:w="1353" w:type="dxa"/>
            <w:vAlign w:val="center"/>
          </w:tcPr>
          <w:p w:rsidR="00475650" w:rsidRDefault="00475650">
            <w:pPr>
              <w:snapToGrid w:val="0"/>
              <w:spacing w:line="240" w:lineRule="exact"/>
              <w:jc w:val="center"/>
              <w:rPr>
                <w:szCs w:val="21"/>
              </w:rPr>
            </w:pPr>
            <w:r>
              <w:rPr>
                <w:szCs w:val="21"/>
              </w:rPr>
              <w:t>0</w:t>
            </w:r>
          </w:p>
        </w:tc>
        <w:tc>
          <w:tcPr>
            <w:tcW w:w="1143" w:type="dxa"/>
            <w:vAlign w:val="center"/>
          </w:tcPr>
          <w:p w:rsidR="00475650" w:rsidRDefault="00475650">
            <w:pPr>
              <w:snapToGrid w:val="0"/>
              <w:spacing w:line="240" w:lineRule="exact"/>
              <w:jc w:val="center"/>
              <w:rPr>
                <w:szCs w:val="21"/>
              </w:rPr>
            </w:pPr>
            <w:r>
              <w:rPr>
                <w:rFonts w:hint="eastAsia"/>
                <w:szCs w:val="21"/>
              </w:rPr>
              <w:t>18.6925</w:t>
            </w:r>
            <w:r>
              <w:rPr>
                <w:rFonts w:hAnsi="宋体"/>
                <w:szCs w:val="21"/>
              </w:rPr>
              <w:t>（</w:t>
            </w:r>
            <w:r>
              <w:rPr>
                <w:rFonts w:hint="eastAsia"/>
                <w:szCs w:val="21"/>
              </w:rPr>
              <w:t>100</w:t>
            </w:r>
            <w:r>
              <w:rPr>
                <w:rFonts w:hAnsi="宋体"/>
                <w:szCs w:val="21"/>
              </w:rPr>
              <w:t>）</w:t>
            </w:r>
          </w:p>
        </w:tc>
        <w:tc>
          <w:tcPr>
            <w:tcW w:w="1360" w:type="dxa"/>
            <w:vAlign w:val="center"/>
          </w:tcPr>
          <w:p w:rsidR="00475650" w:rsidRDefault="00475650">
            <w:pPr>
              <w:snapToGrid w:val="0"/>
              <w:spacing w:line="240" w:lineRule="exact"/>
              <w:jc w:val="center"/>
              <w:rPr>
                <w:szCs w:val="21"/>
              </w:rPr>
            </w:pPr>
            <w:r>
              <w:rPr>
                <w:rFonts w:hint="eastAsia"/>
                <w:szCs w:val="21"/>
              </w:rPr>
              <w:t>2.81</w:t>
            </w:r>
            <w:r>
              <w:rPr>
                <w:rFonts w:hAnsi="宋体"/>
                <w:szCs w:val="21"/>
              </w:rPr>
              <w:t>（</w:t>
            </w:r>
            <w:r>
              <w:rPr>
                <w:rFonts w:hint="eastAsia"/>
                <w:szCs w:val="21"/>
              </w:rPr>
              <w:t>15</w:t>
            </w:r>
            <w:r>
              <w:rPr>
                <w:rFonts w:hAnsi="宋体"/>
                <w:szCs w:val="21"/>
              </w:rPr>
              <w:t>）</w:t>
            </w:r>
          </w:p>
        </w:tc>
      </w:tr>
      <w:tr w:rsidR="00475650">
        <w:tc>
          <w:tcPr>
            <w:tcW w:w="3753" w:type="dxa"/>
            <w:vAlign w:val="center"/>
          </w:tcPr>
          <w:p w:rsidR="00475650" w:rsidRDefault="00475650">
            <w:pPr>
              <w:snapToGrid w:val="0"/>
              <w:spacing w:line="240" w:lineRule="exact"/>
              <w:jc w:val="center"/>
              <w:rPr>
                <w:szCs w:val="21"/>
              </w:rPr>
            </w:pPr>
            <w:r>
              <w:rPr>
                <w:rFonts w:hAnsi="宋体"/>
                <w:szCs w:val="21"/>
              </w:rPr>
              <w:t>公司总量指标要求</w:t>
            </w:r>
            <w:r>
              <w:rPr>
                <w:rFonts w:hAnsi="宋体" w:hint="eastAsia"/>
                <w:szCs w:val="21"/>
              </w:rPr>
              <w:t>（叠加现有工程）</w:t>
            </w:r>
          </w:p>
        </w:tc>
        <w:tc>
          <w:tcPr>
            <w:tcW w:w="1337" w:type="dxa"/>
            <w:tcMar>
              <w:top w:w="28" w:type="dxa"/>
              <w:bottom w:w="28" w:type="dxa"/>
            </w:tcMar>
            <w:vAlign w:val="center"/>
          </w:tcPr>
          <w:p w:rsidR="00475650" w:rsidRDefault="00475650">
            <w:pPr>
              <w:snapToGrid w:val="0"/>
              <w:spacing w:line="240" w:lineRule="exact"/>
              <w:jc w:val="center"/>
              <w:rPr>
                <w:szCs w:val="21"/>
              </w:rPr>
            </w:pPr>
            <w:r>
              <w:rPr>
                <w:szCs w:val="21"/>
              </w:rPr>
              <w:t>0</w:t>
            </w:r>
          </w:p>
        </w:tc>
        <w:tc>
          <w:tcPr>
            <w:tcW w:w="1353" w:type="dxa"/>
            <w:vAlign w:val="center"/>
          </w:tcPr>
          <w:p w:rsidR="00475650" w:rsidRDefault="00475650">
            <w:pPr>
              <w:snapToGrid w:val="0"/>
              <w:spacing w:line="240" w:lineRule="exact"/>
              <w:jc w:val="center"/>
              <w:rPr>
                <w:szCs w:val="21"/>
              </w:rPr>
            </w:pPr>
            <w:r>
              <w:rPr>
                <w:szCs w:val="21"/>
              </w:rPr>
              <w:t>0</w:t>
            </w:r>
          </w:p>
        </w:tc>
        <w:tc>
          <w:tcPr>
            <w:tcW w:w="1143" w:type="dxa"/>
            <w:vAlign w:val="center"/>
          </w:tcPr>
          <w:p w:rsidR="00475650" w:rsidRDefault="00475650">
            <w:pPr>
              <w:snapToGrid w:val="0"/>
              <w:spacing w:line="240" w:lineRule="exact"/>
              <w:jc w:val="center"/>
              <w:rPr>
                <w:szCs w:val="21"/>
              </w:rPr>
            </w:pPr>
            <w:r>
              <w:rPr>
                <w:rFonts w:hint="eastAsia"/>
                <w:szCs w:val="21"/>
              </w:rPr>
              <w:t>19.7</w:t>
            </w:r>
          </w:p>
        </w:tc>
        <w:tc>
          <w:tcPr>
            <w:tcW w:w="1360" w:type="dxa"/>
            <w:vAlign w:val="center"/>
          </w:tcPr>
          <w:p w:rsidR="00475650" w:rsidRDefault="00475650">
            <w:pPr>
              <w:snapToGrid w:val="0"/>
              <w:spacing w:line="240" w:lineRule="exact"/>
              <w:jc w:val="center"/>
              <w:rPr>
                <w:szCs w:val="21"/>
              </w:rPr>
            </w:pPr>
            <w:r>
              <w:rPr>
                <w:rFonts w:hint="eastAsia"/>
                <w:szCs w:val="21"/>
              </w:rPr>
              <w:t>2.82</w:t>
            </w:r>
          </w:p>
        </w:tc>
      </w:tr>
      <w:tr w:rsidR="00475650">
        <w:tc>
          <w:tcPr>
            <w:tcW w:w="3753" w:type="dxa"/>
            <w:vAlign w:val="center"/>
          </w:tcPr>
          <w:p w:rsidR="00475650" w:rsidRDefault="00475650">
            <w:pPr>
              <w:snapToGrid w:val="0"/>
              <w:spacing w:line="240" w:lineRule="exact"/>
              <w:jc w:val="center"/>
              <w:rPr>
                <w:rFonts w:hAnsi="宋体"/>
                <w:szCs w:val="21"/>
              </w:rPr>
            </w:pPr>
            <w:r>
              <w:rPr>
                <w:rFonts w:hAnsi="宋体" w:hint="eastAsia"/>
                <w:szCs w:val="21"/>
              </w:rPr>
              <w:t>现有总量指标是否满足排放要求</w:t>
            </w:r>
          </w:p>
        </w:tc>
        <w:tc>
          <w:tcPr>
            <w:tcW w:w="1337" w:type="dxa"/>
            <w:tcMar>
              <w:top w:w="28" w:type="dxa"/>
              <w:bottom w:w="28" w:type="dxa"/>
            </w:tcMar>
            <w:vAlign w:val="center"/>
          </w:tcPr>
          <w:p w:rsidR="00475650" w:rsidRDefault="00475650">
            <w:pPr>
              <w:snapToGrid w:val="0"/>
              <w:spacing w:line="240" w:lineRule="exact"/>
              <w:jc w:val="center"/>
              <w:rPr>
                <w:szCs w:val="21"/>
              </w:rPr>
            </w:pPr>
            <w:r>
              <w:rPr>
                <w:rFonts w:hint="eastAsia"/>
                <w:szCs w:val="21"/>
              </w:rPr>
              <w:t>0</w:t>
            </w:r>
          </w:p>
        </w:tc>
        <w:tc>
          <w:tcPr>
            <w:tcW w:w="1353" w:type="dxa"/>
            <w:vAlign w:val="center"/>
          </w:tcPr>
          <w:p w:rsidR="00475650" w:rsidRDefault="00475650">
            <w:pPr>
              <w:snapToGrid w:val="0"/>
              <w:spacing w:line="240" w:lineRule="exact"/>
              <w:jc w:val="center"/>
              <w:rPr>
                <w:szCs w:val="21"/>
              </w:rPr>
            </w:pPr>
            <w:r>
              <w:rPr>
                <w:rFonts w:hint="eastAsia"/>
                <w:szCs w:val="21"/>
              </w:rPr>
              <w:t>0</w:t>
            </w:r>
          </w:p>
        </w:tc>
        <w:tc>
          <w:tcPr>
            <w:tcW w:w="1143" w:type="dxa"/>
            <w:vAlign w:val="center"/>
          </w:tcPr>
          <w:p w:rsidR="00475650" w:rsidRDefault="00475650">
            <w:pPr>
              <w:snapToGrid w:val="0"/>
              <w:spacing w:line="240" w:lineRule="exact"/>
              <w:jc w:val="center"/>
              <w:rPr>
                <w:szCs w:val="21"/>
              </w:rPr>
            </w:pPr>
            <w:r>
              <w:rPr>
                <w:rFonts w:hint="eastAsia"/>
                <w:szCs w:val="21"/>
              </w:rPr>
              <w:t>是</w:t>
            </w:r>
          </w:p>
        </w:tc>
        <w:tc>
          <w:tcPr>
            <w:tcW w:w="1360" w:type="dxa"/>
            <w:vAlign w:val="center"/>
          </w:tcPr>
          <w:p w:rsidR="00475650" w:rsidRDefault="00475650">
            <w:pPr>
              <w:snapToGrid w:val="0"/>
              <w:spacing w:line="240" w:lineRule="exact"/>
              <w:jc w:val="center"/>
              <w:rPr>
                <w:szCs w:val="21"/>
              </w:rPr>
            </w:pPr>
            <w:r>
              <w:rPr>
                <w:rFonts w:hint="eastAsia"/>
                <w:szCs w:val="21"/>
              </w:rPr>
              <w:t>是</w:t>
            </w:r>
          </w:p>
        </w:tc>
      </w:tr>
    </w:tbl>
    <w:p w:rsidR="00475650" w:rsidRDefault="00475650">
      <w:pPr>
        <w:spacing w:line="360" w:lineRule="auto"/>
        <w:ind w:firstLine="480"/>
        <w:rPr>
          <w:szCs w:val="21"/>
        </w:rPr>
      </w:pPr>
      <w:r>
        <w:rPr>
          <w:rFonts w:hAnsi="宋体"/>
          <w:szCs w:val="21"/>
        </w:rPr>
        <w:t>注：</w:t>
      </w:r>
      <w:r>
        <w:rPr>
          <w:rFonts w:hAnsi="宋体" w:hint="eastAsia"/>
          <w:szCs w:val="21"/>
        </w:rPr>
        <w:t>本项目总排水量为</w:t>
      </w:r>
      <w:r>
        <w:rPr>
          <w:rFonts w:hAnsi="宋体" w:hint="eastAsia"/>
          <w:szCs w:val="21"/>
        </w:rPr>
        <w:t>18.6925</w:t>
      </w:r>
      <w:r>
        <w:rPr>
          <w:rFonts w:hAnsi="宋体" w:hint="eastAsia"/>
          <w:szCs w:val="21"/>
        </w:rPr>
        <w:t>万吨</w:t>
      </w:r>
      <w:r>
        <w:rPr>
          <w:rFonts w:hAnsi="宋体" w:hint="eastAsia"/>
          <w:szCs w:val="21"/>
        </w:rPr>
        <w:t>/</w:t>
      </w:r>
      <w:r>
        <w:rPr>
          <w:rFonts w:hAnsi="宋体" w:hint="eastAsia"/>
          <w:szCs w:val="21"/>
        </w:rPr>
        <w:t>年，</w:t>
      </w:r>
      <w:r>
        <w:rPr>
          <w:szCs w:val="21"/>
        </w:rPr>
        <w:t>COD</w:t>
      </w:r>
      <w:r>
        <w:rPr>
          <w:rFonts w:hint="eastAsia"/>
          <w:szCs w:val="21"/>
        </w:rPr>
        <w:t>和氨氮</w:t>
      </w:r>
      <w:r>
        <w:rPr>
          <w:rFonts w:hAnsi="宋体"/>
          <w:szCs w:val="21"/>
        </w:rPr>
        <w:t>总量核算标准为园区污水处理厂的出水水质</w:t>
      </w:r>
      <w:r>
        <w:rPr>
          <w:rFonts w:hAnsi="宋体" w:hint="eastAsia"/>
          <w:szCs w:val="21"/>
        </w:rPr>
        <w:t>标准值</w:t>
      </w:r>
      <w:r>
        <w:rPr>
          <w:rFonts w:hAnsi="宋体"/>
          <w:szCs w:val="21"/>
        </w:rPr>
        <w:t>。</w:t>
      </w:r>
      <w:r>
        <w:rPr>
          <w:rFonts w:hAnsi="宋体" w:hint="eastAsia"/>
          <w:szCs w:val="21"/>
        </w:rPr>
        <w:t xml:space="preserve">                                                                                                                                                                                                       </w:t>
      </w:r>
    </w:p>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1022" w:name="_Toc465677076"/>
      <w:bookmarkStart w:id="1023" w:name="_Toc21386"/>
      <w:r>
        <w:rPr>
          <w:rStyle w:val="2Char1Char"/>
          <w:rFonts w:ascii="Times New Roman" w:eastAsia="宋体" w:hAnsi="Times New Roman" w:cs="Times New Roman"/>
          <w:b w:val="0"/>
          <w:sz w:val="24"/>
          <w:szCs w:val="24"/>
        </w:rPr>
        <w:t>8.2.2</w:t>
      </w:r>
      <w:r>
        <w:rPr>
          <w:rStyle w:val="2Char1Char"/>
          <w:rFonts w:ascii="Times New Roman" w:eastAsia="宋体" w:hAnsi="宋体" w:cs="Times New Roman"/>
          <w:b w:val="0"/>
          <w:sz w:val="24"/>
          <w:szCs w:val="24"/>
        </w:rPr>
        <w:t>总量指标来源</w:t>
      </w:r>
      <w:bookmarkEnd w:id="1022"/>
      <w:bookmarkEnd w:id="1023"/>
    </w:p>
    <w:p w:rsidR="00475650" w:rsidRDefault="00475650" w:rsidP="00475650">
      <w:pPr>
        <w:spacing w:line="360" w:lineRule="auto"/>
        <w:ind w:firstLineChars="182" w:firstLine="437"/>
        <w:rPr>
          <w:sz w:val="24"/>
          <w:u w:val="single"/>
        </w:rPr>
      </w:pPr>
      <w:r>
        <w:rPr>
          <w:rFonts w:hAnsi="宋体"/>
          <w:sz w:val="24"/>
          <w:u w:val="single"/>
        </w:rPr>
        <w:t>本项目无二氧化硫和氮氧化物总量指标要求。本项目预处理后的废水送园区污水处理厂，</w:t>
      </w:r>
      <w:r>
        <w:rPr>
          <w:rFonts w:hAnsi="宋体" w:hint="eastAsia"/>
          <w:sz w:val="24"/>
          <w:u w:val="single"/>
        </w:rPr>
        <w:t>经污水处理厂处理后排放的</w:t>
      </w:r>
      <w:r>
        <w:rPr>
          <w:rFonts w:hAnsi="宋体" w:hint="eastAsia"/>
          <w:sz w:val="24"/>
          <w:u w:val="single"/>
        </w:rPr>
        <w:t>COD</w:t>
      </w:r>
      <w:r>
        <w:rPr>
          <w:rFonts w:hAnsi="宋体" w:hint="eastAsia"/>
          <w:sz w:val="24"/>
          <w:u w:val="single"/>
          <w:vertAlign w:val="subscript"/>
        </w:rPr>
        <w:t>cr</w:t>
      </w:r>
      <w:r>
        <w:rPr>
          <w:rFonts w:hAnsi="宋体" w:hint="eastAsia"/>
          <w:sz w:val="24"/>
          <w:u w:val="single"/>
        </w:rPr>
        <w:t>、氨氮总量叠加现有排放总量后，水型污染物排放总量不超过公司已有总量指标，无需新申请总量。</w:t>
      </w:r>
    </w:p>
    <w:p w:rsidR="00475650" w:rsidRDefault="00475650">
      <w:pPr>
        <w:spacing w:line="360" w:lineRule="auto"/>
        <w:ind w:firstLine="480"/>
        <w:rPr>
          <w:sz w:val="24"/>
          <w:u w:val="single"/>
        </w:rPr>
        <w:sectPr w:rsidR="00475650">
          <w:pgSz w:w="11906" w:h="16838"/>
          <w:pgMar w:top="1701" w:right="1588" w:bottom="1418" w:left="1588" w:header="851" w:footer="992" w:gutter="0"/>
          <w:paperSrc w:first="7" w:other="7"/>
          <w:cols w:space="720"/>
          <w:docGrid w:linePitch="312"/>
        </w:sectPr>
      </w:pPr>
    </w:p>
    <w:p w:rsidR="00475650" w:rsidRDefault="00475650">
      <w:pPr>
        <w:pStyle w:val="13"/>
        <w:spacing w:before="100" w:beforeAutospacing="1" w:after="100" w:afterAutospacing="1" w:line="360" w:lineRule="auto"/>
        <w:rPr>
          <w:rFonts w:eastAsia="宋体"/>
          <w:b w:val="0"/>
          <w:sz w:val="32"/>
          <w:szCs w:val="32"/>
        </w:rPr>
      </w:pPr>
      <w:bookmarkStart w:id="1024" w:name="_Toc332293079"/>
      <w:bookmarkStart w:id="1025" w:name="_Toc247302857"/>
      <w:bookmarkStart w:id="1026" w:name="_Toc238484722"/>
      <w:bookmarkStart w:id="1027" w:name="_Toc228775470"/>
      <w:bookmarkStart w:id="1028" w:name="_Toc29938"/>
      <w:bookmarkStart w:id="1029" w:name="_Toc270623041"/>
      <w:bookmarkStart w:id="1030" w:name="_Toc269809364"/>
      <w:r>
        <w:rPr>
          <w:rFonts w:eastAsia="宋体"/>
          <w:b w:val="0"/>
          <w:sz w:val="32"/>
          <w:szCs w:val="32"/>
        </w:rPr>
        <w:lastRenderedPageBreak/>
        <w:t>9</w:t>
      </w:r>
      <w:r>
        <w:rPr>
          <w:rFonts w:eastAsia="宋体" w:hAnsi="宋体"/>
          <w:b w:val="0"/>
          <w:sz w:val="32"/>
          <w:szCs w:val="32"/>
        </w:rPr>
        <w:t>环境经济损益分析</w:t>
      </w:r>
      <w:bookmarkEnd w:id="1024"/>
      <w:bookmarkEnd w:id="1025"/>
      <w:bookmarkEnd w:id="1026"/>
      <w:bookmarkEnd w:id="1027"/>
      <w:bookmarkEnd w:id="1028"/>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1031" w:name="_Toc247302858"/>
      <w:bookmarkStart w:id="1032" w:name="_Toc332293080"/>
      <w:bookmarkStart w:id="1033" w:name="_Toc228775471"/>
      <w:bookmarkStart w:id="1034" w:name="_Toc238484723"/>
      <w:bookmarkStart w:id="1035" w:name="_Toc13236"/>
      <w:r>
        <w:rPr>
          <w:rStyle w:val="2Char1Char"/>
          <w:rFonts w:ascii="Times New Roman" w:eastAsia="宋体" w:hAnsi="Times New Roman" w:cs="Times New Roman"/>
          <w:b w:val="0"/>
          <w:sz w:val="28"/>
          <w:szCs w:val="28"/>
        </w:rPr>
        <w:t>9.1</w:t>
      </w:r>
      <w:r>
        <w:rPr>
          <w:rStyle w:val="2Char1Char"/>
          <w:rFonts w:ascii="Times New Roman" w:eastAsia="宋体" w:hAnsi="宋体" w:cs="Times New Roman"/>
          <w:b w:val="0"/>
          <w:sz w:val="28"/>
          <w:szCs w:val="28"/>
        </w:rPr>
        <w:t>项目的社会效益</w:t>
      </w:r>
      <w:bookmarkEnd w:id="1031"/>
      <w:bookmarkEnd w:id="1032"/>
      <w:bookmarkEnd w:id="1033"/>
      <w:bookmarkEnd w:id="1034"/>
      <w:bookmarkEnd w:id="1035"/>
    </w:p>
    <w:p w:rsidR="00475650" w:rsidRDefault="00475650">
      <w:pPr>
        <w:spacing w:line="360" w:lineRule="auto"/>
        <w:ind w:firstLineChars="200" w:firstLine="480"/>
        <w:rPr>
          <w:sz w:val="24"/>
        </w:rPr>
      </w:pPr>
      <w:r>
        <w:rPr>
          <w:rFonts w:hAnsi="宋体"/>
          <w:sz w:val="24"/>
        </w:rPr>
        <w:t>随着我国纺织印染工业以及皮革、纸张等非纺织品着色产业发展，国内对染料、酸性染料等需求量与日俱增。由于合成染料存在严重环境污染问题，国外原来一些重要的生产国和知名品牌酸性染料公司产量呈现不同程度衰减，促使我国的酸性染料产业市场快速发展、出口迅猛增长。我国已经成为世界上染料第一生产大国、染料进出口贸易量最大国家，染料中的酸性染料是一类重要染料，产品市场开发潜力空间较大、应用前景较好；本项目的建设在推进染料行业发展的同时能推动运输等有关行业的发展；本项目建设投资</w:t>
      </w:r>
      <w:r>
        <w:rPr>
          <w:sz w:val="24"/>
        </w:rPr>
        <w:t>0.3</w:t>
      </w:r>
      <w:r>
        <w:rPr>
          <w:rFonts w:hAnsi="宋体"/>
          <w:sz w:val="24"/>
        </w:rPr>
        <w:t>亿元，参照国债投资创造社会就业岗位计算办法，每亿元投资可创造</w:t>
      </w:r>
      <w:r>
        <w:rPr>
          <w:sz w:val="24"/>
        </w:rPr>
        <w:t>234.4</w:t>
      </w:r>
      <w:r>
        <w:rPr>
          <w:rFonts w:hAnsi="宋体"/>
          <w:sz w:val="24"/>
        </w:rPr>
        <w:t>个就业岗位来测算，本项目可间接创造约</w:t>
      </w:r>
      <w:r>
        <w:rPr>
          <w:sz w:val="24"/>
        </w:rPr>
        <w:t>70</w:t>
      </w:r>
      <w:r>
        <w:rPr>
          <w:rFonts w:hAnsi="宋体"/>
          <w:sz w:val="24"/>
        </w:rPr>
        <w:t>个就业岗位；在发展经济的同时增加了一定的就业机会，具有较好的社会效益。</w:t>
      </w:r>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1036" w:name="_Toc238484724"/>
      <w:bookmarkStart w:id="1037" w:name="_Toc247302859"/>
      <w:bookmarkStart w:id="1038" w:name="_Toc332293081"/>
      <w:bookmarkStart w:id="1039" w:name="_Toc228775472"/>
      <w:bookmarkStart w:id="1040" w:name="_Toc12273"/>
      <w:r>
        <w:rPr>
          <w:rStyle w:val="2Char1Char"/>
          <w:rFonts w:ascii="Times New Roman" w:eastAsia="宋体" w:hAnsi="Times New Roman" w:cs="Times New Roman"/>
          <w:b w:val="0"/>
          <w:sz w:val="28"/>
          <w:szCs w:val="28"/>
        </w:rPr>
        <w:t>9.2</w:t>
      </w:r>
      <w:r>
        <w:rPr>
          <w:rStyle w:val="2Char1Char"/>
          <w:rFonts w:ascii="Times New Roman" w:eastAsia="宋体" w:hAnsi="宋体" w:cs="Times New Roman"/>
          <w:b w:val="0"/>
          <w:sz w:val="28"/>
          <w:szCs w:val="28"/>
        </w:rPr>
        <w:t>项目的经济效益</w:t>
      </w:r>
      <w:bookmarkEnd w:id="1036"/>
      <w:bookmarkEnd w:id="1037"/>
      <w:bookmarkEnd w:id="1038"/>
      <w:bookmarkEnd w:id="1039"/>
      <w:bookmarkEnd w:id="1040"/>
    </w:p>
    <w:p w:rsidR="00475650" w:rsidRDefault="00475650">
      <w:pPr>
        <w:spacing w:line="360" w:lineRule="auto"/>
        <w:ind w:firstLineChars="200" w:firstLine="480"/>
        <w:rPr>
          <w:sz w:val="24"/>
        </w:rPr>
      </w:pPr>
      <w:r>
        <w:rPr>
          <w:rFonts w:hAnsi="宋体"/>
          <w:sz w:val="24"/>
        </w:rPr>
        <w:t>拟建项目工程总投资</w:t>
      </w:r>
      <w:r>
        <w:rPr>
          <w:sz w:val="24"/>
        </w:rPr>
        <w:t>3000</w:t>
      </w:r>
      <w:r>
        <w:rPr>
          <w:rFonts w:hAnsi="宋体"/>
          <w:sz w:val="24"/>
        </w:rPr>
        <w:t>万元，其中建设投资</w:t>
      </w:r>
      <w:r>
        <w:rPr>
          <w:sz w:val="24"/>
        </w:rPr>
        <w:t>2574</w:t>
      </w:r>
      <w:r>
        <w:rPr>
          <w:rFonts w:hAnsi="宋体"/>
          <w:sz w:val="24"/>
        </w:rPr>
        <w:t>万元，铺底流动资金</w:t>
      </w:r>
      <w:r>
        <w:rPr>
          <w:sz w:val="24"/>
        </w:rPr>
        <w:t>426</w:t>
      </w:r>
      <w:r>
        <w:rPr>
          <w:rFonts w:hAnsi="宋体"/>
          <w:sz w:val="24"/>
        </w:rPr>
        <w:t>万元。拟建项目建成投产后，可新增年均销售收入</w:t>
      </w:r>
      <w:r>
        <w:rPr>
          <w:sz w:val="24"/>
        </w:rPr>
        <w:t>15000</w:t>
      </w:r>
      <w:r>
        <w:rPr>
          <w:rFonts w:hAnsi="宋体"/>
          <w:sz w:val="24"/>
        </w:rPr>
        <w:t>万元（含税），年均净利润为</w:t>
      </w:r>
      <w:r>
        <w:rPr>
          <w:sz w:val="24"/>
        </w:rPr>
        <w:t>12820.51</w:t>
      </w:r>
      <w:r>
        <w:rPr>
          <w:rFonts w:hAnsi="宋体"/>
          <w:sz w:val="24"/>
        </w:rPr>
        <w:t>万元，财务内部收益率（税后）为</w:t>
      </w:r>
      <w:r>
        <w:rPr>
          <w:sz w:val="24"/>
        </w:rPr>
        <w:t>22.83%</w:t>
      </w:r>
      <w:r>
        <w:rPr>
          <w:rFonts w:hAnsi="宋体"/>
          <w:sz w:val="24"/>
        </w:rPr>
        <w:t>，投资回收期（税后）约</w:t>
      </w:r>
      <w:r>
        <w:rPr>
          <w:sz w:val="24"/>
        </w:rPr>
        <w:t>5.43</w:t>
      </w:r>
      <w:r>
        <w:rPr>
          <w:rFonts w:hAnsi="宋体"/>
          <w:sz w:val="24"/>
        </w:rPr>
        <w:t>年（含建设期）。项目收益优于行业基准指标，财务状况较好，有较好的盈利能力，可取得良好的经济效益。</w:t>
      </w:r>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1041" w:name="_Toc247302860"/>
      <w:bookmarkStart w:id="1042" w:name="_Toc238484725"/>
      <w:bookmarkStart w:id="1043" w:name="_Toc228775473"/>
      <w:bookmarkStart w:id="1044" w:name="_Toc332293082"/>
      <w:bookmarkStart w:id="1045" w:name="_Toc28000"/>
      <w:r>
        <w:rPr>
          <w:rStyle w:val="2Char1Char"/>
          <w:rFonts w:ascii="Times New Roman" w:eastAsia="宋体" w:hAnsi="Times New Roman" w:cs="Times New Roman"/>
          <w:b w:val="0"/>
          <w:sz w:val="28"/>
          <w:szCs w:val="28"/>
        </w:rPr>
        <w:t>9.3</w:t>
      </w:r>
      <w:bookmarkEnd w:id="1041"/>
      <w:bookmarkEnd w:id="1042"/>
      <w:bookmarkEnd w:id="1043"/>
      <w:r>
        <w:rPr>
          <w:rStyle w:val="2Char1Char"/>
          <w:rFonts w:ascii="Times New Roman" w:eastAsia="宋体" w:hAnsi="宋体" w:cs="Times New Roman"/>
          <w:b w:val="0"/>
          <w:sz w:val="28"/>
          <w:szCs w:val="28"/>
        </w:rPr>
        <w:t>项目的环境效益</w:t>
      </w:r>
      <w:bookmarkEnd w:id="1044"/>
      <w:bookmarkEnd w:id="1045"/>
    </w:p>
    <w:p w:rsidR="00475650" w:rsidRDefault="00475650">
      <w:pPr>
        <w:snapToGrid w:val="0"/>
        <w:spacing w:line="360" w:lineRule="auto"/>
        <w:ind w:firstLineChars="200" w:firstLine="480"/>
        <w:rPr>
          <w:sz w:val="24"/>
        </w:rPr>
      </w:pPr>
      <w:r>
        <w:rPr>
          <w:rFonts w:hAnsi="宋体"/>
          <w:sz w:val="24"/>
        </w:rPr>
        <w:t>根据本报告工程分析及污染防治措施章节有关论证，本项目在产生客观的经济效益的同时，通过有效的环保措施使各类污染物较大程度的减少污染物外排量，经预测正常情况下各污染物外排对项目区环境影响较小，各污染防治措施具有较好的环境效益。</w:t>
      </w:r>
    </w:p>
    <w:p w:rsidR="00475650" w:rsidRDefault="00475650">
      <w:pPr>
        <w:pStyle w:val="h"/>
        <w:snapToGrid w:val="0"/>
        <w:spacing w:before="0" w:after="0" w:line="360" w:lineRule="auto"/>
        <w:ind w:firstLine="0"/>
        <w:outlineLvl w:val="0"/>
        <w:rPr>
          <w:rStyle w:val="2Char1Char"/>
          <w:rFonts w:ascii="Times New Roman" w:eastAsia="宋体" w:hAnsi="Times New Roman" w:cs="Times New Roman"/>
          <w:b w:val="0"/>
          <w:sz w:val="28"/>
          <w:szCs w:val="28"/>
        </w:rPr>
      </w:pPr>
      <w:bookmarkStart w:id="1046" w:name="_Toc332293083"/>
      <w:bookmarkStart w:id="1047" w:name="_Toc19342"/>
      <w:r>
        <w:rPr>
          <w:rStyle w:val="2Char1Char"/>
          <w:rFonts w:ascii="Times New Roman" w:eastAsia="宋体" w:hAnsi="Times New Roman" w:cs="Times New Roman"/>
          <w:b w:val="0"/>
          <w:sz w:val="28"/>
          <w:szCs w:val="28"/>
        </w:rPr>
        <w:t>9.4</w:t>
      </w:r>
      <w:r>
        <w:rPr>
          <w:rStyle w:val="2Char1Char"/>
          <w:rFonts w:ascii="Times New Roman" w:eastAsia="宋体" w:hAnsi="宋体" w:cs="Times New Roman"/>
          <w:b w:val="0"/>
          <w:sz w:val="28"/>
          <w:szCs w:val="28"/>
        </w:rPr>
        <w:t>环保措施及投资估算</w:t>
      </w:r>
      <w:bookmarkEnd w:id="1046"/>
      <w:bookmarkEnd w:id="1047"/>
    </w:p>
    <w:p w:rsidR="00475650" w:rsidRDefault="00475650">
      <w:pPr>
        <w:snapToGrid w:val="0"/>
        <w:spacing w:line="360" w:lineRule="auto"/>
        <w:ind w:firstLineChars="200" w:firstLine="480"/>
        <w:rPr>
          <w:sz w:val="24"/>
        </w:rPr>
      </w:pPr>
      <w:r>
        <w:rPr>
          <w:rFonts w:hAnsi="宋体"/>
          <w:sz w:val="24"/>
        </w:rPr>
        <w:t>本工程环保投资估算</w:t>
      </w:r>
      <w:r>
        <w:rPr>
          <w:rFonts w:hint="eastAsia"/>
          <w:sz w:val="24"/>
        </w:rPr>
        <w:t>600</w:t>
      </w:r>
      <w:r>
        <w:rPr>
          <w:rFonts w:hAnsi="宋体"/>
          <w:sz w:val="24"/>
        </w:rPr>
        <w:t>万元，占工程总投资的</w:t>
      </w:r>
      <w:r>
        <w:rPr>
          <w:rFonts w:hint="eastAsia"/>
          <w:sz w:val="24"/>
        </w:rPr>
        <w:t>20</w:t>
      </w:r>
      <w:r>
        <w:rPr>
          <w:sz w:val="24"/>
        </w:rPr>
        <w:t>%</w:t>
      </w:r>
      <w:r>
        <w:rPr>
          <w:rFonts w:hAnsi="宋体"/>
          <w:sz w:val="24"/>
        </w:rPr>
        <w:t>。</w:t>
      </w:r>
    </w:p>
    <w:p w:rsidR="00475650" w:rsidRDefault="00475650">
      <w:pPr>
        <w:adjustRightInd w:val="0"/>
        <w:snapToGrid w:val="0"/>
        <w:spacing w:line="360" w:lineRule="auto"/>
        <w:jc w:val="center"/>
        <w:rPr>
          <w:bCs/>
          <w:spacing w:val="4"/>
          <w:sz w:val="24"/>
        </w:rPr>
      </w:pPr>
      <w:r>
        <w:rPr>
          <w:rFonts w:hAnsi="宋体"/>
          <w:bCs/>
          <w:spacing w:val="4"/>
          <w:sz w:val="24"/>
        </w:rPr>
        <w:lastRenderedPageBreak/>
        <w:t>表</w:t>
      </w:r>
      <w:r>
        <w:rPr>
          <w:bCs/>
          <w:spacing w:val="4"/>
          <w:sz w:val="24"/>
        </w:rPr>
        <w:t xml:space="preserve">9.4-1   </w:t>
      </w:r>
      <w:r>
        <w:rPr>
          <w:rFonts w:hAnsi="宋体"/>
          <w:bCs/>
          <w:spacing w:val="4"/>
          <w:sz w:val="24"/>
        </w:rPr>
        <w:t>拟建工程</w:t>
      </w:r>
      <w:r>
        <w:rPr>
          <w:bCs/>
          <w:spacing w:val="4"/>
          <w:sz w:val="24"/>
        </w:rPr>
        <w:t>“</w:t>
      </w:r>
      <w:r>
        <w:rPr>
          <w:rFonts w:hAnsi="宋体"/>
          <w:bCs/>
          <w:spacing w:val="4"/>
          <w:sz w:val="24"/>
        </w:rPr>
        <w:t>三废</w:t>
      </w:r>
      <w:r>
        <w:rPr>
          <w:bCs/>
          <w:spacing w:val="4"/>
          <w:sz w:val="24"/>
        </w:rPr>
        <w:t>”</w:t>
      </w:r>
      <w:r>
        <w:rPr>
          <w:rFonts w:hAnsi="宋体"/>
          <w:bCs/>
          <w:spacing w:val="4"/>
          <w:sz w:val="24"/>
        </w:rPr>
        <w:t>治理措施和环保投资估算表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426"/>
        <w:gridCol w:w="2683"/>
        <w:gridCol w:w="2127"/>
        <w:gridCol w:w="2182"/>
        <w:gridCol w:w="1019"/>
        <w:gridCol w:w="841"/>
      </w:tblGrid>
      <w:tr w:rsidR="00475650">
        <w:trPr>
          <w:jc w:val="center"/>
        </w:trPr>
        <w:tc>
          <w:tcPr>
            <w:tcW w:w="3109" w:type="dxa"/>
            <w:gridSpan w:val="2"/>
            <w:vAlign w:val="center"/>
          </w:tcPr>
          <w:p w:rsidR="00475650" w:rsidRDefault="00475650">
            <w:pPr>
              <w:spacing w:line="240" w:lineRule="exact"/>
              <w:jc w:val="left"/>
              <w:rPr>
                <w:szCs w:val="21"/>
              </w:rPr>
            </w:pPr>
            <w:r>
              <w:rPr>
                <w:rFonts w:hAnsi="宋体"/>
                <w:szCs w:val="21"/>
              </w:rPr>
              <w:t>污染源</w:t>
            </w:r>
            <w:r>
              <w:rPr>
                <w:rFonts w:hAnsi="宋体" w:hint="eastAsia"/>
                <w:szCs w:val="21"/>
              </w:rPr>
              <w:t>治理措施</w:t>
            </w:r>
          </w:p>
        </w:tc>
        <w:tc>
          <w:tcPr>
            <w:tcW w:w="2127" w:type="dxa"/>
            <w:tcBorders>
              <w:right w:val="single" w:sz="4" w:space="0" w:color="auto"/>
            </w:tcBorders>
            <w:vAlign w:val="center"/>
          </w:tcPr>
          <w:p w:rsidR="00475650" w:rsidRDefault="00475650">
            <w:pPr>
              <w:spacing w:line="240" w:lineRule="exact"/>
              <w:jc w:val="left"/>
              <w:rPr>
                <w:szCs w:val="21"/>
              </w:rPr>
            </w:pPr>
            <w:r>
              <w:rPr>
                <w:rFonts w:hAnsi="宋体"/>
                <w:szCs w:val="21"/>
              </w:rPr>
              <w:t>治理措施</w:t>
            </w:r>
          </w:p>
        </w:tc>
        <w:tc>
          <w:tcPr>
            <w:tcW w:w="2182" w:type="dxa"/>
            <w:tcBorders>
              <w:left w:val="single" w:sz="4" w:space="0" w:color="auto"/>
            </w:tcBorders>
            <w:vAlign w:val="center"/>
          </w:tcPr>
          <w:p w:rsidR="00475650" w:rsidRDefault="00475650">
            <w:pPr>
              <w:spacing w:line="240" w:lineRule="exact"/>
              <w:jc w:val="left"/>
              <w:rPr>
                <w:szCs w:val="21"/>
              </w:rPr>
            </w:pPr>
            <w:r>
              <w:rPr>
                <w:rFonts w:hint="eastAsia"/>
                <w:szCs w:val="21"/>
              </w:rPr>
              <w:t>设施名称</w:t>
            </w:r>
          </w:p>
        </w:tc>
        <w:tc>
          <w:tcPr>
            <w:tcW w:w="1019" w:type="dxa"/>
            <w:vAlign w:val="center"/>
          </w:tcPr>
          <w:p w:rsidR="00475650" w:rsidRDefault="00475650">
            <w:pPr>
              <w:spacing w:line="240" w:lineRule="exact"/>
              <w:jc w:val="left"/>
              <w:rPr>
                <w:szCs w:val="21"/>
              </w:rPr>
            </w:pPr>
            <w:r>
              <w:rPr>
                <w:rFonts w:hAnsi="宋体"/>
                <w:szCs w:val="21"/>
              </w:rPr>
              <w:t>投资（万元）</w:t>
            </w:r>
          </w:p>
        </w:tc>
        <w:tc>
          <w:tcPr>
            <w:tcW w:w="841" w:type="dxa"/>
            <w:vAlign w:val="center"/>
          </w:tcPr>
          <w:p w:rsidR="00475650" w:rsidRDefault="00475650">
            <w:pPr>
              <w:spacing w:line="240" w:lineRule="exact"/>
              <w:jc w:val="left"/>
              <w:rPr>
                <w:szCs w:val="21"/>
              </w:rPr>
            </w:pPr>
            <w:r>
              <w:rPr>
                <w:rFonts w:hAnsi="宋体"/>
                <w:szCs w:val="21"/>
              </w:rPr>
              <w:t>完成时间</w:t>
            </w:r>
          </w:p>
        </w:tc>
      </w:tr>
      <w:tr w:rsidR="00475650">
        <w:trPr>
          <w:jc w:val="center"/>
        </w:trPr>
        <w:tc>
          <w:tcPr>
            <w:tcW w:w="426" w:type="dxa"/>
            <w:vMerge w:val="restart"/>
            <w:vAlign w:val="center"/>
          </w:tcPr>
          <w:p w:rsidR="00475650" w:rsidRDefault="00475650">
            <w:pPr>
              <w:spacing w:line="240" w:lineRule="exact"/>
              <w:jc w:val="left"/>
              <w:rPr>
                <w:szCs w:val="21"/>
              </w:rPr>
            </w:pPr>
            <w:r>
              <w:rPr>
                <w:rFonts w:hAnsi="宋体"/>
                <w:szCs w:val="21"/>
              </w:rPr>
              <w:t>废气</w:t>
            </w:r>
          </w:p>
        </w:tc>
        <w:tc>
          <w:tcPr>
            <w:tcW w:w="2683" w:type="dxa"/>
            <w:vAlign w:val="center"/>
          </w:tcPr>
          <w:p w:rsidR="00475650" w:rsidRDefault="00475650">
            <w:pPr>
              <w:spacing w:line="240" w:lineRule="exact"/>
              <w:jc w:val="left"/>
              <w:rPr>
                <w:szCs w:val="21"/>
              </w:rPr>
            </w:pPr>
            <w:r>
              <w:rPr>
                <w:rFonts w:hint="eastAsia"/>
                <w:szCs w:val="21"/>
              </w:rPr>
              <w:t>酸碱废气（反应釜废气、烘干废气、污水处理站废气）</w:t>
            </w:r>
          </w:p>
        </w:tc>
        <w:tc>
          <w:tcPr>
            <w:tcW w:w="2127" w:type="dxa"/>
            <w:tcBorders>
              <w:right w:val="single" w:sz="4" w:space="0" w:color="auto"/>
            </w:tcBorders>
            <w:vAlign w:val="center"/>
          </w:tcPr>
          <w:p w:rsidR="00475650" w:rsidRDefault="00475650">
            <w:pPr>
              <w:spacing w:line="240" w:lineRule="exact"/>
              <w:jc w:val="left"/>
              <w:rPr>
                <w:szCs w:val="21"/>
              </w:rPr>
            </w:pPr>
            <w:r>
              <w:rPr>
                <w:rFonts w:hint="eastAsia"/>
                <w:szCs w:val="21"/>
              </w:rPr>
              <w:t>负压收集</w:t>
            </w:r>
            <w:r>
              <w:rPr>
                <w:rFonts w:hint="eastAsia"/>
                <w:szCs w:val="21"/>
              </w:rPr>
              <w:t>+</w:t>
            </w:r>
            <w:r>
              <w:rPr>
                <w:rFonts w:hint="eastAsia"/>
                <w:szCs w:val="21"/>
              </w:rPr>
              <w:t>喷淋塔碱液喷淋</w:t>
            </w:r>
            <w:r>
              <w:rPr>
                <w:rFonts w:hint="eastAsia"/>
                <w:szCs w:val="21"/>
              </w:rPr>
              <w:t>+15m</w:t>
            </w:r>
            <w:r>
              <w:rPr>
                <w:rFonts w:hint="eastAsia"/>
                <w:szCs w:val="21"/>
              </w:rPr>
              <w:t>排气筒</w:t>
            </w:r>
          </w:p>
        </w:tc>
        <w:tc>
          <w:tcPr>
            <w:tcW w:w="2182" w:type="dxa"/>
            <w:tcBorders>
              <w:left w:val="single" w:sz="4" w:space="0" w:color="auto"/>
            </w:tcBorders>
            <w:vAlign w:val="center"/>
          </w:tcPr>
          <w:p w:rsidR="00475650" w:rsidRDefault="00475650">
            <w:pPr>
              <w:spacing w:line="240" w:lineRule="exact"/>
              <w:jc w:val="left"/>
              <w:rPr>
                <w:szCs w:val="21"/>
              </w:rPr>
            </w:pPr>
            <w:r>
              <w:rPr>
                <w:rFonts w:hint="eastAsia"/>
                <w:szCs w:val="21"/>
              </w:rPr>
              <w:t>负压收集装置（各产气点）</w:t>
            </w:r>
          </w:p>
        </w:tc>
        <w:tc>
          <w:tcPr>
            <w:tcW w:w="1019" w:type="dxa"/>
            <w:vAlign w:val="center"/>
          </w:tcPr>
          <w:p w:rsidR="00475650" w:rsidRDefault="00475650">
            <w:pPr>
              <w:spacing w:line="240" w:lineRule="exact"/>
              <w:jc w:val="left"/>
              <w:rPr>
                <w:szCs w:val="21"/>
              </w:rPr>
            </w:pPr>
            <w:r>
              <w:rPr>
                <w:rFonts w:hint="eastAsia"/>
                <w:szCs w:val="21"/>
              </w:rPr>
              <w:t>60</w:t>
            </w:r>
          </w:p>
        </w:tc>
        <w:tc>
          <w:tcPr>
            <w:tcW w:w="841" w:type="dxa"/>
            <w:vMerge w:val="restart"/>
            <w:vAlign w:val="center"/>
          </w:tcPr>
          <w:p w:rsidR="00475650" w:rsidRDefault="00475650">
            <w:pPr>
              <w:spacing w:line="240" w:lineRule="exact"/>
              <w:jc w:val="left"/>
              <w:rPr>
                <w:szCs w:val="21"/>
              </w:rPr>
            </w:pPr>
            <w:r>
              <w:rPr>
                <w:rFonts w:hAnsi="宋体"/>
                <w:szCs w:val="21"/>
              </w:rPr>
              <w:t>与本工程</w:t>
            </w:r>
            <w:r>
              <w:rPr>
                <w:szCs w:val="21"/>
              </w:rPr>
              <w:t>“</w:t>
            </w:r>
            <w:r>
              <w:rPr>
                <w:rFonts w:hAnsi="宋体"/>
                <w:szCs w:val="21"/>
              </w:rPr>
              <w:t>三同时</w:t>
            </w:r>
            <w:r>
              <w:rPr>
                <w:szCs w:val="21"/>
              </w:rPr>
              <w:t>”</w:t>
            </w:r>
          </w:p>
        </w:tc>
      </w:tr>
      <w:tr w:rsidR="00475650">
        <w:trPr>
          <w:jc w:val="center"/>
        </w:trPr>
        <w:tc>
          <w:tcPr>
            <w:tcW w:w="426" w:type="dxa"/>
            <w:vMerge/>
            <w:vAlign w:val="center"/>
          </w:tcPr>
          <w:p w:rsidR="00475650" w:rsidRDefault="00475650">
            <w:pPr>
              <w:spacing w:line="240" w:lineRule="exact"/>
              <w:jc w:val="left"/>
              <w:rPr>
                <w:rFonts w:hAnsi="宋体"/>
                <w:szCs w:val="21"/>
              </w:rPr>
            </w:pPr>
          </w:p>
        </w:tc>
        <w:tc>
          <w:tcPr>
            <w:tcW w:w="2683" w:type="dxa"/>
            <w:vAlign w:val="center"/>
          </w:tcPr>
          <w:p w:rsidR="00475650" w:rsidRDefault="00475650">
            <w:pPr>
              <w:spacing w:line="240" w:lineRule="exact"/>
              <w:jc w:val="left"/>
              <w:rPr>
                <w:rFonts w:hAnsi="宋体"/>
                <w:szCs w:val="21"/>
              </w:rPr>
            </w:pPr>
            <w:r>
              <w:rPr>
                <w:rFonts w:hAnsi="宋体" w:hint="eastAsia"/>
                <w:szCs w:val="21"/>
              </w:rPr>
              <w:t>含尘废气（破碎废气、包装废气）</w:t>
            </w:r>
          </w:p>
        </w:tc>
        <w:tc>
          <w:tcPr>
            <w:tcW w:w="2127" w:type="dxa"/>
            <w:tcBorders>
              <w:right w:val="single" w:sz="4" w:space="0" w:color="auto"/>
            </w:tcBorders>
            <w:vAlign w:val="center"/>
          </w:tcPr>
          <w:p w:rsidR="00475650" w:rsidRDefault="00475650">
            <w:pPr>
              <w:spacing w:line="240" w:lineRule="exact"/>
              <w:jc w:val="left"/>
              <w:rPr>
                <w:rFonts w:hAnsi="宋体"/>
                <w:szCs w:val="21"/>
              </w:rPr>
            </w:pPr>
            <w:r>
              <w:rPr>
                <w:rFonts w:hint="eastAsia"/>
                <w:szCs w:val="21"/>
              </w:rPr>
              <w:t>负压收集</w:t>
            </w:r>
            <w:r>
              <w:rPr>
                <w:rFonts w:hint="eastAsia"/>
                <w:szCs w:val="21"/>
              </w:rPr>
              <w:t>+</w:t>
            </w:r>
            <w:r>
              <w:rPr>
                <w:rFonts w:hint="eastAsia"/>
                <w:szCs w:val="21"/>
              </w:rPr>
              <w:t>布袋收尘</w:t>
            </w:r>
            <w:r>
              <w:rPr>
                <w:rFonts w:hint="eastAsia"/>
                <w:szCs w:val="21"/>
              </w:rPr>
              <w:t>+15m</w:t>
            </w:r>
            <w:r>
              <w:rPr>
                <w:rFonts w:hint="eastAsia"/>
                <w:szCs w:val="21"/>
              </w:rPr>
              <w:t>排气筒</w:t>
            </w:r>
          </w:p>
        </w:tc>
        <w:tc>
          <w:tcPr>
            <w:tcW w:w="2182" w:type="dxa"/>
            <w:tcBorders>
              <w:left w:val="single" w:sz="4" w:space="0" w:color="auto"/>
            </w:tcBorders>
            <w:vAlign w:val="center"/>
          </w:tcPr>
          <w:p w:rsidR="00475650" w:rsidRDefault="00475650">
            <w:pPr>
              <w:spacing w:line="240" w:lineRule="exact"/>
              <w:jc w:val="left"/>
              <w:rPr>
                <w:rFonts w:hAnsi="宋体"/>
                <w:szCs w:val="21"/>
              </w:rPr>
            </w:pPr>
            <w:r>
              <w:rPr>
                <w:rFonts w:hAnsi="宋体" w:hint="eastAsia"/>
                <w:szCs w:val="21"/>
              </w:rPr>
              <w:t>喷淋塔（</w:t>
            </w:r>
            <w:r>
              <w:rPr>
                <w:rFonts w:hAnsi="宋体" w:hint="eastAsia"/>
                <w:szCs w:val="21"/>
              </w:rPr>
              <w:t>1</w:t>
            </w:r>
            <w:r>
              <w:rPr>
                <w:rFonts w:hAnsi="宋体" w:hint="eastAsia"/>
                <w:szCs w:val="21"/>
              </w:rPr>
              <w:t>台）</w:t>
            </w:r>
          </w:p>
        </w:tc>
        <w:tc>
          <w:tcPr>
            <w:tcW w:w="1019" w:type="dxa"/>
            <w:vAlign w:val="center"/>
          </w:tcPr>
          <w:p w:rsidR="00475650" w:rsidRDefault="00475650">
            <w:pPr>
              <w:spacing w:line="240" w:lineRule="exact"/>
              <w:jc w:val="left"/>
              <w:rPr>
                <w:szCs w:val="21"/>
              </w:rPr>
            </w:pPr>
            <w:r>
              <w:rPr>
                <w:rFonts w:hint="eastAsia"/>
                <w:szCs w:val="21"/>
              </w:rPr>
              <w:t>30</w:t>
            </w:r>
          </w:p>
        </w:tc>
        <w:tc>
          <w:tcPr>
            <w:tcW w:w="841" w:type="dxa"/>
            <w:vMerge/>
            <w:vAlign w:val="center"/>
          </w:tcPr>
          <w:p w:rsidR="00475650" w:rsidRDefault="00475650">
            <w:pPr>
              <w:spacing w:line="240" w:lineRule="exact"/>
              <w:jc w:val="left"/>
              <w:rPr>
                <w:rFonts w:hAnsi="宋体"/>
                <w:szCs w:val="21"/>
              </w:rPr>
            </w:pPr>
          </w:p>
        </w:tc>
      </w:tr>
      <w:tr w:rsidR="00475650">
        <w:trPr>
          <w:jc w:val="center"/>
        </w:trPr>
        <w:tc>
          <w:tcPr>
            <w:tcW w:w="426" w:type="dxa"/>
            <w:vMerge/>
            <w:vAlign w:val="center"/>
          </w:tcPr>
          <w:p w:rsidR="00475650" w:rsidRDefault="00475650">
            <w:pPr>
              <w:spacing w:line="240" w:lineRule="exact"/>
              <w:jc w:val="left"/>
              <w:rPr>
                <w:rFonts w:hAnsi="宋体"/>
                <w:szCs w:val="21"/>
              </w:rPr>
            </w:pPr>
          </w:p>
        </w:tc>
        <w:tc>
          <w:tcPr>
            <w:tcW w:w="2683" w:type="dxa"/>
            <w:vAlign w:val="center"/>
          </w:tcPr>
          <w:p w:rsidR="00475650" w:rsidRDefault="00475650">
            <w:pPr>
              <w:spacing w:line="240" w:lineRule="exact"/>
              <w:jc w:val="left"/>
              <w:rPr>
                <w:szCs w:val="21"/>
              </w:rPr>
            </w:pPr>
            <w:r>
              <w:rPr>
                <w:rFonts w:hint="eastAsia"/>
                <w:szCs w:val="21"/>
              </w:rPr>
              <w:t>异味气体（隔膜压滤废气）</w:t>
            </w:r>
          </w:p>
        </w:tc>
        <w:tc>
          <w:tcPr>
            <w:tcW w:w="2127" w:type="dxa"/>
            <w:tcBorders>
              <w:right w:val="single" w:sz="4" w:space="0" w:color="auto"/>
            </w:tcBorders>
            <w:vAlign w:val="center"/>
          </w:tcPr>
          <w:p w:rsidR="00475650" w:rsidRDefault="00475650">
            <w:pPr>
              <w:spacing w:line="240" w:lineRule="exact"/>
              <w:jc w:val="left"/>
              <w:rPr>
                <w:szCs w:val="21"/>
              </w:rPr>
            </w:pPr>
            <w:r>
              <w:rPr>
                <w:rFonts w:hAnsi="宋体"/>
                <w:szCs w:val="21"/>
              </w:rPr>
              <w:t>负压收集</w:t>
            </w:r>
            <w:r>
              <w:rPr>
                <w:szCs w:val="21"/>
              </w:rPr>
              <w:t>+</w:t>
            </w:r>
            <w:r>
              <w:rPr>
                <w:rFonts w:hAnsi="宋体"/>
                <w:szCs w:val="21"/>
              </w:rPr>
              <w:t>布袋收尘</w:t>
            </w:r>
            <w:r>
              <w:rPr>
                <w:szCs w:val="21"/>
              </w:rPr>
              <w:t>+</w:t>
            </w:r>
            <w:r>
              <w:rPr>
                <w:rFonts w:hAnsi="宋体"/>
                <w:szCs w:val="21"/>
              </w:rPr>
              <w:t>排气筒</w:t>
            </w:r>
            <w:r>
              <w:rPr>
                <w:rFonts w:hAnsi="宋体" w:hint="eastAsia"/>
                <w:szCs w:val="21"/>
              </w:rPr>
              <w:t>1</w:t>
            </w:r>
            <w:r>
              <w:rPr>
                <w:szCs w:val="21"/>
              </w:rPr>
              <w:t>5m</w:t>
            </w:r>
            <w:r>
              <w:rPr>
                <w:rFonts w:hAnsi="宋体"/>
                <w:szCs w:val="21"/>
              </w:rPr>
              <w:t>高外排</w:t>
            </w:r>
          </w:p>
        </w:tc>
        <w:tc>
          <w:tcPr>
            <w:tcW w:w="2182" w:type="dxa"/>
            <w:tcBorders>
              <w:left w:val="single" w:sz="4" w:space="0" w:color="auto"/>
            </w:tcBorders>
            <w:vAlign w:val="center"/>
          </w:tcPr>
          <w:p w:rsidR="00475650" w:rsidRDefault="00475650">
            <w:pPr>
              <w:spacing w:line="240" w:lineRule="exact"/>
              <w:jc w:val="left"/>
              <w:rPr>
                <w:szCs w:val="21"/>
              </w:rPr>
            </w:pPr>
            <w:r>
              <w:rPr>
                <w:rFonts w:hint="eastAsia"/>
                <w:szCs w:val="21"/>
              </w:rPr>
              <w:t>布袋收尘器（</w:t>
            </w:r>
            <w:r>
              <w:rPr>
                <w:rFonts w:hint="eastAsia"/>
                <w:szCs w:val="21"/>
              </w:rPr>
              <w:t>2</w:t>
            </w:r>
            <w:r>
              <w:rPr>
                <w:rFonts w:hint="eastAsia"/>
                <w:szCs w:val="21"/>
              </w:rPr>
              <w:t>台）</w:t>
            </w:r>
          </w:p>
        </w:tc>
        <w:tc>
          <w:tcPr>
            <w:tcW w:w="1019" w:type="dxa"/>
            <w:vAlign w:val="center"/>
          </w:tcPr>
          <w:p w:rsidR="00475650" w:rsidRDefault="00475650">
            <w:pPr>
              <w:spacing w:line="240" w:lineRule="exact"/>
              <w:jc w:val="left"/>
              <w:rPr>
                <w:szCs w:val="21"/>
              </w:rPr>
            </w:pPr>
            <w:r>
              <w:rPr>
                <w:rFonts w:hint="eastAsia"/>
                <w:szCs w:val="21"/>
              </w:rPr>
              <w:t>30</w:t>
            </w:r>
          </w:p>
        </w:tc>
        <w:tc>
          <w:tcPr>
            <w:tcW w:w="841" w:type="dxa"/>
            <w:vMerge/>
            <w:vAlign w:val="center"/>
          </w:tcPr>
          <w:p w:rsidR="00475650" w:rsidRDefault="00475650">
            <w:pPr>
              <w:spacing w:line="240" w:lineRule="exact"/>
              <w:jc w:val="left"/>
              <w:rPr>
                <w:rFonts w:hAnsi="宋体"/>
                <w:szCs w:val="21"/>
              </w:rPr>
            </w:pPr>
          </w:p>
        </w:tc>
      </w:tr>
      <w:tr w:rsidR="00475650">
        <w:trPr>
          <w:jc w:val="center"/>
        </w:trPr>
        <w:tc>
          <w:tcPr>
            <w:tcW w:w="426" w:type="dxa"/>
            <w:vMerge/>
            <w:vAlign w:val="center"/>
          </w:tcPr>
          <w:p w:rsidR="00475650" w:rsidRDefault="00475650">
            <w:pPr>
              <w:spacing w:line="240" w:lineRule="exact"/>
              <w:jc w:val="left"/>
              <w:rPr>
                <w:rFonts w:hAnsi="宋体"/>
                <w:szCs w:val="21"/>
              </w:rPr>
            </w:pPr>
          </w:p>
        </w:tc>
        <w:tc>
          <w:tcPr>
            <w:tcW w:w="2683" w:type="dxa"/>
            <w:vAlign w:val="center"/>
          </w:tcPr>
          <w:p w:rsidR="00475650" w:rsidRDefault="00475650">
            <w:pPr>
              <w:spacing w:line="240" w:lineRule="exact"/>
              <w:jc w:val="left"/>
              <w:rPr>
                <w:szCs w:val="21"/>
              </w:rPr>
            </w:pPr>
          </w:p>
        </w:tc>
        <w:tc>
          <w:tcPr>
            <w:tcW w:w="2127" w:type="dxa"/>
            <w:tcBorders>
              <w:right w:val="single" w:sz="4" w:space="0" w:color="auto"/>
            </w:tcBorders>
            <w:vAlign w:val="center"/>
          </w:tcPr>
          <w:p w:rsidR="00475650" w:rsidRDefault="00475650">
            <w:pPr>
              <w:spacing w:line="240" w:lineRule="exact"/>
              <w:jc w:val="left"/>
              <w:rPr>
                <w:rFonts w:hAnsi="宋体"/>
                <w:szCs w:val="21"/>
              </w:rPr>
            </w:pPr>
          </w:p>
        </w:tc>
        <w:tc>
          <w:tcPr>
            <w:tcW w:w="2182" w:type="dxa"/>
            <w:tcBorders>
              <w:left w:val="single" w:sz="4" w:space="0" w:color="auto"/>
            </w:tcBorders>
            <w:vAlign w:val="center"/>
          </w:tcPr>
          <w:p w:rsidR="00475650" w:rsidRDefault="00475650">
            <w:pPr>
              <w:spacing w:line="240" w:lineRule="exact"/>
              <w:jc w:val="left"/>
              <w:rPr>
                <w:szCs w:val="21"/>
              </w:rPr>
            </w:pPr>
            <w:r>
              <w:rPr>
                <w:rFonts w:hint="eastAsia"/>
                <w:szCs w:val="21"/>
              </w:rPr>
              <w:t>15m</w:t>
            </w:r>
            <w:r>
              <w:rPr>
                <w:rFonts w:hint="eastAsia"/>
                <w:szCs w:val="21"/>
              </w:rPr>
              <w:t>高排气筒（</w:t>
            </w:r>
            <w:r>
              <w:rPr>
                <w:rFonts w:hint="eastAsia"/>
                <w:szCs w:val="21"/>
              </w:rPr>
              <w:t>1</w:t>
            </w:r>
            <w:r>
              <w:rPr>
                <w:rFonts w:hint="eastAsia"/>
                <w:szCs w:val="21"/>
              </w:rPr>
              <w:t>个）</w:t>
            </w:r>
          </w:p>
        </w:tc>
        <w:tc>
          <w:tcPr>
            <w:tcW w:w="1019" w:type="dxa"/>
            <w:vAlign w:val="center"/>
          </w:tcPr>
          <w:p w:rsidR="00475650" w:rsidRDefault="00475650">
            <w:pPr>
              <w:spacing w:line="240" w:lineRule="exact"/>
              <w:jc w:val="left"/>
              <w:rPr>
                <w:szCs w:val="21"/>
              </w:rPr>
            </w:pPr>
            <w:r>
              <w:rPr>
                <w:rFonts w:hint="eastAsia"/>
                <w:szCs w:val="21"/>
              </w:rPr>
              <w:t>20</w:t>
            </w:r>
          </w:p>
        </w:tc>
        <w:tc>
          <w:tcPr>
            <w:tcW w:w="841" w:type="dxa"/>
            <w:vMerge/>
            <w:vAlign w:val="center"/>
          </w:tcPr>
          <w:p w:rsidR="00475650" w:rsidRDefault="00475650">
            <w:pPr>
              <w:spacing w:line="240" w:lineRule="exact"/>
              <w:jc w:val="left"/>
              <w:rPr>
                <w:rFonts w:hAnsi="宋体"/>
                <w:szCs w:val="21"/>
              </w:rPr>
            </w:pPr>
          </w:p>
        </w:tc>
      </w:tr>
      <w:tr w:rsidR="00475650">
        <w:trPr>
          <w:jc w:val="center"/>
        </w:trPr>
        <w:tc>
          <w:tcPr>
            <w:tcW w:w="426" w:type="dxa"/>
            <w:vAlign w:val="center"/>
          </w:tcPr>
          <w:p w:rsidR="00475650" w:rsidRDefault="00475650">
            <w:pPr>
              <w:spacing w:line="240" w:lineRule="exact"/>
              <w:jc w:val="left"/>
              <w:rPr>
                <w:szCs w:val="21"/>
              </w:rPr>
            </w:pPr>
            <w:r>
              <w:rPr>
                <w:rFonts w:hAnsi="宋体"/>
                <w:szCs w:val="21"/>
              </w:rPr>
              <w:t>废水</w:t>
            </w:r>
          </w:p>
        </w:tc>
        <w:tc>
          <w:tcPr>
            <w:tcW w:w="2683" w:type="dxa"/>
            <w:vAlign w:val="center"/>
          </w:tcPr>
          <w:p w:rsidR="00475650" w:rsidRDefault="00475650">
            <w:pPr>
              <w:spacing w:line="240" w:lineRule="exact"/>
              <w:jc w:val="left"/>
              <w:rPr>
                <w:szCs w:val="21"/>
              </w:rPr>
            </w:pPr>
            <w:r>
              <w:rPr>
                <w:rFonts w:hAnsi="宋体"/>
                <w:szCs w:val="21"/>
              </w:rPr>
              <w:t>生产废水</w:t>
            </w:r>
          </w:p>
        </w:tc>
        <w:tc>
          <w:tcPr>
            <w:tcW w:w="4309" w:type="dxa"/>
            <w:gridSpan w:val="2"/>
            <w:vAlign w:val="center"/>
          </w:tcPr>
          <w:p w:rsidR="00475650" w:rsidRDefault="00475650">
            <w:pPr>
              <w:spacing w:line="240" w:lineRule="exact"/>
              <w:jc w:val="left"/>
              <w:rPr>
                <w:szCs w:val="21"/>
              </w:rPr>
            </w:pPr>
            <w:r>
              <w:rPr>
                <w:rFonts w:hAnsi="宋体"/>
                <w:szCs w:val="21"/>
              </w:rPr>
              <w:t>采用</w:t>
            </w:r>
            <w:r>
              <w:rPr>
                <w:szCs w:val="21"/>
              </w:rPr>
              <w:t>“</w:t>
            </w:r>
            <w:r>
              <w:rPr>
                <w:rFonts w:hint="eastAsia"/>
                <w:szCs w:val="21"/>
              </w:rPr>
              <w:t>隔油</w:t>
            </w:r>
            <w:r>
              <w:rPr>
                <w:rFonts w:hint="eastAsia"/>
                <w:szCs w:val="21"/>
              </w:rPr>
              <w:t>+</w:t>
            </w:r>
            <w:r>
              <w:rPr>
                <w:szCs w:val="21"/>
              </w:rPr>
              <w:t>pH</w:t>
            </w:r>
            <w:r>
              <w:rPr>
                <w:rFonts w:hAnsi="宋体"/>
                <w:szCs w:val="21"/>
              </w:rPr>
              <w:t>调节沉淀</w:t>
            </w:r>
            <w:r>
              <w:rPr>
                <w:szCs w:val="21"/>
              </w:rPr>
              <w:t>+</w:t>
            </w:r>
            <w:r>
              <w:rPr>
                <w:rFonts w:hint="eastAsia"/>
                <w:szCs w:val="21"/>
              </w:rPr>
              <w:t>活性炭吸附</w:t>
            </w:r>
            <w:r>
              <w:rPr>
                <w:rFonts w:hint="eastAsia"/>
                <w:szCs w:val="21"/>
              </w:rPr>
              <w:t>+</w:t>
            </w:r>
            <w:r>
              <w:rPr>
                <w:rFonts w:hAnsi="宋体"/>
                <w:szCs w:val="21"/>
              </w:rPr>
              <w:t>蒸发脱盐</w:t>
            </w:r>
            <w:r>
              <w:rPr>
                <w:szCs w:val="21"/>
              </w:rPr>
              <w:t>+</w:t>
            </w:r>
            <w:r>
              <w:rPr>
                <w:rFonts w:hAnsi="宋体"/>
                <w:szCs w:val="21"/>
              </w:rPr>
              <w:t>微电解</w:t>
            </w:r>
            <w:r>
              <w:rPr>
                <w:rFonts w:hAnsi="宋体"/>
                <w:szCs w:val="21"/>
              </w:rPr>
              <w:t>+</w:t>
            </w:r>
            <w:r>
              <w:rPr>
                <w:rFonts w:hAnsi="宋体"/>
                <w:szCs w:val="21"/>
              </w:rPr>
              <w:t>化学氧化</w:t>
            </w:r>
            <w:r>
              <w:rPr>
                <w:rFonts w:hAnsi="宋体"/>
                <w:szCs w:val="21"/>
              </w:rPr>
              <w:t>+</w:t>
            </w:r>
            <w:r>
              <w:rPr>
                <w:rFonts w:hAnsi="宋体"/>
                <w:szCs w:val="21"/>
              </w:rPr>
              <w:t>厌氧生化</w:t>
            </w:r>
            <w:r>
              <w:rPr>
                <w:rFonts w:hAnsi="宋体"/>
                <w:szCs w:val="21"/>
              </w:rPr>
              <w:t>+</w:t>
            </w:r>
            <w:r>
              <w:rPr>
                <w:rFonts w:hAnsi="宋体"/>
                <w:szCs w:val="21"/>
              </w:rPr>
              <w:t>生物滤池</w:t>
            </w:r>
            <w:r>
              <w:rPr>
                <w:rFonts w:hAnsi="宋体" w:hint="eastAsia"/>
                <w:szCs w:val="21"/>
              </w:rPr>
              <w:t>+</w:t>
            </w:r>
            <w:r>
              <w:rPr>
                <w:rFonts w:hAnsi="宋体" w:hint="eastAsia"/>
                <w:szCs w:val="21"/>
              </w:rPr>
              <w:t>炉膛煤渣吸附</w:t>
            </w:r>
            <w:r>
              <w:rPr>
                <w:rFonts w:hAnsi="宋体"/>
                <w:szCs w:val="21"/>
              </w:rPr>
              <w:t>”处理工艺；</w:t>
            </w:r>
          </w:p>
        </w:tc>
        <w:tc>
          <w:tcPr>
            <w:tcW w:w="1019" w:type="dxa"/>
            <w:vAlign w:val="center"/>
          </w:tcPr>
          <w:p w:rsidR="00475650" w:rsidRDefault="00475650">
            <w:pPr>
              <w:spacing w:line="240" w:lineRule="exact"/>
              <w:jc w:val="left"/>
              <w:rPr>
                <w:szCs w:val="21"/>
              </w:rPr>
            </w:pPr>
            <w:r>
              <w:rPr>
                <w:szCs w:val="21"/>
              </w:rPr>
              <w:t>3</w:t>
            </w:r>
            <w:r>
              <w:rPr>
                <w:rFonts w:hint="eastAsia"/>
                <w:szCs w:val="21"/>
              </w:rPr>
              <w:t>6</w:t>
            </w:r>
            <w:r>
              <w:rPr>
                <w:szCs w:val="21"/>
              </w:rPr>
              <w:t>0</w:t>
            </w:r>
          </w:p>
          <w:p w:rsidR="00475650" w:rsidRDefault="00475650">
            <w:pPr>
              <w:spacing w:line="240" w:lineRule="exact"/>
              <w:jc w:val="left"/>
              <w:rPr>
                <w:szCs w:val="21"/>
              </w:rPr>
            </w:pPr>
          </w:p>
        </w:tc>
        <w:tc>
          <w:tcPr>
            <w:tcW w:w="841" w:type="dxa"/>
            <w:vMerge/>
            <w:vAlign w:val="center"/>
          </w:tcPr>
          <w:p w:rsidR="00475650" w:rsidRDefault="00475650">
            <w:pPr>
              <w:spacing w:line="240" w:lineRule="exact"/>
              <w:jc w:val="left"/>
              <w:rPr>
                <w:szCs w:val="21"/>
              </w:rPr>
            </w:pPr>
          </w:p>
        </w:tc>
      </w:tr>
      <w:tr w:rsidR="00475650">
        <w:trPr>
          <w:jc w:val="center"/>
        </w:trPr>
        <w:tc>
          <w:tcPr>
            <w:tcW w:w="426" w:type="dxa"/>
            <w:vMerge w:val="restart"/>
            <w:vAlign w:val="center"/>
          </w:tcPr>
          <w:p w:rsidR="00475650" w:rsidRDefault="00475650">
            <w:pPr>
              <w:spacing w:line="240" w:lineRule="exact"/>
              <w:jc w:val="left"/>
              <w:rPr>
                <w:szCs w:val="21"/>
              </w:rPr>
            </w:pPr>
            <w:r>
              <w:rPr>
                <w:rFonts w:hAnsi="宋体"/>
                <w:szCs w:val="21"/>
              </w:rPr>
              <w:t>固废</w:t>
            </w:r>
          </w:p>
        </w:tc>
        <w:tc>
          <w:tcPr>
            <w:tcW w:w="2683" w:type="dxa"/>
            <w:vAlign w:val="center"/>
          </w:tcPr>
          <w:p w:rsidR="00475650" w:rsidRDefault="00475650">
            <w:pPr>
              <w:spacing w:line="240" w:lineRule="exact"/>
              <w:jc w:val="left"/>
              <w:rPr>
                <w:szCs w:val="21"/>
              </w:rPr>
            </w:pPr>
            <w:r>
              <w:rPr>
                <w:rFonts w:hAnsi="宋体"/>
                <w:szCs w:val="21"/>
              </w:rPr>
              <w:t>废包装物</w:t>
            </w:r>
          </w:p>
        </w:tc>
        <w:tc>
          <w:tcPr>
            <w:tcW w:w="4309" w:type="dxa"/>
            <w:gridSpan w:val="2"/>
            <w:vAlign w:val="center"/>
          </w:tcPr>
          <w:p w:rsidR="00475650" w:rsidRDefault="00475650">
            <w:pPr>
              <w:spacing w:line="240" w:lineRule="exact"/>
              <w:jc w:val="left"/>
              <w:rPr>
                <w:szCs w:val="21"/>
              </w:rPr>
            </w:pPr>
            <w:r>
              <w:rPr>
                <w:rFonts w:hAnsi="宋体"/>
                <w:szCs w:val="21"/>
              </w:rPr>
              <w:t>厂家回收</w:t>
            </w:r>
          </w:p>
        </w:tc>
        <w:tc>
          <w:tcPr>
            <w:tcW w:w="1019" w:type="dxa"/>
            <w:vMerge w:val="restart"/>
            <w:vAlign w:val="center"/>
          </w:tcPr>
          <w:p w:rsidR="00475650" w:rsidRDefault="00475650">
            <w:pPr>
              <w:spacing w:line="240" w:lineRule="exact"/>
              <w:jc w:val="left"/>
              <w:rPr>
                <w:szCs w:val="21"/>
              </w:rPr>
            </w:pPr>
            <w:r>
              <w:rPr>
                <w:rFonts w:hint="eastAsia"/>
                <w:szCs w:val="21"/>
              </w:rPr>
              <w:t>30</w:t>
            </w:r>
          </w:p>
        </w:tc>
        <w:tc>
          <w:tcPr>
            <w:tcW w:w="841" w:type="dxa"/>
            <w:vMerge/>
            <w:vAlign w:val="center"/>
          </w:tcPr>
          <w:p w:rsidR="00475650" w:rsidRDefault="00475650">
            <w:pPr>
              <w:spacing w:line="240" w:lineRule="exact"/>
              <w:jc w:val="left"/>
              <w:rPr>
                <w:szCs w:val="21"/>
              </w:rPr>
            </w:pPr>
          </w:p>
        </w:tc>
      </w:tr>
      <w:tr w:rsidR="00475650">
        <w:trPr>
          <w:jc w:val="center"/>
        </w:trPr>
        <w:tc>
          <w:tcPr>
            <w:tcW w:w="426" w:type="dxa"/>
            <w:vMerge/>
            <w:vAlign w:val="center"/>
          </w:tcPr>
          <w:p w:rsidR="00475650" w:rsidRDefault="00475650">
            <w:pPr>
              <w:spacing w:line="240" w:lineRule="exact"/>
              <w:jc w:val="left"/>
              <w:rPr>
                <w:szCs w:val="21"/>
              </w:rPr>
            </w:pPr>
          </w:p>
        </w:tc>
        <w:tc>
          <w:tcPr>
            <w:tcW w:w="2683" w:type="dxa"/>
            <w:vAlign w:val="center"/>
          </w:tcPr>
          <w:p w:rsidR="00475650" w:rsidRDefault="00475650">
            <w:pPr>
              <w:spacing w:line="240" w:lineRule="exact"/>
              <w:jc w:val="left"/>
              <w:rPr>
                <w:szCs w:val="21"/>
              </w:rPr>
            </w:pPr>
            <w:r>
              <w:rPr>
                <w:rFonts w:hAnsi="宋体"/>
                <w:szCs w:val="21"/>
              </w:rPr>
              <w:t>污水处理站污泥</w:t>
            </w:r>
          </w:p>
        </w:tc>
        <w:tc>
          <w:tcPr>
            <w:tcW w:w="4309" w:type="dxa"/>
            <w:gridSpan w:val="2"/>
            <w:vAlign w:val="center"/>
          </w:tcPr>
          <w:p w:rsidR="00475650" w:rsidRDefault="00475650">
            <w:pPr>
              <w:spacing w:line="240" w:lineRule="exact"/>
              <w:jc w:val="left"/>
              <w:rPr>
                <w:szCs w:val="21"/>
              </w:rPr>
            </w:pPr>
            <w:r>
              <w:rPr>
                <w:rFonts w:hAnsi="宋体" w:hint="eastAsia"/>
                <w:szCs w:val="21"/>
              </w:rPr>
              <w:t>外委有资质的单位处理处置</w:t>
            </w:r>
          </w:p>
        </w:tc>
        <w:tc>
          <w:tcPr>
            <w:tcW w:w="1019" w:type="dxa"/>
            <w:vMerge/>
            <w:vAlign w:val="center"/>
          </w:tcPr>
          <w:p w:rsidR="00475650" w:rsidRDefault="00475650">
            <w:pPr>
              <w:spacing w:line="240" w:lineRule="exact"/>
              <w:jc w:val="left"/>
              <w:rPr>
                <w:szCs w:val="21"/>
              </w:rPr>
            </w:pPr>
          </w:p>
        </w:tc>
        <w:tc>
          <w:tcPr>
            <w:tcW w:w="841" w:type="dxa"/>
            <w:vMerge/>
            <w:vAlign w:val="center"/>
          </w:tcPr>
          <w:p w:rsidR="00475650" w:rsidRDefault="00475650">
            <w:pPr>
              <w:spacing w:line="240" w:lineRule="exact"/>
              <w:jc w:val="left"/>
              <w:rPr>
                <w:szCs w:val="21"/>
              </w:rPr>
            </w:pPr>
          </w:p>
        </w:tc>
      </w:tr>
      <w:tr w:rsidR="00475650">
        <w:trPr>
          <w:jc w:val="center"/>
        </w:trPr>
        <w:tc>
          <w:tcPr>
            <w:tcW w:w="426" w:type="dxa"/>
            <w:vMerge/>
            <w:vAlign w:val="center"/>
          </w:tcPr>
          <w:p w:rsidR="00475650" w:rsidRDefault="00475650">
            <w:pPr>
              <w:spacing w:line="240" w:lineRule="exact"/>
              <w:jc w:val="left"/>
              <w:rPr>
                <w:szCs w:val="21"/>
              </w:rPr>
            </w:pPr>
          </w:p>
        </w:tc>
        <w:tc>
          <w:tcPr>
            <w:tcW w:w="2683" w:type="dxa"/>
            <w:vAlign w:val="center"/>
          </w:tcPr>
          <w:p w:rsidR="00475650" w:rsidRDefault="00475650">
            <w:pPr>
              <w:spacing w:line="240" w:lineRule="exact"/>
              <w:jc w:val="left"/>
              <w:rPr>
                <w:szCs w:val="21"/>
              </w:rPr>
            </w:pPr>
            <w:r>
              <w:rPr>
                <w:rFonts w:hAnsi="宋体"/>
                <w:szCs w:val="21"/>
              </w:rPr>
              <w:t>污水处理产生的结晶盐</w:t>
            </w:r>
          </w:p>
        </w:tc>
        <w:tc>
          <w:tcPr>
            <w:tcW w:w="4309" w:type="dxa"/>
            <w:gridSpan w:val="2"/>
            <w:vAlign w:val="center"/>
          </w:tcPr>
          <w:p w:rsidR="00475650" w:rsidRDefault="00475650">
            <w:pPr>
              <w:spacing w:line="240" w:lineRule="exact"/>
              <w:jc w:val="left"/>
              <w:rPr>
                <w:szCs w:val="21"/>
              </w:rPr>
            </w:pPr>
            <w:r>
              <w:rPr>
                <w:rFonts w:hAnsi="宋体"/>
                <w:szCs w:val="21"/>
              </w:rPr>
              <w:t>作为副产品外售</w:t>
            </w:r>
          </w:p>
        </w:tc>
        <w:tc>
          <w:tcPr>
            <w:tcW w:w="1019" w:type="dxa"/>
            <w:vMerge/>
            <w:vAlign w:val="center"/>
          </w:tcPr>
          <w:p w:rsidR="00475650" w:rsidRDefault="00475650">
            <w:pPr>
              <w:spacing w:line="240" w:lineRule="exact"/>
              <w:jc w:val="left"/>
              <w:rPr>
                <w:szCs w:val="21"/>
              </w:rPr>
            </w:pPr>
          </w:p>
        </w:tc>
        <w:tc>
          <w:tcPr>
            <w:tcW w:w="841" w:type="dxa"/>
            <w:vMerge/>
            <w:vAlign w:val="center"/>
          </w:tcPr>
          <w:p w:rsidR="00475650" w:rsidRDefault="00475650">
            <w:pPr>
              <w:spacing w:line="240" w:lineRule="exact"/>
              <w:jc w:val="left"/>
              <w:rPr>
                <w:szCs w:val="21"/>
              </w:rPr>
            </w:pPr>
          </w:p>
        </w:tc>
      </w:tr>
      <w:tr w:rsidR="00475650">
        <w:trPr>
          <w:jc w:val="center"/>
        </w:trPr>
        <w:tc>
          <w:tcPr>
            <w:tcW w:w="426" w:type="dxa"/>
            <w:vMerge/>
            <w:vAlign w:val="center"/>
          </w:tcPr>
          <w:p w:rsidR="00475650" w:rsidRDefault="00475650">
            <w:pPr>
              <w:spacing w:line="240" w:lineRule="exact"/>
              <w:jc w:val="left"/>
              <w:rPr>
                <w:szCs w:val="21"/>
              </w:rPr>
            </w:pPr>
          </w:p>
        </w:tc>
        <w:tc>
          <w:tcPr>
            <w:tcW w:w="2683" w:type="dxa"/>
            <w:vAlign w:val="center"/>
          </w:tcPr>
          <w:p w:rsidR="00475650" w:rsidRDefault="00475650">
            <w:pPr>
              <w:spacing w:line="240" w:lineRule="exact"/>
              <w:jc w:val="left"/>
              <w:rPr>
                <w:szCs w:val="21"/>
              </w:rPr>
            </w:pPr>
            <w:r>
              <w:rPr>
                <w:rFonts w:hAnsi="宋体"/>
                <w:szCs w:val="21"/>
              </w:rPr>
              <w:t>生活垃圾</w:t>
            </w:r>
          </w:p>
        </w:tc>
        <w:tc>
          <w:tcPr>
            <w:tcW w:w="4309" w:type="dxa"/>
            <w:gridSpan w:val="2"/>
            <w:vAlign w:val="center"/>
          </w:tcPr>
          <w:p w:rsidR="00475650" w:rsidRDefault="00475650">
            <w:pPr>
              <w:spacing w:line="240" w:lineRule="exact"/>
              <w:jc w:val="left"/>
              <w:rPr>
                <w:szCs w:val="21"/>
              </w:rPr>
            </w:pPr>
            <w:r>
              <w:rPr>
                <w:rFonts w:hAnsi="宋体"/>
                <w:szCs w:val="21"/>
              </w:rPr>
              <w:t>环卫部分统一收集</w:t>
            </w:r>
          </w:p>
        </w:tc>
        <w:tc>
          <w:tcPr>
            <w:tcW w:w="1019" w:type="dxa"/>
            <w:vMerge/>
            <w:vAlign w:val="center"/>
          </w:tcPr>
          <w:p w:rsidR="00475650" w:rsidRDefault="00475650">
            <w:pPr>
              <w:spacing w:line="240" w:lineRule="exact"/>
              <w:jc w:val="left"/>
              <w:rPr>
                <w:szCs w:val="21"/>
              </w:rPr>
            </w:pPr>
          </w:p>
        </w:tc>
        <w:tc>
          <w:tcPr>
            <w:tcW w:w="841" w:type="dxa"/>
            <w:vMerge/>
            <w:vAlign w:val="center"/>
          </w:tcPr>
          <w:p w:rsidR="00475650" w:rsidRDefault="00475650">
            <w:pPr>
              <w:spacing w:line="240" w:lineRule="exact"/>
              <w:jc w:val="left"/>
              <w:rPr>
                <w:szCs w:val="21"/>
              </w:rPr>
            </w:pPr>
          </w:p>
        </w:tc>
      </w:tr>
      <w:tr w:rsidR="00475650">
        <w:trPr>
          <w:trHeight w:val="504"/>
          <w:jc w:val="center"/>
        </w:trPr>
        <w:tc>
          <w:tcPr>
            <w:tcW w:w="426" w:type="dxa"/>
            <w:vAlign w:val="center"/>
          </w:tcPr>
          <w:p w:rsidR="00475650" w:rsidRDefault="00475650">
            <w:pPr>
              <w:spacing w:line="240" w:lineRule="exact"/>
              <w:jc w:val="left"/>
              <w:rPr>
                <w:szCs w:val="21"/>
              </w:rPr>
            </w:pPr>
            <w:r>
              <w:rPr>
                <w:rFonts w:hAnsi="宋体"/>
                <w:szCs w:val="21"/>
              </w:rPr>
              <w:t>噪声</w:t>
            </w:r>
          </w:p>
        </w:tc>
        <w:tc>
          <w:tcPr>
            <w:tcW w:w="2683" w:type="dxa"/>
            <w:vAlign w:val="center"/>
          </w:tcPr>
          <w:p w:rsidR="00475650" w:rsidRDefault="00475650">
            <w:pPr>
              <w:spacing w:line="240" w:lineRule="exact"/>
              <w:jc w:val="left"/>
              <w:rPr>
                <w:szCs w:val="21"/>
              </w:rPr>
            </w:pPr>
            <w:r>
              <w:rPr>
                <w:rFonts w:hAnsi="宋体"/>
                <w:szCs w:val="21"/>
              </w:rPr>
              <w:t>压缩机、各类泵、鼓风机等</w:t>
            </w:r>
          </w:p>
        </w:tc>
        <w:tc>
          <w:tcPr>
            <w:tcW w:w="4309" w:type="dxa"/>
            <w:gridSpan w:val="2"/>
            <w:vAlign w:val="center"/>
          </w:tcPr>
          <w:p w:rsidR="00475650" w:rsidRDefault="00475650">
            <w:pPr>
              <w:spacing w:line="240" w:lineRule="exact"/>
              <w:jc w:val="left"/>
              <w:rPr>
                <w:szCs w:val="21"/>
              </w:rPr>
            </w:pPr>
            <w:r>
              <w:rPr>
                <w:rFonts w:hAnsi="宋体"/>
                <w:szCs w:val="21"/>
              </w:rPr>
              <w:t>减震；风机进出口设消声器；单独的机房隔声；优化平面布置使其集中布置并远离厂界</w:t>
            </w:r>
          </w:p>
        </w:tc>
        <w:tc>
          <w:tcPr>
            <w:tcW w:w="1019" w:type="dxa"/>
            <w:vAlign w:val="center"/>
          </w:tcPr>
          <w:p w:rsidR="00475650" w:rsidRDefault="00475650">
            <w:pPr>
              <w:spacing w:line="240" w:lineRule="exact"/>
              <w:jc w:val="left"/>
              <w:rPr>
                <w:szCs w:val="21"/>
              </w:rPr>
            </w:pPr>
            <w:r>
              <w:rPr>
                <w:szCs w:val="21"/>
              </w:rPr>
              <w:t>20</w:t>
            </w:r>
          </w:p>
        </w:tc>
        <w:tc>
          <w:tcPr>
            <w:tcW w:w="841" w:type="dxa"/>
            <w:vMerge/>
            <w:vAlign w:val="center"/>
          </w:tcPr>
          <w:p w:rsidR="00475650" w:rsidRDefault="00475650">
            <w:pPr>
              <w:spacing w:line="240" w:lineRule="exact"/>
              <w:jc w:val="left"/>
              <w:rPr>
                <w:szCs w:val="21"/>
              </w:rPr>
            </w:pPr>
          </w:p>
        </w:tc>
      </w:tr>
      <w:tr w:rsidR="00475650">
        <w:trPr>
          <w:jc w:val="center"/>
        </w:trPr>
        <w:tc>
          <w:tcPr>
            <w:tcW w:w="426" w:type="dxa"/>
            <w:vMerge w:val="restart"/>
            <w:vAlign w:val="center"/>
          </w:tcPr>
          <w:p w:rsidR="00475650" w:rsidRDefault="00475650">
            <w:pPr>
              <w:spacing w:line="240" w:lineRule="exact"/>
              <w:jc w:val="left"/>
              <w:rPr>
                <w:szCs w:val="21"/>
              </w:rPr>
            </w:pPr>
            <w:r>
              <w:rPr>
                <w:rFonts w:hAnsi="宋体"/>
                <w:szCs w:val="21"/>
              </w:rPr>
              <w:t>风险防范</w:t>
            </w:r>
          </w:p>
        </w:tc>
        <w:tc>
          <w:tcPr>
            <w:tcW w:w="2683" w:type="dxa"/>
            <w:vAlign w:val="center"/>
          </w:tcPr>
          <w:p w:rsidR="00475650" w:rsidRDefault="00475650">
            <w:pPr>
              <w:spacing w:line="240" w:lineRule="exact"/>
              <w:jc w:val="left"/>
              <w:rPr>
                <w:szCs w:val="21"/>
              </w:rPr>
            </w:pPr>
            <w:r>
              <w:rPr>
                <w:rFonts w:hAnsi="宋体"/>
                <w:szCs w:val="21"/>
              </w:rPr>
              <w:t>储罐区</w:t>
            </w:r>
          </w:p>
        </w:tc>
        <w:tc>
          <w:tcPr>
            <w:tcW w:w="4309" w:type="dxa"/>
            <w:gridSpan w:val="2"/>
            <w:vAlign w:val="center"/>
          </w:tcPr>
          <w:p w:rsidR="00475650" w:rsidRDefault="00475650">
            <w:pPr>
              <w:spacing w:line="240" w:lineRule="exact"/>
              <w:jc w:val="left"/>
              <w:rPr>
                <w:szCs w:val="21"/>
              </w:rPr>
            </w:pPr>
            <w:r>
              <w:rPr>
                <w:rFonts w:hAnsi="宋体"/>
                <w:szCs w:val="21"/>
              </w:rPr>
              <w:t>盐酸中间罐设围堰、泄漏气检测仪器、喷淋设施等；</w:t>
            </w:r>
            <w:r>
              <w:rPr>
                <w:rFonts w:hAnsi="宋体" w:hint="eastAsia"/>
                <w:szCs w:val="21"/>
              </w:rPr>
              <w:t>乙酸酐储存</w:t>
            </w:r>
            <w:r>
              <w:rPr>
                <w:rFonts w:hAnsi="宋体"/>
                <w:szCs w:val="21"/>
              </w:rPr>
              <w:t>区域</w:t>
            </w:r>
            <w:r>
              <w:rPr>
                <w:rFonts w:hAnsi="宋体" w:hint="eastAsia"/>
                <w:szCs w:val="21"/>
              </w:rPr>
              <w:t>设围堰及导流措施；涉酸储存区域设片碱；</w:t>
            </w:r>
            <w:r>
              <w:rPr>
                <w:rFonts w:hAnsi="宋体"/>
                <w:szCs w:val="21"/>
              </w:rPr>
              <w:t>各物质储运设施等严格按照安全相关要求实施；设事故水收集管网等连接现有事故池</w:t>
            </w:r>
          </w:p>
        </w:tc>
        <w:tc>
          <w:tcPr>
            <w:tcW w:w="1019" w:type="dxa"/>
            <w:vMerge w:val="restart"/>
            <w:vAlign w:val="center"/>
          </w:tcPr>
          <w:p w:rsidR="00475650" w:rsidRDefault="00475650">
            <w:pPr>
              <w:spacing w:line="240" w:lineRule="exact"/>
              <w:jc w:val="left"/>
              <w:rPr>
                <w:szCs w:val="21"/>
              </w:rPr>
            </w:pPr>
            <w:r>
              <w:rPr>
                <w:rFonts w:hint="eastAsia"/>
                <w:szCs w:val="21"/>
              </w:rPr>
              <w:t>5</w:t>
            </w:r>
            <w:r>
              <w:rPr>
                <w:szCs w:val="21"/>
              </w:rPr>
              <w:t>0</w:t>
            </w:r>
          </w:p>
        </w:tc>
        <w:tc>
          <w:tcPr>
            <w:tcW w:w="841" w:type="dxa"/>
            <w:vMerge/>
            <w:vAlign w:val="center"/>
          </w:tcPr>
          <w:p w:rsidR="00475650" w:rsidRDefault="00475650">
            <w:pPr>
              <w:spacing w:line="240" w:lineRule="exact"/>
              <w:jc w:val="left"/>
              <w:rPr>
                <w:szCs w:val="21"/>
              </w:rPr>
            </w:pPr>
          </w:p>
        </w:tc>
      </w:tr>
      <w:tr w:rsidR="00475650">
        <w:trPr>
          <w:jc w:val="center"/>
        </w:trPr>
        <w:tc>
          <w:tcPr>
            <w:tcW w:w="426" w:type="dxa"/>
            <w:vMerge/>
            <w:vAlign w:val="center"/>
          </w:tcPr>
          <w:p w:rsidR="00475650" w:rsidRDefault="00475650">
            <w:pPr>
              <w:spacing w:line="240" w:lineRule="exact"/>
              <w:jc w:val="left"/>
              <w:rPr>
                <w:szCs w:val="21"/>
              </w:rPr>
            </w:pPr>
          </w:p>
        </w:tc>
        <w:tc>
          <w:tcPr>
            <w:tcW w:w="2683" w:type="dxa"/>
            <w:vAlign w:val="center"/>
          </w:tcPr>
          <w:p w:rsidR="00475650" w:rsidRDefault="00475650">
            <w:pPr>
              <w:spacing w:line="240" w:lineRule="exact"/>
              <w:jc w:val="left"/>
              <w:rPr>
                <w:szCs w:val="21"/>
              </w:rPr>
            </w:pPr>
            <w:r>
              <w:rPr>
                <w:rFonts w:hAnsi="宋体"/>
                <w:szCs w:val="21"/>
              </w:rPr>
              <w:t>生产装置区</w:t>
            </w:r>
          </w:p>
        </w:tc>
        <w:tc>
          <w:tcPr>
            <w:tcW w:w="4309" w:type="dxa"/>
            <w:gridSpan w:val="2"/>
            <w:vAlign w:val="center"/>
          </w:tcPr>
          <w:p w:rsidR="00475650" w:rsidRDefault="00475650">
            <w:pPr>
              <w:spacing w:line="240" w:lineRule="exact"/>
              <w:jc w:val="left"/>
              <w:rPr>
                <w:szCs w:val="21"/>
              </w:rPr>
            </w:pPr>
            <w:r>
              <w:rPr>
                <w:rFonts w:hAnsi="宋体"/>
                <w:szCs w:val="21"/>
              </w:rPr>
              <w:t>各生产装置间设置有紧急联合制动设施</w:t>
            </w:r>
          </w:p>
        </w:tc>
        <w:tc>
          <w:tcPr>
            <w:tcW w:w="1019" w:type="dxa"/>
            <w:vMerge/>
            <w:vAlign w:val="center"/>
          </w:tcPr>
          <w:p w:rsidR="00475650" w:rsidRDefault="00475650">
            <w:pPr>
              <w:spacing w:line="240" w:lineRule="exact"/>
              <w:jc w:val="left"/>
              <w:rPr>
                <w:szCs w:val="21"/>
              </w:rPr>
            </w:pPr>
          </w:p>
        </w:tc>
        <w:tc>
          <w:tcPr>
            <w:tcW w:w="841" w:type="dxa"/>
            <w:vMerge/>
            <w:vAlign w:val="center"/>
          </w:tcPr>
          <w:p w:rsidR="00475650" w:rsidRDefault="00475650">
            <w:pPr>
              <w:spacing w:line="240" w:lineRule="exact"/>
              <w:jc w:val="left"/>
              <w:rPr>
                <w:szCs w:val="21"/>
              </w:rPr>
            </w:pPr>
          </w:p>
        </w:tc>
      </w:tr>
      <w:tr w:rsidR="00475650">
        <w:trPr>
          <w:jc w:val="center"/>
        </w:trPr>
        <w:tc>
          <w:tcPr>
            <w:tcW w:w="7418" w:type="dxa"/>
            <w:gridSpan w:val="4"/>
            <w:vAlign w:val="center"/>
          </w:tcPr>
          <w:p w:rsidR="00475650" w:rsidRDefault="00475650">
            <w:pPr>
              <w:spacing w:line="240" w:lineRule="exact"/>
              <w:jc w:val="left"/>
              <w:rPr>
                <w:szCs w:val="21"/>
              </w:rPr>
            </w:pPr>
            <w:r>
              <w:rPr>
                <w:rFonts w:hAnsi="宋体"/>
                <w:szCs w:val="21"/>
              </w:rPr>
              <w:t>合计</w:t>
            </w:r>
          </w:p>
        </w:tc>
        <w:tc>
          <w:tcPr>
            <w:tcW w:w="1019" w:type="dxa"/>
            <w:vAlign w:val="center"/>
          </w:tcPr>
          <w:p w:rsidR="00475650" w:rsidRDefault="00475650">
            <w:pPr>
              <w:spacing w:line="240" w:lineRule="exact"/>
              <w:jc w:val="left"/>
              <w:rPr>
                <w:szCs w:val="21"/>
              </w:rPr>
            </w:pPr>
            <w:r>
              <w:rPr>
                <w:rFonts w:hint="eastAsia"/>
                <w:szCs w:val="21"/>
              </w:rPr>
              <w:t>600</w:t>
            </w:r>
          </w:p>
        </w:tc>
        <w:tc>
          <w:tcPr>
            <w:tcW w:w="841" w:type="dxa"/>
            <w:vAlign w:val="center"/>
          </w:tcPr>
          <w:p w:rsidR="00475650" w:rsidRDefault="00475650">
            <w:pPr>
              <w:spacing w:line="240" w:lineRule="exact"/>
              <w:jc w:val="left"/>
              <w:rPr>
                <w:szCs w:val="21"/>
              </w:rPr>
            </w:pPr>
          </w:p>
        </w:tc>
      </w:tr>
    </w:tbl>
    <w:p w:rsidR="00475650" w:rsidRDefault="00475650">
      <w:pPr>
        <w:spacing w:line="360" w:lineRule="auto"/>
        <w:jc w:val="center"/>
        <w:rPr>
          <w:bCs/>
          <w:sz w:val="24"/>
        </w:rPr>
      </w:pPr>
    </w:p>
    <w:p w:rsidR="00475650" w:rsidRDefault="00475650">
      <w:pPr>
        <w:spacing w:line="360" w:lineRule="auto"/>
        <w:jc w:val="center"/>
        <w:rPr>
          <w:bCs/>
          <w:sz w:val="24"/>
        </w:rPr>
        <w:sectPr w:rsidR="00475650">
          <w:footerReference w:type="even" r:id="rId95"/>
          <w:footerReference w:type="default" r:id="rId96"/>
          <w:pgSz w:w="11906" w:h="16838"/>
          <w:pgMar w:top="1701" w:right="1588" w:bottom="1418" w:left="1588" w:header="851" w:footer="992" w:gutter="0"/>
          <w:paperSrc w:first="7" w:other="7"/>
          <w:cols w:space="720"/>
          <w:docGrid w:linePitch="312"/>
        </w:sectPr>
      </w:pPr>
    </w:p>
    <w:p w:rsidR="00475650" w:rsidRDefault="00475650">
      <w:pPr>
        <w:pStyle w:val="13"/>
        <w:spacing w:before="100" w:beforeAutospacing="1" w:after="100" w:afterAutospacing="1" w:line="360" w:lineRule="auto"/>
        <w:rPr>
          <w:rFonts w:eastAsia="宋体"/>
          <w:b w:val="0"/>
          <w:sz w:val="32"/>
          <w:szCs w:val="32"/>
        </w:rPr>
      </w:pPr>
      <w:bookmarkStart w:id="1048" w:name="_Toc332293084"/>
      <w:bookmarkStart w:id="1049" w:name="_Toc9919"/>
      <w:r>
        <w:rPr>
          <w:rFonts w:eastAsia="宋体"/>
          <w:b w:val="0"/>
          <w:sz w:val="32"/>
          <w:szCs w:val="32"/>
        </w:rPr>
        <w:lastRenderedPageBreak/>
        <w:t xml:space="preserve">10 </w:t>
      </w:r>
      <w:r>
        <w:rPr>
          <w:rFonts w:eastAsia="宋体" w:hAnsi="宋体"/>
          <w:b w:val="0"/>
          <w:sz w:val="32"/>
          <w:szCs w:val="32"/>
        </w:rPr>
        <w:t>环境管理与监控</w:t>
      </w:r>
      <w:bookmarkEnd w:id="1029"/>
      <w:bookmarkEnd w:id="1030"/>
      <w:bookmarkEnd w:id="1048"/>
      <w:bookmarkEnd w:id="1049"/>
    </w:p>
    <w:p w:rsidR="00475650" w:rsidRDefault="00475650">
      <w:pPr>
        <w:spacing w:line="360" w:lineRule="auto"/>
        <w:ind w:firstLineChars="200" w:firstLine="480"/>
        <w:rPr>
          <w:sz w:val="24"/>
        </w:rPr>
      </w:pPr>
      <w:r>
        <w:rPr>
          <w:rFonts w:hAnsi="宋体"/>
          <w:sz w:val="24"/>
        </w:rPr>
        <w:t>环境管理和环境监控是污染防治的重要内容之一，是实现污染总量控制和治理措施达到预期治理的有效保证。拟建项目建成投产后，需要加强环境管理和环境监控工作，以便及时发现装置运行过程中存在的问题，尽快采取处理措施，减少或避免污染和损失。</w:t>
      </w:r>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1050" w:name="_Toc238484717"/>
      <w:bookmarkStart w:id="1051" w:name="_Toc270623042"/>
      <w:bookmarkStart w:id="1052" w:name="_Toc228775476"/>
      <w:bookmarkStart w:id="1053" w:name="_Toc247302852"/>
      <w:bookmarkStart w:id="1054" w:name="_Toc332293085"/>
      <w:bookmarkStart w:id="1055" w:name="_Toc269809365"/>
      <w:bookmarkStart w:id="1056" w:name="_Toc18543"/>
      <w:r>
        <w:rPr>
          <w:rStyle w:val="2Char1Char"/>
          <w:rFonts w:ascii="Times New Roman" w:eastAsia="宋体" w:hAnsi="Times New Roman" w:cs="Times New Roman"/>
          <w:b w:val="0"/>
          <w:sz w:val="28"/>
          <w:szCs w:val="28"/>
        </w:rPr>
        <w:t>10.1</w:t>
      </w:r>
      <w:r>
        <w:rPr>
          <w:rStyle w:val="2Char1Char"/>
          <w:rFonts w:ascii="Times New Roman" w:eastAsia="宋体" w:hAnsi="宋体" w:cs="Times New Roman"/>
          <w:b w:val="0"/>
          <w:sz w:val="28"/>
          <w:szCs w:val="28"/>
        </w:rPr>
        <w:t>施工期环境管理与监控</w:t>
      </w:r>
      <w:bookmarkEnd w:id="1050"/>
      <w:bookmarkEnd w:id="1051"/>
      <w:bookmarkEnd w:id="1052"/>
      <w:bookmarkEnd w:id="1053"/>
      <w:bookmarkEnd w:id="1054"/>
      <w:bookmarkEnd w:id="1055"/>
      <w:bookmarkEnd w:id="1056"/>
    </w:p>
    <w:p w:rsidR="00475650" w:rsidRDefault="00475650">
      <w:pPr>
        <w:spacing w:line="360" w:lineRule="auto"/>
        <w:ind w:firstLineChars="200" w:firstLine="480"/>
        <w:rPr>
          <w:sz w:val="24"/>
        </w:rPr>
      </w:pPr>
      <w:r>
        <w:rPr>
          <w:rFonts w:hAnsi="宋体"/>
          <w:sz w:val="24"/>
        </w:rPr>
        <w:t>本项目位于公司预留地内，</w:t>
      </w:r>
      <w:r>
        <w:rPr>
          <w:sz w:val="24"/>
        </w:rPr>
        <w:t>“</w:t>
      </w:r>
      <w:r>
        <w:rPr>
          <w:rFonts w:hAnsi="宋体"/>
          <w:sz w:val="24"/>
        </w:rPr>
        <w:t>三通一平</w:t>
      </w:r>
      <w:r>
        <w:rPr>
          <w:sz w:val="24"/>
        </w:rPr>
        <w:t>”</w:t>
      </w:r>
      <w:r>
        <w:rPr>
          <w:rFonts w:hAnsi="宋体"/>
          <w:sz w:val="24"/>
        </w:rPr>
        <w:t>工作已于现有工程建设期完成，工程厂房已建成，设备已基本安装完毕，施工期影响已结束。</w:t>
      </w:r>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1057" w:name="_Toc247302853"/>
      <w:bookmarkStart w:id="1058" w:name="_Toc228775477"/>
      <w:bookmarkStart w:id="1059" w:name="_Toc270623043"/>
      <w:bookmarkStart w:id="1060" w:name="_Toc332293086"/>
      <w:bookmarkStart w:id="1061" w:name="_Toc269809366"/>
      <w:bookmarkStart w:id="1062" w:name="_Toc238484718"/>
      <w:bookmarkStart w:id="1063" w:name="_Toc19531"/>
      <w:r>
        <w:rPr>
          <w:rStyle w:val="2Char1Char"/>
          <w:rFonts w:ascii="Times New Roman" w:eastAsia="宋体" w:hAnsi="Times New Roman" w:cs="Times New Roman"/>
          <w:b w:val="0"/>
          <w:sz w:val="28"/>
          <w:szCs w:val="28"/>
        </w:rPr>
        <w:t>10.2</w:t>
      </w:r>
      <w:r>
        <w:rPr>
          <w:rStyle w:val="2Char1Char"/>
          <w:rFonts w:ascii="Times New Roman" w:eastAsia="宋体" w:hAnsi="宋体" w:cs="Times New Roman"/>
          <w:b w:val="0"/>
          <w:sz w:val="28"/>
          <w:szCs w:val="28"/>
        </w:rPr>
        <w:t>运营期环境管理</w:t>
      </w:r>
      <w:bookmarkEnd w:id="1057"/>
      <w:bookmarkEnd w:id="1058"/>
      <w:bookmarkEnd w:id="1059"/>
      <w:bookmarkEnd w:id="1060"/>
      <w:bookmarkEnd w:id="1061"/>
      <w:bookmarkEnd w:id="1062"/>
      <w:bookmarkEnd w:id="1063"/>
    </w:p>
    <w:p w:rsidR="00475650" w:rsidRDefault="00475650">
      <w:pPr>
        <w:pStyle w:val="h"/>
        <w:spacing w:before="0" w:after="0" w:line="360" w:lineRule="auto"/>
        <w:ind w:firstLine="0"/>
        <w:outlineLvl w:val="1"/>
        <w:rPr>
          <w:rFonts w:ascii="Times New Roman" w:eastAsia="宋体" w:hAnsi="Times New Roman" w:cs="Times New Roman"/>
          <w:sz w:val="24"/>
          <w:szCs w:val="24"/>
        </w:rPr>
      </w:pPr>
      <w:bookmarkStart w:id="1064" w:name="_Toc334080929"/>
      <w:bookmarkStart w:id="1065" w:name="_Toc333230110"/>
      <w:bookmarkStart w:id="1066" w:name="_Toc334014287"/>
      <w:bookmarkStart w:id="1067" w:name="_Toc274985012"/>
      <w:bookmarkStart w:id="1068" w:name="_Toc270623044"/>
      <w:bookmarkStart w:id="1069" w:name="_Toc332293087"/>
      <w:bookmarkStart w:id="1070" w:name="_Toc302936878"/>
      <w:bookmarkStart w:id="1071" w:name="_Toc465677085"/>
      <w:bookmarkStart w:id="1072" w:name="_Toc15840"/>
      <w:r>
        <w:rPr>
          <w:rStyle w:val="2Char1Char"/>
          <w:rFonts w:ascii="Times New Roman" w:eastAsia="宋体" w:hAnsi="Times New Roman" w:cs="Times New Roman"/>
          <w:b w:val="0"/>
          <w:sz w:val="24"/>
          <w:szCs w:val="24"/>
        </w:rPr>
        <w:t>10.2.1</w:t>
      </w:r>
      <w:r>
        <w:rPr>
          <w:rStyle w:val="2Char1Char"/>
          <w:rFonts w:ascii="Times New Roman" w:eastAsia="宋体" w:hAnsi="宋体" w:cs="Times New Roman"/>
          <w:b w:val="0"/>
          <w:sz w:val="24"/>
          <w:szCs w:val="24"/>
        </w:rPr>
        <w:t>环境管理机构设置</w:t>
      </w:r>
      <w:bookmarkEnd w:id="1064"/>
      <w:bookmarkEnd w:id="1065"/>
      <w:bookmarkEnd w:id="1066"/>
      <w:bookmarkEnd w:id="1067"/>
      <w:bookmarkEnd w:id="1068"/>
      <w:bookmarkEnd w:id="1069"/>
      <w:bookmarkEnd w:id="1070"/>
      <w:bookmarkEnd w:id="1071"/>
      <w:bookmarkEnd w:id="1072"/>
      <w:r>
        <w:rPr>
          <w:rFonts w:ascii="Times New Roman" w:eastAsia="宋体" w:hAnsi="Times New Roman" w:cs="Times New Roman"/>
          <w:sz w:val="24"/>
          <w:szCs w:val="24"/>
        </w:rPr>
        <w:tab/>
      </w:r>
    </w:p>
    <w:p w:rsidR="00475650" w:rsidRDefault="00475650">
      <w:pPr>
        <w:spacing w:line="360" w:lineRule="auto"/>
        <w:ind w:firstLineChars="200" w:firstLine="480"/>
        <w:rPr>
          <w:sz w:val="24"/>
        </w:rPr>
      </w:pPr>
      <w:r>
        <w:rPr>
          <w:rFonts w:hAnsi="宋体"/>
          <w:sz w:val="24"/>
        </w:rPr>
        <w:t>临湘市鹏程化工有限公司的环境管理体制实行公司领导下环境保护责任制，具体管理体系如下：</w:t>
      </w:r>
    </w:p>
    <w:p w:rsidR="00475650" w:rsidRDefault="006F27A1">
      <w:pPr>
        <w:pStyle w:val="2f"/>
        <w:ind w:firstLine="480"/>
      </w:pPr>
      <w:r>
        <w:pict>
          <v:group id="画布 18403" o:spid="_x0000_s20451" editas="canvas" style="position:absolute;margin-left:0;margin-top:0;width:396pt;height:180.45pt;z-index:251645952;mso-position-horizontal-relative:char;mso-position-vertical-relative:line" coordorigin="2854,7328" coordsize="7920,3609">
            <o:lock v:ext="edit" aspectratio="t" text="t"/>
            <o:diagram v:ext="edit" dgmstyle="0" dgmscalex="0" dgmscaley="0"/>
            <v:shape id="_x0000_s20452" type="#_x0000_t75" style="position:absolute;left:2854;top:7328;width:7920;height:3609" o:preferrelative="f">
              <v:path o:extrusionok="t"/>
              <o:lock v:ext="edit" text="t"/>
              <o:diagram v:ext="edit" dgmstyle="0" dgmscalex="0" dgmscaley="0"/>
            </v:shape>
            <v:shape id="文本框 18405" o:spid="_x0000_s20453" type="#_x0000_t202" style="position:absolute;left:3770;top:10313;width:6300;height:624" filled="f" stroked="f">
              <v:textbox>
                <w:txbxContent>
                  <w:p w:rsidR="00BD74CB" w:rsidRDefault="00BD74CB">
                    <w:pPr>
                      <w:ind w:firstLineChars="150" w:firstLine="360"/>
                      <w:rPr>
                        <w:rFonts w:ascii="黑体" w:eastAsia="黑体" w:hAnsi="宋体"/>
                        <w:sz w:val="24"/>
                      </w:rPr>
                    </w:pPr>
                    <w:r>
                      <w:rPr>
                        <w:rFonts w:ascii="黑体" w:eastAsia="黑体" w:hAnsi="宋体" w:hint="eastAsia"/>
                        <w:sz w:val="24"/>
                      </w:rPr>
                      <w:t>图10-1公司环境保护机构</w:t>
                    </w:r>
                  </w:p>
                </w:txbxContent>
              </v:textbox>
            </v:shape>
            <v:shape id="文本框 18406" o:spid="_x0000_s20454" type="#_x0000_t202" style="position:absolute;left:4834;top:8453;width:1905;height:473">
              <v:textbox>
                <w:txbxContent>
                  <w:p w:rsidR="00BD74CB" w:rsidRDefault="00BD74CB">
                    <w:pPr>
                      <w:pStyle w:val="afffffffffffffffa"/>
                    </w:pPr>
                    <w:r>
                      <w:rPr>
                        <w:rFonts w:hint="eastAsia"/>
                      </w:rPr>
                      <w:t>副总经理</w:t>
                    </w:r>
                  </w:p>
                  <w:p w:rsidR="00BD74CB" w:rsidRDefault="00BD74CB">
                    <w:pPr>
                      <w:pStyle w:val="afffffffffffffffa"/>
                    </w:pPr>
                  </w:p>
                </w:txbxContent>
              </v:textbox>
            </v:shape>
            <v:shape id="文本框 18407" o:spid="_x0000_s20455" type="#_x0000_t202" style="position:absolute;left:7534;top:9495;width:3013;height:468">
              <v:textbox>
                <w:txbxContent>
                  <w:p w:rsidR="00BD74CB" w:rsidRDefault="00BD74CB">
                    <w:pPr>
                      <w:pStyle w:val="afffffffffffffffa"/>
                    </w:pPr>
                    <w:r>
                      <w:rPr>
                        <w:rFonts w:hint="eastAsia"/>
                      </w:rPr>
                      <w:t>岳阳市及临湘市环保局</w:t>
                    </w:r>
                  </w:p>
                </w:txbxContent>
              </v:textbox>
            </v:shape>
            <v:line id="直线 18408" o:spid="_x0000_s20456" style="position:absolute;flip:x" from="6763,9753" to="7483,9754">
              <v:stroke endarrow="block"/>
            </v:line>
            <v:rect id="矩形 18409" o:spid="_x0000_s20457" style="position:absolute;left:4813;top:7453;width:1933;height:511">
              <v:textbox>
                <w:txbxContent>
                  <w:p w:rsidR="00BD74CB" w:rsidRDefault="00BD74CB">
                    <w:pPr>
                      <w:jc w:val="center"/>
                      <w:rPr>
                        <w:sz w:val="24"/>
                      </w:rPr>
                    </w:pPr>
                    <w:r>
                      <w:rPr>
                        <w:rFonts w:hint="eastAsia"/>
                        <w:sz w:val="24"/>
                      </w:rPr>
                      <w:t>总经理</w:t>
                    </w:r>
                  </w:p>
                </w:txbxContent>
              </v:textbox>
            </v:rect>
            <v:line id="直线 18410" o:spid="_x0000_s20458" style="position:absolute" from="5781,7952" to="5782,8420">
              <v:stroke endarrow="block"/>
            </v:line>
            <v:line id="直线 18411" o:spid="_x0000_s20459" style="position:absolute" from="5785,8922" to="5786,9512">
              <v:stroke endarrow="block"/>
            </v:line>
            <v:shape id="文本框 18413" o:spid="_x0000_s20461" type="#_x0000_t202" style="position:absolute;left:4834;top:9512;width:1905;height:473">
              <v:textbox>
                <w:txbxContent>
                  <w:p w:rsidR="00BD74CB" w:rsidRDefault="00BD74CB">
                    <w:pPr>
                      <w:ind w:firstLineChars="100" w:firstLine="240"/>
                      <w:rPr>
                        <w:sz w:val="24"/>
                      </w:rPr>
                    </w:pPr>
                    <w:r>
                      <w:rPr>
                        <w:rFonts w:hint="eastAsia"/>
                        <w:sz w:val="24"/>
                      </w:rPr>
                      <w:t>安全环保组</w:t>
                    </w:r>
                  </w:p>
                  <w:p w:rsidR="00BD74CB" w:rsidRDefault="00BD74CB">
                    <w:pPr>
                      <w:pStyle w:val="afffffffffffffffa"/>
                    </w:pPr>
                  </w:p>
                </w:txbxContent>
              </v:textbox>
            </v:shape>
          </v:group>
        </w:pict>
      </w:r>
      <w:r>
        <w:pict>
          <v:shape id="图片 23" o:spid="_x0000_i1053" type="#_x0000_t75" style="width:396pt;height:177.6pt;mso-position-horizontal-relative:char;mso-position-vertical-relative:line">
            <v:imagedata croptop="-65520f" cropbottom="65520f"/>
          </v:shape>
        </w:pict>
      </w:r>
    </w:p>
    <w:p w:rsidR="00475650" w:rsidRDefault="00475650">
      <w:pPr>
        <w:spacing w:line="360" w:lineRule="auto"/>
        <w:ind w:firstLineChars="200" w:firstLine="480"/>
        <w:rPr>
          <w:sz w:val="24"/>
        </w:rPr>
      </w:pPr>
      <w:r>
        <w:rPr>
          <w:rFonts w:hAnsi="宋体"/>
          <w:sz w:val="24"/>
        </w:rPr>
        <w:t>第一级是公司总经理，负责环保总体工作；第二级是主管副总经理，主管全公司的环境保护工作；第三级是公司安全环保组，设立专职的环保管理人员，执行公司环境保护的职能，负责公司环境保护管理具体工作。结合拟建项目的特点，本项目在依托公司现有环保管理机构的基础上新增一至两名环保员，负责了解和协调各装置运行过程中有关的环保问题，同时在管理手段上采用计算机网络管理等先进技</w:t>
      </w:r>
      <w:r>
        <w:rPr>
          <w:rFonts w:hAnsi="宋体"/>
          <w:sz w:val="24"/>
        </w:rPr>
        <w:lastRenderedPageBreak/>
        <w:t>术。</w:t>
      </w:r>
    </w:p>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1073" w:name="_Toc273462581"/>
      <w:bookmarkStart w:id="1074" w:name="_Toc302936879"/>
      <w:bookmarkStart w:id="1075" w:name="_Toc334080930"/>
      <w:bookmarkStart w:id="1076" w:name="_Toc333230111"/>
      <w:bookmarkStart w:id="1077" w:name="_Toc270623045"/>
      <w:bookmarkStart w:id="1078" w:name="_Toc334014288"/>
      <w:bookmarkStart w:id="1079" w:name="_Toc332293088"/>
      <w:bookmarkStart w:id="1080" w:name="_Toc273461930"/>
      <w:bookmarkStart w:id="1081" w:name="_Toc274985013"/>
      <w:bookmarkStart w:id="1082" w:name="_Toc465677086"/>
      <w:bookmarkStart w:id="1083" w:name="_Toc2519"/>
      <w:r>
        <w:rPr>
          <w:rStyle w:val="2Char1Char"/>
          <w:rFonts w:ascii="Times New Roman" w:eastAsia="宋体" w:hAnsi="Times New Roman" w:cs="Times New Roman"/>
          <w:b w:val="0"/>
          <w:sz w:val="24"/>
          <w:szCs w:val="24"/>
        </w:rPr>
        <w:t>10.2.2</w:t>
      </w:r>
      <w:r>
        <w:rPr>
          <w:rStyle w:val="2Char1Char"/>
          <w:rFonts w:ascii="Times New Roman" w:eastAsia="宋体" w:hAnsi="宋体" w:cs="Times New Roman"/>
          <w:b w:val="0"/>
          <w:sz w:val="24"/>
          <w:szCs w:val="24"/>
        </w:rPr>
        <w:t>环境管理机构的任务</w:t>
      </w:r>
      <w:bookmarkEnd w:id="1073"/>
      <w:bookmarkEnd w:id="1074"/>
      <w:bookmarkEnd w:id="1075"/>
      <w:bookmarkEnd w:id="1076"/>
      <w:bookmarkEnd w:id="1077"/>
      <w:bookmarkEnd w:id="1078"/>
      <w:bookmarkEnd w:id="1079"/>
      <w:bookmarkEnd w:id="1080"/>
      <w:bookmarkEnd w:id="1081"/>
      <w:bookmarkEnd w:id="1082"/>
      <w:bookmarkEnd w:id="1083"/>
    </w:p>
    <w:p w:rsidR="00475650" w:rsidRDefault="00475650">
      <w:pPr>
        <w:spacing w:line="360" w:lineRule="auto"/>
        <w:ind w:firstLineChars="200" w:firstLine="480"/>
        <w:rPr>
          <w:sz w:val="24"/>
        </w:rPr>
      </w:pPr>
      <w:r>
        <w:rPr>
          <w:rFonts w:hAnsi="宋体"/>
          <w:sz w:val="24"/>
        </w:rPr>
        <w:t>环境管理机构主要职能是：</w:t>
      </w:r>
    </w:p>
    <w:p w:rsidR="00475650" w:rsidRDefault="006F27A1">
      <w:pPr>
        <w:spacing w:line="360" w:lineRule="auto"/>
        <w:ind w:firstLineChars="200" w:firstLine="480"/>
        <w:rPr>
          <w:sz w:val="24"/>
        </w:rPr>
      </w:pPr>
      <w:r>
        <w:rPr>
          <w:sz w:val="24"/>
        </w:rPr>
        <w:fldChar w:fldCharType="begin"/>
      </w:r>
      <w:r w:rsidR="00475650">
        <w:rPr>
          <w:sz w:val="24"/>
        </w:rPr>
        <w:instrText xml:space="preserve"> = 1 \* GB2 </w:instrText>
      </w:r>
      <w:r>
        <w:rPr>
          <w:sz w:val="24"/>
        </w:rPr>
        <w:fldChar w:fldCharType="separate"/>
      </w:r>
      <w:r w:rsidR="00475650">
        <w:rPr>
          <w:rFonts w:ascii="宋体" w:hAnsi="宋体"/>
          <w:sz w:val="24"/>
        </w:rPr>
        <w:t>⑴</w:t>
      </w:r>
      <w:r>
        <w:rPr>
          <w:sz w:val="24"/>
        </w:rPr>
        <w:fldChar w:fldCharType="end"/>
      </w:r>
      <w:r w:rsidR="00475650">
        <w:rPr>
          <w:rFonts w:hAnsi="宋体"/>
          <w:sz w:val="24"/>
        </w:rPr>
        <w:t>贯彻执行环境保护法规和标准；</w:t>
      </w:r>
    </w:p>
    <w:p w:rsidR="00475650" w:rsidRDefault="006F27A1">
      <w:pPr>
        <w:spacing w:line="360" w:lineRule="auto"/>
        <w:ind w:firstLineChars="200" w:firstLine="480"/>
        <w:rPr>
          <w:sz w:val="24"/>
        </w:rPr>
      </w:pPr>
      <w:r>
        <w:rPr>
          <w:sz w:val="24"/>
        </w:rPr>
        <w:fldChar w:fldCharType="begin"/>
      </w:r>
      <w:r w:rsidR="00475650">
        <w:rPr>
          <w:sz w:val="24"/>
        </w:rPr>
        <w:instrText xml:space="preserve"> = 2 \* GB2 </w:instrText>
      </w:r>
      <w:r>
        <w:rPr>
          <w:sz w:val="24"/>
        </w:rPr>
        <w:fldChar w:fldCharType="separate"/>
      </w:r>
      <w:r w:rsidR="00475650">
        <w:rPr>
          <w:rFonts w:ascii="宋体" w:hAnsi="宋体"/>
          <w:sz w:val="24"/>
        </w:rPr>
        <w:t>⑵</w:t>
      </w:r>
      <w:r>
        <w:rPr>
          <w:sz w:val="24"/>
        </w:rPr>
        <w:fldChar w:fldCharType="end"/>
      </w:r>
      <w:r w:rsidR="00475650">
        <w:rPr>
          <w:rFonts w:hAnsi="宋体"/>
          <w:sz w:val="24"/>
        </w:rPr>
        <w:t>制定并组织实施本企业的环境保护规划和计划；</w:t>
      </w:r>
    </w:p>
    <w:p w:rsidR="00475650" w:rsidRDefault="006F27A1">
      <w:pPr>
        <w:spacing w:line="360" w:lineRule="auto"/>
        <w:ind w:firstLineChars="200" w:firstLine="480"/>
        <w:rPr>
          <w:sz w:val="24"/>
        </w:rPr>
      </w:pPr>
      <w:r>
        <w:rPr>
          <w:sz w:val="24"/>
        </w:rPr>
        <w:fldChar w:fldCharType="begin"/>
      </w:r>
      <w:r w:rsidR="00475650">
        <w:rPr>
          <w:sz w:val="24"/>
        </w:rPr>
        <w:instrText xml:space="preserve"> = 3 \* GB2 </w:instrText>
      </w:r>
      <w:r>
        <w:rPr>
          <w:sz w:val="24"/>
        </w:rPr>
        <w:fldChar w:fldCharType="separate"/>
      </w:r>
      <w:r w:rsidR="00475650">
        <w:rPr>
          <w:rFonts w:ascii="宋体" w:hAnsi="宋体"/>
          <w:sz w:val="24"/>
        </w:rPr>
        <w:t>⑶</w:t>
      </w:r>
      <w:r>
        <w:rPr>
          <w:sz w:val="24"/>
        </w:rPr>
        <w:fldChar w:fldCharType="end"/>
      </w:r>
      <w:r w:rsidR="00475650">
        <w:rPr>
          <w:rFonts w:hAnsi="宋体"/>
          <w:sz w:val="24"/>
        </w:rPr>
        <w:t>建立健全本企业的环境管理规章制度；</w:t>
      </w:r>
    </w:p>
    <w:p w:rsidR="00475650" w:rsidRDefault="006F27A1">
      <w:pPr>
        <w:spacing w:line="360" w:lineRule="auto"/>
        <w:ind w:firstLineChars="200" w:firstLine="480"/>
        <w:rPr>
          <w:sz w:val="24"/>
        </w:rPr>
      </w:pPr>
      <w:r>
        <w:rPr>
          <w:sz w:val="24"/>
        </w:rPr>
        <w:fldChar w:fldCharType="begin"/>
      </w:r>
      <w:r w:rsidR="00475650">
        <w:rPr>
          <w:sz w:val="24"/>
        </w:rPr>
        <w:instrText xml:space="preserve"> = 4 \* GB2 </w:instrText>
      </w:r>
      <w:r>
        <w:rPr>
          <w:sz w:val="24"/>
        </w:rPr>
        <w:fldChar w:fldCharType="separate"/>
      </w:r>
      <w:r w:rsidR="00475650">
        <w:rPr>
          <w:rFonts w:ascii="宋体" w:hAnsi="宋体"/>
          <w:sz w:val="24"/>
        </w:rPr>
        <w:t>⑷</w:t>
      </w:r>
      <w:r>
        <w:rPr>
          <w:sz w:val="24"/>
        </w:rPr>
        <w:fldChar w:fldCharType="end"/>
      </w:r>
      <w:r w:rsidR="00475650">
        <w:rPr>
          <w:rFonts w:hAnsi="宋体"/>
          <w:sz w:val="24"/>
        </w:rPr>
        <w:t>监督检查环境保护设施的运行情况；</w:t>
      </w:r>
    </w:p>
    <w:p w:rsidR="00475650" w:rsidRDefault="006F27A1">
      <w:pPr>
        <w:spacing w:line="360" w:lineRule="auto"/>
        <w:ind w:firstLineChars="200" w:firstLine="480"/>
        <w:rPr>
          <w:sz w:val="24"/>
        </w:rPr>
      </w:pPr>
      <w:r>
        <w:rPr>
          <w:sz w:val="24"/>
        </w:rPr>
        <w:fldChar w:fldCharType="begin"/>
      </w:r>
      <w:r w:rsidR="00475650">
        <w:rPr>
          <w:sz w:val="24"/>
        </w:rPr>
        <w:instrText xml:space="preserve"> = 5 \* GB2 </w:instrText>
      </w:r>
      <w:r>
        <w:rPr>
          <w:sz w:val="24"/>
        </w:rPr>
        <w:fldChar w:fldCharType="separate"/>
      </w:r>
      <w:r w:rsidR="00475650">
        <w:rPr>
          <w:rFonts w:ascii="宋体" w:hAnsi="宋体"/>
          <w:sz w:val="24"/>
        </w:rPr>
        <w:t>⑸</w:t>
      </w:r>
      <w:r>
        <w:rPr>
          <w:sz w:val="24"/>
        </w:rPr>
        <w:fldChar w:fldCharType="end"/>
      </w:r>
      <w:r w:rsidR="00475650">
        <w:rPr>
          <w:rFonts w:hAnsi="宋体"/>
          <w:sz w:val="24"/>
        </w:rPr>
        <w:t>组织实施企业员工的环境保护教育和培训；</w:t>
      </w:r>
    </w:p>
    <w:p w:rsidR="00475650" w:rsidRDefault="006F27A1">
      <w:pPr>
        <w:spacing w:line="360" w:lineRule="auto"/>
        <w:ind w:firstLineChars="200" w:firstLine="480"/>
        <w:rPr>
          <w:sz w:val="24"/>
        </w:rPr>
      </w:pPr>
      <w:r>
        <w:rPr>
          <w:sz w:val="24"/>
        </w:rPr>
        <w:fldChar w:fldCharType="begin"/>
      </w:r>
      <w:r w:rsidR="00475650">
        <w:rPr>
          <w:sz w:val="24"/>
        </w:rPr>
        <w:instrText xml:space="preserve"> = 6 \* GB2 </w:instrText>
      </w:r>
      <w:r>
        <w:rPr>
          <w:sz w:val="24"/>
        </w:rPr>
        <w:fldChar w:fldCharType="separate"/>
      </w:r>
      <w:r w:rsidR="00475650">
        <w:rPr>
          <w:rFonts w:ascii="宋体" w:hAnsi="宋体"/>
          <w:sz w:val="24"/>
        </w:rPr>
        <w:t>⑹</w:t>
      </w:r>
      <w:r>
        <w:rPr>
          <w:sz w:val="24"/>
        </w:rPr>
        <w:fldChar w:fldCharType="end"/>
      </w:r>
      <w:r w:rsidR="00475650">
        <w:rPr>
          <w:rFonts w:hAnsi="宋体"/>
          <w:sz w:val="24"/>
        </w:rPr>
        <w:t>组织和领导全厂环境监测工作；</w:t>
      </w:r>
    </w:p>
    <w:p w:rsidR="00475650" w:rsidRDefault="006F27A1">
      <w:pPr>
        <w:spacing w:line="360" w:lineRule="auto"/>
        <w:ind w:firstLineChars="200" w:firstLine="480"/>
        <w:rPr>
          <w:sz w:val="24"/>
        </w:rPr>
      </w:pPr>
      <w:r>
        <w:rPr>
          <w:sz w:val="24"/>
        </w:rPr>
        <w:fldChar w:fldCharType="begin"/>
      </w:r>
      <w:r w:rsidR="00475650">
        <w:rPr>
          <w:sz w:val="24"/>
        </w:rPr>
        <w:instrText xml:space="preserve"> = 7 \* GB2 </w:instrText>
      </w:r>
      <w:r>
        <w:rPr>
          <w:sz w:val="24"/>
        </w:rPr>
        <w:fldChar w:fldCharType="separate"/>
      </w:r>
      <w:r w:rsidR="00475650">
        <w:rPr>
          <w:rFonts w:ascii="宋体" w:hAnsi="宋体"/>
          <w:sz w:val="24"/>
        </w:rPr>
        <w:t>⑺</w:t>
      </w:r>
      <w:r>
        <w:rPr>
          <w:sz w:val="24"/>
        </w:rPr>
        <w:fldChar w:fldCharType="end"/>
      </w:r>
      <w:r w:rsidR="00475650">
        <w:rPr>
          <w:rFonts w:hAnsi="宋体"/>
          <w:sz w:val="24"/>
        </w:rPr>
        <w:t>参与调查处理污染事故和纠纷；</w:t>
      </w:r>
    </w:p>
    <w:p w:rsidR="00475650" w:rsidRDefault="006F27A1">
      <w:pPr>
        <w:spacing w:line="360" w:lineRule="auto"/>
        <w:ind w:firstLineChars="200" w:firstLine="480"/>
        <w:rPr>
          <w:sz w:val="24"/>
        </w:rPr>
      </w:pPr>
      <w:r>
        <w:rPr>
          <w:sz w:val="24"/>
        </w:rPr>
        <w:fldChar w:fldCharType="begin"/>
      </w:r>
      <w:r w:rsidR="00475650">
        <w:rPr>
          <w:sz w:val="24"/>
        </w:rPr>
        <w:instrText xml:space="preserve"> = 8 \* GB2 </w:instrText>
      </w:r>
      <w:r>
        <w:rPr>
          <w:sz w:val="24"/>
        </w:rPr>
        <w:fldChar w:fldCharType="separate"/>
      </w:r>
      <w:r w:rsidR="00475650">
        <w:rPr>
          <w:rFonts w:ascii="宋体" w:hAnsi="宋体"/>
          <w:sz w:val="24"/>
        </w:rPr>
        <w:t>⑻</w:t>
      </w:r>
      <w:r>
        <w:rPr>
          <w:sz w:val="24"/>
        </w:rPr>
        <w:fldChar w:fldCharType="end"/>
      </w:r>
      <w:r w:rsidR="00475650">
        <w:rPr>
          <w:rFonts w:hAnsi="宋体"/>
          <w:sz w:val="24"/>
        </w:rPr>
        <w:t>做好环境保护的基础工作和统计工作。</w:t>
      </w:r>
    </w:p>
    <w:p w:rsidR="00475650" w:rsidRDefault="00475650">
      <w:pPr>
        <w:spacing w:line="360" w:lineRule="auto"/>
        <w:ind w:firstLineChars="200" w:firstLine="480"/>
        <w:rPr>
          <w:sz w:val="24"/>
        </w:rPr>
      </w:pPr>
      <w:r>
        <w:rPr>
          <w:rFonts w:hAnsi="宋体"/>
          <w:sz w:val="24"/>
        </w:rPr>
        <w:t>为加强环境管理，拟建项目实施后，应根据国家、地方政府以及企业上级部门颁布的各项环境保护方针、政策和法规，结合本企业的实际情况制定相应环境管理的规章制度。</w:t>
      </w:r>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1084" w:name="_Toc247302854"/>
      <w:bookmarkStart w:id="1085" w:name="_Toc238484719"/>
      <w:bookmarkStart w:id="1086" w:name="_Toc332293089"/>
      <w:bookmarkStart w:id="1087" w:name="_Toc269809367"/>
      <w:bookmarkStart w:id="1088" w:name="_Toc228775478"/>
      <w:bookmarkStart w:id="1089" w:name="_Toc270623046"/>
      <w:bookmarkStart w:id="1090" w:name="_Toc15163"/>
      <w:r>
        <w:rPr>
          <w:rStyle w:val="2Char1Char"/>
          <w:rFonts w:ascii="Times New Roman" w:eastAsia="宋体" w:hAnsi="Times New Roman" w:cs="Times New Roman"/>
          <w:b w:val="0"/>
          <w:sz w:val="28"/>
          <w:szCs w:val="28"/>
        </w:rPr>
        <w:t xml:space="preserve">10.3 </w:t>
      </w:r>
      <w:r>
        <w:rPr>
          <w:rStyle w:val="2Char1Char"/>
          <w:rFonts w:ascii="Times New Roman" w:eastAsia="宋体" w:hAnsi="宋体" w:cs="Times New Roman"/>
          <w:b w:val="0"/>
          <w:sz w:val="28"/>
          <w:szCs w:val="28"/>
        </w:rPr>
        <w:t>运营期环境监控</w:t>
      </w:r>
      <w:bookmarkEnd w:id="1084"/>
      <w:bookmarkEnd w:id="1085"/>
      <w:bookmarkEnd w:id="1086"/>
      <w:bookmarkEnd w:id="1087"/>
      <w:bookmarkEnd w:id="1088"/>
      <w:bookmarkEnd w:id="1089"/>
      <w:bookmarkEnd w:id="1090"/>
    </w:p>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1091" w:name="_Toc333230113"/>
      <w:bookmarkStart w:id="1092" w:name="_Toc302936881"/>
      <w:bookmarkStart w:id="1093" w:name="_Toc332293090"/>
      <w:bookmarkStart w:id="1094" w:name="_Toc334014290"/>
      <w:bookmarkStart w:id="1095" w:name="_Toc270623047"/>
      <w:bookmarkStart w:id="1096" w:name="_Toc334080932"/>
      <w:bookmarkStart w:id="1097" w:name="_Toc465677088"/>
      <w:bookmarkStart w:id="1098" w:name="_Toc16608"/>
      <w:r>
        <w:rPr>
          <w:rStyle w:val="2Char1Char"/>
          <w:rFonts w:ascii="Times New Roman" w:eastAsia="宋体" w:hAnsi="Times New Roman" w:cs="Times New Roman"/>
          <w:b w:val="0"/>
          <w:sz w:val="24"/>
          <w:szCs w:val="24"/>
        </w:rPr>
        <w:t>10.3.1</w:t>
      </w:r>
      <w:r>
        <w:rPr>
          <w:rStyle w:val="2Char1Char"/>
          <w:rFonts w:ascii="Times New Roman" w:eastAsia="宋体" w:hAnsi="宋体" w:cs="Times New Roman"/>
          <w:b w:val="0"/>
          <w:sz w:val="24"/>
          <w:szCs w:val="24"/>
        </w:rPr>
        <w:t>环境监控机构设置</w:t>
      </w:r>
      <w:bookmarkEnd w:id="1091"/>
      <w:bookmarkEnd w:id="1092"/>
      <w:bookmarkEnd w:id="1093"/>
      <w:bookmarkEnd w:id="1094"/>
      <w:bookmarkEnd w:id="1095"/>
      <w:bookmarkEnd w:id="1096"/>
      <w:bookmarkEnd w:id="1097"/>
      <w:bookmarkEnd w:id="1098"/>
    </w:p>
    <w:p w:rsidR="00475650" w:rsidRDefault="00475650">
      <w:pPr>
        <w:spacing w:line="360" w:lineRule="auto"/>
        <w:ind w:firstLineChars="200" w:firstLine="480"/>
        <w:rPr>
          <w:sz w:val="24"/>
        </w:rPr>
      </w:pPr>
      <w:r>
        <w:rPr>
          <w:rFonts w:hAnsi="宋体"/>
          <w:sz w:val="24"/>
        </w:rPr>
        <w:t>公司未设立环境监测机构，污染源日常监测可委托岳阳市监测站、临湘市监测站或其他有监测资质的单位实施，</w:t>
      </w:r>
      <w:r>
        <w:rPr>
          <w:rFonts w:hAnsi="宋体" w:hint="eastAsia"/>
          <w:sz w:val="24"/>
        </w:rPr>
        <w:t>公司设总排水口，采用专有官网连至园区污水处理厂，园区污水处理厂在公司废水接口处设有在线监测装置，已确保废水满足园区污水处理厂接纳标准。</w:t>
      </w:r>
    </w:p>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1099" w:name="_Toc332293091"/>
      <w:bookmarkStart w:id="1100" w:name="_Toc334080933"/>
      <w:bookmarkStart w:id="1101" w:name="_Toc334014291"/>
      <w:bookmarkStart w:id="1102" w:name="_Toc302936882"/>
      <w:bookmarkStart w:id="1103" w:name="_Toc333230114"/>
      <w:bookmarkStart w:id="1104" w:name="_Toc465677089"/>
      <w:bookmarkStart w:id="1105" w:name="_Toc5491"/>
      <w:r>
        <w:rPr>
          <w:rStyle w:val="2Char1Char"/>
          <w:rFonts w:ascii="Times New Roman" w:eastAsia="宋体" w:hAnsi="Times New Roman" w:cs="Times New Roman"/>
          <w:b w:val="0"/>
          <w:sz w:val="24"/>
          <w:szCs w:val="24"/>
        </w:rPr>
        <w:t>10.3.2</w:t>
      </w:r>
      <w:r>
        <w:rPr>
          <w:rStyle w:val="2Char1Char"/>
          <w:rFonts w:ascii="Times New Roman" w:eastAsia="宋体" w:hAnsi="宋体" w:cs="Times New Roman"/>
          <w:b w:val="0"/>
          <w:sz w:val="24"/>
          <w:szCs w:val="24"/>
        </w:rPr>
        <w:t>监测计划</w:t>
      </w:r>
      <w:bookmarkEnd w:id="1099"/>
      <w:bookmarkEnd w:id="1100"/>
      <w:bookmarkEnd w:id="1101"/>
      <w:bookmarkEnd w:id="1102"/>
      <w:bookmarkEnd w:id="1103"/>
      <w:bookmarkEnd w:id="1104"/>
      <w:bookmarkEnd w:id="1105"/>
    </w:p>
    <w:p w:rsidR="00475650" w:rsidRDefault="00475650">
      <w:pPr>
        <w:pStyle w:val="1721"/>
        <w:tabs>
          <w:tab w:val="clear" w:pos="284"/>
          <w:tab w:val="clear" w:pos="4060"/>
          <w:tab w:val="center" w:pos="840"/>
        </w:tabs>
        <w:spacing w:before="0" w:line="360" w:lineRule="auto"/>
        <w:ind w:firstLine="482"/>
        <w:jc w:val="both"/>
        <w:rPr>
          <w:rFonts w:ascii="Times New Roman" w:eastAsia="宋体"/>
          <w:b w:val="0"/>
        </w:rPr>
      </w:pPr>
      <w:r>
        <w:rPr>
          <w:rFonts w:ascii="Times New Roman" w:eastAsia="宋体" w:hAnsi="宋体"/>
          <w:b w:val="0"/>
        </w:rPr>
        <w:t>为了加强环境管理，较为准确客观地掌握其污染物的排放情况，本评价特提出环境监测计划如表</w:t>
      </w:r>
      <w:r>
        <w:rPr>
          <w:rFonts w:ascii="Times New Roman" w:eastAsia="宋体"/>
          <w:b w:val="0"/>
        </w:rPr>
        <w:t>10.3-1</w:t>
      </w:r>
      <w:r>
        <w:rPr>
          <w:rFonts w:ascii="Times New Roman" w:eastAsia="宋体" w:hAnsi="宋体"/>
          <w:b w:val="0"/>
        </w:rPr>
        <w:t>。在事故或非正常工况下要增加监测频次。</w:t>
      </w:r>
    </w:p>
    <w:p w:rsidR="00475650" w:rsidRDefault="00475650">
      <w:pPr>
        <w:pStyle w:val="1721"/>
        <w:tabs>
          <w:tab w:val="clear" w:pos="284"/>
          <w:tab w:val="clear" w:pos="4060"/>
          <w:tab w:val="center" w:pos="840"/>
        </w:tabs>
        <w:spacing w:before="0" w:line="360" w:lineRule="auto"/>
        <w:rPr>
          <w:rFonts w:ascii="Times New Roman" w:eastAsia="宋体"/>
          <w:b w:val="0"/>
        </w:rPr>
      </w:pPr>
    </w:p>
    <w:p w:rsidR="00475650" w:rsidRDefault="00475650">
      <w:pPr>
        <w:pStyle w:val="1721"/>
        <w:tabs>
          <w:tab w:val="clear" w:pos="284"/>
          <w:tab w:val="clear" w:pos="4060"/>
          <w:tab w:val="center" w:pos="840"/>
        </w:tabs>
        <w:spacing w:before="0" w:line="360" w:lineRule="auto"/>
        <w:rPr>
          <w:rFonts w:ascii="Times New Roman" w:eastAsia="宋体"/>
          <w:b w:val="0"/>
        </w:rPr>
      </w:pPr>
    </w:p>
    <w:p w:rsidR="00475650" w:rsidRDefault="00475650">
      <w:pPr>
        <w:pStyle w:val="1721"/>
        <w:tabs>
          <w:tab w:val="clear" w:pos="284"/>
          <w:tab w:val="clear" w:pos="4060"/>
          <w:tab w:val="center" w:pos="840"/>
        </w:tabs>
        <w:spacing w:before="0" w:line="360" w:lineRule="auto"/>
        <w:rPr>
          <w:rFonts w:ascii="Times New Roman" w:eastAsia="宋体"/>
          <w:b w:val="0"/>
        </w:rPr>
      </w:pPr>
    </w:p>
    <w:p w:rsidR="00475650" w:rsidRDefault="00475650">
      <w:pPr>
        <w:pStyle w:val="1721"/>
        <w:tabs>
          <w:tab w:val="clear" w:pos="284"/>
          <w:tab w:val="clear" w:pos="4060"/>
          <w:tab w:val="center" w:pos="840"/>
        </w:tabs>
        <w:spacing w:before="0" w:line="360" w:lineRule="auto"/>
        <w:rPr>
          <w:rFonts w:ascii="Times New Roman" w:eastAsia="宋体"/>
          <w:b w:val="0"/>
        </w:rPr>
      </w:pPr>
    </w:p>
    <w:p w:rsidR="00475650" w:rsidRDefault="00475650">
      <w:pPr>
        <w:pStyle w:val="1721"/>
        <w:tabs>
          <w:tab w:val="clear" w:pos="284"/>
          <w:tab w:val="clear" w:pos="4060"/>
          <w:tab w:val="center" w:pos="840"/>
        </w:tabs>
        <w:spacing w:before="0" w:line="360" w:lineRule="auto"/>
        <w:rPr>
          <w:rFonts w:ascii="Times New Roman" w:eastAsia="宋体"/>
          <w:b w:val="0"/>
        </w:rPr>
      </w:pPr>
    </w:p>
    <w:p w:rsidR="00475650" w:rsidRDefault="00475650">
      <w:pPr>
        <w:pStyle w:val="1721"/>
        <w:tabs>
          <w:tab w:val="clear" w:pos="284"/>
          <w:tab w:val="clear" w:pos="4060"/>
          <w:tab w:val="center" w:pos="840"/>
        </w:tabs>
        <w:spacing w:before="0" w:line="360" w:lineRule="auto"/>
        <w:rPr>
          <w:rFonts w:ascii="Times New Roman" w:eastAsia="宋体"/>
          <w:b w:val="0"/>
        </w:rPr>
      </w:pPr>
      <w:r>
        <w:rPr>
          <w:rFonts w:ascii="Times New Roman" w:eastAsia="宋体" w:hAnsi="宋体"/>
          <w:b w:val="0"/>
        </w:rPr>
        <w:lastRenderedPageBreak/>
        <w:t>表</w:t>
      </w:r>
      <w:r>
        <w:rPr>
          <w:rFonts w:ascii="Times New Roman" w:eastAsia="宋体"/>
          <w:b w:val="0"/>
        </w:rPr>
        <w:t xml:space="preserve">10.3-1   </w:t>
      </w:r>
      <w:r>
        <w:rPr>
          <w:rFonts w:ascii="Times New Roman" w:eastAsia="宋体" w:hAnsi="宋体"/>
          <w:b w:val="0"/>
        </w:rPr>
        <w:t>本项目污染源监测计划一览表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601"/>
        <w:gridCol w:w="2457"/>
        <w:gridCol w:w="3605"/>
        <w:gridCol w:w="1283"/>
      </w:tblGrid>
      <w:tr w:rsidR="00475650">
        <w:trPr>
          <w:jc w:val="center"/>
        </w:trPr>
        <w:tc>
          <w:tcPr>
            <w:tcW w:w="1601" w:type="dxa"/>
            <w:vAlign w:val="center"/>
          </w:tcPr>
          <w:p w:rsidR="00475650" w:rsidRDefault="00475650" w:rsidP="00BD74CB">
            <w:pPr>
              <w:pStyle w:val="affffffffff7"/>
              <w:snapToGrid w:val="0"/>
              <w:spacing w:beforeLines="10" w:afterLines="10" w:line="240" w:lineRule="exact"/>
              <w:rPr>
                <w:color w:val="auto"/>
                <w:szCs w:val="21"/>
              </w:rPr>
            </w:pPr>
            <w:r>
              <w:rPr>
                <w:rFonts w:hAnsi="宋体"/>
                <w:color w:val="auto"/>
                <w:szCs w:val="21"/>
              </w:rPr>
              <w:t>内容</w:t>
            </w:r>
          </w:p>
        </w:tc>
        <w:tc>
          <w:tcPr>
            <w:tcW w:w="2457" w:type="dxa"/>
            <w:vAlign w:val="center"/>
          </w:tcPr>
          <w:p w:rsidR="00475650" w:rsidRDefault="00475650" w:rsidP="00BD74CB">
            <w:pPr>
              <w:pStyle w:val="affffffffff7"/>
              <w:snapToGrid w:val="0"/>
              <w:spacing w:beforeLines="10" w:afterLines="10" w:line="240" w:lineRule="exact"/>
              <w:rPr>
                <w:color w:val="auto"/>
                <w:szCs w:val="21"/>
              </w:rPr>
            </w:pPr>
            <w:r>
              <w:rPr>
                <w:rFonts w:hAnsi="宋体"/>
                <w:color w:val="auto"/>
                <w:szCs w:val="21"/>
              </w:rPr>
              <w:t>监测点</w:t>
            </w:r>
          </w:p>
        </w:tc>
        <w:tc>
          <w:tcPr>
            <w:tcW w:w="3605" w:type="dxa"/>
            <w:vAlign w:val="center"/>
          </w:tcPr>
          <w:p w:rsidR="00475650" w:rsidRDefault="00475650" w:rsidP="00BD74CB">
            <w:pPr>
              <w:pStyle w:val="affffffffff7"/>
              <w:snapToGrid w:val="0"/>
              <w:spacing w:beforeLines="10" w:afterLines="10" w:line="240" w:lineRule="exact"/>
              <w:rPr>
                <w:color w:val="auto"/>
                <w:szCs w:val="21"/>
              </w:rPr>
            </w:pPr>
            <w:r>
              <w:rPr>
                <w:rFonts w:hAnsi="宋体"/>
                <w:color w:val="auto"/>
                <w:szCs w:val="21"/>
              </w:rPr>
              <w:t>监测项目</w:t>
            </w:r>
            <w:r>
              <w:rPr>
                <w:color w:val="auto"/>
                <w:szCs w:val="21"/>
              </w:rPr>
              <w:t xml:space="preserve"> </w:t>
            </w:r>
          </w:p>
        </w:tc>
        <w:tc>
          <w:tcPr>
            <w:tcW w:w="1283" w:type="dxa"/>
            <w:vAlign w:val="center"/>
          </w:tcPr>
          <w:p w:rsidR="00475650" w:rsidRDefault="00475650" w:rsidP="00BD74CB">
            <w:pPr>
              <w:pStyle w:val="affffffffff7"/>
              <w:snapToGrid w:val="0"/>
              <w:spacing w:beforeLines="10" w:afterLines="10" w:line="240" w:lineRule="exact"/>
              <w:rPr>
                <w:color w:val="auto"/>
                <w:szCs w:val="21"/>
              </w:rPr>
            </w:pPr>
            <w:r>
              <w:rPr>
                <w:rFonts w:hAnsi="宋体"/>
                <w:color w:val="auto"/>
                <w:szCs w:val="21"/>
              </w:rPr>
              <w:t>监测频次</w:t>
            </w:r>
            <w:r>
              <w:rPr>
                <w:color w:val="auto"/>
                <w:szCs w:val="21"/>
              </w:rPr>
              <w:t xml:space="preserve"> </w:t>
            </w:r>
          </w:p>
        </w:tc>
      </w:tr>
      <w:tr w:rsidR="00475650">
        <w:trPr>
          <w:jc w:val="center"/>
        </w:trPr>
        <w:tc>
          <w:tcPr>
            <w:tcW w:w="1601" w:type="dxa"/>
            <w:vMerge w:val="restart"/>
            <w:vAlign w:val="center"/>
          </w:tcPr>
          <w:p w:rsidR="00475650" w:rsidRDefault="00475650" w:rsidP="00BD74CB">
            <w:pPr>
              <w:pStyle w:val="affffffffff7"/>
              <w:snapToGrid w:val="0"/>
              <w:spacing w:beforeLines="10" w:afterLines="10" w:line="240" w:lineRule="exact"/>
              <w:rPr>
                <w:color w:val="auto"/>
                <w:szCs w:val="21"/>
              </w:rPr>
            </w:pPr>
            <w:r>
              <w:rPr>
                <w:rFonts w:hAnsi="宋体"/>
                <w:color w:val="auto"/>
                <w:szCs w:val="21"/>
              </w:rPr>
              <w:t>废气</w:t>
            </w:r>
          </w:p>
        </w:tc>
        <w:tc>
          <w:tcPr>
            <w:tcW w:w="2457" w:type="dxa"/>
            <w:vAlign w:val="center"/>
          </w:tcPr>
          <w:p w:rsidR="00475650" w:rsidRDefault="00475650" w:rsidP="00BD74CB">
            <w:pPr>
              <w:pStyle w:val="affffffffff7"/>
              <w:snapToGrid w:val="0"/>
              <w:spacing w:beforeLines="10" w:afterLines="10" w:line="240" w:lineRule="exact"/>
              <w:rPr>
                <w:color w:val="auto"/>
                <w:szCs w:val="21"/>
              </w:rPr>
            </w:pPr>
            <w:r>
              <w:rPr>
                <w:rFonts w:hint="eastAsia"/>
                <w:color w:val="auto"/>
                <w:szCs w:val="21"/>
              </w:rPr>
              <w:t>集中排气筒</w:t>
            </w:r>
          </w:p>
        </w:tc>
        <w:tc>
          <w:tcPr>
            <w:tcW w:w="3605" w:type="dxa"/>
            <w:vAlign w:val="center"/>
          </w:tcPr>
          <w:p w:rsidR="00475650" w:rsidRDefault="00475650" w:rsidP="00BD74CB">
            <w:pPr>
              <w:pStyle w:val="affffffffff7"/>
              <w:snapToGrid w:val="0"/>
              <w:spacing w:beforeLines="10" w:afterLines="10" w:line="240" w:lineRule="exact"/>
              <w:ind w:leftChars="-50" w:left="-105" w:rightChars="-50" w:right="-105"/>
              <w:rPr>
                <w:color w:val="auto"/>
                <w:szCs w:val="21"/>
              </w:rPr>
            </w:pPr>
            <w:r>
              <w:rPr>
                <w:rFonts w:hAnsi="宋体"/>
                <w:color w:val="auto"/>
                <w:szCs w:val="21"/>
              </w:rPr>
              <w:t>排气量、烟尘浓度</w:t>
            </w:r>
            <w:r>
              <w:rPr>
                <w:rFonts w:hAnsi="宋体" w:hint="eastAsia"/>
                <w:color w:val="auto"/>
                <w:szCs w:val="21"/>
              </w:rPr>
              <w:t>、氯化氢浓度、氨气浓度</w:t>
            </w:r>
          </w:p>
        </w:tc>
        <w:tc>
          <w:tcPr>
            <w:tcW w:w="1283" w:type="dxa"/>
            <w:vAlign w:val="center"/>
          </w:tcPr>
          <w:p w:rsidR="00475650" w:rsidRDefault="00475650" w:rsidP="00BD74CB">
            <w:pPr>
              <w:pStyle w:val="affffffffff7"/>
              <w:snapToGrid w:val="0"/>
              <w:spacing w:beforeLines="10" w:afterLines="10" w:line="240" w:lineRule="exact"/>
              <w:rPr>
                <w:color w:val="auto"/>
                <w:szCs w:val="21"/>
              </w:rPr>
            </w:pPr>
            <w:r>
              <w:rPr>
                <w:color w:val="auto"/>
                <w:szCs w:val="21"/>
              </w:rPr>
              <w:t>1</w:t>
            </w:r>
            <w:r>
              <w:rPr>
                <w:rFonts w:hAnsi="宋体"/>
                <w:color w:val="auto"/>
                <w:szCs w:val="21"/>
              </w:rPr>
              <w:t>次</w:t>
            </w:r>
            <w:r>
              <w:rPr>
                <w:color w:val="auto"/>
                <w:szCs w:val="21"/>
              </w:rPr>
              <w:t>/</w:t>
            </w:r>
            <w:r>
              <w:rPr>
                <w:rFonts w:hAnsi="宋体"/>
                <w:color w:val="auto"/>
                <w:szCs w:val="21"/>
              </w:rPr>
              <w:t>半年</w:t>
            </w:r>
          </w:p>
        </w:tc>
      </w:tr>
      <w:tr w:rsidR="00475650">
        <w:trPr>
          <w:jc w:val="center"/>
        </w:trPr>
        <w:tc>
          <w:tcPr>
            <w:tcW w:w="1601" w:type="dxa"/>
            <w:vMerge/>
            <w:vAlign w:val="center"/>
          </w:tcPr>
          <w:p w:rsidR="00475650" w:rsidRDefault="00475650" w:rsidP="00BD74CB">
            <w:pPr>
              <w:pStyle w:val="affffffffff7"/>
              <w:snapToGrid w:val="0"/>
              <w:spacing w:beforeLines="10" w:afterLines="10" w:line="240" w:lineRule="exact"/>
              <w:rPr>
                <w:color w:val="auto"/>
                <w:szCs w:val="21"/>
              </w:rPr>
            </w:pPr>
          </w:p>
        </w:tc>
        <w:tc>
          <w:tcPr>
            <w:tcW w:w="2457" w:type="dxa"/>
            <w:vAlign w:val="center"/>
          </w:tcPr>
          <w:p w:rsidR="00475650" w:rsidRDefault="00475650" w:rsidP="00BD74CB">
            <w:pPr>
              <w:pStyle w:val="affffffffff7"/>
              <w:snapToGrid w:val="0"/>
              <w:spacing w:beforeLines="10" w:afterLines="10" w:line="240" w:lineRule="exact"/>
              <w:rPr>
                <w:color w:val="auto"/>
                <w:szCs w:val="21"/>
              </w:rPr>
            </w:pPr>
            <w:r>
              <w:rPr>
                <w:rFonts w:hAnsi="宋体"/>
                <w:color w:val="auto"/>
                <w:szCs w:val="21"/>
              </w:rPr>
              <w:t>厂界无组织点</w:t>
            </w:r>
          </w:p>
        </w:tc>
        <w:tc>
          <w:tcPr>
            <w:tcW w:w="3605" w:type="dxa"/>
            <w:vAlign w:val="center"/>
          </w:tcPr>
          <w:p w:rsidR="00475650" w:rsidRDefault="00475650" w:rsidP="00BD74CB">
            <w:pPr>
              <w:pStyle w:val="affffffffff7"/>
              <w:snapToGrid w:val="0"/>
              <w:spacing w:beforeLines="10" w:afterLines="10" w:line="240" w:lineRule="exact"/>
              <w:rPr>
                <w:color w:val="auto"/>
                <w:szCs w:val="21"/>
              </w:rPr>
            </w:pPr>
            <w:r>
              <w:rPr>
                <w:rFonts w:hAnsi="宋体"/>
                <w:color w:val="auto"/>
                <w:szCs w:val="21"/>
              </w:rPr>
              <w:t>氯化氢、氨气、粉尘</w:t>
            </w:r>
          </w:p>
        </w:tc>
        <w:tc>
          <w:tcPr>
            <w:tcW w:w="1283" w:type="dxa"/>
            <w:vAlign w:val="center"/>
          </w:tcPr>
          <w:p w:rsidR="00475650" w:rsidRDefault="00475650" w:rsidP="00BD74CB">
            <w:pPr>
              <w:pStyle w:val="affffffffff7"/>
              <w:snapToGrid w:val="0"/>
              <w:spacing w:beforeLines="10" w:afterLines="10" w:line="240" w:lineRule="exact"/>
              <w:rPr>
                <w:color w:val="auto"/>
                <w:szCs w:val="21"/>
              </w:rPr>
            </w:pPr>
            <w:r>
              <w:rPr>
                <w:color w:val="auto"/>
                <w:szCs w:val="21"/>
              </w:rPr>
              <w:t>1</w:t>
            </w:r>
            <w:r>
              <w:rPr>
                <w:rFonts w:hAnsi="宋体"/>
                <w:color w:val="auto"/>
                <w:szCs w:val="21"/>
              </w:rPr>
              <w:t>次</w:t>
            </w:r>
            <w:r>
              <w:rPr>
                <w:color w:val="auto"/>
                <w:szCs w:val="21"/>
              </w:rPr>
              <w:t>/</w:t>
            </w:r>
            <w:r>
              <w:rPr>
                <w:rFonts w:hAnsi="宋体"/>
                <w:color w:val="auto"/>
                <w:szCs w:val="21"/>
              </w:rPr>
              <w:t>半年</w:t>
            </w:r>
          </w:p>
        </w:tc>
      </w:tr>
      <w:tr w:rsidR="00475650">
        <w:trPr>
          <w:trHeight w:val="580"/>
          <w:jc w:val="center"/>
        </w:trPr>
        <w:tc>
          <w:tcPr>
            <w:tcW w:w="1601" w:type="dxa"/>
            <w:vAlign w:val="center"/>
          </w:tcPr>
          <w:p w:rsidR="00475650" w:rsidRDefault="00475650" w:rsidP="00BD74CB">
            <w:pPr>
              <w:pStyle w:val="affffffffff7"/>
              <w:snapToGrid w:val="0"/>
              <w:spacing w:beforeLines="10" w:afterLines="10" w:line="240" w:lineRule="exact"/>
              <w:rPr>
                <w:color w:val="auto"/>
                <w:szCs w:val="21"/>
              </w:rPr>
            </w:pPr>
            <w:r>
              <w:rPr>
                <w:rFonts w:hAnsi="宋体"/>
                <w:color w:val="auto"/>
                <w:szCs w:val="21"/>
              </w:rPr>
              <w:t>废水</w:t>
            </w:r>
          </w:p>
        </w:tc>
        <w:tc>
          <w:tcPr>
            <w:tcW w:w="2457" w:type="dxa"/>
            <w:vAlign w:val="center"/>
          </w:tcPr>
          <w:p w:rsidR="00475650" w:rsidRDefault="00475650" w:rsidP="00BD74CB">
            <w:pPr>
              <w:pStyle w:val="affffffffff7"/>
              <w:snapToGrid w:val="0"/>
              <w:spacing w:beforeLines="10" w:afterLines="10" w:line="240" w:lineRule="exact"/>
              <w:rPr>
                <w:color w:val="auto"/>
                <w:szCs w:val="21"/>
              </w:rPr>
            </w:pPr>
            <w:r>
              <w:rPr>
                <w:rFonts w:hAnsi="宋体"/>
                <w:color w:val="auto"/>
                <w:szCs w:val="21"/>
              </w:rPr>
              <w:t>厂区总排口</w:t>
            </w:r>
          </w:p>
        </w:tc>
        <w:tc>
          <w:tcPr>
            <w:tcW w:w="3605" w:type="dxa"/>
            <w:vAlign w:val="center"/>
          </w:tcPr>
          <w:p w:rsidR="00475650" w:rsidRDefault="00475650" w:rsidP="00BD74CB">
            <w:pPr>
              <w:pStyle w:val="affffffffff7"/>
              <w:snapToGrid w:val="0"/>
              <w:spacing w:beforeLines="10" w:afterLines="10" w:line="240" w:lineRule="exact"/>
              <w:rPr>
                <w:color w:val="auto"/>
                <w:szCs w:val="21"/>
              </w:rPr>
            </w:pPr>
            <w:r>
              <w:rPr>
                <w:rFonts w:hAnsi="宋体"/>
                <w:color w:val="auto"/>
                <w:szCs w:val="21"/>
              </w:rPr>
              <w:t>水量、</w:t>
            </w:r>
            <w:r>
              <w:rPr>
                <w:color w:val="auto"/>
                <w:szCs w:val="21"/>
              </w:rPr>
              <w:t>pH</w:t>
            </w:r>
            <w:r>
              <w:rPr>
                <w:rFonts w:hAnsi="宋体"/>
                <w:color w:val="auto"/>
                <w:szCs w:val="21"/>
              </w:rPr>
              <w:t>、</w:t>
            </w:r>
            <w:r>
              <w:rPr>
                <w:color w:val="auto"/>
                <w:szCs w:val="21"/>
              </w:rPr>
              <w:t>COD</w:t>
            </w:r>
            <w:r>
              <w:rPr>
                <w:rFonts w:hAnsi="宋体"/>
                <w:color w:val="auto"/>
                <w:szCs w:val="21"/>
              </w:rPr>
              <w:t>、氨氮、色度、悬浮</w:t>
            </w:r>
          </w:p>
          <w:p w:rsidR="00475650" w:rsidRDefault="00475650" w:rsidP="00BD74CB">
            <w:pPr>
              <w:pStyle w:val="affffffffff7"/>
              <w:snapToGrid w:val="0"/>
              <w:spacing w:beforeLines="10" w:afterLines="10" w:line="240" w:lineRule="exact"/>
              <w:rPr>
                <w:color w:val="auto"/>
                <w:szCs w:val="21"/>
              </w:rPr>
            </w:pPr>
            <w:r>
              <w:rPr>
                <w:rFonts w:hAnsi="宋体"/>
                <w:color w:val="auto"/>
                <w:szCs w:val="21"/>
              </w:rPr>
              <w:t>物、</w:t>
            </w:r>
            <w:r>
              <w:rPr>
                <w:rFonts w:hAnsi="宋体" w:hint="eastAsia"/>
                <w:color w:val="auto"/>
                <w:szCs w:val="21"/>
              </w:rPr>
              <w:t>盐分、挥发酚</w:t>
            </w:r>
          </w:p>
        </w:tc>
        <w:tc>
          <w:tcPr>
            <w:tcW w:w="1283" w:type="dxa"/>
            <w:vAlign w:val="center"/>
          </w:tcPr>
          <w:p w:rsidR="00475650" w:rsidRDefault="00475650" w:rsidP="00BD74CB">
            <w:pPr>
              <w:pStyle w:val="affffffffff7"/>
              <w:snapToGrid w:val="0"/>
              <w:spacing w:beforeLines="10" w:afterLines="10" w:line="240" w:lineRule="exact"/>
              <w:rPr>
                <w:color w:val="auto"/>
                <w:szCs w:val="21"/>
              </w:rPr>
            </w:pPr>
            <w:r>
              <w:rPr>
                <w:color w:val="auto"/>
                <w:szCs w:val="21"/>
              </w:rPr>
              <w:t>1</w:t>
            </w:r>
            <w:r>
              <w:rPr>
                <w:rFonts w:hAnsi="宋体"/>
                <w:color w:val="auto"/>
                <w:szCs w:val="21"/>
              </w:rPr>
              <w:t>次</w:t>
            </w:r>
            <w:r>
              <w:rPr>
                <w:color w:val="auto"/>
                <w:szCs w:val="21"/>
              </w:rPr>
              <w:t>/</w:t>
            </w:r>
            <w:r>
              <w:rPr>
                <w:rFonts w:hAnsi="宋体"/>
                <w:color w:val="auto"/>
                <w:szCs w:val="21"/>
              </w:rPr>
              <w:t>月</w:t>
            </w:r>
          </w:p>
        </w:tc>
      </w:tr>
      <w:tr w:rsidR="00475650">
        <w:trPr>
          <w:jc w:val="center"/>
        </w:trPr>
        <w:tc>
          <w:tcPr>
            <w:tcW w:w="1601" w:type="dxa"/>
            <w:vAlign w:val="center"/>
          </w:tcPr>
          <w:p w:rsidR="00475650" w:rsidRDefault="00475650" w:rsidP="00BD74CB">
            <w:pPr>
              <w:pStyle w:val="affffffffff7"/>
              <w:snapToGrid w:val="0"/>
              <w:spacing w:beforeLines="10" w:afterLines="10" w:line="240" w:lineRule="exact"/>
              <w:rPr>
                <w:color w:val="auto"/>
                <w:szCs w:val="21"/>
              </w:rPr>
            </w:pPr>
            <w:r>
              <w:rPr>
                <w:rFonts w:hAnsi="宋体"/>
                <w:color w:val="auto"/>
                <w:szCs w:val="21"/>
              </w:rPr>
              <w:t>噪声</w:t>
            </w:r>
          </w:p>
        </w:tc>
        <w:tc>
          <w:tcPr>
            <w:tcW w:w="2457" w:type="dxa"/>
            <w:vAlign w:val="center"/>
          </w:tcPr>
          <w:p w:rsidR="00475650" w:rsidRDefault="00475650" w:rsidP="00BD74CB">
            <w:pPr>
              <w:pStyle w:val="affffffffff7"/>
              <w:snapToGrid w:val="0"/>
              <w:spacing w:beforeLines="10" w:afterLines="10" w:line="240" w:lineRule="exact"/>
              <w:rPr>
                <w:color w:val="auto"/>
                <w:szCs w:val="21"/>
              </w:rPr>
            </w:pPr>
            <w:r>
              <w:rPr>
                <w:rFonts w:hAnsi="宋体"/>
                <w:color w:val="auto"/>
                <w:szCs w:val="21"/>
              </w:rPr>
              <w:t>厂界</w:t>
            </w:r>
          </w:p>
        </w:tc>
        <w:tc>
          <w:tcPr>
            <w:tcW w:w="3605" w:type="dxa"/>
            <w:vAlign w:val="center"/>
          </w:tcPr>
          <w:p w:rsidR="00475650" w:rsidRDefault="00475650" w:rsidP="00BD74CB">
            <w:pPr>
              <w:pStyle w:val="affffffffff7"/>
              <w:snapToGrid w:val="0"/>
              <w:spacing w:beforeLines="10" w:afterLines="10" w:line="240" w:lineRule="exact"/>
              <w:rPr>
                <w:color w:val="auto"/>
                <w:szCs w:val="21"/>
              </w:rPr>
            </w:pPr>
            <w:r>
              <w:rPr>
                <w:rFonts w:hAnsi="宋体"/>
                <w:color w:val="auto"/>
                <w:szCs w:val="21"/>
              </w:rPr>
              <w:t>等效声级</w:t>
            </w:r>
          </w:p>
        </w:tc>
        <w:tc>
          <w:tcPr>
            <w:tcW w:w="1283" w:type="dxa"/>
            <w:vAlign w:val="center"/>
          </w:tcPr>
          <w:p w:rsidR="00475650" w:rsidRDefault="00475650" w:rsidP="00BD74CB">
            <w:pPr>
              <w:pStyle w:val="affffffffff7"/>
              <w:snapToGrid w:val="0"/>
              <w:spacing w:beforeLines="10" w:afterLines="10" w:line="240" w:lineRule="exact"/>
              <w:rPr>
                <w:color w:val="auto"/>
                <w:szCs w:val="21"/>
              </w:rPr>
            </w:pPr>
            <w:r>
              <w:rPr>
                <w:color w:val="auto"/>
                <w:szCs w:val="21"/>
              </w:rPr>
              <w:t>2</w:t>
            </w:r>
            <w:r>
              <w:rPr>
                <w:rFonts w:hAnsi="宋体"/>
                <w:color w:val="auto"/>
                <w:szCs w:val="21"/>
              </w:rPr>
              <w:t>次</w:t>
            </w:r>
            <w:r>
              <w:rPr>
                <w:color w:val="auto"/>
                <w:szCs w:val="21"/>
              </w:rPr>
              <w:t>/</w:t>
            </w:r>
            <w:r>
              <w:rPr>
                <w:rFonts w:hAnsi="宋体"/>
                <w:color w:val="auto"/>
                <w:szCs w:val="21"/>
              </w:rPr>
              <w:t>年</w:t>
            </w:r>
          </w:p>
        </w:tc>
      </w:tr>
    </w:tbl>
    <w:p w:rsidR="00475650" w:rsidRDefault="00475650">
      <w:pPr>
        <w:pStyle w:val="h"/>
        <w:spacing w:before="0" w:after="0" w:line="360" w:lineRule="auto"/>
        <w:ind w:firstLine="0"/>
        <w:outlineLvl w:val="1"/>
        <w:rPr>
          <w:rStyle w:val="2Char1Char"/>
          <w:rFonts w:ascii="Times New Roman" w:eastAsia="宋体" w:hAnsi="Times New Roman" w:cs="Times New Roman"/>
          <w:b w:val="0"/>
          <w:sz w:val="21"/>
          <w:szCs w:val="21"/>
        </w:rPr>
      </w:pPr>
      <w:bookmarkStart w:id="1106" w:name="_Toc465677090"/>
      <w:bookmarkStart w:id="1107" w:name="_Toc3690"/>
      <w:bookmarkStart w:id="1108" w:name="_Toc334014292"/>
      <w:bookmarkStart w:id="1109" w:name="_Toc332293092"/>
      <w:bookmarkStart w:id="1110" w:name="_Toc302936883"/>
      <w:bookmarkStart w:id="1111" w:name="_Toc334080934"/>
      <w:bookmarkStart w:id="1112" w:name="_Toc333230115"/>
      <w:r>
        <w:rPr>
          <w:rStyle w:val="2Char1Char"/>
          <w:rFonts w:ascii="Times New Roman" w:eastAsia="宋体" w:hAnsi="Times New Roman" w:cs="Times New Roman" w:hint="eastAsia"/>
          <w:b w:val="0"/>
          <w:sz w:val="21"/>
          <w:szCs w:val="21"/>
        </w:rPr>
        <w:t>注：由于废水的污染物浓度较大，废水总排口需设在线监测设施；</w:t>
      </w:r>
      <w:bookmarkEnd w:id="1106"/>
      <w:bookmarkEnd w:id="1107"/>
    </w:p>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1113" w:name="_Toc465677091"/>
      <w:bookmarkStart w:id="1114" w:name="_Toc2532"/>
      <w:r>
        <w:rPr>
          <w:rStyle w:val="2Char1Char"/>
          <w:rFonts w:ascii="Times New Roman" w:eastAsia="宋体" w:hAnsi="Times New Roman" w:cs="Times New Roman"/>
          <w:b w:val="0"/>
          <w:sz w:val="24"/>
          <w:szCs w:val="24"/>
        </w:rPr>
        <w:t>10.3.3</w:t>
      </w:r>
      <w:r>
        <w:rPr>
          <w:rStyle w:val="2Char1Char"/>
          <w:rFonts w:ascii="Times New Roman" w:eastAsia="宋体" w:hAnsi="宋体" w:cs="Times New Roman"/>
          <w:b w:val="0"/>
          <w:sz w:val="24"/>
          <w:szCs w:val="24"/>
        </w:rPr>
        <w:t>监测数据管理</w:t>
      </w:r>
      <w:bookmarkEnd w:id="1108"/>
      <w:bookmarkEnd w:id="1109"/>
      <w:bookmarkEnd w:id="1110"/>
      <w:bookmarkEnd w:id="1111"/>
      <w:bookmarkEnd w:id="1112"/>
      <w:bookmarkEnd w:id="1113"/>
      <w:bookmarkEnd w:id="1114"/>
    </w:p>
    <w:p w:rsidR="00475650" w:rsidRDefault="00475650">
      <w:pPr>
        <w:spacing w:line="360" w:lineRule="auto"/>
        <w:ind w:firstLineChars="200" w:firstLine="480"/>
        <w:rPr>
          <w:sz w:val="24"/>
        </w:rPr>
      </w:pPr>
      <w:r>
        <w:rPr>
          <w:rFonts w:hAnsi="宋体"/>
          <w:sz w:val="24"/>
        </w:rPr>
        <w:t>本项目监测结果应按项目有关规定及时建立档案，并抄送各级环境保护行政主管部门，对于常规监测数据应该进行公开，特别是对本项目所在区域的居民进行公开，满足法律中关于知情权的要求。发现污染和水质恶化时，要及时进行处理，开展系统调查，并上报有关部门。</w:t>
      </w:r>
      <w:bookmarkStart w:id="1115" w:name="_Toc228775479"/>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1116" w:name="_Toc332293093"/>
      <w:bookmarkStart w:id="1117" w:name="_Toc300305705"/>
      <w:bookmarkStart w:id="1118" w:name="_Toc17668"/>
      <w:bookmarkEnd w:id="1115"/>
      <w:r>
        <w:rPr>
          <w:rStyle w:val="2Char1Char"/>
          <w:rFonts w:ascii="Times New Roman" w:eastAsia="宋体" w:hAnsi="Times New Roman" w:cs="Times New Roman"/>
          <w:b w:val="0"/>
          <w:sz w:val="28"/>
          <w:szCs w:val="28"/>
        </w:rPr>
        <w:t>10.4“</w:t>
      </w:r>
      <w:r>
        <w:rPr>
          <w:rStyle w:val="2Char1Char"/>
          <w:rFonts w:ascii="Times New Roman" w:eastAsia="宋体" w:hAnsi="宋体" w:cs="Times New Roman"/>
          <w:b w:val="0"/>
          <w:sz w:val="28"/>
          <w:szCs w:val="28"/>
        </w:rPr>
        <w:t>三同时</w:t>
      </w:r>
      <w:r>
        <w:rPr>
          <w:rStyle w:val="2Char1Char"/>
          <w:rFonts w:ascii="Times New Roman" w:eastAsia="宋体" w:hAnsi="Times New Roman" w:cs="Times New Roman"/>
          <w:b w:val="0"/>
          <w:sz w:val="28"/>
          <w:szCs w:val="28"/>
        </w:rPr>
        <w:t>”</w:t>
      </w:r>
      <w:r>
        <w:rPr>
          <w:rStyle w:val="2Char1Char"/>
          <w:rFonts w:ascii="Times New Roman" w:eastAsia="宋体" w:hAnsi="宋体" w:cs="Times New Roman"/>
          <w:b w:val="0"/>
          <w:sz w:val="28"/>
          <w:szCs w:val="28"/>
        </w:rPr>
        <w:t>验收监测</w:t>
      </w:r>
      <w:bookmarkEnd w:id="1116"/>
      <w:bookmarkEnd w:id="1117"/>
      <w:bookmarkEnd w:id="1118"/>
    </w:p>
    <w:p w:rsidR="00475650" w:rsidRDefault="00475650">
      <w:pPr>
        <w:spacing w:line="360" w:lineRule="auto"/>
        <w:ind w:firstLineChars="200" w:firstLine="480"/>
        <w:rPr>
          <w:sz w:val="24"/>
        </w:rPr>
        <w:sectPr w:rsidR="00475650">
          <w:footerReference w:type="even" r:id="rId97"/>
          <w:footerReference w:type="default" r:id="rId98"/>
          <w:pgSz w:w="11906" w:h="16838"/>
          <w:pgMar w:top="1701" w:right="1588" w:bottom="1418" w:left="1588" w:header="851" w:footer="992" w:gutter="0"/>
          <w:paperSrc w:first="7" w:other="7"/>
          <w:cols w:space="720"/>
          <w:docGrid w:linePitch="312"/>
        </w:sectPr>
      </w:pPr>
      <w:r>
        <w:rPr>
          <w:rFonts w:hAnsi="宋体"/>
          <w:sz w:val="24"/>
        </w:rPr>
        <w:t>根据本环评要求，拟建工程</w:t>
      </w:r>
      <w:r>
        <w:rPr>
          <w:sz w:val="24"/>
        </w:rPr>
        <w:t>“</w:t>
      </w:r>
      <w:r>
        <w:rPr>
          <w:rFonts w:hAnsi="宋体"/>
          <w:sz w:val="24"/>
        </w:rPr>
        <w:t>三同时</w:t>
      </w:r>
      <w:r>
        <w:rPr>
          <w:sz w:val="24"/>
        </w:rPr>
        <w:t>”</w:t>
      </w:r>
      <w:r>
        <w:rPr>
          <w:rFonts w:hAnsi="宋体"/>
          <w:sz w:val="24"/>
        </w:rPr>
        <w:t>验收内容详见表</w:t>
      </w:r>
      <w:r>
        <w:rPr>
          <w:sz w:val="24"/>
        </w:rPr>
        <w:t>10.4-1</w:t>
      </w:r>
      <w:r>
        <w:rPr>
          <w:rFonts w:hAnsi="宋体"/>
          <w:sz w:val="24"/>
        </w:rPr>
        <w:t>。</w:t>
      </w:r>
    </w:p>
    <w:p w:rsidR="00475650" w:rsidRDefault="00475650">
      <w:pPr>
        <w:pStyle w:val="1721"/>
        <w:tabs>
          <w:tab w:val="clear" w:pos="284"/>
          <w:tab w:val="clear" w:pos="4060"/>
          <w:tab w:val="center" w:pos="840"/>
        </w:tabs>
        <w:spacing w:before="0" w:line="360" w:lineRule="auto"/>
        <w:rPr>
          <w:rFonts w:ascii="Times New Roman" w:eastAsia="宋体"/>
          <w:b w:val="0"/>
        </w:rPr>
      </w:pPr>
      <w:r>
        <w:rPr>
          <w:rFonts w:ascii="Times New Roman" w:eastAsia="宋体" w:hAnsi="宋体"/>
          <w:b w:val="0"/>
        </w:rPr>
        <w:lastRenderedPageBreak/>
        <w:t>表</w:t>
      </w:r>
      <w:r>
        <w:rPr>
          <w:rFonts w:ascii="Times New Roman" w:eastAsia="宋体"/>
          <w:b w:val="0"/>
        </w:rPr>
        <w:t>10.4-1</w:t>
      </w:r>
      <w:r>
        <w:rPr>
          <w:rFonts w:ascii="Times New Roman" w:eastAsia="宋体" w:hAnsi="宋体"/>
          <w:b w:val="0"/>
        </w:rPr>
        <w:t>项目竣工验收一览表</w:t>
      </w:r>
    </w:p>
    <w:tbl>
      <w:tblPr>
        <w:tblW w:w="141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466"/>
        <w:gridCol w:w="2069"/>
        <w:gridCol w:w="1936"/>
        <w:gridCol w:w="3027"/>
        <w:gridCol w:w="621"/>
        <w:gridCol w:w="1323"/>
        <w:gridCol w:w="1637"/>
        <w:gridCol w:w="3096"/>
      </w:tblGrid>
      <w:tr w:rsidR="00475650" w:rsidTr="007C19B0">
        <w:trPr>
          <w:trHeight w:val="360"/>
          <w:jc w:val="center"/>
        </w:trPr>
        <w:tc>
          <w:tcPr>
            <w:tcW w:w="2535" w:type="dxa"/>
            <w:gridSpan w:val="2"/>
            <w:tcBorders>
              <w:right w:val="single" w:sz="4" w:space="0" w:color="auto"/>
            </w:tcBorders>
            <w:vAlign w:val="center"/>
          </w:tcPr>
          <w:p w:rsidR="00475650" w:rsidRDefault="00475650">
            <w:pPr>
              <w:spacing w:line="240" w:lineRule="exact"/>
              <w:jc w:val="left"/>
              <w:rPr>
                <w:szCs w:val="21"/>
              </w:rPr>
            </w:pPr>
            <w:r>
              <w:rPr>
                <w:rFonts w:hAnsi="宋体"/>
                <w:szCs w:val="21"/>
              </w:rPr>
              <w:t>污染源项</w:t>
            </w:r>
          </w:p>
        </w:tc>
        <w:tc>
          <w:tcPr>
            <w:tcW w:w="1936" w:type="dxa"/>
            <w:tcBorders>
              <w:left w:val="single" w:sz="4" w:space="0" w:color="auto"/>
              <w:right w:val="single" w:sz="4" w:space="0" w:color="auto"/>
            </w:tcBorders>
            <w:vAlign w:val="center"/>
          </w:tcPr>
          <w:p w:rsidR="00475650" w:rsidRDefault="00475650">
            <w:pPr>
              <w:spacing w:line="240" w:lineRule="exact"/>
              <w:jc w:val="left"/>
              <w:rPr>
                <w:szCs w:val="21"/>
              </w:rPr>
            </w:pPr>
            <w:r>
              <w:rPr>
                <w:rFonts w:hAnsi="宋体"/>
                <w:szCs w:val="21"/>
              </w:rPr>
              <w:t>产生环节</w:t>
            </w:r>
          </w:p>
        </w:tc>
        <w:tc>
          <w:tcPr>
            <w:tcW w:w="4971" w:type="dxa"/>
            <w:gridSpan w:val="3"/>
            <w:vAlign w:val="center"/>
          </w:tcPr>
          <w:p w:rsidR="00475650" w:rsidRDefault="00475650">
            <w:pPr>
              <w:spacing w:line="240" w:lineRule="exact"/>
              <w:jc w:val="left"/>
              <w:rPr>
                <w:szCs w:val="21"/>
              </w:rPr>
            </w:pPr>
            <w:r>
              <w:rPr>
                <w:rFonts w:hAnsi="宋体"/>
                <w:szCs w:val="21"/>
              </w:rPr>
              <w:t>治理措施</w:t>
            </w:r>
          </w:p>
        </w:tc>
        <w:tc>
          <w:tcPr>
            <w:tcW w:w="1637" w:type="dxa"/>
            <w:tcBorders>
              <w:right w:val="single" w:sz="4" w:space="0" w:color="auto"/>
            </w:tcBorders>
            <w:vAlign w:val="center"/>
          </w:tcPr>
          <w:p w:rsidR="00475650" w:rsidRDefault="00475650">
            <w:pPr>
              <w:spacing w:line="240" w:lineRule="exact"/>
              <w:jc w:val="left"/>
              <w:rPr>
                <w:szCs w:val="21"/>
              </w:rPr>
            </w:pPr>
            <w:r>
              <w:rPr>
                <w:rFonts w:hAnsi="宋体"/>
                <w:szCs w:val="21"/>
              </w:rPr>
              <w:t>监测因子</w:t>
            </w:r>
          </w:p>
        </w:tc>
        <w:tc>
          <w:tcPr>
            <w:tcW w:w="3096" w:type="dxa"/>
            <w:tcBorders>
              <w:left w:val="single" w:sz="4" w:space="0" w:color="auto"/>
              <w:right w:val="single" w:sz="4" w:space="0" w:color="auto"/>
            </w:tcBorders>
            <w:vAlign w:val="center"/>
          </w:tcPr>
          <w:p w:rsidR="00475650" w:rsidRDefault="00475650">
            <w:pPr>
              <w:spacing w:line="240" w:lineRule="exact"/>
              <w:jc w:val="left"/>
              <w:rPr>
                <w:szCs w:val="21"/>
              </w:rPr>
            </w:pPr>
            <w:r>
              <w:rPr>
                <w:rFonts w:hAnsi="宋体"/>
                <w:szCs w:val="21"/>
              </w:rPr>
              <w:t>验收要点</w:t>
            </w:r>
          </w:p>
        </w:tc>
      </w:tr>
      <w:tr w:rsidR="00475650" w:rsidTr="007C19B0">
        <w:trPr>
          <w:trHeight w:val="360"/>
          <w:jc w:val="center"/>
        </w:trPr>
        <w:tc>
          <w:tcPr>
            <w:tcW w:w="466" w:type="dxa"/>
            <w:vMerge w:val="restart"/>
            <w:tcBorders>
              <w:right w:val="single" w:sz="4" w:space="0" w:color="auto"/>
            </w:tcBorders>
            <w:vAlign w:val="center"/>
          </w:tcPr>
          <w:p w:rsidR="00475650" w:rsidRDefault="00475650">
            <w:pPr>
              <w:spacing w:line="240" w:lineRule="exact"/>
              <w:jc w:val="left"/>
              <w:rPr>
                <w:szCs w:val="21"/>
              </w:rPr>
            </w:pPr>
            <w:r>
              <w:rPr>
                <w:rFonts w:hAnsi="宋体"/>
                <w:szCs w:val="21"/>
              </w:rPr>
              <w:t>废气</w:t>
            </w:r>
          </w:p>
        </w:tc>
        <w:tc>
          <w:tcPr>
            <w:tcW w:w="2069" w:type="dxa"/>
            <w:tcBorders>
              <w:left w:val="single" w:sz="4" w:space="0" w:color="auto"/>
              <w:right w:val="single" w:sz="4" w:space="0" w:color="auto"/>
            </w:tcBorders>
            <w:vAlign w:val="center"/>
          </w:tcPr>
          <w:p w:rsidR="00475650" w:rsidRDefault="00475650">
            <w:pPr>
              <w:spacing w:line="240" w:lineRule="exact"/>
              <w:jc w:val="left"/>
              <w:rPr>
                <w:szCs w:val="21"/>
              </w:rPr>
            </w:pPr>
            <w:r>
              <w:rPr>
                <w:rFonts w:hAnsi="宋体"/>
                <w:szCs w:val="21"/>
              </w:rPr>
              <w:t>烘干车间</w:t>
            </w:r>
            <w:r>
              <w:rPr>
                <w:rFonts w:hAnsi="宋体" w:hint="eastAsia"/>
                <w:szCs w:val="21"/>
              </w:rPr>
              <w:t>含尘废气</w:t>
            </w:r>
          </w:p>
        </w:tc>
        <w:tc>
          <w:tcPr>
            <w:tcW w:w="1936" w:type="dxa"/>
            <w:tcBorders>
              <w:left w:val="single" w:sz="4" w:space="0" w:color="auto"/>
              <w:right w:val="single" w:sz="4" w:space="0" w:color="auto"/>
            </w:tcBorders>
            <w:vAlign w:val="center"/>
          </w:tcPr>
          <w:p w:rsidR="00475650" w:rsidRDefault="00475650">
            <w:pPr>
              <w:spacing w:line="240" w:lineRule="exact"/>
              <w:jc w:val="left"/>
              <w:rPr>
                <w:szCs w:val="21"/>
              </w:rPr>
            </w:pPr>
            <w:r>
              <w:rPr>
                <w:rFonts w:hint="eastAsia"/>
                <w:szCs w:val="21"/>
              </w:rPr>
              <w:t>烘干房</w:t>
            </w:r>
          </w:p>
        </w:tc>
        <w:tc>
          <w:tcPr>
            <w:tcW w:w="3027" w:type="dxa"/>
            <w:tcBorders>
              <w:right w:val="single" w:sz="4" w:space="0" w:color="auto"/>
            </w:tcBorders>
            <w:vAlign w:val="center"/>
          </w:tcPr>
          <w:p w:rsidR="00475650" w:rsidRDefault="00475650">
            <w:pPr>
              <w:spacing w:line="240" w:lineRule="exact"/>
              <w:jc w:val="left"/>
              <w:rPr>
                <w:szCs w:val="21"/>
              </w:rPr>
            </w:pPr>
            <w:r>
              <w:rPr>
                <w:rFonts w:hAnsi="宋体"/>
                <w:szCs w:val="21"/>
              </w:rPr>
              <w:t>负压收集</w:t>
            </w:r>
          </w:p>
        </w:tc>
        <w:tc>
          <w:tcPr>
            <w:tcW w:w="1944" w:type="dxa"/>
            <w:gridSpan w:val="2"/>
            <w:vMerge w:val="restart"/>
            <w:tcBorders>
              <w:left w:val="single" w:sz="4" w:space="0" w:color="auto"/>
            </w:tcBorders>
            <w:vAlign w:val="center"/>
          </w:tcPr>
          <w:p w:rsidR="00475650" w:rsidRDefault="00475650">
            <w:pPr>
              <w:spacing w:line="240" w:lineRule="exact"/>
              <w:jc w:val="left"/>
              <w:rPr>
                <w:szCs w:val="21"/>
              </w:rPr>
            </w:pPr>
            <w:r>
              <w:rPr>
                <w:rFonts w:hint="eastAsia"/>
                <w:szCs w:val="21"/>
              </w:rPr>
              <w:t>15m</w:t>
            </w:r>
            <w:r>
              <w:rPr>
                <w:rFonts w:hint="eastAsia"/>
                <w:szCs w:val="21"/>
              </w:rPr>
              <w:t>排气筒</w:t>
            </w:r>
          </w:p>
          <w:p w:rsidR="00475650" w:rsidRDefault="00475650">
            <w:pPr>
              <w:spacing w:line="240" w:lineRule="exact"/>
              <w:jc w:val="left"/>
              <w:rPr>
                <w:szCs w:val="21"/>
              </w:rPr>
            </w:pPr>
          </w:p>
        </w:tc>
        <w:tc>
          <w:tcPr>
            <w:tcW w:w="1637" w:type="dxa"/>
            <w:vMerge w:val="restart"/>
            <w:tcBorders>
              <w:right w:val="single" w:sz="4" w:space="0" w:color="auto"/>
            </w:tcBorders>
          </w:tcPr>
          <w:p w:rsidR="00475650" w:rsidRDefault="00475650">
            <w:r>
              <w:rPr>
                <w:rFonts w:hAnsi="宋体"/>
                <w:szCs w:val="21"/>
              </w:rPr>
              <w:t>粉尘</w:t>
            </w:r>
            <w:r>
              <w:rPr>
                <w:rFonts w:hAnsi="宋体" w:hint="eastAsia"/>
                <w:szCs w:val="21"/>
              </w:rPr>
              <w:t>、</w:t>
            </w:r>
            <w:r>
              <w:rPr>
                <w:rFonts w:hint="eastAsia"/>
              </w:rPr>
              <w:t>氯化氢、氨气</w:t>
            </w:r>
          </w:p>
        </w:tc>
        <w:tc>
          <w:tcPr>
            <w:tcW w:w="3096" w:type="dxa"/>
            <w:vMerge w:val="restart"/>
            <w:tcBorders>
              <w:left w:val="single" w:sz="4" w:space="0" w:color="auto"/>
              <w:right w:val="single" w:sz="4" w:space="0" w:color="auto"/>
            </w:tcBorders>
            <w:vAlign w:val="center"/>
          </w:tcPr>
          <w:p w:rsidR="00475650" w:rsidRDefault="00475650">
            <w:pPr>
              <w:spacing w:line="240" w:lineRule="exact"/>
              <w:jc w:val="left"/>
              <w:rPr>
                <w:szCs w:val="21"/>
              </w:rPr>
            </w:pPr>
            <w:r>
              <w:rPr>
                <w:rFonts w:hAnsi="宋体" w:hint="eastAsia"/>
                <w:szCs w:val="21"/>
              </w:rPr>
              <w:t>粉尘和氯化氢</w:t>
            </w:r>
            <w:r>
              <w:rPr>
                <w:rFonts w:hAnsi="宋体"/>
                <w:szCs w:val="21"/>
              </w:rPr>
              <w:t>满足</w:t>
            </w:r>
            <w:r>
              <w:rPr>
                <w:szCs w:val="21"/>
              </w:rPr>
              <w:t>GB</w:t>
            </w:r>
            <w:r>
              <w:rPr>
                <w:rFonts w:hint="eastAsia"/>
                <w:szCs w:val="21"/>
              </w:rPr>
              <w:t>16297-1996</w:t>
            </w:r>
            <w:r>
              <w:rPr>
                <w:rFonts w:hAnsi="宋体"/>
                <w:szCs w:val="21"/>
              </w:rPr>
              <w:t>表</w:t>
            </w:r>
            <w:r>
              <w:rPr>
                <w:szCs w:val="21"/>
              </w:rPr>
              <w:t>2</w:t>
            </w:r>
            <w:r>
              <w:rPr>
                <w:rFonts w:hint="eastAsia"/>
                <w:szCs w:val="21"/>
              </w:rPr>
              <w:t>标准</w:t>
            </w:r>
            <w:r>
              <w:rPr>
                <w:rFonts w:hAnsi="宋体"/>
                <w:szCs w:val="21"/>
              </w:rPr>
              <w:t>要求</w:t>
            </w:r>
            <w:r>
              <w:rPr>
                <w:rFonts w:hAnsi="宋体" w:hint="eastAsia"/>
                <w:szCs w:val="21"/>
              </w:rPr>
              <w:t>；</w:t>
            </w:r>
          </w:p>
          <w:p w:rsidR="00475650" w:rsidRDefault="00475650">
            <w:pPr>
              <w:spacing w:line="240" w:lineRule="exact"/>
              <w:jc w:val="left"/>
              <w:rPr>
                <w:szCs w:val="21"/>
              </w:rPr>
            </w:pPr>
            <w:r>
              <w:rPr>
                <w:rFonts w:hAnsi="宋体" w:hint="eastAsia"/>
                <w:szCs w:val="21"/>
              </w:rPr>
              <w:t>氨因子</w:t>
            </w:r>
            <w:r>
              <w:rPr>
                <w:rFonts w:hAnsi="宋体"/>
                <w:szCs w:val="21"/>
              </w:rPr>
              <w:t>满足</w:t>
            </w:r>
            <w:r>
              <w:rPr>
                <w:rFonts w:hint="eastAsia"/>
                <w:szCs w:val="21"/>
              </w:rPr>
              <w:t>GB 14554-93</w:t>
            </w:r>
            <w:r>
              <w:rPr>
                <w:rFonts w:hAnsi="宋体" w:hint="eastAsia"/>
                <w:szCs w:val="21"/>
              </w:rPr>
              <w:t>标准</w:t>
            </w:r>
            <w:r>
              <w:rPr>
                <w:rFonts w:hAnsi="宋体"/>
                <w:szCs w:val="21"/>
              </w:rPr>
              <w:t>要求</w:t>
            </w:r>
          </w:p>
        </w:tc>
      </w:tr>
      <w:tr w:rsidR="00475650" w:rsidTr="007C19B0">
        <w:trPr>
          <w:trHeight w:val="360"/>
          <w:jc w:val="center"/>
        </w:trPr>
        <w:tc>
          <w:tcPr>
            <w:tcW w:w="466" w:type="dxa"/>
            <w:vMerge/>
            <w:tcBorders>
              <w:right w:val="single" w:sz="4" w:space="0" w:color="auto"/>
            </w:tcBorders>
            <w:vAlign w:val="center"/>
          </w:tcPr>
          <w:p w:rsidR="00475650" w:rsidRDefault="00475650">
            <w:pPr>
              <w:spacing w:line="240" w:lineRule="exact"/>
              <w:jc w:val="left"/>
              <w:rPr>
                <w:rFonts w:hAnsi="宋体"/>
                <w:szCs w:val="21"/>
              </w:rPr>
            </w:pPr>
          </w:p>
        </w:tc>
        <w:tc>
          <w:tcPr>
            <w:tcW w:w="2069" w:type="dxa"/>
            <w:tcBorders>
              <w:left w:val="single" w:sz="4" w:space="0" w:color="auto"/>
              <w:right w:val="single" w:sz="4" w:space="0" w:color="auto"/>
            </w:tcBorders>
            <w:vAlign w:val="center"/>
          </w:tcPr>
          <w:p w:rsidR="00475650" w:rsidRDefault="00475650">
            <w:pPr>
              <w:spacing w:line="240" w:lineRule="exact"/>
              <w:jc w:val="left"/>
              <w:rPr>
                <w:szCs w:val="21"/>
              </w:rPr>
            </w:pPr>
            <w:r>
              <w:rPr>
                <w:rFonts w:hAnsi="宋体"/>
                <w:szCs w:val="21"/>
              </w:rPr>
              <w:t>破碎车间含尘废气</w:t>
            </w:r>
          </w:p>
        </w:tc>
        <w:tc>
          <w:tcPr>
            <w:tcW w:w="1936" w:type="dxa"/>
            <w:tcBorders>
              <w:left w:val="single" w:sz="4" w:space="0" w:color="auto"/>
              <w:right w:val="single" w:sz="4" w:space="0" w:color="auto"/>
            </w:tcBorders>
            <w:vAlign w:val="center"/>
          </w:tcPr>
          <w:p w:rsidR="00475650" w:rsidRDefault="00475650">
            <w:pPr>
              <w:spacing w:line="240" w:lineRule="exact"/>
              <w:jc w:val="left"/>
              <w:rPr>
                <w:szCs w:val="21"/>
              </w:rPr>
            </w:pPr>
            <w:r>
              <w:rPr>
                <w:rFonts w:hint="eastAsia"/>
                <w:szCs w:val="21"/>
              </w:rPr>
              <w:t>进出料口</w:t>
            </w:r>
          </w:p>
        </w:tc>
        <w:tc>
          <w:tcPr>
            <w:tcW w:w="3027" w:type="dxa"/>
            <w:tcBorders>
              <w:right w:val="single" w:sz="4" w:space="0" w:color="auto"/>
            </w:tcBorders>
            <w:vAlign w:val="center"/>
          </w:tcPr>
          <w:p w:rsidR="00475650" w:rsidRDefault="00475650">
            <w:pPr>
              <w:spacing w:line="240" w:lineRule="exact"/>
              <w:jc w:val="left"/>
              <w:rPr>
                <w:szCs w:val="21"/>
              </w:rPr>
            </w:pPr>
            <w:r>
              <w:rPr>
                <w:rFonts w:hAnsi="宋体"/>
                <w:szCs w:val="21"/>
              </w:rPr>
              <w:t>负压收集</w:t>
            </w:r>
            <w:r>
              <w:rPr>
                <w:szCs w:val="21"/>
              </w:rPr>
              <w:t>+</w:t>
            </w:r>
            <w:r>
              <w:rPr>
                <w:rFonts w:hAnsi="宋体"/>
                <w:szCs w:val="21"/>
              </w:rPr>
              <w:t>布袋收尘</w:t>
            </w:r>
          </w:p>
        </w:tc>
        <w:tc>
          <w:tcPr>
            <w:tcW w:w="1944" w:type="dxa"/>
            <w:gridSpan w:val="2"/>
            <w:vMerge/>
            <w:tcBorders>
              <w:left w:val="single" w:sz="4" w:space="0" w:color="auto"/>
            </w:tcBorders>
            <w:vAlign w:val="center"/>
          </w:tcPr>
          <w:p w:rsidR="00475650" w:rsidRDefault="00475650">
            <w:pPr>
              <w:spacing w:line="240" w:lineRule="exact"/>
              <w:jc w:val="left"/>
              <w:rPr>
                <w:szCs w:val="21"/>
              </w:rPr>
            </w:pPr>
          </w:p>
        </w:tc>
        <w:tc>
          <w:tcPr>
            <w:tcW w:w="1637" w:type="dxa"/>
            <w:vMerge/>
            <w:tcBorders>
              <w:right w:val="single" w:sz="4" w:space="0" w:color="auto"/>
            </w:tcBorders>
          </w:tcPr>
          <w:p w:rsidR="00475650" w:rsidRDefault="00475650">
            <w:pPr>
              <w:rPr>
                <w:rFonts w:hAnsi="宋体"/>
                <w:szCs w:val="21"/>
              </w:rPr>
            </w:pPr>
          </w:p>
        </w:tc>
        <w:tc>
          <w:tcPr>
            <w:tcW w:w="3096" w:type="dxa"/>
            <w:vMerge/>
            <w:tcBorders>
              <w:left w:val="single" w:sz="4" w:space="0" w:color="auto"/>
              <w:right w:val="single" w:sz="4" w:space="0" w:color="auto"/>
            </w:tcBorders>
            <w:vAlign w:val="center"/>
          </w:tcPr>
          <w:p w:rsidR="00475650" w:rsidRDefault="00475650">
            <w:pPr>
              <w:spacing w:line="240" w:lineRule="exact"/>
              <w:jc w:val="left"/>
              <w:rPr>
                <w:rFonts w:hAnsi="宋体"/>
                <w:szCs w:val="21"/>
              </w:rPr>
            </w:pPr>
          </w:p>
        </w:tc>
      </w:tr>
      <w:tr w:rsidR="00475650" w:rsidTr="007C19B0">
        <w:trPr>
          <w:trHeight w:val="360"/>
          <w:jc w:val="center"/>
        </w:trPr>
        <w:tc>
          <w:tcPr>
            <w:tcW w:w="466" w:type="dxa"/>
            <w:vMerge/>
            <w:tcBorders>
              <w:right w:val="single" w:sz="4" w:space="0" w:color="auto"/>
            </w:tcBorders>
            <w:vAlign w:val="center"/>
          </w:tcPr>
          <w:p w:rsidR="00475650" w:rsidRDefault="00475650">
            <w:pPr>
              <w:spacing w:line="240" w:lineRule="exact"/>
              <w:jc w:val="left"/>
              <w:rPr>
                <w:rFonts w:hAnsi="宋体"/>
                <w:szCs w:val="21"/>
              </w:rPr>
            </w:pPr>
          </w:p>
        </w:tc>
        <w:tc>
          <w:tcPr>
            <w:tcW w:w="2069" w:type="dxa"/>
            <w:tcBorders>
              <w:left w:val="single" w:sz="4" w:space="0" w:color="auto"/>
              <w:right w:val="single" w:sz="4" w:space="0" w:color="auto"/>
            </w:tcBorders>
            <w:vAlign w:val="center"/>
          </w:tcPr>
          <w:p w:rsidR="00475650" w:rsidRDefault="00475650">
            <w:pPr>
              <w:spacing w:line="240" w:lineRule="exact"/>
              <w:jc w:val="left"/>
              <w:rPr>
                <w:rFonts w:hAnsi="宋体"/>
                <w:szCs w:val="21"/>
              </w:rPr>
            </w:pPr>
            <w:r>
              <w:rPr>
                <w:rFonts w:hAnsi="宋体" w:hint="eastAsia"/>
                <w:szCs w:val="21"/>
              </w:rPr>
              <w:t>包装车间含尘废气</w:t>
            </w:r>
          </w:p>
        </w:tc>
        <w:tc>
          <w:tcPr>
            <w:tcW w:w="1936" w:type="dxa"/>
            <w:tcBorders>
              <w:left w:val="single" w:sz="4" w:space="0" w:color="auto"/>
              <w:right w:val="single" w:sz="4" w:space="0" w:color="auto"/>
            </w:tcBorders>
            <w:vAlign w:val="center"/>
          </w:tcPr>
          <w:p w:rsidR="00475650" w:rsidRDefault="00475650">
            <w:pPr>
              <w:spacing w:line="240" w:lineRule="exact"/>
              <w:jc w:val="left"/>
              <w:rPr>
                <w:rFonts w:hAnsi="宋体"/>
                <w:szCs w:val="21"/>
              </w:rPr>
            </w:pPr>
            <w:r>
              <w:rPr>
                <w:rFonts w:hAnsi="宋体" w:hint="eastAsia"/>
                <w:szCs w:val="21"/>
              </w:rPr>
              <w:t>出料口</w:t>
            </w:r>
          </w:p>
        </w:tc>
        <w:tc>
          <w:tcPr>
            <w:tcW w:w="3027" w:type="dxa"/>
            <w:tcBorders>
              <w:right w:val="single" w:sz="4" w:space="0" w:color="auto"/>
            </w:tcBorders>
            <w:vAlign w:val="center"/>
          </w:tcPr>
          <w:p w:rsidR="00475650" w:rsidRDefault="00475650">
            <w:pPr>
              <w:spacing w:line="240" w:lineRule="exact"/>
              <w:jc w:val="left"/>
              <w:rPr>
                <w:rFonts w:hAnsi="宋体"/>
                <w:szCs w:val="21"/>
              </w:rPr>
            </w:pPr>
            <w:r>
              <w:rPr>
                <w:rFonts w:hAnsi="宋体"/>
                <w:szCs w:val="21"/>
              </w:rPr>
              <w:t>负压收集</w:t>
            </w:r>
            <w:r>
              <w:rPr>
                <w:szCs w:val="21"/>
              </w:rPr>
              <w:t>+</w:t>
            </w:r>
            <w:r>
              <w:rPr>
                <w:rFonts w:hAnsi="宋体"/>
                <w:szCs w:val="21"/>
              </w:rPr>
              <w:t>布袋收尘</w:t>
            </w:r>
          </w:p>
        </w:tc>
        <w:tc>
          <w:tcPr>
            <w:tcW w:w="1944" w:type="dxa"/>
            <w:gridSpan w:val="2"/>
            <w:vMerge/>
            <w:tcBorders>
              <w:left w:val="single" w:sz="4" w:space="0" w:color="auto"/>
            </w:tcBorders>
            <w:vAlign w:val="center"/>
          </w:tcPr>
          <w:p w:rsidR="00475650" w:rsidRDefault="00475650">
            <w:pPr>
              <w:spacing w:line="240" w:lineRule="exact"/>
              <w:jc w:val="left"/>
              <w:rPr>
                <w:szCs w:val="21"/>
              </w:rPr>
            </w:pPr>
          </w:p>
        </w:tc>
        <w:tc>
          <w:tcPr>
            <w:tcW w:w="1637" w:type="dxa"/>
            <w:vMerge/>
            <w:tcBorders>
              <w:right w:val="single" w:sz="4" w:space="0" w:color="auto"/>
            </w:tcBorders>
          </w:tcPr>
          <w:p w:rsidR="00475650" w:rsidRDefault="00475650">
            <w:pPr>
              <w:rPr>
                <w:rFonts w:hAnsi="宋体"/>
                <w:szCs w:val="21"/>
              </w:rPr>
            </w:pPr>
          </w:p>
        </w:tc>
        <w:tc>
          <w:tcPr>
            <w:tcW w:w="3096" w:type="dxa"/>
            <w:vMerge/>
            <w:tcBorders>
              <w:left w:val="single" w:sz="4" w:space="0" w:color="auto"/>
              <w:right w:val="single" w:sz="4" w:space="0" w:color="auto"/>
            </w:tcBorders>
            <w:vAlign w:val="center"/>
          </w:tcPr>
          <w:p w:rsidR="00475650" w:rsidRDefault="00475650">
            <w:pPr>
              <w:spacing w:line="240" w:lineRule="exact"/>
              <w:jc w:val="left"/>
              <w:rPr>
                <w:rFonts w:hAnsi="宋体"/>
                <w:szCs w:val="21"/>
              </w:rPr>
            </w:pPr>
          </w:p>
        </w:tc>
      </w:tr>
      <w:tr w:rsidR="00475650" w:rsidTr="007C19B0">
        <w:trPr>
          <w:trHeight w:val="360"/>
          <w:jc w:val="center"/>
        </w:trPr>
        <w:tc>
          <w:tcPr>
            <w:tcW w:w="466" w:type="dxa"/>
            <w:vMerge/>
            <w:tcBorders>
              <w:right w:val="single" w:sz="4" w:space="0" w:color="auto"/>
            </w:tcBorders>
            <w:vAlign w:val="center"/>
          </w:tcPr>
          <w:p w:rsidR="00475650" w:rsidRDefault="00475650">
            <w:pPr>
              <w:spacing w:line="240" w:lineRule="exact"/>
              <w:jc w:val="left"/>
              <w:rPr>
                <w:rFonts w:hAnsi="宋体"/>
                <w:szCs w:val="21"/>
              </w:rPr>
            </w:pPr>
          </w:p>
        </w:tc>
        <w:tc>
          <w:tcPr>
            <w:tcW w:w="2069" w:type="dxa"/>
            <w:tcBorders>
              <w:left w:val="single" w:sz="4" w:space="0" w:color="auto"/>
              <w:right w:val="single" w:sz="4" w:space="0" w:color="auto"/>
            </w:tcBorders>
            <w:vAlign w:val="center"/>
          </w:tcPr>
          <w:p w:rsidR="00475650" w:rsidRDefault="00475650">
            <w:pPr>
              <w:spacing w:line="240" w:lineRule="exact"/>
              <w:jc w:val="left"/>
              <w:rPr>
                <w:rFonts w:hAnsi="宋体"/>
                <w:szCs w:val="21"/>
              </w:rPr>
            </w:pPr>
            <w:r>
              <w:rPr>
                <w:rFonts w:hAnsi="宋体" w:hint="eastAsia"/>
                <w:szCs w:val="21"/>
              </w:rPr>
              <w:t>隔膜压滤臭气</w:t>
            </w:r>
          </w:p>
        </w:tc>
        <w:tc>
          <w:tcPr>
            <w:tcW w:w="1936" w:type="dxa"/>
            <w:tcBorders>
              <w:left w:val="single" w:sz="4" w:space="0" w:color="auto"/>
              <w:right w:val="single" w:sz="4" w:space="0" w:color="auto"/>
            </w:tcBorders>
            <w:vAlign w:val="center"/>
          </w:tcPr>
          <w:p w:rsidR="00475650" w:rsidRDefault="00475650">
            <w:pPr>
              <w:spacing w:line="240" w:lineRule="exact"/>
              <w:jc w:val="left"/>
              <w:rPr>
                <w:rFonts w:hAnsi="宋体"/>
                <w:szCs w:val="21"/>
              </w:rPr>
            </w:pPr>
            <w:r>
              <w:rPr>
                <w:rFonts w:hAnsi="宋体" w:hint="eastAsia"/>
                <w:szCs w:val="21"/>
              </w:rPr>
              <w:t>隔膜压滤机</w:t>
            </w:r>
          </w:p>
        </w:tc>
        <w:tc>
          <w:tcPr>
            <w:tcW w:w="3027" w:type="dxa"/>
            <w:tcBorders>
              <w:right w:val="single" w:sz="4" w:space="0" w:color="auto"/>
            </w:tcBorders>
            <w:vAlign w:val="center"/>
          </w:tcPr>
          <w:p w:rsidR="00475650" w:rsidRDefault="00475650">
            <w:pPr>
              <w:spacing w:line="240" w:lineRule="exact"/>
              <w:jc w:val="left"/>
              <w:rPr>
                <w:rFonts w:hAnsi="宋体"/>
                <w:szCs w:val="21"/>
              </w:rPr>
            </w:pPr>
            <w:r>
              <w:rPr>
                <w:rFonts w:hAnsi="宋体" w:hint="eastAsia"/>
                <w:szCs w:val="21"/>
              </w:rPr>
              <w:t>负压收集</w:t>
            </w:r>
          </w:p>
        </w:tc>
        <w:tc>
          <w:tcPr>
            <w:tcW w:w="1944" w:type="dxa"/>
            <w:gridSpan w:val="2"/>
            <w:vMerge/>
            <w:tcBorders>
              <w:left w:val="single" w:sz="4" w:space="0" w:color="auto"/>
            </w:tcBorders>
            <w:vAlign w:val="center"/>
          </w:tcPr>
          <w:p w:rsidR="00475650" w:rsidRDefault="00475650">
            <w:pPr>
              <w:spacing w:line="240" w:lineRule="exact"/>
              <w:jc w:val="left"/>
              <w:rPr>
                <w:szCs w:val="21"/>
              </w:rPr>
            </w:pPr>
          </w:p>
        </w:tc>
        <w:tc>
          <w:tcPr>
            <w:tcW w:w="1637" w:type="dxa"/>
            <w:vMerge/>
            <w:tcBorders>
              <w:right w:val="single" w:sz="4" w:space="0" w:color="auto"/>
            </w:tcBorders>
          </w:tcPr>
          <w:p w:rsidR="00475650" w:rsidRDefault="00475650">
            <w:pPr>
              <w:rPr>
                <w:rFonts w:hAnsi="宋体"/>
                <w:szCs w:val="21"/>
              </w:rPr>
            </w:pPr>
          </w:p>
        </w:tc>
        <w:tc>
          <w:tcPr>
            <w:tcW w:w="3096" w:type="dxa"/>
            <w:vMerge/>
            <w:tcBorders>
              <w:left w:val="single" w:sz="4" w:space="0" w:color="auto"/>
              <w:right w:val="single" w:sz="4" w:space="0" w:color="auto"/>
            </w:tcBorders>
            <w:vAlign w:val="center"/>
          </w:tcPr>
          <w:p w:rsidR="00475650" w:rsidRDefault="00475650">
            <w:pPr>
              <w:spacing w:line="240" w:lineRule="exact"/>
              <w:jc w:val="left"/>
              <w:rPr>
                <w:rFonts w:hAnsi="宋体"/>
                <w:szCs w:val="21"/>
              </w:rPr>
            </w:pPr>
          </w:p>
        </w:tc>
      </w:tr>
      <w:tr w:rsidR="00475650" w:rsidTr="007C19B0">
        <w:trPr>
          <w:trHeight w:val="360"/>
          <w:jc w:val="center"/>
        </w:trPr>
        <w:tc>
          <w:tcPr>
            <w:tcW w:w="466" w:type="dxa"/>
            <w:vMerge/>
            <w:tcBorders>
              <w:right w:val="single" w:sz="4" w:space="0" w:color="auto"/>
            </w:tcBorders>
            <w:vAlign w:val="center"/>
          </w:tcPr>
          <w:p w:rsidR="00475650" w:rsidRDefault="00475650">
            <w:pPr>
              <w:spacing w:line="240" w:lineRule="exact"/>
              <w:jc w:val="left"/>
              <w:rPr>
                <w:rFonts w:hAnsi="宋体"/>
                <w:szCs w:val="21"/>
              </w:rPr>
            </w:pPr>
          </w:p>
        </w:tc>
        <w:tc>
          <w:tcPr>
            <w:tcW w:w="2069" w:type="dxa"/>
            <w:tcBorders>
              <w:left w:val="single" w:sz="4" w:space="0" w:color="auto"/>
              <w:right w:val="single" w:sz="4" w:space="0" w:color="auto"/>
            </w:tcBorders>
            <w:vAlign w:val="center"/>
          </w:tcPr>
          <w:p w:rsidR="00475650" w:rsidRDefault="00475650">
            <w:pPr>
              <w:spacing w:line="240" w:lineRule="exact"/>
              <w:jc w:val="left"/>
              <w:rPr>
                <w:rFonts w:hAnsi="宋体"/>
                <w:szCs w:val="21"/>
              </w:rPr>
            </w:pPr>
            <w:r>
              <w:rPr>
                <w:rFonts w:hAnsi="宋体" w:hint="eastAsia"/>
                <w:szCs w:val="21"/>
              </w:rPr>
              <w:t>污水处理站废气</w:t>
            </w:r>
          </w:p>
        </w:tc>
        <w:tc>
          <w:tcPr>
            <w:tcW w:w="1936" w:type="dxa"/>
            <w:tcBorders>
              <w:left w:val="single" w:sz="4" w:space="0" w:color="auto"/>
              <w:right w:val="single" w:sz="4" w:space="0" w:color="auto"/>
            </w:tcBorders>
            <w:vAlign w:val="center"/>
          </w:tcPr>
          <w:p w:rsidR="00475650" w:rsidRDefault="00475650">
            <w:pPr>
              <w:spacing w:line="240" w:lineRule="exact"/>
              <w:jc w:val="left"/>
              <w:rPr>
                <w:rFonts w:hAnsi="宋体"/>
                <w:szCs w:val="21"/>
              </w:rPr>
            </w:pPr>
            <w:r>
              <w:rPr>
                <w:rFonts w:hAnsi="宋体" w:hint="eastAsia"/>
                <w:szCs w:val="21"/>
              </w:rPr>
              <w:t>生化池臭气</w:t>
            </w:r>
          </w:p>
        </w:tc>
        <w:tc>
          <w:tcPr>
            <w:tcW w:w="3027" w:type="dxa"/>
            <w:tcBorders>
              <w:right w:val="single" w:sz="4" w:space="0" w:color="auto"/>
            </w:tcBorders>
            <w:vAlign w:val="center"/>
          </w:tcPr>
          <w:p w:rsidR="00475650" w:rsidRDefault="00475650">
            <w:pPr>
              <w:spacing w:line="240" w:lineRule="exact"/>
              <w:jc w:val="left"/>
              <w:rPr>
                <w:rFonts w:hAnsi="宋体"/>
                <w:szCs w:val="21"/>
              </w:rPr>
            </w:pPr>
            <w:r>
              <w:rPr>
                <w:rFonts w:hAnsi="宋体" w:hint="eastAsia"/>
                <w:szCs w:val="21"/>
              </w:rPr>
              <w:t>负压收集</w:t>
            </w:r>
            <w:r>
              <w:rPr>
                <w:rFonts w:hAnsi="宋体" w:hint="eastAsia"/>
                <w:szCs w:val="21"/>
              </w:rPr>
              <w:t>+</w:t>
            </w:r>
            <w:r>
              <w:rPr>
                <w:rFonts w:hAnsi="宋体" w:hint="eastAsia"/>
                <w:szCs w:val="21"/>
              </w:rPr>
              <w:t>碱液喷淋</w:t>
            </w:r>
          </w:p>
        </w:tc>
        <w:tc>
          <w:tcPr>
            <w:tcW w:w="1944" w:type="dxa"/>
            <w:gridSpan w:val="2"/>
            <w:vMerge/>
            <w:tcBorders>
              <w:left w:val="single" w:sz="4" w:space="0" w:color="auto"/>
            </w:tcBorders>
            <w:vAlign w:val="center"/>
          </w:tcPr>
          <w:p w:rsidR="00475650" w:rsidRDefault="00475650">
            <w:pPr>
              <w:spacing w:line="240" w:lineRule="exact"/>
              <w:jc w:val="left"/>
              <w:rPr>
                <w:szCs w:val="21"/>
              </w:rPr>
            </w:pPr>
          </w:p>
        </w:tc>
        <w:tc>
          <w:tcPr>
            <w:tcW w:w="1637" w:type="dxa"/>
            <w:vMerge/>
            <w:tcBorders>
              <w:right w:val="single" w:sz="4" w:space="0" w:color="auto"/>
            </w:tcBorders>
          </w:tcPr>
          <w:p w:rsidR="00475650" w:rsidRDefault="00475650">
            <w:pPr>
              <w:rPr>
                <w:rFonts w:hAnsi="宋体"/>
                <w:szCs w:val="21"/>
              </w:rPr>
            </w:pPr>
          </w:p>
        </w:tc>
        <w:tc>
          <w:tcPr>
            <w:tcW w:w="3096" w:type="dxa"/>
            <w:vMerge/>
            <w:tcBorders>
              <w:left w:val="single" w:sz="4" w:space="0" w:color="auto"/>
              <w:right w:val="single" w:sz="4" w:space="0" w:color="auto"/>
            </w:tcBorders>
            <w:vAlign w:val="center"/>
          </w:tcPr>
          <w:p w:rsidR="00475650" w:rsidRDefault="00475650">
            <w:pPr>
              <w:spacing w:line="240" w:lineRule="exact"/>
              <w:jc w:val="left"/>
              <w:rPr>
                <w:rFonts w:hAnsi="宋体"/>
                <w:szCs w:val="21"/>
              </w:rPr>
            </w:pPr>
          </w:p>
        </w:tc>
      </w:tr>
      <w:tr w:rsidR="00475650" w:rsidTr="007C19B0">
        <w:trPr>
          <w:trHeight w:val="360"/>
          <w:jc w:val="center"/>
        </w:trPr>
        <w:tc>
          <w:tcPr>
            <w:tcW w:w="466" w:type="dxa"/>
            <w:vMerge/>
            <w:tcBorders>
              <w:right w:val="single" w:sz="4" w:space="0" w:color="auto"/>
            </w:tcBorders>
            <w:vAlign w:val="center"/>
          </w:tcPr>
          <w:p w:rsidR="00475650" w:rsidRDefault="00475650">
            <w:pPr>
              <w:spacing w:line="240" w:lineRule="exact"/>
              <w:jc w:val="left"/>
              <w:rPr>
                <w:szCs w:val="21"/>
              </w:rPr>
            </w:pPr>
          </w:p>
        </w:tc>
        <w:tc>
          <w:tcPr>
            <w:tcW w:w="2069" w:type="dxa"/>
            <w:tcBorders>
              <w:left w:val="single" w:sz="4" w:space="0" w:color="auto"/>
              <w:right w:val="single" w:sz="4" w:space="0" w:color="auto"/>
            </w:tcBorders>
            <w:vAlign w:val="center"/>
          </w:tcPr>
          <w:p w:rsidR="00475650" w:rsidRDefault="00475650">
            <w:pPr>
              <w:spacing w:line="240" w:lineRule="exact"/>
              <w:jc w:val="left"/>
              <w:rPr>
                <w:szCs w:val="21"/>
              </w:rPr>
            </w:pPr>
            <w:r>
              <w:rPr>
                <w:rFonts w:hint="eastAsia"/>
                <w:szCs w:val="21"/>
              </w:rPr>
              <w:t>生产废气</w:t>
            </w:r>
          </w:p>
        </w:tc>
        <w:tc>
          <w:tcPr>
            <w:tcW w:w="1936" w:type="dxa"/>
            <w:tcBorders>
              <w:left w:val="single" w:sz="4" w:space="0" w:color="auto"/>
              <w:right w:val="single" w:sz="4" w:space="0" w:color="auto"/>
            </w:tcBorders>
            <w:vAlign w:val="center"/>
          </w:tcPr>
          <w:p w:rsidR="00475650" w:rsidRDefault="00475650">
            <w:pPr>
              <w:spacing w:line="240" w:lineRule="exact"/>
              <w:jc w:val="left"/>
              <w:rPr>
                <w:szCs w:val="21"/>
              </w:rPr>
            </w:pPr>
            <w:r>
              <w:rPr>
                <w:rFonts w:hint="eastAsia"/>
                <w:szCs w:val="21"/>
              </w:rPr>
              <w:t>反应釜</w:t>
            </w:r>
          </w:p>
        </w:tc>
        <w:tc>
          <w:tcPr>
            <w:tcW w:w="3027" w:type="dxa"/>
            <w:tcBorders>
              <w:right w:val="single" w:sz="4" w:space="0" w:color="auto"/>
            </w:tcBorders>
            <w:vAlign w:val="center"/>
          </w:tcPr>
          <w:p w:rsidR="00475650" w:rsidRDefault="00475650">
            <w:pPr>
              <w:spacing w:line="240" w:lineRule="exact"/>
              <w:jc w:val="left"/>
              <w:rPr>
                <w:szCs w:val="21"/>
              </w:rPr>
            </w:pPr>
            <w:r>
              <w:rPr>
                <w:rFonts w:hAnsi="宋体" w:hint="eastAsia"/>
                <w:szCs w:val="21"/>
              </w:rPr>
              <w:t>负压收集</w:t>
            </w:r>
            <w:r>
              <w:rPr>
                <w:szCs w:val="21"/>
              </w:rPr>
              <w:t>+</w:t>
            </w:r>
            <w:r>
              <w:rPr>
                <w:rFonts w:hAnsi="宋体" w:hint="eastAsia"/>
                <w:szCs w:val="21"/>
              </w:rPr>
              <w:t>碱液喷淋</w:t>
            </w:r>
          </w:p>
        </w:tc>
        <w:tc>
          <w:tcPr>
            <w:tcW w:w="1944" w:type="dxa"/>
            <w:gridSpan w:val="2"/>
            <w:vMerge/>
            <w:tcBorders>
              <w:left w:val="single" w:sz="4" w:space="0" w:color="auto"/>
            </w:tcBorders>
            <w:vAlign w:val="center"/>
          </w:tcPr>
          <w:p w:rsidR="00475650" w:rsidRDefault="00475650">
            <w:pPr>
              <w:spacing w:line="240" w:lineRule="exact"/>
              <w:jc w:val="left"/>
              <w:rPr>
                <w:szCs w:val="21"/>
              </w:rPr>
            </w:pPr>
          </w:p>
        </w:tc>
        <w:tc>
          <w:tcPr>
            <w:tcW w:w="1637" w:type="dxa"/>
            <w:vMerge/>
            <w:tcBorders>
              <w:right w:val="single" w:sz="4" w:space="0" w:color="auto"/>
            </w:tcBorders>
          </w:tcPr>
          <w:p w:rsidR="00475650" w:rsidRDefault="00475650"/>
        </w:tc>
        <w:tc>
          <w:tcPr>
            <w:tcW w:w="3096" w:type="dxa"/>
            <w:vMerge/>
            <w:tcBorders>
              <w:left w:val="single" w:sz="4" w:space="0" w:color="auto"/>
              <w:right w:val="single" w:sz="4" w:space="0" w:color="auto"/>
            </w:tcBorders>
            <w:vAlign w:val="center"/>
          </w:tcPr>
          <w:p w:rsidR="00475650" w:rsidRDefault="00475650">
            <w:pPr>
              <w:spacing w:line="240" w:lineRule="exact"/>
              <w:jc w:val="left"/>
              <w:rPr>
                <w:szCs w:val="21"/>
              </w:rPr>
            </w:pPr>
          </w:p>
        </w:tc>
      </w:tr>
      <w:tr w:rsidR="00475650" w:rsidTr="007C19B0">
        <w:trPr>
          <w:trHeight w:val="360"/>
          <w:jc w:val="center"/>
        </w:trPr>
        <w:tc>
          <w:tcPr>
            <w:tcW w:w="466" w:type="dxa"/>
            <w:vMerge/>
            <w:tcBorders>
              <w:right w:val="single" w:sz="4" w:space="0" w:color="auto"/>
            </w:tcBorders>
            <w:vAlign w:val="center"/>
          </w:tcPr>
          <w:p w:rsidR="00475650" w:rsidRDefault="00475650">
            <w:pPr>
              <w:spacing w:line="240" w:lineRule="exact"/>
              <w:jc w:val="left"/>
              <w:rPr>
                <w:szCs w:val="21"/>
              </w:rPr>
            </w:pPr>
          </w:p>
        </w:tc>
        <w:tc>
          <w:tcPr>
            <w:tcW w:w="2069" w:type="dxa"/>
            <w:tcBorders>
              <w:left w:val="single" w:sz="4" w:space="0" w:color="auto"/>
              <w:right w:val="single" w:sz="4" w:space="0" w:color="auto"/>
            </w:tcBorders>
            <w:vAlign w:val="center"/>
          </w:tcPr>
          <w:p w:rsidR="00475650" w:rsidRDefault="00475650">
            <w:pPr>
              <w:spacing w:line="240" w:lineRule="exact"/>
              <w:jc w:val="left"/>
              <w:rPr>
                <w:szCs w:val="21"/>
              </w:rPr>
            </w:pPr>
            <w:r>
              <w:rPr>
                <w:rFonts w:hAnsi="宋体"/>
                <w:szCs w:val="21"/>
              </w:rPr>
              <w:t>装置区无组织废气</w:t>
            </w:r>
          </w:p>
        </w:tc>
        <w:tc>
          <w:tcPr>
            <w:tcW w:w="1936" w:type="dxa"/>
            <w:tcBorders>
              <w:left w:val="single" w:sz="4" w:space="0" w:color="auto"/>
              <w:right w:val="single" w:sz="4" w:space="0" w:color="auto"/>
            </w:tcBorders>
            <w:vAlign w:val="center"/>
          </w:tcPr>
          <w:p w:rsidR="00475650" w:rsidRDefault="00475650">
            <w:pPr>
              <w:spacing w:line="240" w:lineRule="exact"/>
              <w:jc w:val="left"/>
              <w:rPr>
                <w:szCs w:val="21"/>
              </w:rPr>
            </w:pPr>
            <w:r>
              <w:rPr>
                <w:rFonts w:hAnsi="宋体" w:hint="eastAsia"/>
                <w:szCs w:val="21"/>
              </w:rPr>
              <w:t>生产区</w:t>
            </w:r>
          </w:p>
        </w:tc>
        <w:tc>
          <w:tcPr>
            <w:tcW w:w="4971" w:type="dxa"/>
            <w:gridSpan w:val="3"/>
            <w:vAlign w:val="center"/>
          </w:tcPr>
          <w:p w:rsidR="00475650" w:rsidRDefault="00475650">
            <w:pPr>
              <w:spacing w:line="240" w:lineRule="exact"/>
              <w:jc w:val="left"/>
              <w:rPr>
                <w:szCs w:val="21"/>
              </w:rPr>
            </w:pPr>
            <w:r>
              <w:rPr>
                <w:rFonts w:hAnsi="宋体"/>
                <w:szCs w:val="21"/>
              </w:rPr>
              <w:t>车间内通风</w:t>
            </w:r>
          </w:p>
        </w:tc>
        <w:tc>
          <w:tcPr>
            <w:tcW w:w="1637" w:type="dxa"/>
            <w:tcBorders>
              <w:right w:val="single" w:sz="4" w:space="0" w:color="auto"/>
            </w:tcBorders>
            <w:vAlign w:val="center"/>
          </w:tcPr>
          <w:p w:rsidR="00475650" w:rsidRDefault="00475650">
            <w:pPr>
              <w:spacing w:line="240" w:lineRule="exact"/>
              <w:jc w:val="left"/>
              <w:rPr>
                <w:szCs w:val="21"/>
              </w:rPr>
            </w:pPr>
            <w:r>
              <w:rPr>
                <w:rFonts w:hAnsi="宋体"/>
                <w:szCs w:val="21"/>
              </w:rPr>
              <w:t>粉尘、氨气、氯化氢</w:t>
            </w:r>
          </w:p>
        </w:tc>
        <w:tc>
          <w:tcPr>
            <w:tcW w:w="3096" w:type="dxa"/>
            <w:vMerge/>
            <w:tcBorders>
              <w:left w:val="single" w:sz="4" w:space="0" w:color="auto"/>
              <w:right w:val="single" w:sz="4" w:space="0" w:color="auto"/>
            </w:tcBorders>
            <w:vAlign w:val="center"/>
          </w:tcPr>
          <w:p w:rsidR="00475650" w:rsidRDefault="00475650">
            <w:pPr>
              <w:spacing w:line="240" w:lineRule="exact"/>
              <w:jc w:val="left"/>
              <w:rPr>
                <w:szCs w:val="21"/>
              </w:rPr>
            </w:pPr>
          </w:p>
        </w:tc>
      </w:tr>
      <w:tr w:rsidR="00475650" w:rsidTr="007C19B0">
        <w:trPr>
          <w:trHeight w:val="360"/>
          <w:jc w:val="center"/>
        </w:trPr>
        <w:tc>
          <w:tcPr>
            <w:tcW w:w="466" w:type="dxa"/>
            <w:vMerge w:val="restart"/>
            <w:tcBorders>
              <w:right w:val="single" w:sz="4" w:space="0" w:color="auto"/>
            </w:tcBorders>
            <w:vAlign w:val="center"/>
          </w:tcPr>
          <w:p w:rsidR="00475650" w:rsidRDefault="00475650">
            <w:pPr>
              <w:spacing w:line="240" w:lineRule="exact"/>
              <w:jc w:val="left"/>
              <w:rPr>
                <w:szCs w:val="21"/>
              </w:rPr>
            </w:pPr>
            <w:r>
              <w:rPr>
                <w:rFonts w:hAnsi="宋体"/>
                <w:szCs w:val="21"/>
              </w:rPr>
              <w:t>废水</w:t>
            </w:r>
          </w:p>
        </w:tc>
        <w:tc>
          <w:tcPr>
            <w:tcW w:w="2069" w:type="dxa"/>
            <w:tcBorders>
              <w:left w:val="single" w:sz="4" w:space="0" w:color="auto"/>
              <w:right w:val="single" w:sz="4" w:space="0" w:color="auto"/>
            </w:tcBorders>
            <w:vAlign w:val="center"/>
          </w:tcPr>
          <w:p w:rsidR="00475650" w:rsidRDefault="00475650">
            <w:pPr>
              <w:spacing w:line="240" w:lineRule="exact"/>
              <w:jc w:val="left"/>
              <w:rPr>
                <w:szCs w:val="21"/>
              </w:rPr>
            </w:pPr>
            <w:r>
              <w:rPr>
                <w:rFonts w:hAnsi="宋体"/>
                <w:szCs w:val="21"/>
              </w:rPr>
              <w:t>生产废水</w:t>
            </w:r>
          </w:p>
        </w:tc>
        <w:tc>
          <w:tcPr>
            <w:tcW w:w="1936" w:type="dxa"/>
            <w:tcBorders>
              <w:left w:val="single" w:sz="4" w:space="0" w:color="auto"/>
              <w:right w:val="single" w:sz="4" w:space="0" w:color="auto"/>
            </w:tcBorders>
            <w:vAlign w:val="center"/>
          </w:tcPr>
          <w:p w:rsidR="00475650" w:rsidRDefault="00475650">
            <w:pPr>
              <w:spacing w:line="240" w:lineRule="exact"/>
              <w:jc w:val="left"/>
              <w:rPr>
                <w:szCs w:val="21"/>
              </w:rPr>
            </w:pPr>
            <w:r>
              <w:rPr>
                <w:rFonts w:hAnsi="宋体"/>
                <w:szCs w:val="21"/>
              </w:rPr>
              <w:t>预处理装置</w:t>
            </w:r>
          </w:p>
        </w:tc>
        <w:tc>
          <w:tcPr>
            <w:tcW w:w="4971" w:type="dxa"/>
            <w:gridSpan w:val="3"/>
            <w:vAlign w:val="center"/>
          </w:tcPr>
          <w:p w:rsidR="00475650" w:rsidRDefault="00475650">
            <w:pPr>
              <w:spacing w:line="240" w:lineRule="exact"/>
              <w:jc w:val="left"/>
              <w:rPr>
                <w:szCs w:val="21"/>
              </w:rPr>
            </w:pPr>
            <w:r>
              <w:rPr>
                <w:rFonts w:hint="eastAsia"/>
                <w:szCs w:val="21"/>
              </w:rPr>
              <w:t>隔油</w:t>
            </w:r>
            <w:r>
              <w:rPr>
                <w:rFonts w:hint="eastAsia"/>
                <w:szCs w:val="21"/>
              </w:rPr>
              <w:t>+</w:t>
            </w:r>
            <w:r>
              <w:rPr>
                <w:szCs w:val="21"/>
              </w:rPr>
              <w:t>pH</w:t>
            </w:r>
            <w:r>
              <w:rPr>
                <w:rFonts w:hAnsi="宋体"/>
                <w:szCs w:val="21"/>
              </w:rPr>
              <w:t>调节沉淀</w:t>
            </w:r>
            <w:r>
              <w:rPr>
                <w:szCs w:val="21"/>
              </w:rPr>
              <w:t>+</w:t>
            </w:r>
            <w:r>
              <w:rPr>
                <w:rFonts w:hint="eastAsia"/>
                <w:szCs w:val="21"/>
              </w:rPr>
              <w:t>活性炭吸附</w:t>
            </w:r>
            <w:r>
              <w:rPr>
                <w:rFonts w:hint="eastAsia"/>
                <w:szCs w:val="21"/>
              </w:rPr>
              <w:t>+</w:t>
            </w:r>
            <w:r>
              <w:rPr>
                <w:rFonts w:hAnsi="宋体"/>
                <w:szCs w:val="21"/>
              </w:rPr>
              <w:t>蒸发脱盐</w:t>
            </w:r>
            <w:r>
              <w:rPr>
                <w:szCs w:val="21"/>
              </w:rPr>
              <w:t>+</w:t>
            </w:r>
            <w:r>
              <w:rPr>
                <w:rFonts w:hAnsi="宋体"/>
                <w:szCs w:val="21"/>
              </w:rPr>
              <w:t>微电解</w:t>
            </w:r>
            <w:r>
              <w:rPr>
                <w:szCs w:val="21"/>
              </w:rPr>
              <w:t>+</w:t>
            </w:r>
            <w:r>
              <w:rPr>
                <w:rFonts w:hAnsi="宋体"/>
                <w:szCs w:val="21"/>
              </w:rPr>
              <w:t>化学氧化</w:t>
            </w:r>
            <w:r>
              <w:rPr>
                <w:szCs w:val="21"/>
              </w:rPr>
              <w:t>+</w:t>
            </w:r>
            <w:r>
              <w:rPr>
                <w:rFonts w:hAnsi="宋体"/>
                <w:szCs w:val="21"/>
              </w:rPr>
              <w:t>厌氧生化</w:t>
            </w:r>
            <w:r>
              <w:rPr>
                <w:rFonts w:hAnsi="宋体"/>
                <w:szCs w:val="21"/>
              </w:rPr>
              <w:t>+</w:t>
            </w:r>
            <w:r>
              <w:rPr>
                <w:rFonts w:hAnsi="宋体"/>
                <w:szCs w:val="21"/>
              </w:rPr>
              <w:t>生物滤池处理</w:t>
            </w:r>
            <w:r>
              <w:rPr>
                <w:rFonts w:hAnsi="宋体" w:hint="eastAsia"/>
                <w:szCs w:val="21"/>
              </w:rPr>
              <w:t>+</w:t>
            </w:r>
            <w:r>
              <w:rPr>
                <w:rFonts w:hAnsi="宋体" w:hint="eastAsia"/>
                <w:szCs w:val="21"/>
              </w:rPr>
              <w:t>炉膛煤渣吸附；污水预处理厂规模不小于</w:t>
            </w:r>
            <w:r>
              <w:rPr>
                <w:rFonts w:hAnsi="宋体" w:hint="eastAsia"/>
                <w:szCs w:val="21"/>
              </w:rPr>
              <w:t>700m</w:t>
            </w:r>
            <w:r>
              <w:rPr>
                <w:rFonts w:hAnsi="宋体" w:hint="eastAsia"/>
                <w:szCs w:val="21"/>
                <w:vertAlign w:val="superscript"/>
              </w:rPr>
              <w:t>3</w:t>
            </w:r>
            <w:r>
              <w:rPr>
                <w:rFonts w:hAnsi="宋体" w:hint="eastAsia"/>
                <w:szCs w:val="21"/>
              </w:rPr>
              <w:t>/d</w:t>
            </w:r>
          </w:p>
        </w:tc>
        <w:tc>
          <w:tcPr>
            <w:tcW w:w="1637" w:type="dxa"/>
            <w:vMerge w:val="restart"/>
            <w:tcBorders>
              <w:right w:val="single" w:sz="4" w:space="0" w:color="auto"/>
            </w:tcBorders>
            <w:vAlign w:val="center"/>
          </w:tcPr>
          <w:p w:rsidR="00475650" w:rsidRDefault="00475650">
            <w:pPr>
              <w:spacing w:line="240" w:lineRule="exact"/>
              <w:jc w:val="left"/>
              <w:rPr>
                <w:szCs w:val="21"/>
              </w:rPr>
            </w:pPr>
            <w:r>
              <w:rPr>
                <w:rFonts w:hAnsi="宋体"/>
                <w:szCs w:val="21"/>
              </w:rPr>
              <w:t>水量、</w:t>
            </w:r>
            <w:r>
              <w:rPr>
                <w:szCs w:val="21"/>
              </w:rPr>
              <w:t>pH</w:t>
            </w:r>
            <w:r>
              <w:rPr>
                <w:rFonts w:hAnsi="宋体"/>
                <w:szCs w:val="21"/>
              </w:rPr>
              <w:t>、</w:t>
            </w:r>
            <w:r>
              <w:rPr>
                <w:szCs w:val="21"/>
              </w:rPr>
              <w:t>COD</w:t>
            </w:r>
            <w:r>
              <w:rPr>
                <w:rFonts w:hAnsi="宋体"/>
                <w:szCs w:val="21"/>
              </w:rPr>
              <w:t>、</w:t>
            </w:r>
            <w:r>
              <w:rPr>
                <w:szCs w:val="21"/>
              </w:rPr>
              <w:t>SS</w:t>
            </w:r>
            <w:r>
              <w:rPr>
                <w:rFonts w:hAnsi="宋体"/>
                <w:szCs w:val="21"/>
              </w:rPr>
              <w:t>、色度、氨氮、</w:t>
            </w:r>
            <w:r>
              <w:rPr>
                <w:rFonts w:hAnsi="宋体" w:hint="eastAsia"/>
                <w:szCs w:val="21"/>
              </w:rPr>
              <w:t>盐分、挥发酚</w:t>
            </w:r>
          </w:p>
        </w:tc>
        <w:tc>
          <w:tcPr>
            <w:tcW w:w="3096" w:type="dxa"/>
            <w:vMerge w:val="restart"/>
            <w:tcBorders>
              <w:left w:val="single" w:sz="4" w:space="0" w:color="auto"/>
              <w:right w:val="single" w:sz="4" w:space="0" w:color="auto"/>
            </w:tcBorders>
            <w:vAlign w:val="center"/>
          </w:tcPr>
          <w:p w:rsidR="00475650" w:rsidRDefault="00475650">
            <w:pPr>
              <w:spacing w:line="240" w:lineRule="exact"/>
              <w:jc w:val="left"/>
              <w:rPr>
                <w:szCs w:val="21"/>
              </w:rPr>
            </w:pPr>
            <w:r>
              <w:rPr>
                <w:rFonts w:hAnsi="宋体"/>
                <w:szCs w:val="21"/>
              </w:rPr>
              <w:t>满足园区污水处理厂进水水质要求</w:t>
            </w:r>
          </w:p>
        </w:tc>
      </w:tr>
      <w:tr w:rsidR="00475650" w:rsidTr="007C19B0">
        <w:trPr>
          <w:trHeight w:val="360"/>
          <w:jc w:val="center"/>
        </w:trPr>
        <w:tc>
          <w:tcPr>
            <w:tcW w:w="466" w:type="dxa"/>
            <w:vMerge/>
            <w:tcBorders>
              <w:right w:val="single" w:sz="4" w:space="0" w:color="auto"/>
            </w:tcBorders>
            <w:vAlign w:val="center"/>
          </w:tcPr>
          <w:p w:rsidR="00475650" w:rsidRDefault="00475650">
            <w:pPr>
              <w:spacing w:line="240" w:lineRule="exact"/>
              <w:jc w:val="left"/>
              <w:rPr>
                <w:szCs w:val="21"/>
              </w:rPr>
            </w:pPr>
          </w:p>
        </w:tc>
        <w:tc>
          <w:tcPr>
            <w:tcW w:w="2069" w:type="dxa"/>
            <w:tcBorders>
              <w:left w:val="single" w:sz="4" w:space="0" w:color="auto"/>
              <w:right w:val="single" w:sz="4" w:space="0" w:color="auto"/>
            </w:tcBorders>
            <w:vAlign w:val="center"/>
          </w:tcPr>
          <w:p w:rsidR="00475650" w:rsidRDefault="00475650">
            <w:pPr>
              <w:spacing w:line="240" w:lineRule="exact"/>
              <w:jc w:val="left"/>
              <w:rPr>
                <w:szCs w:val="21"/>
              </w:rPr>
            </w:pPr>
            <w:r>
              <w:rPr>
                <w:rFonts w:hAnsi="宋体"/>
                <w:szCs w:val="21"/>
              </w:rPr>
              <w:t>生活废水</w:t>
            </w:r>
          </w:p>
        </w:tc>
        <w:tc>
          <w:tcPr>
            <w:tcW w:w="1936" w:type="dxa"/>
            <w:tcBorders>
              <w:left w:val="single" w:sz="4" w:space="0" w:color="auto"/>
              <w:right w:val="single" w:sz="4" w:space="0" w:color="auto"/>
            </w:tcBorders>
            <w:vAlign w:val="center"/>
          </w:tcPr>
          <w:p w:rsidR="00475650" w:rsidRDefault="00475650">
            <w:pPr>
              <w:spacing w:line="240" w:lineRule="exact"/>
              <w:jc w:val="left"/>
              <w:rPr>
                <w:szCs w:val="21"/>
              </w:rPr>
            </w:pPr>
            <w:r>
              <w:rPr>
                <w:szCs w:val="21"/>
              </w:rPr>
              <w:t>/</w:t>
            </w:r>
          </w:p>
        </w:tc>
        <w:tc>
          <w:tcPr>
            <w:tcW w:w="4971" w:type="dxa"/>
            <w:gridSpan w:val="3"/>
            <w:vAlign w:val="center"/>
          </w:tcPr>
          <w:p w:rsidR="00475650" w:rsidRDefault="00475650">
            <w:pPr>
              <w:spacing w:line="240" w:lineRule="exact"/>
              <w:jc w:val="left"/>
              <w:rPr>
                <w:szCs w:val="21"/>
              </w:rPr>
            </w:pPr>
            <w:r>
              <w:rPr>
                <w:rFonts w:hAnsi="宋体"/>
                <w:szCs w:val="21"/>
              </w:rPr>
              <w:t>由总排口外排至园区污水污水处理厂</w:t>
            </w:r>
          </w:p>
        </w:tc>
        <w:tc>
          <w:tcPr>
            <w:tcW w:w="1637" w:type="dxa"/>
            <w:vMerge/>
            <w:tcBorders>
              <w:right w:val="single" w:sz="4" w:space="0" w:color="auto"/>
            </w:tcBorders>
            <w:vAlign w:val="center"/>
          </w:tcPr>
          <w:p w:rsidR="00475650" w:rsidRDefault="00475650">
            <w:pPr>
              <w:spacing w:line="240" w:lineRule="exact"/>
              <w:jc w:val="left"/>
              <w:rPr>
                <w:szCs w:val="21"/>
              </w:rPr>
            </w:pPr>
          </w:p>
        </w:tc>
        <w:tc>
          <w:tcPr>
            <w:tcW w:w="3096" w:type="dxa"/>
            <w:vMerge/>
            <w:tcBorders>
              <w:left w:val="single" w:sz="4" w:space="0" w:color="auto"/>
              <w:right w:val="single" w:sz="4" w:space="0" w:color="auto"/>
            </w:tcBorders>
            <w:vAlign w:val="center"/>
          </w:tcPr>
          <w:p w:rsidR="00475650" w:rsidRDefault="00475650">
            <w:pPr>
              <w:spacing w:line="240" w:lineRule="exact"/>
              <w:jc w:val="left"/>
              <w:rPr>
                <w:szCs w:val="21"/>
              </w:rPr>
            </w:pPr>
          </w:p>
        </w:tc>
      </w:tr>
      <w:tr w:rsidR="00475650" w:rsidTr="007C19B0">
        <w:trPr>
          <w:trHeight w:val="360"/>
          <w:jc w:val="center"/>
        </w:trPr>
        <w:tc>
          <w:tcPr>
            <w:tcW w:w="466" w:type="dxa"/>
            <w:vMerge w:val="restart"/>
            <w:tcBorders>
              <w:right w:val="single" w:sz="4" w:space="0" w:color="auto"/>
            </w:tcBorders>
            <w:vAlign w:val="center"/>
          </w:tcPr>
          <w:p w:rsidR="00475650" w:rsidRDefault="00475650">
            <w:pPr>
              <w:spacing w:line="240" w:lineRule="exact"/>
              <w:jc w:val="left"/>
              <w:rPr>
                <w:szCs w:val="21"/>
              </w:rPr>
            </w:pPr>
            <w:r>
              <w:rPr>
                <w:rFonts w:hAnsi="宋体"/>
                <w:szCs w:val="21"/>
              </w:rPr>
              <w:t>固废</w:t>
            </w:r>
          </w:p>
        </w:tc>
        <w:tc>
          <w:tcPr>
            <w:tcW w:w="2069" w:type="dxa"/>
            <w:tcBorders>
              <w:left w:val="single" w:sz="4" w:space="0" w:color="auto"/>
              <w:right w:val="single" w:sz="4" w:space="0" w:color="auto"/>
            </w:tcBorders>
            <w:vAlign w:val="center"/>
          </w:tcPr>
          <w:p w:rsidR="00475650" w:rsidRDefault="00475650">
            <w:pPr>
              <w:spacing w:line="240" w:lineRule="exact"/>
              <w:jc w:val="left"/>
              <w:rPr>
                <w:szCs w:val="21"/>
              </w:rPr>
            </w:pPr>
            <w:r>
              <w:rPr>
                <w:rFonts w:hAnsi="宋体"/>
                <w:szCs w:val="21"/>
              </w:rPr>
              <w:t>废包装物</w:t>
            </w:r>
          </w:p>
        </w:tc>
        <w:tc>
          <w:tcPr>
            <w:tcW w:w="1936" w:type="dxa"/>
            <w:tcBorders>
              <w:left w:val="single" w:sz="4" w:space="0" w:color="auto"/>
              <w:right w:val="single" w:sz="4" w:space="0" w:color="auto"/>
            </w:tcBorders>
            <w:vAlign w:val="center"/>
          </w:tcPr>
          <w:p w:rsidR="00475650" w:rsidRDefault="00475650">
            <w:pPr>
              <w:spacing w:line="240" w:lineRule="exact"/>
              <w:jc w:val="left"/>
              <w:rPr>
                <w:szCs w:val="21"/>
              </w:rPr>
            </w:pPr>
            <w:r>
              <w:rPr>
                <w:rFonts w:hAnsi="宋体"/>
                <w:szCs w:val="21"/>
              </w:rPr>
              <w:t>原辅材料仓库</w:t>
            </w:r>
          </w:p>
        </w:tc>
        <w:tc>
          <w:tcPr>
            <w:tcW w:w="4971" w:type="dxa"/>
            <w:gridSpan w:val="3"/>
            <w:vAlign w:val="center"/>
          </w:tcPr>
          <w:p w:rsidR="00475650" w:rsidRDefault="00475650">
            <w:pPr>
              <w:spacing w:line="240" w:lineRule="exact"/>
              <w:jc w:val="left"/>
              <w:rPr>
                <w:szCs w:val="21"/>
              </w:rPr>
            </w:pPr>
            <w:r>
              <w:rPr>
                <w:rFonts w:hAnsi="宋体"/>
                <w:szCs w:val="21"/>
              </w:rPr>
              <w:t>厂家回收</w:t>
            </w:r>
          </w:p>
        </w:tc>
        <w:tc>
          <w:tcPr>
            <w:tcW w:w="1637" w:type="dxa"/>
            <w:vMerge w:val="restart"/>
            <w:tcBorders>
              <w:right w:val="single" w:sz="4" w:space="0" w:color="auto"/>
            </w:tcBorders>
            <w:vAlign w:val="center"/>
          </w:tcPr>
          <w:p w:rsidR="00475650" w:rsidRDefault="00475650">
            <w:pPr>
              <w:spacing w:line="240" w:lineRule="exact"/>
              <w:jc w:val="left"/>
              <w:rPr>
                <w:szCs w:val="21"/>
              </w:rPr>
            </w:pPr>
            <w:r>
              <w:rPr>
                <w:szCs w:val="21"/>
              </w:rPr>
              <w:t>/</w:t>
            </w:r>
          </w:p>
        </w:tc>
        <w:tc>
          <w:tcPr>
            <w:tcW w:w="3096" w:type="dxa"/>
            <w:vMerge w:val="restart"/>
            <w:tcBorders>
              <w:left w:val="single" w:sz="4" w:space="0" w:color="auto"/>
              <w:right w:val="single" w:sz="4" w:space="0" w:color="auto"/>
            </w:tcBorders>
            <w:vAlign w:val="center"/>
          </w:tcPr>
          <w:p w:rsidR="00475650" w:rsidRDefault="00475650">
            <w:pPr>
              <w:spacing w:line="240" w:lineRule="exact"/>
              <w:jc w:val="left"/>
              <w:rPr>
                <w:szCs w:val="21"/>
              </w:rPr>
            </w:pPr>
            <w:r>
              <w:rPr>
                <w:rFonts w:hAnsi="宋体"/>
                <w:szCs w:val="21"/>
              </w:rPr>
              <w:t>固体废物得到合理处理处置，不外排</w:t>
            </w:r>
          </w:p>
        </w:tc>
      </w:tr>
      <w:tr w:rsidR="007C19B0" w:rsidTr="007C19B0">
        <w:trPr>
          <w:trHeight w:val="360"/>
          <w:jc w:val="center"/>
        </w:trPr>
        <w:tc>
          <w:tcPr>
            <w:tcW w:w="466" w:type="dxa"/>
            <w:vMerge/>
            <w:tcBorders>
              <w:right w:val="single" w:sz="4" w:space="0" w:color="auto"/>
            </w:tcBorders>
            <w:vAlign w:val="center"/>
          </w:tcPr>
          <w:p w:rsidR="007C19B0" w:rsidRDefault="007C19B0">
            <w:pPr>
              <w:spacing w:line="240" w:lineRule="exact"/>
              <w:jc w:val="left"/>
              <w:rPr>
                <w:szCs w:val="21"/>
              </w:rPr>
            </w:pPr>
          </w:p>
        </w:tc>
        <w:tc>
          <w:tcPr>
            <w:tcW w:w="2069" w:type="dxa"/>
            <w:tcBorders>
              <w:left w:val="single" w:sz="4" w:space="0" w:color="auto"/>
              <w:right w:val="single" w:sz="4" w:space="0" w:color="auto"/>
            </w:tcBorders>
            <w:vAlign w:val="center"/>
          </w:tcPr>
          <w:p w:rsidR="007C19B0" w:rsidRDefault="007C19B0">
            <w:pPr>
              <w:spacing w:line="240" w:lineRule="exact"/>
              <w:jc w:val="left"/>
              <w:rPr>
                <w:szCs w:val="21"/>
              </w:rPr>
            </w:pPr>
            <w:r>
              <w:rPr>
                <w:rFonts w:hAnsi="宋体"/>
                <w:szCs w:val="21"/>
              </w:rPr>
              <w:t>污水处理站污泥</w:t>
            </w:r>
          </w:p>
        </w:tc>
        <w:tc>
          <w:tcPr>
            <w:tcW w:w="1936" w:type="dxa"/>
            <w:tcBorders>
              <w:left w:val="single" w:sz="4" w:space="0" w:color="auto"/>
              <w:right w:val="single" w:sz="4" w:space="0" w:color="auto"/>
            </w:tcBorders>
            <w:vAlign w:val="center"/>
          </w:tcPr>
          <w:p w:rsidR="007C19B0" w:rsidRDefault="007C19B0">
            <w:pPr>
              <w:spacing w:line="240" w:lineRule="exact"/>
              <w:jc w:val="left"/>
              <w:rPr>
                <w:szCs w:val="21"/>
              </w:rPr>
            </w:pPr>
            <w:r>
              <w:rPr>
                <w:rFonts w:hAnsi="宋体"/>
                <w:szCs w:val="21"/>
              </w:rPr>
              <w:t>污水处理设施</w:t>
            </w:r>
          </w:p>
        </w:tc>
        <w:tc>
          <w:tcPr>
            <w:tcW w:w="3648" w:type="dxa"/>
            <w:gridSpan w:val="2"/>
            <w:tcBorders>
              <w:right w:val="single" w:sz="4" w:space="0" w:color="auto"/>
            </w:tcBorders>
            <w:vAlign w:val="center"/>
          </w:tcPr>
          <w:p w:rsidR="007C19B0" w:rsidRDefault="007C19B0">
            <w:pPr>
              <w:spacing w:line="240" w:lineRule="exact"/>
              <w:jc w:val="left"/>
              <w:rPr>
                <w:szCs w:val="21"/>
              </w:rPr>
            </w:pPr>
            <w:r>
              <w:rPr>
                <w:rFonts w:hAnsi="宋体" w:hint="eastAsia"/>
                <w:szCs w:val="21"/>
              </w:rPr>
              <w:t>外委有资质的单位处理处置</w:t>
            </w:r>
          </w:p>
        </w:tc>
        <w:tc>
          <w:tcPr>
            <w:tcW w:w="1323" w:type="dxa"/>
            <w:vMerge w:val="restart"/>
            <w:tcBorders>
              <w:left w:val="single" w:sz="4" w:space="0" w:color="auto"/>
            </w:tcBorders>
            <w:vAlign w:val="center"/>
          </w:tcPr>
          <w:p w:rsidR="007C19B0" w:rsidRPr="007C19B0" w:rsidRDefault="007C19B0" w:rsidP="007C19B0">
            <w:pPr>
              <w:spacing w:line="240" w:lineRule="exact"/>
              <w:jc w:val="left"/>
              <w:rPr>
                <w:rFonts w:eastAsiaTheme="minorEastAsia"/>
                <w:szCs w:val="21"/>
              </w:rPr>
            </w:pPr>
            <w:r>
              <w:rPr>
                <w:rFonts w:eastAsiaTheme="minorEastAsia" w:hint="eastAsia"/>
                <w:szCs w:val="21"/>
              </w:rPr>
              <w:t>设危险固废暂存库，暂存库容积大于等于</w:t>
            </w:r>
            <w:r>
              <w:rPr>
                <w:rFonts w:eastAsiaTheme="minorEastAsia" w:hint="eastAsia"/>
                <w:szCs w:val="21"/>
              </w:rPr>
              <w:t>200m</w:t>
            </w:r>
            <w:r w:rsidRPr="007C19B0">
              <w:rPr>
                <w:rFonts w:eastAsiaTheme="minorEastAsia" w:hint="eastAsia"/>
                <w:szCs w:val="21"/>
                <w:vertAlign w:val="superscript"/>
              </w:rPr>
              <w:t>3</w:t>
            </w:r>
            <w:r>
              <w:rPr>
                <w:rFonts w:eastAsiaTheme="minorEastAsia" w:hint="eastAsia"/>
                <w:szCs w:val="21"/>
              </w:rPr>
              <w:t>，且建设要求应满足</w:t>
            </w:r>
            <w:r>
              <w:rPr>
                <w:rFonts w:hAnsi="宋体" w:hint="eastAsia"/>
                <w:szCs w:val="21"/>
                <w:u w:val="single"/>
              </w:rPr>
              <w:t>《危险废物贮存污染控制标准》（</w:t>
            </w:r>
            <w:r>
              <w:rPr>
                <w:rFonts w:hAnsi="宋体" w:hint="eastAsia"/>
                <w:szCs w:val="21"/>
                <w:u w:val="single"/>
              </w:rPr>
              <w:t>GB 18597-2001</w:t>
            </w:r>
            <w:r>
              <w:rPr>
                <w:rFonts w:hAnsi="宋体" w:hint="eastAsia"/>
                <w:szCs w:val="21"/>
                <w:u w:val="single"/>
              </w:rPr>
              <w:t>）</w:t>
            </w:r>
          </w:p>
        </w:tc>
        <w:tc>
          <w:tcPr>
            <w:tcW w:w="1637" w:type="dxa"/>
            <w:vMerge/>
            <w:tcBorders>
              <w:right w:val="single" w:sz="4" w:space="0" w:color="auto"/>
            </w:tcBorders>
            <w:vAlign w:val="center"/>
          </w:tcPr>
          <w:p w:rsidR="007C19B0" w:rsidRDefault="007C19B0">
            <w:pPr>
              <w:spacing w:line="240" w:lineRule="exact"/>
              <w:jc w:val="left"/>
              <w:rPr>
                <w:szCs w:val="21"/>
              </w:rPr>
            </w:pPr>
          </w:p>
        </w:tc>
        <w:tc>
          <w:tcPr>
            <w:tcW w:w="3096" w:type="dxa"/>
            <w:vMerge/>
            <w:tcBorders>
              <w:left w:val="single" w:sz="4" w:space="0" w:color="auto"/>
              <w:right w:val="single" w:sz="4" w:space="0" w:color="auto"/>
            </w:tcBorders>
            <w:vAlign w:val="center"/>
          </w:tcPr>
          <w:p w:rsidR="007C19B0" w:rsidRDefault="007C19B0">
            <w:pPr>
              <w:spacing w:line="240" w:lineRule="exact"/>
              <w:jc w:val="left"/>
              <w:rPr>
                <w:szCs w:val="21"/>
              </w:rPr>
            </w:pPr>
          </w:p>
        </w:tc>
      </w:tr>
      <w:tr w:rsidR="007C19B0" w:rsidTr="007C19B0">
        <w:trPr>
          <w:trHeight w:val="360"/>
          <w:jc w:val="center"/>
        </w:trPr>
        <w:tc>
          <w:tcPr>
            <w:tcW w:w="466" w:type="dxa"/>
            <w:vMerge/>
            <w:tcBorders>
              <w:right w:val="single" w:sz="4" w:space="0" w:color="auto"/>
            </w:tcBorders>
            <w:vAlign w:val="center"/>
          </w:tcPr>
          <w:p w:rsidR="007C19B0" w:rsidRDefault="007C19B0">
            <w:pPr>
              <w:spacing w:line="240" w:lineRule="exact"/>
              <w:jc w:val="left"/>
              <w:rPr>
                <w:szCs w:val="21"/>
              </w:rPr>
            </w:pPr>
          </w:p>
        </w:tc>
        <w:tc>
          <w:tcPr>
            <w:tcW w:w="2069" w:type="dxa"/>
            <w:tcBorders>
              <w:left w:val="single" w:sz="4" w:space="0" w:color="auto"/>
              <w:right w:val="single" w:sz="4" w:space="0" w:color="auto"/>
            </w:tcBorders>
            <w:vAlign w:val="center"/>
          </w:tcPr>
          <w:p w:rsidR="007C19B0" w:rsidRDefault="007C19B0">
            <w:pPr>
              <w:spacing w:line="240" w:lineRule="exact"/>
              <w:jc w:val="left"/>
              <w:rPr>
                <w:szCs w:val="21"/>
                <w:u w:val="single"/>
              </w:rPr>
            </w:pPr>
            <w:r>
              <w:rPr>
                <w:rFonts w:hAnsi="宋体"/>
                <w:szCs w:val="21"/>
                <w:u w:val="single"/>
              </w:rPr>
              <w:t>污水处理站析出盐</w:t>
            </w:r>
          </w:p>
        </w:tc>
        <w:tc>
          <w:tcPr>
            <w:tcW w:w="1936" w:type="dxa"/>
            <w:tcBorders>
              <w:left w:val="single" w:sz="4" w:space="0" w:color="auto"/>
              <w:right w:val="single" w:sz="4" w:space="0" w:color="auto"/>
            </w:tcBorders>
            <w:vAlign w:val="center"/>
          </w:tcPr>
          <w:p w:rsidR="007C19B0" w:rsidRDefault="007C19B0">
            <w:pPr>
              <w:spacing w:line="240" w:lineRule="exact"/>
              <w:jc w:val="left"/>
              <w:rPr>
                <w:szCs w:val="21"/>
                <w:u w:val="single"/>
              </w:rPr>
            </w:pPr>
            <w:r>
              <w:rPr>
                <w:rFonts w:hAnsi="宋体"/>
                <w:szCs w:val="21"/>
                <w:u w:val="single"/>
              </w:rPr>
              <w:t>污水处理设施</w:t>
            </w:r>
          </w:p>
        </w:tc>
        <w:tc>
          <w:tcPr>
            <w:tcW w:w="3648" w:type="dxa"/>
            <w:gridSpan w:val="2"/>
            <w:tcBorders>
              <w:right w:val="single" w:sz="4" w:space="0" w:color="auto"/>
            </w:tcBorders>
            <w:vAlign w:val="center"/>
          </w:tcPr>
          <w:p w:rsidR="007C19B0" w:rsidRDefault="007C19B0">
            <w:pPr>
              <w:spacing w:line="240" w:lineRule="exact"/>
              <w:jc w:val="left"/>
              <w:rPr>
                <w:szCs w:val="21"/>
                <w:u w:val="single"/>
              </w:rPr>
            </w:pPr>
            <w:r>
              <w:rPr>
                <w:rFonts w:hAnsi="宋体" w:hint="eastAsia"/>
                <w:szCs w:val="21"/>
                <w:u w:val="single"/>
              </w:rPr>
              <w:t>竣工验收期间对三效蒸发产生的盐进行危险性质鉴别，按照其所属性质分质处理，如鉴定结果属于危险废物，应按照《危险废物贮存污染控制标准》（</w:t>
            </w:r>
            <w:r>
              <w:rPr>
                <w:rFonts w:hAnsi="宋体" w:hint="eastAsia"/>
                <w:szCs w:val="21"/>
                <w:u w:val="single"/>
              </w:rPr>
              <w:t>GB 18597-2001</w:t>
            </w:r>
            <w:r>
              <w:rPr>
                <w:rFonts w:hAnsi="宋体" w:hint="eastAsia"/>
                <w:szCs w:val="21"/>
                <w:u w:val="single"/>
              </w:rPr>
              <w:t>）对该物质进行处理处置，外委有相应处理资质的单位处理；如业主意向作为副产品外售，则需有相关管理部门出具的关于本项目符合市场流通产品质量标准的认定材料及接收单位与本公司签订的购买协议</w:t>
            </w:r>
          </w:p>
        </w:tc>
        <w:tc>
          <w:tcPr>
            <w:tcW w:w="1323" w:type="dxa"/>
            <w:vMerge/>
            <w:tcBorders>
              <w:left w:val="single" w:sz="4" w:space="0" w:color="auto"/>
            </w:tcBorders>
            <w:vAlign w:val="center"/>
          </w:tcPr>
          <w:p w:rsidR="007C19B0" w:rsidRDefault="007C19B0">
            <w:pPr>
              <w:spacing w:line="240" w:lineRule="exact"/>
              <w:jc w:val="left"/>
              <w:rPr>
                <w:szCs w:val="21"/>
                <w:u w:val="single"/>
              </w:rPr>
            </w:pPr>
          </w:p>
        </w:tc>
        <w:tc>
          <w:tcPr>
            <w:tcW w:w="1637" w:type="dxa"/>
            <w:vMerge/>
            <w:tcBorders>
              <w:right w:val="single" w:sz="4" w:space="0" w:color="auto"/>
            </w:tcBorders>
            <w:vAlign w:val="center"/>
          </w:tcPr>
          <w:p w:rsidR="007C19B0" w:rsidRDefault="007C19B0">
            <w:pPr>
              <w:spacing w:line="240" w:lineRule="exact"/>
              <w:jc w:val="left"/>
              <w:rPr>
                <w:szCs w:val="21"/>
              </w:rPr>
            </w:pPr>
          </w:p>
        </w:tc>
        <w:tc>
          <w:tcPr>
            <w:tcW w:w="3096" w:type="dxa"/>
            <w:vMerge/>
            <w:tcBorders>
              <w:left w:val="single" w:sz="4" w:space="0" w:color="auto"/>
              <w:right w:val="single" w:sz="4" w:space="0" w:color="auto"/>
            </w:tcBorders>
            <w:vAlign w:val="center"/>
          </w:tcPr>
          <w:p w:rsidR="007C19B0" w:rsidRDefault="007C19B0">
            <w:pPr>
              <w:spacing w:line="240" w:lineRule="exact"/>
              <w:jc w:val="left"/>
              <w:rPr>
                <w:szCs w:val="21"/>
              </w:rPr>
            </w:pPr>
          </w:p>
        </w:tc>
      </w:tr>
      <w:tr w:rsidR="00475650" w:rsidTr="007C19B0">
        <w:trPr>
          <w:trHeight w:val="360"/>
          <w:jc w:val="center"/>
        </w:trPr>
        <w:tc>
          <w:tcPr>
            <w:tcW w:w="466" w:type="dxa"/>
            <w:vMerge/>
            <w:tcBorders>
              <w:right w:val="single" w:sz="4" w:space="0" w:color="auto"/>
            </w:tcBorders>
            <w:vAlign w:val="center"/>
          </w:tcPr>
          <w:p w:rsidR="00475650" w:rsidRDefault="00475650">
            <w:pPr>
              <w:spacing w:line="240" w:lineRule="exact"/>
              <w:jc w:val="left"/>
              <w:rPr>
                <w:szCs w:val="21"/>
              </w:rPr>
            </w:pPr>
          </w:p>
        </w:tc>
        <w:tc>
          <w:tcPr>
            <w:tcW w:w="2069" w:type="dxa"/>
            <w:tcBorders>
              <w:left w:val="single" w:sz="4" w:space="0" w:color="auto"/>
              <w:right w:val="single" w:sz="4" w:space="0" w:color="auto"/>
            </w:tcBorders>
            <w:vAlign w:val="center"/>
          </w:tcPr>
          <w:p w:rsidR="00475650" w:rsidRDefault="00475650">
            <w:pPr>
              <w:spacing w:line="240" w:lineRule="exact"/>
              <w:jc w:val="left"/>
              <w:rPr>
                <w:szCs w:val="21"/>
              </w:rPr>
            </w:pPr>
            <w:r>
              <w:rPr>
                <w:rFonts w:hAnsi="宋体"/>
                <w:szCs w:val="21"/>
              </w:rPr>
              <w:t>生活垃圾</w:t>
            </w:r>
          </w:p>
        </w:tc>
        <w:tc>
          <w:tcPr>
            <w:tcW w:w="1936" w:type="dxa"/>
            <w:tcBorders>
              <w:left w:val="single" w:sz="4" w:space="0" w:color="auto"/>
              <w:right w:val="single" w:sz="4" w:space="0" w:color="auto"/>
            </w:tcBorders>
            <w:vAlign w:val="center"/>
          </w:tcPr>
          <w:p w:rsidR="00475650" w:rsidRDefault="00475650">
            <w:pPr>
              <w:spacing w:line="240" w:lineRule="exact"/>
              <w:jc w:val="left"/>
              <w:rPr>
                <w:szCs w:val="21"/>
              </w:rPr>
            </w:pPr>
            <w:r>
              <w:rPr>
                <w:szCs w:val="21"/>
              </w:rPr>
              <w:t>/</w:t>
            </w:r>
          </w:p>
        </w:tc>
        <w:tc>
          <w:tcPr>
            <w:tcW w:w="4971" w:type="dxa"/>
            <w:gridSpan w:val="3"/>
            <w:vAlign w:val="center"/>
          </w:tcPr>
          <w:p w:rsidR="00475650" w:rsidRDefault="00475650">
            <w:pPr>
              <w:spacing w:line="240" w:lineRule="exact"/>
              <w:jc w:val="left"/>
              <w:rPr>
                <w:szCs w:val="21"/>
              </w:rPr>
            </w:pPr>
            <w:r>
              <w:rPr>
                <w:rFonts w:hAnsi="宋体"/>
                <w:szCs w:val="21"/>
              </w:rPr>
              <w:t>环卫部分统一收集</w:t>
            </w:r>
          </w:p>
        </w:tc>
        <w:tc>
          <w:tcPr>
            <w:tcW w:w="1637" w:type="dxa"/>
            <w:vMerge/>
            <w:tcBorders>
              <w:right w:val="single" w:sz="4" w:space="0" w:color="auto"/>
            </w:tcBorders>
            <w:vAlign w:val="center"/>
          </w:tcPr>
          <w:p w:rsidR="00475650" w:rsidRDefault="00475650">
            <w:pPr>
              <w:spacing w:line="240" w:lineRule="exact"/>
              <w:jc w:val="left"/>
              <w:rPr>
                <w:szCs w:val="21"/>
              </w:rPr>
            </w:pPr>
          </w:p>
        </w:tc>
        <w:tc>
          <w:tcPr>
            <w:tcW w:w="3096" w:type="dxa"/>
            <w:vMerge/>
            <w:tcBorders>
              <w:left w:val="single" w:sz="4" w:space="0" w:color="auto"/>
              <w:right w:val="single" w:sz="4" w:space="0" w:color="auto"/>
            </w:tcBorders>
            <w:vAlign w:val="center"/>
          </w:tcPr>
          <w:p w:rsidR="00475650" w:rsidRDefault="00475650">
            <w:pPr>
              <w:spacing w:line="240" w:lineRule="exact"/>
              <w:jc w:val="left"/>
              <w:rPr>
                <w:szCs w:val="21"/>
              </w:rPr>
            </w:pPr>
          </w:p>
        </w:tc>
      </w:tr>
      <w:tr w:rsidR="00475650" w:rsidTr="007C19B0">
        <w:trPr>
          <w:trHeight w:val="360"/>
          <w:jc w:val="center"/>
        </w:trPr>
        <w:tc>
          <w:tcPr>
            <w:tcW w:w="466" w:type="dxa"/>
            <w:tcBorders>
              <w:right w:val="single" w:sz="4" w:space="0" w:color="auto"/>
            </w:tcBorders>
            <w:vAlign w:val="center"/>
          </w:tcPr>
          <w:p w:rsidR="00475650" w:rsidRDefault="00475650">
            <w:pPr>
              <w:spacing w:line="240" w:lineRule="exact"/>
              <w:jc w:val="left"/>
              <w:rPr>
                <w:szCs w:val="21"/>
              </w:rPr>
            </w:pPr>
            <w:r>
              <w:rPr>
                <w:rFonts w:hAnsi="宋体"/>
                <w:szCs w:val="21"/>
              </w:rPr>
              <w:lastRenderedPageBreak/>
              <w:t>噪声</w:t>
            </w:r>
          </w:p>
        </w:tc>
        <w:tc>
          <w:tcPr>
            <w:tcW w:w="2069" w:type="dxa"/>
            <w:tcBorders>
              <w:left w:val="single" w:sz="4" w:space="0" w:color="auto"/>
              <w:right w:val="single" w:sz="4" w:space="0" w:color="auto"/>
            </w:tcBorders>
            <w:vAlign w:val="center"/>
          </w:tcPr>
          <w:p w:rsidR="00475650" w:rsidRDefault="00475650">
            <w:pPr>
              <w:spacing w:line="240" w:lineRule="exact"/>
              <w:jc w:val="left"/>
              <w:rPr>
                <w:szCs w:val="21"/>
              </w:rPr>
            </w:pPr>
            <w:r>
              <w:rPr>
                <w:rFonts w:hAnsi="宋体"/>
                <w:szCs w:val="21"/>
              </w:rPr>
              <w:t>压缩机、各类泵、鼓风机等</w:t>
            </w:r>
          </w:p>
        </w:tc>
        <w:tc>
          <w:tcPr>
            <w:tcW w:w="1936" w:type="dxa"/>
            <w:tcBorders>
              <w:left w:val="single" w:sz="4" w:space="0" w:color="auto"/>
              <w:right w:val="single" w:sz="4" w:space="0" w:color="auto"/>
            </w:tcBorders>
            <w:vAlign w:val="center"/>
          </w:tcPr>
          <w:p w:rsidR="00475650" w:rsidRDefault="00475650">
            <w:pPr>
              <w:spacing w:line="240" w:lineRule="exact"/>
              <w:jc w:val="left"/>
              <w:rPr>
                <w:szCs w:val="21"/>
              </w:rPr>
            </w:pPr>
            <w:r>
              <w:rPr>
                <w:rFonts w:hAnsi="宋体"/>
                <w:szCs w:val="21"/>
              </w:rPr>
              <w:t>生产设备</w:t>
            </w:r>
          </w:p>
        </w:tc>
        <w:tc>
          <w:tcPr>
            <w:tcW w:w="4971" w:type="dxa"/>
            <w:gridSpan w:val="3"/>
            <w:vAlign w:val="center"/>
          </w:tcPr>
          <w:p w:rsidR="00475650" w:rsidRDefault="00475650">
            <w:pPr>
              <w:spacing w:line="240" w:lineRule="exact"/>
              <w:jc w:val="left"/>
              <w:rPr>
                <w:szCs w:val="21"/>
              </w:rPr>
            </w:pPr>
            <w:r>
              <w:rPr>
                <w:rFonts w:hAnsi="宋体"/>
                <w:szCs w:val="21"/>
              </w:rPr>
              <w:t>减震；风机进出口设消声器；单独的机房隔声；优化平面布置使其集中布置并远离厂界</w:t>
            </w:r>
          </w:p>
        </w:tc>
        <w:tc>
          <w:tcPr>
            <w:tcW w:w="1637" w:type="dxa"/>
            <w:tcBorders>
              <w:right w:val="single" w:sz="4" w:space="0" w:color="auto"/>
            </w:tcBorders>
            <w:vAlign w:val="center"/>
          </w:tcPr>
          <w:p w:rsidR="00475650" w:rsidRDefault="00475650">
            <w:pPr>
              <w:spacing w:line="240" w:lineRule="exact"/>
              <w:jc w:val="left"/>
              <w:rPr>
                <w:szCs w:val="21"/>
              </w:rPr>
            </w:pPr>
            <w:r>
              <w:rPr>
                <w:rFonts w:hAnsi="宋体"/>
                <w:szCs w:val="21"/>
              </w:rPr>
              <w:t>等效声级</w:t>
            </w:r>
            <w:r>
              <w:rPr>
                <w:szCs w:val="21"/>
              </w:rPr>
              <w:t>Leq</w:t>
            </w:r>
            <w:r>
              <w:rPr>
                <w:szCs w:val="21"/>
                <w:vertAlign w:val="subscript"/>
              </w:rPr>
              <w:t>A</w:t>
            </w:r>
          </w:p>
        </w:tc>
        <w:tc>
          <w:tcPr>
            <w:tcW w:w="3096" w:type="dxa"/>
            <w:tcBorders>
              <w:left w:val="single" w:sz="4" w:space="0" w:color="auto"/>
              <w:right w:val="single" w:sz="4" w:space="0" w:color="auto"/>
            </w:tcBorders>
            <w:vAlign w:val="center"/>
          </w:tcPr>
          <w:p w:rsidR="00475650" w:rsidRDefault="00475650">
            <w:pPr>
              <w:spacing w:line="240" w:lineRule="exact"/>
              <w:jc w:val="left"/>
              <w:rPr>
                <w:szCs w:val="21"/>
              </w:rPr>
            </w:pPr>
            <w:r>
              <w:rPr>
                <w:rFonts w:hAnsi="宋体"/>
                <w:szCs w:val="21"/>
              </w:rPr>
              <w:t>厂界达标</w:t>
            </w:r>
          </w:p>
        </w:tc>
      </w:tr>
      <w:tr w:rsidR="00475650" w:rsidTr="007C19B0">
        <w:trPr>
          <w:trHeight w:val="360"/>
          <w:jc w:val="center"/>
        </w:trPr>
        <w:tc>
          <w:tcPr>
            <w:tcW w:w="466" w:type="dxa"/>
            <w:vMerge w:val="restart"/>
            <w:tcBorders>
              <w:right w:val="single" w:sz="4" w:space="0" w:color="auto"/>
            </w:tcBorders>
            <w:vAlign w:val="center"/>
          </w:tcPr>
          <w:p w:rsidR="00475650" w:rsidRDefault="00475650">
            <w:pPr>
              <w:spacing w:line="240" w:lineRule="exact"/>
              <w:jc w:val="left"/>
              <w:rPr>
                <w:szCs w:val="21"/>
              </w:rPr>
            </w:pPr>
            <w:r>
              <w:rPr>
                <w:rFonts w:hAnsi="宋体"/>
                <w:szCs w:val="21"/>
              </w:rPr>
              <w:t>风险防范</w:t>
            </w:r>
          </w:p>
        </w:tc>
        <w:tc>
          <w:tcPr>
            <w:tcW w:w="4005" w:type="dxa"/>
            <w:gridSpan w:val="2"/>
            <w:tcBorders>
              <w:left w:val="single" w:sz="4" w:space="0" w:color="auto"/>
              <w:right w:val="single" w:sz="4" w:space="0" w:color="auto"/>
            </w:tcBorders>
            <w:vAlign w:val="center"/>
          </w:tcPr>
          <w:p w:rsidR="00475650" w:rsidRDefault="00475650">
            <w:pPr>
              <w:spacing w:line="240" w:lineRule="exact"/>
              <w:jc w:val="left"/>
              <w:rPr>
                <w:szCs w:val="21"/>
              </w:rPr>
            </w:pPr>
            <w:r>
              <w:rPr>
                <w:rFonts w:hAnsi="宋体"/>
                <w:szCs w:val="21"/>
              </w:rPr>
              <w:t>储罐区</w:t>
            </w:r>
          </w:p>
        </w:tc>
        <w:tc>
          <w:tcPr>
            <w:tcW w:w="4971" w:type="dxa"/>
            <w:gridSpan w:val="3"/>
            <w:vAlign w:val="center"/>
          </w:tcPr>
          <w:p w:rsidR="00475650" w:rsidRDefault="00475650">
            <w:pPr>
              <w:spacing w:line="240" w:lineRule="exact"/>
              <w:jc w:val="left"/>
              <w:rPr>
                <w:szCs w:val="21"/>
              </w:rPr>
            </w:pPr>
            <w:r>
              <w:rPr>
                <w:rFonts w:hAnsi="宋体"/>
                <w:szCs w:val="21"/>
              </w:rPr>
              <w:t>盐酸中间罐设围堰、泄漏气检测仪器、喷淋设施等；</w:t>
            </w:r>
            <w:r>
              <w:rPr>
                <w:rFonts w:hAnsi="宋体" w:hint="eastAsia"/>
                <w:szCs w:val="21"/>
              </w:rPr>
              <w:t>乙酸酐储存</w:t>
            </w:r>
            <w:r>
              <w:rPr>
                <w:rFonts w:hAnsi="宋体"/>
                <w:szCs w:val="21"/>
              </w:rPr>
              <w:t>区域</w:t>
            </w:r>
            <w:r>
              <w:rPr>
                <w:rFonts w:hAnsi="宋体" w:hint="eastAsia"/>
                <w:szCs w:val="21"/>
              </w:rPr>
              <w:t>设围堰及导流措施；涉酸储存区域设片碱；</w:t>
            </w:r>
            <w:r>
              <w:rPr>
                <w:rFonts w:hAnsi="宋体"/>
                <w:szCs w:val="21"/>
              </w:rPr>
              <w:t>各物质储运设施等严格按照安全相关要求实施；设事故水收集管网等连接现有事故池</w:t>
            </w:r>
          </w:p>
        </w:tc>
        <w:tc>
          <w:tcPr>
            <w:tcW w:w="1637" w:type="dxa"/>
            <w:vMerge w:val="restart"/>
            <w:tcBorders>
              <w:right w:val="single" w:sz="4" w:space="0" w:color="auto"/>
            </w:tcBorders>
            <w:vAlign w:val="center"/>
          </w:tcPr>
          <w:p w:rsidR="00475650" w:rsidRDefault="00475650">
            <w:pPr>
              <w:spacing w:line="240" w:lineRule="exact"/>
              <w:jc w:val="left"/>
              <w:rPr>
                <w:szCs w:val="21"/>
              </w:rPr>
            </w:pPr>
            <w:r>
              <w:rPr>
                <w:szCs w:val="21"/>
              </w:rPr>
              <w:t>/</w:t>
            </w:r>
          </w:p>
        </w:tc>
        <w:tc>
          <w:tcPr>
            <w:tcW w:w="3096" w:type="dxa"/>
            <w:vMerge w:val="restart"/>
            <w:tcBorders>
              <w:left w:val="single" w:sz="4" w:space="0" w:color="auto"/>
              <w:right w:val="single" w:sz="4" w:space="0" w:color="auto"/>
            </w:tcBorders>
            <w:vAlign w:val="center"/>
          </w:tcPr>
          <w:p w:rsidR="00475650" w:rsidRDefault="00475650">
            <w:pPr>
              <w:spacing w:line="240" w:lineRule="exact"/>
              <w:jc w:val="left"/>
              <w:rPr>
                <w:szCs w:val="21"/>
              </w:rPr>
            </w:pPr>
            <w:r>
              <w:rPr>
                <w:rFonts w:hAnsi="宋体"/>
                <w:szCs w:val="21"/>
              </w:rPr>
              <w:t>减少环境污染事故的发生，有效处理事故情况下的</w:t>
            </w:r>
            <w:r>
              <w:rPr>
                <w:szCs w:val="21"/>
              </w:rPr>
              <w:t>“</w:t>
            </w:r>
            <w:r>
              <w:rPr>
                <w:rFonts w:hAnsi="宋体"/>
                <w:szCs w:val="21"/>
              </w:rPr>
              <w:t>三废</w:t>
            </w:r>
            <w:r>
              <w:rPr>
                <w:szCs w:val="21"/>
              </w:rPr>
              <w:t>”</w:t>
            </w:r>
            <w:r>
              <w:rPr>
                <w:rFonts w:hAnsi="宋体"/>
                <w:szCs w:val="21"/>
              </w:rPr>
              <w:t>非正常外排污染物</w:t>
            </w:r>
          </w:p>
        </w:tc>
      </w:tr>
      <w:tr w:rsidR="00475650" w:rsidTr="007C19B0">
        <w:trPr>
          <w:trHeight w:val="360"/>
          <w:jc w:val="center"/>
        </w:trPr>
        <w:tc>
          <w:tcPr>
            <w:tcW w:w="466" w:type="dxa"/>
            <w:vMerge/>
            <w:tcBorders>
              <w:right w:val="single" w:sz="4" w:space="0" w:color="auto"/>
            </w:tcBorders>
            <w:vAlign w:val="center"/>
          </w:tcPr>
          <w:p w:rsidR="00475650" w:rsidRDefault="00475650">
            <w:pPr>
              <w:spacing w:line="240" w:lineRule="exact"/>
              <w:jc w:val="left"/>
              <w:rPr>
                <w:szCs w:val="21"/>
              </w:rPr>
            </w:pPr>
          </w:p>
        </w:tc>
        <w:tc>
          <w:tcPr>
            <w:tcW w:w="4005" w:type="dxa"/>
            <w:gridSpan w:val="2"/>
            <w:tcBorders>
              <w:left w:val="single" w:sz="4" w:space="0" w:color="auto"/>
              <w:right w:val="single" w:sz="4" w:space="0" w:color="auto"/>
            </w:tcBorders>
            <w:vAlign w:val="center"/>
          </w:tcPr>
          <w:p w:rsidR="00475650" w:rsidRDefault="00475650">
            <w:pPr>
              <w:spacing w:line="240" w:lineRule="exact"/>
              <w:jc w:val="left"/>
              <w:rPr>
                <w:szCs w:val="21"/>
              </w:rPr>
            </w:pPr>
            <w:r>
              <w:rPr>
                <w:rFonts w:hAnsi="宋体"/>
                <w:szCs w:val="21"/>
              </w:rPr>
              <w:t>生产装置区</w:t>
            </w:r>
          </w:p>
        </w:tc>
        <w:tc>
          <w:tcPr>
            <w:tcW w:w="4971" w:type="dxa"/>
            <w:gridSpan w:val="3"/>
            <w:vAlign w:val="center"/>
          </w:tcPr>
          <w:p w:rsidR="00475650" w:rsidRDefault="00475650">
            <w:pPr>
              <w:spacing w:line="240" w:lineRule="exact"/>
              <w:jc w:val="left"/>
              <w:rPr>
                <w:szCs w:val="21"/>
              </w:rPr>
            </w:pPr>
            <w:r>
              <w:rPr>
                <w:rFonts w:hAnsi="宋体"/>
                <w:szCs w:val="21"/>
              </w:rPr>
              <w:t>各生产装置间设置有紧急联合制动设施</w:t>
            </w:r>
          </w:p>
        </w:tc>
        <w:tc>
          <w:tcPr>
            <w:tcW w:w="1637" w:type="dxa"/>
            <w:vMerge/>
            <w:tcBorders>
              <w:right w:val="single" w:sz="4" w:space="0" w:color="auto"/>
            </w:tcBorders>
            <w:vAlign w:val="center"/>
          </w:tcPr>
          <w:p w:rsidR="00475650" w:rsidRDefault="00475650">
            <w:pPr>
              <w:spacing w:line="240" w:lineRule="exact"/>
              <w:jc w:val="left"/>
              <w:rPr>
                <w:szCs w:val="21"/>
              </w:rPr>
            </w:pPr>
          </w:p>
        </w:tc>
        <w:tc>
          <w:tcPr>
            <w:tcW w:w="3096" w:type="dxa"/>
            <w:vMerge/>
            <w:tcBorders>
              <w:left w:val="single" w:sz="4" w:space="0" w:color="auto"/>
              <w:right w:val="single" w:sz="4" w:space="0" w:color="auto"/>
            </w:tcBorders>
            <w:vAlign w:val="center"/>
          </w:tcPr>
          <w:p w:rsidR="00475650" w:rsidRDefault="00475650">
            <w:pPr>
              <w:spacing w:line="240" w:lineRule="exact"/>
              <w:jc w:val="left"/>
              <w:rPr>
                <w:szCs w:val="21"/>
              </w:rPr>
            </w:pPr>
          </w:p>
        </w:tc>
      </w:tr>
      <w:tr w:rsidR="00475650" w:rsidTr="007C19B0">
        <w:trPr>
          <w:trHeight w:val="360"/>
          <w:jc w:val="center"/>
        </w:trPr>
        <w:tc>
          <w:tcPr>
            <w:tcW w:w="466" w:type="dxa"/>
            <w:vMerge/>
            <w:tcBorders>
              <w:right w:val="single" w:sz="4" w:space="0" w:color="auto"/>
            </w:tcBorders>
            <w:vAlign w:val="center"/>
          </w:tcPr>
          <w:p w:rsidR="00475650" w:rsidRDefault="00475650">
            <w:pPr>
              <w:spacing w:line="240" w:lineRule="exact"/>
              <w:jc w:val="left"/>
              <w:rPr>
                <w:szCs w:val="21"/>
              </w:rPr>
            </w:pPr>
          </w:p>
        </w:tc>
        <w:tc>
          <w:tcPr>
            <w:tcW w:w="4005" w:type="dxa"/>
            <w:gridSpan w:val="2"/>
            <w:tcBorders>
              <w:left w:val="single" w:sz="4" w:space="0" w:color="auto"/>
              <w:right w:val="single" w:sz="4" w:space="0" w:color="auto"/>
            </w:tcBorders>
            <w:vAlign w:val="center"/>
          </w:tcPr>
          <w:p w:rsidR="00475650" w:rsidRDefault="00475650">
            <w:pPr>
              <w:spacing w:line="240" w:lineRule="exact"/>
              <w:jc w:val="left"/>
              <w:rPr>
                <w:szCs w:val="21"/>
              </w:rPr>
            </w:pPr>
            <w:r>
              <w:rPr>
                <w:rFonts w:hAnsi="宋体"/>
                <w:szCs w:val="21"/>
              </w:rPr>
              <w:t>风险防范措施与应急预案</w:t>
            </w:r>
          </w:p>
        </w:tc>
        <w:tc>
          <w:tcPr>
            <w:tcW w:w="4971" w:type="dxa"/>
            <w:gridSpan w:val="3"/>
            <w:vAlign w:val="center"/>
          </w:tcPr>
          <w:p w:rsidR="00475650" w:rsidRDefault="00475650">
            <w:pPr>
              <w:spacing w:line="240" w:lineRule="exact"/>
              <w:jc w:val="left"/>
              <w:rPr>
                <w:szCs w:val="21"/>
              </w:rPr>
            </w:pPr>
            <w:r>
              <w:rPr>
                <w:rFonts w:hAnsi="宋体"/>
                <w:szCs w:val="21"/>
              </w:rPr>
              <w:t>制定有效的风险防范措施及应急预案，实施风险责任制，将责任落实到个人，加强风险管理</w:t>
            </w:r>
          </w:p>
        </w:tc>
        <w:tc>
          <w:tcPr>
            <w:tcW w:w="1637" w:type="dxa"/>
            <w:vMerge/>
            <w:tcBorders>
              <w:right w:val="single" w:sz="4" w:space="0" w:color="auto"/>
            </w:tcBorders>
            <w:vAlign w:val="center"/>
          </w:tcPr>
          <w:p w:rsidR="00475650" w:rsidRDefault="00475650">
            <w:pPr>
              <w:spacing w:line="240" w:lineRule="exact"/>
              <w:jc w:val="left"/>
              <w:rPr>
                <w:szCs w:val="21"/>
              </w:rPr>
            </w:pPr>
          </w:p>
        </w:tc>
        <w:tc>
          <w:tcPr>
            <w:tcW w:w="3096" w:type="dxa"/>
            <w:vMerge/>
            <w:tcBorders>
              <w:left w:val="single" w:sz="4" w:space="0" w:color="auto"/>
              <w:right w:val="single" w:sz="4" w:space="0" w:color="auto"/>
            </w:tcBorders>
            <w:vAlign w:val="center"/>
          </w:tcPr>
          <w:p w:rsidR="00475650" w:rsidRDefault="00475650">
            <w:pPr>
              <w:spacing w:line="240" w:lineRule="exact"/>
              <w:jc w:val="left"/>
              <w:rPr>
                <w:szCs w:val="21"/>
              </w:rPr>
            </w:pPr>
          </w:p>
        </w:tc>
      </w:tr>
    </w:tbl>
    <w:p w:rsidR="00475650" w:rsidRDefault="00475650">
      <w:pPr>
        <w:pStyle w:val="1721"/>
        <w:tabs>
          <w:tab w:val="clear" w:pos="284"/>
          <w:tab w:val="clear" w:pos="4060"/>
          <w:tab w:val="center" w:pos="840"/>
        </w:tabs>
        <w:spacing w:before="0" w:line="360" w:lineRule="auto"/>
        <w:rPr>
          <w:rFonts w:ascii="Times New Roman" w:eastAsia="宋体"/>
          <w:b w:val="0"/>
        </w:rPr>
        <w:sectPr w:rsidR="00475650">
          <w:pgSz w:w="16838" w:h="11906" w:orient="landscape"/>
          <w:pgMar w:top="1588" w:right="1418" w:bottom="1588" w:left="1701" w:header="851" w:footer="992" w:gutter="0"/>
          <w:paperSrc w:first="7" w:other="7"/>
          <w:cols w:space="720"/>
          <w:docGrid w:linePitch="312"/>
        </w:sectPr>
      </w:pPr>
    </w:p>
    <w:p w:rsidR="00475650" w:rsidRDefault="00475650">
      <w:pPr>
        <w:pStyle w:val="13"/>
        <w:spacing w:before="100" w:beforeAutospacing="1" w:after="100" w:afterAutospacing="1" w:line="360" w:lineRule="auto"/>
        <w:rPr>
          <w:rFonts w:eastAsia="宋体"/>
          <w:b w:val="0"/>
          <w:sz w:val="32"/>
          <w:szCs w:val="32"/>
        </w:rPr>
      </w:pPr>
      <w:bookmarkStart w:id="1119" w:name="_Toc237884073"/>
      <w:bookmarkStart w:id="1120" w:name="_Toc247302862"/>
      <w:bookmarkStart w:id="1121" w:name="_Toc332293094"/>
      <w:bookmarkStart w:id="1122" w:name="_Toc10472"/>
      <w:r>
        <w:rPr>
          <w:rFonts w:eastAsia="宋体"/>
          <w:b w:val="0"/>
          <w:sz w:val="32"/>
          <w:szCs w:val="32"/>
        </w:rPr>
        <w:lastRenderedPageBreak/>
        <w:t>11</w:t>
      </w:r>
      <w:r>
        <w:rPr>
          <w:rFonts w:eastAsia="宋体" w:hAnsi="宋体"/>
          <w:b w:val="0"/>
          <w:sz w:val="32"/>
          <w:szCs w:val="32"/>
        </w:rPr>
        <w:t>项目建设的可行性分析</w:t>
      </w:r>
      <w:bookmarkEnd w:id="1119"/>
      <w:bookmarkEnd w:id="1120"/>
      <w:bookmarkEnd w:id="1121"/>
      <w:bookmarkEnd w:id="1122"/>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1123" w:name="_Toc201369554"/>
      <w:bookmarkStart w:id="1124" w:name="_Toc247302863"/>
      <w:bookmarkStart w:id="1125" w:name="_Toc237884074"/>
      <w:bookmarkStart w:id="1126" w:name="_Toc332293095"/>
      <w:bookmarkStart w:id="1127" w:name="_Toc9121"/>
      <w:r>
        <w:rPr>
          <w:rStyle w:val="2Char1Char"/>
          <w:rFonts w:ascii="Times New Roman" w:eastAsia="宋体" w:hAnsi="Times New Roman" w:cs="Times New Roman"/>
          <w:b w:val="0"/>
          <w:sz w:val="28"/>
          <w:szCs w:val="28"/>
        </w:rPr>
        <w:t>11.1</w:t>
      </w:r>
      <w:bookmarkEnd w:id="1123"/>
      <w:bookmarkEnd w:id="1124"/>
      <w:bookmarkEnd w:id="1125"/>
      <w:r>
        <w:rPr>
          <w:rStyle w:val="2Char1Char"/>
          <w:rFonts w:ascii="Times New Roman" w:eastAsia="宋体" w:hAnsi="宋体" w:cs="Times New Roman"/>
          <w:b w:val="0"/>
          <w:sz w:val="28"/>
          <w:szCs w:val="28"/>
        </w:rPr>
        <w:t>产业政策的符合性</w:t>
      </w:r>
      <w:bookmarkEnd w:id="1126"/>
      <w:bookmarkEnd w:id="1127"/>
    </w:p>
    <w:p w:rsidR="00475650" w:rsidRDefault="00475650">
      <w:pPr>
        <w:spacing w:line="360" w:lineRule="auto"/>
        <w:ind w:firstLineChars="200" w:firstLine="480"/>
        <w:rPr>
          <w:sz w:val="24"/>
        </w:rPr>
      </w:pPr>
      <w:r>
        <w:rPr>
          <w:rFonts w:hAnsi="宋体"/>
          <w:sz w:val="24"/>
        </w:rPr>
        <w:t>《产业结构调整指导目录</w:t>
      </w:r>
      <w:r>
        <w:rPr>
          <w:sz w:val="24"/>
        </w:rPr>
        <w:t>(2011</w:t>
      </w:r>
      <w:r>
        <w:rPr>
          <w:rFonts w:hAnsi="宋体"/>
          <w:sz w:val="24"/>
        </w:rPr>
        <w:t>年本</w:t>
      </w:r>
      <w:r>
        <w:rPr>
          <w:sz w:val="24"/>
        </w:rPr>
        <w:t>)</w:t>
      </w:r>
      <w:r>
        <w:rPr>
          <w:rFonts w:hAnsi="宋体"/>
          <w:sz w:val="24"/>
        </w:rPr>
        <w:t>》（</w:t>
      </w:r>
      <w:r>
        <w:rPr>
          <w:sz w:val="24"/>
        </w:rPr>
        <w:t>2013</w:t>
      </w:r>
      <w:r>
        <w:rPr>
          <w:rFonts w:hAnsi="宋体"/>
          <w:sz w:val="24"/>
        </w:rPr>
        <w:t>年修订版）明文确定</w:t>
      </w:r>
      <w:r>
        <w:rPr>
          <w:sz w:val="24"/>
        </w:rPr>
        <w:t>“</w:t>
      </w:r>
      <w:r>
        <w:rPr>
          <w:rFonts w:hAnsi="宋体"/>
          <w:sz w:val="24"/>
        </w:rPr>
        <w:t>用于聚酰胺纤维、羊毛和皮革染色的不含金属的弱酸性染料的开发与生产</w:t>
      </w:r>
      <w:r>
        <w:rPr>
          <w:sz w:val="24"/>
        </w:rPr>
        <w:t>”</w:t>
      </w:r>
      <w:r>
        <w:rPr>
          <w:rFonts w:hAnsi="宋体"/>
          <w:sz w:val="24"/>
        </w:rPr>
        <w:t>、</w:t>
      </w:r>
      <w:r>
        <w:rPr>
          <w:sz w:val="24"/>
        </w:rPr>
        <w:t xml:space="preserve"> “</w:t>
      </w:r>
      <w:r>
        <w:rPr>
          <w:rFonts w:hAnsi="宋体"/>
          <w:sz w:val="24"/>
        </w:rPr>
        <w:t>取代光气等剧毒原料的适用技术</w:t>
      </w:r>
      <w:r>
        <w:rPr>
          <w:sz w:val="24"/>
        </w:rPr>
        <w:t>”</w:t>
      </w:r>
      <w:r>
        <w:rPr>
          <w:rFonts w:hAnsi="宋体"/>
          <w:sz w:val="24"/>
        </w:rPr>
        <w:t>属于鼓励类第十一条。</w:t>
      </w:r>
    </w:p>
    <w:p w:rsidR="00475650" w:rsidRDefault="00475650">
      <w:pPr>
        <w:spacing w:line="360" w:lineRule="auto"/>
        <w:ind w:firstLineChars="200" w:firstLine="480"/>
        <w:rPr>
          <w:rFonts w:hAnsi="宋体"/>
          <w:sz w:val="24"/>
        </w:rPr>
      </w:pPr>
      <w:r>
        <w:rPr>
          <w:rFonts w:hAnsi="宋体"/>
          <w:sz w:val="24"/>
        </w:rPr>
        <w:t>本项目</w:t>
      </w:r>
      <w:r>
        <w:rPr>
          <w:rFonts w:hAnsi="宋体" w:hint="eastAsia"/>
          <w:sz w:val="24"/>
        </w:rPr>
        <w:t>产品酸性红</w:t>
      </w:r>
      <w:r>
        <w:rPr>
          <w:rFonts w:hAnsi="宋体" w:hint="eastAsia"/>
          <w:sz w:val="24"/>
        </w:rPr>
        <w:t>37</w:t>
      </w:r>
      <w:r>
        <w:rPr>
          <w:rFonts w:hAnsi="宋体" w:hint="eastAsia"/>
          <w:sz w:val="24"/>
        </w:rPr>
        <w:t>和酸性</w:t>
      </w:r>
      <w:r>
        <w:rPr>
          <w:rFonts w:hAnsi="宋体"/>
          <w:sz w:val="24"/>
        </w:rPr>
        <w:t>黄</w:t>
      </w:r>
      <w:r>
        <w:rPr>
          <w:sz w:val="24"/>
        </w:rPr>
        <w:t>49</w:t>
      </w:r>
      <w:r>
        <w:rPr>
          <w:rFonts w:hAnsi="宋体"/>
          <w:sz w:val="24"/>
        </w:rPr>
        <w:t>为弱酸性染料，用于羊毛和皮革染色，不含有重金属。</w:t>
      </w:r>
      <w:r>
        <w:rPr>
          <w:rFonts w:hAnsi="宋体" w:hint="eastAsia"/>
          <w:sz w:val="24"/>
        </w:rPr>
        <w:t>临湘市发展和改革局以“临发改备案</w:t>
      </w:r>
      <w:r>
        <w:rPr>
          <w:rFonts w:hAnsi="宋体" w:hint="eastAsia"/>
          <w:sz w:val="24"/>
        </w:rPr>
        <w:t>[2014]25</w:t>
      </w:r>
      <w:r>
        <w:rPr>
          <w:rFonts w:hAnsi="宋体" w:hint="eastAsia"/>
          <w:sz w:val="24"/>
        </w:rPr>
        <w:t>号文”对本项目进行了备案；湖南省石油化学工业协会对本项目的产业政策符合性给出了意见，意见为“根据专业审查意见，酸性红</w:t>
      </w:r>
      <w:r>
        <w:rPr>
          <w:rFonts w:hAnsi="宋体" w:hint="eastAsia"/>
          <w:sz w:val="24"/>
        </w:rPr>
        <w:t>37</w:t>
      </w:r>
      <w:r>
        <w:rPr>
          <w:rFonts w:hAnsi="宋体" w:hint="eastAsia"/>
          <w:sz w:val="24"/>
        </w:rPr>
        <w:t>、酸性黄</w:t>
      </w:r>
      <w:r>
        <w:rPr>
          <w:rFonts w:hAnsi="宋体" w:hint="eastAsia"/>
          <w:sz w:val="24"/>
        </w:rPr>
        <w:t>49</w:t>
      </w:r>
      <w:r>
        <w:rPr>
          <w:rFonts w:hAnsi="宋体" w:hint="eastAsia"/>
          <w:sz w:val="24"/>
        </w:rPr>
        <w:t>属于国家《产业结构调整指导目录（</w:t>
      </w:r>
      <w:r>
        <w:rPr>
          <w:rFonts w:hAnsi="宋体" w:hint="eastAsia"/>
          <w:sz w:val="24"/>
        </w:rPr>
        <w:t>2011</w:t>
      </w:r>
      <w:r>
        <w:rPr>
          <w:rFonts w:hAnsi="宋体" w:hint="eastAsia"/>
          <w:sz w:val="24"/>
        </w:rPr>
        <w:t>本）（</w:t>
      </w:r>
      <w:r>
        <w:rPr>
          <w:rFonts w:hAnsi="宋体" w:hint="eastAsia"/>
          <w:sz w:val="24"/>
        </w:rPr>
        <w:t>2013</w:t>
      </w:r>
      <w:r>
        <w:rPr>
          <w:rFonts w:hAnsi="宋体" w:hint="eastAsia"/>
          <w:sz w:val="24"/>
        </w:rPr>
        <w:t>年修正）》鼓励类产品”（文件见附件）。</w:t>
      </w:r>
    </w:p>
    <w:p w:rsidR="00475650" w:rsidRDefault="00475650">
      <w:pPr>
        <w:spacing w:line="360" w:lineRule="auto"/>
        <w:ind w:firstLineChars="200" w:firstLine="480"/>
        <w:rPr>
          <w:sz w:val="24"/>
        </w:rPr>
      </w:pPr>
      <w:r>
        <w:rPr>
          <w:rFonts w:hAnsi="宋体"/>
          <w:sz w:val="24"/>
        </w:rPr>
        <w:t>综合分析，本项目</w:t>
      </w:r>
      <w:r>
        <w:rPr>
          <w:rFonts w:hAnsi="宋体" w:hint="eastAsia"/>
          <w:sz w:val="24"/>
        </w:rPr>
        <w:t>与产业政策不相冲突</w:t>
      </w:r>
      <w:r>
        <w:rPr>
          <w:rFonts w:hAnsi="宋体"/>
          <w:sz w:val="24"/>
        </w:rPr>
        <w:t>。本工程建设符合国家产业政策。</w:t>
      </w:r>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1128" w:name="_Toc332293096"/>
      <w:bookmarkStart w:id="1129" w:name="_Toc301861283"/>
      <w:bookmarkStart w:id="1130" w:name="_Toc19895"/>
      <w:r>
        <w:rPr>
          <w:rStyle w:val="2Char1Char"/>
          <w:rFonts w:ascii="Times New Roman" w:eastAsia="宋体" w:hAnsi="Times New Roman" w:cs="Times New Roman"/>
          <w:b w:val="0"/>
          <w:sz w:val="28"/>
          <w:szCs w:val="28"/>
        </w:rPr>
        <w:t xml:space="preserve">11.2 </w:t>
      </w:r>
      <w:r>
        <w:rPr>
          <w:rStyle w:val="2Char1Char"/>
          <w:rFonts w:ascii="Times New Roman" w:eastAsia="宋体" w:hAnsi="宋体" w:cs="Times New Roman"/>
          <w:b w:val="0"/>
          <w:sz w:val="28"/>
          <w:szCs w:val="28"/>
        </w:rPr>
        <w:t>规划相容性与选址的合理性</w:t>
      </w:r>
      <w:bookmarkEnd w:id="1128"/>
      <w:bookmarkEnd w:id="1129"/>
      <w:bookmarkEnd w:id="1130"/>
    </w:p>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1131" w:name="_Toc334080939"/>
      <w:bookmarkStart w:id="1132" w:name="_Toc273462602"/>
      <w:bookmarkStart w:id="1133" w:name="_Toc334014297"/>
      <w:bookmarkStart w:id="1134" w:name="_Toc302936892"/>
      <w:bookmarkStart w:id="1135" w:name="_Toc332293097"/>
      <w:bookmarkStart w:id="1136" w:name="_Toc274985034"/>
      <w:bookmarkStart w:id="1137" w:name="_Toc273461951"/>
      <w:bookmarkStart w:id="1138" w:name="_Toc333230120"/>
      <w:bookmarkStart w:id="1139" w:name="_Toc465677096"/>
      <w:bookmarkStart w:id="1140" w:name="_Toc6239"/>
      <w:r>
        <w:rPr>
          <w:rStyle w:val="2Char1Char"/>
          <w:rFonts w:ascii="Times New Roman" w:eastAsia="宋体" w:hAnsi="Times New Roman" w:cs="Times New Roman"/>
          <w:b w:val="0"/>
          <w:sz w:val="24"/>
          <w:szCs w:val="24"/>
        </w:rPr>
        <w:t>11.2.1</w:t>
      </w:r>
      <w:r>
        <w:rPr>
          <w:rStyle w:val="2Char1Char"/>
          <w:rFonts w:ascii="Times New Roman" w:eastAsia="宋体" w:hAnsi="宋体" w:cs="Times New Roman"/>
          <w:b w:val="0"/>
          <w:sz w:val="24"/>
          <w:szCs w:val="24"/>
        </w:rPr>
        <w:t>与岳阳市城市总体规划的相符性分析</w:t>
      </w:r>
      <w:bookmarkEnd w:id="1131"/>
      <w:bookmarkEnd w:id="1132"/>
      <w:bookmarkEnd w:id="1133"/>
      <w:bookmarkEnd w:id="1134"/>
      <w:bookmarkEnd w:id="1135"/>
      <w:bookmarkEnd w:id="1136"/>
      <w:bookmarkEnd w:id="1137"/>
      <w:bookmarkEnd w:id="1138"/>
      <w:bookmarkEnd w:id="1139"/>
      <w:bookmarkEnd w:id="1140"/>
    </w:p>
    <w:p w:rsidR="00475650" w:rsidRDefault="00475650">
      <w:pPr>
        <w:spacing w:line="360" w:lineRule="auto"/>
        <w:ind w:firstLineChars="200" w:firstLine="480"/>
        <w:rPr>
          <w:sz w:val="24"/>
        </w:rPr>
      </w:pPr>
      <w:r>
        <w:rPr>
          <w:rFonts w:hAnsi="宋体"/>
          <w:sz w:val="24"/>
        </w:rPr>
        <w:t>根据《岳阳市城市总体规划</w:t>
      </w:r>
      <w:r>
        <w:rPr>
          <w:sz w:val="24"/>
        </w:rPr>
        <w:t>(2008——2030)</w:t>
      </w:r>
      <w:r>
        <w:rPr>
          <w:rFonts w:hAnsi="宋体"/>
          <w:sz w:val="24"/>
        </w:rPr>
        <w:t>》产业规划：城镇经济区划将市域划分为</w:t>
      </w:r>
      <w:r>
        <w:rPr>
          <w:sz w:val="24"/>
        </w:rPr>
        <w:t>“</w:t>
      </w:r>
      <w:r>
        <w:rPr>
          <w:rFonts w:hAnsi="宋体"/>
          <w:sz w:val="24"/>
        </w:rPr>
        <w:t>岳</w:t>
      </w:r>
      <w:r>
        <w:rPr>
          <w:sz w:val="24"/>
        </w:rPr>
        <w:t>—</w:t>
      </w:r>
      <w:r>
        <w:rPr>
          <w:rFonts w:hAnsi="宋体"/>
          <w:sz w:val="24"/>
        </w:rPr>
        <w:t>临</w:t>
      </w:r>
      <w:r>
        <w:rPr>
          <w:sz w:val="24"/>
        </w:rPr>
        <w:t>—</w:t>
      </w:r>
      <w:r>
        <w:rPr>
          <w:rFonts w:hAnsi="宋体"/>
          <w:sz w:val="24"/>
        </w:rPr>
        <w:t>荣</w:t>
      </w:r>
      <w:r>
        <w:rPr>
          <w:sz w:val="24"/>
        </w:rPr>
        <w:t>”</w:t>
      </w:r>
      <w:r>
        <w:rPr>
          <w:rFonts w:hAnsi="宋体"/>
          <w:sz w:val="24"/>
        </w:rPr>
        <w:t>、</w:t>
      </w:r>
      <w:r>
        <w:rPr>
          <w:sz w:val="24"/>
        </w:rPr>
        <w:t xml:space="preserve"> “</w:t>
      </w:r>
      <w:r>
        <w:rPr>
          <w:rFonts w:hAnsi="宋体"/>
          <w:sz w:val="24"/>
        </w:rPr>
        <w:t>汨</w:t>
      </w:r>
      <w:r>
        <w:rPr>
          <w:sz w:val="24"/>
        </w:rPr>
        <w:t>—</w:t>
      </w:r>
      <w:r>
        <w:rPr>
          <w:rFonts w:hAnsi="宋体"/>
          <w:sz w:val="24"/>
        </w:rPr>
        <w:t>湘</w:t>
      </w:r>
      <w:r>
        <w:rPr>
          <w:sz w:val="24"/>
        </w:rPr>
        <w:t>—</w:t>
      </w:r>
      <w:r>
        <w:rPr>
          <w:rFonts w:hAnsi="宋体"/>
          <w:sz w:val="24"/>
        </w:rPr>
        <w:t>营</w:t>
      </w:r>
      <w:r>
        <w:rPr>
          <w:sz w:val="24"/>
        </w:rPr>
        <w:t>”</w:t>
      </w:r>
      <w:r>
        <w:rPr>
          <w:rFonts w:hAnsi="宋体"/>
          <w:sz w:val="24"/>
        </w:rPr>
        <w:t>、西部和东部四个城镇经济区。其中岳</w:t>
      </w:r>
      <w:r>
        <w:rPr>
          <w:sz w:val="24"/>
        </w:rPr>
        <w:t>—</w:t>
      </w:r>
      <w:r>
        <w:rPr>
          <w:rFonts w:hAnsi="宋体"/>
          <w:sz w:val="24"/>
        </w:rPr>
        <w:t>临</w:t>
      </w:r>
      <w:r>
        <w:rPr>
          <w:sz w:val="24"/>
        </w:rPr>
        <w:t>—</w:t>
      </w:r>
      <w:r>
        <w:rPr>
          <w:rFonts w:hAnsi="宋体"/>
          <w:sz w:val="24"/>
        </w:rPr>
        <w:t>荣</w:t>
      </w:r>
      <w:r>
        <w:rPr>
          <w:sz w:val="24"/>
        </w:rPr>
        <w:t>”</w:t>
      </w:r>
      <w:r>
        <w:rPr>
          <w:rFonts w:hAnsi="宋体"/>
          <w:sz w:val="24"/>
        </w:rPr>
        <w:t>城镇经济区指以岳阳市区为中心，临湘市区和岳阳县城荣家湾为副中心的经济区。该区重点发展以农业商品化为中心，建立多品种的现代近郊农业商品基地；建立沿长江走向、连接岳阳纸业</w:t>
      </w:r>
      <w:r>
        <w:rPr>
          <w:sz w:val="24"/>
        </w:rPr>
        <w:t>——</w:t>
      </w:r>
      <w:r>
        <w:rPr>
          <w:rFonts w:hAnsi="宋体"/>
          <w:sz w:val="24"/>
        </w:rPr>
        <w:t>华能电厂</w:t>
      </w:r>
      <w:r>
        <w:rPr>
          <w:sz w:val="24"/>
        </w:rPr>
        <w:t>——</w:t>
      </w:r>
      <w:r>
        <w:rPr>
          <w:rFonts w:hAnsi="宋体"/>
          <w:sz w:val="24"/>
        </w:rPr>
        <w:t>巴陵石化、松阳湖临港产业区及云溪精细化工云溪工业园长炼分园</w:t>
      </w:r>
      <w:r>
        <w:rPr>
          <w:sz w:val="24"/>
        </w:rPr>
        <w:t>——</w:t>
      </w:r>
      <w:r>
        <w:rPr>
          <w:rFonts w:hAnsi="宋体"/>
          <w:sz w:val="24"/>
        </w:rPr>
        <w:t>长岭炼化</w:t>
      </w:r>
      <w:r>
        <w:rPr>
          <w:sz w:val="24"/>
        </w:rPr>
        <w:t>——</w:t>
      </w:r>
      <w:r>
        <w:rPr>
          <w:rFonts w:hAnsi="宋体"/>
          <w:sz w:val="24"/>
        </w:rPr>
        <w:t>临湘生化云溪工业园长炼分园的沿江工业带，发展石油化工、电力、造纸、机械制造、生物医药、电子信息、新能源新材料研发、生物化工工业；建立洞庭湖和长江航运物流带，重点建设名楼名水、神秘临湘和民俗古村等三大旅游景区。第二产业重点发展中心城区石油化工、机械制造、电力造纸及汨罗再生资源、临湘生物化工、湘阴有机食品、平江机电轻工、华容纺织制造、岳阳县陶瓷建材、营田饲料等产业基地。</w:t>
      </w:r>
    </w:p>
    <w:p w:rsidR="00475650" w:rsidRDefault="00475650">
      <w:pPr>
        <w:spacing w:line="360" w:lineRule="auto"/>
        <w:ind w:firstLineChars="200" w:firstLine="480"/>
        <w:rPr>
          <w:sz w:val="24"/>
        </w:rPr>
      </w:pPr>
      <w:r>
        <w:rPr>
          <w:rFonts w:hAnsi="宋体"/>
          <w:sz w:val="24"/>
        </w:rPr>
        <w:t>本项目位于临湘工业园滨江产业区（原湖南省临湘工业园儒溪工业区），属于总体规划中的沿江工业带内，为城市规划中重点发展产业中的化工项目。因此本项目</w:t>
      </w:r>
      <w:r>
        <w:rPr>
          <w:rFonts w:hAnsi="宋体"/>
          <w:sz w:val="24"/>
        </w:rPr>
        <w:lastRenderedPageBreak/>
        <w:t>的建设满足城市总体规划的要求。</w:t>
      </w:r>
    </w:p>
    <w:p w:rsidR="00475650" w:rsidRDefault="00475650">
      <w:pPr>
        <w:spacing w:line="360" w:lineRule="auto"/>
        <w:rPr>
          <w:sz w:val="24"/>
        </w:rPr>
      </w:pPr>
      <w:bookmarkStart w:id="1141" w:name="_Toc334080940"/>
      <w:bookmarkStart w:id="1142" w:name="_Toc334014298"/>
      <w:bookmarkStart w:id="1143" w:name="_Toc302936893"/>
      <w:bookmarkStart w:id="1144" w:name="_Toc333230121"/>
      <w:bookmarkStart w:id="1145" w:name="_Toc332293098"/>
      <w:r>
        <w:rPr>
          <w:rStyle w:val="2Char1Char"/>
          <w:rFonts w:ascii="Times New Roman" w:eastAsia="宋体" w:hAnsi="Times New Roman"/>
          <w:b w:val="0"/>
          <w:sz w:val="24"/>
          <w:szCs w:val="24"/>
        </w:rPr>
        <w:t xml:space="preserve">11.2.2 </w:t>
      </w:r>
      <w:r>
        <w:rPr>
          <w:rStyle w:val="2Char1Char"/>
          <w:rFonts w:ascii="Times New Roman" w:eastAsia="宋体" w:hAnsi="宋体"/>
          <w:b w:val="0"/>
          <w:sz w:val="24"/>
          <w:szCs w:val="24"/>
        </w:rPr>
        <w:t>与</w:t>
      </w:r>
      <w:r>
        <w:rPr>
          <w:rFonts w:hAnsi="宋体"/>
          <w:sz w:val="24"/>
        </w:rPr>
        <w:t>临湘工业园滨江产业区的相容性分析</w:t>
      </w:r>
    </w:p>
    <w:p w:rsidR="00475650" w:rsidRDefault="00475650">
      <w:pPr>
        <w:spacing w:line="360" w:lineRule="auto"/>
        <w:ind w:firstLineChars="200" w:firstLine="480"/>
        <w:rPr>
          <w:rStyle w:val="2Char1Char"/>
          <w:rFonts w:ascii="Times New Roman" w:eastAsia="宋体" w:hAnsi="Times New Roman"/>
          <w:b w:val="0"/>
          <w:sz w:val="24"/>
          <w:szCs w:val="24"/>
        </w:rPr>
      </w:pPr>
      <w:r>
        <w:rPr>
          <w:rFonts w:hAnsi="宋体"/>
          <w:sz w:val="24"/>
        </w:rPr>
        <w:t>项目选址临湘工业园滨江产业区内</w:t>
      </w:r>
      <w:r>
        <w:rPr>
          <w:rFonts w:hAnsi="宋体" w:hint="eastAsia"/>
          <w:sz w:val="24"/>
        </w:rPr>
        <w:t>绿色化工组团—临湘市鹏程化工有限公厂区预留地内，占地属于三类工业用地，满足园区的用地规划，本项目为染料工程，属于园区近期准入行业中的</w:t>
      </w:r>
      <w:r>
        <w:rPr>
          <w:rFonts w:hAnsi="宋体"/>
          <w:sz w:val="24"/>
        </w:rPr>
        <w:t>涂料、油墨、颜料及类似产品制造</w:t>
      </w:r>
      <w:r>
        <w:rPr>
          <w:rFonts w:hAnsi="宋体" w:hint="eastAsia"/>
          <w:sz w:val="24"/>
        </w:rPr>
        <w:t>行业，满足园区产业定位</w:t>
      </w:r>
      <w:r>
        <w:rPr>
          <w:rFonts w:hAnsi="宋体"/>
          <w:sz w:val="24"/>
        </w:rPr>
        <w:t>。</w:t>
      </w:r>
      <w:r>
        <w:rPr>
          <w:sz w:val="24"/>
        </w:rPr>
        <w:t>2014</w:t>
      </w:r>
      <w:r>
        <w:rPr>
          <w:rFonts w:hAnsi="宋体"/>
          <w:sz w:val="24"/>
        </w:rPr>
        <w:t>年</w:t>
      </w:r>
      <w:r>
        <w:rPr>
          <w:sz w:val="24"/>
        </w:rPr>
        <w:t>4</w:t>
      </w:r>
      <w:r>
        <w:rPr>
          <w:rFonts w:hAnsi="宋体"/>
          <w:sz w:val="24"/>
        </w:rPr>
        <w:t>月</w:t>
      </w:r>
      <w:r>
        <w:rPr>
          <w:sz w:val="24"/>
        </w:rPr>
        <w:t>30</w:t>
      </w:r>
      <w:r>
        <w:rPr>
          <w:rFonts w:hAnsi="宋体"/>
          <w:sz w:val="24"/>
        </w:rPr>
        <w:t>日，临湘市招商引资工作领导小组办公室以</w:t>
      </w:r>
      <w:r>
        <w:rPr>
          <w:sz w:val="24"/>
        </w:rPr>
        <w:t>“</w:t>
      </w:r>
      <w:r>
        <w:rPr>
          <w:rFonts w:hAnsi="宋体"/>
          <w:sz w:val="24"/>
        </w:rPr>
        <w:t>临招办</w:t>
      </w:r>
      <w:r>
        <w:rPr>
          <w:sz w:val="24"/>
        </w:rPr>
        <w:t>[2014]2</w:t>
      </w:r>
      <w:r>
        <w:rPr>
          <w:rFonts w:hAnsi="宋体"/>
          <w:sz w:val="24"/>
        </w:rPr>
        <w:t>号</w:t>
      </w:r>
      <w:r>
        <w:rPr>
          <w:sz w:val="24"/>
        </w:rPr>
        <w:t>”</w:t>
      </w:r>
      <w:r>
        <w:rPr>
          <w:rFonts w:hAnsi="宋体"/>
          <w:sz w:val="24"/>
        </w:rPr>
        <w:t>文同意本项目于园区内进行建设（文件见附件）。</w:t>
      </w:r>
    </w:p>
    <w:p w:rsidR="00475650" w:rsidRDefault="00475650">
      <w:pPr>
        <w:spacing w:line="360" w:lineRule="auto"/>
        <w:ind w:firstLineChars="200" w:firstLine="480"/>
        <w:rPr>
          <w:sz w:val="24"/>
        </w:rPr>
      </w:pPr>
      <w:r>
        <w:rPr>
          <w:rFonts w:hAnsi="宋体"/>
          <w:sz w:val="24"/>
        </w:rPr>
        <w:t>本项目用地性质符合</w:t>
      </w:r>
      <w:r>
        <w:rPr>
          <w:rFonts w:hAnsi="宋体" w:hint="eastAsia"/>
          <w:sz w:val="24"/>
        </w:rPr>
        <w:t>产业区的</w:t>
      </w:r>
      <w:r>
        <w:rPr>
          <w:rFonts w:hAnsi="宋体"/>
          <w:sz w:val="24"/>
        </w:rPr>
        <w:t>用地规划</w:t>
      </w:r>
      <w:r>
        <w:rPr>
          <w:rFonts w:hAnsi="宋体" w:hint="eastAsia"/>
          <w:sz w:val="24"/>
        </w:rPr>
        <w:t>及产业规划</w:t>
      </w:r>
      <w:r>
        <w:rPr>
          <w:rFonts w:hAnsi="宋体"/>
          <w:sz w:val="24"/>
        </w:rPr>
        <w:t>。</w:t>
      </w:r>
    </w:p>
    <w:p w:rsidR="00475650" w:rsidRDefault="00475650">
      <w:pPr>
        <w:spacing w:line="360" w:lineRule="auto"/>
        <w:rPr>
          <w:rStyle w:val="2Char1Char"/>
          <w:rFonts w:ascii="Times New Roman" w:eastAsia="宋体" w:hAnsi="Times New Roman"/>
          <w:b w:val="0"/>
          <w:sz w:val="24"/>
          <w:szCs w:val="24"/>
        </w:rPr>
      </w:pPr>
      <w:bookmarkStart w:id="1146" w:name="_Toc334014299"/>
      <w:bookmarkStart w:id="1147" w:name="_Toc334080941"/>
      <w:bookmarkEnd w:id="1141"/>
      <w:bookmarkEnd w:id="1142"/>
      <w:r>
        <w:rPr>
          <w:rStyle w:val="2Char1Char"/>
          <w:rFonts w:ascii="Times New Roman" w:eastAsia="宋体" w:hAnsi="Times New Roman"/>
          <w:b w:val="0"/>
          <w:sz w:val="24"/>
          <w:szCs w:val="24"/>
        </w:rPr>
        <w:t>11.2.3</w:t>
      </w:r>
      <w:r>
        <w:rPr>
          <w:rStyle w:val="2Char1Char"/>
          <w:rFonts w:ascii="Times New Roman" w:eastAsia="宋体" w:hAnsi="宋体"/>
          <w:b w:val="0"/>
          <w:sz w:val="24"/>
          <w:szCs w:val="24"/>
        </w:rPr>
        <w:t>建设基础条件</w:t>
      </w:r>
      <w:bookmarkEnd w:id="1143"/>
      <w:bookmarkEnd w:id="1144"/>
      <w:bookmarkEnd w:id="1145"/>
      <w:bookmarkEnd w:id="1146"/>
      <w:bookmarkEnd w:id="1147"/>
    </w:p>
    <w:p w:rsidR="00475650" w:rsidRDefault="00475650">
      <w:pPr>
        <w:spacing w:line="360" w:lineRule="auto"/>
        <w:ind w:firstLineChars="200" w:firstLine="480"/>
        <w:rPr>
          <w:sz w:val="24"/>
        </w:rPr>
      </w:pPr>
      <w:r>
        <w:rPr>
          <w:rFonts w:hAnsi="宋体"/>
          <w:sz w:val="24"/>
        </w:rPr>
        <w:t>本项目位于公司现有生产场地预留地内，</w:t>
      </w:r>
      <w:r>
        <w:rPr>
          <w:sz w:val="24"/>
        </w:rPr>
        <w:t>“</w:t>
      </w:r>
      <w:r>
        <w:rPr>
          <w:rFonts w:hAnsi="宋体"/>
          <w:sz w:val="24"/>
        </w:rPr>
        <w:t>三通一平</w:t>
      </w:r>
      <w:r>
        <w:rPr>
          <w:sz w:val="24"/>
        </w:rPr>
        <w:t>”</w:t>
      </w:r>
      <w:r>
        <w:rPr>
          <w:rFonts w:hAnsi="宋体"/>
          <w:sz w:val="24"/>
        </w:rPr>
        <w:t>的工作已于现有氯化石蜡项目建设期建成，给排水、供电、运输、污水处理等公用工程已建设完毕，工程将自建污水预处理措施确保水质达依托园区污水处理厂的纳污标准；因此，本项目的建设的基础条件充裕，选址可行。</w:t>
      </w:r>
    </w:p>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1148" w:name="_Toc333230122"/>
      <w:bookmarkStart w:id="1149" w:name="_Toc334014300"/>
      <w:bookmarkStart w:id="1150" w:name="_Toc332293099"/>
      <w:bookmarkStart w:id="1151" w:name="_Toc334080942"/>
      <w:bookmarkStart w:id="1152" w:name="_Toc302936894"/>
      <w:bookmarkStart w:id="1153" w:name="_Toc465677097"/>
      <w:bookmarkStart w:id="1154" w:name="_Toc22171"/>
      <w:r>
        <w:rPr>
          <w:rStyle w:val="2Char1Char"/>
          <w:rFonts w:ascii="Times New Roman" w:eastAsia="宋体" w:hAnsi="Times New Roman" w:cs="Times New Roman"/>
          <w:b w:val="0"/>
          <w:sz w:val="24"/>
          <w:szCs w:val="24"/>
        </w:rPr>
        <w:t>11.2.4</w:t>
      </w:r>
      <w:r>
        <w:rPr>
          <w:rStyle w:val="2Char1Char"/>
          <w:rFonts w:ascii="Times New Roman" w:eastAsia="宋体" w:hAnsi="宋体" w:cs="Times New Roman"/>
          <w:b w:val="0"/>
          <w:sz w:val="24"/>
          <w:szCs w:val="24"/>
        </w:rPr>
        <w:t>、交通运输条件</w:t>
      </w:r>
      <w:bookmarkEnd w:id="1148"/>
      <w:bookmarkEnd w:id="1149"/>
      <w:bookmarkEnd w:id="1150"/>
      <w:bookmarkEnd w:id="1151"/>
      <w:bookmarkEnd w:id="1152"/>
      <w:bookmarkEnd w:id="1153"/>
      <w:bookmarkEnd w:id="1154"/>
    </w:p>
    <w:p w:rsidR="00475650" w:rsidRDefault="00475650">
      <w:pPr>
        <w:spacing w:line="360" w:lineRule="auto"/>
        <w:ind w:firstLineChars="200" w:firstLine="480"/>
        <w:rPr>
          <w:sz w:val="24"/>
        </w:rPr>
      </w:pPr>
      <w:r>
        <w:rPr>
          <w:rFonts w:hAnsi="宋体"/>
          <w:sz w:val="24"/>
        </w:rPr>
        <w:t>临湘工业园滨江产业区位于临湘市县城西北</w:t>
      </w:r>
      <w:r>
        <w:rPr>
          <w:sz w:val="24"/>
        </w:rPr>
        <w:t>18</w:t>
      </w:r>
      <w:r>
        <w:rPr>
          <w:rFonts w:hAnsi="宋体"/>
          <w:sz w:val="24"/>
        </w:rPr>
        <w:t>公里，与县城有临鸭公路相通；南与岳阳市云溪区陆城镇接交界，其间有省道</w:t>
      </w:r>
      <w:r>
        <w:rPr>
          <w:sz w:val="24"/>
        </w:rPr>
        <w:t>S201</w:t>
      </w:r>
      <w:r>
        <w:rPr>
          <w:rFonts w:hAnsi="宋体"/>
          <w:sz w:val="24"/>
        </w:rPr>
        <w:t>贯通，此外，基地北部临湘市规划有专用货运码头，此专用货运码头为省交通厅立项建设工程，码头建设资金由交通部、省交通厅和临湘市人民政府分担，总规模为</w:t>
      </w:r>
      <w:r>
        <w:rPr>
          <w:sz w:val="24"/>
        </w:rPr>
        <w:t>4</w:t>
      </w:r>
      <w:r>
        <w:rPr>
          <w:rFonts w:hAnsi="宋体"/>
          <w:sz w:val="24"/>
        </w:rPr>
        <w:t>个</w:t>
      </w:r>
      <w:r>
        <w:rPr>
          <w:sz w:val="24"/>
        </w:rPr>
        <w:t>3000</w:t>
      </w:r>
      <w:r>
        <w:rPr>
          <w:rFonts w:hAnsi="宋体"/>
          <w:sz w:val="24"/>
        </w:rPr>
        <w:t>吨级泊位，年设计货物吞吐量为</w:t>
      </w:r>
      <w:r>
        <w:rPr>
          <w:sz w:val="24"/>
        </w:rPr>
        <w:t>300~400</w:t>
      </w:r>
      <w:r>
        <w:rPr>
          <w:rFonts w:hAnsi="宋体"/>
          <w:sz w:val="24"/>
        </w:rPr>
        <w:t>万吨，主要装运货物为煤炭、建材、矿石和危险工业化学产品等。</w:t>
      </w:r>
    </w:p>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1155" w:name="_Toc302936895"/>
      <w:bookmarkStart w:id="1156" w:name="_Toc332293100"/>
      <w:bookmarkStart w:id="1157" w:name="_Toc334014301"/>
      <w:bookmarkStart w:id="1158" w:name="_Toc334080943"/>
      <w:bookmarkStart w:id="1159" w:name="_Toc333230123"/>
      <w:bookmarkStart w:id="1160" w:name="_Toc465677098"/>
      <w:bookmarkStart w:id="1161" w:name="_Toc5757"/>
      <w:r>
        <w:rPr>
          <w:rStyle w:val="2Char1Char"/>
          <w:rFonts w:ascii="Times New Roman" w:eastAsia="宋体" w:hAnsi="Times New Roman" w:cs="Times New Roman"/>
          <w:b w:val="0"/>
          <w:sz w:val="24"/>
          <w:szCs w:val="24"/>
        </w:rPr>
        <w:t>11.2.5.</w:t>
      </w:r>
      <w:r>
        <w:rPr>
          <w:rStyle w:val="2Char1Char"/>
          <w:rFonts w:ascii="Times New Roman" w:eastAsia="宋体" w:hAnsi="宋体" w:cs="Times New Roman"/>
          <w:b w:val="0"/>
          <w:sz w:val="24"/>
          <w:szCs w:val="24"/>
        </w:rPr>
        <w:t>环境功能区划的要求</w:t>
      </w:r>
      <w:bookmarkEnd w:id="1155"/>
      <w:bookmarkEnd w:id="1156"/>
      <w:bookmarkEnd w:id="1157"/>
      <w:bookmarkEnd w:id="1158"/>
      <w:bookmarkEnd w:id="1159"/>
      <w:bookmarkEnd w:id="1160"/>
      <w:bookmarkEnd w:id="1161"/>
    </w:p>
    <w:p w:rsidR="00475650" w:rsidRDefault="00475650">
      <w:pPr>
        <w:spacing w:line="360" w:lineRule="auto"/>
        <w:ind w:firstLineChars="200" w:firstLine="480"/>
        <w:rPr>
          <w:sz w:val="24"/>
        </w:rPr>
      </w:pPr>
      <w:r>
        <w:rPr>
          <w:rFonts w:hAnsi="宋体"/>
          <w:sz w:val="24"/>
        </w:rPr>
        <w:t>根据引用的环境质量监测结果可知：评价区空气环境质量能达到《环境大气质量标准》二级标准；评价河段各监测断面所有监测因子均能达到《地表水环境质量标准》</w:t>
      </w:r>
      <w:r>
        <w:rPr>
          <w:rFonts w:ascii="宋体" w:hAnsi="宋体"/>
          <w:sz w:val="24"/>
        </w:rPr>
        <w:t>Ⅲ</w:t>
      </w:r>
      <w:r>
        <w:rPr>
          <w:rFonts w:hAnsi="宋体"/>
          <w:sz w:val="24"/>
        </w:rPr>
        <w:t>类标准，有一定的环境容量；声环境满足《声环境质量标准》（</w:t>
      </w:r>
      <w:r>
        <w:rPr>
          <w:sz w:val="24"/>
        </w:rPr>
        <w:t>GB3096-2008</w:t>
      </w:r>
      <w:r>
        <w:rPr>
          <w:rFonts w:hAnsi="宋体"/>
          <w:sz w:val="24"/>
        </w:rPr>
        <w:t>）三类功能区声环境质量标准。根据本报告预测章节的预测结果，在采取有效的污染防治措施后，本工程对水环境和环境空气的影响满足各相关功能区划的要求，在满足设计和本评价新增噪声污染防治措施后，工程噪声不超标，不扰民。</w:t>
      </w:r>
    </w:p>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1162" w:name="_Toc332293101"/>
      <w:bookmarkStart w:id="1163" w:name="_Toc333230124"/>
      <w:bookmarkStart w:id="1164" w:name="_Toc334014302"/>
      <w:bookmarkStart w:id="1165" w:name="_Toc334080944"/>
      <w:bookmarkStart w:id="1166" w:name="_Toc465677099"/>
      <w:bookmarkStart w:id="1167" w:name="_Toc10117"/>
      <w:r>
        <w:rPr>
          <w:rStyle w:val="2Char1Char"/>
          <w:rFonts w:ascii="Times New Roman" w:eastAsia="宋体" w:hAnsi="Times New Roman" w:cs="Times New Roman"/>
          <w:b w:val="0"/>
          <w:sz w:val="24"/>
          <w:szCs w:val="24"/>
        </w:rPr>
        <w:t>11.2.6.</w:t>
      </w:r>
      <w:r>
        <w:rPr>
          <w:rStyle w:val="2Char1Char"/>
          <w:rFonts w:ascii="Times New Roman" w:eastAsia="宋体" w:hAnsi="宋体" w:cs="Times New Roman"/>
          <w:b w:val="0"/>
          <w:sz w:val="24"/>
          <w:szCs w:val="24"/>
        </w:rPr>
        <w:t>平面布局合理性分析</w:t>
      </w:r>
      <w:bookmarkEnd w:id="1162"/>
      <w:bookmarkEnd w:id="1163"/>
      <w:bookmarkEnd w:id="1164"/>
      <w:bookmarkEnd w:id="1165"/>
      <w:bookmarkEnd w:id="1166"/>
      <w:bookmarkEnd w:id="1167"/>
    </w:p>
    <w:p w:rsidR="00475650" w:rsidRDefault="00475650">
      <w:pPr>
        <w:spacing w:line="360" w:lineRule="auto"/>
        <w:ind w:firstLineChars="200" w:firstLine="480"/>
        <w:rPr>
          <w:sz w:val="24"/>
        </w:rPr>
      </w:pPr>
      <w:r>
        <w:rPr>
          <w:rFonts w:hAnsi="宋体"/>
          <w:sz w:val="24"/>
        </w:rPr>
        <w:t>本项目生产工艺流程布局较流畅，总平面布置基本符合环保要求。</w:t>
      </w:r>
    </w:p>
    <w:p w:rsidR="00475650" w:rsidRDefault="00475650">
      <w:pPr>
        <w:spacing w:line="360" w:lineRule="auto"/>
        <w:ind w:firstLineChars="200" w:firstLine="480"/>
        <w:rPr>
          <w:sz w:val="24"/>
        </w:rPr>
      </w:pPr>
      <w:r>
        <w:rPr>
          <w:rFonts w:hAnsi="宋体"/>
          <w:sz w:val="24"/>
        </w:rPr>
        <w:t>厂区南部为建成区，已建有氯化石蜡厂房、主装置区、氯化石蜡仓库、液蜡罐</w:t>
      </w:r>
      <w:r>
        <w:rPr>
          <w:rFonts w:hAnsi="宋体"/>
          <w:sz w:val="24"/>
        </w:rPr>
        <w:lastRenderedPageBreak/>
        <w:t>区、盐酸储罐区等。本工程在厂区北部建设。自南向北依次布置原料仓库、成品仓库、染料生产车间、消防与循环水池、锅炉房、变配电室、污水处理站。</w:t>
      </w:r>
    </w:p>
    <w:p w:rsidR="00475650" w:rsidRDefault="00475650">
      <w:pPr>
        <w:spacing w:line="360" w:lineRule="auto"/>
        <w:ind w:firstLineChars="200" w:firstLine="480"/>
        <w:rPr>
          <w:rFonts w:hAnsi="宋体"/>
          <w:sz w:val="24"/>
        </w:rPr>
      </w:pPr>
      <w:r>
        <w:rPr>
          <w:rFonts w:hAnsi="宋体"/>
          <w:sz w:val="24"/>
        </w:rPr>
        <w:t>厂区主出入口已设于西北部，接长江大堤，东北侧设次出入口。项目仓库靠近主要生产车间，有利于减少项目原料与各车间运输距离，节省能耗。项目仓库紧邻各生产车间，使之物流便捷，能有效降低生产中不必要的能耗损失。污水处理站位于厂区北面，常年主导下风向为生产装置区，夏季下风向为临厂生产装置区，主要影响区内无环境敏感点。厂区绿化率在</w:t>
      </w:r>
      <w:r>
        <w:rPr>
          <w:sz w:val="24"/>
        </w:rPr>
        <w:t>10%</w:t>
      </w:r>
      <w:r>
        <w:rPr>
          <w:rFonts w:hAnsi="宋体"/>
          <w:sz w:val="24"/>
        </w:rPr>
        <w:t>以上，经有效的污染防治及风险防范措施后，</w:t>
      </w:r>
      <w:r>
        <w:rPr>
          <w:sz w:val="24"/>
        </w:rPr>
        <w:t>“</w:t>
      </w:r>
      <w:r>
        <w:rPr>
          <w:rFonts w:hAnsi="宋体"/>
          <w:sz w:val="24"/>
        </w:rPr>
        <w:t>三废</w:t>
      </w:r>
      <w:r>
        <w:rPr>
          <w:sz w:val="24"/>
        </w:rPr>
        <w:t>”</w:t>
      </w:r>
      <w:r>
        <w:rPr>
          <w:rFonts w:hAnsi="宋体"/>
          <w:sz w:val="24"/>
        </w:rPr>
        <w:t>对关心点的影响较小，风险可控。从环境角度来看，平面布局基本合理。</w:t>
      </w:r>
    </w:p>
    <w:p w:rsidR="00475650" w:rsidRDefault="00475650">
      <w:pPr>
        <w:spacing w:line="360" w:lineRule="auto"/>
        <w:ind w:firstLineChars="200" w:firstLine="480"/>
        <w:rPr>
          <w:rFonts w:hAnsi="宋体"/>
          <w:sz w:val="24"/>
        </w:rPr>
      </w:pPr>
      <w:r>
        <w:rPr>
          <w:rFonts w:hAnsi="宋体" w:hint="eastAsia"/>
          <w:sz w:val="24"/>
        </w:rPr>
        <w:t>从保护长江水体的角度考虑，环评建议公司取缔西北面的主出入口，原辅材料及产品等化学品及其他有危险性的物质的运输应避免经由长江大堤，应经由园区规划的危险化学品运输道路运输。</w:t>
      </w:r>
    </w:p>
    <w:p w:rsidR="00475650" w:rsidRDefault="00475650">
      <w:pPr>
        <w:pStyle w:val="h"/>
        <w:spacing w:before="0" w:after="0" w:line="360" w:lineRule="auto"/>
        <w:ind w:firstLine="0"/>
        <w:outlineLvl w:val="1"/>
        <w:rPr>
          <w:rStyle w:val="2Char1Char"/>
          <w:rFonts w:ascii="Times New Roman" w:eastAsia="宋体" w:hAnsi="Times New Roman" w:cs="Times New Roman"/>
          <w:b w:val="0"/>
          <w:sz w:val="24"/>
          <w:szCs w:val="24"/>
        </w:rPr>
      </w:pPr>
      <w:bookmarkStart w:id="1168" w:name="_Toc333230125"/>
      <w:bookmarkStart w:id="1169" w:name="_Toc334014303"/>
      <w:bookmarkStart w:id="1170" w:name="_Toc334080945"/>
      <w:bookmarkStart w:id="1171" w:name="_Toc332293102"/>
      <w:bookmarkStart w:id="1172" w:name="_Toc465677100"/>
      <w:bookmarkStart w:id="1173" w:name="_Toc270"/>
      <w:r>
        <w:rPr>
          <w:rStyle w:val="2Char1Char"/>
          <w:rFonts w:ascii="Times New Roman" w:eastAsia="宋体" w:hAnsi="Times New Roman" w:cs="Times New Roman"/>
          <w:b w:val="0"/>
          <w:sz w:val="24"/>
          <w:szCs w:val="24"/>
        </w:rPr>
        <w:t>11.2.7.</w:t>
      </w:r>
      <w:r>
        <w:rPr>
          <w:rStyle w:val="2Char1Char"/>
          <w:rFonts w:ascii="Times New Roman" w:eastAsia="宋体" w:hAnsi="宋体" w:cs="Times New Roman"/>
          <w:b w:val="0"/>
          <w:sz w:val="24"/>
          <w:szCs w:val="24"/>
        </w:rPr>
        <w:t>项目建设环境制约因素</w:t>
      </w:r>
      <w:bookmarkEnd w:id="1168"/>
      <w:bookmarkEnd w:id="1169"/>
      <w:bookmarkEnd w:id="1170"/>
      <w:bookmarkEnd w:id="1171"/>
      <w:bookmarkEnd w:id="1172"/>
      <w:bookmarkEnd w:id="1173"/>
    </w:p>
    <w:p w:rsidR="00475650" w:rsidRDefault="00475650" w:rsidP="00475650">
      <w:pPr>
        <w:spacing w:line="360" w:lineRule="auto"/>
        <w:ind w:firstLineChars="200" w:firstLine="482"/>
        <w:rPr>
          <w:rFonts w:hAnsi="宋体"/>
          <w:sz w:val="24"/>
          <w:u w:val="single"/>
        </w:rPr>
      </w:pPr>
      <w:r>
        <w:rPr>
          <w:rFonts w:hAnsi="宋体" w:hint="eastAsia"/>
          <w:b/>
          <w:sz w:val="24"/>
          <w:u w:val="single"/>
        </w:rPr>
        <w:t>长江监利段国家级四大家鱼水产种质资源保护区</w:t>
      </w:r>
      <w:r>
        <w:rPr>
          <w:rFonts w:hAnsi="宋体" w:hint="eastAsia"/>
          <w:sz w:val="24"/>
          <w:u w:val="single"/>
        </w:rPr>
        <w:t>：长江监利段四大家鱼国家级水产种质资源保护区总面积</w:t>
      </w:r>
      <w:r>
        <w:rPr>
          <w:rFonts w:hAnsi="宋体" w:hint="eastAsia"/>
          <w:sz w:val="24"/>
          <w:u w:val="single"/>
        </w:rPr>
        <w:t>15996</w:t>
      </w:r>
      <w:r>
        <w:rPr>
          <w:rFonts w:hAnsi="宋体" w:hint="eastAsia"/>
          <w:sz w:val="24"/>
          <w:u w:val="single"/>
        </w:rPr>
        <w:t>公顷，其中核心区面积</w:t>
      </w:r>
      <w:r>
        <w:rPr>
          <w:rFonts w:hAnsi="宋体" w:hint="eastAsia"/>
          <w:sz w:val="24"/>
          <w:u w:val="single"/>
        </w:rPr>
        <w:t>6294</w:t>
      </w:r>
      <w:r>
        <w:rPr>
          <w:rFonts w:hAnsi="宋体" w:hint="eastAsia"/>
          <w:sz w:val="24"/>
          <w:u w:val="single"/>
        </w:rPr>
        <w:t>公顷，实验区</w:t>
      </w:r>
      <w:r>
        <w:rPr>
          <w:rFonts w:hAnsi="宋体" w:hint="eastAsia"/>
          <w:sz w:val="24"/>
          <w:u w:val="single"/>
        </w:rPr>
        <w:t>9702</w:t>
      </w:r>
      <w:r>
        <w:rPr>
          <w:rFonts w:hAnsi="宋体" w:hint="eastAsia"/>
          <w:sz w:val="24"/>
          <w:u w:val="single"/>
        </w:rPr>
        <w:t>公顷。特别保护期为</w:t>
      </w:r>
      <w:r>
        <w:rPr>
          <w:rFonts w:hAnsi="宋体" w:hint="eastAsia"/>
          <w:sz w:val="24"/>
          <w:u w:val="single"/>
        </w:rPr>
        <w:t>4</w:t>
      </w:r>
      <w:r>
        <w:rPr>
          <w:rFonts w:hAnsi="宋体" w:hint="eastAsia"/>
          <w:sz w:val="24"/>
          <w:u w:val="single"/>
        </w:rPr>
        <w:t>月</w:t>
      </w:r>
      <w:r>
        <w:rPr>
          <w:rFonts w:hAnsi="宋体" w:hint="eastAsia"/>
          <w:sz w:val="24"/>
          <w:u w:val="single"/>
        </w:rPr>
        <w:t>1</w:t>
      </w:r>
      <w:r>
        <w:rPr>
          <w:rFonts w:hAnsi="宋体" w:hint="eastAsia"/>
          <w:sz w:val="24"/>
          <w:u w:val="single"/>
        </w:rPr>
        <w:t>日</w:t>
      </w:r>
      <w:r>
        <w:rPr>
          <w:rFonts w:hAnsi="宋体" w:hint="eastAsia"/>
          <w:sz w:val="24"/>
          <w:u w:val="single"/>
        </w:rPr>
        <w:t>-6</w:t>
      </w:r>
      <w:r>
        <w:rPr>
          <w:rFonts w:hAnsi="宋体" w:hint="eastAsia"/>
          <w:sz w:val="24"/>
          <w:u w:val="single"/>
        </w:rPr>
        <w:t>月</w:t>
      </w:r>
      <w:r>
        <w:rPr>
          <w:rFonts w:hAnsi="宋体" w:hint="eastAsia"/>
          <w:sz w:val="24"/>
          <w:u w:val="single"/>
        </w:rPr>
        <w:t>30</w:t>
      </w:r>
      <w:r>
        <w:rPr>
          <w:rFonts w:hAnsi="宋体" w:hint="eastAsia"/>
          <w:sz w:val="24"/>
          <w:u w:val="single"/>
        </w:rPr>
        <w:t>日。保护区位于湖北省监利县长江江段，范围在东经</w:t>
      </w:r>
      <w:r>
        <w:rPr>
          <w:rFonts w:hAnsi="宋体" w:hint="eastAsia"/>
          <w:sz w:val="24"/>
          <w:u w:val="single"/>
        </w:rPr>
        <w:t>112</w:t>
      </w:r>
      <w:r>
        <w:rPr>
          <w:rFonts w:hAnsi="宋体" w:hint="eastAsia"/>
          <w:sz w:val="24"/>
          <w:u w:val="single"/>
        </w:rPr>
        <w:t>°</w:t>
      </w:r>
      <w:r>
        <w:rPr>
          <w:rFonts w:hAnsi="宋体" w:hint="eastAsia"/>
          <w:sz w:val="24"/>
          <w:u w:val="single"/>
        </w:rPr>
        <w:t>42</w:t>
      </w:r>
      <w:r>
        <w:rPr>
          <w:rFonts w:hAnsi="宋体" w:hint="eastAsia"/>
          <w:sz w:val="24"/>
          <w:u w:val="single"/>
        </w:rPr>
        <w:t>′</w:t>
      </w:r>
      <w:r>
        <w:rPr>
          <w:rFonts w:hAnsi="宋体" w:hint="eastAsia"/>
          <w:sz w:val="24"/>
          <w:u w:val="single"/>
        </w:rPr>
        <w:t>47"-113</w:t>
      </w:r>
      <w:r>
        <w:rPr>
          <w:rFonts w:hAnsi="宋体" w:hint="eastAsia"/>
          <w:sz w:val="24"/>
          <w:u w:val="single"/>
        </w:rPr>
        <w:t>°</w:t>
      </w:r>
      <w:r>
        <w:rPr>
          <w:rFonts w:hAnsi="宋体" w:hint="eastAsia"/>
          <w:sz w:val="24"/>
          <w:u w:val="single"/>
        </w:rPr>
        <w:t>18</w:t>
      </w:r>
      <w:r>
        <w:rPr>
          <w:rFonts w:hAnsi="宋体" w:hint="eastAsia"/>
          <w:sz w:val="24"/>
          <w:u w:val="single"/>
        </w:rPr>
        <w:t>′</w:t>
      </w:r>
      <w:r>
        <w:rPr>
          <w:rFonts w:hAnsi="宋体" w:hint="eastAsia"/>
          <w:sz w:val="24"/>
          <w:u w:val="single"/>
        </w:rPr>
        <w:t>11"</w:t>
      </w:r>
      <w:r>
        <w:rPr>
          <w:rFonts w:hAnsi="宋体" w:hint="eastAsia"/>
          <w:sz w:val="24"/>
          <w:u w:val="single"/>
        </w:rPr>
        <w:t>，北纬</w:t>
      </w:r>
      <w:r>
        <w:rPr>
          <w:rFonts w:hAnsi="宋体" w:hint="eastAsia"/>
          <w:sz w:val="24"/>
          <w:u w:val="single"/>
        </w:rPr>
        <w:t>29</w:t>
      </w:r>
      <w:r>
        <w:rPr>
          <w:rFonts w:hAnsi="宋体" w:hint="eastAsia"/>
          <w:sz w:val="24"/>
          <w:u w:val="single"/>
        </w:rPr>
        <w:t>°</w:t>
      </w:r>
      <w:r>
        <w:rPr>
          <w:rFonts w:hAnsi="宋体" w:hint="eastAsia"/>
          <w:sz w:val="24"/>
          <w:u w:val="single"/>
        </w:rPr>
        <w:t>27</w:t>
      </w:r>
      <w:r>
        <w:rPr>
          <w:rFonts w:hAnsi="宋体" w:hint="eastAsia"/>
          <w:sz w:val="24"/>
          <w:u w:val="single"/>
        </w:rPr>
        <w:t>′</w:t>
      </w:r>
      <w:r>
        <w:rPr>
          <w:rFonts w:hAnsi="宋体" w:hint="eastAsia"/>
          <w:sz w:val="24"/>
          <w:u w:val="single"/>
        </w:rPr>
        <w:t>46"-29</w:t>
      </w:r>
      <w:r>
        <w:rPr>
          <w:rFonts w:hAnsi="宋体" w:hint="eastAsia"/>
          <w:sz w:val="24"/>
          <w:u w:val="single"/>
        </w:rPr>
        <w:t>°</w:t>
      </w:r>
      <w:r>
        <w:rPr>
          <w:rFonts w:hAnsi="宋体" w:hint="eastAsia"/>
          <w:sz w:val="24"/>
          <w:u w:val="single"/>
        </w:rPr>
        <w:t>48</w:t>
      </w:r>
      <w:r>
        <w:rPr>
          <w:rFonts w:hAnsi="宋体" w:hint="eastAsia"/>
          <w:sz w:val="24"/>
          <w:u w:val="single"/>
        </w:rPr>
        <w:t>′</w:t>
      </w:r>
      <w:r>
        <w:rPr>
          <w:rFonts w:hAnsi="宋体" w:hint="eastAsia"/>
          <w:sz w:val="24"/>
          <w:u w:val="single"/>
        </w:rPr>
        <w:t>31"</w:t>
      </w:r>
      <w:r>
        <w:rPr>
          <w:rFonts w:hAnsi="宋体" w:hint="eastAsia"/>
          <w:sz w:val="24"/>
          <w:u w:val="single"/>
        </w:rPr>
        <w:t>之间，由老江河长江故道长</w:t>
      </w:r>
      <w:r>
        <w:rPr>
          <w:rFonts w:hAnsi="宋体" w:hint="eastAsia"/>
          <w:sz w:val="24"/>
          <w:u w:val="single"/>
        </w:rPr>
        <w:t>20.0</w:t>
      </w:r>
      <w:r>
        <w:rPr>
          <w:rFonts w:hAnsi="宋体" w:hint="eastAsia"/>
          <w:sz w:val="24"/>
          <w:u w:val="single"/>
        </w:rPr>
        <w:t>千米和长江干流</w:t>
      </w:r>
      <w:r>
        <w:rPr>
          <w:rFonts w:hAnsi="宋体" w:hint="eastAsia"/>
          <w:sz w:val="24"/>
          <w:u w:val="single"/>
        </w:rPr>
        <w:t>78.48</w:t>
      </w:r>
      <w:r>
        <w:rPr>
          <w:rFonts w:hAnsi="宋体" w:hint="eastAsia"/>
          <w:sz w:val="24"/>
          <w:u w:val="single"/>
        </w:rPr>
        <w:t>千米江段水域组成，全长</w:t>
      </w:r>
      <w:r>
        <w:rPr>
          <w:rFonts w:hAnsi="宋体" w:hint="eastAsia"/>
          <w:sz w:val="24"/>
          <w:u w:val="single"/>
        </w:rPr>
        <w:t>98.48</w:t>
      </w:r>
      <w:r>
        <w:rPr>
          <w:rFonts w:hAnsi="宋体" w:hint="eastAsia"/>
          <w:sz w:val="24"/>
          <w:u w:val="single"/>
        </w:rPr>
        <w:t>千米。保护区江段上起监利县大垸柳口闸，下至监利县白螺镇韩家埠，流经杨家湾、沙咀、左家滩、盐船、上沙村、老江河长江故道、孙梁洲、白螺矶、韩家埠。其中长江干流保护区由</w:t>
      </w:r>
      <w:r>
        <w:rPr>
          <w:rFonts w:hAnsi="宋体" w:hint="eastAsia"/>
          <w:sz w:val="24"/>
          <w:u w:val="single"/>
        </w:rPr>
        <w:t>3</w:t>
      </w:r>
      <w:r>
        <w:rPr>
          <w:rFonts w:hAnsi="宋体" w:hint="eastAsia"/>
          <w:sz w:val="24"/>
          <w:u w:val="single"/>
        </w:rPr>
        <w:t>段水域构成，保护区上段由监利县大垸农场管理区柳口至容城镇新洲沙咀轮渡码头，中段由三洲镇左家滩经老江河故道至柘木乡孙梁洲，下段由白螺镇白螺矶至韩家埠。主要保护对象为青鱼、草鱼、鲢、鳙“四大家鱼”，其他保护对象为保护区内的其它水生生物。根据其核心区与实验区的划分，园区污水处理厂排污口不位于该保护区的范围内。</w:t>
      </w:r>
    </w:p>
    <w:p w:rsidR="00475650" w:rsidRDefault="00475650">
      <w:pPr>
        <w:pStyle w:val="afffa"/>
        <w:snapToGrid w:val="0"/>
        <w:spacing w:line="360" w:lineRule="auto"/>
        <w:ind w:firstLine="482"/>
        <w:rPr>
          <w:szCs w:val="24"/>
          <w:u w:val="single"/>
        </w:rPr>
      </w:pPr>
      <w:r>
        <w:rPr>
          <w:rFonts w:hAnsi="宋体" w:hint="eastAsia"/>
          <w:b/>
          <w:u w:val="single"/>
        </w:rPr>
        <w:t>湖南东洞庭湖国家级自然保护区</w:t>
      </w:r>
      <w:r>
        <w:rPr>
          <w:rFonts w:hAnsi="宋体" w:hint="eastAsia"/>
          <w:u w:val="single"/>
        </w:rPr>
        <w:t>：</w:t>
      </w:r>
      <w:r>
        <w:rPr>
          <w:szCs w:val="24"/>
          <w:u w:val="single"/>
        </w:rPr>
        <w:t>湖南东洞庭湖国家级自然保护区位于长江中下游荆江江段南侧，地处湖南省东北部岳阳市境内，地理坐标为东经</w:t>
      </w:r>
      <w:r>
        <w:rPr>
          <w:szCs w:val="24"/>
          <w:u w:val="single"/>
        </w:rPr>
        <w:t>112°43′</w:t>
      </w:r>
      <w:r>
        <w:rPr>
          <w:szCs w:val="24"/>
          <w:u w:val="single"/>
        </w:rPr>
        <w:t>～</w:t>
      </w:r>
      <w:r>
        <w:rPr>
          <w:szCs w:val="24"/>
          <w:u w:val="single"/>
        </w:rPr>
        <w:t>113°15′</w:t>
      </w:r>
      <w:r>
        <w:rPr>
          <w:szCs w:val="24"/>
          <w:u w:val="single"/>
        </w:rPr>
        <w:t>北纬</w:t>
      </w:r>
      <w:r>
        <w:rPr>
          <w:szCs w:val="24"/>
          <w:u w:val="single"/>
        </w:rPr>
        <w:t>28°59′</w:t>
      </w:r>
      <w:r>
        <w:rPr>
          <w:szCs w:val="24"/>
          <w:u w:val="single"/>
        </w:rPr>
        <w:t>～</w:t>
      </w:r>
      <w:r>
        <w:rPr>
          <w:szCs w:val="24"/>
          <w:u w:val="single"/>
        </w:rPr>
        <w:t>29°38′</w:t>
      </w:r>
      <w:r>
        <w:rPr>
          <w:szCs w:val="24"/>
          <w:u w:val="single"/>
        </w:rPr>
        <w:t>，属湿地生态系统类型自然保护区。保护区总面积</w:t>
      </w:r>
      <w:r>
        <w:rPr>
          <w:szCs w:val="24"/>
          <w:u w:val="single"/>
        </w:rPr>
        <w:t>19</w:t>
      </w:r>
      <w:r>
        <w:rPr>
          <w:szCs w:val="24"/>
          <w:u w:val="single"/>
        </w:rPr>
        <w:t>万</w:t>
      </w:r>
      <w:r>
        <w:rPr>
          <w:szCs w:val="24"/>
          <w:u w:val="single"/>
        </w:rPr>
        <w:t>hm²</w:t>
      </w:r>
      <w:r>
        <w:rPr>
          <w:szCs w:val="24"/>
          <w:u w:val="single"/>
        </w:rPr>
        <w:t>，其中核心区面积</w:t>
      </w:r>
      <w:r>
        <w:rPr>
          <w:szCs w:val="24"/>
          <w:u w:val="single"/>
        </w:rPr>
        <w:t>2.9</w:t>
      </w:r>
      <w:r>
        <w:rPr>
          <w:szCs w:val="24"/>
          <w:u w:val="single"/>
        </w:rPr>
        <w:t>万</w:t>
      </w:r>
      <w:r>
        <w:rPr>
          <w:szCs w:val="24"/>
          <w:u w:val="single"/>
        </w:rPr>
        <w:t>hm²</w:t>
      </w:r>
      <w:r>
        <w:rPr>
          <w:szCs w:val="24"/>
          <w:u w:val="single"/>
        </w:rPr>
        <w:t>，缓冲区面积</w:t>
      </w:r>
      <w:r>
        <w:rPr>
          <w:szCs w:val="24"/>
          <w:u w:val="single"/>
        </w:rPr>
        <w:t>3.64</w:t>
      </w:r>
      <w:r>
        <w:rPr>
          <w:szCs w:val="24"/>
          <w:u w:val="single"/>
        </w:rPr>
        <w:t>万</w:t>
      </w:r>
      <w:r>
        <w:rPr>
          <w:szCs w:val="24"/>
          <w:u w:val="single"/>
        </w:rPr>
        <w:t>hm²</w:t>
      </w:r>
      <w:r>
        <w:rPr>
          <w:szCs w:val="24"/>
          <w:u w:val="single"/>
        </w:rPr>
        <w:t>，实验区面积</w:t>
      </w:r>
      <w:r>
        <w:rPr>
          <w:szCs w:val="24"/>
          <w:u w:val="single"/>
        </w:rPr>
        <w:t>12.46</w:t>
      </w:r>
      <w:r>
        <w:rPr>
          <w:szCs w:val="24"/>
          <w:u w:val="single"/>
        </w:rPr>
        <w:t>万</w:t>
      </w:r>
      <w:r>
        <w:rPr>
          <w:szCs w:val="24"/>
          <w:u w:val="single"/>
        </w:rPr>
        <w:t>hm²</w:t>
      </w:r>
      <w:r>
        <w:rPr>
          <w:szCs w:val="24"/>
          <w:u w:val="single"/>
        </w:rPr>
        <w:t>。</w:t>
      </w:r>
      <w:r>
        <w:rPr>
          <w:szCs w:val="24"/>
          <w:u w:val="single"/>
        </w:rPr>
        <w:t>1982</w:t>
      </w:r>
      <w:r>
        <w:rPr>
          <w:szCs w:val="24"/>
          <w:u w:val="single"/>
        </w:rPr>
        <w:lastRenderedPageBreak/>
        <w:t>年经湖南省人民政府批准建立省级自然保护区，</w:t>
      </w:r>
      <w:r>
        <w:rPr>
          <w:szCs w:val="24"/>
          <w:u w:val="single"/>
        </w:rPr>
        <w:t>1992</w:t>
      </w:r>
      <w:r>
        <w:rPr>
          <w:szCs w:val="24"/>
          <w:u w:val="single"/>
        </w:rPr>
        <w:t>年被列入</w:t>
      </w:r>
      <w:r>
        <w:rPr>
          <w:szCs w:val="24"/>
          <w:u w:val="single"/>
        </w:rPr>
        <w:t>“</w:t>
      </w:r>
      <w:r>
        <w:rPr>
          <w:szCs w:val="24"/>
          <w:u w:val="single"/>
        </w:rPr>
        <w:t>世界重要湿地名录</w:t>
      </w:r>
      <w:r>
        <w:rPr>
          <w:szCs w:val="24"/>
          <w:u w:val="single"/>
        </w:rPr>
        <w:t>”</w:t>
      </w:r>
      <w:r>
        <w:rPr>
          <w:szCs w:val="24"/>
          <w:u w:val="single"/>
        </w:rPr>
        <w:t>，</w:t>
      </w:r>
      <w:r>
        <w:rPr>
          <w:szCs w:val="24"/>
          <w:u w:val="single"/>
        </w:rPr>
        <w:t>1994</w:t>
      </w:r>
      <w:r>
        <w:rPr>
          <w:szCs w:val="24"/>
          <w:u w:val="single"/>
        </w:rPr>
        <w:t>年经国务院批准晋升为国家级自然保护区，主要保护对象为湿地和珍稀鸟类。</w:t>
      </w:r>
      <w:r>
        <w:rPr>
          <w:rFonts w:hint="eastAsia"/>
          <w:szCs w:val="24"/>
          <w:u w:val="single"/>
        </w:rPr>
        <w:t>2011</w:t>
      </w:r>
      <w:r>
        <w:rPr>
          <w:rFonts w:hint="eastAsia"/>
          <w:szCs w:val="24"/>
          <w:u w:val="single"/>
        </w:rPr>
        <w:t>年，</w:t>
      </w:r>
      <w:r>
        <w:rPr>
          <w:szCs w:val="24"/>
          <w:u w:val="single"/>
        </w:rPr>
        <w:t>岳阳市人民政府已经上报国务院</w:t>
      </w:r>
      <w:r>
        <w:rPr>
          <w:rFonts w:hint="eastAsia"/>
          <w:szCs w:val="24"/>
          <w:u w:val="single"/>
        </w:rPr>
        <w:t>申请</w:t>
      </w:r>
      <w:r>
        <w:rPr>
          <w:szCs w:val="24"/>
          <w:u w:val="single"/>
        </w:rPr>
        <w:t>调整湖南东洞庭湖国家级自然保护区的规划，</w:t>
      </w:r>
      <w:r>
        <w:rPr>
          <w:rFonts w:hint="eastAsia"/>
          <w:szCs w:val="24"/>
          <w:u w:val="single"/>
        </w:rPr>
        <w:t>调规前后本项目均不在东洞庭湖国家级自然保护区。</w:t>
      </w:r>
    </w:p>
    <w:p w:rsidR="00475650" w:rsidRDefault="00475650">
      <w:pPr>
        <w:spacing w:line="360" w:lineRule="auto"/>
        <w:ind w:firstLineChars="200" w:firstLine="480"/>
        <w:rPr>
          <w:sz w:val="24"/>
        </w:rPr>
      </w:pPr>
      <w:r>
        <w:rPr>
          <w:rFonts w:hAnsi="宋体" w:hint="eastAsia"/>
          <w:sz w:val="24"/>
        </w:rPr>
        <w:t>综上所述，</w:t>
      </w:r>
      <w:r>
        <w:rPr>
          <w:rFonts w:hAnsi="宋体"/>
          <w:sz w:val="24"/>
        </w:rPr>
        <w:t>本项目无明显环境制约因素。</w:t>
      </w:r>
    </w:p>
    <w:p w:rsidR="00475650" w:rsidRDefault="00475650">
      <w:pPr>
        <w:spacing w:line="360" w:lineRule="auto"/>
        <w:ind w:firstLineChars="200" w:firstLine="480"/>
        <w:rPr>
          <w:sz w:val="24"/>
        </w:rPr>
      </w:pPr>
    </w:p>
    <w:p w:rsidR="00475650" w:rsidRDefault="00475650">
      <w:pPr>
        <w:spacing w:line="360" w:lineRule="auto"/>
        <w:ind w:firstLineChars="200" w:firstLine="480"/>
        <w:rPr>
          <w:sz w:val="24"/>
        </w:rPr>
        <w:sectPr w:rsidR="00475650">
          <w:pgSz w:w="11906" w:h="16838"/>
          <w:pgMar w:top="1701" w:right="1588" w:bottom="1418" w:left="1588" w:header="851" w:footer="992" w:gutter="0"/>
          <w:paperSrc w:first="7" w:other="7"/>
          <w:cols w:space="720"/>
          <w:docGrid w:linePitch="312"/>
        </w:sectPr>
      </w:pPr>
    </w:p>
    <w:p w:rsidR="00475650" w:rsidRDefault="00475650">
      <w:pPr>
        <w:pStyle w:val="13"/>
        <w:widowControl/>
        <w:spacing w:before="100" w:beforeAutospacing="1" w:after="100" w:afterAutospacing="1" w:line="360" w:lineRule="auto"/>
        <w:rPr>
          <w:rFonts w:eastAsia="宋体"/>
          <w:b w:val="0"/>
          <w:sz w:val="32"/>
          <w:szCs w:val="32"/>
        </w:rPr>
      </w:pPr>
      <w:bookmarkStart w:id="1174" w:name="_Toc4739"/>
      <w:bookmarkStart w:id="1175" w:name="_Toc332293103"/>
      <w:bookmarkStart w:id="1176" w:name="_Toc270623096"/>
      <w:bookmarkStart w:id="1177" w:name="_Toc228775498"/>
      <w:bookmarkStart w:id="1178" w:name="_Toc238484746"/>
      <w:bookmarkStart w:id="1179" w:name="_Toc247302885"/>
      <w:bookmarkStart w:id="1180" w:name="_Toc332293115"/>
      <w:bookmarkStart w:id="1181" w:name="_Toc269809392"/>
      <w:r>
        <w:rPr>
          <w:rFonts w:eastAsia="宋体"/>
          <w:b w:val="0"/>
          <w:sz w:val="32"/>
          <w:szCs w:val="32"/>
        </w:rPr>
        <w:lastRenderedPageBreak/>
        <w:t xml:space="preserve">12 </w:t>
      </w:r>
      <w:r>
        <w:rPr>
          <w:rFonts w:eastAsia="宋体" w:hAnsi="宋体"/>
          <w:b w:val="0"/>
          <w:sz w:val="32"/>
          <w:szCs w:val="32"/>
        </w:rPr>
        <w:t>公众参与</w:t>
      </w:r>
      <w:bookmarkEnd w:id="1174"/>
    </w:p>
    <w:p w:rsidR="00475650" w:rsidRDefault="00475650">
      <w:pPr>
        <w:pStyle w:val="affffffffff5"/>
        <w:keepNext/>
        <w:keepLines/>
        <w:widowControl w:val="0"/>
        <w:spacing w:before="100" w:beforeAutospacing="1" w:after="100" w:afterAutospacing="1" w:line="360" w:lineRule="auto"/>
        <w:jc w:val="both"/>
        <w:outlineLvl w:val="0"/>
        <w:rPr>
          <w:rFonts w:ascii="Times New Roman" w:hAnsi="Times New Roman" w:cs="Times New Roman"/>
          <w:bCs/>
          <w:sz w:val="28"/>
          <w:szCs w:val="28"/>
        </w:rPr>
      </w:pPr>
      <w:bookmarkStart w:id="1182" w:name="_Toc30758"/>
      <w:bookmarkStart w:id="1183" w:name="_Toc247302878"/>
      <w:bookmarkStart w:id="1184" w:name="_Toc332293104"/>
      <w:bookmarkStart w:id="1185" w:name="_Toc270623097"/>
      <w:r>
        <w:rPr>
          <w:rFonts w:ascii="Times New Roman" w:hAnsi="Times New Roman" w:cs="Times New Roman"/>
          <w:bCs/>
          <w:kern w:val="2"/>
          <w:sz w:val="28"/>
          <w:szCs w:val="28"/>
        </w:rPr>
        <w:t xml:space="preserve">12.1 </w:t>
      </w:r>
      <w:r>
        <w:rPr>
          <w:rFonts w:ascii="Times New Roman" w:cs="Times New Roman"/>
          <w:bCs/>
          <w:kern w:val="2"/>
          <w:sz w:val="28"/>
          <w:szCs w:val="28"/>
        </w:rPr>
        <w:t>目的和原则</w:t>
      </w:r>
      <w:bookmarkEnd w:id="1182"/>
      <w:bookmarkEnd w:id="1183"/>
      <w:bookmarkEnd w:id="1184"/>
      <w:bookmarkEnd w:id="1185"/>
    </w:p>
    <w:p w:rsidR="00475650" w:rsidRDefault="00475650">
      <w:pPr>
        <w:pStyle w:val="affffffffff5"/>
        <w:keepNext/>
        <w:keepLines/>
        <w:widowControl w:val="0"/>
        <w:spacing w:line="360" w:lineRule="auto"/>
        <w:jc w:val="both"/>
        <w:outlineLvl w:val="0"/>
        <w:rPr>
          <w:rFonts w:ascii="Times New Roman" w:hAnsi="Times New Roman" w:cs="Times New Roman"/>
          <w:bCs/>
        </w:rPr>
      </w:pPr>
      <w:bookmarkStart w:id="1186" w:name="_Toc23719"/>
      <w:bookmarkStart w:id="1187" w:name="_Toc270623098"/>
      <w:bookmarkStart w:id="1188" w:name="_Toc273461981"/>
      <w:bookmarkStart w:id="1189" w:name="_Toc273462632"/>
      <w:bookmarkStart w:id="1190" w:name="_Toc302936898"/>
      <w:bookmarkStart w:id="1191" w:name="_Toc334080948"/>
      <w:bookmarkStart w:id="1192" w:name="_Toc274985064"/>
      <w:bookmarkStart w:id="1193" w:name="_Toc333230128"/>
      <w:bookmarkStart w:id="1194" w:name="_Toc334014306"/>
      <w:bookmarkStart w:id="1195" w:name="_Toc332293105"/>
      <w:bookmarkStart w:id="1196" w:name="_Toc465677103"/>
      <w:r>
        <w:rPr>
          <w:rFonts w:ascii="Times New Roman" w:hAnsi="Times New Roman" w:cs="Times New Roman"/>
          <w:bCs/>
          <w:kern w:val="2"/>
        </w:rPr>
        <w:t xml:space="preserve">12.1.1 </w:t>
      </w:r>
      <w:r>
        <w:rPr>
          <w:rFonts w:ascii="Times New Roman" w:cs="Times New Roman"/>
          <w:bCs/>
          <w:kern w:val="2"/>
        </w:rPr>
        <w:t>目的</w:t>
      </w:r>
      <w:bookmarkEnd w:id="1186"/>
      <w:bookmarkEnd w:id="1187"/>
      <w:bookmarkEnd w:id="1188"/>
      <w:bookmarkEnd w:id="1189"/>
      <w:bookmarkEnd w:id="1190"/>
      <w:bookmarkEnd w:id="1191"/>
      <w:bookmarkEnd w:id="1192"/>
      <w:bookmarkEnd w:id="1193"/>
      <w:bookmarkEnd w:id="1194"/>
      <w:bookmarkEnd w:id="1195"/>
      <w:bookmarkEnd w:id="1196"/>
    </w:p>
    <w:p w:rsidR="00475650" w:rsidRDefault="00475650">
      <w:pPr>
        <w:pStyle w:val="affffffffff5"/>
        <w:tabs>
          <w:tab w:val="left" w:pos="7080"/>
        </w:tabs>
        <w:adjustRightInd w:val="0"/>
        <w:snapToGrid w:val="0"/>
        <w:spacing w:line="348" w:lineRule="auto"/>
        <w:ind w:firstLineChars="200" w:firstLine="480"/>
        <w:jc w:val="both"/>
        <w:rPr>
          <w:rFonts w:ascii="Times New Roman" w:hAnsi="Times New Roman" w:cs="Times New Roman"/>
        </w:rPr>
      </w:pPr>
      <w:r>
        <w:rPr>
          <w:rFonts w:ascii="Times New Roman" w:cs="Times New Roman"/>
          <w:bCs/>
          <w:kern w:val="2"/>
        </w:rPr>
        <w:t>在建设项目环境影响评价的过程中引入公众参与，目的是通过了解公众对拟建项目建设的意见、要求和看法，从而在环境影响评价中能够全面综合考虑公众的意见，听取有益的建议，使项目的规划设计更趋完善与合理，制定的环保措施更符合环境保护和经济协调发展的要求，从而进一步消除或减缓该项目对周围环境带来的不利影响，并使其减少到最低程度。</w:t>
      </w:r>
      <w:r>
        <w:rPr>
          <w:rFonts w:ascii="Times New Roman" w:cs="Times New Roman" w:hint="eastAsia"/>
          <w:bCs/>
          <w:kern w:val="2"/>
        </w:rPr>
        <w:t>本次环评公众参与由业主实施。</w:t>
      </w:r>
    </w:p>
    <w:p w:rsidR="00475650" w:rsidRDefault="00475650">
      <w:pPr>
        <w:pStyle w:val="affffffffff5"/>
        <w:keepNext/>
        <w:keepLines/>
        <w:widowControl w:val="0"/>
        <w:spacing w:line="348" w:lineRule="auto"/>
        <w:jc w:val="both"/>
        <w:outlineLvl w:val="0"/>
        <w:rPr>
          <w:rFonts w:ascii="Times New Roman" w:hAnsi="Times New Roman" w:cs="Times New Roman"/>
          <w:bCs/>
        </w:rPr>
      </w:pPr>
      <w:bookmarkStart w:id="1197" w:name="_Toc332293106"/>
      <w:bookmarkStart w:id="1198" w:name="_Toc465677104"/>
      <w:bookmarkStart w:id="1199" w:name="_Toc1176"/>
      <w:bookmarkStart w:id="1200" w:name="_Toc334080949"/>
      <w:bookmarkStart w:id="1201" w:name="_Toc270623099"/>
      <w:bookmarkStart w:id="1202" w:name="_Toc334014307"/>
      <w:bookmarkStart w:id="1203" w:name="_Toc333230129"/>
      <w:bookmarkStart w:id="1204" w:name="_Toc274985065"/>
      <w:bookmarkStart w:id="1205" w:name="_Toc273461982"/>
      <w:bookmarkStart w:id="1206" w:name="_Toc302936899"/>
      <w:bookmarkStart w:id="1207" w:name="_Toc273462633"/>
      <w:r>
        <w:rPr>
          <w:rFonts w:ascii="Times New Roman" w:hAnsi="Times New Roman" w:cs="Times New Roman"/>
          <w:bCs/>
          <w:kern w:val="2"/>
        </w:rPr>
        <w:t xml:space="preserve">12.1.2 </w:t>
      </w:r>
      <w:r>
        <w:rPr>
          <w:rFonts w:ascii="Times New Roman" w:cs="Times New Roman"/>
          <w:bCs/>
          <w:kern w:val="2"/>
        </w:rPr>
        <w:t>原则</w:t>
      </w:r>
      <w:bookmarkEnd w:id="1197"/>
      <w:bookmarkEnd w:id="1198"/>
      <w:bookmarkEnd w:id="1199"/>
      <w:bookmarkEnd w:id="1200"/>
      <w:bookmarkEnd w:id="1201"/>
      <w:bookmarkEnd w:id="1202"/>
      <w:bookmarkEnd w:id="1203"/>
      <w:bookmarkEnd w:id="1204"/>
      <w:bookmarkEnd w:id="1205"/>
      <w:bookmarkEnd w:id="1206"/>
      <w:bookmarkEnd w:id="1207"/>
    </w:p>
    <w:p w:rsidR="00475650" w:rsidRDefault="00475650">
      <w:pPr>
        <w:widowControl/>
        <w:adjustRightInd w:val="0"/>
        <w:snapToGrid w:val="0"/>
        <w:spacing w:line="348" w:lineRule="auto"/>
        <w:ind w:firstLineChars="200" w:firstLine="480"/>
        <w:rPr>
          <w:snapToGrid w:val="0"/>
          <w:sz w:val="24"/>
        </w:rPr>
      </w:pPr>
      <w:r>
        <w:rPr>
          <w:rFonts w:hAnsi="宋体"/>
          <w:snapToGrid w:val="0"/>
          <w:sz w:val="24"/>
        </w:rPr>
        <w:t>本次公众参与的评价遵循以下原则：</w:t>
      </w:r>
    </w:p>
    <w:p w:rsidR="00475650" w:rsidRDefault="00475650">
      <w:pPr>
        <w:pStyle w:val="affffffffff5"/>
        <w:tabs>
          <w:tab w:val="left" w:pos="7080"/>
        </w:tabs>
        <w:adjustRightInd w:val="0"/>
        <w:snapToGrid w:val="0"/>
        <w:spacing w:line="348" w:lineRule="auto"/>
        <w:ind w:firstLineChars="200" w:firstLine="480"/>
        <w:jc w:val="both"/>
        <w:rPr>
          <w:rFonts w:ascii="Times New Roman" w:hAnsi="Times New Roman" w:cs="Times New Roman"/>
        </w:rPr>
      </w:pPr>
      <w:r>
        <w:rPr>
          <w:rFonts w:ascii="Times New Roman" w:cs="Times New Roman"/>
          <w:bCs/>
          <w:kern w:val="2"/>
        </w:rPr>
        <w:t>⑴让公众充分了解项目，通过书面材料介绍，尽可能详细阐述项目的工程概况、可能产生的环境影响及其拟采取的污染防治措施等，积极解答公众提出的问题；</w:t>
      </w:r>
    </w:p>
    <w:p w:rsidR="00475650" w:rsidRDefault="00475650">
      <w:pPr>
        <w:pStyle w:val="affffffffff5"/>
        <w:tabs>
          <w:tab w:val="left" w:pos="7080"/>
        </w:tabs>
        <w:adjustRightInd w:val="0"/>
        <w:snapToGrid w:val="0"/>
        <w:spacing w:line="348" w:lineRule="auto"/>
        <w:ind w:firstLineChars="200" w:firstLine="480"/>
        <w:jc w:val="both"/>
        <w:rPr>
          <w:rFonts w:ascii="Times New Roman" w:hAnsi="Times New Roman" w:cs="Times New Roman"/>
        </w:rPr>
      </w:pPr>
      <w:r>
        <w:rPr>
          <w:rFonts w:ascii="Times New Roman" w:cs="Times New Roman"/>
          <w:bCs/>
          <w:kern w:val="2"/>
        </w:rPr>
        <w:t>⑵公众参与者的层次应高、低结合，涉及职业面广、不同文化程度和各种年龄段，以充分、全面反映绝大多数当地居民对该项目建设的意见和建议；</w:t>
      </w:r>
    </w:p>
    <w:p w:rsidR="00475650" w:rsidRDefault="00475650">
      <w:pPr>
        <w:pStyle w:val="affffffffff5"/>
        <w:tabs>
          <w:tab w:val="left" w:pos="7080"/>
        </w:tabs>
        <w:adjustRightInd w:val="0"/>
        <w:snapToGrid w:val="0"/>
        <w:spacing w:line="348" w:lineRule="auto"/>
        <w:ind w:firstLineChars="200" w:firstLine="480"/>
        <w:jc w:val="both"/>
        <w:rPr>
          <w:rFonts w:ascii="Times New Roman" w:hAnsi="Times New Roman" w:cs="Times New Roman"/>
        </w:rPr>
      </w:pPr>
      <w:r>
        <w:rPr>
          <w:rFonts w:ascii="Times New Roman" w:cs="Times New Roman"/>
          <w:bCs/>
          <w:kern w:val="2"/>
        </w:rPr>
        <w:t>⑶本着体现既民主又集中的精神，使公众参与工作在有序的状态下进行，发挥民主并建立畅通的沟通渠道，让公众充分发表他们的意见和建议，同时有组织地将公众意见归纳集中。</w:t>
      </w:r>
    </w:p>
    <w:p w:rsidR="00475650" w:rsidRDefault="00475650">
      <w:pPr>
        <w:pStyle w:val="affffffffff5"/>
        <w:keepNext/>
        <w:keepLines/>
        <w:widowControl w:val="0"/>
        <w:spacing w:before="100" w:beforeAutospacing="1" w:after="100" w:afterAutospacing="1" w:line="348" w:lineRule="auto"/>
        <w:jc w:val="both"/>
        <w:outlineLvl w:val="0"/>
        <w:rPr>
          <w:rFonts w:ascii="Times New Roman" w:hAnsi="Times New Roman" w:cs="Times New Roman"/>
          <w:bCs/>
          <w:sz w:val="28"/>
          <w:szCs w:val="28"/>
        </w:rPr>
      </w:pPr>
      <w:bookmarkStart w:id="1208" w:name="_Toc270623101"/>
      <w:bookmarkStart w:id="1209" w:name="_Toc332293108"/>
      <w:bookmarkStart w:id="1210" w:name="_Toc247302879"/>
      <w:bookmarkStart w:id="1211" w:name="_Toc2906"/>
      <w:r>
        <w:rPr>
          <w:rFonts w:ascii="Times New Roman" w:hAnsi="Times New Roman" w:cs="Times New Roman"/>
          <w:bCs/>
          <w:kern w:val="2"/>
          <w:sz w:val="28"/>
          <w:szCs w:val="28"/>
        </w:rPr>
        <w:t>12.2</w:t>
      </w:r>
      <w:bookmarkEnd w:id="1208"/>
      <w:bookmarkEnd w:id="1209"/>
      <w:bookmarkEnd w:id="1210"/>
      <w:r>
        <w:rPr>
          <w:rFonts w:ascii="Times New Roman" w:hAnsi="Times New Roman" w:cs="Times New Roman"/>
          <w:bCs/>
          <w:kern w:val="2"/>
          <w:sz w:val="28"/>
          <w:szCs w:val="28"/>
        </w:rPr>
        <w:t xml:space="preserve"> </w:t>
      </w:r>
      <w:r>
        <w:rPr>
          <w:rFonts w:ascii="Times New Roman" w:cs="Times New Roman"/>
          <w:bCs/>
          <w:kern w:val="2"/>
          <w:sz w:val="28"/>
          <w:szCs w:val="28"/>
        </w:rPr>
        <w:t>调查方式和内容</w:t>
      </w:r>
      <w:bookmarkEnd w:id="1211"/>
    </w:p>
    <w:p w:rsidR="00475650" w:rsidRDefault="00475650">
      <w:pPr>
        <w:pStyle w:val="affffffffff5"/>
        <w:tabs>
          <w:tab w:val="left" w:pos="7080"/>
        </w:tabs>
        <w:adjustRightInd w:val="0"/>
        <w:snapToGrid w:val="0"/>
        <w:spacing w:line="348" w:lineRule="auto"/>
        <w:ind w:firstLineChars="200" w:firstLine="480"/>
        <w:jc w:val="both"/>
        <w:rPr>
          <w:rFonts w:ascii="Times New Roman" w:cs="Times New Roman"/>
          <w:bCs/>
          <w:kern w:val="2"/>
        </w:rPr>
      </w:pPr>
      <w:r>
        <w:rPr>
          <w:rFonts w:ascii="Times New Roman" w:cs="Times New Roman"/>
          <w:bCs/>
          <w:kern w:val="2"/>
        </w:rPr>
        <w:t>按照国家环境保护总局环发</w:t>
      </w:r>
      <w:r>
        <w:rPr>
          <w:rFonts w:ascii="Times New Roman" w:cs="Times New Roman"/>
          <w:bCs/>
          <w:kern w:val="2"/>
        </w:rPr>
        <w:t>[2006]28</w:t>
      </w:r>
      <w:r>
        <w:rPr>
          <w:rFonts w:ascii="Times New Roman" w:cs="Times New Roman"/>
          <w:bCs/>
          <w:kern w:val="2"/>
        </w:rPr>
        <w:t>号文关于印发《环境影响评价公众参与暂行办法》的通知要求，公众参与采取公开环境信息、公众意见调查等方式广泛收集、听取公众意见。本次评价征求公众意见分为</w:t>
      </w:r>
      <w:r>
        <w:rPr>
          <w:rFonts w:ascii="Times New Roman" w:cs="Times New Roman" w:hint="eastAsia"/>
          <w:bCs/>
          <w:kern w:val="2"/>
        </w:rPr>
        <w:t>以下</w:t>
      </w:r>
      <w:r>
        <w:rPr>
          <w:rFonts w:ascii="Times New Roman" w:cs="Times New Roman"/>
          <w:bCs/>
          <w:kern w:val="2"/>
        </w:rPr>
        <w:t>阶段：</w:t>
      </w:r>
    </w:p>
    <w:p w:rsidR="00475650" w:rsidRDefault="00475650">
      <w:pPr>
        <w:pStyle w:val="affffffffff5"/>
        <w:tabs>
          <w:tab w:val="left" w:pos="7080"/>
        </w:tabs>
        <w:adjustRightInd w:val="0"/>
        <w:snapToGrid w:val="0"/>
        <w:spacing w:line="348" w:lineRule="auto"/>
        <w:ind w:firstLineChars="200" w:firstLine="480"/>
        <w:jc w:val="both"/>
        <w:rPr>
          <w:rFonts w:ascii="Times New Roman" w:cs="Times New Roman"/>
          <w:bCs/>
          <w:kern w:val="2"/>
        </w:rPr>
      </w:pPr>
      <w:r>
        <w:rPr>
          <w:rFonts w:ascii="Times New Roman" w:cs="Times New Roman"/>
          <w:bCs/>
          <w:kern w:val="2"/>
        </w:rPr>
        <w:t>（</w:t>
      </w:r>
      <w:r>
        <w:rPr>
          <w:rFonts w:ascii="Times New Roman" w:cs="Times New Roman"/>
          <w:bCs/>
          <w:kern w:val="2"/>
        </w:rPr>
        <w:t>1</w:t>
      </w:r>
      <w:r>
        <w:rPr>
          <w:rFonts w:ascii="Times New Roman" w:cs="Times New Roman"/>
          <w:bCs/>
          <w:kern w:val="2"/>
        </w:rPr>
        <w:t>）第一阶段，临湘市鹏程化工有限公司和湖南省环境保护科学研究院于环评合同签订（</w:t>
      </w:r>
      <w:r>
        <w:rPr>
          <w:rFonts w:ascii="Times New Roman" w:cs="Times New Roman"/>
          <w:bCs/>
          <w:kern w:val="2"/>
        </w:rPr>
        <w:t>2014</w:t>
      </w:r>
      <w:r>
        <w:rPr>
          <w:rFonts w:ascii="Times New Roman" w:cs="Times New Roman"/>
          <w:bCs/>
          <w:kern w:val="2"/>
        </w:rPr>
        <w:t>年</w:t>
      </w:r>
      <w:r>
        <w:rPr>
          <w:rFonts w:ascii="Times New Roman" w:cs="Times New Roman"/>
          <w:bCs/>
          <w:kern w:val="2"/>
        </w:rPr>
        <w:t>1</w:t>
      </w:r>
      <w:r>
        <w:rPr>
          <w:rFonts w:ascii="Times New Roman" w:cs="Times New Roman"/>
          <w:bCs/>
          <w:kern w:val="2"/>
        </w:rPr>
        <w:t>月</w:t>
      </w:r>
      <w:r>
        <w:rPr>
          <w:rFonts w:ascii="Times New Roman" w:cs="Times New Roman"/>
          <w:bCs/>
          <w:kern w:val="2"/>
        </w:rPr>
        <w:t>13</w:t>
      </w:r>
      <w:r>
        <w:rPr>
          <w:rFonts w:ascii="Times New Roman" w:cs="Times New Roman"/>
          <w:bCs/>
          <w:kern w:val="2"/>
        </w:rPr>
        <w:t>日）后</w:t>
      </w:r>
      <w:r>
        <w:rPr>
          <w:rFonts w:ascii="Times New Roman" w:cs="Times New Roman"/>
          <w:bCs/>
          <w:kern w:val="2"/>
        </w:rPr>
        <w:t>7</w:t>
      </w:r>
      <w:r>
        <w:rPr>
          <w:rFonts w:ascii="Times New Roman" w:cs="Times New Roman"/>
          <w:bCs/>
          <w:kern w:val="2"/>
        </w:rPr>
        <w:t>日内联合向公众就建设项目有关环境影响评价的信息进行了第一次公告。公告的具体形式为：于</w:t>
      </w:r>
      <w:r>
        <w:rPr>
          <w:rFonts w:ascii="Times New Roman" w:cs="Times New Roman"/>
          <w:bCs/>
          <w:kern w:val="2"/>
        </w:rPr>
        <w:t>2014</w:t>
      </w:r>
      <w:r>
        <w:rPr>
          <w:rFonts w:ascii="Times New Roman" w:cs="Times New Roman"/>
          <w:bCs/>
          <w:kern w:val="2"/>
        </w:rPr>
        <w:t>年</w:t>
      </w:r>
      <w:r>
        <w:rPr>
          <w:rFonts w:ascii="Times New Roman" w:cs="Times New Roman"/>
          <w:bCs/>
          <w:kern w:val="2"/>
        </w:rPr>
        <w:t>1</w:t>
      </w:r>
      <w:r>
        <w:rPr>
          <w:rFonts w:ascii="Times New Roman" w:cs="Times New Roman"/>
          <w:bCs/>
          <w:kern w:val="2"/>
        </w:rPr>
        <w:t>月</w:t>
      </w:r>
      <w:r>
        <w:rPr>
          <w:rFonts w:ascii="Times New Roman" w:cs="Times New Roman"/>
          <w:bCs/>
          <w:kern w:val="2"/>
        </w:rPr>
        <w:t>18</w:t>
      </w:r>
      <w:r>
        <w:rPr>
          <w:rFonts w:ascii="Times New Roman" w:cs="Times New Roman"/>
          <w:bCs/>
          <w:kern w:val="2"/>
        </w:rPr>
        <w:t>日在项目周边各村镇张贴该项目环境影响公告。公示主要的内容有项目概况、评价单位和建设单位的</w:t>
      </w:r>
      <w:r>
        <w:rPr>
          <w:rFonts w:ascii="Times New Roman" w:cs="Times New Roman"/>
          <w:bCs/>
          <w:kern w:val="2"/>
        </w:rPr>
        <w:lastRenderedPageBreak/>
        <w:t>联系方式、评价工作程序及主要工作内容、征求公众意见的主要事项、公众提出意见的方式，公示期限为发布之日起十日内。</w:t>
      </w:r>
    </w:p>
    <w:p w:rsidR="00475650" w:rsidRDefault="00475650">
      <w:pPr>
        <w:pStyle w:val="affffffffff5"/>
        <w:tabs>
          <w:tab w:val="left" w:pos="7080"/>
        </w:tabs>
        <w:adjustRightInd w:val="0"/>
        <w:snapToGrid w:val="0"/>
        <w:spacing w:line="348" w:lineRule="auto"/>
        <w:ind w:firstLineChars="200" w:firstLine="480"/>
        <w:jc w:val="both"/>
        <w:rPr>
          <w:szCs w:val="20"/>
        </w:rPr>
      </w:pPr>
      <w:bookmarkStart w:id="1212" w:name="_Toc273462636"/>
      <w:bookmarkStart w:id="1213" w:name="_Toc302936902"/>
      <w:bookmarkStart w:id="1214" w:name="_Toc334080952"/>
      <w:bookmarkStart w:id="1215" w:name="_Toc334014310"/>
      <w:bookmarkStart w:id="1216" w:name="_Toc332293109"/>
      <w:bookmarkStart w:id="1217" w:name="_Toc270623102"/>
      <w:bookmarkStart w:id="1218" w:name="_Toc273461985"/>
      <w:bookmarkStart w:id="1219" w:name="_Toc274985068"/>
      <w:bookmarkStart w:id="1220" w:name="_Toc333230132"/>
      <w:r>
        <w:rPr>
          <w:szCs w:val="20"/>
        </w:rPr>
        <w:t>（2）第二阶段。根据《环境影响评价公众参与暂行办法》的相关要求。建设单位在项目送审前，于2015年2月4日在《洞庭之声》第2676期刊登了《临湘市鹏程化工有限公司年产6000吨弱酸性染料建设项目环境影响评价公众参与信息公示，于2015年7月8日在湖南临湘工业园区管理委员会网站进行了项目公示，公示的主要内容有：</w:t>
      </w:r>
    </w:p>
    <w:p w:rsidR="00475650" w:rsidRDefault="00475650">
      <w:pPr>
        <w:adjustRightInd w:val="0"/>
        <w:snapToGrid w:val="0"/>
        <w:spacing w:line="360" w:lineRule="auto"/>
        <w:ind w:firstLineChars="200" w:firstLine="480"/>
        <w:rPr>
          <w:sz w:val="24"/>
        </w:rPr>
      </w:pPr>
      <w:r>
        <w:rPr>
          <w:rFonts w:hAnsi="宋体"/>
          <w:sz w:val="24"/>
        </w:rPr>
        <w:t>①建设项目情况简述；</w:t>
      </w:r>
    </w:p>
    <w:p w:rsidR="00475650" w:rsidRDefault="00475650">
      <w:pPr>
        <w:adjustRightInd w:val="0"/>
        <w:snapToGrid w:val="0"/>
        <w:spacing w:line="360" w:lineRule="auto"/>
        <w:ind w:firstLineChars="200" w:firstLine="480"/>
        <w:rPr>
          <w:sz w:val="24"/>
        </w:rPr>
      </w:pPr>
      <w:r>
        <w:rPr>
          <w:rFonts w:hAnsi="宋体"/>
          <w:sz w:val="24"/>
        </w:rPr>
        <w:t>②建设项目对环境可能造成影响的概述；</w:t>
      </w:r>
    </w:p>
    <w:p w:rsidR="00475650" w:rsidRDefault="00475650">
      <w:pPr>
        <w:adjustRightInd w:val="0"/>
        <w:snapToGrid w:val="0"/>
        <w:spacing w:line="360" w:lineRule="auto"/>
        <w:ind w:firstLineChars="200" w:firstLine="480"/>
        <w:rPr>
          <w:sz w:val="24"/>
        </w:rPr>
      </w:pPr>
      <w:r>
        <w:rPr>
          <w:rFonts w:hAnsi="宋体"/>
          <w:sz w:val="24"/>
        </w:rPr>
        <w:t>③预防或者减轻不良环境影响的对策和措施的要点；</w:t>
      </w:r>
    </w:p>
    <w:p w:rsidR="00475650" w:rsidRDefault="00475650">
      <w:pPr>
        <w:adjustRightInd w:val="0"/>
        <w:snapToGrid w:val="0"/>
        <w:spacing w:line="360" w:lineRule="auto"/>
        <w:ind w:firstLineChars="200" w:firstLine="480"/>
        <w:rPr>
          <w:sz w:val="24"/>
        </w:rPr>
      </w:pPr>
      <w:r>
        <w:rPr>
          <w:rFonts w:hAnsi="宋体"/>
          <w:sz w:val="24"/>
        </w:rPr>
        <w:t>④环境影响报告书提出的环境影响评价结论的要点；</w:t>
      </w:r>
    </w:p>
    <w:p w:rsidR="00475650" w:rsidRDefault="00475650">
      <w:pPr>
        <w:adjustRightInd w:val="0"/>
        <w:snapToGrid w:val="0"/>
        <w:spacing w:line="360" w:lineRule="auto"/>
        <w:ind w:firstLineChars="200" w:firstLine="480"/>
        <w:rPr>
          <w:sz w:val="24"/>
        </w:rPr>
      </w:pPr>
      <w:r>
        <w:rPr>
          <w:rFonts w:hAnsi="宋体"/>
          <w:sz w:val="24"/>
        </w:rPr>
        <w:t>⑤公众查阅环境影响评价报告书的方式和期限，以及公众认为必要时向建设单位或者委托的环境影响评价机构索取补充信息的方式和期限；</w:t>
      </w:r>
    </w:p>
    <w:p w:rsidR="00475650" w:rsidRDefault="00475650">
      <w:pPr>
        <w:adjustRightInd w:val="0"/>
        <w:snapToGrid w:val="0"/>
        <w:spacing w:line="360" w:lineRule="auto"/>
        <w:ind w:firstLineChars="200" w:firstLine="480"/>
        <w:rPr>
          <w:sz w:val="24"/>
        </w:rPr>
      </w:pPr>
      <w:r>
        <w:rPr>
          <w:rFonts w:hAnsi="宋体"/>
          <w:sz w:val="24"/>
        </w:rPr>
        <w:t>⑥征求公众意见的范围和主要事项；</w:t>
      </w:r>
    </w:p>
    <w:p w:rsidR="00475650" w:rsidRDefault="00475650">
      <w:pPr>
        <w:adjustRightInd w:val="0"/>
        <w:snapToGrid w:val="0"/>
        <w:spacing w:line="360" w:lineRule="auto"/>
        <w:ind w:firstLineChars="200" w:firstLine="480"/>
        <w:rPr>
          <w:sz w:val="24"/>
        </w:rPr>
      </w:pPr>
      <w:r>
        <w:rPr>
          <w:rFonts w:hAnsi="宋体"/>
          <w:sz w:val="24"/>
        </w:rPr>
        <w:t>⑦征求公众意见的具体形式；</w:t>
      </w:r>
    </w:p>
    <w:p w:rsidR="00475650" w:rsidRDefault="00475650">
      <w:pPr>
        <w:adjustRightInd w:val="0"/>
        <w:snapToGrid w:val="0"/>
        <w:spacing w:line="360" w:lineRule="auto"/>
        <w:ind w:firstLineChars="200" w:firstLine="480"/>
        <w:rPr>
          <w:sz w:val="24"/>
        </w:rPr>
      </w:pPr>
      <w:r>
        <w:rPr>
          <w:rFonts w:hAnsi="宋体"/>
          <w:sz w:val="24"/>
        </w:rPr>
        <w:t>⑧公众提出意见的主要方式。</w:t>
      </w:r>
    </w:p>
    <w:p w:rsidR="00475650" w:rsidRDefault="00475650">
      <w:pPr>
        <w:snapToGrid w:val="0"/>
        <w:spacing w:line="360" w:lineRule="auto"/>
        <w:ind w:firstLine="420"/>
        <w:rPr>
          <w:sz w:val="24"/>
          <w:shd w:val="clear" w:color="auto" w:fill="FFFFFF"/>
        </w:rPr>
      </w:pPr>
      <w:r>
        <w:rPr>
          <w:rFonts w:hAnsi="宋体"/>
          <w:sz w:val="24"/>
          <w:szCs w:val="20"/>
        </w:rPr>
        <w:t>（</w:t>
      </w:r>
      <w:r>
        <w:rPr>
          <w:sz w:val="24"/>
          <w:szCs w:val="20"/>
        </w:rPr>
        <w:t>3</w:t>
      </w:r>
      <w:r>
        <w:rPr>
          <w:rFonts w:hAnsi="宋体"/>
          <w:sz w:val="24"/>
          <w:szCs w:val="20"/>
        </w:rPr>
        <w:t>）第三阶段。</w:t>
      </w:r>
      <w:r>
        <w:rPr>
          <w:rFonts w:hAnsi="宋体"/>
          <w:sz w:val="24"/>
          <w:szCs w:val="28"/>
          <w:shd w:val="clear" w:color="auto" w:fill="FFFFFF"/>
        </w:rPr>
        <w:t>在报告书编制过程中，</w:t>
      </w:r>
      <w:r>
        <w:rPr>
          <w:rFonts w:hAnsi="宋体" w:hint="eastAsia"/>
          <w:sz w:val="24"/>
          <w:szCs w:val="28"/>
          <w:shd w:val="clear" w:color="auto" w:fill="FFFFFF"/>
        </w:rPr>
        <w:t>建设单位</w:t>
      </w:r>
      <w:r>
        <w:rPr>
          <w:rFonts w:hAnsi="宋体"/>
          <w:sz w:val="24"/>
          <w:szCs w:val="28"/>
          <w:shd w:val="clear" w:color="auto" w:fill="FFFFFF"/>
        </w:rPr>
        <w:t>采取发放</w:t>
      </w:r>
      <w:r>
        <w:rPr>
          <w:rFonts w:hAnsi="宋体"/>
          <w:sz w:val="24"/>
          <w:shd w:val="clear" w:color="auto" w:fill="FFFFFF"/>
        </w:rPr>
        <w:t>调查表及随访的形式对该项目周边企事业单位以及项目所在地可能受直接影响的居民进行调查。向调查对象介绍建设项目的环境、社会和经济效益，对评价区域的大气、水体、人体健康可能带来的不利影响，以及拟定的减缓不利影响的措施。本次公众调查的问题包括：</w:t>
      </w:r>
    </w:p>
    <w:p w:rsidR="00475650" w:rsidRDefault="00475650">
      <w:pPr>
        <w:adjustRightInd w:val="0"/>
        <w:snapToGrid w:val="0"/>
        <w:spacing w:line="360" w:lineRule="auto"/>
        <w:ind w:firstLineChars="200" w:firstLine="480"/>
        <w:rPr>
          <w:sz w:val="24"/>
        </w:rPr>
      </w:pPr>
      <w:r>
        <w:rPr>
          <w:rFonts w:hAnsi="宋体"/>
          <w:sz w:val="24"/>
        </w:rPr>
        <w:t>①您通过哪种方式了解到本项目；</w:t>
      </w:r>
    </w:p>
    <w:p w:rsidR="00475650" w:rsidRDefault="00475650">
      <w:pPr>
        <w:adjustRightInd w:val="0"/>
        <w:snapToGrid w:val="0"/>
        <w:spacing w:line="336" w:lineRule="auto"/>
        <w:ind w:firstLineChars="200" w:firstLine="480"/>
        <w:rPr>
          <w:sz w:val="24"/>
        </w:rPr>
      </w:pPr>
      <w:r>
        <w:rPr>
          <w:rFonts w:hAnsi="宋体"/>
          <w:sz w:val="24"/>
        </w:rPr>
        <w:t>②您对本工程的了解程度；</w:t>
      </w:r>
    </w:p>
    <w:p w:rsidR="00475650" w:rsidRDefault="00475650">
      <w:pPr>
        <w:adjustRightInd w:val="0"/>
        <w:snapToGrid w:val="0"/>
        <w:spacing w:line="336" w:lineRule="auto"/>
        <w:ind w:firstLineChars="200" w:firstLine="480"/>
        <w:rPr>
          <w:sz w:val="24"/>
        </w:rPr>
      </w:pPr>
      <w:r>
        <w:rPr>
          <w:rFonts w:hAnsi="宋体"/>
          <w:sz w:val="24"/>
        </w:rPr>
        <w:t>③您认为区域现在的环境状况；</w:t>
      </w:r>
    </w:p>
    <w:p w:rsidR="00475650" w:rsidRDefault="00475650">
      <w:pPr>
        <w:adjustRightInd w:val="0"/>
        <w:snapToGrid w:val="0"/>
        <w:spacing w:line="336" w:lineRule="auto"/>
        <w:ind w:firstLineChars="200" w:firstLine="480"/>
        <w:rPr>
          <w:sz w:val="24"/>
        </w:rPr>
      </w:pPr>
      <w:r>
        <w:rPr>
          <w:rFonts w:hAnsi="宋体"/>
          <w:sz w:val="24"/>
        </w:rPr>
        <w:t>④您认为目前周围环境的主要问题是什么；</w:t>
      </w:r>
    </w:p>
    <w:p w:rsidR="00475650" w:rsidRDefault="00475650">
      <w:pPr>
        <w:adjustRightInd w:val="0"/>
        <w:snapToGrid w:val="0"/>
        <w:spacing w:line="336" w:lineRule="auto"/>
        <w:ind w:firstLineChars="200" w:firstLine="480"/>
        <w:rPr>
          <w:sz w:val="24"/>
        </w:rPr>
      </w:pPr>
      <w:r>
        <w:rPr>
          <w:rFonts w:hAnsi="宋体"/>
          <w:sz w:val="24"/>
        </w:rPr>
        <w:t>⑤您认为本工程的主要污染是什么；</w:t>
      </w:r>
    </w:p>
    <w:p w:rsidR="00475650" w:rsidRDefault="00475650">
      <w:pPr>
        <w:adjustRightInd w:val="0"/>
        <w:snapToGrid w:val="0"/>
        <w:spacing w:line="336" w:lineRule="auto"/>
        <w:ind w:firstLineChars="200" w:firstLine="480"/>
        <w:rPr>
          <w:sz w:val="24"/>
        </w:rPr>
      </w:pPr>
      <w:r>
        <w:rPr>
          <w:rFonts w:hAnsi="宋体"/>
          <w:sz w:val="24"/>
        </w:rPr>
        <w:t>⑥对本项目您最关心的是；</w:t>
      </w:r>
    </w:p>
    <w:p w:rsidR="00475650" w:rsidRDefault="00475650">
      <w:pPr>
        <w:adjustRightInd w:val="0"/>
        <w:snapToGrid w:val="0"/>
        <w:spacing w:line="336" w:lineRule="auto"/>
        <w:ind w:firstLineChars="200" w:firstLine="480"/>
        <w:rPr>
          <w:rFonts w:hAnsi="宋体"/>
          <w:sz w:val="24"/>
        </w:rPr>
      </w:pPr>
      <w:r>
        <w:rPr>
          <w:rFonts w:hAnsi="宋体"/>
          <w:sz w:val="24"/>
        </w:rPr>
        <w:t>⑦您</w:t>
      </w:r>
      <w:r>
        <w:rPr>
          <w:rFonts w:hAnsi="宋体" w:hint="eastAsia"/>
          <w:sz w:val="24"/>
        </w:rPr>
        <w:t>对</w:t>
      </w:r>
      <w:r>
        <w:rPr>
          <w:rFonts w:hAnsi="宋体"/>
          <w:sz w:val="24"/>
        </w:rPr>
        <w:t>本工程的态度；</w:t>
      </w:r>
      <w:bookmarkStart w:id="1221" w:name="_Toc332293111"/>
      <w:bookmarkStart w:id="1222" w:name="_Toc270623104"/>
      <w:bookmarkStart w:id="1223" w:name="_Toc247302880"/>
      <w:bookmarkEnd w:id="1212"/>
      <w:bookmarkEnd w:id="1213"/>
      <w:bookmarkEnd w:id="1214"/>
      <w:bookmarkEnd w:id="1215"/>
      <w:bookmarkEnd w:id="1216"/>
      <w:bookmarkEnd w:id="1217"/>
      <w:bookmarkEnd w:id="1218"/>
      <w:bookmarkEnd w:id="1219"/>
      <w:bookmarkEnd w:id="1220"/>
    </w:p>
    <w:p w:rsidR="00475650" w:rsidRDefault="00475650">
      <w:pPr>
        <w:spacing w:line="360" w:lineRule="auto"/>
        <w:ind w:firstLine="420"/>
        <w:rPr>
          <w:color w:val="000000"/>
          <w:sz w:val="24"/>
          <w:shd w:val="clear" w:color="auto" w:fill="F9FDFF"/>
        </w:rPr>
      </w:pPr>
      <w:r>
        <w:rPr>
          <w:rFonts w:hint="eastAsia"/>
          <w:sz w:val="24"/>
        </w:rPr>
        <w:t>（</w:t>
      </w:r>
      <w:r>
        <w:rPr>
          <w:rFonts w:hint="eastAsia"/>
          <w:sz w:val="24"/>
        </w:rPr>
        <w:t>4</w:t>
      </w:r>
      <w:r>
        <w:rPr>
          <w:rFonts w:hint="eastAsia"/>
          <w:sz w:val="24"/>
        </w:rPr>
        <w:t>）报批前公示。根据</w:t>
      </w:r>
      <w:r>
        <w:rPr>
          <w:rFonts w:hint="eastAsia"/>
          <w:color w:val="000000"/>
          <w:sz w:val="24"/>
          <w:shd w:val="clear" w:color="auto" w:fill="F9FDFF"/>
        </w:rPr>
        <w:t>《建设项目环境影响评价信息公开机制方案》（环发</w:t>
      </w:r>
      <w:r>
        <w:rPr>
          <w:rFonts w:hint="eastAsia"/>
          <w:color w:val="000000"/>
          <w:sz w:val="24"/>
          <w:shd w:val="clear" w:color="auto" w:fill="F9FDFF"/>
        </w:rPr>
        <w:t>[2015]162</w:t>
      </w:r>
      <w:r>
        <w:rPr>
          <w:rFonts w:hint="eastAsia"/>
          <w:color w:val="000000"/>
          <w:sz w:val="24"/>
          <w:shd w:val="clear" w:color="auto" w:fill="F9FDFF"/>
        </w:rPr>
        <w:t>号）</w:t>
      </w:r>
      <w:r>
        <w:rPr>
          <w:color w:val="000000"/>
          <w:sz w:val="24"/>
          <w:shd w:val="clear" w:color="auto" w:fill="F9FDFF"/>
        </w:rPr>
        <w:t>的规定，</w:t>
      </w:r>
      <w:r>
        <w:rPr>
          <w:rFonts w:hint="eastAsia"/>
          <w:color w:val="000000"/>
          <w:sz w:val="24"/>
          <w:shd w:val="clear" w:color="auto" w:fill="F9FDFF"/>
        </w:rPr>
        <w:t>建设单位在建设项目环境影响报告书（表）编制完成后，向环境保护主管部门报批前，委托环评单位于环评单位网站上</w:t>
      </w:r>
      <w:r>
        <w:rPr>
          <w:color w:val="000000"/>
          <w:sz w:val="24"/>
          <w:shd w:val="clear" w:color="auto" w:fill="F9FDFF"/>
        </w:rPr>
        <w:t>向公众公示该项目的《环</w:t>
      </w:r>
      <w:r>
        <w:rPr>
          <w:color w:val="000000"/>
          <w:sz w:val="24"/>
          <w:shd w:val="clear" w:color="auto" w:fill="F9FDFF"/>
        </w:rPr>
        <w:lastRenderedPageBreak/>
        <w:t>境影响评价报告书》</w:t>
      </w:r>
      <w:r>
        <w:rPr>
          <w:rFonts w:hint="eastAsia"/>
          <w:color w:val="000000"/>
          <w:sz w:val="24"/>
          <w:shd w:val="clear" w:color="auto" w:fill="F9FDFF"/>
        </w:rPr>
        <w:t>。</w:t>
      </w:r>
    </w:p>
    <w:p w:rsidR="00475650" w:rsidRDefault="00475650">
      <w:pPr>
        <w:adjustRightInd w:val="0"/>
        <w:snapToGrid w:val="0"/>
        <w:spacing w:line="336" w:lineRule="auto"/>
        <w:ind w:firstLineChars="200" w:firstLine="560"/>
        <w:rPr>
          <w:bCs/>
          <w:sz w:val="28"/>
          <w:szCs w:val="28"/>
        </w:rPr>
      </w:pPr>
      <w:r>
        <w:rPr>
          <w:bCs/>
          <w:sz w:val="28"/>
          <w:szCs w:val="28"/>
        </w:rPr>
        <w:t xml:space="preserve">12.3 </w:t>
      </w:r>
      <w:r>
        <w:rPr>
          <w:bCs/>
          <w:sz w:val="28"/>
          <w:szCs w:val="28"/>
        </w:rPr>
        <w:t>调查结果统计</w:t>
      </w:r>
      <w:bookmarkEnd w:id="1221"/>
    </w:p>
    <w:p w:rsidR="00475650" w:rsidRDefault="00475650">
      <w:pPr>
        <w:pStyle w:val="affffffffff5"/>
        <w:keepNext/>
        <w:keepLines/>
        <w:widowControl w:val="0"/>
        <w:spacing w:line="360" w:lineRule="auto"/>
        <w:ind w:firstLineChars="250" w:firstLine="600"/>
        <w:jc w:val="both"/>
        <w:outlineLvl w:val="1"/>
        <w:rPr>
          <w:rFonts w:ascii="Times New Roman" w:hAnsi="Times New Roman" w:cs="Times New Roman"/>
          <w:bCs/>
        </w:rPr>
      </w:pPr>
      <w:bookmarkStart w:id="1224" w:name="_Toc332293112"/>
      <w:bookmarkStart w:id="1225" w:name="_Toc302936906"/>
      <w:bookmarkStart w:id="1226" w:name="_Toc334014314"/>
      <w:bookmarkStart w:id="1227" w:name="_Toc334080956"/>
      <w:bookmarkStart w:id="1228" w:name="_Toc333230136"/>
      <w:bookmarkStart w:id="1229" w:name="_Toc16000"/>
      <w:bookmarkStart w:id="1230" w:name="_Toc465677107"/>
      <w:bookmarkStart w:id="1231" w:name="_Toc98702393"/>
      <w:bookmarkStart w:id="1232" w:name="_Toc186686760"/>
      <w:bookmarkStart w:id="1233" w:name="_Toc73934139"/>
      <w:bookmarkStart w:id="1234" w:name="_Toc177461839"/>
      <w:bookmarkEnd w:id="1222"/>
      <w:bookmarkEnd w:id="1223"/>
      <w:r>
        <w:rPr>
          <w:rFonts w:ascii="Times New Roman" w:hAnsi="Times New Roman" w:cs="Times New Roman"/>
          <w:bCs/>
          <w:kern w:val="2"/>
        </w:rPr>
        <w:t xml:space="preserve">12.3.1 </w:t>
      </w:r>
      <w:bookmarkEnd w:id="1224"/>
      <w:bookmarkEnd w:id="1225"/>
      <w:bookmarkEnd w:id="1226"/>
      <w:bookmarkEnd w:id="1227"/>
      <w:bookmarkEnd w:id="1228"/>
      <w:r>
        <w:rPr>
          <w:rFonts w:ascii="Times New Roman" w:cs="Times New Roman"/>
          <w:bCs/>
          <w:kern w:val="2"/>
        </w:rPr>
        <w:t>公众意愿统计分析</w:t>
      </w:r>
      <w:bookmarkEnd w:id="1229"/>
      <w:bookmarkEnd w:id="1230"/>
    </w:p>
    <w:p w:rsidR="00475650" w:rsidRDefault="00475650">
      <w:pPr>
        <w:spacing w:line="360" w:lineRule="auto"/>
        <w:ind w:firstLineChars="200" w:firstLine="480"/>
        <w:jc w:val="left"/>
        <w:rPr>
          <w:rFonts w:hAnsi="宋体"/>
        </w:rPr>
      </w:pPr>
      <w:bookmarkStart w:id="1235" w:name="_Toc302936907"/>
      <w:r>
        <w:rPr>
          <w:rFonts w:hAnsi="宋体"/>
          <w:sz w:val="24"/>
        </w:rPr>
        <w:t>本次</w:t>
      </w:r>
      <w:r>
        <w:rPr>
          <w:rFonts w:hAnsi="宋体" w:hint="eastAsia"/>
          <w:sz w:val="24"/>
        </w:rPr>
        <w:t>业主于项目地发放</w:t>
      </w:r>
      <w:r>
        <w:rPr>
          <w:rFonts w:hAnsi="宋体"/>
          <w:sz w:val="24"/>
        </w:rPr>
        <w:t>公众参与调查共发放个人调查表</w:t>
      </w:r>
      <w:r>
        <w:rPr>
          <w:rFonts w:hAnsi="宋体"/>
          <w:sz w:val="24"/>
        </w:rPr>
        <w:t>58</w:t>
      </w:r>
      <w:r>
        <w:rPr>
          <w:rFonts w:hAnsi="宋体"/>
          <w:sz w:val="24"/>
        </w:rPr>
        <w:t>份，实际收回</w:t>
      </w:r>
      <w:r>
        <w:rPr>
          <w:rFonts w:hAnsi="宋体"/>
          <w:sz w:val="24"/>
        </w:rPr>
        <w:t>58</w:t>
      </w:r>
      <w:r>
        <w:rPr>
          <w:rFonts w:hAnsi="宋体"/>
          <w:sz w:val="24"/>
        </w:rPr>
        <w:t>，收回率</w:t>
      </w:r>
      <w:r>
        <w:rPr>
          <w:rFonts w:hAnsi="宋体"/>
          <w:sz w:val="24"/>
        </w:rPr>
        <w:t>100%</w:t>
      </w:r>
      <w:r>
        <w:rPr>
          <w:rFonts w:hAnsi="宋体"/>
          <w:sz w:val="24"/>
        </w:rPr>
        <w:t>，通过对个人公众参与调查问卷的统计，</w:t>
      </w:r>
      <w:bookmarkEnd w:id="1235"/>
      <w:r>
        <w:rPr>
          <w:rFonts w:hAnsi="宋体" w:hint="eastAsia"/>
          <w:sz w:val="24"/>
        </w:rPr>
        <w:t>根据统计内容：</w:t>
      </w:r>
    </w:p>
    <w:p w:rsidR="00475650" w:rsidRDefault="006F27A1">
      <w:pPr>
        <w:pStyle w:val="affffffffff5"/>
        <w:tabs>
          <w:tab w:val="left" w:pos="7080"/>
        </w:tabs>
        <w:adjustRightInd w:val="0"/>
        <w:snapToGrid w:val="0"/>
        <w:spacing w:line="348" w:lineRule="auto"/>
        <w:ind w:firstLineChars="200" w:firstLine="480"/>
        <w:jc w:val="both"/>
        <w:rPr>
          <w:rFonts w:ascii="Times New Roman" w:hAnsi="Times New Roman" w:cs="Times New Roman"/>
          <w:bCs/>
          <w:kern w:val="2"/>
          <w:szCs w:val="28"/>
        </w:rPr>
      </w:pPr>
      <w:r>
        <w:rPr>
          <w:rFonts w:ascii="Times New Roman" w:hAnsi="Times New Roman" w:cs="Times New Roman"/>
          <w:bCs/>
          <w:kern w:val="2"/>
          <w:szCs w:val="28"/>
        </w:rPr>
        <w:fldChar w:fldCharType="begin"/>
      </w:r>
      <w:r w:rsidR="00475650">
        <w:rPr>
          <w:rFonts w:ascii="Times New Roman" w:hAnsi="Times New Roman" w:cs="Times New Roman"/>
          <w:bCs/>
          <w:kern w:val="2"/>
        </w:rPr>
        <w:instrText xml:space="preserve"> = 1 \* GB3 </w:instrText>
      </w:r>
      <w:r w:rsidRPr="006F27A1">
        <w:rPr>
          <w:rFonts w:ascii="Times New Roman" w:hAnsi="Times New Roman" w:cs="Times New Roman"/>
          <w:bCs/>
          <w:kern w:val="2"/>
        </w:rPr>
        <w:fldChar w:fldCharType="separate"/>
      </w:r>
      <w:r w:rsidR="00475650">
        <w:rPr>
          <w:rFonts w:ascii="Times New Roman" w:cs="Times New Roman"/>
          <w:bCs/>
          <w:kern w:val="2"/>
        </w:rPr>
        <w:t>①</w:t>
      </w:r>
      <w:r>
        <w:rPr>
          <w:rFonts w:ascii="Times New Roman" w:hAnsi="Times New Roman" w:cs="Times New Roman"/>
          <w:bCs/>
          <w:kern w:val="2"/>
          <w:szCs w:val="28"/>
        </w:rPr>
        <w:fldChar w:fldCharType="end"/>
      </w:r>
      <w:r w:rsidR="00475650">
        <w:rPr>
          <w:rFonts w:ascii="Times New Roman" w:cs="Times New Roman"/>
          <w:bCs/>
          <w:kern w:val="2"/>
          <w:szCs w:val="28"/>
        </w:rPr>
        <w:t>有</w:t>
      </w:r>
      <w:r w:rsidR="00475650">
        <w:rPr>
          <w:rFonts w:ascii="Times New Roman" w:hAnsi="Times New Roman" w:cs="Times New Roman"/>
          <w:bCs/>
          <w:kern w:val="2"/>
          <w:szCs w:val="28"/>
        </w:rPr>
        <w:t>89.7%</w:t>
      </w:r>
      <w:r w:rsidR="00475650">
        <w:rPr>
          <w:rFonts w:ascii="Times New Roman" w:cs="Times New Roman"/>
          <w:bCs/>
          <w:kern w:val="2"/>
          <w:szCs w:val="28"/>
        </w:rPr>
        <w:t>的公众是通过张贴的公示了解到本项目的，有</w:t>
      </w:r>
      <w:r w:rsidR="00475650">
        <w:rPr>
          <w:rFonts w:ascii="Times New Roman" w:hAnsi="Times New Roman" w:cs="Times New Roman"/>
          <w:bCs/>
          <w:kern w:val="2"/>
          <w:szCs w:val="28"/>
        </w:rPr>
        <w:t>8.6%</w:t>
      </w:r>
      <w:r w:rsidR="00475650">
        <w:rPr>
          <w:rFonts w:ascii="Times New Roman" w:cs="Times New Roman"/>
          <w:bCs/>
          <w:kern w:val="2"/>
          <w:szCs w:val="28"/>
        </w:rPr>
        <w:t>的受访公众通过网络了解到本项目，有</w:t>
      </w:r>
      <w:r w:rsidR="00475650">
        <w:rPr>
          <w:rFonts w:ascii="Times New Roman" w:hAnsi="Times New Roman" w:cs="Times New Roman"/>
          <w:bCs/>
          <w:kern w:val="2"/>
          <w:szCs w:val="28"/>
        </w:rPr>
        <w:t>1.7%</w:t>
      </w:r>
      <w:r w:rsidR="00475650">
        <w:rPr>
          <w:rFonts w:ascii="Times New Roman" w:cs="Times New Roman"/>
          <w:bCs/>
          <w:kern w:val="2"/>
          <w:szCs w:val="28"/>
        </w:rPr>
        <w:t>通过其他途径了解到本项目；</w:t>
      </w:r>
    </w:p>
    <w:p w:rsidR="00475650" w:rsidRDefault="00475650">
      <w:pPr>
        <w:pStyle w:val="affffffffff5"/>
        <w:tabs>
          <w:tab w:val="left" w:pos="7080"/>
        </w:tabs>
        <w:adjustRightInd w:val="0"/>
        <w:snapToGrid w:val="0"/>
        <w:spacing w:line="348" w:lineRule="auto"/>
        <w:ind w:firstLineChars="200" w:firstLine="480"/>
        <w:jc w:val="both"/>
        <w:rPr>
          <w:rFonts w:ascii="Times New Roman" w:hAnsi="Times New Roman" w:cs="Times New Roman"/>
        </w:rPr>
      </w:pPr>
      <w:r>
        <w:rPr>
          <w:rFonts w:ascii="Times New Roman" w:cs="Times New Roman"/>
          <w:bCs/>
          <w:kern w:val="2"/>
        </w:rPr>
        <w:t>②调查对象中有</w:t>
      </w:r>
      <w:r>
        <w:rPr>
          <w:rFonts w:ascii="Times New Roman" w:hAnsi="Times New Roman" w:cs="Times New Roman"/>
          <w:bCs/>
          <w:kern w:val="2"/>
        </w:rPr>
        <w:t>50%</w:t>
      </w:r>
      <w:r>
        <w:rPr>
          <w:rFonts w:ascii="Times New Roman" w:cs="Times New Roman"/>
          <w:bCs/>
          <w:kern w:val="2"/>
        </w:rPr>
        <w:t>很清楚本项目，有</w:t>
      </w:r>
      <w:r>
        <w:rPr>
          <w:rFonts w:ascii="Times New Roman" w:hAnsi="Times New Roman" w:cs="Times New Roman"/>
          <w:bCs/>
          <w:kern w:val="2"/>
        </w:rPr>
        <w:t>50%</w:t>
      </w:r>
      <w:r>
        <w:rPr>
          <w:rFonts w:ascii="Times New Roman" w:cs="Times New Roman"/>
          <w:bCs/>
          <w:kern w:val="2"/>
        </w:rPr>
        <w:t>的人表示对本工程了解一些；</w:t>
      </w:r>
    </w:p>
    <w:p w:rsidR="00475650" w:rsidRDefault="00475650">
      <w:pPr>
        <w:pStyle w:val="affffffffff5"/>
        <w:tabs>
          <w:tab w:val="left" w:pos="7080"/>
        </w:tabs>
        <w:adjustRightInd w:val="0"/>
        <w:snapToGrid w:val="0"/>
        <w:spacing w:line="348" w:lineRule="auto"/>
        <w:ind w:firstLineChars="200" w:firstLine="480"/>
        <w:jc w:val="both"/>
        <w:rPr>
          <w:rFonts w:ascii="Times New Roman" w:hAnsi="Times New Roman" w:cs="Times New Roman"/>
          <w:bCs/>
          <w:kern w:val="2"/>
        </w:rPr>
      </w:pPr>
      <w:r>
        <w:rPr>
          <w:rFonts w:ascii="Times New Roman" w:cs="Times New Roman"/>
          <w:bCs/>
          <w:kern w:val="2"/>
        </w:rPr>
        <w:t>③认为区域环境环境状况很好的占调查对象的</w:t>
      </w:r>
      <w:r>
        <w:rPr>
          <w:rFonts w:ascii="Times New Roman" w:hAnsi="Times New Roman" w:cs="Times New Roman"/>
          <w:bCs/>
          <w:kern w:val="2"/>
        </w:rPr>
        <w:t>41.4%</w:t>
      </w:r>
      <w:r>
        <w:rPr>
          <w:rFonts w:ascii="Times New Roman" w:cs="Times New Roman"/>
          <w:bCs/>
          <w:kern w:val="2"/>
        </w:rPr>
        <w:t>，认为较好和一般的分别占</w:t>
      </w:r>
      <w:r>
        <w:rPr>
          <w:rFonts w:ascii="Times New Roman" w:hAnsi="Times New Roman" w:cs="Times New Roman"/>
          <w:bCs/>
          <w:kern w:val="2"/>
        </w:rPr>
        <w:t>48.3%</w:t>
      </w:r>
      <w:r>
        <w:rPr>
          <w:rFonts w:ascii="Times New Roman" w:cs="Times New Roman"/>
          <w:bCs/>
          <w:kern w:val="2"/>
        </w:rPr>
        <w:t>和</w:t>
      </w:r>
      <w:r>
        <w:rPr>
          <w:rFonts w:ascii="Times New Roman" w:hAnsi="Times New Roman" w:cs="Times New Roman"/>
          <w:bCs/>
          <w:kern w:val="2"/>
        </w:rPr>
        <w:t>10.3%</w:t>
      </w:r>
      <w:r>
        <w:rPr>
          <w:rFonts w:ascii="Times New Roman" w:cs="Times New Roman"/>
          <w:bCs/>
          <w:kern w:val="2"/>
        </w:rPr>
        <w:t>；</w:t>
      </w:r>
    </w:p>
    <w:p w:rsidR="00475650" w:rsidRDefault="00475650">
      <w:pPr>
        <w:pStyle w:val="affffffffff5"/>
        <w:tabs>
          <w:tab w:val="left" w:pos="7080"/>
        </w:tabs>
        <w:adjustRightInd w:val="0"/>
        <w:snapToGrid w:val="0"/>
        <w:spacing w:line="348" w:lineRule="auto"/>
        <w:ind w:firstLineChars="200" w:firstLine="480"/>
        <w:jc w:val="both"/>
        <w:rPr>
          <w:rFonts w:ascii="Times New Roman" w:hAnsi="Times New Roman" w:cs="Times New Roman"/>
          <w:bCs/>
          <w:kern w:val="2"/>
        </w:rPr>
      </w:pPr>
      <w:r>
        <w:rPr>
          <w:rFonts w:ascii="Times New Roman" w:cs="Times New Roman"/>
          <w:bCs/>
          <w:kern w:val="2"/>
        </w:rPr>
        <w:t>④有</w:t>
      </w:r>
      <w:r>
        <w:rPr>
          <w:rFonts w:ascii="Times New Roman" w:hAnsi="Times New Roman" w:cs="Times New Roman"/>
          <w:bCs/>
          <w:kern w:val="2"/>
        </w:rPr>
        <w:t>51.7%</w:t>
      </w:r>
      <w:r>
        <w:rPr>
          <w:rFonts w:ascii="Times New Roman" w:cs="Times New Roman"/>
          <w:bCs/>
          <w:kern w:val="2"/>
        </w:rPr>
        <w:t>的受访群众认为周围环境的主要问题是大气污染，</w:t>
      </w:r>
      <w:r>
        <w:rPr>
          <w:rFonts w:ascii="Times New Roman" w:hAnsi="Times New Roman" w:cs="Times New Roman"/>
          <w:bCs/>
          <w:kern w:val="2"/>
        </w:rPr>
        <w:t>48.3%</w:t>
      </w:r>
      <w:r>
        <w:rPr>
          <w:rFonts w:ascii="Times New Roman" w:cs="Times New Roman" w:hint="eastAsia"/>
          <w:bCs/>
          <w:kern w:val="2"/>
        </w:rPr>
        <w:t>表示</w:t>
      </w:r>
      <w:r>
        <w:rPr>
          <w:rFonts w:ascii="Times New Roman" w:cs="Times New Roman"/>
          <w:bCs/>
          <w:kern w:val="2"/>
        </w:rPr>
        <w:t>水污染；</w:t>
      </w:r>
    </w:p>
    <w:p w:rsidR="00475650" w:rsidRDefault="00475650">
      <w:pPr>
        <w:pStyle w:val="affffffffff5"/>
        <w:tabs>
          <w:tab w:val="left" w:pos="7080"/>
        </w:tabs>
        <w:adjustRightInd w:val="0"/>
        <w:snapToGrid w:val="0"/>
        <w:spacing w:line="348" w:lineRule="auto"/>
        <w:ind w:firstLineChars="200" w:firstLine="480"/>
        <w:jc w:val="both"/>
        <w:rPr>
          <w:rFonts w:ascii="Times New Roman" w:hAnsi="Times New Roman" w:cs="Times New Roman"/>
          <w:bCs/>
          <w:kern w:val="2"/>
        </w:rPr>
      </w:pPr>
      <w:r>
        <w:rPr>
          <w:rFonts w:ascii="Times New Roman" w:cs="Times New Roman"/>
          <w:bCs/>
          <w:kern w:val="2"/>
        </w:rPr>
        <w:t>⑤对于本工程的主要污染，认为是大气污染和水污染的分别为</w:t>
      </w:r>
      <w:r>
        <w:rPr>
          <w:rFonts w:ascii="Times New Roman" w:hAnsi="Times New Roman" w:cs="Times New Roman"/>
          <w:bCs/>
          <w:kern w:val="2"/>
        </w:rPr>
        <w:t>17.2%</w:t>
      </w:r>
      <w:r>
        <w:rPr>
          <w:rFonts w:ascii="Times New Roman" w:cs="Times New Roman"/>
          <w:bCs/>
          <w:kern w:val="2"/>
        </w:rPr>
        <w:t>和</w:t>
      </w:r>
      <w:r>
        <w:rPr>
          <w:rFonts w:ascii="Times New Roman" w:hAnsi="Times New Roman" w:cs="Times New Roman"/>
          <w:bCs/>
          <w:kern w:val="2"/>
        </w:rPr>
        <w:t>82.8%</w:t>
      </w:r>
      <w:r>
        <w:rPr>
          <w:rFonts w:ascii="Times New Roman" w:cs="Times New Roman"/>
          <w:bCs/>
          <w:kern w:val="2"/>
        </w:rPr>
        <w:t>；</w:t>
      </w:r>
    </w:p>
    <w:p w:rsidR="00475650" w:rsidRDefault="00475650">
      <w:pPr>
        <w:pStyle w:val="affffffffff5"/>
        <w:tabs>
          <w:tab w:val="left" w:pos="7080"/>
        </w:tabs>
        <w:adjustRightInd w:val="0"/>
        <w:snapToGrid w:val="0"/>
        <w:spacing w:line="348" w:lineRule="auto"/>
        <w:ind w:firstLineChars="200" w:firstLine="480"/>
        <w:jc w:val="both"/>
        <w:rPr>
          <w:rFonts w:ascii="Times New Roman" w:hAnsi="Times New Roman" w:cs="Times New Roman"/>
          <w:bCs/>
          <w:kern w:val="2"/>
        </w:rPr>
      </w:pPr>
      <w:r>
        <w:rPr>
          <w:rFonts w:ascii="Times New Roman" w:cs="Times New Roman"/>
          <w:bCs/>
          <w:kern w:val="2"/>
        </w:rPr>
        <w:t>⑥有</w:t>
      </w:r>
      <w:r>
        <w:rPr>
          <w:rFonts w:ascii="Times New Roman" w:hAnsi="Times New Roman" w:cs="Times New Roman"/>
          <w:bCs/>
          <w:kern w:val="2"/>
        </w:rPr>
        <w:t>84.5%</w:t>
      </w:r>
      <w:r>
        <w:rPr>
          <w:rFonts w:ascii="Times New Roman" w:cs="Times New Roman"/>
          <w:bCs/>
          <w:kern w:val="2"/>
        </w:rPr>
        <w:t>的受访群众表示关心环境污染问题，关心污染治理和就业机会的分别占</w:t>
      </w:r>
      <w:r>
        <w:rPr>
          <w:rFonts w:ascii="Times New Roman" w:hAnsi="Times New Roman" w:cs="Times New Roman"/>
          <w:bCs/>
          <w:kern w:val="2"/>
        </w:rPr>
        <w:t>5.2%</w:t>
      </w:r>
      <w:r>
        <w:rPr>
          <w:rFonts w:ascii="Times New Roman" w:cs="Times New Roman"/>
          <w:bCs/>
          <w:kern w:val="2"/>
        </w:rPr>
        <w:t>和</w:t>
      </w:r>
      <w:r>
        <w:rPr>
          <w:rFonts w:ascii="Times New Roman" w:hAnsi="Times New Roman" w:cs="Times New Roman"/>
          <w:bCs/>
          <w:kern w:val="2"/>
        </w:rPr>
        <w:t>8.6%</w:t>
      </w:r>
      <w:r>
        <w:rPr>
          <w:rFonts w:ascii="Times New Roman" w:cs="Times New Roman"/>
          <w:bCs/>
          <w:kern w:val="2"/>
        </w:rPr>
        <w:t>；</w:t>
      </w:r>
    </w:p>
    <w:p w:rsidR="00475650" w:rsidRDefault="006F27A1">
      <w:pPr>
        <w:pStyle w:val="affffffffff5"/>
        <w:tabs>
          <w:tab w:val="left" w:pos="7080"/>
        </w:tabs>
        <w:adjustRightInd w:val="0"/>
        <w:snapToGrid w:val="0"/>
        <w:spacing w:line="348" w:lineRule="auto"/>
        <w:ind w:firstLineChars="200" w:firstLine="480"/>
        <w:jc w:val="both"/>
        <w:rPr>
          <w:rFonts w:ascii="Times New Roman" w:hAnsi="Times New Roman" w:cs="Times New Roman"/>
        </w:rPr>
      </w:pPr>
      <w:r>
        <w:rPr>
          <w:rFonts w:ascii="Times New Roman" w:hAnsi="Times New Roman" w:cs="Times New Roman"/>
          <w:bCs/>
          <w:kern w:val="2"/>
        </w:rPr>
        <w:fldChar w:fldCharType="begin"/>
      </w:r>
      <w:r w:rsidR="00475650">
        <w:rPr>
          <w:rFonts w:ascii="Times New Roman" w:hAnsi="Times New Roman" w:cs="Times New Roman"/>
          <w:bCs/>
          <w:kern w:val="2"/>
        </w:rPr>
        <w:instrText xml:space="preserve"> = 7 \* GB3 \* MERGEFORMAT </w:instrText>
      </w:r>
      <w:r>
        <w:rPr>
          <w:rFonts w:ascii="Times New Roman" w:hAnsi="Times New Roman" w:cs="Times New Roman"/>
          <w:bCs/>
          <w:kern w:val="2"/>
        </w:rPr>
        <w:fldChar w:fldCharType="separate"/>
      </w:r>
      <w:r w:rsidR="00475650">
        <w:rPr>
          <w:rFonts w:ascii="Times New Roman" w:cs="Times New Roman"/>
        </w:rPr>
        <w:t>⑦</w:t>
      </w:r>
      <w:r>
        <w:rPr>
          <w:rFonts w:ascii="Times New Roman" w:hAnsi="Times New Roman" w:cs="Times New Roman"/>
          <w:bCs/>
          <w:kern w:val="2"/>
        </w:rPr>
        <w:fldChar w:fldCharType="end"/>
      </w:r>
      <w:r w:rsidR="00475650">
        <w:rPr>
          <w:rFonts w:ascii="Times New Roman" w:hAnsi="Times New Roman" w:cs="Times New Roman"/>
          <w:bCs/>
          <w:kern w:val="2"/>
        </w:rPr>
        <w:t>100%</w:t>
      </w:r>
      <w:r w:rsidR="00475650">
        <w:rPr>
          <w:rFonts w:ascii="Times New Roman" w:cs="Times New Roman"/>
          <w:bCs/>
          <w:kern w:val="2"/>
        </w:rPr>
        <w:t>的受访者表示赞成项目建设。</w:t>
      </w:r>
    </w:p>
    <w:p w:rsidR="00475650" w:rsidRDefault="00475650">
      <w:pPr>
        <w:pStyle w:val="affffffffff5"/>
        <w:keepNext/>
        <w:keepLines/>
        <w:widowControl w:val="0"/>
        <w:spacing w:line="360" w:lineRule="auto"/>
        <w:jc w:val="both"/>
        <w:outlineLvl w:val="1"/>
        <w:rPr>
          <w:rFonts w:ascii="Times New Roman" w:hAnsi="Times New Roman" w:cs="Times New Roman"/>
          <w:bCs/>
        </w:rPr>
      </w:pPr>
      <w:bookmarkStart w:id="1236" w:name="_Toc465677108"/>
      <w:bookmarkStart w:id="1237" w:name="_Toc17726"/>
      <w:r>
        <w:rPr>
          <w:rFonts w:ascii="Times New Roman" w:hAnsi="Times New Roman" w:cs="Times New Roman"/>
          <w:bCs/>
          <w:kern w:val="2"/>
        </w:rPr>
        <w:t>12.3.2</w:t>
      </w:r>
      <w:r>
        <w:rPr>
          <w:rFonts w:ascii="Times New Roman" w:cs="Times New Roman"/>
          <w:bCs/>
          <w:kern w:val="2"/>
        </w:rPr>
        <w:t>团体意见</w:t>
      </w:r>
      <w:bookmarkEnd w:id="1236"/>
      <w:bookmarkEnd w:id="1237"/>
    </w:p>
    <w:p w:rsidR="00475650" w:rsidRDefault="00475650">
      <w:pPr>
        <w:pStyle w:val="affffffffff5"/>
        <w:tabs>
          <w:tab w:val="left" w:pos="7080"/>
        </w:tabs>
        <w:adjustRightInd w:val="0"/>
        <w:snapToGrid w:val="0"/>
        <w:spacing w:line="360" w:lineRule="auto"/>
        <w:ind w:firstLineChars="200" w:firstLine="480"/>
        <w:jc w:val="both"/>
      </w:pPr>
      <w:r>
        <w:rPr>
          <w:rFonts w:ascii="Times New Roman" w:cs="Times New Roman"/>
          <w:bCs/>
          <w:kern w:val="2"/>
        </w:rPr>
        <w:t>本次公众参与收集了湖南临湘工业园区管理委员会、新港村民委员会、儒溪镇人民政府、儒溪村民委员会、白马矶村民委员会、鸭栏村民委员会等</w:t>
      </w:r>
      <w:r>
        <w:rPr>
          <w:rFonts w:ascii="Times New Roman" w:hAnsi="Times New Roman" w:cs="Times New Roman"/>
          <w:bCs/>
          <w:kern w:val="2"/>
        </w:rPr>
        <w:t>6</w:t>
      </w:r>
      <w:r>
        <w:rPr>
          <w:rFonts w:ascii="Times New Roman" w:cs="Times New Roman"/>
          <w:bCs/>
          <w:kern w:val="2"/>
        </w:rPr>
        <w:t>个单位意见。</w:t>
      </w:r>
    </w:p>
    <w:p w:rsidR="00475650" w:rsidRDefault="00475650">
      <w:pPr>
        <w:spacing w:line="360" w:lineRule="auto"/>
        <w:ind w:firstLineChars="200" w:firstLine="480"/>
        <w:jc w:val="left"/>
        <w:rPr>
          <w:sz w:val="24"/>
        </w:rPr>
      </w:pPr>
      <w:r>
        <w:rPr>
          <w:rFonts w:hAnsi="宋体"/>
          <w:sz w:val="24"/>
        </w:rPr>
        <w:t>所有团体对本工程的建设持支持态度，认为本工程能带动当地经济发展，各单位团体对本项目的建议主要为：必须严格按环评要求落实相应的环保措施，加强管理，确保达标排放。</w:t>
      </w:r>
    </w:p>
    <w:p w:rsidR="00475650" w:rsidRDefault="00475650">
      <w:pPr>
        <w:pStyle w:val="affffffffff5"/>
        <w:keepNext/>
        <w:keepLines/>
        <w:widowControl w:val="0"/>
        <w:spacing w:before="100" w:beforeAutospacing="1" w:after="100" w:afterAutospacing="1" w:line="360" w:lineRule="auto"/>
        <w:jc w:val="both"/>
        <w:outlineLvl w:val="0"/>
        <w:rPr>
          <w:rFonts w:ascii="Times New Roman" w:hAnsi="Times New Roman" w:cs="Times New Roman"/>
          <w:bCs/>
          <w:sz w:val="28"/>
          <w:szCs w:val="28"/>
        </w:rPr>
      </w:pPr>
      <w:bookmarkStart w:id="1238" w:name="_Toc188263375"/>
      <w:bookmarkStart w:id="1239" w:name="_Toc332293114"/>
      <w:bookmarkStart w:id="1240" w:name="_Toc11556"/>
      <w:bookmarkStart w:id="1241" w:name="_Toc301861271"/>
      <w:bookmarkEnd w:id="1231"/>
      <w:bookmarkEnd w:id="1232"/>
      <w:bookmarkEnd w:id="1233"/>
      <w:bookmarkEnd w:id="1234"/>
      <w:r>
        <w:rPr>
          <w:rFonts w:ascii="Times New Roman" w:hAnsi="Times New Roman" w:cs="Times New Roman"/>
          <w:bCs/>
          <w:kern w:val="2"/>
          <w:sz w:val="28"/>
          <w:szCs w:val="28"/>
        </w:rPr>
        <w:t xml:space="preserve">12.6 </w:t>
      </w:r>
      <w:r>
        <w:rPr>
          <w:rFonts w:ascii="Times New Roman" w:cs="Times New Roman"/>
          <w:bCs/>
          <w:kern w:val="2"/>
          <w:sz w:val="28"/>
          <w:szCs w:val="28"/>
        </w:rPr>
        <w:t>公众参与小结</w:t>
      </w:r>
      <w:bookmarkEnd w:id="1238"/>
      <w:bookmarkEnd w:id="1239"/>
      <w:bookmarkEnd w:id="1240"/>
      <w:bookmarkEnd w:id="1241"/>
    </w:p>
    <w:p w:rsidR="00475650" w:rsidRDefault="00475650">
      <w:pPr>
        <w:pStyle w:val="affffffffff5"/>
        <w:widowControl w:val="0"/>
        <w:overflowPunct w:val="0"/>
        <w:autoSpaceDE w:val="0"/>
        <w:autoSpaceDN w:val="0"/>
        <w:adjustRightInd w:val="0"/>
        <w:snapToGrid w:val="0"/>
        <w:spacing w:line="360" w:lineRule="auto"/>
        <w:ind w:firstLineChars="200" w:firstLine="480"/>
        <w:jc w:val="both"/>
        <w:rPr>
          <w:rFonts w:ascii="Times New Roman" w:cs="Times New Roman"/>
          <w:kern w:val="2"/>
          <w:szCs w:val="28"/>
        </w:rPr>
        <w:sectPr w:rsidR="00475650">
          <w:footerReference w:type="even" r:id="rId99"/>
          <w:footerReference w:type="default" r:id="rId100"/>
          <w:pgSz w:w="11906" w:h="16838"/>
          <w:pgMar w:top="1701" w:right="1588" w:bottom="1418" w:left="1588" w:header="851" w:footer="992" w:gutter="0"/>
          <w:paperSrc w:first="7" w:other="7"/>
          <w:cols w:space="720"/>
          <w:docGrid w:linePitch="312"/>
        </w:sectPr>
      </w:pPr>
      <w:r>
        <w:rPr>
          <w:rFonts w:ascii="Times New Roman" w:cs="Times New Roman"/>
          <w:kern w:val="2"/>
          <w:szCs w:val="28"/>
        </w:rPr>
        <w:t>通过公众意愿的调查和分析，环评认为地方政府及项目周边地区的公众对项目建设是支持的，绝大部分居民、村民能正确理解本项目的意义和可能对环境产生的影响，能认识到本项目建成后对当地经济发展将产生一定的推动作用，在表示赞成的同时希望建设方重视环境保护，减少项目</w:t>
      </w:r>
      <w:r>
        <w:rPr>
          <w:rFonts w:ascii="Times New Roman" w:hAnsi="Times New Roman" w:cs="Times New Roman"/>
          <w:kern w:val="2"/>
          <w:szCs w:val="28"/>
        </w:rPr>
        <w:t>“</w:t>
      </w:r>
      <w:r>
        <w:rPr>
          <w:rFonts w:ascii="Times New Roman" w:cs="Times New Roman"/>
          <w:kern w:val="2"/>
          <w:szCs w:val="28"/>
        </w:rPr>
        <w:t>三废</w:t>
      </w:r>
      <w:r>
        <w:rPr>
          <w:rFonts w:ascii="Times New Roman" w:hAnsi="Times New Roman" w:cs="Times New Roman"/>
          <w:kern w:val="2"/>
          <w:szCs w:val="28"/>
        </w:rPr>
        <w:t>”</w:t>
      </w:r>
      <w:r>
        <w:rPr>
          <w:rFonts w:ascii="Times New Roman" w:cs="Times New Roman"/>
          <w:kern w:val="2"/>
          <w:szCs w:val="28"/>
        </w:rPr>
        <w:t>污染。因此，建设方应严格落实拟建工程的环境管理和治理措施，遵循</w:t>
      </w:r>
      <w:r>
        <w:rPr>
          <w:rFonts w:ascii="Times New Roman" w:hAnsi="Times New Roman" w:cs="Times New Roman"/>
          <w:kern w:val="2"/>
          <w:szCs w:val="28"/>
        </w:rPr>
        <w:t>“</w:t>
      </w:r>
      <w:r>
        <w:rPr>
          <w:rFonts w:ascii="Times New Roman" w:cs="Times New Roman"/>
          <w:kern w:val="2"/>
          <w:szCs w:val="28"/>
        </w:rPr>
        <w:t>清洁生产</w:t>
      </w:r>
      <w:r>
        <w:rPr>
          <w:rFonts w:ascii="Times New Roman" w:hAnsi="Times New Roman" w:cs="Times New Roman"/>
          <w:kern w:val="2"/>
          <w:szCs w:val="28"/>
        </w:rPr>
        <w:t>”</w:t>
      </w:r>
      <w:r>
        <w:rPr>
          <w:rFonts w:ascii="Times New Roman" w:cs="Times New Roman"/>
          <w:kern w:val="2"/>
          <w:szCs w:val="28"/>
        </w:rPr>
        <w:t>的原则，加强生产管理，减少跑、冒、滴、漏，避免污染事故的发生。</w:t>
      </w:r>
    </w:p>
    <w:p w:rsidR="00475650" w:rsidRDefault="00475650">
      <w:pPr>
        <w:pStyle w:val="13"/>
        <w:spacing w:before="100" w:beforeAutospacing="1" w:after="100" w:afterAutospacing="1" w:line="360" w:lineRule="auto"/>
        <w:rPr>
          <w:rFonts w:eastAsia="宋体"/>
          <w:b w:val="0"/>
          <w:sz w:val="32"/>
          <w:szCs w:val="32"/>
        </w:rPr>
      </w:pPr>
      <w:bookmarkStart w:id="1242" w:name="_Toc11006"/>
      <w:bookmarkEnd w:id="1175"/>
      <w:bookmarkEnd w:id="1176"/>
      <w:r>
        <w:rPr>
          <w:rFonts w:eastAsia="宋体"/>
          <w:b w:val="0"/>
          <w:sz w:val="32"/>
          <w:szCs w:val="32"/>
        </w:rPr>
        <w:lastRenderedPageBreak/>
        <w:t xml:space="preserve">13 </w:t>
      </w:r>
      <w:r>
        <w:rPr>
          <w:rFonts w:eastAsia="宋体" w:hAnsi="宋体"/>
          <w:b w:val="0"/>
          <w:sz w:val="32"/>
          <w:szCs w:val="32"/>
        </w:rPr>
        <w:t>结论和建议</w:t>
      </w:r>
      <w:bookmarkStart w:id="1243" w:name="_Toc185559243"/>
      <w:bookmarkStart w:id="1244" w:name="_Toc168542848"/>
      <w:bookmarkStart w:id="1245" w:name="_Toc142801737"/>
      <w:bookmarkStart w:id="1246" w:name="_Toc168619822"/>
      <w:bookmarkStart w:id="1247" w:name="_Toc166737180"/>
      <w:bookmarkStart w:id="1248" w:name="_Toc169738210"/>
      <w:bookmarkEnd w:id="1177"/>
      <w:bookmarkEnd w:id="1178"/>
      <w:bookmarkEnd w:id="1179"/>
      <w:bookmarkEnd w:id="1180"/>
      <w:bookmarkEnd w:id="1181"/>
      <w:bookmarkEnd w:id="1242"/>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1249" w:name="_Toc332293116"/>
      <w:bookmarkStart w:id="1250" w:name="_Toc274495544"/>
      <w:bookmarkStart w:id="1251" w:name="_Toc21246"/>
      <w:bookmarkEnd w:id="1243"/>
      <w:bookmarkEnd w:id="1244"/>
      <w:bookmarkEnd w:id="1245"/>
      <w:bookmarkEnd w:id="1246"/>
      <w:bookmarkEnd w:id="1247"/>
      <w:bookmarkEnd w:id="1248"/>
      <w:r>
        <w:rPr>
          <w:rStyle w:val="2Char1Char"/>
          <w:rFonts w:ascii="Times New Roman" w:eastAsia="宋体" w:hAnsi="Times New Roman" w:cs="Times New Roman"/>
          <w:b w:val="0"/>
          <w:sz w:val="28"/>
          <w:szCs w:val="28"/>
        </w:rPr>
        <w:t xml:space="preserve">13.1 </w:t>
      </w:r>
      <w:r>
        <w:rPr>
          <w:rStyle w:val="2Char1Char"/>
          <w:rFonts w:ascii="Times New Roman" w:eastAsia="宋体" w:hAnsi="宋体" w:cs="Times New Roman"/>
          <w:b w:val="0"/>
          <w:sz w:val="28"/>
          <w:szCs w:val="28"/>
        </w:rPr>
        <w:t>拟建工程概况</w:t>
      </w:r>
      <w:bookmarkEnd w:id="1249"/>
      <w:bookmarkEnd w:id="1250"/>
      <w:bookmarkEnd w:id="1251"/>
    </w:p>
    <w:p w:rsidR="00475650" w:rsidRDefault="00475650">
      <w:pPr>
        <w:spacing w:line="360" w:lineRule="auto"/>
        <w:ind w:firstLineChars="200" w:firstLine="480"/>
        <w:rPr>
          <w:sz w:val="24"/>
        </w:rPr>
      </w:pPr>
      <w:r>
        <w:rPr>
          <w:rFonts w:hAnsi="宋体"/>
          <w:sz w:val="24"/>
        </w:rPr>
        <w:t>临湘市鹏程化工有限公司拟投资</w:t>
      </w:r>
      <w:r>
        <w:rPr>
          <w:sz w:val="24"/>
        </w:rPr>
        <w:t>3000</w:t>
      </w:r>
      <w:r>
        <w:rPr>
          <w:rFonts w:hAnsi="宋体"/>
          <w:sz w:val="24"/>
        </w:rPr>
        <w:t>万元建设</w:t>
      </w:r>
      <w:r>
        <w:rPr>
          <w:sz w:val="24"/>
        </w:rPr>
        <w:t>“</w:t>
      </w:r>
      <w:r>
        <w:rPr>
          <w:rFonts w:hAnsi="宋体"/>
          <w:sz w:val="24"/>
        </w:rPr>
        <w:t>年产</w:t>
      </w:r>
      <w:r>
        <w:rPr>
          <w:sz w:val="24"/>
        </w:rPr>
        <w:t>6000</w:t>
      </w:r>
      <w:r>
        <w:rPr>
          <w:rFonts w:hAnsi="宋体"/>
          <w:sz w:val="24"/>
        </w:rPr>
        <w:t>吨弱酸性染料建设项目</w:t>
      </w:r>
      <w:r>
        <w:rPr>
          <w:sz w:val="24"/>
        </w:rPr>
        <w:t>”</w:t>
      </w:r>
      <w:r>
        <w:rPr>
          <w:rFonts w:hAnsi="宋体"/>
          <w:sz w:val="24"/>
        </w:rPr>
        <w:t>，工程选址临湘工业园滨江产业区</w:t>
      </w:r>
      <w:r>
        <w:rPr>
          <w:spacing w:val="-4"/>
          <w:sz w:val="24"/>
        </w:rPr>
        <w:t>——</w:t>
      </w:r>
      <w:r>
        <w:rPr>
          <w:rFonts w:hAnsi="宋体"/>
          <w:spacing w:val="-4"/>
          <w:sz w:val="24"/>
        </w:rPr>
        <w:t>临湘市鹏程化工有限公司预留地内，占地面积</w:t>
      </w:r>
      <w:r>
        <w:rPr>
          <w:spacing w:val="-4"/>
          <w:sz w:val="24"/>
        </w:rPr>
        <w:t>3300m</w:t>
      </w:r>
      <w:r>
        <w:rPr>
          <w:spacing w:val="-4"/>
          <w:sz w:val="24"/>
          <w:vertAlign w:val="superscript"/>
        </w:rPr>
        <w:t>2</w:t>
      </w:r>
      <w:r>
        <w:rPr>
          <w:rFonts w:hAnsi="宋体"/>
          <w:spacing w:val="-4"/>
          <w:sz w:val="24"/>
        </w:rPr>
        <w:t>，</w:t>
      </w:r>
      <w:r>
        <w:rPr>
          <w:rFonts w:hAnsi="宋体"/>
          <w:sz w:val="24"/>
        </w:rPr>
        <w:t>建设内容包括</w:t>
      </w:r>
      <w:r>
        <w:rPr>
          <w:spacing w:val="-4"/>
          <w:sz w:val="24"/>
        </w:rPr>
        <w:t>6000</w:t>
      </w:r>
      <w:r>
        <w:rPr>
          <w:rFonts w:hAnsi="宋体"/>
          <w:spacing w:val="-4"/>
          <w:sz w:val="24"/>
        </w:rPr>
        <w:t>吨</w:t>
      </w:r>
      <w:r>
        <w:rPr>
          <w:spacing w:val="-4"/>
          <w:sz w:val="24"/>
        </w:rPr>
        <w:t>/</w:t>
      </w:r>
      <w:r>
        <w:rPr>
          <w:rFonts w:hAnsi="宋体"/>
          <w:spacing w:val="-4"/>
          <w:sz w:val="24"/>
        </w:rPr>
        <w:t>年弱酸性染料生产线一条，配套建设</w:t>
      </w:r>
      <w:r>
        <w:rPr>
          <w:spacing w:val="-4"/>
          <w:sz w:val="24"/>
        </w:rPr>
        <w:t>1</w:t>
      </w:r>
      <w:r>
        <w:rPr>
          <w:rFonts w:hAnsi="宋体"/>
          <w:spacing w:val="-4"/>
          <w:sz w:val="24"/>
        </w:rPr>
        <w:t>台制冷机、废气处理设施、污水处理站等</w:t>
      </w:r>
      <w:r>
        <w:rPr>
          <w:rFonts w:hAnsi="宋体"/>
          <w:sz w:val="24"/>
        </w:rPr>
        <w:t>，其他公辅工程均依托公司现有。</w:t>
      </w:r>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1252" w:name="_Toc332293117"/>
      <w:bookmarkStart w:id="1253" w:name="_Toc28607"/>
      <w:bookmarkStart w:id="1254" w:name="_Toc274495547"/>
      <w:r>
        <w:rPr>
          <w:rStyle w:val="2Char1Char"/>
          <w:rFonts w:ascii="Times New Roman" w:eastAsia="宋体" w:hAnsi="Times New Roman" w:cs="Times New Roman"/>
          <w:b w:val="0"/>
          <w:sz w:val="28"/>
          <w:szCs w:val="28"/>
        </w:rPr>
        <w:t>13.2</w:t>
      </w:r>
      <w:r>
        <w:rPr>
          <w:rStyle w:val="2Char1Char"/>
          <w:rFonts w:ascii="Times New Roman" w:eastAsia="宋体" w:hAnsi="宋体" w:cs="Times New Roman"/>
          <w:b w:val="0"/>
          <w:sz w:val="28"/>
          <w:szCs w:val="28"/>
        </w:rPr>
        <w:t>现有工程基本情况</w:t>
      </w:r>
      <w:bookmarkEnd w:id="1252"/>
      <w:bookmarkEnd w:id="1253"/>
    </w:p>
    <w:p w:rsidR="00475650" w:rsidRDefault="00475650">
      <w:pPr>
        <w:snapToGrid w:val="0"/>
        <w:spacing w:line="360" w:lineRule="auto"/>
        <w:ind w:firstLineChars="200" w:firstLine="480"/>
        <w:rPr>
          <w:sz w:val="24"/>
        </w:rPr>
      </w:pPr>
      <w:r>
        <w:rPr>
          <w:rFonts w:hAnsi="宋体"/>
          <w:sz w:val="24"/>
        </w:rPr>
        <w:t>公司现有工程为临湘市鹏程化工有限公司</w:t>
      </w:r>
      <w:r>
        <w:rPr>
          <w:sz w:val="24"/>
        </w:rPr>
        <w:t>5</w:t>
      </w:r>
      <w:r>
        <w:rPr>
          <w:rFonts w:hAnsi="宋体"/>
          <w:sz w:val="24"/>
        </w:rPr>
        <w:t>万吨</w:t>
      </w:r>
      <w:r>
        <w:rPr>
          <w:sz w:val="24"/>
        </w:rPr>
        <w:t>/</w:t>
      </w:r>
      <w:r>
        <w:rPr>
          <w:rFonts w:hAnsi="宋体"/>
          <w:sz w:val="24"/>
        </w:rPr>
        <w:t>年氯化石蜡</w:t>
      </w:r>
      <w:r>
        <w:rPr>
          <w:sz w:val="24"/>
        </w:rPr>
        <w:t>-52</w:t>
      </w:r>
      <w:r>
        <w:rPr>
          <w:rFonts w:hAnsi="宋体"/>
          <w:sz w:val="24"/>
        </w:rPr>
        <w:t>建设项目，该工程已于</w:t>
      </w:r>
      <w:r>
        <w:rPr>
          <w:sz w:val="24"/>
        </w:rPr>
        <w:t>2013</w:t>
      </w:r>
      <w:r>
        <w:rPr>
          <w:rFonts w:hAnsi="宋体"/>
          <w:sz w:val="24"/>
        </w:rPr>
        <w:t>年底建成，</w:t>
      </w:r>
      <w:r>
        <w:rPr>
          <w:sz w:val="24"/>
        </w:rPr>
        <w:t>2016</w:t>
      </w:r>
      <w:r>
        <w:rPr>
          <w:rFonts w:hAnsi="宋体"/>
          <w:sz w:val="24"/>
        </w:rPr>
        <w:t>年</w:t>
      </w:r>
      <w:r>
        <w:rPr>
          <w:sz w:val="24"/>
        </w:rPr>
        <w:t>2</w:t>
      </w:r>
      <w:r>
        <w:rPr>
          <w:rFonts w:hAnsi="宋体"/>
          <w:sz w:val="24"/>
        </w:rPr>
        <w:t>月通过了湖南省环境保护厅组织的</w:t>
      </w:r>
      <w:r>
        <w:rPr>
          <w:sz w:val="24"/>
        </w:rPr>
        <w:t>“</w:t>
      </w:r>
      <w:r>
        <w:rPr>
          <w:rFonts w:hAnsi="宋体"/>
          <w:sz w:val="24"/>
        </w:rPr>
        <w:t>环保设施三同时竣工验收</w:t>
      </w:r>
      <w:r>
        <w:rPr>
          <w:sz w:val="24"/>
        </w:rPr>
        <w:t>”</w:t>
      </w:r>
      <w:r>
        <w:rPr>
          <w:rFonts w:hAnsi="宋体"/>
          <w:sz w:val="24"/>
        </w:rPr>
        <w:t>，目前正常运行。</w:t>
      </w:r>
    </w:p>
    <w:p w:rsidR="00475650" w:rsidRDefault="00475650">
      <w:pPr>
        <w:snapToGrid w:val="0"/>
        <w:spacing w:line="360" w:lineRule="auto"/>
        <w:ind w:firstLineChars="200" w:firstLine="480"/>
        <w:rPr>
          <w:sz w:val="24"/>
        </w:rPr>
      </w:pPr>
      <w:r>
        <w:rPr>
          <w:rFonts w:hAnsi="宋体"/>
          <w:sz w:val="24"/>
        </w:rPr>
        <w:t>根据验收监测结果，各污染物均能满足达标外排的要求。噪声不扰民。</w:t>
      </w:r>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1255" w:name="_Toc332293118"/>
      <w:bookmarkStart w:id="1256" w:name="_Toc12009"/>
      <w:r>
        <w:rPr>
          <w:rStyle w:val="2Char1Char"/>
          <w:rFonts w:ascii="Times New Roman" w:eastAsia="宋体" w:hAnsi="Times New Roman" w:cs="Times New Roman"/>
          <w:b w:val="0"/>
          <w:sz w:val="28"/>
          <w:szCs w:val="28"/>
        </w:rPr>
        <w:t>13.3</w:t>
      </w:r>
      <w:r>
        <w:rPr>
          <w:rStyle w:val="2Char1Char"/>
          <w:rFonts w:ascii="Times New Roman" w:eastAsia="宋体" w:hAnsi="宋体" w:cs="Times New Roman"/>
          <w:b w:val="0"/>
          <w:sz w:val="28"/>
          <w:szCs w:val="28"/>
        </w:rPr>
        <w:t>拟建工程污染源及污染防治措施</w:t>
      </w:r>
      <w:bookmarkEnd w:id="1254"/>
      <w:bookmarkEnd w:id="1255"/>
      <w:bookmarkEnd w:id="1256"/>
    </w:p>
    <w:p w:rsidR="00475650" w:rsidRDefault="00475650">
      <w:pPr>
        <w:spacing w:line="360" w:lineRule="auto"/>
        <w:ind w:firstLineChars="200" w:firstLine="480"/>
        <w:rPr>
          <w:sz w:val="24"/>
        </w:rPr>
      </w:pPr>
      <w:r>
        <w:rPr>
          <w:sz w:val="24"/>
        </w:rPr>
        <w:t>1</w:t>
      </w:r>
      <w:r>
        <w:rPr>
          <w:rFonts w:hAnsi="宋体"/>
          <w:sz w:val="24"/>
        </w:rPr>
        <w:t>、废气污染源及其污染防治措施</w:t>
      </w:r>
    </w:p>
    <w:p w:rsidR="00475650" w:rsidRDefault="00475650">
      <w:pPr>
        <w:spacing w:line="360" w:lineRule="auto"/>
        <w:ind w:firstLineChars="200" w:firstLine="480"/>
        <w:rPr>
          <w:rFonts w:hAnsi="宋体"/>
          <w:sz w:val="24"/>
        </w:rPr>
        <w:sectPr w:rsidR="00475650">
          <w:pgSz w:w="11906" w:h="16838"/>
          <w:pgMar w:top="1701" w:right="1588" w:bottom="1418" w:left="1588" w:header="851" w:footer="992" w:gutter="0"/>
          <w:paperSrc w:first="7" w:other="7"/>
          <w:cols w:space="720"/>
          <w:docGrid w:linePitch="312"/>
        </w:sectPr>
      </w:pPr>
      <w:r>
        <w:rPr>
          <w:rFonts w:hAnsi="宋体"/>
          <w:sz w:val="24"/>
        </w:rPr>
        <w:t>工程产生的废气组成</w:t>
      </w:r>
      <w:r>
        <w:rPr>
          <w:rFonts w:hAnsi="宋体" w:hint="eastAsia"/>
          <w:sz w:val="24"/>
        </w:rPr>
        <w:t>及</w:t>
      </w:r>
      <w:r>
        <w:rPr>
          <w:rFonts w:hAnsi="宋体"/>
          <w:sz w:val="24"/>
        </w:rPr>
        <w:t>各气型污染防治措施见表</w:t>
      </w:r>
      <w:r>
        <w:rPr>
          <w:sz w:val="24"/>
        </w:rPr>
        <w:t>13.3-1</w:t>
      </w:r>
      <w:r>
        <w:rPr>
          <w:rFonts w:hAnsi="宋体"/>
          <w:sz w:val="24"/>
        </w:rPr>
        <w:t>。</w:t>
      </w:r>
    </w:p>
    <w:p w:rsidR="00475650" w:rsidRDefault="00475650">
      <w:pPr>
        <w:spacing w:line="360" w:lineRule="auto"/>
        <w:ind w:firstLineChars="200" w:firstLine="480"/>
        <w:rPr>
          <w:sz w:val="24"/>
        </w:rPr>
      </w:pPr>
    </w:p>
    <w:p w:rsidR="00475650" w:rsidRDefault="00475650">
      <w:pPr>
        <w:adjustRightInd w:val="0"/>
        <w:snapToGrid w:val="0"/>
        <w:spacing w:line="360" w:lineRule="auto"/>
        <w:jc w:val="center"/>
        <w:rPr>
          <w:rFonts w:hAnsi="宋体"/>
          <w:bCs/>
          <w:spacing w:val="4"/>
          <w:sz w:val="24"/>
        </w:rPr>
      </w:pPr>
      <w:r>
        <w:rPr>
          <w:rFonts w:hAnsi="宋体"/>
          <w:bCs/>
          <w:spacing w:val="4"/>
          <w:sz w:val="24"/>
        </w:rPr>
        <w:t>表</w:t>
      </w:r>
      <w:r>
        <w:rPr>
          <w:bCs/>
          <w:spacing w:val="4"/>
          <w:sz w:val="24"/>
        </w:rPr>
        <w:t xml:space="preserve">13.3-1  </w:t>
      </w:r>
      <w:r>
        <w:rPr>
          <w:rFonts w:hAnsi="宋体"/>
          <w:bCs/>
          <w:spacing w:val="4"/>
          <w:sz w:val="24"/>
        </w:rPr>
        <w:t>气型污染物防治措施一览表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644"/>
        <w:gridCol w:w="1310"/>
        <w:gridCol w:w="1274"/>
        <w:gridCol w:w="1134"/>
        <w:gridCol w:w="1134"/>
        <w:gridCol w:w="1416"/>
        <w:gridCol w:w="992"/>
        <w:gridCol w:w="850"/>
        <w:gridCol w:w="995"/>
        <w:gridCol w:w="1134"/>
        <w:gridCol w:w="1134"/>
        <w:gridCol w:w="569"/>
        <w:gridCol w:w="708"/>
        <w:gridCol w:w="641"/>
      </w:tblGrid>
      <w:tr w:rsidR="00475650">
        <w:trPr>
          <w:trHeight w:val="255"/>
          <w:jc w:val="center"/>
        </w:trPr>
        <w:tc>
          <w:tcPr>
            <w:tcW w:w="1954" w:type="dxa"/>
            <w:gridSpan w:val="2"/>
            <w:vMerge w:val="restart"/>
            <w:vAlign w:val="center"/>
          </w:tcPr>
          <w:p w:rsidR="00475650" w:rsidRDefault="00475650">
            <w:pPr>
              <w:snapToGrid w:val="0"/>
              <w:spacing w:line="240" w:lineRule="exact"/>
              <w:jc w:val="center"/>
              <w:rPr>
                <w:szCs w:val="21"/>
              </w:rPr>
            </w:pPr>
            <w:r>
              <w:rPr>
                <w:rFonts w:hAnsi="宋体"/>
                <w:szCs w:val="21"/>
              </w:rPr>
              <w:t>废气名称</w:t>
            </w:r>
          </w:p>
        </w:tc>
        <w:tc>
          <w:tcPr>
            <w:tcW w:w="1274" w:type="dxa"/>
            <w:vMerge w:val="restart"/>
            <w:vAlign w:val="center"/>
          </w:tcPr>
          <w:p w:rsidR="00475650" w:rsidRDefault="00475650">
            <w:pPr>
              <w:jc w:val="center"/>
              <w:rPr>
                <w:szCs w:val="21"/>
              </w:rPr>
            </w:pPr>
            <w:r>
              <w:rPr>
                <w:rFonts w:hAnsi="宋体"/>
                <w:szCs w:val="21"/>
              </w:rPr>
              <w:t>废气来源</w:t>
            </w:r>
          </w:p>
        </w:tc>
        <w:tc>
          <w:tcPr>
            <w:tcW w:w="1134" w:type="dxa"/>
            <w:vMerge w:val="restart"/>
            <w:vAlign w:val="center"/>
          </w:tcPr>
          <w:p w:rsidR="00475650" w:rsidRDefault="00475650">
            <w:pPr>
              <w:snapToGrid w:val="0"/>
              <w:spacing w:line="240" w:lineRule="exact"/>
              <w:jc w:val="center"/>
              <w:rPr>
                <w:szCs w:val="21"/>
              </w:rPr>
            </w:pPr>
            <w:r>
              <w:rPr>
                <w:rFonts w:hAnsi="宋体"/>
                <w:szCs w:val="21"/>
              </w:rPr>
              <w:t>主要</w:t>
            </w:r>
            <w:r>
              <w:rPr>
                <w:rFonts w:hAnsi="宋体" w:hint="eastAsia"/>
                <w:szCs w:val="21"/>
              </w:rPr>
              <w:t>组成</w:t>
            </w:r>
          </w:p>
        </w:tc>
        <w:tc>
          <w:tcPr>
            <w:tcW w:w="1134" w:type="dxa"/>
            <w:vMerge w:val="restart"/>
            <w:vAlign w:val="center"/>
          </w:tcPr>
          <w:p w:rsidR="00475650" w:rsidRDefault="00475650">
            <w:pPr>
              <w:snapToGrid w:val="0"/>
              <w:spacing w:line="240" w:lineRule="exact"/>
              <w:ind w:firstLineChars="50" w:firstLine="105"/>
              <w:jc w:val="center"/>
              <w:rPr>
                <w:szCs w:val="21"/>
              </w:rPr>
            </w:pPr>
            <w:r>
              <w:rPr>
                <w:rFonts w:hAnsi="宋体"/>
                <w:szCs w:val="21"/>
              </w:rPr>
              <w:t>产生速度</w:t>
            </w:r>
            <w:r>
              <w:rPr>
                <w:rFonts w:hint="eastAsia"/>
                <w:szCs w:val="21"/>
              </w:rPr>
              <w:t>t/a</w:t>
            </w:r>
          </w:p>
        </w:tc>
        <w:tc>
          <w:tcPr>
            <w:tcW w:w="1416" w:type="dxa"/>
            <w:vMerge w:val="restart"/>
            <w:vAlign w:val="center"/>
          </w:tcPr>
          <w:p w:rsidR="00475650" w:rsidRDefault="00475650">
            <w:pPr>
              <w:snapToGrid w:val="0"/>
              <w:spacing w:line="240" w:lineRule="exact"/>
              <w:jc w:val="center"/>
              <w:rPr>
                <w:szCs w:val="21"/>
              </w:rPr>
            </w:pPr>
            <w:r>
              <w:rPr>
                <w:rFonts w:hAnsi="宋体" w:hint="eastAsia"/>
                <w:szCs w:val="21"/>
              </w:rPr>
              <w:t>污染防治措施</w:t>
            </w:r>
          </w:p>
        </w:tc>
        <w:tc>
          <w:tcPr>
            <w:tcW w:w="992" w:type="dxa"/>
            <w:vMerge w:val="restart"/>
            <w:vAlign w:val="center"/>
          </w:tcPr>
          <w:p w:rsidR="00475650" w:rsidRDefault="00475650">
            <w:pPr>
              <w:snapToGrid w:val="0"/>
              <w:spacing w:line="240" w:lineRule="exact"/>
              <w:ind w:firstLineChars="50" w:firstLine="105"/>
              <w:jc w:val="center"/>
              <w:rPr>
                <w:szCs w:val="21"/>
              </w:rPr>
            </w:pPr>
            <w:r>
              <w:rPr>
                <w:rFonts w:hAnsi="宋体" w:hint="eastAsia"/>
                <w:szCs w:val="21"/>
              </w:rPr>
              <w:t>去除效率</w:t>
            </w:r>
          </w:p>
        </w:tc>
        <w:tc>
          <w:tcPr>
            <w:tcW w:w="850" w:type="dxa"/>
            <w:vMerge w:val="restart"/>
            <w:vAlign w:val="center"/>
          </w:tcPr>
          <w:p w:rsidR="00475650" w:rsidRDefault="00475650">
            <w:pPr>
              <w:snapToGrid w:val="0"/>
              <w:spacing w:line="240" w:lineRule="exact"/>
              <w:ind w:firstLineChars="50" w:firstLine="105"/>
              <w:jc w:val="center"/>
              <w:rPr>
                <w:szCs w:val="21"/>
              </w:rPr>
            </w:pPr>
            <w:r>
              <w:rPr>
                <w:rFonts w:hint="eastAsia"/>
                <w:szCs w:val="21"/>
              </w:rPr>
              <w:t>气量</w:t>
            </w:r>
            <w:r>
              <w:rPr>
                <w:szCs w:val="21"/>
              </w:rPr>
              <w:t>m</w:t>
            </w:r>
            <w:r>
              <w:rPr>
                <w:szCs w:val="21"/>
                <w:vertAlign w:val="superscript"/>
              </w:rPr>
              <w:t>3</w:t>
            </w:r>
            <w:r>
              <w:rPr>
                <w:szCs w:val="21"/>
              </w:rPr>
              <w:t>/h</w:t>
            </w:r>
          </w:p>
        </w:tc>
        <w:tc>
          <w:tcPr>
            <w:tcW w:w="995" w:type="dxa"/>
            <w:vMerge w:val="restart"/>
            <w:vAlign w:val="center"/>
          </w:tcPr>
          <w:p w:rsidR="00475650" w:rsidRDefault="00475650">
            <w:pPr>
              <w:snapToGrid w:val="0"/>
              <w:spacing w:line="240" w:lineRule="exact"/>
              <w:jc w:val="center"/>
              <w:rPr>
                <w:rFonts w:hAnsi="宋体"/>
                <w:szCs w:val="21"/>
              </w:rPr>
            </w:pPr>
            <w:r>
              <w:rPr>
                <w:rFonts w:hAnsi="宋体" w:hint="eastAsia"/>
                <w:szCs w:val="21"/>
              </w:rPr>
              <w:t>污染物名称</w:t>
            </w:r>
          </w:p>
        </w:tc>
        <w:tc>
          <w:tcPr>
            <w:tcW w:w="1134" w:type="dxa"/>
            <w:vMerge w:val="restart"/>
            <w:vAlign w:val="center"/>
          </w:tcPr>
          <w:p w:rsidR="00475650" w:rsidRDefault="00475650">
            <w:pPr>
              <w:snapToGrid w:val="0"/>
              <w:spacing w:line="240" w:lineRule="exact"/>
              <w:jc w:val="center"/>
              <w:rPr>
                <w:rFonts w:hAnsi="宋体"/>
                <w:szCs w:val="21"/>
              </w:rPr>
            </w:pPr>
            <w:r>
              <w:rPr>
                <w:rFonts w:hAnsi="宋体" w:hint="eastAsia"/>
                <w:szCs w:val="21"/>
              </w:rPr>
              <w:t>排放量</w:t>
            </w:r>
          </w:p>
          <w:p w:rsidR="00475650" w:rsidRDefault="00475650">
            <w:pPr>
              <w:snapToGrid w:val="0"/>
              <w:spacing w:line="240" w:lineRule="exact"/>
              <w:jc w:val="center"/>
              <w:rPr>
                <w:rFonts w:hAnsi="宋体"/>
                <w:szCs w:val="21"/>
              </w:rPr>
            </w:pPr>
            <w:r>
              <w:rPr>
                <w:rFonts w:hAnsi="宋体" w:hint="eastAsia"/>
                <w:szCs w:val="21"/>
              </w:rPr>
              <w:t>t/a( kg/h)</w:t>
            </w:r>
          </w:p>
        </w:tc>
        <w:tc>
          <w:tcPr>
            <w:tcW w:w="1134" w:type="dxa"/>
            <w:vMerge w:val="restart"/>
            <w:vAlign w:val="center"/>
          </w:tcPr>
          <w:p w:rsidR="00475650" w:rsidRDefault="00475650">
            <w:pPr>
              <w:snapToGrid w:val="0"/>
              <w:spacing w:line="240" w:lineRule="exact"/>
              <w:jc w:val="center"/>
              <w:rPr>
                <w:rFonts w:hAnsi="宋体"/>
                <w:szCs w:val="21"/>
              </w:rPr>
            </w:pPr>
            <w:r>
              <w:rPr>
                <w:rFonts w:hAnsi="宋体" w:hint="eastAsia"/>
                <w:szCs w:val="21"/>
              </w:rPr>
              <w:t>排放浓度（</w:t>
            </w:r>
            <w:r>
              <w:rPr>
                <w:rFonts w:hAnsi="宋体" w:hint="eastAsia"/>
                <w:szCs w:val="21"/>
              </w:rPr>
              <w:t>mg/m</w:t>
            </w:r>
            <w:r>
              <w:rPr>
                <w:rFonts w:hAnsi="宋体" w:hint="eastAsia"/>
                <w:szCs w:val="21"/>
                <w:vertAlign w:val="superscript"/>
              </w:rPr>
              <w:t>3</w:t>
            </w:r>
            <w:r>
              <w:rPr>
                <w:rFonts w:hAnsi="宋体" w:hint="eastAsia"/>
                <w:szCs w:val="21"/>
              </w:rPr>
              <w:t>）</w:t>
            </w:r>
          </w:p>
        </w:tc>
        <w:tc>
          <w:tcPr>
            <w:tcW w:w="1918" w:type="dxa"/>
            <w:gridSpan w:val="3"/>
            <w:vAlign w:val="center"/>
          </w:tcPr>
          <w:p w:rsidR="00475650" w:rsidRDefault="00475650">
            <w:pPr>
              <w:jc w:val="center"/>
              <w:rPr>
                <w:szCs w:val="21"/>
              </w:rPr>
            </w:pPr>
            <w:r>
              <w:rPr>
                <w:rFonts w:hAnsi="宋体"/>
                <w:szCs w:val="21"/>
              </w:rPr>
              <w:t>排气筒参数</w:t>
            </w:r>
          </w:p>
        </w:tc>
      </w:tr>
      <w:tr w:rsidR="00475650">
        <w:trPr>
          <w:trHeight w:val="210"/>
          <w:jc w:val="center"/>
        </w:trPr>
        <w:tc>
          <w:tcPr>
            <w:tcW w:w="1954" w:type="dxa"/>
            <w:gridSpan w:val="2"/>
            <w:vMerge/>
            <w:vAlign w:val="center"/>
          </w:tcPr>
          <w:p w:rsidR="00475650" w:rsidRDefault="00475650">
            <w:pPr>
              <w:jc w:val="center"/>
              <w:rPr>
                <w:szCs w:val="21"/>
              </w:rPr>
            </w:pPr>
          </w:p>
        </w:tc>
        <w:tc>
          <w:tcPr>
            <w:tcW w:w="1274" w:type="dxa"/>
            <w:vMerge/>
            <w:vAlign w:val="center"/>
          </w:tcPr>
          <w:p w:rsidR="00475650" w:rsidRDefault="00475650">
            <w:pPr>
              <w:jc w:val="center"/>
              <w:rPr>
                <w:szCs w:val="21"/>
              </w:rPr>
            </w:pPr>
          </w:p>
        </w:tc>
        <w:tc>
          <w:tcPr>
            <w:tcW w:w="1134" w:type="dxa"/>
            <w:vMerge/>
            <w:vAlign w:val="center"/>
          </w:tcPr>
          <w:p w:rsidR="00475650" w:rsidRDefault="00475650">
            <w:pPr>
              <w:jc w:val="center"/>
              <w:rPr>
                <w:szCs w:val="21"/>
              </w:rPr>
            </w:pPr>
          </w:p>
        </w:tc>
        <w:tc>
          <w:tcPr>
            <w:tcW w:w="1134" w:type="dxa"/>
            <w:vMerge/>
            <w:vAlign w:val="center"/>
          </w:tcPr>
          <w:p w:rsidR="00475650" w:rsidRDefault="00475650">
            <w:pPr>
              <w:jc w:val="center"/>
              <w:rPr>
                <w:szCs w:val="21"/>
              </w:rPr>
            </w:pPr>
          </w:p>
        </w:tc>
        <w:tc>
          <w:tcPr>
            <w:tcW w:w="1416" w:type="dxa"/>
            <w:vMerge/>
            <w:vAlign w:val="center"/>
          </w:tcPr>
          <w:p w:rsidR="00475650" w:rsidRDefault="00475650">
            <w:pPr>
              <w:jc w:val="center"/>
              <w:rPr>
                <w:szCs w:val="21"/>
              </w:rPr>
            </w:pPr>
          </w:p>
        </w:tc>
        <w:tc>
          <w:tcPr>
            <w:tcW w:w="992" w:type="dxa"/>
            <w:vMerge/>
            <w:vAlign w:val="center"/>
          </w:tcPr>
          <w:p w:rsidR="00475650" w:rsidRDefault="00475650">
            <w:pPr>
              <w:jc w:val="center"/>
              <w:rPr>
                <w:szCs w:val="21"/>
              </w:rPr>
            </w:pPr>
          </w:p>
        </w:tc>
        <w:tc>
          <w:tcPr>
            <w:tcW w:w="850" w:type="dxa"/>
            <w:vMerge/>
            <w:vAlign w:val="center"/>
          </w:tcPr>
          <w:p w:rsidR="00475650" w:rsidRDefault="00475650">
            <w:pPr>
              <w:jc w:val="center"/>
              <w:rPr>
                <w:szCs w:val="21"/>
              </w:rPr>
            </w:pPr>
          </w:p>
        </w:tc>
        <w:tc>
          <w:tcPr>
            <w:tcW w:w="995" w:type="dxa"/>
            <w:vMerge/>
            <w:vAlign w:val="center"/>
          </w:tcPr>
          <w:p w:rsidR="00475650" w:rsidRDefault="00475650">
            <w:pPr>
              <w:jc w:val="center"/>
              <w:rPr>
                <w:szCs w:val="21"/>
              </w:rPr>
            </w:pPr>
          </w:p>
        </w:tc>
        <w:tc>
          <w:tcPr>
            <w:tcW w:w="1134" w:type="dxa"/>
            <w:vMerge/>
            <w:vAlign w:val="center"/>
          </w:tcPr>
          <w:p w:rsidR="00475650" w:rsidRDefault="00475650">
            <w:pPr>
              <w:jc w:val="center"/>
              <w:rPr>
                <w:szCs w:val="21"/>
              </w:rPr>
            </w:pPr>
          </w:p>
        </w:tc>
        <w:tc>
          <w:tcPr>
            <w:tcW w:w="1134" w:type="dxa"/>
            <w:vMerge/>
            <w:vAlign w:val="center"/>
          </w:tcPr>
          <w:p w:rsidR="00475650" w:rsidRDefault="00475650">
            <w:pPr>
              <w:jc w:val="center"/>
              <w:rPr>
                <w:szCs w:val="21"/>
              </w:rPr>
            </w:pPr>
          </w:p>
        </w:tc>
        <w:tc>
          <w:tcPr>
            <w:tcW w:w="569" w:type="dxa"/>
            <w:vAlign w:val="center"/>
          </w:tcPr>
          <w:p w:rsidR="00475650" w:rsidRDefault="00475650">
            <w:pPr>
              <w:jc w:val="center"/>
              <w:rPr>
                <w:szCs w:val="21"/>
              </w:rPr>
            </w:pPr>
            <w:r>
              <w:rPr>
                <w:rFonts w:hAnsi="宋体"/>
                <w:szCs w:val="21"/>
              </w:rPr>
              <w:t>高</w:t>
            </w:r>
            <w:r>
              <w:rPr>
                <w:szCs w:val="21"/>
              </w:rPr>
              <w:t>m</w:t>
            </w:r>
          </w:p>
        </w:tc>
        <w:tc>
          <w:tcPr>
            <w:tcW w:w="708" w:type="dxa"/>
            <w:vAlign w:val="center"/>
          </w:tcPr>
          <w:p w:rsidR="00475650" w:rsidRDefault="00475650">
            <w:pPr>
              <w:jc w:val="center"/>
              <w:rPr>
                <w:szCs w:val="21"/>
              </w:rPr>
            </w:pPr>
            <w:r>
              <w:rPr>
                <w:rFonts w:hAnsi="宋体"/>
                <w:szCs w:val="21"/>
              </w:rPr>
              <w:t>口径</w:t>
            </w:r>
            <w:r>
              <w:rPr>
                <w:szCs w:val="21"/>
              </w:rPr>
              <w:t>m</w:t>
            </w:r>
          </w:p>
        </w:tc>
        <w:tc>
          <w:tcPr>
            <w:tcW w:w="641" w:type="dxa"/>
            <w:vAlign w:val="center"/>
          </w:tcPr>
          <w:p w:rsidR="00475650" w:rsidRDefault="00475650">
            <w:pPr>
              <w:jc w:val="center"/>
              <w:rPr>
                <w:rFonts w:hAnsi="宋体"/>
                <w:szCs w:val="21"/>
              </w:rPr>
            </w:pPr>
            <w:r>
              <w:rPr>
                <w:rFonts w:hAnsi="宋体"/>
                <w:szCs w:val="21"/>
              </w:rPr>
              <w:t>温度</w:t>
            </w:r>
          </w:p>
          <w:p w:rsidR="00475650" w:rsidRDefault="00475650">
            <w:pPr>
              <w:jc w:val="center"/>
              <w:rPr>
                <w:szCs w:val="21"/>
              </w:rPr>
            </w:pPr>
            <w:r>
              <w:rPr>
                <w:rFonts w:hAnsi="宋体"/>
                <w:szCs w:val="21"/>
              </w:rPr>
              <w:t>℃</w:t>
            </w:r>
          </w:p>
        </w:tc>
      </w:tr>
      <w:tr w:rsidR="00475650">
        <w:trPr>
          <w:trHeight w:val="210"/>
          <w:jc w:val="center"/>
        </w:trPr>
        <w:tc>
          <w:tcPr>
            <w:tcW w:w="644" w:type="dxa"/>
            <w:vMerge w:val="restart"/>
            <w:vAlign w:val="center"/>
          </w:tcPr>
          <w:p w:rsidR="00475650" w:rsidRDefault="00475650">
            <w:pPr>
              <w:jc w:val="center"/>
              <w:rPr>
                <w:szCs w:val="21"/>
              </w:rPr>
            </w:pPr>
            <w:r>
              <w:rPr>
                <w:rFonts w:hint="eastAsia"/>
                <w:szCs w:val="21"/>
              </w:rPr>
              <w:t>有组织</w:t>
            </w:r>
          </w:p>
        </w:tc>
        <w:tc>
          <w:tcPr>
            <w:tcW w:w="1310" w:type="dxa"/>
            <w:vMerge w:val="restart"/>
            <w:vAlign w:val="center"/>
          </w:tcPr>
          <w:p w:rsidR="00475650" w:rsidRDefault="00475650">
            <w:pPr>
              <w:jc w:val="center"/>
              <w:rPr>
                <w:szCs w:val="21"/>
              </w:rPr>
            </w:pPr>
            <w:r>
              <w:rPr>
                <w:rFonts w:hint="eastAsia"/>
                <w:szCs w:val="21"/>
              </w:rPr>
              <w:t>反应釜废气</w:t>
            </w:r>
          </w:p>
        </w:tc>
        <w:tc>
          <w:tcPr>
            <w:tcW w:w="1274" w:type="dxa"/>
            <w:vAlign w:val="center"/>
          </w:tcPr>
          <w:p w:rsidR="00475650" w:rsidRDefault="00475650">
            <w:pPr>
              <w:jc w:val="center"/>
              <w:rPr>
                <w:szCs w:val="21"/>
              </w:rPr>
            </w:pPr>
            <w:r>
              <w:rPr>
                <w:rFonts w:hint="eastAsia"/>
                <w:szCs w:val="21"/>
              </w:rPr>
              <w:t>酰化反应</w:t>
            </w:r>
          </w:p>
        </w:tc>
        <w:tc>
          <w:tcPr>
            <w:tcW w:w="1134" w:type="dxa"/>
            <w:vAlign w:val="center"/>
          </w:tcPr>
          <w:p w:rsidR="00475650" w:rsidRDefault="00475650">
            <w:pPr>
              <w:jc w:val="center"/>
              <w:rPr>
                <w:szCs w:val="21"/>
              </w:rPr>
            </w:pPr>
            <w:r>
              <w:rPr>
                <w:rFonts w:hint="eastAsia"/>
                <w:szCs w:val="21"/>
              </w:rPr>
              <w:t>二氧化碳</w:t>
            </w:r>
          </w:p>
        </w:tc>
        <w:tc>
          <w:tcPr>
            <w:tcW w:w="1134" w:type="dxa"/>
            <w:vAlign w:val="center"/>
          </w:tcPr>
          <w:p w:rsidR="00475650" w:rsidRDefault="00475650">
            <w:pPr>
              <w:jc w:val="center"/>
              <w:rPr>
                <w:szCs w:val="21"/>
              </w:rPr>
            </w:pPr>
            <w:r>
              <w:rPr>
                <w:rFonts w:hint="eastAsia"/>
                <w:szCs w:val="21"/>
              </w:rPr>
              <w:t>197.65</w:t>
            </w:r>
          </w:p>
        </w:tc>
        <w:tc>
          <w:tcPr>
            <w:tcW w:w="1416" w:type="dxa"/>
            <w:vAlign w:val="center"/>
          </w:tcPr>
          <w:p w:rsidR="00475650" w:rsidRDefault="00475650">
            <w:pPr>
              <w:jc w:val="center"/>
              <w:rPr>
                <w:szCs w:val="21"/>
              </w:rPr>
            </w:pPr>
            <w:r>
              <w:rPr>
                <w:rFonts w:hint="eastAsia"/>
                <w:szCs w:val="21"/>
              </w:rPr>
              <w:t>负压吸收</w:t>
            </w:r>
            <w:r>
              <w:rPr>
                <w:rFonts w:hint="eastAsia"/>
                <w:szCs w:val="21"/>
              </w:rPr>
              <w:t>+</w:t>
            </w:r>
            <w:r>
              <w:rPr>
                <w:rFonts w:hint="eastAsia"/>
                <w:szCs w:val="21"/>
              </w:rPr>
              <w:t>高点外排</w:t>
            </w:r>
          </w:p>
        </w:tc>
        <w:tc>
          <w:tcPr>
            <w:tcW w:w="992" w:type="dxa"/>
            <w:vAlign w:val="center"/>
          </w:tcPr>
          <w:p w:rsidR="00475650" w:rsidRDefault="00475650">
            <w:pPr>
              <w:jc w:val="center"/>
              <w:rPr>
                <w:szCs w:val="21"/>
              </w:rPr>
            </w:pPr>
            <w:r>
              <w:rPr>
                <w:rFonts w:hint="eastAsia"/>
                <w:szCs w:val="21"/>
              </w:rPr>
              <w:t>/</w:t>
            </w:r>
          </w:p>
        </w:tc>
        <w:tc>
          <w:tcPr>
            <w:tcW w:w="850" w:type="dxa"/>
            <w:vMerge w:val="restart"/>
            <w:vAlign w:val="center"/>
          </w:tcPr>
          <w:p w:rsidR="00475650" w:rsidRDefault="00475650">
            <w:pPr>
              <w:jc w:val="center"/>
              <w:rPr>
                <w:szCs w:val="21"/>
              </w:rPr>
            </w:pPr>
            <w:r>
              <w:rPr>
                <w:rFonts w:hint="eastAsia"/>
                <w:szCs w:val="21"/>
              </w:rPr>
              <w:t>15000</w:t>
            </w:r>
          </w:p>
        </w:tc>
        <w:tc>
          <w:tcPr>
            <w:tcW w:w="995" w:type="dxa"/>
            <w:vMerge w:val="restart"/>
            <w:vAlign w:val="center"/>
          </w:tcPr>
          <w:p w:rsidR="00475650" w:rsidRDefault="00475650">
            <w:pPr>
              <w:jc w:val="center"/>
              <w:rPr>
                <w:szCs w:val="21"/>
              </w:rPr>
            </w:pPr>
            <w:r>
              <w:rPr>
                <w:rFonts w:hint="eastAsia"/>
                <w:szCs w:val="21"/>
              </w:rPr>
              <w:t>氯化氢</w:t>
            </w:r>
          </w:p>
        </w:tc>
        <w:tc>
          <w:tcPr>
            <w:tcW w:w="1134" w:type="dxa"/>
            <w:vMerge w:val="restart"/>
            <w:vAlign w:val="center"/>
          </w:tcPr>
          <w:p w:rsidR="00475650" w:rsidRDefault="00475650">
            <w:pPr>
              <w:jc w:val="center"/>
              <w:rPr>
                <w:szCs w:val="21"/>
              </w:rPr>
            </w:pPr>
            <w:r>
              <w:rPr>
                <w:rFonts w:hint="eastAsia"/>
                <w:szCs w:val="21"/>
              </w:rPr>
              <w:t>0.725</w:t>
            </w:r>
          </w:p>
          <w:p w:rsidR="00475650" w:rsidRDefault="00475650">
            <w:pPr>
              <w:jc w:val="center"/>
              <w:rPr>
                <w:szCs w:val="21"/>
              </w:rPr>
            </w:pPr>
            <w:r>
              <w:rPr>
                <w:rFonts w:hint="eastAsia"/>
                <w:szCs w:val="21"/>
              </w:rPr>
              <w:t>（</w:t>
            </w:r>
            <w:r>
              <w:rPr>
                <w:rFonts w:hint="eastAsia"/>
                <w:szCs w:val="21"/>
              </w:rPr>
              <w:t>0.101</w:t>
            </w:r>
            <w:r>
              <w:rPr>
                <w:rFonts w:hint="eastAsia"/>
                <w:szCs w:val="21"/>
              </w:rPr>
              <w:t>）</w:t>
            </w:r>
          </w:p>
        </w:tc>
        <w:tc>
          <w:tcPr>
            <w:tcW w:w="1134" w:type="dxa"/>
            <w:vMerge w:val="restart"/>
            <w:vAlign w:val="center"/>
          </w:tcPr>
          <w:p w:rsidR="00475650" w:rsidRDefault="00475650">
            <w:pPr>
              <w:jc w:val="center"/>
              <w:rPr>
                <w:szCs w:val="21"/>
              </w:rPr>
            </w:pPr>
            <w:r>
              <w:rPr>
                <w:rFonts w:hint="eastAsia"/>
                <w:szCs w:val="21"/>
              </w:rPr>
              <w:t>6.733</w:t>
            </w:r>
          </w:p>
        </w:tc>
        <w:tc>
          <w:tcPr>
            <w:tcW w:w="569" w:type="dxa"/>
            <w:vMerge w:val="restart"/>
            <w:vAlign w:val="center"/>
          </w:tcPr>
          <w:p w:rsidR="00475650" w:rsidRDefault="00475650">
            <w:pPr>
              <w:jc w:val="center"/>
              <w:rPr>
                <w:rFonts w:hAnsi="宋体"/>
                <w:szCs w:val="21"/>
              </w:rPr>
            </w:pPr>
            <w:r>
              <w:rPr>
                <w:rFonts w:hAnsi="宋体" w:hint="eastAsia"/>
                <w:szCs w:val="21"/>
              </w:rPr>
              <w:t>15</w:t>
            </w:r>
          </w:p>
        </w:tc>
        <w:tc>
          <w:tcPr>
            <w:tcW w:w="708" w:type="dxa"/>
            <w:vMerge w:val="restart"/>
            <w:vAlign w:val="center"/>
          </w:tcPr>
          <w:p w:rsidR="00475650" w:rsidRDefault="00475650">
            <w:pPr>
              <w:jc w:val="center"/>
              <w:rPr>
                <w:rFonts w:hAnsi="宋体"/>
                <w:szCs w:val="21"/>
              </w:rPr>
            </w:pPr>
            <w:r>
              <w:rPr>
                <w:rFonts w:hAnsi="宋体" w:hint="eastAsia"/>
                <w:szCs w:val="21"/>
              </w:rPr>
              <w:t>0.6</w:t>
            </w:r>
          </w:p>
        </w:tc>
        <w:tc>
          <w:tcPr>
            <w:tcW w:w="641" w:type="dxa"/>
            <w:vMerge w:val="restart"/>
            <w:vAlign w:val="center"/>
          </w:tcPr>
          <w:p w:rsidR="00475650" w:rsidRDefault="00475650">
            <w:pPr>
              <w:jc w:val="center"/>
              <w:rPr>
                <w:rFonts w:hAnsi="宋体"/>
                <w:szCs w:val="21"/>
              </w:rPr>
            </w:pPr>
            <w:r>
              <w:rPr>
                <w:rFonts w:hAnsi="宋体" w:hint="eastAsia"/>
                <w:szCs w:val="21"/>
              </w:rPr>
              <w:t>25</w:t>
            </w:r>
          </w:p>
        </w:tc>
      </w:tr>
      <w:tr w:rsidR="00475650">
        <w:trPr>
          <w:trHeight w:val="210"/>
          <w:jc w:val="center"/>
        </w:trPr>
        <w:tc>
          <w:tcPr>
            <w:tcW w:w="644" w:type="dxa"/>
            <w:vMerge/>
            <w:vAlign w:val="center"/>
          </w:tcPr>
          <w:p w:rsidR="00475650" w:rsidRDefault="00475650">
            <w:pPr>
              <w:jc w:val="center"/>
              <w:rPr>
                <w:szCs w:val="21"/>
              </w:rPr>
            </w:pPr>
          </w:p>
        </w:tc>
        <w:tc>
          <w:tcPr>
            <w:tcW w:w="1310" w:type="dxa"/>
            <w:vMerge/>
            <w:vAlign w:val="center"/>
          </w:tcPr>
          <w:p w:rsidR="00475650" w:rsidRDefault="00475650">
            <w:pPr>
              <w:jc w:val="center"/>
              <w:rPr>
                <w:szCs w:val="21"/>
              </w:rPr>
            </w:pPr>
          </w:p>
        </w:tc>
        <w:tc>
          <w:tcPr>
            <w:tcW w:w="1274" w:type="dxa"/>
            <w:vMerge w:val="restart"/>
            <w:vAlign w:val="center"/>
          </w:tcPr>
          <w:p w:rsidR="00475650" w:rsidRDefault="00475650">
            <w:pPr>
              <w:jc w:val="center"/>
              <w:rPr>
                <w:szCs w:val="21"/>
              </w:rPr>
            </w:pPr>
            <w:r>
              <w:rPr>
                <w:rFonts w:hint="eastAsia"/>
                <w:szCs w:val="21"/>
              </w:rPr>
              <w:t>重氮反应</w:t>
            </w:r>
          </w:p>
        </w:tc>
        <w:tc>
          <w:tcPr>
            <w:tcW w:w="1134" w:type="dxa"/>
            <w:vAlign w:val="center"/>
          </w:tcPr>
          <w:p w:rsidR="00475650" w:rsidRDefault="00475650">
            <w:pPr>
              <w:jc w:val="center"/>
              <w:rPr>
                <w:szCs w:val="21"/>
              </w:rPr>
            </w:pPr>
            <w:r>
              <w:rPr>
                <w:rFonts w:hint="eastAsia"/>
                <w:szCs w:val="21"/>
              </w:rPr>
              <w:t>氯化氢</w:t>
            </w:r>
          </w:p>
        </w:tc>
        <w:tc>
          <w:tcPr>
            <w:tcW w:w="1134" w:type="dxa"/>
            <w:vAlign w:val="center"/>
          </w:tcPr>
          <w:p w:rsidR="00475650" w:rsidRDefault="00475650">
            <w:pPr>
              <w:jc w:val="center"/>
              <w:rPr>
                <w:szCs w:val="21"/>
              </w:rPr>
            </w:pPr>
            <w:r>
              <w:rPr>
                <w:rFonts w:hint="eastAsia"/>
                <w:szCs w:val="21"/>
              </w:rPr>
              <w:t>4.82</w:t>
            </w:r>
          </w:p>
        </w:tc>
        <w:tc>
          <w:tcPr>
            <w:tcW w:w="1416" w:type="dxa"/>
            <w:vMerge w:val="restart"/>
            <w:vAlign w:val="center"/>
          </w:tcPr>
          <w:p w:rsidR="00475650" w:rsidRDefault="00475650">
            <w:pPr>
              <w:jc w:val="center"/>
              <w:rPr>
                <w:szCs w:val="21"/>
              </w:rPr>
            </w:pPr>
            <w:r>
              <w:rPr>
                <w:rFonts w:hint="eastAsia"/>
                <w:szCs w:val="21"/>
              </w:rPr>
              <w:t>负压收集</w:t>
            </w:r>
            <w:r>
              <w:rPr>
                <w:rFonts w:hint="eastAsia"/>
                <w:szCs w:val="21"/>
              </w:rPr>
              <w:t>+</w:t>
            </w:r>
            <w:r>
              <w:rPr>
                <w:rFonts w:hint="eastAsia"/>
                <w:szCs w:val="21"/>
              </w:rPr>
              <w:t>碱液喷淋吸收</w:t>
            </w:r>
            <w:r>
              <w:rPr>
                <w:rFonts w:hint="eastAsia"/>
                <w:szCs w:val="21"/>
              </w:rPr>
              <w:t>+</w:t>
            </w:r>
            <w:r>
              <w:rPr>
                <w:rFonts w:hint="eastAsia"/>
                <w:szCs w:val="21"/>
              </w:rPr>
              <w:t>高点外排</w:t>
            </w:r>
          </w:p>
        </w:tc>
        <w:tc>
          <w:tcPr>
            <w:tcW w:w="992" w:type="dxa"/>
            <w:vAlign w:val="center"/>
          </w:tcPr>
          <w:p w:rsidR="00475650" w:rsidRDefault="00475650">
            <w:pPr>
              <w:jc w:val="center"/>
              <w:rPr>
                <w:szCs w:val="21"/>
              </w:rPr>
            </w:pPr>
            <w:r>
              <w:rPr>
                <w:rFonts w:hint="eastAsia"/>
                <w:szCs w:val="21"/>
              </w:rPr>
              <w:t>85.5%</w:t>
            </w:r>
          </w:p>
        </w:tc>
        <w:tc>
          <w:tcPr>
            <w:tcW w:w="850" w:type="dxa"/>
            <w:vMerge/>
            <w:vAlign w:val="center"/>
          </w:tcPr>
          <w:p w:rsidR="00475650" w:rsidRDefault="00475650">
            <w:pPr>
              <w:jc w:val="center"/>
              <w:rPr>
                <w:szCs w:val="21"/>
              </w:rPr>
            </w:pPr>
          </w:p>
        </w:tc>
        <w:tc>
          <w:tcPr>
            <w:tcW w:w="995" w:type="dxa"/>
            <w:vMerge/>
            <w:vAlign w:val="center"/>
          </w:tcPr>
          <w:p w:rsidR="00475650" w:rsidRDefault="00475650">
            <w:pPr>
              <w:jc w:val="center"/>
              <w:rPr>
                <w:szCs w:val="21"/>
              </w:rPr>
            </w:pPr>
          </w:p>
        </w:tc>
        <w:tc>
          <w:tcPr>
            <w:tcW w:w="1134" w:type="dxa"/>
            <w:vMerge/>
            <w:vAlign w:val="center"/>
          </w:tcPr>
          <w:p w:rsidR="00475650" w:rsidRDefault="00475650">
            <w:pPr>
              <w:jc w:val="center"/>
              <w:rPr>
                <w:szCs w:val="21"/>
              </w:rPr>
            </w:pPr>
          </w:p>
        </w:tc>
        <w:tc>
          <w:tcPr>
            <w:tcW w:w="1134" w:type="dxa"/>
            <w:vMerge/>
            <w:vAlign w:val="center"/>
          </w:tcPr>
          <w:p w:rsidR="00475650" w:rsidRDefault="00475650">
            <w:pPr>
              <w:jc w:val="center"/>
              <w:rPr>
                <w:szCs w:val="21"/>
              </w:rPr>
            </w:pPr>
          </w:p>
        </w:tc>
        <w:tc>
          <w:tcPr>
            <w:tcW w:w="569" w:type="dxa"/>
            <w:vMerge/>
            <w:vAlign w:val="center"/>
          </w:tcPr>
          <w:p w:rsidR="00475650" w:rsidRDefault="00475650">
            <w:pPr>
              <w:jc w:val="center"/>
              <w:rPr>
                <w:rFonts w:hAnsi="宋体"/>
                <w:szCs w:val="21"/>
              </w:rPr>
            </w:pPr>
          </w:p>
        </w:tc>
        <w:tc>
          <w:tcPr>
            <w:tcW w:w="708" w:type="dxa"/>
            <w:vMerge/>
            <w:vAlign w:val="center"/>
          </w:tcPr>
          <w:p w:rsidR="00475650" w:rsidRDefault="00475650">
            <w:pPr>
              <w:jc w:val="center"/>
              <w:rPr>
                <w:rFonts w:hAnsi="宋体"/>
                <w:szCs w:val="21"/>
              </w:rPr>
            </w:pPr>
          </w:p>
        </w:tc>
        <w:tc>
          <w:tcPr>
            <w:tcW w:w="641" w:type="dxa"/>
            <w:vMerge/>
            <w:vAlign w:val="center"/>
          </w:tcPr>
          <w:p w:rsidR="00475650" w:rsidRDefault="00475650">
            <w:pPr>
              <w:jc w:val="center"/>
              <w:rPr>
                <w:rFonts w:hAnsi="宋体"/>
                <w:szCs w:val="21"/>
              </w:rPr>
            </w:pPr>
          </w:p>
        </w:tc>
      </w:tr>
      <w:tr w:rsidR="00475650">
        <w:trPr>
          <w:trHeight w:val="210"/>
          <w:jc w:val="center"/>
        </w:trPr>
        <w:tc>
          <w:tcPr>
            <w:tcW w:w="644" w:type="dxa"/>
            <w:vMerge/>
            <w:vAlign w:val="center"/>
          </w:tcPr>
          <w:p w:rsidR="00475650" w:rsidRDefault="00475650">
            <w:pPr>
              <w:jc w:val="center"/>
              <w:rPr>
                <w:szCs w:val="21"/>
              </w:rPr>
            </w:pPr>
          </w:p>
        </w:tc>
        <w:tc>
          <w:tcPr>
            <w:tcW w:w="1310" w:type="dxa"/>
            <w:vMerge/>
            <w:vAlign w:val="center"/>
          </w:tcPr>
          <w:p w:rsidR="00475650" w:rsidRDefault="00475650">
            <w:pPr>
              <w:jc w:val="center"/>
              <w:rPr>
                <w:szCs w:val="21"/>
              </w:rPr>
            </w:pPr>
          </w:p>
        </w:tc>
        <w:tc>
          <w:tcPr>
            <w:tcW w:w="1274" w:type="dxa"/>
            <w:vMerge/>
            <w:vAlign w:val="center"/>
          </w:tcPr>
          <w:p w:rsidR="00475650" w:rsidRDefault="00475650">
            <w:pPr>
              <w:jc w:val="center"/>
              <w:rPr>
                <w:szCs w:val="21"/>
              </w:rPr>
            </w:pPr>
          </w:p>
        </w:tc>
        <w:tc>
          <w:tcPr>
            <w:tcW w:w="1134" w:type="dxa"/>
            <w:vAlign w:val="center"/>
          </w:tcPr>
          <w:p w:rsidR="00475650" w:rsidRDefault="00475650">
            <w:pPr>
              <w:jc w:val="center"/>
              <w:rPr>
                <w:szCs w:val="21"/>
              </w:rPr>
            </w:pPr>
            <w:r>
              <w:rPr>
                <w:rFonts w:hint="eastAsia"/>
                <w:szCs w:val="21"/>
              </w:rPr>
              <w:t>二氧化碳</w:t>
            </w:r>
          </w:p>
        </w:tc>
        <w:tc>
          <w:tcPr>
            <w:tcW w:w="1134" w:type="dxa"/>
            <w:vAlign w:val="center"/>
          </w:tcPr>
          <w:p w:rsidR="00475650" w:rsidRDefault="00475650">
            <w:pPr>
              <w:jc w:val="center"/>
              <w:rPr>
                <w:szCs w:val="21"/>
              </w:rPr>
            </w:pPr>
            <w:r>
              <w:rPr>
                <w:rFonts w:hint="eastAsia"/>
                <w:szCs w:val="21"/>
              </w:rPr>
              <w:t>17.03</w:t>
            </w:r>
          </w:p>
        </w:tc>
        <w:tc>
          <w:tcPr>
            <w:tcW w:w="1416" w:type="dxa"/>
            <w:vMerge/>
            <w:vAlign w:val="center"/>
          </w:tcPr>
          <w:p w:rsidR="00475650" w:rsidRDefault="00475650">
            <w:pPr>
              <w:jc w:val="center"/>
              <w:rPr>
                <w:szCs w:val="21"/>
              </w:rPr>
            </w:pPr>
          </w:p>
        </w:tc>
        <w:tc>
          <w:tcPr>
            <w:tcW w:w="992" w:type="dxa"/>
            <w:vAlign w:val="center"/>
          </w:tcPr>
          <w:p w:rsidR="00475650" w:rsidRDefault="00475650">
            <w:pPr>
              <w:jc w:val="center"/>
              <w:rPr>
                <w:szCs w:val="21"/>
              </w:rPr>
            </w:pPr>
            <w:r>
              <w:rPr>
                <w:rFonts w:hint="eastAsia"/>
                <w:szCs w:val="21"/>
              </w:rPr>
              <w:t>/</w:t>
            </w:r>
          </w:p>
        </w:tc>
        <w:tc>
          <w:tcPr>
            <w:tcW w:w="850" w:type="dxa"/>
            <w:vMerge/>
            <w:vAlign w:val="center"/>
          </w:tcPr>
          <w:p w:rsidR="00475650" w:rsidRDefault="00475650">
            <w:pPr>
              <w:jc w:val="center"/>
              <w:rPr>
                <w:szCs w:val="21"/>
              </w:rPr>
            </w:pPr>
          </w:p>
        </w:tc>
        <w:tc>
          <w:tcPr>
            <w:tcW w:w="995" w:type="dxa"/>
            <w:vMerge/>
            <w:vAlign w:val="center"/>
          </w:tcPr>
          <w:p w:rsidR="00475650" w:rsidRDefault="00475650">
            <w:pPr>
              <w:jc w:val="center"/>
              <w:rPr>
                <w:szCs w:val="21"/>
              </w:rPr>
            </w:pPr>
          </w:p>
        </w:tc>
        <w:tc>
          <w:tcPr>
            <w:tcW w:w="1134" w:type="dxa"/>
            <w:vMerge/>
            <w:vAlign w:val="center"/>
          </w:tcPr>
          <w:p w:rsidR="00475650" w:rsidRDefault="00475650">
            <w:pPr>
              <w:jc w:val="center"/>
              <w:rPr>
                <w:szCs w:val="21"/>
              </w:rPr>
            </w:pPr>
          </w:p>
        </w:tc>
        <w:tc>
          <w:tcPr>
            <w:tcW w:w="1134" w:type="dxa"/>
            <w:vMerge/>
            <w:vAlign w:val="center"/>
          </w:tcPr>
          <w:p w:rsidR="00475650" w:rsidRDefault="00475650">
            <w:pPr>
              <w:jc w:val="center"/>
              <w:rPr>
                <w:szCs w:val="21"/>
              </w:rPr>
            </w:pPr>
          </w:p>
        </w:tc>
        <w:tc>
          <w:tcPr>
            <w:tcW w:w="569" w:type="dxa"/>
            <w:vMerge/>
            <w:vAlign w:val="center"/>
          </w:tcPr>
          <w:p w:rsidR="00475650" w:rsidRDefault="00475650">
            <w:pPr>
              <w:jc w:val="center"/>
              <w:rPr>
                <w:rFonts w:hAnsi="宋体"/>
                <w:szCs w:val="21"/>
              </w:rPr>
            </w:pPr>
          </w:p>
        </w:tc>
        <w:tc>
          <w:tcPr>
            <w:tcW w:w="708" w:type="dxa"/>
            <w:vMerge/>
            <w:vAlign w:val="center"/>
          </w:tcPr>
          <w:p w:rsidR="00475650" w:rsidRDefault="00475650">
            <w:pPr>
              <w:jc w:val="center"/>
              <w:rPr>
                <w:rFonts w:hAnsi="宋体"/>
                <w:szCs w:val="21"/>
              </w:rPr>
            </w:pPr>
          </w:p>
        </w:tc>
        <w:tc>
          <w:tcPr>
            <w:tcW w:w="641" w:type="dxa"/>
            <w:vMerge/>
            <w:vAlign w:val="center"/>
          </w:tcPr>
          <w:p w:rsidR="00475650" w:rsidRDefault="00475650">
            <w:pPr>
              <w:jc w:val="center"/>
              <w:rPr>
                <w:rFonts w:hAnsi="宋体"/>
                <w:szCs w:val="21"/>
              </w:rPr>
            </w:pPr>
          </w:p>
        </w:tc>
      </w:tr>
      <w:tr w:rsidR="00475650">
        <w:trPr>
          <w:trHeight w:val="210"/>
          <w:jc w:val="center"/>
        </w:trPr>
        <w:tc>
          <w:tcPr>
            <w:tcW w:w="644" w:type="dxa"/>
            <w:vMerge/>
            <w:vAlign w:val="center"/>
          </w:tcPr>
          <w:p w:rsidR="00475650" w:rsidRDefault="00475650">
            <w:pPr>
              <w:jc w:val="center"/>
              <w:rPr>
                <w:szCs w:val="21"/>
              </w:rPr>
            </w:pPr>
          </w:p>
        </w:tc>
        <w:tc>
          <w:tcPr>
            <w:tcW w:w="1310" w:type="dxa"/>
            <w:vMerge/>
            <w:vAlign w:val="center"/>
          </w:tcPr>
          <w:p w:rsidR="00475650" w:rsidRDefault="00475650">
            <w:pPr>
              <w:jc w:val="center"/>
              <w:rPr>
                <w:szCs w:val="21"/>
              </w:rPr>
            </w:pPr>
          </w:p>
        </w:tc>
        <w:tc>
          <w:tcPr>
            <w:tcW w:w="1274" w:type="dxa"/>
            <w:vMerge/>
            <w:vAlign w:val="center"/>
          </w:tcPr>
          <w:p w:rsidR="00475650" w:rsidRDefault="00475650">
            <w:pPr>
              <w:jc w:val="center"/>
              <w:rPr>
                <w:szCs w:val="21"/>
              </w:rPr>
            </w:pPr>
          </w:p>
        </w:tc>
        <w:tc>
          <w:tcPr>
            <w:tcW w:w="1134" w:type="dxa"/>
            <w:vAlign w:val="center"/>
          </w:tcPr>
          <w:p w:rsidR="00475650" w:rsidRDefault="00475650">
            <w:pPr>
              <w:jc w:val="center"/>
              <w:rPr>
                <w:szCs w:val="21"/>
              </w:rPr>
            </w:pPr>
            <w:r>
              <w:rPr>
                <w:rFonts w:hint="eastAsia"/>
                <w:szCs w:val="21"/>
              </w:rPr>
              <w:t>氨气</w:t>
            </w:r>
          </w:p>
        </w:tc>
        <w:tc>
          <w:tcPr>
            <w:tcW w:w="1134" w:type="dxa"/>
            <w:vAlign w:val="center"/>
          </w:tcPr>
          <w:p w:rsidR="00475650" w:rsidRDefault="00475650">
            <w:pPr>
              <w:jc w:val="center"/>
              <w:rPr>
                <w:szCs w:val="21"/>
              </w:rPr>
            </w:pPr>
            <w:r>
              <w:rPr>
                <w:rFonts w:hint="eastAsia"/>
                <w:szCs w:val="21"/>
              </w:rPr>
              <w:t>0.12</w:t>
            </w:r>
          </w:p>
        </w:tc>
        <w:tc>
          <w:tcPr>
            <w:tcW w:w="1416" w:type="dxa"/>
            <w:vMerge/>
            <w:vAlign w:val="center"/>
          </w:tcPr>
          <w:p w:rsidR="00475650" w:rsidRDefault="00475650">
            <w:pPr>
              <w:jc w:val="center"/>
              <w:rPr>
                <w:szCs w:val="21"/>
              </w:rPr>
            </w:pPr>
          </w:p>
        </w:tc>
        <w:tc>
          <w:tcPr>
            <w:tcW w:w="992" w:type="dxa"/>
            <w:vAlign w:val="center"/>
          </w:tcPr>
          <w:p w:rsidR="00475650" w:rsidRDefault="00475650">
            <w:pPr>
              <w:jc w:val="center"/>
              <w:rPr>
                <w:szCs w:val="21"/>
              </w:rPr>
            </w:pPr>
            <w:r>
              <w:rPr>
                <w:rFonts w:hint="eastAsia"/>
                <w:szCs w:val="21"/>
              </w:rPr>
              <w:t>/</w:t>
            </w:r>
          </w:p>
        </w:tc>
        <w:tc>
          <w:tcPr>
            <w:tcW w:w="850" w:type="dxa"/>
            <w:vMerge/>
            <w:vAlign w:val="center"/>
          </w:tcPr>
          <w:p w:rsidR="00475650" w:rsidRDefault="00475650">
            <w:pPr>
              <w:jc w:val="center"/>
              <w:rPr>
                <w:szCs w:val="21"/>
              </w:rPr>
            </w:pPr>
          </w:p>
        </w:tc>
        <w:tc>
          <w:tcPr>
            <w:tcW w:w="995" w:type="dxa"/>
            <w:vMerge/>
            <w:vAlign w:val="center"/>
          </w:tcPr>
          <w:p w:rsidR="00475650" w:rsidRDefault="00475650">
            <w:pPr>
              <w:jc w:val="center"/>
              <w:rPr>
                <w:szCs w:val="21"/>
              </w:rPr>
            </w:pPr>
          </w:p>
        </w:tc>
        <w:tc>
          <w:tcPr>
            <w:tcW w:w="1134" w:type="dxa"/>
            <w:vMerge/>
            <w:vAlign w:val="center"/>
          </w:tcPr>
          <w:p w:rsidR="00475650" w:rsidRDefault="00475650">
            <w:pPr>
              <w:jc w:val="center"/>
              <w:rPr>
                <w:szCs w:val="21"/>
              </w:rPr>
            </w:pPr>
          </w:p>
        </w:tc>
        <w:tc>
          <w:tcPr>
            <w:tcW w:w="1134" w:type="dxa"/>
            <w:vMerge/>
            <w:vAlign w:val="center"/>
          </w:tcPr>
          <w:p w:rsidR="00475650" w:rsidRDefault="00475650">
            <w:pPr>
              <w:jc w:val="center"/>
              <w:rPr>
                <w:szCs w:val="21"/>
              </w:rPr>
            </w:pPr>
          </w:p>
        </w:tc>
        <w:tc>
          <w:tcPr>
            <w:tcW w:w="569" w:type="dxa"/>
            <w:vMerge/>
            <w:vAlign w:val="center"/>
          </w:tcPr>
          <w:p w:rsidR="00475650" w:rsidRDefault="00475650">
            <w:pPr>
              <w:jc w:val="center"/>
              <w:rPr>
                <w:rFonts w:hAnsi="宋体"/>
                <w:szCs w:val="21"/>
              </w:rPr>
            </w:pPr>
          </w:p>
        </w:tc>
        <w:tc>
          <w:tcPr>
            <w:tcW w:w="708" w:type="dxa"/>
            <w:vMerge/>
            <w:vAlign w:val="center"/>
          </w:tcPr>
          <w:p w:rsidR="00475650" w:rsidRDefault="00475650">
            <w:pPr>
              <w:jc w:val="center"/>
              <w:rPr>
                <w:rFonts w:hAnsi="宋体"/>
                <w:szCs w:val="21"/>
              </w:rPr>
            </w:pPr>
          </w:p>
        </w:tc>
        <w:tc>
          <w:tcPr>
            <w:tcW w:w="641" w:type="dxa"/>
            <w:vMerge/>
            <w:vAlign w:val="center"/>
          </w:tcPr>
          <w:p w:rsidR="00475650" w:rsidRDefault="00475650">
            <w:pPr>
              <w:jc w:val="center"/>
              <w:rPr>
                <w:rFonts w:hAnsi="宋体"/>
                <w:szCs w:val="21"/>
              </w:rPr>
            </w:pPr>
          </w:p>
        </w:tc>
      </w:tr>
      <w:tr w:rsidR="00475650">
        <w:trPr>
          <w:trHeight w:val="210"/>
          <w:jc w:val="center"/>
        </w:trPr>
        <w:tc>
          <w:tcPr>
            <w:tcW w:w="644" w:type="dxa"/>
            <w:vMerge/>
            <w:vAlign w:val="center"/>
          </w:tcPr>
          <w:p w:rsidR="00475650" w:rsidRDefault="00475650">
            <w:pPr>
              <w:jc w:val="center"/>
              <w:rPr>
                <w:szCs w:val="21"/>
              </w:rPr>
            </w:pPr>
          </w:p>
        </w:tc>
        <w:tc>
          <w:tcPr>
            <w:tcW w:w="1310" w:type="dxa"/>
            <w:vMerge/>
            <w:vAlign w:val="center"/>
          </w:tcPr>
          <w:p w:rsidR="00475650" w:rsidRDefault="00475650">
            <w:pPr>
              <w:jc w:val="center"/>
              <w:rPr>
                <w:szCs w:val="21"/>
              </w:rPr>
            </w:pPr>
          </w:p>
        </w:tc>
        <w:tc>
          <w:tcPr>
            <w:tcW w:w="1274" w:type="dxa"/>
            <w:vMerge/>
            <w:vAlign w:val="center"/>
          </w:tcPr>
          <w:p w:rsidR="00475650" w:rsidRDefault="00475650">
            <w:pPr>
              <w:jc w:val="center"/>
              <w:rPr>
                <w:szCs w:val="21"/>
              </w:rPr>
            </w:pPr>
          </w:p>
        </w:tc>
        <w:tc>
          <w:tcPr>
            <w:tcW w:w="1134" w:type="dxa"/>
            <w:vAlign w:val="center"/>
          </w:tcPr>
          <w:p w:rsidR="00475650" w:rsidRDefault="00475650">
            <w:pPr>
              <w:jc w:val="center"/>
              <w:rPr>
                <w:szCs w:val="21"/>
              </w:rPr>
            </w:pPr>
            <w:r>
              <w:rPr>
                <w:rFonts w:hint="eastAsia"/>
                <w:szCs w:val="21"/>
              </w:rPr>
              <w:t>氮气</w:t>
            </w:r>
          </w:p>
        </w:tc>
        <w:tc>
          <w:tcPr>
            <w:tcW w:w="1134" w:type="dxa"/>
            <w:vAlign w:val="center"/>
          </w:tcPr>
          <w:p w:rsidR="00475650" w:rsidRDefault="00475650">
            <w:pPr>
              <w:jc w:val="center"/>
              <w:rPr>
                <w:szCs w:val="21"/>
              </w:rPr>
            </w:pPr>
            <w:r>
              <w:rPr>
                <w:rFonts w:hint="eastAsia"/>
                <w:szCs w:val="21"/>
              </w:rPr>
              <w:t>20.65</w:t>
            </w:r>
          </w:p>
        </w:tc>
        <w:tc>
          <w:tcPr>
            <w:tcW w:w="1416" w:type="dxa"/>
            <w:vMerge/>
            <w:vAlign w:val="center"/>
          </w:tcPr>
          <w:p w:rsidR="00475650" w:rsidRDefault="00475650">
            <w:pPr>
              <w:jc w:val="center"/>
              <w:rPr>
                <w:szCs w:val="21"/>
              </w:rPr>
            </w:pPr>
          </w:p>
        </w:tc>
        <w:tc>
          <w:tcPr>
            <w:tcW w:w="992" w:type="dxa"/>
            <w:vAlign w:val="center"/>
          </w:tcPr>
          <w:p w:rsidR="00475650" w:rsidRDefault="00475650">
            <w:pPr>
              <w:jc w:val="center"/>
              <w:rPr>
                <w:szCs w:val="21"/>
              </w:rPr>
            </w:pPr>
            <w:r>
              <w:rPr>
                <w:rFonts w:hint="eastAsia"/>
                <w:szCs w:val="21"/>
              </w:rPr>
              <w:t>/</w:t>
            </w:r>
          </w:p>
        </w:tc>
        <w:tc>
          <w:tcPr>
            <w:tcW w:w="850" w:type="dxa"/>
            <w:vMerge/>
            <w:vAlign w:val="center"/>
          </w:tcPr>
          <w:p w:rsidR="00475650" w:rsidRDefault="00475650">
            <w:pPr>
              <w:jc w:val="center"/>
              <w:rPr>
                <w:szCs w:val="21"/>
              </w:rPr>
            </w:pPr>
          </w:p>
        </w:tc>
        <w:tc>
          <w:tcPr>
            <w:tcW w:w="995" w:type="dxa"/>
            <w:vMerge w:val="restart"/>
            <w:vAlign w:val="center"/>
          </w:tcPr>
          <w:p w:rsidR="00475650" w:rsidRDefault="00475650">
            <w:pPr>
              <w:jc w:val="center"/>
              <w:rPr>
                <w:szCs w:val="21"/>
              </w:rPr>
            </w:pPr>
            <w:r>
              <w:rPr>
                <w:rFonts w:hint="eastAsia"/>
                <w:szCs w:val="21"/>
              </w:rPr>
              <w:t>氨气</w:t>
            </w:r>
          </w:p>
        </w:tc>
        <w:tc>
          <w:tcPr>
            <w:tcW w:w="1134" w:type="dxa"/>
            <w:vMerge w:val="restart"/>
            <w:vAlign w:val="center"/>
          </w:tcPr>
          <w:p w:rsidR="00475650" w:rsidRDefault="00475650">
            <w:pPr>
              <w:jc w:val="center"/>
              <w:rPr>
                <w:szCs w:val="21"/>
              </w:rPr>
            </w:pPr>
            <w:r>
              <w:rPr>
                <w:rFonts w:hint="eastAsia"/>
                <w:szCs w:val="21"/>
              </w:rPr>
              <w:t>0.256</w:t>
            </w:r>
          </w:p>
          <w:p w:rsidR="00475650" w:rsidRDefault="00475650">
            <w:pPr>
              <w:jc w:val="center"/>
              <w:rPr>
                <w:szCs w:val="21"/>
              </w:rPr>
            </w:pPr>
            <w:r>
              <w:rPr>
                <w:rFonts w:hint="eastAsia"/>
                <w:szCs w:val="21"/>
              </w:rPr>
              <w:t>（</w:t>
            </w:r>
            <w:r>
              <w:rPr>
                <w:rFonts w:hint="eastAsia"/>
                <w:szCs w:val="21"/>
              </w:rPr>
              <w:t>0.036</w:t>
            </w:r>
            <w:r>
              <w:rPr>
                <w:rFonts w:hint="eastAsia"/>
                <w:szCs w:val="21"/>
              </w:rPr>
              <w:t>）</w:t>
            </w:r>
          </w:p>
        </w:tc>
        <w:tc>
          <w:tcPr>
            <w:tcW w:w="1134" w:type="dxa"/>
            <w:vMerge w:val="restart"/>
            <w:vAlign w:val="center"/>
          </w:tcPr>
          <w:p w:rsidR="00475650" w:rsidRDefault="00475650">
            <w:pPr>
              <w:jc w:val="center"/>
              <w:rPr>
                <w:szCs w:val="21"/>
              </w:rPr>
            </w:pPr>
            <w:r>
              <w:rPr>
                <w:rFonts w:hint="eastAsia"/>
                <w:szCs w:val="21"/>
              </w:rPr>
              <w:t>2.4</w:t>
            </w:r>
          </w:p>
        </w:tc>
        <w:tc>
          <w:tcPr>
            <w:tcW w:w="569" w:type="dxa"/>
            <w:vMerge/>
            <w:vAlign w:val="center"/>
          </w:tcPr>
          <w:p w:rsidR="00475650" w:rsidRDefault="00475650">
            <w:pPr>
              <w:jc w:val="center"/>
              <w:rPr>
                <w:rFonts w:hAnsi="宋体"/>
                <w:szCs w:val="21"/>
              </w:rPr>
            </w:pPr>
          </w:p>
        </w:tc>
        <w:tc>
          <w:tcPr>
            <w:tcW w:w="708" w:type="dxa"/>
            <w:vMerge/>
            <w:vAlign w:val="center"/>
          </w:tcPr>
          <w:p w:rsidR="00475650" w:rsidRDefault="00475650">
            <w:pPr>
              <w:jc w:val="center"/>
              <w:rPr>
                <w:rFonts w:hAnsi="宋体"/>
                <w:szCs w:val="21"/>
              </w:rPr>
            </w:pPr>
          </w:p>
        </w:tc>
        <w:tc>
          <w:tcPr>
            <w:tcW w:w="641" w:type="dxa"/>
            <w:vMerge/>
            <w:vAlign w:val="center"/>
          </w:tcPr>
          <w:p w:rsidR="00475650" w:rsidRDefault="00475650">
            <w:pPr>
              <w:jc w:val="center"/>
              <w:rPr>
                <w:rFonts w:hAnsi="宋体"/>
                <w:szCs w:val="21"/>
              </w:rPr>
            </w:pPr>
          </w:p>
        </w:tc>
      </w:tr>
      <w:tr w:rsidR="00475650">
        <w:trPr>
          <w:trHeight w:val="210"/>
          <w:jc w:val="center"/>
        </w:trPr>
        <w:tc>
          <w:tcPr>
            <w:tcW w:w="644" w:type="dxa"/>
            <w:vMerge/>
            <w:vAlign w:val="center"/>
          </w:tcPr>
          <w:p w:rsidR="00475650" w:rsidRDefault="00475650">
            <w:pPr>
              <w:jc w:val="center"/>
              <w:rPr>
                <w:szCs w:val="21"/>
              </w:rPr>
            </w:pPr>
          </w:p>
        </w:tc>
        <w:tc>
          <w:tcPr>
            <w:tcW w:w="1310" w:type="dxa"/>
            <w:vMerge/>
            <w:vAlign w:val="center"/>
          </w:tcPr>
          <w:p w:rsidR="00475650" w:rsidRDefault="00475650">
            <w:pPr>
              <w:jc w:val="center"/>
              <w:rPr>
                <w:szCs w:val="21"/>
              </w:rPr>
            </w:pPr>
          </w:p>
        </w:tc>
        <w:tc>
          <w:tcPr>
            <w:tcW w:w="1274" w:type="dxa"/>
            <w:vMerge w:val="restart"/>
            <w:vAlign w:val="center"/>
          </w:tcPr>
          <w:p w:rsidR="00475650" w:rsidRDefault="00475650">
            <w:pPr>
              <w:jc w:val="center"/>
              <w:rPr>
                <w:szCs w:val="21"/>
              </w:rPr>
            </w:pPr>
            <w:r>
              <w:rPr>
                <w:rFonts w:hint="eastAsia"/>
                <w:szCs w:val="21"/>
              </w:rPr>
              <w:t>偶合反应</w:t>
            </w:r>
          </w:p>
        </w:tc>
        <w:tc>
          <w:tcPr>
            <w:tcW w:w="1134" w:type="dxa"/>
            <w:vAlign w:val="center"/>
          </w:tcPr>
          <w:p w:rsidR="00475650" w:rsidRDefault="00475650">
            <w:pPr>
              <w:jc w:val="center"/>
              <w:rPr>
                <w:szCs w:val="21"/>
              </w:rPr>
            </w:pPr>
            <w:r>
              <w:rPr>
                <w:rFonts w:hint="eastAsia"/>
                <w:szCs w:val="21"/>
              </w:rPr>
              <w:t>氯化氢</w:t>
            </w:r>
          </w:p>
        </w:tc>
        <w:tc>
          <w:tcPr>
            <w:tcW w:w="1134" w:type="dxa"/>
            <w:vAlign w:val="center"/>
          </w:tcPr>
          <w:p w:rsidR="00475650" w:rsidRDefault="00475650">
            <w:pPr>
              <w:jc w:val="center"/>
              <w:rPr>
                <w:szCs w:val="21"/>
              </w:rPr>
            </w:pPr>
            <w:r>
              <w:rPr>
                <w:rFonts w:hint="eastAsia"/>
                <w:szCs w:val="21"/>
              </w:rPr>
              <w:t>0.13</w:t>
            </w:r>
          </w:p>
        </w:tc>
        <w:tc>
          <w:tcPr>
            <w:tcW w:w="1416" w:type="dxa"/>
            <w:vMerge/>
            <w:vAlign w:val="center"/>
          </w:tcPr>
          <w:p w:rsidR="00475650" w:rsidRDefault="00475650">
            <w:pPr>
              <w:jc w:val="center"/>
              <w:rPr>
                <w:szCs w:val="21"/>
              </w:rPr>
            </w:pPr>
          </w:p>
        </w:tc>
        <w:tc>
          <w:tcPr>
            <w:tcW w:w="992" w:type="dxa"/>
            <w:vAlign w:val="center"/>
          </w:tcPr>
          <w:p w:rsidR="00475650" w:rsidRDefault="00475650">
            <w:pPr>
              <w:jc w:val="center"/>
              <w:rPr>
                <w:szCs w:val="21"/>
              </w:rPr>
            </w:pPr>
            <w:r>
              <w:rPr>
                <w:rFonts w:hint="eastAsia"/>
                <w:szCs w:val="21"/>
              </w:rPr>
              <w:t>85.5%</w:t>
            </w:r>
          </w:p>
        </w:tc>
        <w:tc>
          <w:tcPr>
            <w:tcW w:w="850" w:type="dxa"/>
            <w:vMerge/>
            <w:vAlign w:val="center"/>
          </w:tcPr>
          <w:p w:rsidR="00475650" w:rsidRDefault="00475650">
            <w:pPr>
              <w:jc w:val="center"/>
              <w:rPr>
                <w:szCs w:val="21"/>
              </w:rPr>
            </w:pPr>
          </w:p>
        </w:tc>
        <w:tc>
          <w:tcPr>
            <w:tcW w:w="995" w:type="dxa"/>
            <w:vMerge/>
            <w:vAlign w:val="center"/>
          </w:tcPr>
          <w:p w:rsidR="00475650" w:rsidRDefault="00475650">
            <w:pPr>
              <w:jc w:val="center"/>
              <w:rPr>
                <w:szCs w:val="21"/>
              </w:rPr>
            </w:pPr>
          </w:p>
        </w:tc>
        <w:tc>
          <w:tcPr>
            <w:tcW w:w="1134" w:type="dxa"/>
            <w:vMerge/>
            <w:vAlign w:val="center"/>
          </w:tcPr>
          <w:p w:rsidR="00475650" w:rsidRDefault="00475650">
            <w:pPr>
              <w:jc w:val="center"/>
              <w:rPr>
                <w:szCs w:val="21"/>
              </w:rPr>
            </w:pPr>
          </w:p>
        </w:tc>
        <w:tc>
          <w:tcPr>
            <w:tcW w:w="1134" w:type="dxa"/>
            <w:vMerge/>
            <w:vAlign w:val="center"/>
          </w:tcPr>
          <w:p w:rsidR="00475650" w:rsidRDefault="00475650">
            <w:pPr>
              <w:jc w:val="center"/>
              <w:rPr>
                <w:szCs w:val="21"/>
              </w:rPr>
            </w:pPr>
          </w:p>
        </w:tc>
        <w:tc>
          <w:tcPr>
            <w:tcW w:w="569" w:type="dxa"/>
            <w:vMerge/>
            <w:vAlign w:val="center"/>
          </w:tcPr>
          <w:p w:rsidR="00475650" w:rsidRDefault="00475650">
            <w:pPr>
              <w:jc w:val="center"/>
              <w:rPr>
                <w:rFonts w:hAnsi="宋体"/>
                <w:szCs w:val="21"/>
              </w:rPr>
            </w:pPr>
          </w:p>
        </w:tc>
        <w:tc>
          <w:tcPr>
            <w:tcW w:w="708" w:type="dxa"/>
            <w:vMerge/>
            <w:vAlign w:val="center"/>
          </w:tcPr>
          <w:p w:rsidR="00475650" w:rsidRDefault="00475650">
            <w:pPr>
              <w:jc w:val="center"/>
              <w:rPr>
                <w:rFonts w:hAnsi="宋体"/>
                <w:szCs w:val="21"/>
              </w:rPr>
            </w:pPr>
          </w:p>
        </w:tc>
        <w:tc>
          <w:tcPr>
            <w:tcW w:w="641" w:type="dxa"/>
            <w:vMerge/>
            <w:vAlign w:val="center"/>
          </w:tcPr>
          <w:p w:rsidR="00475650" w:rsidRDefault="00475650">
            <w:pPr>
              <w:jc w:val="center"/>
              <w:rPr>
                <w:rFonts w:hAnsi="宋体"/>
                <w:szCs w:val="21"/>
              </w:rPr>
            </w:pPr>
          </w:p>
        </w:tc>
      </w:tr>
      <w:tr w:rsidR="00475650">
        <w:trPr>
          <w:trHeight w:val="210"/>
          <w:jc w:val="center"/>
        </w:trPr>
        <w:tc>
          <w:tcPr>
            <w:tcW w:w="644" w:type="dxa"/>
            <w:vMerge/>
            <w:vAlign w:val="center"/>
          </w:tcPr>
          <w:p w:rsidR="00475650" w:rsidRDefault="00475650">
            <w:pPr>
              <w:jc w:val="center"/>
              <w:rPr>
                <w:szCs w:val="21"/>
              </w:rPr>
            </w:pPr>
          </w:p>
        </w:tc>
        <w:tc>
          <w:tcPr>
            <w:tcW w:w="1310" w:type="dxa"/>
            <w:vMerge/>
            <w:vAlign w:val="center"/>
          </w:tcPr>
          <w:p w:rsidR="00475650" w:rsidRDefault="00475650">
            <w:pPr>
              <w:jc w:val="center"/>
              <w:rPr>
                <w:szCs w:val="21"/>
              </w:rPr>
            </w:pPr>
          </w:p>
        </w:tc>
        <w:tc>
          <w:tcPr>
            <w:tcW w:w="1274" w:type="dxa"/>
            <w:vMerge/>
            <w:vAlign w:val="center"/>
          </w:tcPr>
          <w:p w:rsidR="00475650" w:rsidRDefault="00475650">
            <w:pPr>
              <w:jc w:val="center"/>
              <w:rPr>
                <w:szCs w:val="21"/>
              </w:rPr>
            </w:pPr>
          </w:p>
        </w:tc>
        <w:tc>
          <w:tcPr>
            <w:tcW w:w="1134" w:type="dxa"/>
            <w:vAlign w:val="center"/>
          </w:tcPr>
          <w:p w:rsidR="00475650" w:rsidRDefault="00475650">
            <w:pPr>
              <w:jc w:val="center"/>
              <w:rPr>
                <w:szCs w:val="21"/>
              </w:rPr>
            </w:pPr>
            <w:r>
              <w:rPr>
                <w:rFonts w:hint="eastAsia"/>
                <w:szCs w:val="21"/>
              </w:rPr>
              <w:t>二氧化碳</w:t>
            </w:r>
          </w:p>
        </w:tc>
        <w:tc>
          <w:tcPr>
            <w:tcW w:w="1134" w:type="dxa"/>
            <w:vAlign w:val="center"/>
          </w:tcPr>
          <w:p w:rsidR="00475650" w:rsidRDefault="00475650">
            <w:pPr>
              <w:jc w:val="center"/>
              <w:rPr>
                <w:szCs w:val="21"/>
              </w:rPr>
            </w:pPr>
            <w:r>
              <w:rPr>
                <w:rFonts w:hint="eastAsia"/>
                <w:szCs w:val="21"/>
              </w:rPr>
              <w:t>162.07</w:t>
            </w:r>
          </w:p>
        </w:tc>
        <w:tc>
          <w:tcPr>
            <w:tcW w:w="1416" w:type="dxa"/>
            <w:vMerge/>
            <w:vAlign w:val="center"/>
          </w:tcPr>
          <w:p w:rsidR="00475650" w:rsidRDefault="00475650">
            <w:pPr>
              <w:jc w:val="center"/>
              <w:rPr>
                <w:szCs w:val="21"/>
              </w:rPr>
            </w:pPr>
          </w:p>
        </w:tc>
        <w:tc>
          <w:tcPr>
            <w:tcW w:w="992" w:type="dxa"/>
            <w:vAlign w:val="center"/>
          </w:tcPr>
          <w:p w:rsidR="00475650" w:rsidRDefault="00475650">
            <w:pPr>
              <w:jc w:val="center"/>
              <w:rPr>
                <w:szCs w:val="21"/>
              </w:rPr>
            </w:pPr>
            <w:r>
              <w:rPr>
                <w:rFonts w:hint="eastAsia"/>
                <w:szCs w:val="21"/>
              </w:rPr>
              <w:t>/</w:t>
            </w:r>
          </w:p>
        </w:tc>
        <w:tc>
          <w:tcPr>
            <w:tcW w:w="850" w:type="dxa"/>
            <w:vMerge/>
            <w:vAlign w:val="center"/>
          </w:tcPr>
          <w:p w:rsidR="00475650" w:rsidRDefault="00475650">
            <w:pPr>
              <w:jc w:val="center"/>
              <w:rPr>
                <w:szCs w:val="21"/>
              </w:rPr>
            </w:pPr>
          </w:p>
        </w:tc>
        <w:tc>
          <w:tcPr>
            <w:tcW w:w="995" w:type="dxa"/>
            <w:vMerge/>
            <w:vAlign w:val="center"/>
          </w:tcPr>
          <w:p w:rsidR="00475650" w:rsidRDefault="00475650">
            <w:pPr>
              <w:jc w:val="center"/>
              <w:rPr>
                <w:szCs w:val="21"/>
              </w:rPr>
            </w:pPr>
          </w:p>
        </w:tc>
        <w:tc>
          <w:tcPr>
            <w:tcW w:w="1134" w:type="dxa"/>
            <w:vMerge/>
            <w:vAlign w:val="center"/>
          </w:tcPr>
          <w:p w:rsidR="00475650" w:rsidRDefault="00475650">
            <w:pPr>
              <w:jc w:val="center"/>
              <w:rPr>
                <w:szCs w:val="21"/>
              </w:rPr>
            </w:pPr>
          </w:p>
        </w:tc>
        <w:tc>
          <w:tcPr>
            <w:tcW w:w="1134" w:type="dxa"/>
            <w:vMerge/>
            <w:vAlign w:val="center"/>
          </w:tcPr>
          <w:p w:rsidR="00475650" w:rsidRDefault="00475650">
            <w:pPr>
              <w:jc w:val="center"/>
              <w:rPr>
                <w:szCs w:val="21"/>
              </w:rPr>
            </w:pPr>
          </w:p>
        </w:tc>
        <w:tc>
          <w:tcPr>
            <w:tcW w:w="569" w:type="dxa"/>
            <w:vMerge/>
            <w:vAlign w:val="center"/>
          </w:tcPr>
          <w:p w:rsidR="00475650" w:rsidRDefault="00475650">
            <w:pPr>
              <w:jc w:val="center"/>
              <w:rPr>
                <w:rFonts w:hAnsi="宋体"/>
                <w:szCs w:val="21"/>
              </w:rPr>
            </w:pPr>
          </w:p>
        </w:tc>
        <w:tc>
          <w:tcPr>
            <w:tcW w:w="708" w:type="dxa"/>
            <w:vMerge/>
            <w:vAlign w:val="center"/>
          </w:tcPr>
          <w:p w:rsidR="00475650" w:rsidRDefault="00475650">
            <w:pPr>
              <w:jc w:val="center"/>
              <w:rPr>
                <w:rFonts w:hAnsi="宋体"/>
                <w:szCs w:val="21"/>
              </w:rPr>
            </w:pPr>
          </w:p>
        </w:tc>
        <w:tc>
          <w:tcPr>
            <w:tcW w:w="641" w:type="dxa"/>
            <w:vMerge/>
            <w:vAlign w:val="center"/>
          </w:tcPr>
          <w:p w:rsidR="00475650" w:rsidRDefault="00475650">
            <w:pPr>
              <w:jc w:val="center"/>
              <w:rPr>
                <w:rFonts w:hAnsi="宋体"/>
                <w:szCs w:val="21"/>
              </w:rPr>
            </w:pPr>
          </w:p>
        </w:tc>
      </w:tr>
      <w:tr w:rsidR="00475650">
        <w:trPr>
          <w:trHeight w:val="210"/>
          <w:jc w:val="center"/>
        </w:trPr>
        <w:tc>
          <w:tcPr>
            <w:tcW w:w="644" w:type="dxa"/>
            <w:vMerge/>
            <w:vAlign w:val="center"/>
          </w:tcPr>
          <w:p w:rsidR="00475650" w:rsidRDefault="00475650">
            <w:pPr>
              <w:jc w:val="center"/>
              <w:rPr>
                <w:szCs w:val="21"/>
              </w:rPr>
            </w:pPr>
          </w:p>
        </w:tc>
        <w:tc>
          <w:tcPr>
            <w:tcW w:w="1310" w:type="dxa"/>
            <w:vMerge w:val="restart"/>
            <w:vAlign w:val="center"/>
          </w:tcPr>
          <w:p w:rsidR="00475650" w:rsidRDefault="00475650">
            <w:pPr>
              <w:jc w:val="center"/>
              <w:rPr>
                <w:szCs w:val="21"/>
              </w:rPr>
            </w:pPr>
            <w:r>
              <w:rPr>
                <w:rFonts w:hint="eastAsia"/>
                <w:szCs w:val="21"/>
              </w:rPr>
              <w:t>烘干废气</w:t>
            </w:r>
          </w:p>
        </w:tc>
        <w:tc>
          <w:tcPr>
            <w:tcW w:w="1274" w:type="dxa"/>
            <w:vMerge w:val="restart"/>
            <w:vAlign w:val="center"/>
          </w:tcPr>
          <w:p w:rsidR="00475650" w:rsidRDefault="00475650">
            <w:pPr>
              <w:jc w:val="center"/>
              <w:rPr>
                <w:szCs w:val="21"/>
              </w:rPr>
            </w:pPr>
            <w:r>
              <w:rPr>
                <w:rFonts w:hint="eastAsia"/>
                <w:szCs w:val="21"/>
              </w:rPr>
              <w:t>烘干房</w:t>
            </w:r>
          </w:p>
        </w:tc>
        <w:tc>
          <w:tcPr>
            <w:tcW w:w="1134" w:type="dxa"/>
            <w:vAlign w:val="center"/>
          </w:tcPr>
          <w:p w:rsidR="00475650" w:rsidRDefault="00475650">
            <w:pPr>
              <w:jc w:val="center"/>
              <w:rPr>
                <w:szCs w:val="21"/>
              </w:rPr>
            </w:pPr>
            <w:r>
              <w:rPr>
                <w:rFonts w:hint="eastAsia"/>
                <w:szCs w:val="21"/>
              </w:rPr>
              <w:t>氯化氢</w:t>
            </w:r>
          </w:p>
        </w:tc>
        <w:tc>
          <w:tcPr>
            <w:tcW w:w="1134" w:type="dxa"/>
            <w:vAlign w:val="center"/>
          </w:tcPr>
          <w:p w:rsidR="00475650" w:rsidRDefault="00475650">
            <w:pPr>
              <w:jc w:val="center"/>
              <w:rPr>
                <w:szCs w:val="21"/>
              </w:rPr>
            </w:pPr>
            <w:r>
              <w:rPr>
                <w:rFonts w:hint="eastAsia"/>
                <w:szCs w:val="21"/>
              </w:rPr>
              <w:t>0.05</w:t>
            </w:r>
          </w:p>
        </w:tc>
        <w:tc>
          <w:tcPr>
            <w:tcW w:w="1416" w:type="dxa"/>
            <w:vMerge/>
            <w:vAlign w:val="center"/>
          </w:tcPr>
          <w:p w:rsidR="00475650" w:rsidRDefault="00475650">
            <w:pPr>
              <w:jc w:val="center"/>
              <w:rPr>
                <w:szCs w:val="21"/>
              </w:rPr>
            </w:pPr>
          </w:p>
        </w:tc>
        <w:tc>
          <w:tcPr>
            <w:tcW w:w="992" w:type="dxa"/>
            <w:vAlign w:val="center"/>
          </w:tcPr>
          <w:p w:rsidR="00475650" w:rsidRDefault="00475650">
            <w:pPr>
              <w:jc w:val="center"/>
              <w:rPr>
                <w:szCs w:val="21"/>
              </w:rPr>
            </w:pPr>
            <w:r>
              <w:rPr>
                <w:rFonts w:hint="eastAsia"/>
                <w:szCs w:val="21"/>
              </w:rPr>
              <w:t>85.5%</w:t>
            </w:r>
          </w:p>
        </w:tc>
        <w:tc>
          <w:tcPr>
            <w:tcW w:w="850" w:type="dxa"/>
            <w:vMerge/>
            <w:vAlign w:val="center"/>
          </w:tcPr>
          <w:p w:rsidR="00475650" w:rsidRDefault="00475650">
            <w:pPr>
              <w:jc w:val="center"/>
              <w:rPr>
                <w:szCs w:val="21"/>
              </w:rPr>
            </w:pPr>
          </w:p>
        </w:tc>
        <w:tc>
          <w:tcPr>
            <w:tcW w:w="995" w:type="dxa"/>
            <w:vMerge/>
            <w:vAlign w:val="center"/>
          </w:tcPr>
          <w:p w:rsidR="00475650" w:rsidRDefault="00475650">
            <w:pPr>
              <w:jc w:val="center"/>
              <w:rPr>
                <w:szCs w:val="21"/>
              </w:rPr>
            </w:pPr>
          </w:p>
        </w:tc>
        <w:tc>
          <w:tcPr>
            <w:tcW w:w="1134" w:type="dxa"/>
            <w:vMerge/>
            <w:vAlign w:val="center"/>
          </w:tcPr>
          <w:p w:rsidR="00475650" w:rsidRDefault="00475650">
            <w:pPr>
              <w:jc w:val="center"/>
              <w:rPr>
                <w:szCs w:val="21"/>
              </w:rPr>
            </w:pPr>
          </w:p>
        </w:tc>
        <w:tc>
          <w:tcPr>
            <w:tcW w:w="1134" w:type="dxa"/>
            <w:vMerge/>
            <w:vAlign w:val="center"/>
          </w:tcPr>
          <w:p w:rsidR="00475650" w:rsidRDefault="00475650">
            <w:pPr>
              <w:jc w:val="center"/>
              <w:rPr>
                <w:szCs w:val="21"/>
              </w:rPr>
            </w:pPr>
          </w:p>
        </w:tc>
        <w:tc>
          <w:tcPr>
            <w:tcW w:w="569" w:type="dxa"/>
            <w:vMerge/>
            <w:vAlign w:val="center"/>
          </w:tcPr>
          <w:p w:rsidR="00475650" w:rsidRDefault="00475650">
            <w:pPr>
              <w:jc w:val="center"/>
              <w:rPr>
                <w:rFonts w:hAnsi="宋体"/>
                <w:szCs w:val="21"/>
              </w:rPr>
            </w:pPr>
          </w:p>
        </w:tc>
        <w:tc>
          <w:tcPr>
            <w:tcW w:w="708" w:type="dxa"/>
            <w:vMerge/>
            <w:vAlign w:val="center"/>
          </w:tcPr>
          <w:p w:rsidR="00475650" w:rsidRDefault="00475650">
            <w:pPr>
              <w:jc w:val="center"/>
              <w:rPr>
                <w:rFonts w:hAnsi="宋体"/>
                <w:szCs w:val="21"/>
              </w:rPr>
            </w:pPr>
          </w:p>
        </w:tc>
        <w:tc>
          <w:tcPr>
            <w:tcW w:w="641" w:type="dxa"/>
            <w:vMerge/>
            <w:vAlign w:val="center"/>
          </w:tcPr>
          <w:p w:rsidR="00475650" w:rsidRDefault="00475650">
            <w:pPr>
              <w:jc w:val="center"/>
              <w:rPr>
                <w:rFonts w:hAnsi="宋体"/>
                <w:szCs w:val="21"/>
              </w:rPr>
            </w:pPr>
          </w:p>
        </w:tc>
      </w:tr>
      <w:tr w:rsidR="00475650">
        <w:trPr>
          <w:trHeight w:val="210"/>
          <w:jc w:val="center"/>
        </w:trPr>
        <w:tc>
          <w:tcPr>
            <w:tcW w:w="644" w:type="dxa"/>
            <w:vMerge/>
            <w:vAlign w:val="center"/>
          </w:tcPr>
          <w:p w:rsidR="00475650" w:rsidRDefault="00475650">
            <w:pPr>
              <w:jc w:val="center"/>
              <w:rPr>
                <w:szCs w:val="21"/>
              </w:rPr>
            </w:pPr>
          </w:p>
        </w:tc>
        <w:tc>
          <w:tcPr>
            <w:tcW w:w="1310" w:type="dxa"/>
            <w:vMerge/>
            <w:vAlign w:val="center"/>
          </w:tcPr>
          <w:p w:rsidR="00475650" w:rsidRDefault="00475650">
            <w:pPr>
              <w:jc w:val="center"/>
              <w:rPr>
                <w:szCs w:val="21"/>
              </w:rPr>
            </w:pPr>
          </w:p>
        </w:tc>
        <w:tc>
          <w:tcPr>
            <w:tcW w:w="1274" w:type="dxa"/>
            <w:vMerge/>
            <w:vAlign w:val="center"/>
          </w:tcPr>
          <w:p w:rsidR="00475650" w:rsidRDefault="00475650">
            <w:pPr>
              <w:jc w:val="center"/>
              <w:rPr>
                <w:szCs w:val="21"/>
              </w:rPr>
            </w:pPr>
          </w:p>
        </w:tc>
        <w:tc>
          <w:tcPr>
            <w:tcW w:w="1134" w:type="dxa"/>
            <w:vAlign w:val="center"/>
          </w:tcPr>
          <w:p w:rsidR="00475650" w:rsidRDefault="00475650">
            <w:pPr>
              <w:jc w:val="center"/>
              <w:rPr>
                <w:szCs w:val="21"/>
              </w:rPr>
            </w:pPr>
            <w:r>
              <w:rPr>
                <w:rFonts w:hint="eastAsia"/>
                <w:szCs w:val="21"/>
              </w:rPr>
              <w:t>粉尘</w:t>
            </w:r>
          </w:p>
        </w:tc>
        <w:tc>
          <w:tcPr>
            <w:tcW w:w="1134" w:type="dxa"/>
            <w:vAlign w:val="center"/>
          </w:tcPr>
          <w:p w:rsidR="00475650" w:rsidRDefault="00475650">
            <w:pPr>
              <w:jc w:val="center"/>
              <w:rPr>
                <w:szCs w:val="21"/>
              </w:rPr>
            </w:pPr>
            <w:r>
              <w:rPr>
                <w:rFonts w:hint="eastAsia"/>
                <w:szCs w:val="21"/>
              </w:rPr>
              <w:t>1.14</w:t>
            </w:r>
          </w:p>
        </w:tc>
        <w:tc>
          <w:tcPr>
            <w:tcW w:w="1416" w:type="dxa"/>
            <w:vMerge/>
            <w:vAlign w:val="center"/>
          </w:tcPr>
          <w:p w:rsidR="00475650" w:rsidRDefault="00475650">
            <w:pPr>
              <w:jc w:val="center"/>
              <w:rPr>
                <w:szCs w:val="21"/>
              </w:rPr>
            </w:pPr>
          </w:p>
        </w:tc>
        <w:tc>
          <w:tcPr>
            <w:tcW w:w="992" w:type="dxa"/>
            <w:vAlign w:val="center"/>
          </w:tcPr>
          <w:p w:rsidR="00475650" w:rsidRDefault="00475650">
            <w:pPr>
              <w:jc w:val="center"/>
              <w:rPr>
                <w:szCs w:val="21"/>
              </w:rPr>
            </w:pPr>
            <w:r>
              <w:rPr>
                <w:rFonts w:hint="eastAsia"/>
                <w:szCs w:val="21"/>
              </w:rPr>
              <w:t>/</w:t>
            </w:r>
          </w:p>
        </w:tc>
        <w:tc>
          <w:tcPr>
            <w:tcW w:w="850" w:type="dxa"/>
            <w:vMerge/>
            <w:vAlign w:val="center"/>
          </w:tcPr>
          <w:p w:rsidR="00475650" w:rsidRDefault="00475650">
            <w:pPr>
              <w:jc w:val="center"/>
              <w:rPr>
                <w:szCs w:val="21"/>
              </w:rPr>
            </w:pPr>
          </w:p>
        </w:tc>
        <w:tc>
          <w:tcPr>
            <w:tcW w:w="995" w:type="dxa"/>
            <w:vMerge w:val="restart"/>
            <w:vAlign w:val="center"/>
          </w:tcPr>
          <w:p w:rsidR="00475650" w:rsidRDefault="00475650">
            <w:pPr>
              <w:jc w:val="center"/>
              <w:rPr>
                <w:szCs w:val="21"/>
              </w:rPr>
            </w:pPr>
            <w:r>
              <w:rPr>
                <w:rFonts w:hint="eastAsia"/>
                <w:szCs w:val="21"/>
              </w:rPr>
              <w:t>粉尘</w:t>
            </w:r>
          </w:p>
        </w:tc>
        <w:tc>
          <w:tcPr>
            <w:tcW w:w="1134" w:type="dxa"/>
            <w:vMerge w:val="restart"/>
            <w:vAlign w:val="center"/>
          </w:tcPr>
          <w:p w:rsidR="00475650" w:rsidRDefault="00475650">
            <w:pPr>
              <w:jc w:val="center"/>
              <w:rPr>
                <w:szCs w:val="21"/>
              </w:rPr>
            </w:pPr>
            <w:r>
              <w:rPr>
                <w:rFonts w:hint="eastAsia"/>
                <w:szCs w:val="21"/>
              </w:rPr>
              <w:t>1.14</w:t>
            </w:r>
          </w:p>
          <w:p w:rsidR="00475650" w:rsidRDefault="00475650">
            <w:pPr>
              <w:jc w:val="center"/>
              <w:rPr>
                <w:szCs w:val="21"/>
              </w:rPr>
            </w:pPr>
            <w:r>
              <w:rPr>
                <w:rFonts w:hint="eastAsia"/>
                <w:szCs w:val="21"/>
              </w:rPr>
              <w:t>（</w:t>
            </w:r>
            <w:r>
              <w:rPr>
                <w:rFonts w:hint="eastAsia"/>
                <w:szCs w:val="21"/>
              </w:rPr>
              <w:t>0.158</w:t>
            </w:r>
            <w:r>
              <w:rPr>
                <w:rFonts w:hint="eastAsia"/>
                <w:szCs w:val="21"/>
              </w:rPr>
              <w:t>）</w:t>
            </w:r>
          </w:p>
        </w:tc>
        <w:tc>
          <w:tcPr>
            <w:tcW w:w="1134" w:type="dxa"/>
            <w:vMerge w:val="restart"/>
            <w:vAlign w:val="center"/>
          </w:tcPr>
          <w:p w:rsidR="00475650" w:rsidRDefault="00475650">
            <w:pPr>
              <w:jc w:val="center"/>
              <w:rPr>
                <w:szCs w:val="21"/>
              </w:rPr>
            </w:pPr>
            <w:r>
              <w:rPr>
                <w:rFonts w:hint="eastAsia"/>
                <w:szCs w:val="21"/>
              </w:rPr>
              <w:t>10.533</w:t>
            </w:r>
          </w:p>
        </w:tc>
        <w:tc>
          <w:tcPr>
            <w:tcW w:w="569" w:type="dxa"/>
            <w:vMerge/>
            <w:vAlign w:val="center"/>
          </w:tcPr>
          <w:p w:rsidR="00475650" w:rsidRDefault="00475650">
            <w:pPr>
              <w:jc w:val="center"/>
              <w:rPr>
                <w:rFonts w:hAnsi="宋体"/>
                <w:szCs w:val="21"/>
              </w:rPr>
            </w:pPr>
          </w:p>
        </w:tc>
        <w:tc>
          <w:tcPr>
            <w:tcW w:w="708" w:type="dxa"/>
            <w:vMerge/>
            <w:vAlign w:val="center"/>
          </w:tcPr>
          <w:p w:rsidR="00475650" w:rsidRDefault="00475650">
            <w:pPr>
              <w:jc w:val="center"/>
              <w:rPr>
                <w:rFonts w:hAnsi="宋体"/>
                <w:szCs w:val="21"/>
              </w:rPr>
            </w:pPr>
          </w:p>
        </w:tc>
        <w:tc>
          <w:tcPr>
            <w:tcW w:w="641" w:type="dxa"/>
            <w:vMerge/>
            <w:vAlign w:val="center"/>
          </w:tcPr>
          <w:p w:rsidR="00475650" w:rsidRDefault="00475650">
            <w:pPr>
              <w:jc w:val="center"/>
              <w:rPr>
                <w:rFonts w:hAnsi="宋体"/>
                <w:szCs w:val="21"/>
              </w:rPr>
            </w:pPr>
          </w:p>
        </w:tc>
      </w:tr>
      <w:tr w:rsidR="00475650">
        <w:trPr>
          <w:trHeight w:val="210"/>
          <w:jc w:val="center"/>
        </w:trPr>
        <w:tc>
          <w:tcPr>
            <w:tcW w:w="644" w:type="dxa"/>
            <w:vMerge/>
            <w:vAlign w:val="center"/>
          </w:tcPr>
          <w:p w:rsidR="00475650" w:rsidRDefault="00475650">
            <w:pPr>
              <w:jc w:val="center"/>
              <w:rPr>
                <w:szCs w:val="21"/>
              </w:rPr>
            </w:pPr>
          </w:p>
        </w:tc>
        <w:tc>
          <w:tcPr>
            <w:tcW w:w="1310" w:type="dxa"/>
            <w:vAlign w:val="center"/>
          </w:tcPr>
          <w:p w:rsidR="00475650" w:rsidRDefault="00475650">
            <w:pPr>
              <w:jc w:val="center"/>
              <w:rPr>
                <w:szCs w:val="21"/>
              </w:rPr>
            </w:pPr>
            <w:r>
              <w:rPr>
                <w:rFonts w:hAnsi="宋体"/>
                <w:szCs w:val="21"/>
              </w:rPr>
              <w:t>破碎废气</w:t>
            </w:r>
          </w:p>
        </w:tc>
        <w:tc>
          <w:tcPr>
            <w:tcW w:w="1274" w:type="dxa"/>
            <w:vAlign w:val="center"/>
          </w:tcPr>
          <w:p w:rsidR="00475650" w:rsidRDefault="00475650">
            <w:pPr>
              <w:jc w:val="center"/>
              <w:rPr>
                <w:szCs w:val="21"/>
              </w:rPr>
            </w:pPr>
            <w:r>
              <w:rPr>
                <w:rFonts w:hint="eastAsia"/>
                <w:szCs w:val="21"/>
              </w:rPr>
              <w:t>破碎机</w:t>
            </w:r>
          </w:p>
        </w:tc>
        <w:tc>
          <w:tcPr>
            <w:tcW w:w="1134" w:type="dxa"/>
            <w:vAlign w:val="center"/>
          </w:tcPr>
          <w:p w:rsidR="00475650" w:rsidRDefault="00475650">
            <w:pPr>
              <w:jc w:val="center"/>
              <w:rPr>
                <w:szCs w:val="21"/>
              </w:rPr>
            </w:pPr>
            <w:r>
              <w:rPr>
                <w:rFonts w:hint="eastAsia"/>
                <w:szCs w:val="21"/>
              </w:rPr>
              <w:t>粉尘</w:t>
            </w:r>
          </w:p>
        </w:tc>
        <w:tc>
          <w:tcPr>
            <w:tcW w:w="1134" w:type="dxa"/>
            <w:vAlign w:val="center"/>
          </w:tcPr>
          <w:p w:rsidR="00475650" w:rsidRDefault="00475650">
            <w:pPr>
              <w:jc w:val="center"/>
              <w:rPr>
                <w:szCs w:val="21"/>
              </w:rPr>
            </w:pPr>
            <w:r>
              <w:rPr>
                <w:rFonts w:hint="eastAsia"/>
                <w:szCs w:val="21"/>
              </w:rPr>
              <w:t>7.35</w:t>
            </w:r>
          </w:p>
        </w:tc>
        <w:tc>
          <w:tcPr>
            <w:tcW w:w="1416" w:type="dxa"/>
            <w:vMerge w:val="restart"/>
            <w:vAlign w:val="center"/>
          </w:tcPr>
          <w:p w:rsidR="00475650" w:rsidRDefault="00475650">
            <w:pPr>
              <w:jc w:val="center"/>
              <w:rPr>
                <w:szCs w:val="21"/>
              </w:rPr>
            </w:pPr>
            <w:r>
              <w:rPr>
                <w:rFonts w:hint="eastAsia"/>
                <w:szCs w:val="21"/>
              </w:rPr>
              <w:t>布袋收尘</w:t>
            </w:r>
            <w:r>
              <w:rPr>
                <w:rFonts w:hint="eastAsia"/>
                <w:szCs w:val="21"/>
              </w:rPr>
              <w:t>+</w:t>
            </w:r>
            <w:r>
              <w:rPr>
                <w:rFonts w:hint="eastAsia"/>
                <w:szCs w:val="21"/>
              </w:rPr>
              <w:t>高点集中外排</w:t>
            </w:r>
          </w:p>
        </w:tc>
        <w:tc>
          <w:tcPr>
            <w:tcW w:w="992" w:type="dxa"/>
            <w:vAlign w:val="center"/>
          </w:tcPr>
          <w:p w:rsidR="00475650" w:rsidRDefault="00475650">
            <w:pPr>
              <w:jc w:val="center"/>
              <w:rPr>
                <w:szCs w:val="21"/>
              </w:rPr>
            </w:pPr>
            <w:r>
              <w:rPr>
                <w:rFonts w:hint="eastAsia"/>
                <w:szCs w:val="21"/>
              </w:rPr>
              <w:t>94.525%</w:t>
            </w:r>
          </w:p>
        </w:tc>
        <w:tc>
          <w:tcPr>
            <w:tcW w:w="850" w:type="dxa"/>
            <w:vMerge/>
            <w:vAlign w:val="center"/>
          </w:tcPr>
          <w:p w:rsidR="00475650" w:rsidRDefault="00475650">
            <w:pPr>
              <w:jc w:val="center"/>
              <w:rPr>
                <w:szCs w:val="21"/>
              </w:rPr>
            </w:pPr>
          </w:p>
        </w:tc>
        <w:tc>
          <w:tcPr>
            <w:tcW w:w="995" w:type="dxa"/>
            <w:vMerge/>
            <w:vAlign w:val="center"/>
          </w:tcPr>
          <w:p w:rsidR="00475650" w:rsidRDefault="00475650">
            <w:pPr>
              <w:jc w:val="center"/>
              <w:rPr>
                <w:szCs w:val="21"/>
              </w:rPr>
            </w:pPr>
          </w:p>
        </w:tc>
        <w:tc>
          <w:tcPr>
            <w:tcW w:w="1134" w:type="dxa"/>
            <w:vMerge/>
            <w:vAlign w:val="center"/>
          </w:tcPr>
          <w:p w:rsidR="00475650" w:rsidRDefault="00475650">
            <w:pPr>
              <w:jc w:val="center"/>
              <w:rPr>
                <w:szCs w:val="21"/>
              </w:rPr>
            </w:pPr>
          </w:p>
        </w:tc>
        <w:tc>
          <w:tcPr>
            <w:tcW w:w="1134" w:type="dxa"/>
            <w:vMerge/>
            <w:vAlign w:val="center"/>
          </w:tcPr>
          <w:p w:rsidR="00475650" w:rsidRDefault="00475650">
            <w:pPr>
              <w:jc w:val="center"/>
              <w:rPr>
                <w:szCs w:val="21"/>
              </w:rPr>
            </w:pPr>
          </w:p>
        </w:tc>
        <w:tc>
          <w:tcPr>
            <w:tcW w:w="569" w:type="dxa"/>
            <w:vMerge/>
            <w:vAlign w:val="center"/>
          </w:tcPr>
          <w:p w:rsidR="00475650" w:rsidRDefault="00475650">
            <w:pPr>
              <w:jc w:val="center"/>
              <w:rPr>
                <w:rFonts w:hAnsi="宋体"/>
                <w:szCs w:val="21"/>
              </w:rPr>
            </w:pPr>
          </w:p>
        </w:tc>
        <w:tc>
          <w:tcPr>
            <w:tcW w:w="708" w:type="dxa"/>
            <w:vMerge/>
            <w:vAlign w:val="center"/>
          </w:tcPr>
          <w:p w:rsidR="00475650" w:rsidRDefault="00475650">
            <w:pPr>
              <w:jc w:val="center"/>
              <w:rPr>
                <w:rFonts w:hAnsi="宋体"/>
                <w:szCs w:val="21"/>
              </w:rPr>
            </w:pPr>
          </w:p>
        </w:tc>
        <w:tc>
          <w:tcPr>
            <w:tcW w:w="641" w:type="dxa"/>
            <w:vMerge/>
            <w:vAlign w:val="center"/>
          </w:tcPr>
          <w:p w:rsidR="00475650" w:rsidRDefault="00475650">
            <w:pPr>
              <w:jc w:val="center"/>
              <w:rPr>
                <w:rFonts w:hAnsi="宋体"/>
                <w:szCs w:val="21"/>
              </w:rPr>
            </w:pPr>
          </w:p>
        </w:tc>
      </w:tr>
      <w:tr w:rsidR="00475650">
        <w:trPr>
          <w:trHeight w:val="210"/>
          <w:jc w:val="center"/>
        </w:trPr>
        <w:tc>
          <w:tcPr>
            <w:tcW w:w="644" w:type="dxa"/>
            <w:vMerge/>
            <w:vAlign w:val="center"/>
          </w:tcPr>
          <w:p w:rsidR="00475650" w:rsidRDefault="00475650">
            <w:pPr>
              <w:jc w:val="center"/>
              <w:rPr>
                <w:szCs w:val="21"/>
              </w:rPr>
            </w:pPr>
          </w:p>
        </w:tc>
        <w:tc>
          <w:tcPr>
            <w:tcW w:w="1310" w:type="dxa"/>
            <w:vAlign w:val="center"/>
          </w:tcPr>
          <w:p w:rsidR="00475650" w:rsidRDefault="00475650">
            <w:pPr>
              <w:jc w:val="center"/>
              <w:rPr>
                <w:szCs w:val="21"/>
              </w:rPr>
            </w:pPr>
            <w:r>
              <w:rPr>
                <w:rFonts w:hint="eastAsia"/>
                <w:szCs w:val="21"/>
              </w:rPr>
              <w:t>包装废气</w:t>
            </w:r>
          </w:p>
        </w:tc>
        <w:tc>
          <w:tcPr>
            <w:tcW w:w="1274" w:type="dxa"/>
            <w:vAlign w:val="center"/>
          </w:tcPr>
          <w:p w:rsidR="00475650" w:rsidRDefault="00475650">
            <w:pPr>
              <w:jc w:val="center"/>
              <w:rPr>
                <w:szCs w:val="21"/>
              </w:rPr>
            </w:pPr>
            <w:r>
              <w:rPr>
                <w:rFonts w:hint="eastAsia"/>
                <w:szCs w:val="21"/>
              </w:rPr>
              <w:t>包装机</w:t>
            </w:r>
          </w:p>
        </w:tc>
        <w:tc>
          <w:tcPr>
            <w:tcW w:w="1134" w:type="dxa"/>
            <w:vAlign w:val="center"/>
          </w:tcPr>
          <w:p w:rsidR="00475650" w:rsidRDefault="00475650">
            <w:pPr>
              <w:jc w:val="center"/>
              <w:rPr>
                <w:szCs w:val="21"/>
              </w:rPr>
            </w:pPr>
            <w:r>
              <w:rPr>
                <w:rFonts w:hint="eastAsia"/>
                <w:szCs w:val="21"/>
              </w:rPr>
              <w:t>粉尘</w:t>
            </w:r>
          </w:p>
        </w:tc>
        <w:tc>
          <w:tcPr>
            <w:tcW w:w="1134" w:type="dxa"/>
            <w:vAlign w:val="center"/>
          </w:tcPr>
          <w:p w:rsidR="00475650" w:rsidRDefault="00475650">
            <w:pPr>
              <w:jc w:val="center"/>
              <w:rPr>
                <w:szCs w:val="21"/>
              </w:rPr>
            </w:pPr>
            <w:r>
              <w:rPr>
                <w:rFonts w:hint="eastAsia"/>
                <w:szCs w:val="21"/>
              </w:rPr>
              <w:t>5.66</w:t>
            </w:r>
          </w:p>
        </w:tc>
        <w:tc>
          <w:tcPr>
            <w:tcW w:w="1416" w:type="dxa"/>
            <w:vMerge/>
            <w:vAlign w:val="center"/>
          </w:tcPr>
          <w:p w:rsidR="00475650" w:rsidRDefault="00475650">
            <w:pPr>
              <w:jc w:val="center"/>
              <w:rPr>
                <w:szCs w:val="21"/>
              </w:rPr>
            </w:pPr>
          </w:p>
        </w:tc>
        <w:tc>
          <w:tcPr>
            <w:tcW w:w="992" w:type="dxa"/>
            <w:vAlign w:val="center"/>
          </w:tcPr>
          <w:p w:rsidR="00475650" w:rsidRDefault="00475650">
            <w:pPr>
              <w:jc w:val="center"/>
              <w:rPr>
                <w:szCs w:val="21"/>
              </w:rPr>
            </w:pPr>
            <w:r>
              <w:rPr>
                <w:rFonts w:hint="eastAsia"/>
                <w:szCs w:val="21"/>
              </w:rPr>
              <w:t>94.525%</w:t>
            </w:r>
          </w:p>
        </w:tc>
        <w:tc>
          <w:tcPr>
            <w:tcW w:w="850" w:type="dxa"/>
            <w:vMerge/>
            <w:vAlign w:val="center"/>
          </w:tcPr>
          <w:p w:rsidR="00475650" w:rsidRDefault="00475650">
            <w:pPr>
              <w:jc w:val="center"/>
              <w:rPr>
                <w:szCs w:val="21"/>
              </w:rPr>
            </w:pPr>
          </w:p>
        </w:tc>
        <w:tc>
          <w:tcPr>
            <w:tcW w:w="995" w:type="dxa"/>
            <w:vMerge/>
            <w:vAlign w:val="center"/>
          </w:tcPr>
          <w:p w:rsidR="00475650" w:rsidRDefault="00475650">
            <w:pPr>
              <w:jc w:val="center"/>
              <w:rPr>
                <w:szCs w:val="21"/>
              </w:rPr>
            </w:pPr>
          </w:p>
        </w:tc>
        <w:tc>
          <w:tcPr>
            <w:tcW w:w="1134" w:type="dxa"/>
            <w:vMerge/>
            <w:vAlign w:val="center"/>
          </w:tcPr>
          <w:p w:rsidR="00475650" w:rsidRDefault="00475650">
            <w:pPr>
              <w:jc w:val="center"/>
              <w:rPr>
                <w:szCs w:val="21"/>
              </w:rPr>
            </w:pPr>
          </w:p>
        </w:tc>
        <w:tc>
          <w:tcPr>
            <w:tcW w:w="1134" w:type="dxa"/>
            <w:vMerge/>
            <w:vAlign w:val="center"/>
          </w:tcPr>
          <w:p w:rsidR="00475650" w:rsidRDefault="00475650">
            <w:pPr>
              <w:jc w:val="center"/>
              <w:rPr>
                <w:szCs w:val="21"/>
              </w:rPr>
            </w:pPr>
          </w:p>
        </w:tc>
        <w:tc>
          <w:tcPr>
            <w:tcW w:w="569" w:type="dxa"/>
            <w:vMerge/>
            <w:vAlign w:val="center"/>
          </w:tcPr>
          <w:p w:rsidR="00475650" w:rsidRDefault="00475650">
            <w:pPr>
              <w:jc w:val="center"/>
              <w:rPr>
                <w:rFonts w:hAnsi="宋体"/>
                <w:szCs w:val="21"/>
              </w:rPr>
            </w:pPr>
          </w:p>
        </w:tc>
        <w:tc>
          <w:tcPr>
            <w:tcW w:w="708" w:type="dxa"/>
            <w:vMerge/>
            <w:vAlign w:val="center"/>
          </w:tcPr>
          <w:p w:rsidR="00475650" w:rsidRDefault="00475650">
            <w:pPr>
              <w:jc w:val="center"/>
              <w:rPr>
                <w:rFonts w:hAnsi="宋体"/>
                <w:szCs w:val="21"/>
              </w:rPr>
            </w:pPr>
          </w:p>
        </w:tc>
        <w:tc>
          <w:tcPr>
            <w:tcW w:w="641" w:type="dxa"/>
            <w:vMerge/>
            <w:vAlign w:val="center"/>
          </w:tcPr>
          <w:p w:rsidR="00475650" w:rsidRDefault="00475650">
            <w:pPr>
              <w:jc w:val="center"/>
              <w:rPr>
                <w:rFonts w:hAnsi="宋体"/>
                <w:szCs w:val="21"/>
              </w:rPr>
            </w:pPr>
          </w:p>
        </w:tc>
      </w:tr>
      <w:tr w:rsidR="00475650">
        <w:trPr>
          <w:trHeight w:val="210"/>
          <w:jc w:val="center"/>
        </w:trPr>
        <w:tc>
          <w:tcPr>
            <w:tcW w:w="644" w:type="dxa"/>
            <w:vMerge/>
            <w:vAlign w:val="center"/>
          </w:tcPr>
          <w:p w:rsidR="00475650" w:rsidRDefault="00475650">
            <w:pPr>
              <w:jc w:val="center"/>
              <w:rPr>
                <w:szCs w:val="21"/>
              </w:rPr>
            </w:pPr>
          </w:p>
        </w:tc>
        <w:tc>
          <w:tcPr>
            <w:tcW w:w="1310" w:type="dxa"/>
            <w:vAlign w:val="center"/>
          </w:tcPr>
          <w:p w:rsidR="00475650" w:rsidRDefault="00475650">
            <w:pPr>
              <w:jc w:val="center"/>
              <w:rPr>
                <w:szCs w:val="21"/>
              </w:rPr>
            </w:pPr>
            <w:r>
              <w:rPr>
                <w:rFonts w:hint="eastAsia"/>
                <w:szCs w:val="21"/>
              </w:rPr>
              <w:t>污水处理站废气</w:t>
            </w:r>
          </w:p>
        </w:tc>
        <w:tc>
          <w:tcPr>
            <w:tcW w:w="1274" w:type="dxa"/>
            <w:vAlign w:val="center"/>
          </w:tcPr>
          <w:p w:rsidR="00475650" w:rsidRDefault="00475650">
            <w:pPr>
              <w:jc w:val="center"/>
              <w:rPr>
                <w:szCs w:val="21"/>
              </w:rPr>
            </w:pPr>
            <w:r>
              <w:rPr>
                <w:rFonts w:hint="eastAsia"/>
                <w:szCs w:val="21"/>
              </w:rPr>
              <w:t>生化工序及污泥暂存场</w:t>
            </w:r>
          </w:p>
        </w:tc>
        <w:tc>
          <w:tcPr>
            <w:tcW w:w="1134" w:type="dxa"/>
            <w:vAlign w:val="center"/>
          </w:tcPr>
          <w:p w:rsidR="00475650" w:rsidRDefault="00475650">
            <w:pPr>
              <w:jc w:val="center"/>
              <w:rPr>
                <w:szCs w:val="21"/>
              </w:rPr>
            </w:pPr>
            <w:r>
              <w:rPr>
                <w:rFonts w:hint="eastAsia"/>
                <w:szCs w:val="21"/>
              </w:rPr>
              <w:t>氨</w:t>
            </w:r>
          </w:p>
        </w:tc>
        <w:tc>
          <w:tcPr>
            <w:tcW w:w="1134" w:type="dxa"/>
            <w:vAlign w:val="center"/>
          </w:tcPr>
          <w:p w:rsidR="00475650" w:rsidRDefault="00475650">
            <w:pPr>
              <w:jc w:val="center"/>
              <w:rPr>
                <w:szCs w:val="21"/>
              </w:rPr>
            </w:pPr>
            <w:r>
              <w:rPr>
                <w:rFonts w:hint="eastAsia"/>
                <w:szCs w:val="21"/>
              </w:rPr>
              <w:t>0.15</w:t>
            </w:r>
          </w:p>
        </w:tc>
        <w:tc>
          <w:tcPr>
            <w:tcW w:w="1416" w:type="dxa"/>
            <w:vAlign w:val="center"/>
          </w:tcPr>
          <w:p w:rsidR="00475650" w:rsidRDefault="00475650">
            <w:pPr>
              <w:jc w:val="center"/>
              <w:rPr>
                <w:szCs w:val="21"/>
              </w:rPr>
            </w:pPr>
            <w:r>
              <w:rPr>
                <w:rFonts w:hint="eastAsia"/>
                <w:szCs w:val="21"/>
              </w:rPr>
              <w:t>污水处理站加盖</w:t>
            </w:r>
            <w:r>
              <w:rPr>
                <w:rFonts w:hint="eastAsia"/>
                <w:szCs w:val="21"/>
              </w:rPr>
              <w:t>+</w:t>
            </w:r>
            <w:r>
              <w:rPr>
                <w:rFonts w:hint="eastAsia"/>
                <w:szCs w:val="21"/>
              </w:rPr>
              <w:t>负压收集</w:t>
            </w:r>
            <w:r>
              <w:rPr>
                <w:rFonts w:hint="eastAsia"/>
                <w:szCs w:val="21"/>
              </w:rPr>
              <w:t>+</w:t>
            </w:r>
            <w:r>
              <w:rPr>
                <w:rFonts w:hint="eastAsia"/>
                <w:szCs w:val="21"/>
              </w:rPr>
              <w:t>碱液喷淋吸收</w:t>
            </w:r>
            <w:r>
              <w:rPr>
                <w:rFonts w:hint="eastAsia"/>
                <w:szCs w:val="21"/>
              </w:rPr>
              <w:t>+</w:t>
            </w:r>
            <w:r>
              <w:rPr>
                <w:rFonts w:hint="eastAsia"/>
                <w:szCs w:val="21"/>
              </w:rPr>
              <w:t>高点外排</w:t>
            </w:r>
          </w:p>
        </w:tc>
        <w:tc>
          <w:tcPr>
            <w:tcW w:w="992" w:type="dxa"/>
            <w:vAlign w:val="center"/>
          </w:tcPr>
          <w:p w:rsidR="00475650" w:rsidRDefault="00475650">
            <w:pPr>
              <w:jc w:val="center"/>
              <w:rPr>
                <w:szCs w:val="21"/>
              </w:rPr>
            </w:pPr>
            <w:r>
              <w:rPr>
                <w:rFonts w:hint="eastAsia"/>
                <w:szCs w:val="21"/>
              </w:rPr>
              <w:t>/</w:t>
            </w:r>
          </w:p>
        </w:tc>
        <w:tc>
          <w:tcPr>
            <w:tcW w:w="850" w:type="dxa"/>
            <w:vMerge/>
            <w:vAlign w:val="center"/>
          </w:tcPr>
          <w:p w:rsidR="00475650" w:rsidRDefault="00475650">
            <w:pPr>
              <w:jc w:val="center"/>
              <w:rPr>
                <w:szCs w:val="21"/>
              </w:rPr>
            </w:pPr>
          </w:p>
        </w:tc>
        <w:tc>
          <w:tcPr>
            <w:tcW w:w="995" w:type="dxa"/>
            <w:vMerge/>
            <w:vAlign w:val="center"/>
          </w:tcPr>
          <w:p w:rsidR="00475650" w:rsidRDefault="00475650">
            <w:pPr>
              <w:jc w:val="center"/>
              <w:rPr>
                <w:szCs w:val="21"/>
              </w:rPr>
            </w:pPr>
          </w:p>
        </w:tc>
        <w:tc>
          <w:tcPr>
            <w:tcW w:w="1134" w:type="dxa"/>
            <w:vMerge/>
            <w:vAlign w:val="center"/>
          </w:tcPr>
          <w:p w:rsidR="00475650" w:rsidRDefault="00475650">
            <w:pPr>
              <w:jc w:val="center"/>
              <w:rPr>
                <w:szCs w:val="21"/>
              </w:rPr>
            </w:pPr>
          </w:p>
        </w:tc>
        <w:tc>
          <w:tcPr>
            <w:tcW w:w="1134" w:type="dxa"/>
            <w:vMerge/>
            <w:vAlign w:val="center"/>
          </w:tcPr>
          <w:p w:rsidR="00475650" w:rsidRDefault="00475650">
            <w:pPr>
              <w:jc w:val="center"/>
              <w:rPr>
                <w:szCs w:val="21"/>
              </w:rPr>
            </w:pPr>
          </w:p>
        </w:tc>
        <w:tc>
          <w:tcPr>
            <w:tcW w:w="569" w:type="dxa"/>
            <w:vMerge/>
            <w:vAlign w:val="center"/>
          </w:tcPr>
          <w:p w:rsidR="00475650" w:rsidRDefault="00475650">
            <w:pPr>
              <w:jc w:val="center"/>
              <w:rPr>
                <w:rFonts w:hAnsi="宋体"/>
                <w:szCs w:val="21"/>
              </w:rPr>
            </w:pPr>
          </w:p>
        </w:tc>
        <w:tc>
          <w:tcPr>
            <w:tcW w:w="708" w:type="dxa"/>
            <w:vMerge/>
            <w:vAlign w:val="center"/>
          </w:tcPr>
          <w:p w:rsidR="00475650" w:rsidRDefault="00475650">
            <w:pPr>
              <w:jc w:val="center"/>
              <w:rPr>
                <w:rFonts w:hAnsi="宋体"/>
                <w:szCs w:val="21"/>
              </w:rPr>
            </w:pPr>
          </w:p>
        </w:tc>
        <w:tc>
          <w:tcPr>
            <w:tcW w:w="641" w:type="dxa"/>
            <w:vMerge/>
            <w:vAlign w:val="center"/>
          </w:tcPr>
          <w:p w:rsidR="00475650" w:rsidRDefault="00475650">
            <w:pPr>
              <w:jc w:val="center"/>
              <w:rPr>
                <w:rFonts w:hAnsi="宋体"/>
                <w:szCs w:val="21"/>
              </w:rPr>
            </w:pPr>
          </w:p>
        </w:tc>
      </w:tr>
      <w:tr w:rsidR="00475650">
        <w:trPr>
          <w:trHeight w:val="210"/>
          <w:jc w:val="center"/>
        </w:trPr>
        <w:tc>
          <w:tcPr>
            <w:tcW w:w="644" w:type="dxa"/>
            <w:vMerge/>
            <w:vAlign w:val="center"/>
          </w:tcPr>
          <w:p w:rsidR="00475650" w:rsidRDefault="00475650">
            <w:pPr>
              <w:jc w:val="center"/>
              <w:rPr>
                <w:szCs w:val="21"/>
              </w:rPr>
            </w:pPr>
          </w:p>
        </w:tc>
        <w:tc>
          <w:tcPr>
            <w:tcW w:w="1310" w:type="dxa"/>
            <w:vAlign w:val="center"/>
          </w:tcPr>
          <w:p w:rsidR="00475650" w:rsidRDefault="00475650">
            <w:pPr>
              <w:jc w:val="center"/>
              <w:rPr>
                <w:szCs w:val="21"/>
              </w:rPr>
            </w:pPr>
            <w:r>
              <w:rPr>
                <w:rFonts w:hint="eastAsia"/>
                <w:szCs w:val="21"/>
              </w:rPr>
              <w:t>隔膜压滤臭气</w:t>
            </w:r>
          </w:p>
        </w:tc>
        <w:tc>
          <w:tcPr>
            <w:tcW w:w="1274" w:type="dxa"/>
            <w:vAlign w:val="center"/>
          </w:tcPr>
          <w:p w:rsidR="00475650" w:rsidRDefault="00475650">
            <w:pPr>
              <w:jc w:val="center"/>
              <w:rPr>
                <w:szCs w:val="21"/>
              </w:rPr>
            </w:pPr>
            <w:r>
              <w:rPr>
                <w:rFonts w:hint="eastAsia"/>
                <w:szCs w:val="21"/>
              </w:rPr>
              <w:t>隔膜压滤机</w:t>
            </w:r>
          </w:p>
        </w:tc>
        <w:tc>
          <w:tcPr>
            <w:tcW w:w="1134" w:type="dxa"/>
            <w:vAlign w:val="center"/>
          </w:tcPr>
          <w:p w:rsidR="00475650" w:rsidRDefault="00475650">
            <w:pPr>
              <w:jc w:val="center"/>
              <w:rPr>
                <w:szCs w:val="21"/>
              </w:rPr>
            </w:pPr>
            <w:r>
              <w:rPr>
                <w:rFonts w:hint="eastAsia"/>
                <w:szCs w:val="21"/>
              </w:rPr>
              <w:t>有机异味</w:t>
            </w:r>
          </w:p>
        </w:tc>
        <w:tc>
          <w:tcPr>
            <w:tcW w:w="1134" w:type="dxa"/>
            <w:vAlign w:val="center"/>
          </w:tcPr>
          <w:p w:rsidR="00475650" w:rsidRDefault="00475650">
            <w:pPr>
              <w:jc w:val="center"/>
              <w:rPr>
                <w:szCs w:val="21"/>
              </w:rPr>
            </w:pPr>
          </w:p>
        </w:tc>
        <w:tc>
          <w:tcPr>
            <w:tcW w:w="1416" w:type="dxa"/>
            <w:vAlign w:val="center"/>
          </w:tcPr>
          <w:p w:rsidR="00475650" w:rsidRDefault="00475650">
            <w:pPr>
              <w:jc w:val="center"/>
              <w:rPr>
                <w:szCs w:val="21"/>
              </w:rPr>
            </w:pPr>
            <w:r>
              <w:rPr>
                <w:rFonts w:hint="eastAsia"/>
                <w:szCs w:val="21"/>
              </w:rPr>
              <w:t>负压收集</w:t>
            </w:r>
            <w:r>
              <w:rPr>
                <w:rFonts w:hint="eastAsia"/>
                <w:szCs w:val="21"/>
              </w:rPr>
              <w:t>+</w:t>
            </w:r>
            <w:r>
              <w:rPr>
                <w:rFonts w:hint="eastAsia"/>
                <w:szCs w:val="21"/>
              </w:rPr>
              <w:t>高点外排</w:t>
            </w:r>
          </w:p>
        </w:tc>
        <w:tc>
          <w:tcPr>
            <w:tcW w:w="992" w:type="dxa"/>
            <w:vAlign w:val="center"/>
          </w:tcPr>
          <w:p w:rsidR="00475650" w:rsidRDefault="00475650">
            <w:pPr>
              <w:jc w:val="center"/>
              <w:rPr>
                <w:szCs w:val="21"/>
              </w:rPr>
            </w:pPr>
          </w:p>
        </w:tc>
        <w:tc>
          <w:tcPr>
            <w:tcW w:w="850" w:type="dxa"/>
            <w:vAlign w:val="center"/>
          </w:tcPr>
          <w:p w:rsidR="00475650" w:rsidRDefault="00475650">
            <w:pPr>
              <w:jc w:val="center"/>
              <w:rPr>
                <w:szCs w:val="21"/>
              </w:rPr>
            </w:pPr>
          </w:p>
        </w:tc>
        <w:tc>
          <w:tcPr>
            <w:tcW w:w="995" w:type="dxa"/>
            <w:vAlign w:val="center"/>
          </w:tcPr>
          <w:p w:rsidR="00475650" w:rsidRDefault="00475650">
            <w:pPr>
              <w:jc w:val="center"/>
              <w:rPr>
                <w:szCs w:val="21"/>
              </w:rPr>
            </w:pPr>
          </w:p>
        </w:tc>
        <w:tc>
          <w:tcPr>
            <w:tcW w:w="1134" w:type="dxa"/>
            <w:vAlign w:val="center"/>
          </w:tcPr>
          <w:p w:rsidR="00475650" w:rsidRDefault="00475650">
            <w:pPr>
              <w:jc w:val="center"/>
              <w:rPr>
                <w:szCs w:val="21"/>
              </w:rPr>
            </w:pPr>
          </w:p>
        </w:tc>
        <w:tc>
          <w:tcPr>
            <w:tcW w:w="1134" w:type="dxa"/>
            <w:vAlign w:val="center"/>
          </w:tcPr>
          <w:p w:rsidR="00475650" w:rsidRDefault="00475650">
            <w:pPr>
              <w:jc w:val="center"/>
              <w:rPr>
                <w:szCs w:val="21"/>
              </w:rPr>
            </w:pPr>
          </w:p>
        </w:tc>
        <w:tc>
          <w:tcPr>
            <w:tcW w:w="569" w:type="dxa"/>
            <w:vMerge/>
            <w:vAlign w:val="center"/>
          </w:tcPr>
          <w:p w:rsidR="00475650" w:rsidRDefault="00475650">
            <w:pPr>
              <w:jc w:val="center"/>
              <w:rPr>
                <w:rFonts w:hAnsi="宋体"/>
                <w:szCs w:val="21"/>
              </w:rPr>
            </w:pPr>
          </w:p>
        </w:tc>
        <w:tc>
          <w:tcPr>
            <w:tcW w:w="708" w:type="dxa"/>
            <w:vMerge/>
            <w:vAlign w:val="center"/>
          </w:tcPr>
          <w:p w:rsidR="00475650" w:rsidRDefault="00475650">
            <w:pPr>
              <w:jc w:val="center"/>
              <w:rPr>
                <w:rFonts w:hAnsi="宋体"/>
                <w:szCs w:val="21"/>
              </w:rPr>
            </w:pPr>
          </w:p>
        </w:tc>
        <w:tc>
          <w:tcPr>
            <w:tcW w:w="641" w:type="dxa"/>
            <w:vMerge/>
            <w:vAlign w:val="center"/>
          </w:tcPr>
          <w:p w:rsidR="00475650" w:rsidRDefault="00475650">
            <w:pPr>
              <w:jc w:val="center"/>
              <w:rPr>
                <w:rFonts w:hAnsi="宋体"/>
                <w:szCs w:val="21"/>
              </w:rPr>
            </w:pPr>
          </w:p>
        </w:tc>
      </w:tr>
      <w:tr w:rsidR="00475650">
        <w:trPr>
          <w:trHeight w:val="210"/>
          <w:jc w:val="center"/>
        </w:trPr>
        <w:tc>
          <w:tcPr>
            <w:tcW w:w="1954" w:type="dxa"/>
            <w:gridSpan w:val="2"/>
            <w:vMerge w:val="restart"/>
            <w:vAlign w:val="center"/>
          </w:tcPr>
          <w:p w:rsidR="00475650" w:rsidRDefault="00475650">
            <w:pPr>
              <w:jc w:val="center"/>
              <w:rPr>
                <w:szCs w:val="21"/>
              </w:rPr>
            </w:pPr>
            <w:r>
              <w:rPr>
                <w:rFonts w:hint="eastAsia"/>
                <w:szCs w:val="21"/>
              </w:rPr>
              <w:t>无组织</w:t>
            </w:r>
          </w:p>
        </w:tc>
        <w:tc>
          <w:tcPr>
            <w:tcW w:w="1274" w:type="dxa"/>
            <w:vMerge w:val="restart"/>
            <w:vAlign w:val="center"/>
          </w:tcPr>
          <w:p w:rsidR="00475650" w:rsidRDefault="00475650">
            <w:pPr>
              <w:jc w:val="center"/>
              <w:rPr>
                <w:szCs w:val="21"/>
              </w:rPr>
            </w:pPr>
            <w:r>
              <w:rPr>
                <w:rFonts w:hint="eastAsia"/>
                <w:szCs w:val="21"/>
              </w:rPr>
              <w:t>车间装置连接不紧密处</w:t>
            </w:r>
          </w:p>
        </w:tc>
        <w:tc>
          <w:tcPr>
            <w:tcW w:w="1134" w:type="dxa"/>
            <w:vAlign w:val="center"/>
          </w:tcPr>
          <w:p w:rsidR="00475650" w:rsidRDefault="00475650">
            <w:pPr>
              <w:jc w:val="center"/>
              <w:rPr>
                <w:szCs w:val="21"/>
              </w:rPr>
            </w:pPr>
            <w:r>
              <w:rPr>
                <w:rFonts w:hint="eastAsia"/>
                <w:szCs w:val="21"/>
              </w:rPr>
              <w:t>氯化氢</w:t>
            </w:r>
          </w:p>
        </w:tc>
        <w:tc>
          <w:tcPr>
            <w:tcW w:w="1134" w:type="dxa"/>
            <w:vAlign w:val="center"/>
          </w:tcPr>
          <w:p w:rsidR="00475650" w:rsidRDefault="00475650">
            <w:pPr>
              <w:jc w:val="center"/>
              <w:rPr>
                <w:szCs w:val="21"/>
              </w:rPr>
            </w:pPr>
          </w:p>
        </w:tc>
        <w:tc>
          <w:tcPr>
            <w:tcW w:w="1416" w:type="dxa"/>
            <w:vAlign w:val="center"/>
          </w:tcPr>
          <w:p w:rsidR="00475650" w:rsidRDefault="00475650">
            <w:pPr>
              <w:jc w:val="center"/>
              <w:rPr>
                <w:szCs w:val="21"/>
              </w:rPr>
            </w:pPr>
          </w:p>
        </w:tc>
        <w:tc>
          <w:tcPr>
            <w:tcW w:w="992" w:type="dxa"/>
            <w:vAlign w:val="center"/>
          </w:tcPr>
          <w:p w:rsidR="00475650" w:rsidRDefault="00475650">
            <w:pPr>
              <w:jc w:val="center"/>
              <w:rPr>
                <w:szCs w:val="21"/>
              </w:rPr>
            </w:pPr>
          </w:p>
        </w:tc>
        <w:tc>
          <w:tcPr>
            <w:tcW w:w="850" w:type="dxa"/>
            <w:vAlign w:val="center"/>
          </w:tcPr>
          <w:p w:rsidR="00475650" w:rsidRDefault="00475650">
            <w:pPr>
              <w:jc w:val="center"/>
              <w:rPr>
                <w:szCs w:val="21"/>
              </w:rPr>
            </w:pPr>
          </w:p>
        </w:tc>
        <w:tc>
          <w:tcPr>
            <w:tcW w:w="995" w:type="dxa"/>
            <w:vAlign w:val="center"/>
          </w:tcPr>
          <w:p w:rsidR="00475650" w:rsidRDefault="00475650">
            <w:pPr>
              <w:jc w:val="center"/>
              <w:rPr>
                <w:szCs w:val="21"/>
              </w:rPr>
            </w:pPr>
          </w:p>
        </w:tc>
        <w:tc>
          <w:tcPr>
            <w:tcW w:w="1134" w:type="dxa"/>
            <w:vAlign w:val="center"/>
          </w:tcPr>
          <w:p w:rsidR="00475650" w:rsidRDefault="00475650">
            <w:pPr>
              <w:jc w:val="center"/>
              <w:rPr>
                <w:szCs w:val="21"/>
              </w:rPr>
            </w:pPr>
            <w:r>
              <w:rPr>
                <w:rFonts w:hint="eastAsia"/>
                <w:szCs w:val="21"/>
              </w:rPr>
              <w:t>0.25t/a</w:t>
            </w:r>
          </w:p>
        </w:tc>
        <w:tc>
          <w:tcPr>
            <w:tcW w:w="1134" w:type="dxa"/>
            <w:vAlign w:val="center"/>
          </w:tcPr>
          <w:p w:rsidR="00475650" w:rsidRDefault="00475650">
            <w:pPr>
              <w:jc w:val="center"/>
              <w:rPr>
                <w:szCs w:val="21"/>
              </w:rPr>
            </w:pPr>
          </w:p>
        </w:tc>
        <w:tc>
          <w:tcPr>
            <w:tcW w:w="569" w:type="dxa"/>
            <w:vAlign w:val="center"/>
          </w:tcPr>
          <w:p w:rsidR="00475650" w:rsidRDefault="00475650">
            <w:pPr>
              <w:jc w:val="center"/>
              <w:rPr>
                <w:rFonts w:hAnsi="宋体"/>
                <w:szCs w:val="21"/>
              </w:rPr>
            </w:pPr>
          </w:p>
        </w:tc>
        <w:tc>
          <w:tcPr>
            <w:tcW w:w="708" w:type="dxa"/>
            <w:vAlign w:val="center"/>
          </w:tcPr>
          <w:p w:rsidR="00475650" w:rsidRDefault="00475650">
            <w:pPr>
              <w:jc w:val="center"/>
              <w:rPr>
                <w:rFonts w:hAnsi="宋体"/>
                <w:szCs w:val="21"/>
              </w:rPr>
            </w:pPr>
          </w:p>
        </w:tc>
        <w:tc>
          <w:tcPr>
            <w:tcW w:w="641" w:type="dxa"/>
            <w:vAlign w:val="center"/>
          </w:tcPr>
          <w:p w:rsidR="00475650" w:rsidRDefault="00475650">
            <w:pPr>
              <w:jc w:val="center"/>
              <w:rPr>
                <w:rFonts w:hAnsi="宋体"/>
                <w:szCs w:val="21"/>
              </w:rPr>
            </w:pPr>
          </w:p>
        </w:tc>
      </w:tr>
      <w:tr w:rsidR="00475650">
        <w:trPr>
          <w:trHeight w:val="210"/>
          <w:jc w:val="center"/>
        </w:trPr>
        <w:tc>
          <w:tcPr>
            <w:tcW w:w="1954" w:type="dxa"/>
            <w:gridSpan w:val="2"/>
            <w:vMerge/>
            <w:vAlign w:val="center"/>
          </w:tcPr>
          <w:p w:rsidR="00475650" w:rsidRDefault="00475650">
            <w:pPr>
              <w:jc w:val="center"/>
              <w:rPr>
                <w:szCs w:val="21"/>
              </w:rPr>
            </w:pPr>
          </w:p>
        </w:tc>
        <w:tc>
          <w:tcPr>
            <w:tcW w:w="1274" w:type="dxa"/>
            <w:vMerge/>
            <w:vAlign w:val="center"/>
          </w:tcPr>
          <w:p w:rsidR="00475650" w:rsidRDefault="00475650">
            <w:pPr>
              <w:jc w:val="center"/>
              <w:rPr>
                <w:szCs w:val="21"/>
              </w:rPr>
            </w:pPr>
          </w:p>
        </w:tc>
        <w:tc>
          <w:tcPr>
            <w:tcW w:w="1134" w:type="dxa"/>
            <w:vAlign w:val="center"/>
          </w:tcPr>
          <w:p w:rsidR="00475650" w:rsidRDefault="00475650">
            <w:pPr>
              <w:jc w:val="center"/>
              <w:rPr>
                <w:szCs w:val="21"/>
              </w:rPr>
            </w:pPr>
            <w:r>
              <w:rPr>
                <w:rFonts w:hint="eastAsia"/>
                <w:szCs w:val="21"/>
              </w:rPr>
              <w:t>粉尘</w:t>
            </w:r>
          </w:p>
        </w:tc>
        <w:tc>
          <w:tcPr>
            <w:tcW w:w="1134" w:type="dxa"/>
            <w:vAlign w:val="center"/>
          </w:tcPr>
          <w:p w:rsidR="00475650" w:rsidRDefault="00475650">
            <w:pPr>
              <w:jc w:val="center"/>
              <w:rPr>
                <w:szCs w:val="21"/>
              </w:rPr>
            </w:pPr>
          </w:p>
        </w:tc>
        <w:tc>
          <w:tcPr>
            <w:tcW w:w="1416" w:type="dxa"/>
            <w:vAlign w:val="center"/>
          </w:tcPr>
          <w:p w:rsidR="00475650" w:rsidRDefault="00475650">
            <w:pPr>
              <w:jc w:val="center"/>
              <w:rPr>
                <w:szCs w:val="21"/>
              </w:rPr>
            </w:pPr>
          </w:p>
        </w:tc>
        <w:tc>
          <w:tcPr>
            <w:tcW w:w="992" w:type="dxa"/>
            <w:vAlign w:val="center"/>
          </w:tcPr>
          <w:p w:rsidR="00475650" w:rsidRDefault="00475650">
            <w:pPr>
              <w:jc w:val="center"/>
              <w:rPr>
                <w:szCs w:val="21"/>
              </w:rPr>
            </w:pPr>
          </w:p>
        </w:tc>
        <w:tc>
          <w:tcPr>
            <w:tcW w:w="850" w:type="dxa"/>
            <w:vAlign w:val="center"/>
          </w:tcPr>
          <w:p w:rsidR="00475650" w:rsidRDefault="00475650">
            <w:pPr>
              <w:jc w:val="center"/>
              <w:rPr>
                <w:szCs w:val="21"/>
              </w:rPr>
            </w:pPr>
          </w:p>
        </w:tc>
        <w:tc>
          <w:tcPr>
            <w:tcW w:w="995" w:type="dxa"/>
            <w:vAlign w:val="center"/>
          </w:tcPr>
          <w:p w:rsidR="00475650" w:rsidRDefault="00475650">
            <w:pPr>
              <w:jc w:val="center"/>
              <w:rPr>
                <w:szCs w:val="21"/>
              </w:rPr>
            </w:pPr>
          </w:p>
        </w:tc>
        <w:tc>
          <w:tcPr>
            <w:tcW w:w="1134" w:type="dxa"/>
            <w:vAlign w:val="center"/>
          </w:tcPr>
          <w:p w:rsidR="00475650" w:rsidRDefault="00475650">
            <w:pPr>
              <w:jc w:val="center"/>
              <w:rPr>
                <w:szCs w:val="21"/>
              </w:rPr>
            </w:pPr>
            <w:r>
              <w:rPr>
                <w:rFonts w:hint="eastAsia"/>
                <w:szCs w:val="21"/>
              </w:rPr>
              <w:t>0.71 t/a</w:t>
            </w:r>
          </w:p>
        </w:tc>
        <w:tc>
          <w:tcPr>
            <w:tcW w:w="1134" w:type="dxa"/>
            <w:vAlign w:val="center"/>
          </w:tcPr>
          <w:p w:rsidR="00475650" w:rsidRDefault="00475650">
            <w:pPr>
              <w:jc w:val="center"/>
              <w:rPr>
                <w:szCs w:val="21"/>
              </w:rPr>
            </w:pPr>
          </w:p>
        </w:tc>
        <w:tc>
          <w:tcPr>
            <w:tcW w:w="569" w:type="dxa"/>
            <w:vAlign w:val="center"/>
          </w:tcPr>
          <w:p w:rsidR="00475650" w:rsidRDefault="00475650">
            <w:pPr>
              <w:jc w:val="center"/>
              <w:rPr>
                <w:rFonts w:hAnsi="宋体"/>
                <w:szCs w:val="21"/>
              </w:rPr>
            </w:pPr>
          </w:p>
        </w:tc>
        <w:tc>
          <w:tcPr>
            <w:tcW w:w="708" w:type="dxa"/>
            <w:vAlign w:val="center"/>
          </w:tcPr>
          <w:p w:rsidR="00475650" w:rsidRDefault="00475650">
            <w:pPr>
              <w:jc w:val="center"/>
              <w:rPr>
                <w:rFonts w:hAnsi="宋体"/>
                <w:szCs w:val="21"/>
              </w:rPr>
            </w:pPr>
          </w:p>
        </w:tc>
        <w:tc>
          <w:tcPr>
            <w:tcW w:w="641" w:type="dxa"/>
            <w:vAlign w:val="center"/>
          </w:tcPr>
          <w:p w:rsidR="00475650" w:rsidRDefault="00475650">
            <w:pPr>
              <w:jc w:val="center"/>
              <w:rPr>
                <w:rFonts w:hAnsi="宋体"/>
                <w:szCs w:val="21"/>
              </w:rPr>
            </w:pPr>
          </w:p>
        </w:tc>
      </w:tr>
      <w:tr w:rsidR="00475650">
        <w:trPr>
          <w:trHeight w:val="210"/>
          <w:jc w:val="center"/>
        </w:trPr>
        <w:tc>
          <w:tcPr>
            <w:tcW w:w="1954" w:type="dxa"/>
            <w:gridSpan w:val="2"/>
            <w:vMerge/>
            <w:vAlign w:val="center"/>
          </w:tcPr>
          <w:p w:rsidR="00475650" w:rsidRDefault="00475650">
            <w:pPr>
              <w:jc w:val="center"/>
              <w:rPr>
                <w:szCs w:val="21"/>
              </w:rPr>
            </w:pPr>
          </w:p>
        </w:tc>
        <w:tc>
          <w:tcPr>
            <w:tcW w:w="1274" w:type="dxa"/>
            <w:vMerge/>
            <w:vAlign w:val="center"/>
          </w:tcPr>
          <w:p w:rsidR="00475650" w:rsidRDefault="00475650">
            <w:pPr>
              <w:jc w:val="center"/>
              <w:rPr>
                <w:szCs w:val="21"/>
              </w:rPr>
            </w:pPr>
          </w:p>
        </w:tc>
        <w:tc>
          <w:tcPr>
            <w:tcW w:w="1134" w:type="dxa"/>
            <w:vAlign w:val="center"/>
          </w:tcPr>
          <w:p w:rsidR="00475650" w:rsidRDefault="00475650">
            <w:pPr>
              <w:jc w:val="center"/>
              <w:rPr>
                <w:szCs w:val="21"/>
              </w:rPr>
            </w:pPr>
            <w:r>
              <w:rPr>
                <w:rFonts w:hint="eastAsia"/>
                <w:szCs w:val="21"/>
              </w:rPr>
              <w:t>氨</w:t>
            </w:r>
          </w:p>
        </w:tc>
        <w:tc>
          <w:tcPr>
            <w:tcW w:w="1134" w:type="dxa"/>
            <w:vAlign w:val="center"/>
          </w:tcPr>
          <w:p w:rsidR="00475650" w:rsidRDefault="00475650">
            <w:pPr>
              <w:jc w:val="center"/>
              <w:rPr>
                <w:szCs w:val="21"/>
              </w:rPr>
            </w:pPr>
          </w:p>
        </w:tc>
        <w:tc>
          <w:tcPr>
            <w:tcW w:w="1416" w:type="dxa"/>
            <w:vAlign w:val="center"/>
          </w:tcPr>
          <w:p w:rsidR="00475650" w:rsidRDefault="00475650">
            <w:pPr>
              <w:jc w:val="center"/>
              <w:rPr>
                <w:szCs w:val="21"/>
              </w:rPr>
            </w:pPr>
          </w:p>
        </w:tc>
        <w:tc>
          <w:tcPr>
            <w:tcW w:w="992" w:type="dxa"/>
            <w:vAlign w:val="center"/>
          </w:tcPr>
          <w:p w:rsidR="00475650" w:rsidRDefault="00475650">
            <w:pPr>
              <w:jc w:val="center"/>
              <w:rPr>
                <w:szCs w:val="21"/>
              </w:rPr>
            </w:pPr>
          </w:p>
        </w:tc>
        <w:tc>
          <w:tcPr>
            <w:tcW w:w="850" w:type="dxa"/>
            <w:vAlign w:val="center"/>
          </w:tcPr>
          <w:p w:rsidR="00475650" w:rsidRDefault="00475650">
            <w:pPr>
              <w:jc w:val="center"/>
              <w:rPr>
                <w:szCs w:val="21"/>
              </w:rPr>
            </w:pPr>
          </w:p>
        </w:tc>
        <w:tc>
          <w:tcPr>
            <w:tcW w:w="995" w:type="dxa"/>
            <w:vAlign w:val="center"/>
          </w:tcPr>
          <w:p w:rsidR="00475650" w:rsidRDefault="00475650">
            <w:pPr>
              <w:jc w:val="center"/>
              <w:rPr>
                <w:szCs w:val="21"/>
              </w:rPr>
            </w:pPr>
          </w:p>
        </w:tc>
        <w:tc>
          <w:tcPr>
            <w:tcW w:w="1134" w:type="dxa"/>
            <w:vAlign w:val="center"/>
          </w:tcPr>
          <w:p w:rsidR="00475650" w:rsidRDefault="00475650">
            <w:pPr>
              <w:jc w:val="center"/>
              <w:rPr>
                <w:szCs w:val="21"/>
              </w:rPr>
            </w:pPr>
            <w:r>
              <w:rPr>
                <w:rFonts w:hint="eastAsia"/>
                <w:szCs w:val="21"/>
              </w:rPr>
              <w:t>0.014 t/a</w:t>
            </w:r>
          </w:p>
        </w:tc>
        <w:tc>
          <w:tcPr>
            <w:tcW w:w="1134" w:type="dxa"/>
            <w:vAlign w:val="center"/>
          </w:tcPr>
          <w:p w:rsidR="00475650" w:rsidRDefault="00475650">
            <w:pPr>
              <w:jc w:val="center"/>
              <w:rPr>
                <w:szCs w:val="21"/>
              </w:rPr>
            </w:pPr>
          </w:p>
        </w:tc>
        <w:tc>
          <w:tcPr>
            <w:tcW w:w="569" w:type="dxa"/>
            <w:vAlign w:val="center"/>
          </w:tcPr>
          <w:p w:rsidR="00475650" w:rsidRDefault="00475650">
            <w:pPr>
              <w:jc w:val="center"/>
              <w:rPr>
                <w:rFonts w:hAnsi="宋体"/>
                <w:szCs w:val="21"/>
              </w:rPr>
            </w:pPr>
          </w:p>
        </w:tc>
        <w:tc>
          <w:tcPr>
            <w:tcW w:w="708" w:type="dxa"/>
            <w:vAlign w:val="center"/>
          </w:tcPr>
          <w:p w:rsidR="00475650" w:rsidRDefault="00475650">
            <w:pPr>
              <w:jc w:val="center"/>
              <w:rPr>
                <w:rFonts w:hAnsi="宋体"/>
                <w:szCs w:val="21"/>
              </w:rPr>
            </w:pPr>
          </w:p>
        </w:tc>
        <w:tc>
          <w:tcPr>
            <w:tcW w:w="641" w:type="dxa"/>
            <w:vAlign w:val="center"/>
          </w:tcPr>
          <w:p w:rsidR="00475650" w:rsidRDefault="00475650">
            <w:pPr>
              <w:jc w:val="center"/>
              <w:rPr>
                <w:rFonts w:hAnsi="宋体"/>
                <w:szCs w:val="21"/>
              </w:rPr>
            </w:pPr>
          </w:p>
        </w:tc>
      </w:tr>
    </w:tbl>
    <w:p w:rsidR="00475650" w:rsidRDefault="00475650">
      <w:pPr>
        <w:adjustRightInd w:val="0"/>
        <w:snapToGrid w:val="0"/>
        <w:spacing w:line="360" w:lineRule="auto"/>
        <w:jc w:val="center"/>
        <w:rPr>
          <w:rFonts w:hAnsi="宋体"/>
          <w:bCs/>
          <w:spacing w:val="4"/>
          <w:sz w:val="24"/>
        </w:rPr>
        <w:sectPr w:rsidR="00475650">
          <w:pgSz w:w="16838" w:h="11906" w:orient="landscape"/>
          <w:pgMar w:top="1588" w:right="1418" w:bottom="1588" w:left="1701" w:header="851" w:footer="992" w:gutter="0"/>
          <w:paperSrc w:first="7" w:other="7"/>
          <w:cols w:space="720"/>
          <w:docGrid w:linePitch="312"/>
        </w:sectPr>
      </w:pPr>
    </w:p>
    <w:p w:rsidR="00475650" w:rsidRDefault="00475650">
      <w:pPr>
        <w:spacing w:line="360" w:lineRule="auto"/>
        <w:ind w:firstLineChars="200" w:firstLine="480"/>
        <w:rPr>
          <w:sz w:val="24"/>
        </w:rPr>
      </w:pPr>
      <w:r>
        <w:rPr>
          <w:sz w:val="24"/>
        </w:rPr>
        <w:lastRenderedPageBreak/>
        <w:t>2</w:t>
      </w:r>
      <w:r>
        <w:rPr>
          <w:rFonts w:hAnsi="宋体"/>
          <w:sz w:val="24"/>
        </w:rPr>
        <w:t>、废水</w:t>
      </w:r>
    </w:p>
    <w:p w:rsidR="00475650" w:rsidRDefault="00475650">
      <w:pPr>
        <w:spacing w:line="360" w:lineRule="auto"/>
        <w:ind w:firstLineChars="200" w:firstLine="480"/>
        <w:rPr>
          <w:sz w:val="24"/>
        </w:rPr>
      </w:pPr>
      <w:r>
        <w:rPr>
          <w:rFonts w:hAnsi="宋体"/>
          <w:sz w:val="24"/>
        </w:rPr>
        <w:t>工程废水污染源有：隔膜压滤废水；</w:t>
      </w:r>
      <w:r>
        <w:rPr>
          <w:rFonts w:hAnsi="宋体" w:hint="eastAsia"/>
          <w:sz w:val="24"/>
        </w:rPr>
        <w:t>初期雨水、</w:t>
      </w:r>
      <w:r>
        <w:rPr>
          <w:rFonts w:hAnsi="宋体"/>
          <w:sz w:val="24"/>
        </w:rPr>
        <w:t>作业场所地面及平台冲洗水及生活污水等；各水型污染防治措施见表</w:t>
      </w:r>
      <w:r>
        <w:rPr>
          <w:sz w:val="24"/>
        </w:rPr>
        <w:t>13.3-2</w:t>
      </w:r>
      <w:r>
        <w:rPr>
          <w:rFonts w:hAnsi="宋体"/>
          <w:sz w:val="24"/>
        </w:rPr>
        <w:t>。</w:t>
      </w:r>
    </w:p>
    <w:p w:rsidR="00475650" w:rsidRDefault="00475650">
      <w:pPr>
        <w:adjustRightInd w:val="0"/>
        <w:snapToGrid w:val="0"/>
        <w:spacing w:line="360" w:lineRule="auto"/>
        <w:jc w:val="center"/>
        <w:rPr>
          <w:rFonts w:hAnsi="宋体"/>
          <w:bCs/>
          <w:spacing w:val="4"/>
          <w:sz w:val="24"/>
        </w:rPr>
      </w:pPr>
      <w:r>
        <w:rPr>
          <w:rFonts w:hAnsi="宋体"/>
          <w:bCs/>
          <w:spacing w:val="4"/>
          <w:sz w:val="24"/>
        </w:rPr>
        <w:t>表</w:t>
      </w:r>
      <w:r>
        <w:rPr>
          <w:bCs/>
          <w:spacing w:val="4"/>
          <w:sz w:val="24"/>
        </w:rPr>
        <w:t xml:space="preserve">13.3-2   </w:t>
      </w:r>
      <w:r>
        <w:rPr>
          <w:rFonts w:hAnsi="宋体"/>
          <w:bCs/>
          <w:spacing w:val="4"/>
          <w:sz w:val="24"/>
        </w:rPr>
        <w:t>水型污染物防治措施一览表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673"/>
        <w:gridCol w:w="921"/>
        <w:gridCol w:w="496"/>
        <w:gridCol w:w="823"/>
        <w:gridCol w:w="648"/>
        <w:gridCol w:w="887"/>
        <w:gridCol w:w="648"/>
        <w:gridCol w:w="777"/>
        <w:gridCol w:w="747"/>
        <w:gridCol w:w="1736"/>
      </w:tblGrid>
      <w:tr w:rsidR="00475650">
        <w:trPr>
          <w:trHeight w:val="584"/>
          <w:jc w:val="center"/>
        </w:trPr>
        <w:tc>
          <w:tcPr>
            <w:tcW w:w="1673" w:type="dxa"/>
            <w:vAlign w:val="center"/>
          </w:tcPr>
          <w:p w:rsidR="00475650" w:rsidRDefault="00475650">
            <w:pPr>
              <w:snapToGrid w:val="0"/>
              <w:spacing w:line="240" w:lineRule="exact"/>
              <w:jc w:val="center"/>
              <w:rPr>
                <w:szCs w:val="21"/>
              </w:rPr>
            </w:pPr>
            <w:r>
              <w:rPr>
                <w:rFonts w:hAnsi="宋体"/>
                <w:szCs w:val="21"/>
              </w:rPr>
              <w:t>废水来源</w:t>
            </w:r>
          </w:p>
        </w:tc>
        <w:tc>
          <w:tcPr>
            <w:tcW w:w="921" w:type="dxa"/>
            <w:vAlign w:val="center"/>
          </w:tcPr>
          <w:p w:rsidR="00475650" w:rsidRDefault="00475650">
            <w:pPr>
              <w:snapToGrid w:val="0"/>
              <w:spacing w:line="240" w:lineRule="exact"/>
              <w:jc w:val="center"/>
              <w:rPr>
                <w:szCs w:val="21"/>
              </w:rPr>
            </w:pPr>
            <w:r>
              <w:rPr>
                <w:rFonts w:hAnsi="宋体"/>
                <w:szCs w:val="21"/>
              </w:rPr>
              <w:t>废水量</w:t>
            </w:r>
          </w:p>
          <w:p w:rsidR="00475650" w:rsidRDefault="00475650">
            <w:pPr>
              <w:snapToGrid w:val="0"/>
              <w:spacing w:line="240" w:lineRule="exact"/>
              <w:jc w:val="center"/>
              <w:rPr>
                <w:szCs w:val="21"/>
              </w:rPr>
            </w:pPr>
            <w:r>
              <w:rPr>
                <w:szCs w:val="21"/>
              </w:rPr>
              <w:t>m</w:t>
            </w:r>
            <w:r>
              <w:rPr>
                <w:szCs w:val="21"/>
                <w:vertAlign w:val="superscript"/>
              </w:rPr>
              <w:t>3</w:t>
            </w:r>
            <w:r>
              <w:rPr>
                <w:szCs w:val="21"/>
              </w:rPr>
              <w:t>/d</w:t>
            </w:r>
          </w:p>
        </w:tc>
        <w:tc>
          <w:tcPr>
            <w:tcW w:w="496" w:type="dxa"/>
            <w:vAlign w:val="center"/>
          </w:tcPr>
          <w:p w:rsidR="00475650" w:rsidRDefault="00475650">
            <w:pPr>
              <w:jc w:val="center"/>
              <w:rPr>
                <w:szCs w:val="21"/>
              </w:rPr>
            </w:pPr>
            <w:r>
              <w:rPr>
                <w:szCs w:val="21"/>
              </w:rPr>
              <w:t>pH</w:t>
            </w:r>
          </w:p>
        </w:tc>
        <w:tc>
          <w:tcPr>
            <w:tcW w:w="823" w:type="dxa"/>
            <w:vAlign w:val="center"/>
          </w:tcPr>
          <w:p w:rsidR="00475650" w:rsidRDefault="00475650">
            <w:pPr>
              <w:snapToGrid w:val="0"/>
              <w:spacing w:line="240" w:lineRule="exact"/>
              <w:jc w:val="center"/>
              <w:rPr>
                <w:szCs w:val="21"/>
              </w:rPr>
            </w:pPr>
            <w:r>
              <w:rPr>
                <w:szCs w:val="21"/>
              </w:rPr>
              <w:t>CODcr</w:t>
            </w:r>
          </w:p>
          <w:p w:rsidR="00475650" w:rsidRDefault="00475650">
            <w:pPr>
              <w:jc w:val="center"/>
              <w:rPr>
                <w:szCs w:val="21"/>
              </w:rPr>
            </w:pPr>
            <w:r>
              <w:rPr>
                <w:szCs w:val="21"/>
              </w:rPr>
              <w:t>mg/1</w:t>
            </w:r>
          </w:p>
        </w:tc>
        <w:tc>
          <w:tcPr>
            <w:tcW w:w="648" w:type="dxa"/>
            <w:vAlign w:val="center"/>
          </w:tcPr>
          <w:p w:rsidR="00475650" w:rsidRDefault="00475650">
            <w:pPr>
              <w:snapToGrid w:val="0"/>
              <w:spacing w:line="240" w:lineRule="exact"/>
              <w:jc w:val="center"/>
              <w:rPr>
                <w:szCs w:val="21"/>
              </w:rPr>
            </w:pPr>
            <w:r>
              <w:rPr>
                <w:rFonts w:hAnsi="宋体"/>
                <w:szCs w:val="21"/>
              </w:rPr>
              <w:t>氨氮</w:t>
            </w:r>
          </w:p>
          <w:p w:rsidR="00475650" w:rsidRDefault="00475650">
            <w:pPr>
              <w:snapToGrid w:val="0"/>
              <w:spacing w:line="240" w:lineRule="exact"/>
              <w:jc w:val="center"/>
              <w:rPr>
                <w:szCs w:val="21"/>
              </w:rPr>
            </w:pPr>
            <w:r>
              <w:rPr>
                <w:szCs w:val="21"/>
              </w:rPr>
              <w:t>mg/1</w:t>
            </w:r>
          </w:p>
        </w:tc>
        <w:tc>
          <w:tcPr>
            <w:tcW w:w="887" w:type="dxa"/>
            <w:tcBorders>
              <w:left w:val="single" w:sz="4" w:space="0" w:color="auto"/>
            </w:tcBorders>
            <w:vAlign w:val="center"/>
          </w:tcPr>
          <w:p w:rsidR="00475650" w:rsidRDefault="00475650">
            <w:pPr>
              <w:snapToGrid w:val="0"/>
              <w:spacing w:line="240" w:lineRule="exact"/>
              <w:jc w:val="center"/>
              <w:rPr>
                <w:szCs w:val="21"/>
              </w:rPr>
            </w:pPr>
            <w:r>
              <w:rPr>
                <w:rFonts w:hint="eastAsia"/>
                <w:szCs w:val="21"/>
              </w:rPr>
              <w:t>挥发酚</w:t>
            </w:r>
          </w:p>
          <w:p w:rsidR="00475650" w:rsidRDefault="00475650">
            <w:pPr>
              <w:snapToGrid w:val="0"/>
              <w:spacing w:line="240" w:lineRule="exact"/>
              <w:jc w:val="center"/>
              <w:rPr>
                <w:szCs w:val="21"/>
              </w:rPr>
            </w:pPr>
            <w:r>
              <w:rPr>
                <w:szCs w:val="21"/>
              </w:rPr>
              <w:t>mg/1</w:t>
            </w:r>
          </w:p>
        </w:tc>
        <w:tc>
          <w:tcPr>
            <w:tcW w:w="648" w:type="dxa"/>
            <w:vAlign w:val="center"/>
          </w:tcPr>
          <w:p w:rsidR="00475650" w:rsidRDefault="00475650">
            <w:pPr>
              <w:snapToGrid w:val="0"/>
              <w:spacing w:line="240" w:lineRule="exact"/>
              <w:jc w:val="center"/>
              <w:rPr>
                <w:szCs w:val="21"/>
              </w:rPr>
            </w:pPr>
            <w:r>
              <w:rPr>
                <w:szCs w:val="21"/>
              </w:rPr>
              <w:t>SS</w:t>
            </w:r>
          </w:p>
          <w:p w:rsidR="00475650" w:rsidRDefault="00475650">
            <w:pPr>
              <w:snapToGrid w:val="0"/>
              <w:spacing w:line="240" w:lineRule="exact"/>
              <w:jc w:val="center"/>
              <w:rPr>
                <w:szCs w:val="21"/>
              </w:rPr>
            </w:pPr>
            <w:r>
              <w:rPr>
                <w:szCs w:val="21"/>
              </w:rPr>
              <w:t>mg/1</w:t>
            </w:r>
          </w:p>
        </w:tc>
        <w:tc>
          <w:tcPr>
            <w:tcW w:w="777" w:type="dxa"/>
            <w:tcBorders>
              <w:right w:val="single" w:sz="4" w:space="0" w:color="auto"/>
            </w:tcBorders>
            <w:vAlign w:val="center"/>
          </w:tcPr>
          <w:p w:rsidR="00475650" w:rsidRDefault="00475650">
            <w:pPr>
              <w:snapToGrid w:val="0"/>
              <w:spacing w:line="240" w:lineRule="exact"/>
              <w:jc w:val="center"/>
              <w:rPr>
                <w:szCs w:val="21"/>
              </w:rPr>
            </w:pPr>
            <w:r>
              <w:rPr>
                <w:rFonts w:hAnsi="宋体"/>
                <w:szCs w:val="21"/>
              </w:rPr>
              <w:t>色度</w:t>
            </w:r>
          </w:p>
        </w:tc>
        <w:tc>
          <w:tcPr>
            <w:tcW w:w="747" w:type="dxa"/>
            <w:tcBorders>
              <w:left w:val="single" w:sz="4" w:space="0" w:color="auto"/>
            </w:tcBorders>
            <w:vAlign w:val="center"/>
          </w:tcPr>
          <w:p w:rsidR="00475650" w:rsidRDefault="00475650">
            <w:pPr>
              <w:snapToGrid w:val="0"/>
              <w:spacing w:line="240" w:lineRule="exact"/>
              <w:jc w:val="center"/>
              <w:rPr>
                <w:szCs w:val="21"/>
              </w:rPr>
            </w:pPr>
            <w:r>
              <w:rPr>
                <w:rFonts w:hAnsi="宋体" w:hint="eastAsia"/>
                <w:szCs w:val="21"/>
              </w:rPr>
              <w:t>盐分</w:t>
            </w:r>
          </w:p>
        </w:tc>
        <w:tc>
          <w:tcPr>
            <w:tcW w:w="1736" w:type="dxa"/>
            <w:vAlign w:val="center"/>
          </w:tcPr>
          <w:p w:rsidR="00475650" w:rsidRDefault="00475650">
            <w:pPr>
              <w:snapToGrid w:val="0"/>
              <w:spacing w:line="240" w:lineRule="exact"/>
              <w:jc w:val="center"/>
              <w:rPr>
                <w:rFonts w:hAnsi="宋体"/>
                <w:szCs w:val="21"/>
              </w:rPr>
            </w:pPr>
            <w:r>
              <w:rPr>
                <w:rFonts w:hAnsi="宋体" w:hint="eastAsia"/>
                <w:szCs w:val="21"/>
              </w:rPr>
              <w:t>污染防治</w:t>
            </w:r>
          </w:p>
          <w:p w:rsidR="00475650" w:rsidRDefault="00475650">
            <w:pPr>
              <w:snapToGrid w:val="0"/>
              <w:spacing w:line="240" w:lineRule="exact"/>
              <w:jc w:val="center"/>
              <w:rPr>
                <w:szCs w:val="21"/>
              </w:rPr>
            </w:pPr>
            <w:r>
              <w:rPr>
                <w:rFonts w:hAnsi="宋体"/>
                <w:szCs w:val="21"/>
              </w:rPr>
              <w:t>措施</w:t>
            </w:r>
          </w:p>
        </w:tc>
      </w:tr>
      <w:tr w:rsidR="00475650">
        <w:trPr>
          <w:trHeight w:val="351"/>
          <w:jc w:val="center"/>
        </w:trPr>
        <w:tc>
          <w:tcPr>
            <w:tcW w:w="1673" w:type="dxa"/>
            <w:vAlign w:val="center"/>
          </w:tcPr>
          <w:p w:rsidR="00475650" w:rsidRDefault="00475650">
            <w:pPr>
              <w:snapToGrid w:val="0"/>
              <w:spacing w:line="240" w:lineRule="exact"/>
              <w:jc w:val="center"/>
              <w:rPr>
                <w:szCs w:val="21"/>
              </w:rPr>
            </w:pPr>
            <w:r>
              <w:rPr>
                <w:rFonts w:hAnsi="宋体"/>
                <w:szCs w:val="21"/>
              </w:rPr>
              <w:t>隔膜压滤废水</w:t>
            </w:r>
            <w:r>
              <w:rPr>
                <w:rFonts w:hAnsi="宋体" w:hint="eastAsia"/>
                <w:szCs w:val="21"/>
              </w:rPr>
              <w:t>及喷淋塔废水</w:t>
            </w:r>
          </w:p>
        </w:tc>
        <w:tc>
          <w:tcPr>
            <w:tcW w:w="921" w:type="dxa"/>
            <w:vAlign w:val="center"/>
          </w:tcPr>
          <w:p w:rsidR="00475650" w:rsidRDefault="00475650">
            <w:pPr>
              <w:snapToGrid w:val="0"/>
              <w:spacing w:line="240" w:lineRule="exact"/>
              <w:jc w:val="center"/>
              <w:rPr>
                <w:szCs w:val="21"/>
              </w:rPr>
            </w:pPr>
            <w:r>
              <w:rPr>
                <w:rFonts w:hint="eastAsia"/>
                <w:szCs w:val="21"/>
              </w:rPr>
              <w:t>601.6</w:t>
            </w:r>
          </w:p>
        </w:tc>
        <w:tc>
          <w:tcPr>
            <w:tcW w:w="496" w:type="dxa"/>
            <w:vAlign w:val="center"/>
          </w:tcPr>
          <w:p w:rsidR="00475650" w:rsidRDefault="00475650">
            <w:pPr>
              <w:jc w:val="center"/>
              <w:rPr>
                <w:szCs w:val="21"/>
              </w:rPr>
            </w:pPr>
            <w:r>
              <w:rPr>
                <w:rFonts w:hint="eastAsia"/>
                <w:szCs w:val="21"/>
              </w:rPr>
              <w:t>5-6</w:t>
            </w:r>
          </w:p>
        </w:tc>
        <w:tc>
          <w:tcPr>
            <w:tcW w:w="823" w:type="dxa"/>
            <w:vAlign w:val="center"/>
          </w:tcPr>
          <w:p w:rsidR="00475650" w:rsidRDefault="00475650">
            <w:pPr>
              <w:jc w:val="center"/>
              <w:rPr>
                <w:szCs w:val="21"/>
              </w:rPr>
            </w:pPr>
            <w:r>
              <w:rPr>
                <w:rFonts w:hint="eastAsia"/>
                <w:szCs w:val="21"/>
              </w:rPr>
              <w:t>10000</w:t>
            </w:r>
          </w:p>
        </w:tc>
        <w:tc>
          <w:tcPr>
            <w:tcW w:w="648" w:type="dxa"/>
            <w:vAlign w:val="center"/>
          </w:tcPr>
          <w:p w:rsidR="00475650" w:rsidRDefault="00475650">
            <w:pPr>
              <w:snapToGrid w:val="0"/>
              <w:spacing w:line="240" w:lineRule="exact"/>
              <w:jc w:val="center"/>
              <w:rPr>
                <w:szCs w:val="21"/>
              </w:rPr>
            </w:pPr>
            <w:r>
              <w:rPr>
                <w:rFonts w:hint="eastAsia"/>
                <w:szCs w:val="21"/>
              </w:rPr>
              <w:t>107</w:t>
            </w:r>
          </w:p>
        </w:tc>
        <w:tc>
          <w:tcPr>
            <w:tcW w:w="887" w:type="dxa"/>
            <w:tcBorders>
              <w:left w:val="single" w:sz="4" w:space="0" w:color="auto"/>
            </w:tcBorders>
            <w:vAlign w:val="center"/>
          </w:tcPr>
          <w:p w:rsidR="00475650" w:rsidRDefault="00475650">
            <w:pPr>
              <w:snapToGrid w:val="0"/>
              <w:spacing w:line="240" w:lineRule="exact"/>
              <w:jc w:val="center"/>
              <w:rPr>
                <w:szCs w:val="21"/>
              </w:rPr>
            </w:pPr>
            <w:r>
              <w:rPr>
                <w:rFonts w:hint="eastAsia"/>
                <w:szCs w:val="21"/>
              </w:rPr>
              <w:t>117</w:t>
            </w:r>
          </w:p>
        </w:tc>
        <w:tc>
          <w:tcPr>
            <w:tcW w:w="648" w:type="dxa"/>
            <w:vAlign w:val="center"/>
          </w:tcPr>
          <w:p w:rsidR="00475650" w:rsidRDefault="00475650">
            <w:pPr>
              <w:snapToGrid w:val="0"/>
              <w:spacing w:line="240" w:lineRule="exact"/>
              <w:jc w:val="center"/>
              <w:rPr>
                <w:szCs w:val="21"/>
              </w:rPr>
            </w:pPr>
            <w:r>
              <w:rPr>
                <w:szCs w:val="21"/>
              </w:rPr>
              <w:t>500</w:t>
            </w:r>
          </w:p>
        </w:tc>
        <w:tc>
          <w:tcPr>
            <w:tcW w:w="777" w:type="dxa"/>
            <w:tcBorders>
              <w:right w:val="single" w:sz="4" w:space="0" w:color="auto"/>
            </w:tcBorders>
            <w:vAlign w:val="center"/>
          </w:tcPr>
          <w:p w:rsidR="00475650" w:rsidRDefault="00475650">
            <w:pPr>
              <w:snapToGrid w:val="0"/>
              <w:spacing w:line="240" w:lineRule="exact"/>
              <w:jc w:val="center"/>
              <w:rPr>
                <w:szCs w:val="21"/>
              </w:rPr>
            </w:pPr>
            <w:r>
              <w:rPr>
                <w:rFonts w:hint="eastAsia"/>
                <w:szCs w:val="21"/>
              </w:rPr>
              <w:t>25</w:t>
            </w:r>
            <w:r>
              <w:rPr>
                <w:szCs w:val="21"/>
              </w:rPr>
              <w:t>000</w:t>
            </w:r>
          </w:p>
        </w:tc>
        <w:tc>
          <w:tcPr>
            <w:tcW w:w="747" w:type="dxa"/>
            <w:tcBorders>
              <w:left w:val="single" w:sz="4" w:space="0" w:color="auto"/>
            </w:tcBorders>
            <w:vAlign w:val="center"/>
          </w:tcPr>
          <w:p w:rsidR="00475650" w:rsidRDefault="00475650">
            <w:pPr>
              <w:snapToGrid w:val="0"/>
              <w:spacing w:line="240" w:lineRule="exact"/>
              <w:jc w:val="center"/>
              <w:rPr>
                <w:szCs w:val="21"/>
              </w:rPr>
            </w:pPr>
            <w:r>
              <w:rPr>
                <w:rFonts w:hint="eastAsia"/>
                <w:szCs w:val="21"/>
              </w:rPr>
              <w:t>2%</w:t>
            </w:r>
          </w:p>
        </w:tc>
        <w:tc>
          <w:tcPr>
            <w:tcW w:w="1736" w:type="dxa"/>
            <w:vMerge w:val="restart"/>
            <w:vAlign w:val="center"/>
          </w:tcPr>
          <w:p w:rsidR="00475650" w:rsidRDefault="00475650">
            <w:pPr>
              <w:snapToGrid w:val="0"/>
              <w:spacing w:line="240" w:lineRule="exact"/>
              <w:jc w:val="center"/>
              <w:rPr>
                <w:szCs w:val="21"/>
              </w:rPr>
            </w:pPr>
            <w:r>
              <w:rPr>
                <w:rFonts w:hAnsi="宋体"/>
                <w:szCs w:val="21"/>
              </w:rPr>
              <w:t>项目新建污水处理设施</w:t>
            </w:r>
          </w:p>
          <w:p w:rsidR="00475650" w:rsidRDefault="00475650">
            <w:pPr>
              <w:snapToGrid w:val="0"/>
              <w:spacing w:line="240" w:lineRule="exact"/>
              <w:jc w:val="center"/>
              <w:rPr>
                <w:szCs w:val="21"/>
              </w:rPr>
            </w:pPr>
          </w:p>
        </w:tc>
      </w:tr>
      <w:tr w:rsidR="00475650">
        <w:trPr>
          <w:trHeight w:val="351"/>
          <w:jc w:val="center"/>
        </w:trPr>
        <w:tc>
          <w:tcPr>
            <w:tcW w:w="1673" w:type="dxa"/>
            <w:vAlign w:val="center"/>
          </w:tcPr>
          <w:p w:rsidR="00475650" w:rsidRDefault="00475650">
            <w:pPr>
              <w:snapToGrid w:val="0"/>
              <w:spacing w:line="240" w:lineRule="exact"/>
              <w:jc w:val="center"/>
              <w:rPr>
                <w:rFonts w:hAnsi="宋体"/>
                <w:szCs w:val="21"/>
              </w:rPr>
            </w:pPr>
            <w:r>
              <w:rPr>
                <w:rFonts w:hAnsi="宋体" w:hint="eastAsia"/>
                <w:szCs w:val="21"/>
              </w:rPr>
              <w:t>初期雨水</w:t>
            </w:r>
          </w:p>
        </w:tc>
        <w:tc>
          <w:tcPr>
            <w:tcW w:w="921" w:type="dxa"/>
            <w:vAlign w:val="center"/>
          </w:tcPr>
          <w:p w:rsidR="00475650" w:rsidRDefault="00475650">
            <w:pPr>
              <w:snapToGrid w:val="0"/>
              <w:spacing w:line="240" w:lineRule="exact"/>
              <w:jc w:val="center"/>
              <w:rPr>
                <w:szCs w:val="21"/>
              </w:rPr>
            </w:pPr>
            <w:r>
              <w:rPr>
                <w:rFonts w:hint="eastAsia"/>
                <w:szCs w:val="21"/>
              </w:rPr>
              <w:t>18.7</w:t>
            </w:r>
          </w:p>
        </w:tc>
        <w:tc>
          <w:tcPr>
            <w:tcW w:w="496" w:type="dxa"/>
            <w:vAlign w:val="center"/>
          </w:tcPr>
          <w:p w:rsidR="00475650" w:rsidRDefault="00475650">
            <w:pPr>
              <w:jc w:val="center"/>
              <w:rPr>
                <w:szCs w:val="21"/>
              </w:rPr>
            </w:pPr>
            <w:r>
              <w:rPr>
                <w:rFonts w:hint="eastAsia"/>
                <w:szCs w:val="21"/>
              </w:rPr>
              <w:t>6-7</w:t>
            </w:r>
          </w:p>
        </w:tc>
        <w:tc>
          <w:tcPr>
            <w:tcW w:w="823" w:type="dxa"/>
            <w:vAlign w:val="center"/>
          </w:tcPr>
          <w:p w:rsidR="00475650" w:rsidRDefault="00475650">
            <w:pPr>
              <w:jc w:val="center"/>
              <w:rPr>
                <w:szCs w:val="21"/>
              </w:rPr>
            </w:pPr>
            <w:r>
              <w:rPr>
                <w:rFonts w:hint="eastAsia"/>
                <w:szCs w:val="21"/>
              </w:rPr>
              <w:t>1000</w:t>
            </w:r>
          </w:p>
        </w:tc>
        <w:tc>
          <w:tcPr>
            <w:tcW w:w="648" w:type="dxa"/>
            <w:vAlign w:val="center"/>
          </w:tcPr>
          <w:p w:rsidR="00475650" w:rsidRDefault="00475650">
            <w:pPr>
              <w:snapToGrid w:val="0"/>
              <w:spacing w:line="240" w:lineRule="exact"/>
              <w:jc w:val="center"/>
              <w:rPr>
                <w:szCs w:val="21"/>
              </w:rPr>
            </w:pPr>
            <w:r>
              <w:rPr>
                <w:rFonts w:hint="eastAsia"/>
                <w:szCs w:val="21"/>
              </w:rPr>
              <w:t>20</w:t>
            </w:r>
          </w:p>
        </w:tc>
        <w:tc>
          <w:tcPr>
            <w:tcW w:w="887" w:type="dxa"/>
            <w:tcBorders>
              <w:left w:val="single" w:sz="4" w:space="0" w:color="auto"/>
            </w:tcBorders>
            <w:vAlign w:val="center"/>
          </w:tcPr>
          <w:p w:rsidR="00475650" w:rsidRDefault="00475650">
            <w:pPr>
              <w:snapToGrid w:val="0"/>
              <w:spacing w:line="240" w:lineRule="exact"/>
              <w:jc w:val="center"/>
              <w:rPr>
                <w:szCs w:val="21"/>
              </w:rPr>
            </w:pPr>
            <w:r>
              <w:rPr>
                <w:rFonts w:hint="eastAsia"/>
                <w:szCs w:val="21"/>
              </w:rPr>
              <w:t>10</w:t>
            </w:r>
          </w:p>
        </w:tc>
        <w:tc>
          <w:tcPr>
            <w:tcW w:w="648" w:type="dxa"/>
            <w:vAlign w:val="center"/>
          </w:tcPr>
          <w:p w:rsidR="00475650" w:rsidRDefault="00475650">
            <w:pPr>
              <w:snapToGrid w:val="0"/>
              <w:spacing w:line="240" w:lineRule="exact"/>
              <w:jc w:val="center"/>
              <w:rPr>
                <w:szCs w:val="21"/>
              </w:rPr>
            </w:pPr>
            <w:r>
              <w:rPr>
                <w:rFonts w:hint="eastAsia"/>
                <w:szCs w:val="21"/>
              </w:rPr>
              <w:t>200</w:t>
            </w:r>
          </w:p>
        </w:tc>
        <w:tc>
          <w:tcPr>
            <w:tcW w:w="777" w:type="dxa"/>
            <w:tcBorders>
              <w:right w:val="single" w:sz="4" w:space="0" w:color="auto"/>
            </w:tcBorders>
            <w:vAlign w:val="center"/>
          </w:tcPr>
          <w:p w:rsidR="00475650" w:rsidRDefault="00475650">
            <w:pPr>
              <w:snapToGrid w:val="0"/>
              <w:spacing w:line="240" w:lineRule="exact"/>
              <w:jc w:val="center"/>
              <w:rPr>
                <w:szCs w:val="21"/>
              </w:rPr>
            </w:pPr>
            <w:r>
              <w:rPr>
                <w:rFonts w:hint="eastAsia"/>
                <w:szCs w:val="21"/>
              </w:rPr>
              <w:t>1000</w:t>
            </w:r>
          </w:p>
        </w:tc>
        <w:tc>
          <w:tcPr>
            <w:tcW w:w="747" w:type="dxa"/>
            <w:tcBorders>
              <w:left w:val="single" w:sz="4" w:space="0" w:color="auto"/>
            </w:tcBorders>
            <w:vAlign w:val="center"/>
          </w:tcPr>
          <w:p w:rsidR="00475650" w:rsidRDefault="00475650">
            <w:pPr>
              <w:snapToGrid w:val="0"/>
              <w:spacing w:line="240" w:lineRule="exact"/>
              <w:jc w:val="center"/>
              <w:rPr>
                <w:szCs w:val="21"/>
              </w:rPr>
            </w:pPr>
            <w:r>
              <w:rPr>
                <w:szCs w:val="21"/>
              </w:rPr>
              <w:t>/</w:t>
            </w:r>
          </w:p>
        </w:tc>
        <w:tc>
          <w:tcPr>
            <w:tcW w:w="1736" w:type="dxa"/>
            <w:vMerge/>
            <w:vAlign w:val="center"/>
          </w:tcPr>
          <w:p w:rsidR="00475650" w:rsidRDefault="00475650">
            <w:pPr>
              <w:snapToGrid w:val="0"/>
              <w:spacing w:line="240" w:lineRule="exact"/>
              <w:jc w:val="center"/>
              <w:rPr>
                <w:rFonts w:hAnsi="宋体"/>
                <w:szCs w:val="21"/>
              </w:rPr>
            </w:pPr>
          </w:p>
        </w:tc>
      </w:tr>
      <w:tr w:rsidR="00475650">
        <w:trPr>
          <w:trHeight w:val="345"/>
          <w:jc w:val="center"/>
        </w:trPr>
        <w:tc>
          <w:tcPr>
            <w:tcW w:w="1673" w:type="dxa"/>
            <w:vAlign w:val="center"/>
          </w:tcPr>
          <w:p w:rsidR="00475650" w:rsidRDefault="00475650">
            <w:pPr>
              <w:snapToGrid w:val="0"/>
              <w:spacing w:line="240" w:lineRule="exact"/>
              <w:jc w:val="center"/>
              <w:rPr>
                <w:szCs w:val="21"/>
              </w:rPr>
            </w:pPr>
            <w:r>
              <w:rPr>
                <w:rFonts w:hAnsi="宋体"/>
                <w:szCs w:val="21"/>
              </w:rPr>
              <w:t>装置平台及地面冲洗水</w:t>
            </w:r>
            <w:r>
              <w:rPr>
                <w:szCs w:val="21"/>
              </w:rPr>
              <w:t>(</w:t>
            </w:r>
            <w:r>
              <w:rPr>
                <w:rFonts w:hAnsi="宋体"/>
                <w:szCs w:val="21"/>
              </w:rPr>
              <w:t>间断</w:t>
            </w:r>
            <w:r>
              <w:rPr>
                <w:szCs w:val="21"/>
              </w:rPr>
              <w:t>)</w:t>
            </w:r>
          </w:p>
        </w:tc>
        <w:tc>
          <w:tcPr>
            <w:tcW w:w="921" w:type="dxa"/>
            <w:vAlign w:val="center"/>
          </w:tcPr>
          <w:p w:rsidR="00475650" w:rsidRDefault="00475650">
            <w:pPr>
              <w:snapToGrid w:val="0"/>
              <w:spacing w:line="240" w:lineRule="exact"/>
              <w:jc w:val="center"/>
              <w:rPr>
                <w:szCs w:val="21"/>
              </w:rPr>
            </w:pPr>
            <w:r>
              <w:rPr>
                <w:szCs w:val="21"/>
              </w:rPr>
              <w:t>0.8</w:t>
            </w:r>
          </w:p>
        </w:tc>
        <w:tc>
          <w:tcPr>
            <w:tcW w:w="496" w:type="dxa"/>
            <w:vAlign w:val="center"/>
          </w:tcPr>
          <w:p w:rsidR="00475650" w:rsidRDefault="00475650">
            <w:pPr>
              <w:jc w:val="center"/>
              <w:rPr>
                <w:szCs w:val="21"/>
              </w:rPr>
            </w:pPr>
            <w:r>
              <w:rPr>
                <w:szCs w:val="21"/>
              </w:rPr>
              <w:t>5-</w:t>
            </w:r>
            <w:r>
              <w:rPr>
                <w:rFonts w:hint="eastAsia"/>
                <w:szCs w:val="21"/>
              </w:rPr>
              <w:t>7</w:t>
            </w:r>
          </w:p>
        </w:tc>
        <w:tc>
          <w:tcPr>
            <w:tcW w:w="823" w:type="dxa"/>
            <w:vAlign w:val="center"/>
          </w:tcPr>
          <w:p w:rsidR="00475650" w:rsidRDefault="00475650">
            <w:pPr>
              <w:jc w:val="center"/>
              <w:rPr>
                <w:szCs w:val="21"/>
              </w:rPr>
            </w:pPr>
            <w:r>
              <w:rPr>
                <w:szCs w:val="21"/>
              </w:rPr>
              <w:t>400</w:t>
            </w:r>
          </w:p>
        </w:tc>
        <w:tc>
          <w:tcPr>
            <w:tcW w:w="648" w:type="dxa"/>
            <w:vAlign w:val="center"/>
          </w:tcPr>
          <w:p w:rsidR="00475650" w:rsidRDefault="00475650">
            <w:pPr>
              <w:snapToGrid w:val="0"/>
              <w:spacing w:line="240" w:lineRule="exact"/>
              <w:jc w:val="center"/>
              <w:rPr>
                <w:szCs w:val="21"/>
              </w:rPr>
            </w:pPr>
            <w:r>
              <w:rPr>
                <w:szCs w:val="21"/>
              </w:rPr>
              <w:t>20</w:t>
            </w:r>
          </w:p>
        </w:tc>
        <w:tc>
          <w:tcPr>
            <w:tcW w:w="887" w:type="dxa"/>
            <w:tcBorders>
              <w:left w:val="single" w:sz="4" w:space="0" w:color="auto"/>
            </w:tcBorders>
            <w:vAlign w:val="center"/>
          </w:tcPr>
          <w:p w:rsidR="00475650" w:rsidRDefault="00475650">
            <w:pPr>
              <w:snapToGrid w:val="0"/>
              <w:spacing w:line="240" w:lineRule="exact"/>
              <w:jc w:val="center"/>
              <w:rPr>
                <w:szCs w:val="21"/>
              </w:rPr>
            </w:pPr>
            <w:r>
              <w:rPr>
                <w:rFonts w:hint="eastAsia"/>
                <w:szCs w:val="21"/>
              </w:rPr>
              <w:t>10</w:t>
            </w:r>
          </w:p>
        </w:tc>
        <w:tc>
          <w:tcPr>
            <w:tcW w:w="648" w:type="dxa"/>
            <w:vAlign w:val="center"/>
          </w:tcPr>
          <w:p w:rsidR="00475650" w:rsidRDefault="00475650">
            <w:pPr>
              <w:snapToGrid w:val="0"/>
              <w:spacing w:line="240" w:lineRule="exact"/>
              <w:jc w:val="center"/>
              <w:rPr>
                <w:szCs w:val="21"/>
              </w:rPr>
            </w:pPr>
            <w:r>
              <w:rPr>
                <w:szCs w:val="21"/>
              </w:rPr>
              <w:t>200</w:t>
            </w:r>
          </w:p>
        </w:tc>
        <w:tc>
          <w:tcPr>
            <w:tcW w:w="777" w:type="dxa"/>
            <w:tcBorders>
              <w:right w:val="single" w:sz="4" w:space="0" w:color="auto"/>
            </w:tcBorders>
            <w:vAlign w:val="center"/>
          </w:tcPr>
          <w:p w:rsidR="00475650" w:rsidRDefault="00475650">
            <w:pPr>
              <w:snapToGrid w:val="0"/>
              <w:spacing w:line="240" w:lineRule="exact"/>
              <w:jc w:val="center"/>
              <w:rPr>
                <w:szCs w:val="21"/>
              </w:rPr>
            </w:pPr>
            <w:r>
              <w:rPr>
                <w:szCs w:val="21"/>
              </w:rPr>
              <w:t>/</w:t>
            </w:r>
          </w:p>
        </w:tc>
        <w:tc>
          <w:tcPr>
            <w:tcW w:w="747" w:type="dxa"/>
            <w:tcBorders>
              <w:left w:val="single" w:sz="4" w:space="0" w:color="auto"/>
            </w:tcBorders>
            <w:vAlign w:val="center"/>
          </w:tcPr>
          <w:p w:rsidR="00475650" w:rsidRDefault="00475650">
            <w:pPr>
              <w:snapToGrid w:val="0"/>
              <w:spacing w:line="240" w:lineRule="exact"/>
              <w:jc w:val="center"/>
              <w:rPr>
                <w:szCs w:val="21"/>
              </w:rPr>
            </w:pPr>
            <w:r>
              <w:rPr>
                <w:szCs w:val="21"/>
              </w:rPr>
              <w:t>/</w:t>
            </w:r>
          </w:p>
        </w:tc>
        <w:tc>
          <w:tcPr>
            <w:tcW w:w="1736" w:type="dxa"/>
            <w:vMerge/>
            <w:vAlign w:val="center"/>
          </w:tcPr>
          <w:p w:rsidR="00475650" w:rsidRDefault="00475650">
            <w:pPr>
              <w:snapToGrid w:val="0"/>
              <w:spacing w:line="240" w:lineRule="exact"/>
              <w:jc w:val="center"/>
              <w:rPr>
                <w:szCs w:val="21"/>
              </w:rPr>
            </w:pPr>
          </w:p>
        </w:tc>
      </w:tr>
      <w:tr w:rsidR="00475650">
        <w:trPr>
          <w:trHeight w:val="345"/>
          <w:jc w:val="center"/>
        </w:trPr>
        <w:tc>
          <w:tcPr>
            <w:tcW w:w="1673" w:type="dxa"/>
            <w:vAlign w:val="center"/>
          </w:tcPr>
          <w:p w:rsidR="00475650" w:rsidRDefault="00475650">
            <w:pPr>
              <w:snapToGrid w:val="0"/>
              <w:spacing w:line="240" w:lineRule="exact"/>
              <w:jc w:val="center"/>
              <w:rPr>
                <w:szCs w:val="21"/>
              </w:rPr>
            </w:pPr>
            <w:r>
              <w:rPr>
                <w:rFonts w:hAnsi="宋体"/>
                <w:szCs w:val="21"/>
              </w:rPr>
              <w:t>生活废水（连续）</w:t>
            </w:r>
          </w:p>
        </w:tc>
        <w:tc>
          <w:tcPr>
            <w:tcW w:w="921" w:type="dxa"/>
            <w:vAlign w:val="center"/>
          </w:tcPr>
          <w:p w:rsidR="00475650" w:rsidRDefault="00475650">
            <w:pPr>
              <w:snapToGrid w:val="0"/>
              <w:spacing w:line="240" w:lineRule="exact"/>
              <w:jc w:val="center"/>
              <w:rPr>
                <w:szCs w:val="21"/>
              </w:rPr>
            </w:pPr>
            <w:r>
              <w:rPr>
                <w:szCs w:val="21"/>
              </w:rPr>
              <w:t>2</w:t>
            </w:r>
          </w:p>
        </w:tc>
        <w:tc>
          <w:tcPr>
            <w:tcW w:w="496" w:type="dxa"/>
            <w:vAlign w:val="center"/>
          </w:tcPr>
          <w:p w:rsidR="00475650" w:rsidRDefault="00475650">
            <w:pPr>
              <w:jc w:val="center"/>
              <w:rPr>
                <w:szCs w:val="21"/>
              </w:rPr>
            </w:pPr>
            <w:r>
              <w:rPr>
                <w:rFonts w:hint="eastAsia"/>
                <w:szCs w:val="21"/>
              </w:rPr>
              <w:t>5-7</w:t>
            </w:r>
          </w:p>
        </w:tc>
        <w:tc>
          <w:tcPr>
            <w:tcW w:w="823" w:type="dxa"/>
            <w:vAlign w:val="center"/>
          </w:tcPr>
          <w:p w:rsidR="00475650" w:rsidRDefault="00475650">
            <w:pPr>
              <w:jc w:val="center"/>
              <w:rPr>
                <w:szCs w:val="21"/>
              </w:rPr>
            </w:pPr>
            <w:r>
              <w:rPr>
                <w:rFonts w:hint="eastAsia"/>
                <w:szCs w:val="21"/>
              </w:rPr>
              <w:t>300</w:t>
            </w:r>
          </w:p>
        </w:tc>
        <w:tc>
          <w:tcPr>
            <w:tcW w:w="648" w:type="dxa"/>
            <w:vAlign w:val="center"/>
          </w:tcPr>
          <w:p w:rsidR="00475650" w:rsidRDefault="00475650">
            <w:pPr>
              <w:snapToGrid w:val="0"/>
              <w:spacing w:line="240" w:lineRule="exact"/>
              <w:jc w:val="center"/>
              <w:rPr>
                <w:szCs w:val="21"/>
              </w:rPr>
            </w:pPr>
            <w:r>
              <w:rPr>
                <w:rFonts w:hint="eastAsia"/>
                <w:szCs w:val="21"/>
              </w:rPr>
              <w:t>20</w:t>
            </w:r>
          </w:p>
        </w:tc>
        <w:tc>
          <w:tcPr>
            <w:tcW w:w="887" w:type="dxa"/>
            <w:tcBorders>
              <w:left w:val="single" w:sz="4" w:space="0" w:color="auto"/>
            </w:tcBorders>
            <w:vAlign w:val="center"/>
          </w:tcPr>
          <w:p w:rsidR="00475650" w:rsidRDefault="00475650">
            <w:pPr>
              <w:snapToGrid w:val="0"/>
              <w:spacing w:line="240" w:lineRule="exact"/>
              <w:jc w:val="center"/>
              <w:rPr>
                <w:szCs w:val="21"/>
              </w:rPr>
            </w:pPr>
            <w:r>
              <w:rPr>
                <w:rFonts w:hint="eastAsia"/>
                <w:szCs w:val="21"/>
              </w:rPr>
              <w:t>/</w:t>
            </w:r>
          </w:p>
        </w:tc>
        <w:tc>
          <w:tcPr>
            <w:tcW w:w="648" w:type="dxa"/>
            <w:vAlign w:val="center"/>
          </w:tcPr>
          <w:p w:rsidR="00475650" w:rsidRDefault="00475650">
            <w:pPr>
              <w:snapToGrid w:val="0"/>
              <w:spacing w:line="240" w:lineRule="exact"/>
              <w:jc w:val="center"/>
              <w:rPr>
                <w:szCs w:val="21"/>
              </w:rPr>
            </w:pPr>
            <w:r>
              <w:rPr>
                <w:szCs w:val="21"/>
              </w:rPr>
              <w:t>100</w:t>
            </w:r>
          </w:p>
        </w:tc>
        <w:tc>
          <w:tcPr>
            <w:tcW w:w="777" w:type="dxa"/>
            <w:tcBorders>
              <w:right w:val="single" w:sz="4" w:space="0" w:color="auto"/>
            </w:tcBorders>
            <w:vAlign w:val="center"/>
          </w:tcPr>
          <w:p w:rsidR="00475650" w:rsidRDefault="00475650">
            <w:pPr>
              <w:snapToGrid w:val="0"/>
              <w:spacing w:line="240" w:lineRule="exact"/>
              <w:jc w:val="center"/>
              <w:rPr>
                <w:szCs w:val="21"/>
              </w:rPr>
            </w:pPr>
            <w:r>
              <w:rPr>
                <w:szCs w:val="21"/>
              </w:rPr>
              <w:t>/</w:t>
            </w:r>
          </w:p>
        </w:tc>
        <w:tc>
          <w:tcPr>
            <w:tcW w:w="747" w:type="dxa"/>
            <w:tcBorders>
              <w:left w:val="single" w:sz="4" w:space="0" w:color="auto"/>
            </w:tcBorders>
            <w:vAlign w:val="center"/>
          </w:tcPr>
          <w:p w:rsidR="00475650" w:rsidRDefault="00475650">
            <w:pPr>
              <w:snapToGrid w:val="0"/>
              <w:spacing w:line="240" w:lineRule="exact"/>
              <w:jc w:val="center"/>
              <w:rPr>
                <w:szCs w:val="21"/>
              </w:rPr>
            </w:pPr>
            <w:r>
              <w:rPr>
                <w:szCs w:val="21"/>
              </w:rPr>
              <w:t>/</w:t>
            </w:r>
          </w:p>
        </w:tc>
        <w:tc>
          <w:tcPr>
            <w:tcW w:w="1736" w:type="dxa"/>
            <w:vAlign w:val="center"/>
          </w:tcPr>
          <w:p w:rsidR="00475650" w:rsidRDefault="00475650">
            <w:pPr>
              <w:snapToGrid w:val="0"/>
              <w:spacing w:line="240" w:lineRule="exact"/>
              <w:jc w:val="center"/>
              <w:rPr>
                <w:szCs w:val="21"/>
              </w:rPr>
            </w:pPr>
            <w:r>
              <w:rPr>
                <w:rFonts w:hAnsi="宋体"/>
                <w:szCs w:val="21"/>
              </w:rPr>
              <w:t>由总排口排至园区污水处理厂</w:t>
            </w:r>
          </w:p>
        </w:tc>
      </w:tr>
    </w:tbl>
    <w:p w:rsidR="00475650" w:rsidRDefault="00475650">
      <w:pPr>
        <w:adjustRightInd w:val="0"/>
        <w:snapToGrid w:val="0"/>
        <w:spacing w:line="360" w:lineRule="auto"/>
        <w:jc w:val="center"/>
        <w:rPr>
          <w:bCs/>
          <w:spacing w:val="4"/>
          <w:sz w:val="24"/>
        </w:rPr>
      </w:pPr>
    </w:p>
    <w:p w:rsidR="00475650" w:rsidRDefault="00475650">
      <w:pPr>
        <w:spacing w:line="360" w:lineRule="auto"/>
        <w:ind w:firstLineChars="200" w:firstLine="480"/>
        <w:rPr>
          <w:sz w:val="24"/>
        </w:rPr>
      </w:pPr>
      <w:r>
        <w:rPr>
          <w:sz w:val="24"/>
        </w:rPr>
        <w:t>3</w:t>
      </w:r>
      <w:r>
        <w:rPr>
          <w:rFonts w:hAnsi="宋体"/>
          <w:sz w:val="24"/>
        </w:rPr>
        <w:t>、噪声</w:t>
      </w:r>
    </w:p>
    <w:p w:rsidR="00475650" w:rsidRDefault="00475650">
      <w:pPr>
        <w:autoSpaceDE w:val="0"/>
        <w:autoSpaceDN w:val="0"/>
        <w:adjustRightInd w:val="0"/>
        <w:snapToGrid w:val="0"/>
        <w:spacing w:line="360" w:lineRule="auto"/>
        <w:ind w:firstLineChars="200" w:firstLine="480"/>
        <w:rPr>
          <w:sz w:val="24"/>
        </w:rPr>
      </w:pPr>
      <w:r>
        <w:rPr>
          <w:rFonts w:hAnsi="宋体"/>
          <w:sz w:val="24"/>
        </w:rPr>
        <w:t>本装置噪声源主要是泵、风机、压滤机等，初步可研采取的防噪措施主要为：选择低噪声设备、基础减震、加装消声器等，采用的降噪措施为同类工程常用降噪措施；在采取有效的降噪措施后，本项目各噪声源可降低</w:t>
      </w:r>
      <w:r>
        <w:rPr>
          <w:sz w:val="24"/>
        </w:rPr>
        <w:t>15-20dB</w:t>
      </w:r>
      <w:r>
        <w:rPr>
          <w:rFonts w:hAnsi="宋体"/>
          <w:sz w:val="24"/>
        </w:rPr>
        <w:t>，满足噪声设备降噪要求。</w:t>
      </w:r>
    </w:p>
    <w:p w:rsidR="00475650" w:rsidRDefault="00475650">
      <w:pPr>
        <w:spacing w:line="360" w:lineRule="auto"/>
        <w:ind w:firstLineChars="200" w:firstLine="480"/>
        <w:outlineLvl w:val="0"/>
        <w:rPr>
          <w:sz w:val="24"/>
        </w:rPr>
      </w:pPr>
      <w:bookmarkStart w:id="1257" w:name="_Toc334014321"/>
      <w:bookmarkStart w:id="1258" w:name="_Toc333230143"/>
      <w:bookmarkStart w:id="1259" w:name="_Toc334080963"/>
      <w:bookmarkStart w:id="1260" w:name="_Toc448999215"/>
      <w:bookmarkStart w:id="1261" w:name="_Toc465677116"/>
      <w:bookmarkStart w:id="1262" w:name="_Toc30232"/>
      <w:r>
        <w:rPr>
          <w:sz w:val="24"/>
        </w:rPr>
        <w:t>4</w:t>
      </w:r>
      <w:r>
        <w:rPr>
          <w:rFonts w:hAnsi="宋体"/>
          <w:sz w:val="24"/>
        </w:rPr>
        <w:t>、固废</w:t>
      </w:r>
      <w:bookmarkEnd w:id="1257"/>
      <w:bookmarkEnd w:id="1258"/>
      <w:bookmarkEnd w:id="1259"/>
      <w:bookmarkEnd w:id="1260"/>
      <w:bookmarkEnd w:id="1261"/>
      <w:bookmarkEnd w:id="1262"/>
    </w:p>
    <w:p w:rsidR="00475650" w:rsidRDefault="00475650">
      <w:pPr>
        <w:autoSpaceDE w:val="0"/>
        <w:autoSpaceDN w:val="0"/>
        <w:adjustRightInd w:val="0"/>
        <w:snapToGrid w:val="0"/>
        <w:spacing w:line="360" w:lineRule="auto"/>
        <w:ind w:firstLineChars="200" w:firstLine="480"/>
        <w:rPr>
          <w:rFonts w:hAnsi="宋体"/>
          <w:sz w:val="24"/>
        </w:rPr>
      </w:pPr>
      <w:r>
        <w:rPr>
          <w:rFonts w:hAnsi="宋体"/>
          <w:sz w:val="24"/>
        </w:rPr>
        <w:t>本项目装置产生的固体废物为废包装袋和废包装桶、污水预处理装置污泥、污水预处理装置析出盐、生活垃圾。废包装袋和包装桶属于一般工业固废，由生产厂家回收再利用；污水处理站污泥属于</w:t>
      </w:r>
      <w:r>
        <w:rPr>
          <w:rFonts w:hAnsi="宋体"/>
          <w:sz w:val="24"/>
        </w:rPr>
        <w:t>HW12</w:t>
      </w:r>
      <w:r>
        <w:rPr>
          <w:rFonts w:hAnsi="宋体"/>
          <w:sz w:val="24"/>
        </w:rPr>
        <w:t>危险固废，</w:t>
      </w:r>
      <w:r>
        <w:rPr>
          <w:rFonts w:hAnsi="宋体" w:hint="eastAsia"/>
          <w:sz w:val="24"/>
        </w:rPr>
        <w:t>外委有</w:t>
      </w:r>
      <w:r>
        <w:rPr>
          <w:rFonts w:hAnsi="宋体" w:hint="eastAsia"/>
          <w:sz w:val="24"/>
        </w:rPr>
        <w:t>HW12</w:t>
      </w:r>
      <w:r>
        <w:rPr>
          <w:rFonts w:hAnsi="宋体" w:hint="eastAsia"/>
          <w:sz w:val="24"/>
        </w:rPr>
        <w:t>危险废物处理资质的单位进行处理</w:t>
      </w:r>
      <w:r>
        <w:rPr>
          <w:rFonts w:hAnsi="宋体"/>
          <w:sz w:val="24"/>
        </w:rPr>
        <w:t>；厂内不设生活区，工作人员产生的生活垃圾较少，年产生量约</w:t>
      </w:r>
      <w:r>
        <w:rPr>
          <w:rFonts w:hAnsi="宋体"/>
          <w:sz w:val="24"/>
        </w:rPr>
        <w:t>1.8</w:t>
      </w:r>
      <w:r>
        <w:rPr>
          <w:rFonts w:hAnsi="宋体"/>
          <w:sz w:val="24"/>
        </w:rPr>
        <w:t>吨，由园区环卫部门统一清运。</w:t>
      </w:r>
      <w:r>
        <w:rPr>
          <w:rFonts w:hAnsi="宋体"/>
          <w:sz w:val="24"/>
          <w:u w:val="single"/>
        </w:rPr>
        <w:t>此外，设计新增的三效蒸发措施将产生约</w:t>
      </w:r>
      <w:r>
        <w:rPr>
          <w:rFonts w:hAnsi="宋体"/>
          <w:sz w:val="24"/>
          <w:u w:val="single"/>
        </w:rPr>
        <w:t>3320t/a</w:t>
      </w:r>
      <w:r>
        <w:rPr>
          <w:rFonts w:hAnsi="宋体"/>
          <w:sz w:val="24"/>
          <w:u w:val="single"/>
        </w:rPr>
        <w:t>的钠盐，主要成分为氯化钠和乙酸钠，</w:t>
      </w:r>
      <w:r>
        <w:rPr>
          <w:rFonts w:hAnsi="宋体" w:hint="eastAsia"/>
          <w:sz w:val="24"/>
          <w:u w:val="single"/>
        </w:rPr>
        <w:t>竣工验收期间对三效蒸发产生的盐进行危险性质鉴别，按照其所属性质分质处理，如鉴定结果属于危险废物，应按照《危险废物贮存污染控制标准》（</w:t>
      </w:r>
      <w:r>
        <w:rPr>
          <w:rFonts w:hAnsi="宋体" w:hint="eastAsia"/>
          <w:sz w:val="24"/>
          <w:u w:val="single"/>
        </w:rPr>
        <w:t>GB 18597-2001</w:t>
      </w:r>
      <w:r>
        <w:rPr>
          <w:rFonts w:hAnsi="宋体" w:hint="eastAsia"/>
          <w:sz w:val="24"/>
          <w:u w:val="single"/>
        </w:rPr>
        <w:t>）对该物质进行处理处置，外委有相应处理资质的单位处理；如业主意向作为副产品外售，则需有相关管理部门出具的关于本项目符合市场流通产品质量标准的认定材料及接收单位与本公司签订的购买协议</w:t>
      </w:r>
      <w:r>
        <w:rPr>
          <w:rFonts w:hAnsi="宋体"/>
          <w:sz w:val="24"/>
          <w:u w:val="single"/>
        </w:rPr>
        <w:t>。</w:t>
      </w:r>
    </w:p>
    <w:p w:rsidR="00475650" w:rsidRDefault="00475650">
      <w:pPr>
        <w:spacing w:line="360" w:lineRule="auto"/>
        <w:ind w:firstLineChars="200" w:firstLine="480"/>
        <w:rPr>
          <w:sz w:val="24"/>
        </w:rPr>
      </w:pPr>
      <w:r>
        <w:rPr>
          <w:rFonts w:hAnsi="宋体"/>
          <w:sz w:val="24"/>
        </w:rPr>
        <w:t>本工程环保投资估算</w:t>
      </w:r>
      <w:r>
        <w:rPr>
          <w:rFonts w:hint="eastAsia"/>
          <w:sz w:val="24"/>
        </w:rPr>
        <w:t>600</w:t>
      </w:r>
      <w:r>
        <w:rPr>
          <w:rFonts w:hAnsi="宋体"/>
          <w:sz w:val="24"/>
        </w:rPr>
        <w:t>万元，占工程总投资的</w:t>
      </w:r>
      <w:r>
        <w:rPr>
          <w:rFonts w:hint="eastAsia"/>
          <w:sz w:val="24"/>
        </w:rPr>
        <w:t>20</w:t>
      </w:r>
      <w:r>
        <w:rPr>
          <w:sz w:val="24"/>
        </w:rPr>
        <w:t>%</w:t>
      </w:r>
      <w:r>
        <w:rPr>
          <w:rFonts w:hAnsi="宋体"/>
          <w:sz w:val="24"/>
        </w:rPr>
        <w:t>。</w:t>
      </w:r>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1263" w:name="_Toc332293120"/>
      <w:bookmarkStart w:id="1264" w:name="_Toc955"/>
      <w:r>
        <w:rPr>
          <w:rStyle w:val="2Char1Char"/>
          <w:rFonts w:ascii="Times New Roman" w:eastAsia="宋体" w:hAnsi="Times New Roman" w:cs="Times New Roman"/>
          <w:b w:val="0"/>
          <w:sz w:val="28"/>
          <w:szCs w:val="28"/>
        </w:rPr>
        <w:lastRenderedPageBreak/>
        <w:t>13.4</w:t>
      </w:r>
      <w:r>
        <w:rPr>
          <w:rStyle w:val="2Char1Char"/>
          <w:rFonts w:ascii="Times New Roman" w:eastAsia="宋体" w:hAnsi="宋体" w:cs="Times New Roman"/>
          <w:b w:val="0"/>
          <w:sz w:val="28"/>
          <w:szCs w:val="28"/>
        </w:rPr>
        <w:t>环境质量现状</w:t>
      </w:r>
      <w:bookmarkEnd w:id="1263"/>
      <w:bookmarkEnd w:id="1264"/>
    </w:p>
    <w:p w:rsidR="00475650" w:rsidRDefault="00475650">
      <w:pPr>
        <w:spacing w:line="360" w:lineRule="auto"/>
        <w:ind w:firstLineChars="200" w:firstLine="480"/>
        <w:outlineLvl w:val="0"/>
        <w:rPr>
          <w:sz w:val="24"/>
        </w:rPr>
      </w:pPr>
      <w:bookmarkStart w:id="1265" w:name="_Toc334080969"/>
      <w:bookmarkStart w:id="1266" w:name="_Toc333230149"/>
      <w:bookmarkStart w:id="1267" w:name="_Toc334014327"/>
      <w:bookmarkStart w:id="1268" w:name="_Toc448999217"/>
      <w:bookmarkStart w:id="1269" w:name="_Toc465677118"/>
      <w:bookmarkStart w:id="1270" w:name="_Toc7600"/>
      <w:bookmarkStart w:id="1271" w:name="_Toc274495549"/>
      <w:r>
        <w:rPr>
          <w:rFonts w:hAnsi="宋体"/>
          <w:sz w:val="24"/>
        </w:rPr>
        <w:t>（一）大气环境</w:t>
      </w:r>
      <w:bookmarkEnd w:id="1265"/>
      <w:bookmarkEnd w:id="1266"/>
      <w:bookmarkEnd w:id="1267"/>
      <w:bookmarkEnd w:id="1268"/>
      <w:bookmarkEnd w:id="1269"/>
      <w:bookmarkEnd w:id="1270"/>
    </w:p>
    <w:p w:rsidR="00475650" w:rsidRDefault="00475650">
      <w:pPr>
        <w:spacing w:line="360" w:lineRule="auto"/>
        <w:ind w:firstLineChars="200" w:firstLine="480"/>
        <w:rPr>
          <w:sz w:val="24"/>
        </w:rPr>
      </w:pPr>
      <w:r>
        <w:rPr>
          <w:rFonts w:hAnsi="宋体" w:hint="eastAsia"/>
          <w:sz w:val="24"/>
          <w:szCs w:val="20"/>
        </w:rPr>
        <w:t>收集了区域大气常规因子及本项目特征因子监测数据，</w:t>
      </w:r>
      <w:r>
        <w:rPr>
          <w:rFonts w:hAnsi="宋体"/>
          <w:sz w:val="24"/>
          <w:szCs w:val="20"/>
        </w:rPr>
        <w:t>监测结果表明：各监测点位监测因子的浓度值均符合相关评价标准的要求，未有超标现象</w:t>
      </w:r>
      <w:r>
        <w:rPr>
          <w:rFonts w:hAnsi="宋体" w:hint="eastAsia"/>
          <w:sz w:val="24"/>
          <w:szCs w:val="20"/>
        </w:rPr>
        <w:t>；</w:t>
      </w:r>
      <w:r>
        <w:rPr>
          <w:rFonts w:hAnsi="宋体"/>
          <w:sz w:val="24"/>
          <w:szCs w:val="20"/>
        </w:rPr>
        <w:t>园区空气具有一定的环境容量。</w:t>
      </w:r>
      <w:r>
        <w:rPr>
          <w:sz w:val="24"/>
          <w:szCs w:val="20"/>
        </w:rPr>
        <w:t>PM</w:t>
      </w:r>
      <w:r>
        <w:rPr>
          <w:sz w:val="24"/>
          <w:szCs w:val="20"/>
          <w:vertAlign w:val="subscript"/>
        </w:rPr>
        <w:t>10</w:t>
      </w:r>
      <w:r>
        <w:rPr>
          <w:rFonts w:hAnsi="宋体"/>
          <w:sz w:val="24"/>
          <w:szCs w:val="20"/>
        </w:rPr>
        <w:t>占标率相对较高，根据分析，粉尘浓度受园区建设及道路扬尘贡献较大，园区应加强施工场及运输道路的洒水抑尘措施</w:t>
      </w:r>
      <w:r>
        <w:rPr>
          <w:rFonts w:hAnsi="宋体"/>
          <w:sz w:val="24"/>
        </w:rPr>
        <w:t>。</w:t>
      </w:r>
    </w:p>
    <w:p w:rsidR="00475650" w:rsidRDefault="00475650">
      <w:pPr>
        <w:spacing w:line="360" w:lineRule="auto"/>
        <w:ind w:firstLineChars="200" w:firstLine="480"/>
        <w:outlineLvl w:val="0"/>
        <w:rPr>
          <w:sz w:val="24"/>
        </w:rPr>
      </w:pPr>
      <w:bookmarkStart w:id="1272" w:name="_Toc448999218"/>
      <w:bookmarkStart w:id="1273" w:name="_Toc465677119"/>
      <w:bookmarkStart w:id="1274" w:name="_Toc485"/>
      <w:bookmarkStart w:id="1275" w:name="_Toc334080970"/>
      <w:bookmarkStart w:id="1276" w:name="_Toc334014328"/>
      <w:bookmarkStart w:id="1277" w:name="_Toc333230150"/>
      <w:r>
        <w:rPr>
          <w:rFonts w:hAnsi="宋体"/>
          <w:sz w:val="24"/>
        </w:rPr>
        <w:t>（二）地表水环境</w:t>
      </w:r>
      <w:bookmarkEnd w:id="1272"/>
      <w:bookmarkEnd w:id="1273"/>
      <w:bookmarkEnd w:id="1274"/>
      <w:bookmarkEnd w:id="1275"/>
      <w:bookmarkEnd w:id="1276"/>
      <w:bookmarkEnd w:id="1277"/>
    </w:p>
    <w:p w:rsidR="00475650" w:rsidRDefault="00475650">
      <w:pPr>
        <w:spacing w:line="360" w:lineRule="auto"/>
        <w:ind w:firstLineChars="200" w:firstLine="480"/>
        <w:rPr>
          <w:sz w:val="24"/>
        </w:rPr>
      </w:pPr>
      <w:r>
        <w:rPr>
          <w:rFonts w:hAnsi="宋体" w:hint="eastAsia"/>
          <w:sz w:val="24"/>
        </w:rPr>
        <w:t>收集了项目区常规监测断面及排污口上下游断面监测数据，</w:t>
      </w:r>
      <w:r>
        <w:rPr>
          <w:rFonts w:hAnsi="宋体"/>
          <w:sz w:val="24"/>
        </w:rPr>
        <w:t>监测表明：各监测因子均能满足《地表水环境质量标准》（</w:t>
      </w:r>
      <w:r>
        <w:rPr>
          <w:sz w:val="24"/>
        </w:rPr>
        <w:t>GB3838-2002</w:t>
      </w:r>
      <w:r>
        <w:rPr>
          <w:rFonts w:hAnsi="宋体"/>
          <w:sz w:val="24"/>
        </w:rPr>
        <w:t>）Ⅲ类标准要求。</w:t>
      </w:r>
    </w:p>
    <w:p w:rsidR="00475650" w:rsidRDefault="00475650">
      <w:pPr>
        <w:spacing w:line="360" w:lineRule="auto"/>
        <w:ind w:firstLineChars="200" w:firstLine="480"/>
        <w:outlineLvl w:val="0"/>
        <w:rPr>
          <w:sz w:val="24"/>
        </w:rPr>
      </w:pPr>
      <w:bookmarkStart w:id="1278" w:name="_Toc448999219"/>
      <w:bookmarkStart w:id="1279" w:name="_Toc465677120"/>
      <w:bookmarkStart w:id="1280" w:name="_Toc3835"/>
      <w:bookmarkStart w:id="1281" w:name="_Toc333230151"/>
      <w:bookmarkStart w:id="1282" w:name="_Toc334014329"/>
      <w:bookmarkStart w:id="1283" w:name="_Toc334080971"/>
      <w:r>
        <w:rPr>
          <w:rFonts w:hAnsi="宋体"/>
          <w:sz w:val="24"/>
        </w:rPr>
        <w:t>（三）地下水环境</w:t>
      </w:r>
      <w:bookmarkEnd w:id="1278"/>
      <w:bookmarkEnd w:id="1279"/>
      <w:bookmarkEnd w:id="1280"/>
      <w:bookmarkEnd w:id="1281"/>
      <w:bookmarkEnd w:id="1282"/>
      <w:bookmarkEnd w:id="1283"/>
    </w:p>
    <w:p w:rsidR="00475650" w:rsidRDefault="00475650">
      <w:pPr>
        <w:spacing w:line="360" w:lineRule="auto"/>
        <w:ind w:firstLineChars="200" w:firstLine="480"/>
        <w:rPr>
          <w:sz w:val="24"/>
        </w:rPr>
      </w:pPr>
      <w:r>
        <w:rPr>
          <w:rFonts w:hAnsi="宋体" w:hint="eastAsia"/>
          <w:kern w:val="0"/>
          <w:sz w:val="24"/>
        </w:rPr>
        <w:t>收集了项目区</w:t>
      </w:r>
      <w:r>
        <w:rPr>
          <w:rFonts w:hAnsi="宋体"/>
          <w:kern w:val="0"/>
          <w:sz w:val="24"/>
        </w:rPr>
        <w:t>地下水上</w:t>
      </w:r>
      <w:r>
        <w:rPr>
          <w:rFonts w:hAnsi="宋体" w:hint="eastAsia"/>
          <w:kern w:val="0"/>
          <w:sz w:val="24"/>
        </w:rPr>
        <w:t>下</w:t>
      </w:r>
      <w:r>
        <w:rPr>
          <w:rFonts w:hAnsi="宋体"/>
          <w:kern w:val="0"/>
          <w:sz w:val="24"/>
        </w:rPr>
        <w:t>游及侧</w:t>
      </w:r>
      <w:r>
        <w:rPr>
          <w:rFonts w:hAnsi="宋体" w:hint="eastAsia"/>
          <w:kern w:val="0"/>
          <w:sz w:val="24"/>
        </w:rPr>
        <w:t>方向地下水水质监测数据，监测结果表明本项目外排污染物因子</w:t>
      </w:r>
      <w:r>
        <w:rPr>
          <w:rFonts w:hAnsi="宋体"/>
          <w:kern w:val="0"/>
          <w:sz w:val="24"/>
        </w:rPr>
        <w:t>监测</w:t>
      </w:r>
      <w:r>
        <w:rPr>
          <w:rFonts w:hAnsi="宋体" w:hint="eastAsia"/>
          <w:kern w:val="0"/>
          <w:sz w:val="24"/>
        </w:rPr>
        <w:t>值</w:t>
      </w:r>
      <w:r>
        <w:rPr>
          <w:rFonts w:hAnsi="宋体"/>
          <w:kern w:val="0"/>
          <w:sz w:val="24"/>
        </w:rPr>
        <w:t>均满足《地下水质量标准》（</w:t>
      </w:r>
      <w:r>
        <w:rPr>
          <w:kern w:val="0"/>
          <w:sz w:val="24"/>
        </w:rPr>
        <w:t>GB/T14848-93</w:t>
      </w:r>
      <w:r>
        <w:rPr>
          <w:rFonts w:hAnsi="宋体"/>
          <w:kern w:val="0"/>
          <w:sz w:val="24"/>
        </w:rPr>
        <w:t>）中的Ⅲ类标准要求</w:t>
      </w:r>
      <w:r>
        <w:rPr>
          <w:rFonts w:hAnsi="宋体"/>
          <w:sz w:val="24"/>
        </w:rPr>
        <w:t>。</w:t>
      </w:r>
    </w:p>
    <w:p w:rsidR="00475650" w:rsidRDefault="00475650">
      <w:pPr>
        <w:spacing w:line="360" w:lineRule="auto"/>
        <w:ind w:firstLineChars="200" w:firstLine="480"/>
        <w:outlineLvl w:val="0"/>
        <w:rPr>
          <w:sz w:val="24"/>
        </w:rPr>
      </w:pPr>
      <w:bookmarkStart w:id="1284" w:name="_Toc334080972"/>
      <w:bookmarkStart w:id="1285" w:name="_Toc333230152"/>
      <w:bookmarkStart w:id="1286" w:name="_Toc334014330"/>
      <w:bookmarkStart w:id="1287" w:name="_Toc448999220"/>
      <w:bookmarkStart w:id="1288" w:name="_Toc465677121"/>
      <w:bookmarkStart w:id="1289" w:name="_Toc2759"/>
      <w:r>
        <w:rPr>
          <w:rFonts w:hAnsi="宋体"/>
          <w:sz w:val="24"/>
        </w:rPr>
        <w:t>（四）</w:t>
      </w:r>
      <w:bookmarkStart w:id="1290" w:name="_Toc334080973"/>
      <w:bookmarkStart w:id="1291" w:name="_Toc334014331"/>
      <w:bookmarkStart w:id="1292" w:name="_Toc333230153"/>
      <w:bookmarkEnd w:id="1284"/>
      <w:bookmarkEnd w:id="1285"/>
      <w:bookmarkEnd w:id="1286"/>
      <w:r>
        <w:rPr>
          <w:rFonts w:hAnsi="宋体"/>
          <w:sz w:val="24"/>
        </w:rPr>
        <w:t>声环境</w:t>
      </w:r>
      <w:bookmarkEnd w:id="1287"/>
      <w:bookmarkEnd w:id="1288"/>
      <w:bookmarkEnd w:id="1289"/>
      <w:bookmarkEnd w:id="1290"/>
      <w:bookmarkEnd w:id="1291"/>
      <w:bookmarkEnd w:id="1292"/>
    </w:p>
    <w:p w:rsidR="00475650" w:rsidRDefault="00475650">
      <w:pPr>
        <w:spacing w:line="360" w:lineRule="auto"/>
        <w:ind w:firstLineChars="200" w:firstLine="480"/>
        <w:rPr>
          <w:sz w:val="24"/>
        </w:rPr>
      </w:pPr>
      <w:r>
        <w:rPr>
          <w:rFonts w:hAnsi="宋体"/>
          <w:sz w:val="24"/>
        </w:rPr>
        <w:t>本次现状监测数据标明，区域声环境较好，各点声环境质量均能满足《声环境质量标准》（</w:t>
      </w:r>
      <w:r>
        <w:rPr>
          <w:sz w:val="24"/>
        </w:rPr>
        <w:t>GB3096-2008</w:t>
      </w:r>
      <w:r>
        <w:rPr>
          <w:rFonts w:hAnsi="宋体"/>
          <w:sz w:val="24"/>
        </w:rPr>
        <w:t>）相关标准的要求。</w:t>
      </w:r>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1293" w:name="_Toc334014332"/>
      <w:bookmarkStart w:id="1294" w:name="_Toc332293121"/>
      <w:bookmarkStart w:id="1295" w:name="_Toc32172"/>
      <w:r>
        <w:rPr>
          <w:rStyle w:val="2Char1Char"/>
          <w:rFonts w:ascii="Times New Roman" w:eastAsia="宋体" w:hAnsi="Times New Roman" w:cs="Times New Roman"/>
          <w:b w:val="0"/>
          <w:sz w:val="28"/>
          <w:szCs w:val="28"/>
        </w:rPr>
        <w:t xml:space="preserve">13.5 </w:t>
      </w:r>
      <w:r>
        <w:rPr>
          <w:rStyle w:val="2Char1Char"/>
          <w:rFonts w:ascii="Times New Roman" w:eastAsia="宋体" w:hAnsi="宋体" w:cs="Times New Roman"/>
          <w:b w:val="0"/>
          <w:sz w:val="28"/>
          <w:szCs w:val="28"/>
        </w:rPr>
        <w:t>环境影响预测结果</w:t>
      </w:r>
      <w:bookmarkEnd w:id="1271"/>
      <w:bookmarkEnd w:id="1293"/>
      <w:bookmarkEnd w:id="1294"/>
      <w:bookmarkEnd w:id="1295"/>
    </w:p>
    <w:p w:rsidR="00475650" w:rsidRDefault="00475650">
      <w:pPr>
        <w:spacing w:line="360" w:lineRule="auto"/>
        <w:ind w:firstLineChars="200" w:firstLine="480"/>
        <w:outlineLvl w:val="0"/>
        <w:rPr>
          <w:sz w:val="24"/>
        </w:rPr>
      </w:pPr>
      <w:bookmarkStart w:id="1296" w:name="_Toc334014333"/>
      <w:bookmarkStart w:id="1297" w:name="_Toc333230155"/>
      <w:bookmarkStart w:id="1298" w:name="_Toc334080975"/>
      <w:bookmarkStart w:id="1299" w:name="_Toc448999222"/>
      <w:bookmarkStart w:id="1300" w:name="_Toc465677123"/>
      <w:bookmarkStart w:id="1301" w:name="_Toc17362"/>
      <w:r>
        <w:rPr>
          <w:rFonts w:hAnsi="宋体"/>
          <w:sz w:val="24"/>
        </w:rPr>
        <w:t>（一）、水环境</w:t>
      </w:r>
      <w:bookmarkEnd w:id="1296"/>
      <w:bookmarkEnd w:id="1297"/>
      <w:bookmarkEnd w:id="1298"/>
      <w:bookmarkEnd w:id="1299"/>
      <w:bookmarkEnd w:id="1300"/>
      <w:bookmarkEnd w:id="1301"/>
    </w:p>
    <w:p w:rsidR="00475650" w:rsidRDefault="00475650">
      <w:pPr>
        <w:spacing w:line="360" w:lineRule="auto"/>
        <w:ind w:firstLineChars="200" w:firstLine="480"/>
        <w:rPr>
          <w:sz w:val="24"/>
        </w:rPr>
      </w:pPr>
      <w:r>
        <w:rPr>
          <w:rFonts w:hAnsi="宋体"/>
          <w:sz w:val="24"/>
        </w:rPr>
        <w:t>（</w:t>
      </w:r>
      <w:r>
        <w:rPr>
          <w:sz w:val="24"/>
        </w:rPr>
        <w:t>1</w:t>
      </w:r>
      <w:r>
        <w:rPr>
          <w:rFonts w:hAnsi="宋体"/>
          <w:sz w:val="24"/>
        </w:rPr>
        <w:t>）正常状况：项目废水经处理后水质及水量满足园区污水处理厂接纳条件，不会对园区污水处理厂产生冲击影响，废水经处理后达标外排对项目区地表水体的影响已在园区污水处理厂的建设论证方案中予以考虑，因此，正常运行的前提下本项目废水外排对地表水的影响较小。</w:t>
      </w:r>
    </w:p>
    <w:p w:rsidR="00475650" w:rsidRDefault="00475650">
      <w:pPr>
        <w:spacing w:line="360" w:lineRule="auto"/>
        <w:ind w:firstLineChars="200" w:firstLine="480"/>
        <w:rPr>
          <w:rFonts w:hAnsi="宋体"/>
          <w:sz w:val="24"/>
        </w:rPr>
      </w:pPr>
      <w:r>
        <w:rPr>
          <w:rFonts w:hAnsi="宋体"/>
          <w:sz w:val="24"/>
        </w:rPr>
        <w:t>（</w:t>
      </w:r>
      <w:r>
        <w:rPr>
          <w:sz w:val="24"/>
        </w:rPr>
        <w:t>2</w:t>
      </w:r>
      <w:r>
        <w:rPr>
          <w:rFonts w:hAnsi="宋体"/>
          <w:sz w:val="24"/>
        </w:rPr>
        <w:t>）事故状况：在污水处理设施出现故障情况下，本项目高浓度废水未经处理或处理未能达标，高浓度有机废水的并入将影响园区污水处理厂的进水水质，造成冲击负荷，严重情况下将影响污水处理厂出水水质的稳定达标，大量不达标废水的外排对地表水水质的影响远远大于本项目不达标废水的外排影响。</w:t>
      </w:r>
    </w:p>
    <w:p w:rsidR="00475650" w:rsidRDefault="00475650">
      <w:pPr>
        <w:spacing w:line="360" w:lineRule="auto"/>
        <w:ind w:firstLineChars="200" w:firstLine="480"/>
        <w:rPr>
          <w:rFonts w:hAnsi="宋体"/>
          <w:sz w:val="24"/>
        </w:rPr>
      </w:pPr>
      <w:r>
        <w:rPr>
          <w:rFonts w:hAnsi="宋体"/>
          <w:sz w:val="24"/>
        </w:rPr>
        <w:t>（</w:t>
      </w:r>
      <w:r>
        <w:rPr>
          <w:sz w:val="24"/>
        </w:rPr>
        <w:t>3</w:t>
      </w:r>
      <w:r>
        <w:rPr>
          <w:rFonts w:hAnsi="宋体"/>
          <w:sz w:val="24"/>
        </w:rPr>
        <w:t>）风险措施：</w:t>
      </w:r>
      <w:r>
        <w:rPr>
          <w:rFonts w:hAnsi="宋体" w:hint="eastAsia"/>
          <w:sz w:val="24"/>
        </w:rPr>
        <w:t>本项目入园区污水处理厂前的排口设在线监测设施，以确保废</w:t>
      </w:r>
      <w:r>
        <w:rPr>
          <w:rFonts w:hAnsi="宋体" w:hint="eastAsia"/>
          <w:sz w:val="24"/>
        </w:rPr>
        <w:lastRenderedPageBreak/>
        <w:t>水的达标接入。污水处理设施应按照《染料工业废水治理工程技术规范（</w:t>
      </w:r>
      <w:r>
        <w:rPr>
          <w:rFonts w:hAnsi="宋体" w:hint="eastAsia"/>
          <w:sz w:val="24"/>
        </w:rPr>
        <w:t>HJ 2036-2013</w:t>
      </w:r>
      <w:r>
        <w:rPr>
          <w:rFonts w:hAnsi="宋体" w:hint="eastAsia"/>
          <w:sz w:val="24"/>
        </w:rPr>
        <w:t>）》的要求进行建设，其中综合废水处理站调节池的容量按最大日流量计算，工业废水在调节池内贮存时间不宜少于</w:t>
      </w:r>
      <w:r>
        <w:rPr>
          <w:rFonts w:hAnsi="宋体" w:hint="eastAsia"/>
          <w:sz w:val="24"/>
        </w:rPr>
        <w:t>2</w:t>
      </w:r>
      <w:r>
        <w:rPr>
          <w:rFonts w:hAnsi="宋体" w:hint="eastAsia"/>
          <w:sz w:val="24"/>
        </w:rPr>
        <w:t>天</w:t>
      </w:r>
      <w:r>
        <w:rPr>
          <w:rFonts w:hAnsi="宋体"/>
          <w:sz w:val="24"/>
        </w:rPr>
        <w:t>，一旦污水处理站发生故障，应采取停工检修的方式防止后续排水作业，关闭总排口，待污水处理站正常运行后恢复生产</w:t>
      </w:r>
      <w:r>
        <w:rPr>
          <w:rFonts w:hAnsi="宋体" w:hint="eastAsia"/>
          <w:sz w:val="24"/>
        </w:rPr>
        <w:t>及废水的外排</w:t>
      </w:r>
      <w:r>
        <w:rPr>
          <w:rFonts w:hAnsi="宋体"/>
          <w:sz w:val="24"/>
        </w:rPr>
        <w:t>。</w:t>
      </w:r>
    </w:p>
    <w:p w:rsidR="00475650" w:rsidRDefault="00475650">
      <w:pPr>
        <w:spacing w:line="360" w:lineRule="auto"/>
        <w:ind w:firstLineChars="200" w:firstLine="480"/>
        <w:rPr>
          <w:sz w:val="24"/>
        </w:rPr>
      </w:pPr>
    </w:p>
    <w:p w:rsidR="00475650" w:rsidRDefault="00475650">
      <w:pPr>
        <w:spacing w:line="360" w:lineRule="auto"/>
        <w:ind w:firstLineChars="200" w:firstLine="480"/>
        <w:outlineLvl w:val="0"/>
        <w:rPr>
          <w:sz w:val="24"/>
        </w:rPr>
      </w:pPr>
      <w:bookmarkStart w:id="1302" w:name="_Toc334080976"/>
      <w:bookmarkStart w:id="1303" w:name="_Toc334014334"/>
      <w:bookmarkStart w:id="1304" w:name="_Toc333230156"/>
      <w:bookmarkStart w:id="1305" w:name="_Toc448999223"/>
      <w:bookmarkStart w:id="1306" w:name="_Toc465677124"/>
      <w:bookmarkStart w:id="1307" w:name="_Toc24527"/>
      <w:r>
        <w:rPr>
          <w:rFonts w:hAnsi="宋体"/>
          <w:sz w:val="24"/>
        </w:rPr>
        <w:t>（二）、环境空气</w:t>
      </w:r>
      <w:bookmarkEnd w:id="1302"/>
      <w:bookmarkEnd w:id="1303"/>
      <w:bookmarkEnd w:id="1304"/>
      <w:bookmarkEnd w:id="1305"/>
      <w:bookmarkEnd w:id="1306"/>
      <w:bookmarkEnd w:id="1307"/>
    </w:p>
    <w:p w:rsidR="00475650" w:rsidRDefault="00475650">
      <w:pPr>
        <w:spacing w:line="360" w:lineRule="auto"/>
        <w:ind w:firstLineChars="200" w:firstLine="480"/>
        <w:rPr>
          <w:sz w:val="24"/>
        </w:rPr>
      </w:pPr>
      <w:r>
        <w:rPr>
          <w:rFonts w:hAnsi="宋体"/>
          <w:sz w:val="24"/>
        </w:rPr>
        <w:t>（</w:t>
      </w:r>
      <w:r>
        <w:rPr>
          <w:sz w:val="24"/>
        </w:rPr>
        <w:t>1</w:t>
      </w:r>
      <w:r>
        <w:rPr>
          <w:rFonts w:hAnsi="宋体"/>
          <w:sz w:val="24"/>
        </w:rPr>
        <w:t>）小时浓度</w:t>
      </w:r>
    </w:p>
    <w:p w:rsidR="00475650" w:rsidRDefault="00475650">
      <w:pPr>
        <w:spacing w:line="360" w:lineRule="auto"/>
        <w:ind w:firstLine="482"/>
        <w:rPr>
          <w:sz w:val="24"/>
        </w:rPr>
      </w:pPr>
      <w:r>
        <w:rPr>
          <w:rFonts w:hAnsi="宋体"/>
          <w:sz w:val="24"/>
        </w:rPr>
        <w:t>根据估算模式预测得到的结果各污染物的贡献值较小，对各关心点的影响不大，排气筒高度设置符合《大气污染物综合排放标准》</w:t>
      </w:r>
      <w:r>
        <w:rPr>
          <w:sz w:val="24"/>
        </w:rPr>
        <w:t>16297-1996</w:t>
      </w:r>
      <w:r>
        <w:rPr>
          <w:rFonts w:hAnsi="宋体"/>
          <w:sz w:val="24"/>
        </w:rPr>
        <w:t>的相关要求，正常情况下，本项目废气的排放对外环境的影响较小。</w:t>
      </w:r>
    </w:p>
    <w:p w:rsidR="00475650" w:rsidRDefault="00475650">
      <w:pPr>
        <w:spacing w:line="360" w:lineRule="auto"/>
        <w:ind w:firstLineChars="200" w:firstLine="480"/>
        <w:rPr>
          <w:sz w:val="24"/>
        </w:rPr>
      </w:pPr>
      <w:r>
        <w:rPr>
          <w:rFonts w:hAnsi="宋体"/>
          <w:sz w:val="24"/>
        </w:rPr>
        <w:t>（</w:t>
      </w:r>
      <w:r>
        <w:rPr>
          <w:sz w:val="24"/>
        </w:rPr>
        <w:t>2</w:t>
      </w:r>
      <w:r>
        <w:rPr>
          <w:rFonts w:hAnsi="宋体"/>
          <w:sz w:val="24"/>
        </w:rPr>
        <w:t>）大气环境防护距离</w:t>
      </w:r>
    </w:p>
    <w:p w:rsidR="00475650" w:rsidRDefault="00475650">
      <w:pPr>
        <w:spacing w:line="360" w:lineRule="auto"/>
        <w:ind w:firstLine="482"/>
        <w:rPr>
          <w:rFonts w:hAnsi="宋体"/>
          <w:sz w:val="24"/>
        </w:rPr>
      </w:pPr>
      <w:bookmarkStart w:id="1308" w:name="_Toc334014335"/>
      <w:bookmarkStart w:id="1309" w:name="_Toc333230157"/>
      <w:bookmarkStart w:id="1310" w:name="_Toc334080977"/>
      <w:bookmarkStart w:id="1311" w:name="_Toc448999224"/>
      <w:r>
        <w:rPr>
          <w:rFonts w:hAnsi="宋体" w:hint="eastAsia"/>
          <w:sz w:val="24"/>
        </w:rPr>
        <w:t>在满足可研及环评提出的大气污染防治措施后，本项目不设大气环境防护距离</w:t>
      </w:r>
      <w:r>
        <w:rPr>
          <w:rFonts w:hAnsi="宋体"/>
          <w:sz w:val="24"/>
        </w:rPr>
        <w:t>。</w:t>
      </w:r>
      <w:r>
        <w:rPr>
          <w:rFonts w:hAnsi="宋体" w:hint="eastAsia"/>
          <w:sz w:val="24"/>
        </w:rPr>
        <w:t>公司现有工程大气环境防护距离为</w:t>
      </w:r>
      <w:r>
        <w:rPr>
          <w:rFonts w:hAnsi="宋体" w:hint="eastAsia"/>
          <w:sz w:val="24"/>
        </w:rPr>
        <w:t>250m</w:t>
      </w:r>
      <w:r>
        <w:rPr>
          <w:rFonts w:hAnsi="宋体" w:hint="eastAsia"/>
          <w:sz w:val="24"/>
        </w:rPr>
        <w:t>，大气环境防护距离内为园区工业建设范围及长江水体，无大气环境敏感点。</w:t>
      </w:r>
    </w:p>
    <w:p w:rsidR="00475650" w:rsidRDefault="00475650">
      <w:pPr>
        <w:spacing w:line="360" w:lineRule="auto"/>
        <w:ind w:firstLineChars="200" w:firstLine="480"/>
        <w:outlineLvl w:val="0"/>
        <w:rPr>
          <w:sz w:val="24"/>
        </w:rPr>
      </w:pPr>
      <w:bookmarkStart w:id="1312" w:name="_Toc465677125"/>
      <w:bookmarkStart w:id="1313" w:name="_Toc8126"/>
      <w:r>
        <w:rPr>
          <w:rFonts w:hAnsi="宋体"/>
          <w:sz w:val="24"/>
        </w:rPr>
        <w:t>（三）、声环境</w:t>
      </w:r>
      <w:bookmarkEnd w:id="1308"/>
      <w:bookmarkEnd w:id="1309"/>
      <w:bookmarkEnd w:id="1310"/>
      <w:bookmarkEnd w:id="1311"/>
      <w:bookmarkEnd w:id="1312"/>
      <w:bookmarkEnd w:id="1313"/>
    </w:p>
    <w:p w:rsidR="00475650" w:rsidRDefault="00475650">
      <w:pPr>
        <w:pStyle w:val="aff7"/>
        <w:ind w:firstLine="482"/>
        <w:rPr>
          <w:sz w:val="24"/>
          <w:szCs w:val="24"/>
        </w:rPr>
      </w:pPr>
      <w:r>
        <w:rPr>
          <w:rFonts w:hAnsi="宋体"/>
          <w:sz w:val="24"/>
          <w:szCs w:val="24"/>
        </w:rPr>
        <w:t>项目中主要的噪声设备经有效降噪后，厂界噪声符合《工业企业厂界环境噪声排放标准》</w:t>
      </w:r>
      <w:r>
        <w:rPr>
          <w:sz w:val="24"/>
          <w:szCs w:val="24"/>
        </w:rPr>
        <w:t>GB12348-2008</w:t>
      </w:r>
      <w:r>
        <w:rPr>
          <w:rFonts w:hAnsi="宋体"/>
          <w:sz w:val="24"/>
          <w:szCs w:val="24"/>
        </w:rPr>
        <w:t>中</w:t>
      </w:r>
      <w:r>
        <w:rPr>
          <w:sz w:val="24"/>
          <w:szCs w:val="24"/>
        </w:rPr>
        <w:t>3</w:t>
      </w:r>
      <w:r>
        <w:rPr>
          <w:rFonts w:hAnsi="宋体"/>
          <w:sz w:val="24"/>
          <w:szCs w:val="24"/>
        </w:rPr>
        <w:t>类标准的要求。本工程所在地周边</w:t>
      </w:r>
      <w:r>
        <w:rPr>
          <w:sz w:val="24"/>
          <w:szCs w:val="24"/>
        </w:rPr>
        <w:t>200m</w:t>
      </w:r>
      <w:r>
        <w:rPr>
          <w:rFonts w:hAnsi="宋体"/>
          <w:sz w:val="24"/>
          <w:szCs w:val="24"/>
        </w:rPr>
        <w:t>范围内无居民点居住，生产噪声对外环境的影响较小。</w:t>
      </w:r>
    </w:p>
    <w:p w:rsidR="00475650" w:rsidRDefault="00475650">
      <w:pPr>
        <w:spacing w:line="360" w:lineRule="auto"/>
        <w:ind w:firstLineChars="200" w:firstLine="480"/>
        <w:outlineLvl w:val="0"/>
        <w:rPr>
          <w:sz w:val="24"/>
        </w:rPr>
      </w:pPr>
      <w:bookmarkStart w:id="1314" w:name="_Toc333230158"/>
      <w:bookmarkStart w:id="1315" w:name="_Toc334014336"/>
      <w:bookmarkStart w:id="1316" w:name="_Toc334080978"/>
      <w:bookmarkStart w:id="1317" w:name="_Toc448999225"/>
      <w:bookmarkStart w:id="1318" w:name="_Toc465677126"/>
      <w:bookmarkStart w:id="1319" w:name="_Toc18093"/>
      <w:r>
        <w:rPr>
          <w:rFonts w:hAnsi="宋体"/>
          <w:sz w:val="24"/>
        </w:rPr>
        <w:t>（四）、固废污染环境影响分析</w:t>
      </w:r>
      <w:bookmarkEnd w:id="1314"/>
      <w:bookmarkEnd w:id="1315"/>
      <w:bookmarkEnd w:id="1316"/>
      <w:bookmarkEnd w:id="1317"/>
      <w:bookmarkEnd w:id="1318"/>
      <w:bookmarkEnd w:id="1319"/>
    </w:p>
    <w:p w:rsidR="00475650" w:rsidRDefault="00475650">
      <w:pPr>
        <w:spacing w:line="360" w:lineRule="auto"/>
        <w:ind w:firstLineChars="200" w:firstLine="480"/>
        <w:rPr>
          <w:sz w:val="24"/>
        </w:rPr>
      </w:pPr>
      <w:r>
        <w:rPr>
          <w:rFonts w:hAnsi="宋体"/>
          <w:sz w:val="24"/>
        </w:rPr>
        <w:t>在建设单位采取妥善的固体废物处理处置措施，确保无固体废物外排的情况下，固废对外环境的影响较小。</w:t>
      </w:r>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1320" w:name="_Toc274495550"/>
      <w:bookmarkStart w:id="1321" w:name="_Toc332293122"/>
      <w:bookmarkStart w:id="1322" w:name="_Toc30294"/>
      <w:r>
        <w:rPr>
          <w:rStyle w:val="2Char1Char"/>
          <w:rFonts w:ascii="Times New Roman" w:eastAsia="宋体" w:hAnsi="Times New Roman" w:cs="Times New Roman"/>
          <w:b w:val="0"/>
          <w:sz w:val="28"/>
          <w:szCs w:val="28"/>
        </w:rPr>
        <w:t xml:space="preserve">13.6 </w:t>
      </w:r>
      <w:r>
        <w:rPr>
          <w:rStyle w:val="2Char1Char"/>
          <w:rFonts w:ascii="Times New Roman" w:eastAsia="宋体" w:hAnsi="宋体" w:cs="Times New Roman"/>
          <w:b w:val="0"/>
          <w:sz w:val="28"/>
          <w:szCs w:val="28"/>
        </w:rPr>
        <w:t>清洁生产水平</w:t>
      </w:r>
      <w:bookmarkEnd w:id="1320"/>
      <w:bookmarkEnd w:id="1321"/>
      <w:bookmarkEnd w:id="1322"/>
    </w:p>
    <w:p w:rsidR="00475650" w:rsidRDefault="00475650">
      <w:pPr>
        <w:snapToGrid w:val="0"/>
        <w:spacing w:line="360" w:lineRule="auto"/>
        <w:ind w:firstLineChars="200" w:firstLine="480"/>
        <w:rPr>
          <w:sz w:val="24"/>
        </w:rPr>
      </w:pPr>
      <w:r>
        <w:rPr>
          <w:rFonts w:hAnsi="宋体"/>
          <w:sz w:val="24"/>
        </w:rPr>
        <w:t>拟建工程使用较洁净的生产能源及</w:t>
      </w:r>
      <w:r>
        <w:rPr>
          <w:rFonts w:hAnsi="宋体" w:hint="eastAsia"/>
          <w:sz w:val="24"/>
        </w:rPr>
        <w:t>化工</w:t>
      </w:r>
      <w:r>
        <w:rPr>
          <w:rFonts w:hAnsi="宋体"/>
          <w:sz w:val="24"/>
        </w:rPr>
        <w:t>常用化学品</w:t>
      </w:r>
      <w:r>
        <w:rPr>
          <w:rFonts w:hAnsi="宋体" w:hint="eastAsia"/>
          <w:sz w:val="24"/>
        </w:rPr>
        <w:t>原料</w:t>
      </w:r>
      <w:r>
        <w:rPr>
          <w:rFonts w:hAnsi="宋体"/>
          <w:sz w:val="24"/>
        </w:rPr>
        <w:t>；各设备之间的联系充分考虑了物料之间的热能交换以减少蒸汽及电能等能源的消耗，加强生产管理，采用水循环等方式从源头减少污染物的产生，采用有效的污染防治措施减少污染物的排放量；生产管理依托于公司已有的完善的管理队伍并针对项目的特点招募懂技术的管理人员；整个项目清洁生产水平</w:t>
      </w:r>
      <w:r>
        <w:rPr>
          <w:rFonts w:hAnsi="宋体" w:hint="eastAsia"/>
          <w:sz w:val="24"/>
        </w:rPr>
        <w:t>为</w:t>
      </w:r>
      <w:r>
        <w:rPr>
          <w:rFonts w:hAnsi="宋体"/>
          <w:sz w:val="24"/>
        </w:rPr>
        <w:t>国内</w:t>
      </w:r>
      <w:r>
        <w:rPr>
          <w:rFonts w:hAnsi="宋体" w:hint="eastAsia"/>
          <w:sz w:val="24"/>
        </w:rPr>
        <w:t>同类工程现有</w:t>
      </w:r>
      <w:r>
        <w:rPr>
          <w:rFonts w:hAnsi="宋体"/>
          <w:sz w:val="24"/>
        </w:rPr>
        <w:t>生产水平。</w:t>
      </w:r>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1323" w:name="_Toc274495551"/>
      <w:bookmarkStart w:id="1324" w:name="_Toc332293123"/>
      <w:bookmarkStart w:id="1325" w:name="_Toc12270"/>
      <w:r>
        <w:rPr>
          <w:rStyle w:val="2Char1Char"/>
          <w:rFonts w:ascii="Times New Roman" w:eastAsia="宋体" w:hAnsi="Times New Roman" w:cs="Times New Roman"/>
          <w:b w:val="0"/>
          <w:sz w:val="28"/>
          <w:szCs w:val="28"/>
        </w:rPr>
        <w:lastRenderedPageBreak/>
        <w:t xml:space="preserve">13.7 </w:t>
      </w:r>
      <w:r>
        <w:rPr>
          <w:rStyle w:val="2Char1Char"/>
          <w:rFonts w:ascii="Times New Roman" w:eastAsia="宋体" w:hAnsi="宋体" w:cs="Times New Roman"/>
          <w:b w:val="0"/>
          <w:sz w:val="28"/>
          <w:szCs w:val="28"/>
        </w:rPr>
        <w:t>总量控制</w:t>
      </w:r>
      <w:bookmarkEnd w:id="1323"/>
      <w:bookmarkEnd w:id="1324"/>
      <w:bookmarkEnd w:id="1325"/>
    </w:p>
    <w:p w:rsidR="00475650" w:rsidRDefault="00475650">
      <w:pPr>
        <w:spacing w:line="360" w:lineRule="auto"/>
        <w:ind w:firstLineChars="200" w:firstLine="480"/>
        <w:rPr>
          <w:rFonts w:hAnsi="宋体"/>
          <w:sz w:val="24"/>
        </w:rPr>
      </w:pPr>
      <w:r>
        <w:rPr>
          <w:rFonts w:hAnsi="宋体"/>
          <w:sz w:val="24"/>
        </w:rPr>
        <w:t>本项目预处理后的废水送园区污水处理厂</w:t>
      </w:r>
      <w:r>
        <w:rPr>
          <w:rFonts w:hAnsi="宋体" w:hint="eastAsia"/>
          <w:sz w:val="24"/>
        </w:rPr>
        <w:t>，目前已办理排污许可证</w:t>
      </w:r>
      <w:r>
        <w:rPr>
          <w:rFonts w:hAnsi="宋体"/>
          <w:sz w:val="24"/>
        </w:rPr>
        <w:t>。本项目无气型污染物总量控制指标。</w:t>
      </w:r>
    </w:p>
    <w:p w:rsidR="00475650" w:rsidRDefault="00475650">
      <w:pPr>
        <w:adjustRightInd w:val="0"/>
        <w:snapToGrid w:val="0"/>
        <w:spacing w:line="360" w:lineRule="auto"/>
        <w:jc w:val="center"/>
        <w:rPr>
          <w:bCs/>
          <w:spacing w:val="4"/>
          <w:sz w:val="24"/>
        </w:rPr>
      </w:pPr>
      <w:r>
        <w:rPr>
          <w:rFonts w:hAnsi="宋体"/>
          <w:bCs/>
          <w:spacing w:val="4"/>
          <w:sz w:val="24"/>
        </w:rPr>
        <w:t>表</w:t>
      </w:r>
      <w:r>
        <w:rPr>
          <w:rFonts w:hint="eastAsia"/>
          <w:bCs/>
          <w:spacing w:val="4"/>
          <w:sz w:val="24"/>
        </w:rPr>
        <w:t>13.7-1</w:t>
      </w:r>
      <w:r>
        <w:rPr>
          <w:bCs/>
          <w:spacing w:val="4"/>
          <w:sz w:val="24"/>
        </w:rPr>
        <w:t xml:space="preserve">   </w:t>
      </w:r>
      <w:r>
        <w:rPr>
          <w:rFonts w:hAnsi="宋体"/>
          <w:bCs/>
          <w:spacing w:val="4"/>
          <w:sz w:val="24"/>
        </w:rPr>
        <w:t>本工程污染物排放总量表</w:t>
      </w:r>
      <w:r>
        <w:rPr>
          <w:bCs/>
          <w:spacing w:val="4"/>
          <w:sz w:val="24"/>
        </w:rPr>
        <w:t xml:space="preserve">    </w:t>
      </w:r>
      <w:r>
        <w:rPr>
          <w:rFonts w:hAnsi="宋体"/>
          <w:bCs/>
          <w:spacing w:val="4"/>
          <w:sz w:val="24"/>
        </w:rPr>
        <w:t>单位：</w:t>
      </w:r>
      <w:r>
        <w:rPr>
          <w:bCs/>
          <w:spacing w:val="4"/>
          <w:sz w:val="24"/>
        </w:rPr>
        <w:t>t/a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3753"/>
        <w:gridCol w:w="1337"/>
        <w:gridCol w:w="1353"/>
        <w:gridCol w:w="1143"/>
        <w:gridCol w:w="1360"/>
      </w:tblGrid>
      <w:tr w:rsidR="00475650">
        <w:tc>
          <w:tcPr>
            <w:tcW w:w="3753" w:type="dxa"/>
            <w:vMerge w:val="restart"/>
            <w:tcBorders>
              <w:tl2br w:val="single" w:sz="4" w:space="0" w:color="auto"/>
            </w:tcBorders>
          </w:tcPr>
          <w:p w:rsidR="00475650" w:rsidRDefault="00475650">
            <w:pPr>
              <w:snapToGrid w:val="0"/>
              <w:jc w:val="center"/>
              <w:rPr>
                <w:kern w:val="0"/>
                <w:szCs w:val="21"/>
              </w:rPr>
            </w:pPr>
            <w:r>
              <w:rPr>
                <w:rFonts w:hAnsi="宋体" w:hint="eastAsia"/>
                <w:kern w:val="0"/>
                <w:szCs w:val="21"/>
              </w:rPr>
              <w:t xml:space="preserve">                       </w:t>
            </w:r>
            <w:r>
              <w:rPr>
                <w:rFonts w:hAnsi="宋体"/>
                <w:kern w:val="0"/>
                <w:szCs w:val="21"/>
              </w:rPr>
              <w:t>因子</w:t>
            </w:r>
          </w:p>
          <w:p w:rsidR="00475650" w:rsidRDefault="00475650">
            <w:pPr>
              <w:snapToGrid w:val="0"/>
              <w:jc w:val="center"/>
              <w:rPr>
                <w:kern w:val="0"/>
                <w:szCs w:val="21"/>
              </w:rPr>
            </w:pPr>
          </w:p>
          <w:p w:rsidR="00475650" w:rsidRDefault="00475650">
            <w:pPr>
              <w:snapToGrid w:val="0"/>
              <w:rPr>
                <w:kern w:val="0"/>
                <w:szCs w:val="21"/>
              </w:rPr>
            </w:pPr>
            <w:r>
              <w:rPr>
                <w:rFonts w:hAnsi="宋体"/>
                <w:kern w:val="0"/>
                <w:szCs w:val="21"/>
              </w:rPr>
              <w:t>项目</w:t>
            </w:r>
          </w:p>
        </w:tc>
        <w:tc>
          <w:tcPr>
            <w:tcW w:w="2690" w:type="dxa"/>
            <w:gridSpan w:val="2"/>
            <w:tcMar>
              <w:top w:w="28" w:type="dxa"/>
              <w:bottom w:w="28" w:type="dxa"/>
            </w:tcMar>
            <w:vAlign w:val="center"/>
          </w:tcPr>
          <w:p w:rsidR="00475650" w:rsidRDefault="00475650">
            <w:pPr>
              <w:snapToGrid w:val="0"/>
              <w:jc w:val="center"/>
              <w:rPr>
                <w:kern w:val="0"/>
                <w:szCs w:val="21"/>
              </w:rPr>
            </w:pPr>
            <w:r>
              <w:rPr>
                <w:rFonts w:hAnsi="宋体"/>
                <w:szCs w:val="21"/>
              </w:rPr>
              <w:t>气型污染物</w:t>
            </w:r>
            <w:r>
              <w:rPr>
                <w:szCs w:val="21"/>
              </w:rPr>
              <w:t>(t/a)</w:t>
            </w:r>
          </w:p>
        </w:tc>
        <w:tc>
          <w:tcPr>
            <w:tcW w:w="2503" w:type="dxa"/>
            <w:gridSpan w:val="2"/>
            <w:vAlign w:val="center"/>
          </w:tcPr>
          <w:p w:rsidR="00475650" w:rsidRDefault="00475650">
            <w:pPr>
              <w:snapToGrid w:val="0"/>
              <w:jc w:val="center"/>
              <w:rPr>
                <w:kern w:val="0"/>
                <w:szCs w:val="21"/>
              </w:rPr>
            </w:pPr>
            <w:r>
              <w:rPr>
                <w:rFonts w:hAnsi="宋体"/>
                <w:szCs w:val="21"/>
              </w:rPr>
              <w:t>水型污染物</w:t>
            </w:r>
            <w:r>
              <w:rPr>
                <w:szCs w:val="21"/>
              </w:rPr>
              <w:t>(t/a)</w:t>
            </w:r>
          </w:p>
        </w:tc>
      </w:tr>
      <w:tr w:rsidR="00475650">
        <w:trPr>
          <w:trHeight w:val="329"/>
        </w:trPr>
        <w:tc>
          <w:tcPr>
            <w:tcW w:w="3753" w:type="dxa"/>
            <w:vMerge/>
          </w:tcPr>
          <w:p w:rsidR="00475650" w:rsidRDefault="00475650">
            <w:pPr>
              <w:snapToGrid w:val="0"/>
              <w:jc w:val="center"/>
              <w:rPr>
                <w:kern w:val="0"/>
                <w:szCs w:val="21"/>
              </w:rPr>
            </w:pPr>
          </w:p>
        </w:tc>
        <w:tc>
          <w:tcPr>
            <w:tcW w:w="1337" w:type="dxa"/>
            <w:tcMar>
              <w:top w:w="28" w:type="dxa"/>
              <w:bottom w:w="28" w:type="dxa"/>
            </w:tcMar>
            <w:vAlign w:val="center"/>
          </w:tcPr>
          <w:p w:rsidR="00475650" w:rsidRDefault="00475650">
            <w:pPr>
              <w:snapToGrid w:val="0"/>
              <w:jc w:val="center"/>
              <w:rPr>
                <w:szCs w:val="21"/>
              </w:rPr>
            </w:pPr>
            <w:r>
              <w:rPr>
                <w:rFonts w:hAnsi="宋体"/>
                <w:kern w:val="0"/>
                <w:szCs w:val="21"/>
              </w:rPr>
              <w:t>二氧化硫</w:t>
            </w:r>
          </w:p>
        </w:tc>
        <w:tc>
          <w:tcPr>
            <w:tcW w:w="1353" w:type="dxa"/>
            <w:vAlign w:val="center"/>
          </w:tcPr>
          <w:p w:rsidR="00475650" w:rsidRDefault="00475650">
            <w:pPr>
              <w:snapToGrid w:val="0"/>
              <w:jc w:val="center"/>
              <w:rPr>
                <w:szCs w:val="21"/>
              </w:rPr>
            </w:pPr>
            <w:r>
              <w:rPr>
                <w:rFonts w:hAnsi="宋体"/>
                <w:kern w:val="0"/>
                <w:szCs w:val="21"/>
              </w:rPr>
              <w:t>氮氧化物</w:t>
            </w:r>
          </w:p>
        </w:tc>
        <w:tc>
          <w:tcPr>
            <w:tcW w:w="1143" w:type="dxa"/>
            <w:vAlign w:val="center"/>
          </w:tcPr>
          <w:p w:rsidR="00475650" w:rsidRDefault="00475650">
            <w:pPr>
              <w:snapToGrid w:val="0"/>
              <w:jc w:val="center"/>
              <w:rPr>
                <w:szCs w:val="21"/>
              </w:rPr>
            </w:pPr>
            <w:r>
              <w:rPr>
                <w:szCs w:val="21"/>
              </w:rPr>
              <w:t>COD</w:t>
            </w:r>
          </w:p>
        </w:tc>
        <w:tc>
          <w:tcPr>
            <w:tcW w:w="1360" w:type="dxa"/>
            <w:vAlign w:val="center"/>
          </w:tcPr>
          <w:p w:rsidR="00475650" w:rsidRDefault="00475650">
            <w:pPr>
              <w:snapToGrid w:val="0"/>
              <w:jc w:val="center"/>
              <w:rPr>
                <w:szCs w:val="21"/>
              </w:rPr>
            </w:pPr>
            <w:r>
              <w:rPr>
                <w:rFonts w:hAnsi="宋体"/>
                <w:szCs w:val="21"/>
              </w:rPr>
              <w:t>氨氮</w:t>
            </w:r>
          </w:p>
        </w:tc>
      </w:tr>
      <w:tr w:rsidR="00475650">
        <w:trPr>
          <w:trHeight w:val="329"/>
        </w:trPr>
        <w:tc>
          <w:tcPr>
            <w:tcW w:w="3753" w:type="dxa"/>
          </w:tcPr>
          <w:p w:rsidR="00475650" w:rsidRDefault="00475650">
            <w:pPr>
              <w:snapToGrid w:val="0"/>
              <w:jc w:val="center"/>
              <w:rPr>
                <w:kern w:val="0"/>
                <w:szCs w:val="21"/>
              </w:rPr>
            </w:pPr>
            <w:r>
              <w:rPr>
                <w:rFonts w:hAnsi="宋体"/>
                <w:kern w:val="0"/>
                <w:szCs w:val="21"/>
              </w:rPr>
              <w:t>公司现有工程外排总量（监测提供）</w:t>
            </w:r>
          </w:p>
        </w:tc>
        <w:tc>
          <w:tcPr>
            <w:tcW w:w="1337" w:type="dxa"/>
            <w:tcMar>
              <w:top w:w="28" w:type="dxa"/>
              <w:bottom w:w="28" w:type="dxa"/>
            </w:tcMar>
            <w:vAlign w:val="center"/>
          </w:tcPr>
          <w:p w:rsidR="00475650" w:rsidRDefault="00475650">
            <w:pPr>
              <w:snapToGrid w:val="0"/>
              <w:jc w:val="center"/>
              <w:rPr>
                <w:kern w:val="0"/>
                <w:szCs w:val="21"/>
              </w:rPr>
            </w:pPr>
            <w:r>
              <w:rPr>
                <w:kern w:val="0"/>
                <w:szCs w:val="21"/>
              </w:rPr>
              <w:t>0</w:t>
            </w:r>
          </w:p>
        </w:tc>
        <w:tc>
          <w:tcPr>
            <w:tcW w:w="1353" w:type="dxa"/>
            <w:vAlign w:val="center"/>
          </w:tcPr>
          <w:p w:rsidR="00475650" w:rsidRDefault="00475650">
            <w:pPr>
              <w:snapToGrid w:val="0"/>
              <w:jc w:val="center"/>
              <w:rPr>
                <w:kern w:val="0"/>
                <w:szCs w:val="21"/>
              </w:rPr>
            </w:pPr>
            <w:r>
              <w:rPr>
                <w:kern w:val="0"/>
                <w:szCs w:val="21"/>
              </w:rPr>
              <w:t>0</w:t>
            </w:r>
          </w:p>
        </w:tc>
        <w:tc>
          <w:tcPr>
            <w:tcW w:w="1143" w:type="dxa"/>
            <w:vAlign w:val="center"/>
          </w:tcPr>
          <w:p w:rsidR="00475650" w:rsidRDefault="00475650">
            <w:pPr>
              <w:snapToGrid w:val="0"/>
              <w:jc w:val="center"/>
              <w:rPr>
                <w:szCs w:val="21"/>
              </w:rPr>
            </w:pPr>
            <w:r>
              <w:rPr>
                <w:szCs w:val="21"/>
              </w:rPr>
              <w:t>0.</w:t>
            </w:r>
            <w:r>
              <w:rPr>
                <w:rFonts w:hint="eastAsia"/>
                <w:szCs w:val="21"/>
              </w:rPr>
              <w:t>1</w:t>
            </w:r>
          </w:p>
        </w:tc>
        <w:tc>
          <w:tcPr>
            <w:tcW w:w="1360" w:type="dxa"/>
            <w:vAlign w:val="center"/>
          </w:tcPr>
          <w:p w:rsidR="00475650" w:rsidRDefault="00475650">
            <w:pPr>
              <w:snapToGrid w:val="0"/>
              <w:jc w:val="center"/>
              <w:rPr>
                <w:szCs w:val="21"/>
              </w:rPr>
            </w:pPr>
            <w:r>
              <w:rPr>
                <w:szCs w:val="21"/>
              </w:rPr>
              <w:t>0.00</w:t>
            </w:r>
            <w:r>
              <w:rPr>
                <w:rFonts w:hint="eastAsia"/>
                <w:szCs w:val="21"/>
              </w:rPr>
              <w:t>15</w:t>
            </w:r>
          </w:p>
        </w:tc>
      </w:tr>
      <w:tr w:rsidR="00475650">
        <w:trPr>
          <w:trHeight w:val="329"/>
        </w:trPr>
        <w:tc>
          <w:tcPr>
            <w:tcW w:w="3753" w:type="dxa"/>
          </w:tcPr>
          <w:p w:rsidR="00475650" w:rsidRDefault="00475650">
            <w:pPr>
              <w:snapToGrid w:val="0"/>
              <w:jc w:val="center"/>
              <w:rPr>
                <w:rFonts w:hAnsi="宋体"/>
                <w:kern w:val="0"/>
                <w:szCs w:val="21"/>
              </w:rPr>
            </w:pPr>
            <w:r>
              <w:rPr>
                <w:rFonts w:hAnsi="宋体" w:hint="eastAsia"/>
                <w:kern w:val="0"/>
                <w:szCs w:val="21"/>
              </w:rPr>
              <w:t>公司已有总量指标</w:t>
            </w:r>
          </w:p>
        </w:tc>
        <w:tc>
          <w:tcPr>
            <w:tcW w:w="1337" w:type="dxa"/>
            <w:tcMar>
              <w:top w:w="28" w:type="dxa"/>
              <w:bottom w:w="28" w:type="dxa"/>
            </w:tcMar>
            <w:vAlign w:val="center"/>
          </w:tcPr>
          <w:p w:rsidR="00475650" w:rsidRDefault="00475650">
            <w:pPr>
              <w:snapToGrid w:val="0"/>
              <w:jc w:val="center"/>
              <w:rPr>
                <w:kern w:val="0"/>
                <w:szCs w:val="21"/>
              </w:rPr>
            </w:pPr>
            <w:r>
              <w:rPr>
                <w:rFonts w:hint="eastAsia"/>
                <w:kern w:val="0"/>
                <w:szCs w:val="21"/>
              </w:rPr>
              <w:t>0</w:t>
            </w:r>
          </w:p>
        </w:tc>
        <w:tc>
          <w:tcPr>
            <w:tcW w:w="1353" w:type="dxa"/>
            <w:vAlign w:val="center"/>
          </w:tcPr>
          <w:p w:rsidR="00475650" w:rsidRDefault="00475650">
            <w:pPr>
              <w:snapToGrid w:val="0"/>
              <w:jc w:val="center"/>
              <w:rPr>
                <w:kern w:val="0"/>
                <w:szCs w:val="21"/>
              </w:rPr>
            </w:pPr>
            <w:r>
              <w:rPr>
                <w:rFonts w:hint="eastAsia"/>
                <w:kern w:val="0"/>
                <w:szCs w:val="21"/>
              </w:rPr>
              <w:t>0</w:t>
            </w:r>
          </w:p>
        </w:tc>
        <w:tc>
          <w:tcPr>
            <w:tcW w:w="1143" w:type="dxa"/>
            <w:vAlign w:val="center"/>
          </w:tcPr>
          <w:p w:rsidR="00475650" w:rsidRDefault="00475650">
            <w:pPr>
              <w:snapToGrid w:val="0"/>
              <w:jc w:val="center"/>
              <w:rPr>
                <w:szCs w:val="21"/>
              </w:rPr>
            </w:pPr>
            <w:r>
              <w:rPr>
                <w:rFonts w:hint="eastAsia"/>
                <w:szCs w:val="21"/>
              </w:rPr>
              <w:t>19.7</w:t>
            </w:r>
          </w:p>
        </w:tc>
        <w:tc>
          <w:tcPr>
            <w:tcW w:w="1360" w:type="dxa"/>
            <w:vAlign w:val="center"/>
          </w:tcPr>
          <w:p w:rsidR="00475650" w:rsidRDefault="00475650">
            <w:pPr>
              <w:snapToGrid w:val="0"/>
              <w:jc w:val="center"/>
              <w:rPr>
                <w:szCs w:val="21"/>
              </w:rPr>
            </w:pPr>
            <w:r>
              <w:rPr>
                <w:rFonts w:hint="eastAsia"/>
                <w:szCs w:val="21"/>
              </w:rPr>
              <w:t>3</w:t>
            </w:r>
          </w:p>
        </w:tc>
      </w:tr>
      <w:tr w:rsidR="00475650">
        <w:trPr>
          <w:trHeight w:val="329"/>
        </w:trPr>
        <w:tc>
          <w:tcPr>
            <w:tcW w:w="3753" w:type="dxa"/>
          </w:tcPr>
          <w:p w:rsidR="00475650" w:rsidRDefault="00475650">
            <w:pPr>
              <w:snapToGrid w:val="0"/>
              <w:jc w:val="center"/>
              <w:rPr>
                <w:rFonts w:hAnsi="宋体"/>
                <w:kern w:val="0"/>
                <w:szCs w:val="21"/>
              </w:rPr>
            </w:pPr>
            <w:r>
              <w:rPr>
                <w:rFonts w:hAnsi="宋体" w:hint="eastAsia"/>
                <w:kern w:val="0"/>
                <w:szCs w:val="21"/>
              </w:rPr>
              <w:t>现有总量指标是否满足排放要求</w:t>
            </w:r>
          </w:p>
        </w:tc>
        <w:tc>
          <w:tcPr>
            <w:tcW w:w="1337" w:type="dxa"/>
            <w:tcMar>
              <w:top w:w="28" w:type="dxa"/>
              <w:bottom w:w="28" w:type="dxa"/>
            </w:tcMar>
            <w:vAlign w:val="center"/>
          </w:tcPr>
          <w:p w:rsidR="00475650" w:rsidRDefault="00475650">
            <w:pPr>
              <w:snapToGrid w:val="0"/>
              <w:jc w:val="center"/>
              <w:rPr>
                <w:kern w:val="0"/>
                <w:szCs w:val="21"/>
              </w:rPr>
            </w:pPr>
            <w:r>
              <w:rPr>
                <w:rFonts w:hint="eastAsia"/>
                <w:kern w:val="0"/>
                <w:szCs w:val="21"/>
              </w:rPr>
              <w:t>/</w:t>
            </w:r>
          </w:p>
        </w:tc>
        <w:tc>
          <w:tcPr>
            <w:tcW w:w="1353" w:type="dxa"/>
            <w:vAlign w:val="center"/>
          </w:tcPr>
          <w:p w:rsidR="00475650" w:rsidRDefault="00475650">
            <w:pPr>
              <w:snapToGrid w:val="0"/>
              <w:jc w:val="center"/>
              <w:rPr>
                <w:kern w:val="0"/>
                <w:szCs w:val="21"/>
              </w:rPr>
            </w:pPr>
            <w:r>
              <w:rPr>
                <w:rFonts w:hint="eastAsia"/>
                <w:kern w:val="0"/>
                <w:szCs w:val="21"/>
              </w:rPr>
              <w:t>/</w:t>
            </w:r>
          </w:p>
        </w:tc>
        <w:tc>
          <w:tcPr>
            <w:tcW w:w="1143" w:type="dxa"/>
            <w:vAlign w:val="center"/>
          </w:tcPr>
          <w:p w:rsidR="00475650" w:rsidRDefault="00475650">
            <w:pPr>
              <w:snapToGrid w:val="0"/>
              <w:jc w:val="center"/>
              <w:rPr>
                <w:szCs w:val="21"/>
              </w:rPr>
            </w:pPr>
            <w:r>
              <w:rPr>
                <w:rFonts w:hint="eastAsia"/>
                <w:szCs w:val="21"/>
              </w:rPr>
              <w:t>是</w:t>
            </w:r>
          </w:p>
        </w:tc>
        <w:tc>
          <w:tcPr>
            <w:tcW w:w="1360" w:type="dxa"/>
            <w:vAlign w:val="center"/>
          </w:tcPr>
          <w:p w:rsidR="00475650" w:rsidRDefault="00475650">
            <w:pPr>
              <w:snapToGrid w:val="0"/>
              <w:jc w:val="center"/>
              <w:rPr>
                <w:szCs w:val="21"/>
              </w:rPr>
            </w:pPr>
            <w:r>
              <w:rPr>
                <w:rFonts w:hint="eastAsia"/>
                <w:szCs w:val="21"/>
              </w:rPr>
              <w:t>是</w:t>
            </w:r>
          </w:p>
        </w:tc>
      </w:tr>
      <w:tr w:rsidR="00475650">
        <w:trPr>
          <w:trHeight w:val="293"/>
        </w:trPr>
        <w:tc>
          <w:tcPr>
            <w:tcW w:w="3753" w:type="dxa"/>
            <w:vAlign w:val="center"/>
          </w:tcPr>
          <w:p w:rsidR="00475650" w:rsidRDefault="00475650">
            <w:pPr>
              <w:snapToGrid w:val="0"/>
              <w:jc w:val="center"/>
              <w:rPr>
                <w:kern w:val="0"/>
                <w:szCs w:val="21"/>
              </w:rPr>
            </w:pPr>
            <w:r>
              <w:rPr>
                <w:rFonts w:hAnsi="宋体"/>
                <w:kern w:val="0"/>
                <w:szCs w:val="21"/>
              </w:rPr>
              <w:t>本项目外排总量</w:t>
            </w:r>
            <w:r>
              <w:rPr>
                <w:rFonts w:hAnsi="宋体" w:hint="eastAsia"/>
                <w:kern w:val="0"/>
                <w:szCs w:val="21"/>
              </w:rPr>
              <w:t>（包括全厂初期雨水及生活废水、生产废水）</w:t>
            </w:r>
          </w:p>
        </w:tc>
        <w:tc>
          <w:tcPr>
            <w:tcW w:w="1337" w:type="dxa"/>
            <w:tcMar>
              <w:top w:w="28" w:type="dxa"/>
              <w:bottom w:w="28" w:type="dxa"/>
            </w:tcMar>
            <w:vAlign w:val="center"/>
          </w:tcPr>
          <w:p w:rsidR="00475650" w:rsidRDefault="00475650">
            <w:pPr>
              <w:snapToGrid w:val="0"/>
              <w:jc w:val="center"/>
              <w:rPr>
                <w:szCs w:val="21"/>
              </w:rPr>
            </w:pPr>
            <w:r>
              <w:rPr>
                <w:szCs w:val="21"/>
              </w:rPr>
              <w:t>0</w:t>
            </w:r>
          </w:p>
        </w:tc>
        <w:tc>
          <w:tcPr>
            <w:tcW w:w="1353" w:type="dxa"/>
            <w:vAlign w:val="center"/>
          </w:tcPr>
          <w:p w:rsidR="00475650" w:rsidRDefault="00475650">
            <w:pPr>
              <w:snapToGrid w:val="0"/>
              <w:jc w:val="center"/>
              <w:rPr>
                <w:szCs w:val="21"/>
              </w:rPr>
            </w:pPr>
            <w:r>
              <w:rPr>
                <w:szCs w:val="21"/>
              </w:rPr>
              <w:t>0</w:t>
            </w:r>
          </w:p>
        </w:tc>
        <w:tc>
          <w:tcPr>
            <w:tcW w:w="1143" w:type="dxa"/>
            <w:vAlign w:val="center"/>
          </w:tcPr>
          <w:p w:rsidR="00475650" w:rsidRDefault="00475650">
            <w:pPr>
              <w:snapToGrid w:val="0"/>
              <w:jc w:val="center"/>
              <w:rPr>
                <w:szCs w:val="21"/>
              </w:rPr>
            </w:pPr>
            <w:r>
              <w:rPr>
                <w:rFonts w:hint="eastAsia"/>
                <w:szCs w:val="21"/>
              </w:rPr>
              <w:t>41.99</w:t>
            </w:r>
          </w:p>
        </w:tc>
        <w:tc>
          <w:tcPr>
            <w:tcW w:w="1360" w:type="dxa"/>
            <w:vAlign w:val="center"/>
          </w:tcPr>
          <w:p w:rsidR="00475650" w:rsidRDefault="00475650">
            <w:pPr>
              <w:snapToGrid w:val="0"/>
              <w:jc w:val="center"/>
              <w:rPr>
                <w:szCs w:val="21"/>
              </w:rPr>
            </w:pPr>
            <w:r>
              <w:rPr>
                <w:rFonts w:hint="eastAsia"/>
                <w:szCs w:val="21"/>
              </w:rPr>
              <w:t>4.745</w:t>
            </w:r>
          </w:p>
        </w:tc>
      </w:tr>
      <w:tr w:rsidR="00475650">
        <w:tc>
          <w:tcPr>
            <w:tcW w:w="3753" w:type="dxa"/>
            <w:vAlign w:val="center"/>
          </w:tcPr>
          <w:p w:rsidR="00475650" w:rsidRDefault="00475650">
            <w:pPr>
              <w:snapToGrid w:val="0"/>
              <w:jc w:val="center"/>
              <w:rPr>
                <w:szCs w:val="21"/>
              </w:rPr>
            </w:pPr>
            <w:r>
              <w:rPr>
                <w:rFonts w:hAnsi="宋体"/>
                <w:szCs w:val="21"/>
              </w:rPr>
              <w:t>本项目经园区污水处理厂处理后外排量</w:t>
            </w:r>
          </w:p>
        </w:tc>
        <w:tc>
          <w:tcPr>
            <w:tcW w:w="1337" w:type="dxa"/>
            <w:tcMar>
              <w:top w:w="28" w:type="dxa"/>
              <w:bottom w:w="28" w:type="dxa"/>
            </w:tcMar>
            <w:vAlign w:val="center"/>
          </w:tcPr>
          <w:p w:rsidR="00475650" w:rsidRDefault="00475650">
            <w:pPr>
              <w:snapToGrid w:val="0"/>
              <w:jc w:val="center"/>
              <w:rPr>
                <w:szCs w:val="21"/>
              </w:rPr>
            </w:pPr>
            <w:r>
              <w:rPr>
                <w:szCs w:val="21"/>
              </w:rPr>
              <w:t>0</w:t>
            </w:r>
          </w:p>
        </w:tc>
        <w:tc>
          <w:tcPr>
            <w:tcW w:w="1353" w:type="dxa"/>
            <w:vAlign w:val="center"/>
          </w:tcPr>
          <w:p w:rsidR="00475650" w:rsidRDefault="00475650">
            <w:pPr>
              <w:snapToGrid w:val="0"/>
              <w:jc w:val="center"/>
              <w:rPr>
                <w:szCs w:val="21"/>
              </w:rPr>
            </w:pPr>
            <w:r>
              <w:rPr>
                <w:szCs w:val="21"/>
              </w:rPr>
              <w:t>0</w:t>
            </w:r>
          </w:p>
        </w:tc>
        <w:tc>
          <w:tcPr>
            <w:tcW w:w="1143" w:type="dxa"/>
            <w:vAlign w:val="center"/>
          </w:tcPr>
          <w:p w:rsidR="00475650" w:rsidRDefault="00475650">
            <w:pPr>
              <w:snapToGrid w:val="0"/>
              <w:jc w:val="center"/>
              <w:rPr>
                <w:szCs w:val="21"/>
              </w:rPr>
            </w:pPr>
            <w:r>
              <w:rPr>
                <w:rFonts w:hint="eastAsia"/>
                <w:szCs w:val="21"/>
              </w:rPr>
              <w:t>18.6925</w:t>
            </w:r>
            <w:r>
              <w:rPr>
                <w:rFonts w:hAnsi="宋体"/>
                <w:szCs w:val="21"/>
              </w:rPr>
              <w:t>（</w:t>
            </w:r>
            <w:r>
              <w:rPr>
                <w:rFonts w:hint="eastAsia"/>
                <w:szCs w:val="21"/>
              </w:rPr>
              <w:t>100</w:t>
            </w:r>
            <w:r>
              <w:rPr>
                <w:rFonts w:hAnsi="宋体"/>
                <w:szCs w:val="21"/>
              </w:rPr>
              <w:t>）</w:t>
            </w:r>
          </w:p>
        </w:tc>
        <w:tc>
          <w:tcPr>
            <w:tcW w:w="1360" w:type="dxa"/>
            <w:vAlign w:val="center"/>
          </w:tcPr>
          <w:p w:rsidR="00475650" w:rsidRDefault="00475650">
            <w:pPr>
              <w:snapToGrid w:val="0"/>
              <w:jc w:val="center"/>
              <w:rPr>
                <w:szCs w:val="21"/>
              </w:rPr>
            </w:pPr>
            <w:r>
              <w:rPr>
                <w:rFonts w:hint="eastAsia"/>
                <w:szCs w:val="21"/>
              </w:rPr>
              <w:t>2.81</w:t>
            </w:r>
            <w:r>
              <w:rPr>
                <w:rFonts w:hAnsi="宋体"/>
                <w:szCs w:val="21"/>
              </w:rPr>
              <w:t>（</w:t>
            </w:r>
            <w:r>
              <w:rPr>
                <w:rFonts w:hint="eastAsia"/>
                <w:szCs w:val="21"/>
              </w:rPr>
              <w:t>15</w:t>
            </w:r>
            <w:r>
              <w:rPr>
                <w:rFonts w:hAnsi="宋体"/>
                <w:szCs w:val="21"/>
              </w:rPr>
              <w:t>）</w:t>
            </w:r>
          </w:p>
        </w:tc>
      </w:tr>
      <w:tr w:rsidR="00475650">
        <w:tc>
          <w:tcPr>
            <w:tcW w:w="3753" w:type="dxa"/>
            <w:vAlign w:val="center"/>
          </w:tcPr>
          <w:p w:rsidR="00475650" w:rsidRDefault="00475650">
            <w:pPr>
              <w:snapToGrid w:val="0"/>
              <w:jc w:val="center"/>
              <w:rPr>
                <w:szCs w:val="21"/>
              </w:rPr>
            </w:pPr>
            <w:r>
              <w:rPr>
                <w:rFonts w:hAnsi="宋体"/>
                <w:szCs w:val="21"/>
              </w:rPr>
              <w:t>公司总量指标要求</w:t>
            </w:r>
            <w:r>
              <w:rPr>
                <w:rFonts w:hAnsi="宋体" w:hint="eastAsia"/>
                <w:szCs w:val="21"/>
              </w:rPr>
              <w:t>（叠加现有工程）</w:t>
            </w:r>
          </w:p>
        </w:tc>
        <w:tc>
          <w:tcPr>
            <w:tcW w:w="1337" w:type="dxa"/>
            <w:tcMar>
              <w:top w:w="28" w:type="dxa"/>
              <w:bottom w:w="28" w:type="dxa"/>
            </w:tcMar>
            <w:vAlign w:val="center"/>
          </w:tcPr>
          <w:p w:rsidR="00475650" w:rsidRDefault="00475650">
            <w:pPr>
              <w:snapToGrid w:val="0"/>
              <w:jc w:val="center"/>
              <w:rPr>
                <w:szCs w:val="21"/>
              </w:rPr>
            </w:pPr>
            <w:r>
              <w:rPr>
                <w:szCs w:val="21"/>
              </w:rPr>
              <w:t>0</w:t>
            </w:r>
          </w:p>
        </w:tc>
        <w:tc>
          <w:tcPr>
            <w:tcW w:w="1353" w:type="dxa"/>
            <w:vAlign w:val="center"/>
          </w:tcPr>
          <w:p w:rsidR="00475650" w:rsidRDefault="00475650">
            <w:pPr>
              <w:snapToGrid w:val="0"/>
              <w:jc w:val="center"/>
              <w:rPr>
                <w:szCs w:val="21"/>
              </w:rPr>
            </w:pPr>
            <w:r>
              <w:rPr>
                <w:szCs w:val="21"/>
              </w:rPr>
              <w:t>0</w:t>
            </w:r>
          </w:p>
        </w:tc>
        <w:tc>
          <w:tcPr>
            <w:tcW w:w="1143" w:type="dxa"/>
            <w:vAlign w:val="center"/>
          </w:tcPr>
          <w:p w:rsidR="00475650" w:rsidRDefault="00475650">
            <w:pPr>
              <w:snapToGrid w:val="0"/>
              <w:jc w:val="center"/>
              <w:rPr>
                <w:szCs w:val="21"/>
              </w:rPr>
            </w:pPr>
            <w:r>
              <w:rPr>
                <w:rFonts w:hint="eastAsia"/>
                <w:szCs w:val="21"/>
              </w:rPr>
              <w:t>19.7</w:t>
            </w:r>
          </w:p>
        </w:tc>
        <w:tc>
          <w:tcPr>
            <w:tcW w:w="1360" w:type="dxa"/>
            <w:vAlign w:val="center"/>
          </w:tcPr>
          <w:p w:rsidR="00475650" w:rsidRDefault="00475650">
            <w:pPr>
              <w:snapToGrid w:val="0"/>
              <w:jc w:val="center"/>
              <w:rPr>
                <w:szCs w:val="21"/>
              </w:rPr>
            </w:pPr>
            <w:r>
              <w:rPr>
                <w:rFonts w:hint="eastAsia"/>
                <w:szCs w:val="21"/>
              </w:rPr>
              <w:t>2.82</w:t>
            </w:r>
          </w:p>
        </w:tc>
      </w:tr>
      <w:tr w:rsidR="00475650">
        <w:tc>
          <w:tcPr>
            <w:tcW w:w="3753" w:type="dxa"/>
            <w:vAlign w:val="center"/>
          </w:tcPr>
          <w:p w:rsidR="00475650" w:rsidRDefault="00475650">
            <w:pPr>
              <w:snapToGrid w:val="0"/>
              <w:jc w:val="center"/>
              <w:rPr>
                <w:rFonts w:hAnsi="宋体"/>
                <w:szCs w:val="21"/>
              </w:rPr>
            </w:pPr>
            <w:r>
              <w:rPr>
                <w:rFonts w:hAnsi="宋体" w:hint="eastAsia"/>
                <w:szCs w:val="21"/>
              </w:rPr>
              <w:t>现有总量指标是否满足排放要求</w:t>
            </w:r>
          </w:p>
        </w:tc>
        <w:tc>
          <w:tcPr>
            <w:tcW w:w="1337" w:type="dxa"/>
            <w:tcMar>
              <w:top w:w="28" w:type="dxa"/>
              <w:bottom w:w="28" w:type="dxa"/>
            </w:tcMar>
            <w:vAlign w:val="center"/>
          </w:tcPr>
          <w:p w:rsidR="00475650" w:rsidRDefault="00475650">
            <w:pPr>
              <w:snapToGrid w:val="0"/>
              <w:jc w:val="center"/>
              <w:rPr>
                <w:szCs w:val="21"/>
              </w:rPr>
            </w:pPr>
            <w:r>
              <w:rPr>
                <w:rFonts w:hint="eastAsia"/>
                <w:szCs w:val="21"/>
              </w:rPr>
              <w:t>0</w:t>
            </w:r>
          </w:p>
        </w:tc>
        <w:tc>
          <w:tcPr>
            <w:tcW w:w="1353" w:type="dxa"/>
            <w:vAlign w:val="center"/>
          </w:tcPr>
          <w:p w:rsidR="00475650" w:rsidRDefault="00475650">
            <w:pPr>
              <w:snapToGrid w:val="0"/>
              <w:jc w:val="center"/>
              <w:rPr>
                <w:szCs w:val="21"/>
              </w:rPr>
            </w:pPr>
            <w:r>
              <w:rPr>
                <w:rFonts w:hint="eastAsia"/>
                <w:szCs w:val="21"/>
              </w:rPr>
              <w:t>0</w:t>
            </w:r>
          </w:p>
        </w:tc>
        <w:tc>
          <w:tcPr>
            <w:tcW w:w="1143" w:type="dxa"/>
            <w:vAlign w:val="center"/>
          </w:tcPr>
          <w:p w:rsidR="00475650" w:rsidRDefault="00475650">
            <w:pPr>
              <w:snapToGrid w:val="0"/>
              <w:jc w:val="center"/>
              <w:rPr>
                <w:szCs w:val="21"/>
              </w:rPr>
            </w:pPr>
            <w:r>
              <w:rPr>
                <w:rFonts w:hint="eastAsia"/>
                <w:szCs w:val="21"/>
              </w:rPr>
              <w:t>是</w:t>
            </w:r>
          </w:p>
        </w:tc>
        <w:tc>
          <w:tcPr>
            <w:tcW w:w="1360" w:type="dxa"/>
            <w:vAlign w:val="center"/>
          </w:tcPr>
          <w:p w:rsidR="00475650" w:rsidRDefault="00475650">
            <w:pPr>
              <w:snapToGrid w:val="0"/>
              <w:jc w:val="center"/>
              <w:rPr>
                <w:szCs w:val="21"/>
              </w:rPr>
            </w:pPr>
            <w:r>
              <w:rPr>
                <w:rFonts w:hint="eastAsia"/>
                <w:szCs w:val="21"/>
              </w:rPr>
              <w:t>是</w:t>
            </w:r>
          </w:p>
        </w:tc>
      </w:tr>
    </w:tbl>
    <w:p w:rsidR="00475650" w:rsidRDefault="00475650">
      <w:pPr>
        <w:spacing w:line="360" w:lineRule="auto"/>
        <w:ind w:firstLine="480"/>
        <w:rPr>
          <w:szCs w:val="21"/>
        </w:rPr>
      </w:pPr>
      <w:r>
        <w:rPr>
          <w:rFonts w:hAnsi="宋体"/>
          <w:szCs w:val="21"/>
        </w:rPr>
        <w:t>注：</w:t>
      </w:r>
      <w:r>
        <w:rPr>
          <w:szCs w:val="21"/>
        </w:rPr>
        <w:t>COD</w:t>
      </w:r>
      <w:r>
        <w:rPr>
          <w:rFonts w:hint="eastAsia"/>
          <w:szCs w:val="21"/>
        </w:rPr>
        <w:t>和氨氮</w:t>
      </w:r>
      <w:r>
        <w:rPr>
          <w:rFonts w:hAnsi="宋体"/>
          <w:szCs w:val="21"/>
        </w:rPr>
        <w:t>总量核算标准为园区污水处理厂的出水水质标准。</w:t>
      </w:r>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1326" w:name="_Toc274495552"/>
      <w:bookmarkStart w:id="1327" w:name="_Toc332293124"/>
      <w:bookmarkStart w:id="1328" w:name="_Toc18336"/>
      <w:r>
        <w:rPr>
          <w:rStyle w:val="2Char1Char"/>
          <w:rFonts w:ascii="Times New Roman" w:eastAsia="宋体" w:hAnsi="Times New Roman" w:cs="Times New Roman"/>
          <w:b w:val="0"/>
          <w:sz w:val="28"/>
          <w:szCs w:val="28"/>
        </w:rPr>
        <w:t xml:space="preserve">13.8 </w:t>
      </w:r>
      <w:r>
        <w:rPr>
          <w:rStyle w:val="2Char1Char"/>
          <w:rFonts w:ascii="Times New Roman" w:eastAsia="宋体" w:hAnsi="宋体" w:cs="Times New Roman"/>
          <w:b w:val="0"/>
          <w:sz w:val="28"/>
          <w:szCs w:val="28"/>
        </w:rPr>
        <w:t>环境风险及防范措施</w:t>
      </w:r>
      <w:bookmarkEnd w:id="1326"/>
      <w:bookmarkEnd w:id="1327"/>
      <w:bookmarkEnd w:id="1328"/>
    </w:p>
    <w:p w:rsidR="00475650" w:rsidRDefault="00475650">
      <w:pPr>
        <w:spacing w:line="360" w:lineRule="auto"/>
        <w:ind w:firstLineChars="200" w:firstLine="480"/>
        <w:outlineLvl w:val="0"/>
        <w:rPr>
          <w:sz w:val="24"/>
        </w:rPr>
      </w:pPr>
      <w:bookmarkStart w:id="1329" w:name="_Toc334014340"/>
      <w:bookmarkStart w:id="1330" w:name="_Toc333230162"/>
      <w:bookmarkStart w:id="1331" w:name="_Toc334080982"/>
      <w:bookmarkStart w:id="1332" w:name="_Toc448999229"/>
      <w:bookmarkStart w:id="1333" w:name="_Toc465677130"/>
      <w:bookmarkStart w:id="1334" w:name="_Toc6283"/>
      <w:r>
        <w:rPr>
          <w:rFonts w:hAnsi="宋体"/>
          <w:sz w:val="24"/>
        </w:rPr>
        <w:t>（一）、主要的环境风险</w:t>
      </w:r>
      <w:bookmarkEnd w:id="1329"/>
      <w:bookmarkEnd w:id="1330"/>
      <w:bookmarkEnd w:id="1331"/>
      <w:bookmarkEnd w:id="1332"/>
      <w:bookmarkEnd w:id="1333"/>
      <w:bookmarkEnd w:id="1334"/>
    </w:p>
    <w:p w:rsidR="00475650" w:rsidRDefault="00475650">
      <w:pPr>
        <w:spacing w:line="360" w:lineRule="auto"/>
        <w:ind w:firstLineChars="200" w:firstLine="480"/>
        <w:rPr>
          <w:sz w:val="24"/>
        </w:rPr>
      </w:pPr>
      <w:r>
        <w:rPr>
          <w:rFonts w:hAnsi="宋体"/>
          <w:sz w:val="24"/>
        </w:rPr>
        <w:t>工程主要的风险源有：</w:t>
      </w:r>
      <w:r>
        <w:rPr>
          <w:rFonts w:hAnsi="宋体"/>
          <w:bCs/>
          <w:sz w:val="24"/>
          <w:szCs w:val="30"/>
        </w:rPr>
        <w:t>危化品的泄漏、爆炸引发的环境污染事故、环保设施故障以及运输事故等。</w:t>
      </w:r>
    </w:p>
    <w:p w:rsidR="00475650" w:rsidRDefault="00475650">
      <w:pPr>
        <w:spacing w:line="360" w:lineRule="auto"/>
        <w:ind w:firstLineChars="200" w:firstLine="480"/>
        <w:outlineLvl w:val="0"/>
        <w:rPr>
          <w:sz w:val="24"/>
        </w:rPr>
      </w:pPr>
      <w:bookmarkStart w:id="1335" w:name="_Toc333230163"/>
      <w:bookmarkStart w:id="1336" w:name="_Toc334080983"/>
      <w:bookmarkStart w:id="1337" w:name="_Toc334014341"/>
      <w:bookmarkStart w:id="1338" w:name="_Toc448999230"/>
      <w:bookmarkStart w:id="1339" w:name="_Toc465677131"/>
      <w:bookmarkStart w:id="1340" w:name="_Toc28026"/>
      <w:r>
        <w:rPr>
          <w:rFonts w:hAnsi="宋体"/>
          <w:sz w:val="24"/>
        </w:rPr>
        <w:t>（二）、风险防范措施</w:t>
      </w:r>
      <w:bookmarkEnd w:id="1335"/>
      <w:bookmarkEnd w:id="1336"/>
      <w:bookmarkEnd w:id="1337"/>
      <w:bookmarkEnd w:id="1338"/>
      <w:bookmarkEnd w:id="1339"/>
      <w:bookmarkEnd w:id="1340"/>
    </w:p>
    <w:p w:rsidR="00475650" w:rsidRDefault="00475650">
      <w:pPr>
        <w:spacing w:line="360" w:lineRule="auto"/>
        <w:ind w:firstLineChars="200" w:firstLine="480"/>
        <w:rPr>
          <w:sz w:val="24"/>
        </w:rPr>
      </w:pPr>
      <w:bookmarkStart w:id="1341" w:name="_Toc274495553"/>
      <w:r>
        <w:rPr>
          <w:rFonts w:hAnsi="宋体"/>
          <w:sz w:val="24"/>
        </w:rPr>
        <w:t>⑴</w:t>
      </w:r>
      <w:r>
        <w:rPr>
          <w:sz w:val="24"/>
        </w:rPr>
        <w:t xml:space="preserve"> </w:t>
      </w:r>
      <w:r>
        <w:rPr>
          <w:rFonts w:hAnsi="宋体"/>
          <w:sz w:val="24"/>
        </w:rPr>
        <w:t>本项目应根据《危险化学品安全管理条例》（国务院令第</w:t>
      </w:r>
      <w:r>
        <w:rPr>
          <w:sz w:val="24"/>
        </w:rPr>
        <w:t>591</w:t>
      </w:r>
      <w:r>
        <w:rPr>
          <w:rFonts w:hAnsi="宋体"/>
          <w:sz w:val="24"/>
        </w:rPr>
        <w:t>号）、《工作场所安全使用化学品规定》（</w:t>
      </w:r>
      <w:r>
        <w:rPr>
          <w:sz w:val="24"/>
        </w:rPr>
        <w:t>[1996]</w:t>
      </w:r>
      <w:r>
        <w:rPr>
          <w:rFonts w:hAnsi="宋体"/>
          <w:sz w:val="24"/>
        </w:rPr>
        <w:t>劳部发</w:t>
      </w:r>
      <w:r>
        <w:rPr>
          <w:sz w:val="24"/>
        </w:rPr>
        <w:t>423</w:t>
      </w:r>
      <w:r>
        <w:rPr>
          <w:rFonts w:hAnsi="宋体"/>
          <w:sz w:val="24"/>
        </w:rPr>
        <w:t>号）等法规安全使用、生产、储存、运输、装卸危险化学品。对生产车间和仓库必须配置相应的消防设备和通风系统。消防系统等依托厂区已有设施。</w:t>
      </w:r>
    </w:p>
    <w:p w:rsidR="00475650" w:rsidRDefault="00475650">
      <w:pPr>
        <w:spacing w:line="360" w:lineRule="auto"/>
        <w:ind w:firstLineChars="200" w:firstLine="480"/>
        <w:rPr>
          <w:sz w:val="24"/>
        </w:rPr>
      </w:pPr>
      <w:r>
        <w:rPr>
          <w:rFonts w:hAnsi="宋体"/>
          <w:sz w:val="24"/>
        </w:rPr>
        <w:t>⑵生产车间和中间罐区的地面应为防渗漏水泥地坪，罐区四周建围堤，围堰高度按照相关要求进行设置，贮槽应配备呼吸阀和正、负压水封。</w:t>
      </w:r>
      <w:r>
        <w:rPr>
          <w:sz w:val="24"/>
        </w:rPr>
        <w:t xml:space="preserve"> </w:t>
      </w:r>
    </w:p>
    <w:p w:rsidR="00475650" w:rsidRDefault="00475650">
      <w:pPr>
        <w:spacing w:line="360" w:lineRule="auto"/>
        <w:ind w:firstLineChars="200" w:firstLine="480"/>
        <w:rPr>
          <w:sz w:val="24"/>
        </w:rPr>
      </w:pPr>
      <w:r>
        <w:rPr>
          <w:rFonts w:hAnsi="宋体"/>
          <w:sz w:val="24"/>
        </w:rPr>
        <w:t>⑶各危险物质应根据其不同的理化性质分别按照《腐蚀性商品储藏养护技术条件》（</w:t>
      </w:r>
      <w:r>
        <w:rPr>
          <w:sz w:val="24"/>
        </w:rPr>
        <w:t>GB17915-1999</w:t>
      </w:r>
      <w:r>
        <w:rPr>
          <w:rFonts w:hAnsi="宋体"/>
          <w:sz w:val="24"/>
        </w:rPr>
        <w:t>）、《易燃易爆性商品储藏养护技术条件》（</w:t>
      </w:r>
      <w:r>
        <w:rPr>
          <w:sz w:val="24"/>
        </w:rPr>
        <w:t>GB17914-1999</w:t>
      </w:r>
      <w:r>
        <w:rPr>
          <w:rFonts w:hAnsi="宋体"/>
          <w:sz w:val="24"/>
        </w:rPr>
        <w:t>）、《毒害性商品储藏养护技术条件》（</w:t>
      </w:r>
      <w:r>
        <w:rPr>
          <w:sz w:val="24"/>
        </w:rPr>
        <w:t>GB17916-1999</w:t>
      </w:r>
      <w:r>
        <w:rPr>
          <w:rFonts w:hAnsi="宋体"/>
          <w:sz w:val="24"/>
        </w:rPr>
        <w:t>）等相关要求实施储运及运输。</w:t>
      </w:r>
    </w:p>
    <w:p w:rsidR="00475650" w:rsidRDefault="00475650">
      <w:pPr>
        <w:spacing w:line="360" w:lineRule="auto"/>
        <w:ind w:firstLineChars="200" w:firstLine="480"/>
        <w:rPr>
          <w:sz w:val="24"/>
        </w:rPr>
      </w:pPr>
      <w:r>
        <w:rPr>
          <w:rFonts w:hAnsi="宋体"/>
          <w:sz w:val="24"/>
        </w:rPr>
        <w:lastRenderedPageBreak/>
        <w:t>⑷属危险品的原料及产品的运输必须严格按照危险品运输规定执行，搬运时应轻装轻卸，运输和贮存过程防止暴晒、防撞击；外购的危险化学品依托社会运输队伍进行运输，外购的化学品运输线路上敏感点分布较多，虽然运输风险由运输队伍承担，为减少社会影响并保障周边环境及居民的安全，公司应选择有专业运输队伍、运输资质及运输经验的单位或厂家，并要求对方相应的风险防范措施及应急措施以保障一旦发生风险事故能及时将风险控制在可接受的范围内。</w:t>
      </w:r>
    </w:p>
    <w:p w:rsidR="00475650" w:rsidRDefault="00475650">
      <w:pPr>
        <w:spacing w:line="360" w:lineRule="auto"/>
        <w:ind w:firstLineChars="200" w:firstLine="480"/>
        <w:rPr>
          <w:sz w:val="24"/>
        </w:rPr>
      </w:pPr>
      <w:r>
        <w:rPr>
          <w:rFonts w:hAnsi="宋体"/>
          <w:sz w:val="24"/>
        </w:rPr>
        <w:t>⑸本项目已经通过了安全预评价，公司应严格按照安全预评价的要求实施安全防护措施，最大程度的降低安全事故带来的次生环境风险事故危害。</w:t>
      </w:r>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1342" w:name="_Toc332293125"/>
      <w:bookmarkStart w:id="1343" w:name="_Toc10382"/>
      <w:r>
        <w:rPr>
          <w:rStyle w:val="2Char1Char"/>
          <w:rFonts w:ascii="Times New Roman" w:eastAsia="宋体" w:hAnsi="Times New Roman" w:cs="Times New Roman"/>
          <w:b w:val="0"/>
          <w:sz w:val="28"/>
          <w:szCs w:val="28"/>
        </w:rPr>
        <w:t>13.9</w:t>
      </w:r>
      <w:r>
        <w:rPr>
          <w:rStyle w:val="2Char1Char"/>
          <w:rFonts w:ascii="Times New Roman" w:eastAsia="宋体" w:hAnsi="宋体" w:cs="Times New Roman"/>
          <w:b w:val="0"/>
          <w:sz w:val="28"/>
          <w:szCs w:val="28"/>
        </w:rPr>
        <w:t>公众参与</w:t>
      </w:r>
      <w:bookmarkEnd w:id="1341"/>
      <w:bookmarkEnd w:id="1342"/>
      <w:bookmarkEnd w:id="1343"/>
    </w:p>
    <w:p w:rsidR="00475650" w:rsidRDefault="00475650">
      <w:pPr>
        <w:spacing w:line="360" w:lineRule="auto"/>
        <w:ind w:firstLineChars="200" w:firstLine="480"/>
        <w:rPr>
          <w:sz w:val="24"/>
        </w:rPr>
      </w:pPr>
      <w:r>
        <w:rPr>
          <w:rFonts w:hAnsi="宋体" w:hint="eastAsia"/>
          <w:sz w:val="24"/>
        </w:rPr>
        <w:t>根据业主提供的公众参与调查表及回访信息，</w:t>
      </w:r>
      <w:r>
        <w:rPr>
          <w:rFonts w:hAnsi="宋体"/>
          <w:sz w:val="24"/>
        </w:rPr>
        <w:t>地方政府及项目周边地区的公众对项目建设是支持的，绝大部分居民、村民能正确理解本项目的意义和可能对环境产生的影响，能认识到本项目建成后对当地经济发展将产生一定的推动作用，在表示赞成的同时希望建设方重视环境保护，减少项目</w:t>
      </w:r>
      <w:r>
        <w:rPr>
          <w:sz w:val="24"/>
        </w:rPr>
        <w:t>“</w:t>
      </w:r>
      <w:r>
        <w:rPr>
          <w:rFonts w:hAnsi="宋体"/>
          <w:sz w:val="24"/>
        </w:rPr>
        <w:t>三废</w:t>
      </w:r>
      <w:r>
        <w:rPr>
          <w:sz w:val="24"/>
        </w:rPr>
        <w:t>”</w:t>
      </w:r>
      <w:r>
        <w:rPr>
          <w:rFonts w:hAnsi="宋体"/>
          <w:sz w:val="24"/>
        </w:rPr>
        <w:t>污染。因此，建设方应严格落实拟建工程的环境管理和治理措施，遵循</w:t>
      </w:r>
      <w:r>
        <w:rPr>
          <w:sz w:val="24"/>
        </w:rPr>
        <w:t>“</w:t>
      </w:r>
      <w:r>
        <w:rPr>
          <w:rFonts w:hAnsi="宋体"/>
          <w:sz w:val="24"/>
        </w:rPr>
        <w:t>清洁生产</w:t>
      </w:r>
      <w:r>
        <w:rPr>
          <w:sz w:val="24"/>
        </w:rPr>
        <w:t>”</w:t>
      </w:r>
      <w:r>
        <w:rPr>
          <w:rFonts w:hAnsi="宋体"/>
          <w:sz w:val="24"/>
        </w:rPr>
        <w:t>的原则，加强生产管理，减少跑、冒、滴、漏，避免污染事故的发生。</w:t>
      </w:r>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1344" w:name="_Toc332293126"/>
      <w:bookmarkStart w:id="1345" w:name="_Toc274495554"/>
      <w:bookmarkStart w:id="1346" w:name="_Toc22236"/>
      <w:r>
        <w:rPr>
          <w:rStyle w:val="2Char1Char"/>
          <w:rFonts w:ascii="Times New Roman" w:eastAsia="宋体" w:hAnsi="Times New Roman" w:cs="Times New Roman"/>
          <w:b w:val="0"/>
          <w:sz w:val="28"/>
          <w:szCs w:val="28"/>
        </w:rPr>
        <w:t xml:space="preserve">13.10 </w:t>
      </w:r>
      <w:r>
        <w:rPr>
          <w:rStyle w:val="2Char1Char"/>
          <w:rFonts w:ascii="Times New Roman" w:eastAsia="宋体" w:hAnsi="宋体" w:cs="Times New Roman"/>
          <w:b w:val="0"/>
          <w:sz w:val="28"/>
          <w:szCs w:val="28"/>
        </w:rPr>
        <w:t>环境制约因素</w:t>
      </w:r>
      <w:bookmarkEnd w:id="1344"/>
      <w:bookmarkEnd w:id="1345"/>
      <w:bookmarkEnd w:id="1346"/>
    </w:p>
    <w:p w:rsidR="00475650" w:rsidRDefault="00475650">
      <w:pPr>
        <w:spacing w:line="360" w:lineRule="auto"/>
        <w:ind w:firstLineChars="200" w:firstLine="480"/>
        <w:rPr>
          <w:sz w:val="24"/>
        </w:rPr>
      </w:pPr>
      <w:r>
        <w:rPr>
          <w:rFonts w:hAnsi="宋体"/>
          <w:sz w:val="24"/>
        </w:rPr>
        <w:t>本项目无明显环境制约因素。</w:t>
      </w:r>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1347" w:name="_Toc274495555"/>
      <w:bookmarkStart w:id="1348" w:name="_Toc332293127"/>
      <w:bookmarkStart w:id="1349" w:name="_Toc17855"/>
      <w:r>
        <w:rPr>
          <w:rStyle w:val="2Char1Char"/>
          <w:rFonts w:ascii="Times New Roman" w:eastAsia="宋体" w:hAnsi="Times New Roman" w:cs="Times New Roman"/>
          <w:b w:val="0"/>
          <w:sz w:val="28"/>
          <w:szCs w:val="28"/>
        </w:rPr>
        <w:t>13.11</w:t>
      </w:r>
      <w:r>
        <w:rPr>
          <w:rStyle w:val="2Char1Char"/>
          <w:rFonts w:ascii="Times New Roman" w:eastAsia="宋体" w:hAnsi="宋体" w:cs="Times New Roman"/>
          <w:b w:val="0"/>
          <w:sz w:val="28"/>
          <w:szCs w:val="28"/>
        </w:rPr>
        <w:t>总体评价结论</w:t>
      </w:r>
      <w:bookmarkEnd w:id="1347"/>
      <w:bookmarkEnd w:id="1348"/>
      <w:bookmarkEnd w:id="1349"/>
    </w:p>
    <w:p w:rsidR="00475650" w:rsidRDefault="00475650">
      <w:pPr>
        <w:spacing w:line="360" w:lineRule="auto"/>
        <w:ind w:firstLineChars="200" w:firstLine="480"/>
        <w:rPr>
          <w:sz w:val="24"/>
        </w:rPr>
      </w:pPr>
      <w:r>
        <w:rPr>
          <w:rFonts w:hAnsi="宋体"/>
          <w:sz w:val="24"/>
        </w:rPr>
        <w:t>临湘市鹏程化工有限公司拟投资</w:t>
      </w:r>
      <w:r>
        <w:rPr>
          <w:sz w:val="24"/>
        </w:rPr>
        <w:t>3000</w:t>
      </w:r>
      <w:r>
        <w:rPr>
          <w:rFonts w:hAnsi="宋体"/>
          <w:sz w:val="24"/>
        </w:rPr>
        <w:t>万元于临湘工业园滨江产业区</w:t>
      </w:r>
      <w:r>
        <w:rPr>
          <w:spacing w:val="-4"/>
          <w:sz w:val="24"/>
        </w:rPr>
        <w:t>——</w:t>
      </w:r>
      <w:r>
        <w:rPr>
          <w:rFonts w:hAnsi="宋体"/>
          <w:spacing w:val="-4"/>
          <w:sz w:val="24"/>
        </w:rPr>
        <w:t>临湘市鹏程化工有限公司预留地内建设</w:t>
      </w:r>
      <w:r>
        <w:rPr>
          <w:sz w:val="24"/>
        </w:rPr>
        <w:t>“</w:t>
      </w:r>
      <w:r>
        <w:rPr>
          <w:rFonts w:hAnsi="宋体"/>
          <w:sz w:val="24"/>
        </w:rPr>
        <w:t>年产</w:t>
      </w:r>
      <w:r>
        <w:rPr>
          <w:sz w:val="24"/>
        </w:rPr>
        <w:t>6000</w:t>
      </w:r>
      <w:r>
        <w:rPr>
          <w:rFonts w:hAnsi="宋体"/>
          <w:sz w:val="24"/>
        </w:rPr>
        <w:t>吨弱酸性染料建设项目</w:t>
      </w:r>
      <w:r>
        <w:rPr>
          <w:sz w:val="24"/>
        </w:rPr>
        <w:t>”</w:t>
      </w:r>
      <w:r>
        <w:rPr>
          <w:rFonts w:hAnsi="宋体"/>
          <w:sz w:val="24"/>
        </w:rPr>
        <w:t>；该项目拟</w:t>
      </w:r>
      <w:r>
        <w:rPr>
          <w:rFonts w:hAnsi="宋体"/>
          <w:spacing w:val="4"/>
          <w:sz w:val="24"/>
        </w:rPr>
        <w:t>采用国内染料行业成熟的重氮化和偶合工艺生产酸性红</w:t>
      </w:r>
      <w:r>
        <w:rPr>
          <w:spacing w:val="4"/>
          <w:sz w:val="24"/>
        </w:rPr>
        <w:t>37</w:t>
      </w:r>
      <w:r>
        <w:rPr>
          <w:rFonts w:hAnsi="宋体"/>
          <w:spacing w:val="4"/>
          <w:sz w:val="24"/>
        </w:rPr>
        <w:t>和酸性黄</w:t>
      </w:r>
      <w:r>
        <w:rPr>
          <w:spacing w:val="4"/>
          <w:sz w:val="24"/>
        </w:rPr>
        <w:t>49</w:t>
      </w:r>
      <w:r>
        <w:rPr>
          <w:rFonts w:hAnsi="宋体"/>
          <w:spacing w:val="4"/>
          <w:sz w:val="24"/>
        </w:rPr>
        <w:t>，</w:t>
      </w:r>
      <w:r>
        <w:rPr>
          <w:rFonts w:hAnsi="宋体" w:hint="eastAsia"/>
          <w:spacing w:val="4"/>
          <w:sz w:val="24"/>
        </w:rPr>
        <w:t>其产品属于产业政策允许类染料产品</w:t>
      </w:r>
      <w:r>
        <w:rPr>
          <w:rFonts w:hAnsi="宋体"/>
          <w:spacing w:val="4"/>
          <w:sz w:val="24"/>
        </w:rPr>
        <w:t>。</w:t>
      </w:r>
      <w:r>
        <w:rPr>
          <w:rFonts w:hAnsi="宋体"/>
          <w:sz w:val="24"/>
        </w:rPr>
        <w:t>在采取了清洁生产工艺及一系列的</w:t>
      </w:r>
      <w:r>
        <w:rPr>
          <w:sz w:val="24"/>
        </w:rPr>
        <w:t>“</w:t>
      </w:r>
      <w:r>
        <w:rPr>
          <w:rFonts w:hAnsi="宋体"/>
          <w:sz w:val="24"/>
        </w:rPr>
        <w:t>三废</w:t>
      </w:r>
      <w:r>
        <w:rPr>
          <w:sz w:val="24"/>
        </w:rPr>
        <w:t>”</w:t>
      </w:r>
      <w:r>
        <w:rPr>
          <w:rFonts w:hAnsi="宋体"/>
          <w:sz w:val="24"/>
        </w:rPr>
        <w:t>措施后，污染物均能满足达标排放，对环境的影响满足相关功能区划的要求。环评认为项目建设符合国家产业政策，从环境保护的角度，该项目建设是可行的。</w:t>
      </w:r>
    </w:p>
    <w:p w:rsidR="00475650" w:rsidRDefault="00475650">
      <w:pPr>
        <w:pStyle w:val="h"/>
        <w:spacing w:before="100" w:beforeAutospacing="1" w:after="100" w:afterAutospacing="1" w:line="360" w:lineRule="auto"/>
        <w:ind w:firstLine="0"/>
        <w:outlineLvl w:val="0"/>
        <w:rPr>
          <w:rStyle w:val="2Char1Char"/>
          <w:rFonts w:ascii="Times New Roman" w:eastAsia="宋体" w:hAnsi="Times New Roman" w:cs="Times New Roman"/>
          <w:b w:val="0"/>
          <w:sz w:val="28"/>
          <w:szCs w:val="28"/>
        </w:rPr>
      </w:pPr>
      <w:bookmarkStart w:id="1350" w:name="_Toc332293128"/>
      <w:bookmarkStart w:id="1351" w:name="_Toc274495556"/>
      <w:bookmarkStart w:id="1352" w:name="_Toc329275429"/>
      <w:bookmarkStart w:id="1353" w:name="_Toc605"/>
      <w:r>
        <w:rPr>
          <w:rStyle w:val="2Char1Char"/>
          <w:rFonts w:ascii="Times New Roman" w:eastAsia="宋体" w:hAnsi="Times New Roman" w:cs="Times New Roman"/>
          <w:b w:val="0"/>
          <w:sz w:val="28"/>
          <w:szCs w:val="28"/>
        </w:rPr>
        <w:lastRenderedPageBreak/>
        <w:t xml:space="preserve">13.12 </w:t>
      </w:r>
      <w:r>
        <w:rPr>
          <w:rStyle w:val="2Char1Char"/>
          <w:rFonts w:ascii="Times New Roman" w:eastAsia="宋体" w:hAnsi="宋体" w:cs="Times New Roman"/>
          <w:b w:val="0"/>
          <w:sz w:val="28"/>
          <w:szCs w:val="28"/>
        </w:rPr>
        <w:t>建议</w:t>
      </w:r>
      <w:bookmarkEnd w:id="1350"/>
      <w:bookmarkEnd w:id="1351"/>
      <w:bookmarkEnd w:id="1352"/>
      <w:bookmarkEnd w:id="1353"/>
    </w:p>
    <w:p w:rsidR="00475650" w:rsidRDefault="00475650">
      <w:pPr>
        <w:spacing w:line="360" w:lineRule="auto"/>
        <w:ind w:firstLineChars="200" w:firstLine="480"/>
        <w:rPr>
          <w:sz w:val="24"/>
        </w:rPr>
      </w:pPr>
      <w:r>
        <w:rPr>
          <w:sz w:val="24"/>
        </w:rPr>
        <w:t>1</w:t>
      </w:r>
      <w:r>
        <w:rPr>
          <w:rFonts w:hAnsi="宋体"/>
          <w:sz w:val="24"/>
        </w:rPr>
        <w:t>、由于项目产生的废水可生化性能低，处理难度较大，环评建议公司加强废水处理资金及技术力度，确保水质能满足园区污水处理厂接纳标准</w:t>
      </w:r>
      <w:r>
        <w:rPr>
          <w:rFonts w:hAnsi="宋体" w:hint="eastAsia"/>
          <w:sz w:val="24"/>
        </w:rPr>
        <w:t>，且在技术可行的基础上优化处理工艺，减少吨水耗资</w:t>
      </w:r>
      <w:r>
        <w:rPr>
          <w:rFonts w:hAnsi="宋体"/>
          <w:sz w:val="24"/>
        </w:rPr>
        <w:t>；同时务必从建设、生产、贮存等各方面积极采取防护措施，进一步减少本项目事故风险概率，以确保安全生产。</w:t>
      </w:r>
    </w:p>
    <w:p w:rsidR="00475650" w:rsidRDefault="00475650">
      <w:pPr>
        <w:spacing w:line="360" w:lineRule="auto"/>
        <w:ind w:firstLineChars="200" w:firstLine="480"/>
        <w:rPr>
          <w:sz w:val="24"/>
        </w:rPr>
      </w:pPr>
      <w:r>
        <w:rPr>
          <w:sz w:val="24"/>
        </w:rPr>
        <w:t>2</w:t>
      </w:r>
      <w:r>
        <w:rPr>
          <w:rFonts w:hAnsi="宋体"/>
          <w:sz w:val="24"/>
        </w:rPr>
        <w:t>、企业必须按照国家颁布的《危险化学品事故应急救援预案编制导则》的要求，结合项目自身特点，尽快编制拟建项目的应急预案。环境风险防范措施和应急预案应列入环境风险验收</w:t>
      </w:r>
      <w:r>
        <w:rPr>
          <w:sz w:val="24"/>
        </w:rPr>
        <w:t>“</w:t>
      </w:r>
      <w:r>
        <w:rPr>
          <w:rFonts w:hAnsi="宋体"/>
          <w:sz w:val="24"/>
        </w:rPr>
        <w:t>三同时</w:t>
      </w:r>
      <w:r>
        <w:rPr>
          <w:sz w:val="24"/>
        </w:rPr>
        <w:t>”</w:t>
      </w:r>
      <w:r>
        <w:rPr>
          <w:rFonts w:hAnsi="宋体"/>
          <w:sz w:val="24"/>
        </w:rPr>
        <w:t>检查内。</w:t>
      </w:r>
    </w:p>
    <w:p w:rsidR="00475650" w:rsidRDefault="00475650">
      <w:pPr>
        <w:spacing w:line="360" w:lineRule="auto"/>
        <w:ind w:firstLineChars="200" w:firstLine="420"/>
      </w:pPr>
    </w:p>
    <w:p w:rsidR="00475650" w:rsidRDefault="00475650">
      <w:pPr>
        <w:spacing w:line="360" w:lineRule="auto"/>
        <w:jc w:val="center"/>
      </w:pPr>
    </w:p>
    <w:sectPr w:rsidR="00475650" w:rsidSect="009964C3">
      <w:pgSz w:w="11906" w:h="16838"/>
      <w:pgMar w:top="1701" w:right="1588" w:bottom="1418" w:left="1588" w:header="851" w:footer="992" w:gutter="0"/>
      <w:paperSrc w:first="7" w:other="7"/>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4CC9" w:rsidRDefault="00E24CC9">
      <w:r>
        <w:separator/>
      </w:r>
    </w:p>
  </w:endnote>
  <w:endnote w:type="continuationSeparator" w:id="0">
    <w:p w:rsidR="00E24CC9" w:rsidRDefault="00E24CC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仿宋_GB2312">
    <w:altName w:val="微软雅黑"/>
    <w:charset w:val="86"/>
    <w:family w:val="modern"/>
    <w:pitch w:val="fixed"/>
    <w:sig w:usb0="00000000" w:usb1="080E0000" w:usb2="00000010" w:usb3="00000000" w:csb0="00040000" w:csb1="00000000"/>
  </w:font>
  <w:font w:name="楷体_GB2312">
    <w:altName w:val="微软雅黑"/>
    <w:charset w:val="86"/>
    <w:family w:val="modern"/>
    <w:pitch w:val="fixed"/>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华文中宋">
    <w:altName w:val="宋体"/>
    <w:charset w:val="86"/>
    <w:family w:val="auto"/>
    <w:pitch w:val="default"/>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华文楷体">
    <w:altName w:val="hakuyoxingshu7000"/>
    <w:charset w:val="86"/>
    <w:family w:val="auto"/>
    <w:pitch w:val="default"/>
    <w:sig w:usb0="00000000" w:usb1="080F0000" w:usb2="00000010" w:usb3="00000000" w:csb0="0004009F" w:csb1="00000000"/>
  </w:font>
  <w:font w:name="Arial Black">
    <w:panose1 w:val="020B0A04020102020204"/>
    <w:charset w:val="00"/>
    <w:family w:val="swiss"/>
    <w:pitch w:val="variable"/>
    <w:sig w:usb0="00000287" w:usb1="00000000" w:usb2="00000000" w:usb3="00000000" w:csb0="0000009F" w:csb1="00000000"/>
  </w:font>
  <w:font w:name="方正大标宋简体">
    <w:altName w:val="宋体"/>
    <w:charset w:val="86"/>
    <w:family w:val="auto"/>
    <w:pitch w:val="default"/>
    <w:sig w:usb0="00000001" w:usb1="080E0000" w:usb2="00000000" w:usb3="00000000" w:csb0="00040000" w:csb1="00000000"/>
  </w:font>
  <w:font w:name="Arial Narrow">
    <w:altName w:val="Batang"/>
    <w:charset w:val="00"/>
    <w:family w:val="swiss"/>
    <w:pitch w:val="default"/>
    <w:sig w:usb0="00000001" w:usb1="00000800" w:usb2="00000000" w:usb3="00000000" w:csb0="2000009F" w:csb1="DFD70000"/>
  </w:font>
  <w:font w:name="Arial Unicode MS">
    <w:panose1 w:val="020B0604020202020204"/>
    <w:charset w:val="00"/>
    <w:family w:val="roman"/>
    <w:notTrueType/>
    <w:pitch w:val="variable"/>
    <w:sig w:usb0="00000003" w:usb1="00000000" w:usb2="00000000" w:usb3="00000000" w:csb0="00000001" w:csb1="00000000"/>
  </w:font>
  <w:font w:name="华文仿宋">
    <w:altName w:val="仿宋_GB2312"/>
    <w:charset w:val="86"/>
    <w:family w:val="auto"/>
    <w:pitch w:val="default"/>
    <w:sig w:usb0="00000287" w:usb1="080F0000" w:usb2="00000010" w:usb3="00000000" w:csb0="0004009F" w:csb1="00000000"/>
  </w:font>
  <w:font w:name="ˎ̥">
    <w:altName w:val="Times New Roman"/>
    <w:panose1 w:val="00000000000000000000"/>
    <w:charset w:val="00"/>
    <w:family w:val="roman"/>
    <w:notTrueType/>
    <w:pitch w:val="default"/>
    <w:sig w:usb0="00000000" w:usb1="00000000" w:usb2="00000000" w:usb3="00000000" w:csb0="00000000" w:csb1="00000000"/>
  </w:font>
  <w:font w:name="华文新魏">
    <w:altName w:val="宋体"/>
    <w:charset w:val="86"/>
    <w:family w:val="auto"/>
    <w:pitch w:val="default"/>
    <w:sig w:usb0="00000001" w:usb1="080F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文鼎粗行楷简">
    <w:altName w:val="宋体"/>
    <w:charset w:val="86"/>
    <w:family w:val="roman"/>
    <w:pitch w:val="default"/>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宋体-18030">
    <w:altName w:val="宋体"/>
    <w:charset w:val="86"/>
    <w:family w:val="modern"/>
    <w:pitch w:val="default"/>
    <w:sig w:usb0="800022A7" w:usb1="880F3C78" w:usb2="000A005E" w:usb3="00000000" w:csb0="00040001" w:csb1="00000000"/>
  </w:font>
  <w:font w:name="Times">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幼圆">
    <w:altName w:val="宋体"/>
    <w:charset w:val="86"/>
    <w:family w:val="modern"/>
    <w:pitch w:val="default"/>
    <w:sig w:usb0="00000001" w:usb1="080E0000" w:usb2="00000010" w:usb3="00000000" w:csb0="00040000" w:csb1="00000000"/>
  </w:font>
  <w:font w:name="”“Times New Roman”“">
    <w:altName w:val="宋体"/>
    <w:charset w:val="86"/>
    <w:family w:val="roman"/>
    <w:pitch w:val="default"/>
    <w:sig w:usb0="00000001" w:usb1="080E0000" w:usb2="00000010" w:usb3="00000000" w:csb0="00040000" w:csb1="00000000"/>
  </w:font>
  <w:font w:name="Garamond">
    <w:charset w:val="00"/>
    <w:family w:val="roman"/>
    <w:pitch w:val="default"/>
    <w:sig w:usb0="00000287" w:usb1="00000000" w:usb2="00000000" w:usb3="00000000" w:csb0="0000009F" w:csb1="DFD70000"/>
  </w:font>
  <w:font w:name="华文细黑">
    <w:altName w:val="宋体"/>
    <w:charset w:val="86"/>
    <w:family w:val="auto"/>
    <w:pitch w:val="default"/>
    <w:sig w:usb0="00000287" w:usb1="080F0000" w:usb2="00000010" w:usb3="00000000" w:csb0="0004009F" w:csb1="00000000"/>
  </w:font>
  <w:font w:name="Helv">
    <w:panose1 w:val="020B0604020202030204"/>
    <w:charset w:val="00"/>
    <w:family w:val="swiss"/>
    <w:notTrueType/>
    <w:pitch w:val="variable"/>
    <w:sig w:usb0="00000003" w:usb1="00000000" w:usb2="00000000" w:usb3="00000000" w:csb0="00000001" w:csb1="00000000"/>
  </w:font>
  <w:font w:name="Sim Sun+ 2">
    <w:altName w:val="黑体"/>
    <w:charset w:val="86"/>
    <w:family w:val="auto"/>
    <w:pitch w:val="default"/>
    <w:sig w:usb0="00000001" w:usb1="080E0000" w:usb2="00000010" w:usb3="00000000" w:csb0="00040000" w:csb1="00000000"/>
  </w:font>
  <w:font w:name="elite">
    <w:altName w:val="Arial"/>
    <w:charset w:val="00"/>
    <w:family w:val="modern"/>
    <w:pitch w:val="default"/>
    <w:sig w:usb0="00000003" w:usb1="00000000" w:usb2="00000000" w:usb3="00000000" w:csb0="00000001" w:csb1="00000000"/>
  </w:font>
  <w:font w:name="长城楷体">
    <w:altName w:val="黑体"/>
    <w:charset w:val="86"/>
    <w:family w:val="modern"/>
    <w:pitch w:val="default"/>
    <w:sig w:usb0="00000001" w:usb1="080E0000" w:usb2="00000010" w:usb3="00000000" w:csb0="00040000" w:csb1="00000000"/>
  </w:font>
  <w:font w:name="仿宋体">
    <w:altName w:val="宋体"/>
    <w:charset w:val="86"/>
    <w:family w:val="roman"/>
    <w:pitch w:val="default"/>
    <w:sig w:usb0="00000001" w:usb1="080E0000" w:usb2="00000010" w:usb3="00000000" w:csb0="00040000" w:csb1="00000000"/>
  </w:font>
  <w:font w:name="创艺简仿宋">
    <w:altName w:val="仿宋_GB2312"/>
    <w:charset w:val="86"/>
    <w:family w:val="auto"/>
    <w:pitch w:val="default"/>
    <w:sig w:usb0="00000000" w:usb1="00000000" w:usb2="00000000" w:usb3="00000000" w:csb0="00040001" w:csb1="00000000"/>
  </w:font>
  <w:font w:name="方正宋黑简体">
    <w:altName w:val="宋体"/>
    <w:charset w:val="86"/>
    <w:family w:val="auto"/>
    <w:pitch w:val="default"/>
    <w:sig w:usb0="00000001" w:usb1="080E0000" w:usb2="00000000" w:usb3="00000000" w:csb0="00040000" w:csb1="00000000"/>
  </w:font>
  <w:font w:name="..">
    <w:altName w:val="Times New Roman"/>
    <w:charset w:val="01"/>
    <w:family w:val="roman"/>
    <w:pitch w:val="default"/>
    <w:sig w:usb0="20003A87" w:usb1="00000000" w:usb2="00000000" w:usb3="00000000" w:csb0="000001FF" w:csb1="00000000"/>
  </w:font>
  <w:font w:name="新宋体-18030">
    <w:altName w:val="宋体"/>
    <w:charset w:val="86"/>
    <w:family w:val="modern"/>
    <w:pitch w:val="default"/>
    <w:sig w:usb0="800022A7" w:usb1="880F3C78" w:usb2="000A005E" w:usb3="00000000" w:csb0="00040001" w:csb1="00000000"/>
  </w:font>
  <w:font w:name="Plotter">
    <w:altName w:val="Arial"/>
    <w:charset w:val="00"/>
    <w:family w:val="roman"/>
    <w:pitch w:val="default"/>
    <w:sig w:usb0="006F0052" w:usb1="0061006D" w:usb2="0000006E" w:usb3="00000167" w:csb0="BFE819E3" w:csb1="C29B9DC0"/>
  </w:font>
  <w:font w:name="á￥êé">
    <w:altName w:val="宋体"/>
    <w:charset w:val="86"/>
    <w:family w:val="roman"/>
    <w:pitch w:val="default"/>
    <w:sig w:usb0="00000001" w:usb1="080E0000" w:usb2="00000010" w:usb3="00000000" w:csb0="00040000" w:csb1="00000000"/>
  </w:font>
  <w:font w:name="隶书">
    <w:altName w:val="宋体"/>
    <w:charset w:val="86"/>
    <w:family w:val="modern"/>
    <w:pitch w:val="default"/>
    <w:sig w:usb0="00000001" w:usb1="080E0000" w:usb2="00000010" w:usb3="00000000" w:csb0="00040000" w:csb1="00000000"/>
  </w:font>
  <w:font w:name="五">
    <w:altName w:val="黑体"/>
    <w:charset w:val="86"/>
    <w:family w:val="auto"/>
    <w:pitch w:val="default"/>
    <w:sig w:usb0="00000001" w:usb1="080E0000" w:usb2="00000010" w:usb3="00000000" w:csb0="00040000" w:csb1="00000000"/>
  </w:font>
  <w:font w:name="Times New Roman;Symbol;Arial;婼">
    <w:altName w:val="黑体"/>
    <w:charset w:val="86"/>
    <w:family w:val="auto"/>
    <w:pitch w:val="default"/>
    <w:sig w:usb0="00000001" w:usb1="080E0000" w:usb2="00000010" w:usb3="00000000" w:csb0="00040000" w:csb1="00000000"/>
  </w:font>
  <w:font w:name="DFKai-SB">
    <w:panose1 w:val="03000509000000000000"/>
    <w:charset w:val="88"/>
    <w:family w:val="script"/>
    <w:pitch w:val="fixed"/>
    <w:sig w:usb0="00000003" w:usb1="080E0000" w:usb2="00000016" w:usb3="00000000" w:csb0="00100001" w:csb1="00000000"/>
  </w:font>
  <w:font w:name="GE Inspira">
    <w:altName w:val="黑体"/>
    <w:charset w:val="86"/>
    <w:family w:val="auto"/>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pPr>
      <w:pStyle w:val="affe"/>
      <w:framePr w:wrap="around" w:vAnchor="text" w:hAnchor="margin" w:xAlign="center" w:y="1"/>
      <w:rPr>
        <w:rStyle w:val="afc"/>
      </w:rPr>
    </w:pPr>
    <w:r>
      <w:fldChar w:fldCharType="begin"/>
    </w:r>
    <w:r>
      <w:rPr>
        <w:rStyle w:val="afc"/>
      </w:rPr>
      <w:instrText xml:space="preserve">PAGE  </w:instrText>
    </w:r>
    <w:r>
      <w:fldChar w:fldCharType="end"/>
    </w:r>
  </w:p>
  <w:p w:rsidR="00BD74CB" w:rsidRDefault="00BD74CB">
    <w:pPr>
      <w:pStyle w:val="aff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pPr>
      <w:pStyle w:val="affe"/>
      <w:framePr w:wrap="around" w:vAnchor="text" w:hAnchor="margin" w:xAlign="center" w:y="1"/>
      <w:rPr>
        <w:rStyle w:val="afc"/>
      </w:rPr>
    </w:pPr>
    <w:r>
      <w:fldChar w:fldCharType="begin"/>
    </w:r>
    <w:r>
      <w:rPr>
        <w:rStyle w:val="afc"/>
      </w:rPr>
      <w:instrText xml:space="preserve">PAGE  </w:instrText>
    </w:r>
    <w:r>
      <w:fldChar w:fldCharType="end"/>
    </w:r>
  </w:p>
  <w:p w:rsidR="00BD74CB" w:rsidRDefault="00BD74CB">
    <w:pPr>
      <w:pStyle w:val="aff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pPr>
      <w:pStyle w:val="affe"/>
      <w:framePr w:wrap="around" w:vAnchor="text" w:hAnchor="margin" w:xAlign="center" w:y="1"/>
      <w:rPr>
        <w:rStyle w:val="afc"/>
      </w:rPr>
    </w:pPr>
    <w:r>
      <w:fldChar w:fldCharType="begin"/>
    </w:r>
    <w:r>
      <w:rPr>
        <w:rStyle w:val="afc"/>
      </w:rPr>
      <w:instrText xml:space="preserve">PAGE  </w:instrText>
    </w:r>
    <w:r>
      <w:fldChar w:fldCharType="separate"/>
    </w:r>
    <w:r w:rsidR="00CA1345">
      <w:rPr>
        <w:rStyle w:val="afc"/>
        <w:noProof/>
      </w:rPr>
      <w:t>125</w:t>
    </w:r>
    <w:r>
      <w:fldChar w:fldCharType="end"/>
    </w:r>
  </w:p>
  <w:p w:rsidR="00BD74CB" w:rsidRDefault="00BD74CB">
    <w:pPr>
      <w:pStyle w:val="aff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pPr>
      <w:pStyle w:val="affe"/>
      <w:framePr w:wrap="around" w:vAnchor="text" w:hAnchor="margin" w:xAlign="center" w:y="1"/>
      <w:rPr>
        <w:rStyle w:val="afc"/>
      </w:rPr>
    </w:pPr>
    <w:r>
      <w:fldChar w:fldCharType="begin"/>
    </w:r>
    <w:r>
      <w:rPr>
        <w:rStyle w:val="afc"/>
      </w:rPr>
      <w:instrText xml:space="preserve">PAGE  </w:instrText>
    </w:r>
    <w:r>
      <w:fldChar w:fldCharType="end"/>
    </w:r>
  </w:p>
  <w:p w:rsidR="00BD74CB" w:rsidRDefault="00BD74CB">
    <w:pPr>
      <w:pStyle w:val="affe"/>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pPr>
      <w:pStyle w:val="affe"/>
      <w:framePr w:wrap="around" w:vAnchor="text" w:hAnchor="margin" w:xAlign="center" w:y="1"/>
      <w:rPr>
        <w:rStyle w:val="afc"/>
      </w:rPr>
    </w:pPr>
    <w:r>
      <w:fldChar w:fldCharType="begin"/>
    </w:r>
    <w:r>
      <w:rPr>
        <w:rStyle w:val="afc"/>
      </w:rPr>
      <w:instrText xml:space="preserve">PAGE  </w:instrText>
    </w:r>
    <w:r>
      <w:fldChar w:fldCharType="separate"/>
    </w:r>
    <w:r w:rsidR="00CA1345">
      <w:rPr>
        <w:rStyle w:val="afc"/>
        <w:noProof/>
      </w:rPr>
      <w:t>132</w:t>
    </w:r>
    <w:r>
      <w:fldChar w:fldCharType="end"/>
    </w:r>
  </w:p>
  <w:p w:rsidR="00BD74CB" w:rsidRDefault="00BD74CB">
    <w:pPr>
      <w:pStyle w:val="affe"/>
      <w:ind w:right="360"/>
      <w:jc w:val="cen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pPr>
      <w:pStyle w:val="affe"/>
      <w:framePr w:wrap="around" w:vAnchor="text" w:hAnchor="margin" w:xAlign="center" w:y="1"/>
      <w:rPr>
        <w:rStyle w:val="afc"/>
      </w:rPr>
    </w:pPr>
    <w:r>
      <w:fldChar w:fldCharType="begin"/>
    </w:r>
    <w:r>
      <w:rPr>
        <w:rStyle w:val="afc"/>
      </w:rPr>
      <w:instrText xml:space="preserve">PAGE  </w:instrText>
    </w:r>
    <w:r>
      <w:fldChar w:fldCharType="end"/>
    </w:r>
  </w:p>
  <w:p w:rsidR="00BD74CB" w:rsidRDefault="00BD74CB">
    <w:pPr>
      <w:pStyle w:val="affe"/>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pPr>
      <w:pStyle w:val="affe"/>
      <w:framePr w:wrap="around" w:vAnchor="text" w:hAnchor="margin" w:xAlign="center" w:y="1"/>
      <w:rPr>
        <w:rStyle w:val="afc"/>
      </w:rPr>
    </w:pPr>
    <w:r>
      <w:fldChar w:fldCharType="begin"/>
    </w:r>
    <w:r>
      <w:rPr>
        <w:rStyle w:val="afc"/>
      </w:rPr>
      <w:instrText xml:space="preserve">PAGE  </w:instrText>
    </w:r>
    <w:r>
      <w:fldChar w:fldCharType="separate"/>
    </w:r>
    <w:r w:rsidR="00CA1345">
      <w:rPr>
        <w:rStyle w:val="afc"/>
        <w:noProof/>
      </w:rPr>
      <w:t>134</w:t>
    </w:r>
    <w:r>
      <w:fldChar w:fldCharType="end"/>
    </w:r>
  </w:p>
  <w:p w:rsidR="00BD74CB" w:rsidRDefault="00BD74CB">
    <w:pPr>
      <w:pStyle w:val="affe"/>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pPr>
      <w:pStyle w:val="affe"/>
      <w:framePr w:wrap="around" w:vAnchor="text" w:hAnchor="margin" w:xAlign="center" w:y="1"/>
      <w:rPr>
        <w:rStyle w:val="afc"/>
      </w:rPr>
    </w:pPr>
    <w:r>
      <w:fldChar w:fldCharType="begin"/>
    </w:r>
    <w:r>
      <w:rPr>
        <w:rStyle w:val="afc"/>
      </w:rPr>
      <w:instrText xml:space="preserve">PAGE  </w:instrText>
    </w:r>
    <w:r>
      <w:fldChar w:fldCharType="end"/>
    </w:r>
  </w:p>
  <w:p w:rsidR="00BD74CB" w:rsidRDefault="00BD74CB">
    <w:pPr>
      <w:pStyle w:val="affe"/>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pPr>
      <w:pStyle w:val="affe"/>
      <w:framePr w:wrap="around" w:vAnchor="text" w:hAnchor="margin" w:xAlign="center" w:y="1"/>
      <w:rPr>
        <w:rStyle w:val="afc"/>
      </w:rPr>
    </w:pPr>
    <w:r>
      <w:fldChar w:fldCharType="begin"/>
    </w:r>
    <w:r>
      <w:rPr>
        <w:rStyle w:val="afc"/>
      </w:rPr>
      <w:instrText xml:space="preserve">PAGE  </w:instrText>
    </w:r>
    <w:r>
      <w:fldChar w:fldCharType="separate"/>
    </w:r>
    <w:r w:rsidR="00CA1345">
      <w:rPr>
        <w:rStyle w:val="afc"/>
        <w:noProof/>
      </w:rPr>
      <w:t>143</w:t>
    </w:r>
    <w:r>
      <w:fldChar w:fldCharType="end"/>
    </w:r>
  </w:p>
  <w:p w:rsidR="00BD74CB" w:rsidRDefault="00BD74CB">
    <w:pPr>
      <w:pStyle w:val="affe"/>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pPr>
      <w:pStyle w:val="affe"/>
      <w:framePr w:wrap="around" w:vAnchor="text" w:hAnchor="margin" w:xAlign="center" w:y="1"/>
      <w:rPr>
        <w:rStyle w:val="afc"/>
      </w:rPr>
    </w:pPr>
    <w:r>
      <w:fldChar w:fldCharType="begin"/>
    </w:r>
    <w:r>
      <w:rPr>
        <w:rStyle w:val="afc"/>
      </w:rPr>
      <w:instrText xml:space="preserve">PAGE  </w:instrText>
    </w:r>
    <w:r>
      <w:fldChar w:fldCharType="end"/>
    </w:r>
  </w:p>
  <w:p w:rsidR="00BD74CB" w:rsidRDefault="00BD74CB">
    <w:pPr>
      <w:pStyle w:val="affe"/>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pPr>
      <w:pStyle w:val="affe"/>
      <w:framePr w:wrap="around" w:vAnchor="text" w:hAnchor="margin" w:xAlign="center" w:y="1"/>
      <w:rPr>
        <w:rStyle w:val="afc"/>
      </w:rPr>
    </w:pPr>
    <w:r>
      <w:fldChar w:fldCharType="begin"/>
    </w:r>
    <w:r>
      <w:rPr>
        <w:rStyle w:val="afc"/>
      </w:rPr>
      <w:instrText xml:space="preserve">PAGE  </w:instrText>
    </w:r>
    <w:r>
      <w:fldChar w:fldCharType="separate"/>
    </w:r>
    <w:r w:rsidR="00CA1345">
      <w:rPr>
        <w:rStyle w:val="afc"/>
        <w:noProof/>
      </w:rPr>
      <w:t>154</w:t>
    </w:r>
    <w:r>
      <w:fldChar w:fldCharType="end"/>
    </w:r>
  </w:p>
  <w:p w:rsidR="00BD74CB" w:rsidRDefault="00BD74CB">
    <w:pPr>
      <w:pStyle w:val="aff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pPr>
      <w:pStyle w:val="affe"/>
      <w:framePr w:wrap="around" w:vAnchor="text" w:hAnchor="margin" w:xAlign="center" w:y="1"/>
      <w:rPr>
        <w:rStyle w:val="afc"/>
      </w:rPr>
    </w:pPr>
    <w:r>
      <w:fldChar w:fldCharType="begin"/>
    </w:r>
    <w:r>
      <w:rPr>
        <w:rStyle w:val="afc"/>
      </w:rPr>
      <w:instrText xml:space="preserve">PAGE  </w:instrText>
    </w:r>
    <w:r>
      <w:fldChar w:fldCharType="separate"/>
    </w:r>
    <w:r>
      <w:rPr>
        <w:rStyle w:val="afc"/>
        <w:noProof/>
      </w:rPr>
      <w:t>12</w:t>
    </w:r>
    <w:r>
      <w:fldChar w:fldCharType="end"/>
    </w:r>
  </w:p>
  <w:p w:rsidR="00BD74CB" w:rsidRDefault="00BD74CB">
    <w:pPr>
      <w:pStyle w:val="affe"/>
      <w:ind w:right="360"/>
      <w:rPr>
        <w:i/>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pPr>
      <w:pStyle w:val="affe"/>
      <w:framePr w:wrap="around" w:vAnchor="text" w:hAnchor="margin" w:xAlign="center" w:y="1"/>
      <w:rPr>
        <w:rStyle w:val="afc"/>
      </w:rPr>
    </w:pPr>
    <w:r>
      <w:fldChar w:fldCharType="begin"/>
    </w:r>
    <w:r>
      <w:rPr>
        <w:rStyle w:val="afc"/>
      </w:rPr>
      <w:instrText xml:space="preserve">PAGE  </w:instrText>
    </w:r>
    <w:r>
      <w:fldChar w:fldCharType="separate"/>
    </w:r>
    <w:r>
      <w:rPr>
        <w:rStyle w:val="afc"/>
        <w:noProof/>
      </w:rPr>
      <w:t>15</w:t>
    </w:r>
    <w:r>
      <w:fldChar w:fldCharType="end"/>
    </w:r>
  </w:p>
  <w:p w:rsidR="00BD74CB" w:rsidRDefault="00BD74CB">
    <w:pPr>
      <w:pStyle w:val="aff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pPr>
      <w:pStyle w:val="affe"/>
      <w:framePr w:wrap="around" w:vAnchor="text" w:hAnchor="margin" w:xAlign="center" w:y="1"/>
      <w:rPr>
        <w:rStyle w:val="afc"/>
      </w:rPr>
    </w:pPr>
    <w:r w:rsidRPr="006F27A1">
      <w:rPr>
        <w:sz w:val="20"/>
      </w:rPr>
      <w:pict>
        <v:line id="直线 13" o:spid="_x0000_s2061" style="position:absolute;z-index:251657728" from="-1.2pt,-2.2pt" to="454pt,-2.2pt"/>
      </w:pict>
    </w:r>
    <w:r>
      <w:rPr>
        <w:rStyle w:val="afc"/>
        <w:rFonts w:hint="eastAsia"/>
      </w:rPr>
      <w:t>5-</w:t>
    </w:r>
    <w:r>
      <w:fldChar w:fldCharType="begin"/>
    </w:r>
    <w:r>
      <w:rPr>
        <w:rStyle w:val="afc"/>
      </w:rPr>
      <w:instrText xml:space="preserve">PAGE  </w:instrText>
    </w:r>
    <w:r>
      <w:fldChar w:fldCharType="separate"/>
    </w:r>
    <w:r>
      <w:rPr>
        <w:rStyle w:val="afc"/>
      </w:rPr>
      <w:t>10</w:t>
    </w:r>
    <w:r>
      <w:fldChar w:fldCharType="end"/>
    </w:r>
  </w:p>
  <w:p w:rsidR="00BD74CB" w:rsidRDefault="00BD74CB">
    <w:pPr>
      <w:pStyle w:val="affe"/>
      <w:ind w:right="360"/>
      <w:jc w:val="right"/>
    </w:pPr>
    <w:r>
      <w:rPr>
        <w:rFonts w:eastAsia="楷体_GB2312" w:hint="eastAsia"/>
        <w:snapToGrid w:val="0"/>
      </w:rPr>
      <w:t>上海南域石化环境保护科技有限公司</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pPr>
      <w:pStyle w:val="affe"/>
      <w:framePr w:wrap="around" w:vAnchor="text" w:hAnchor="margin" w:xAlign="center" w:y="1"/>
      <w:rPr>
        <w:rStyle w:val="afc"/>
      </w:rPr>
    </w:pPr>
    <w:r>
      <w:fldChar w:fldCharType="begin"/>
    </w:r>
    <w:r>
      <w:rPr>
        <w:rStyle w:val="afc"/>
      </w:rPr>
      <w:instrText xml:space="preserve">PAGE  </w:instrText>
    </w:r>
    <w:r>
      <w:fldChar w:fldCharType="separate"/>
    </w:r>
    <w:r w:rsidR="004446A0">
      <w:rPr>
        <w:rStyle w:val="afc"/>
        <w:noProof/>
      </w:rPr>
      <w:t>54</w:t>
    </w:r>
    <w:r>
      <w:fldChar w:fldCharType="end"/>
    </w:r>
  </w:p>
  <w:p w:rsidR="00BD74CB" w:rsidRDefault="00BD74CB">
    <w:pPr>
      <w:pStyle w:val="affe"/>
      <w:ind w:right="360"/>
      <w:rPr>
        <w:i/>
      </w:rPr>
    </w:pPr>
    <w:r>
      <w:rPr>
        <w:rFonts w:hint="eastAsia"/>
        <w:i/>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pPr>
      <w:pStyle w:val="affe"/>
      <w:ind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pPr>
      <w:pStyle w:val="affe"/>
      <w:framePr w:wrap="around" w:vAnchor="text" w:hAnchor="margin" w:xAlign="center" w:y="1"/>
      <w:rPr>
        <w:rStyle w:val="afc"/>
      </w:rPr>
    </w:pPr>
    <w:r>
      <w:fldChar w:fldCharType="begin"/>
    </w:r>
    <w:r>
      <w:rPr>
        <w:rStyle w:val="afc"/>
      </w:rPr>
      <w:instrText xml:space="preserve">PAGE  </w:instrText>
    </w:r>
    <w:r>
      <w:fldChar w:fldCharType="separate"/>
    </w:r>
    <w:r w:rsidR="002463F7">
      <w:rPr>
        <w:rStyle w:val="afc"/>
        <w:noProof/>
      </w:rPr>
      <w:t>70</w:t>
    </w:r>
    <w:r>
      <w:fldChar w:fldCharType="end"/>
    </w:r>
  </w:p>
  <w:p w:rsidR="00BD74CB" w:rsidRDefault="00BD74CB">
    <w:pPr>
      <w:pStyle w:val="affe"/>
      <w:ind w:right="360"/>
      <w:rPr>
        <w:i/>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pPr>
      <w:pStyle w:val="affe"/>
      <w:framePr w:wrap="around" w:vAnchor="text" w:hAnchor="margin" w:xAlign="center" w:y="1"/>
      <w:rPr>
        <w:rStyle w:val="afc"/>
      </w:rPr>
    </w:pPr>
    <w:r>
      <w:fldChar w:fldCharType="begin"/>
    </w:r>
    <w:r>
      <w:rPr>
        <w:rStyle w:val="afc"/>
      </w:rPr>
      <w:instrText xml:space="preserve">PAGE  </w:instrText>
    </w:r>
    <w:r>
      <w:fldChar w:fldCharType="separate"/>
    </w:r>
    <w:r>
      <w:rPr>
        <w:rStyle w:val="afc"/>
        <w:noProof/>
      </w:rPr>
      <w:t>87</w:t>
    </w:r>
    <w:r>
      <w:fldChar w:fldCharType="end"/>
    </w:r>
  </w:p>
  <w:p w:rsidR="00BD74CB" w:rsidRDefault="00BD74CB">
    <w:pPr>
      <w:pStyle w:val="aff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pPr>
      <w:pStyle w:val="affe"/>
      <w:framePr w:wrap="around" w:vAnchor="text" w:hAnchor="margin" w:xAlign="center" w:y="1"/>
      <w:rPr>
        <w:rStyle w:val="afc"/>
      </w:rPr>
    </w:pPr>
    <w:r>
      <w:fldChar w:fldCharType="begin"/>
    </w:r>
    <w:r>
      <w:rPr>
        <w:rStyle w:val="afc"/>
      </w:rPr>
      <w:instrText xml:space="preserve">PAGE  </w:instrText>
    </w:r>
    <w:r>
      <w:fldChar w:fldCharType="separate"/>
    </w:r>
    <w:r w:rsidR="004446A0">
      <w:rPr>
        <w:rStyle w:val="afc"/>
        <w:noProof/>
      </w:rPr>
      <w:t>102</w:t>
    </w:r>
    <w:r>
      <w:fldChar w:fldCharType="end"/>
    </w:r>
  </w:p>
  <w:p w:rsidR="00BD74CB" w:rsidRDefault="00BD74CB">
    <w:pPr>
      <w:pStyle w:val="af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4CC9" w:rsidRDefault="00E24CC9">
      <w:r>
        <w:separator/>
      </w:r>
    </w:p>
  </w:footnote>
  <w:footnote w:type="continuationSeparator" w:id="0">
    <w:p w:rsidR="00E24CC9" w:rsidRDefault="00E24C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pPr>
      <w:pStyle w:val="affffff"/>
      <w:pBdr>
        <w:bottom w:val="none" w:sz="0" w:space="0" w:color="auto"/>
      </w:pBd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pPr>
      <w:pStyle w:val="affffff"/>
      <w:ind w:firstLine="36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pPr>
      <w:pStyle w:val="affffff"/>
      <w:ind w:firstLine="360"/>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pPr>
      <w:pStyle w:val="affffff"/>
      <w:pBdr>
        <w:bottom w:val="none" w:sz="0" w:space="0" w:color="auto"/>
      </w:pBdr>
      <w:jc w:val="left"/>
    </w:pPr>
    <w:r>
      <w:rPr>
        <w:rFonts w:hint="eastAsia"/>
      </w:rPr>
      <w:t xml:space="preserve">                                                  </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pPr>
      <w:pStyle w:val="affffff"/>
      <w:ind w:firstLine="360"/>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pPr>
      <w:pStyle w:val="affffff"/>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pPr>
      <w:pStyle w:val="affffff"/>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pPr>
      <w:pStyle w:val="affffff"/>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pPr>
      <w:pStyle w:val="affffff"/>
      <w:ind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pPr>
      <w:pStyle w:val="affffff"/>
      <w:pBdr>
        <w:bottom w:val="none" w:sz="0" w:space="0" w:color="auto"/>
      </w:pBd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pPr>
      <w:pStyle w:val="affffff"/>
      <w:ind w:firstLine="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pPr>
      <w:pStyle w:val="affffff"/>
      <w:ind w:firstLine="360"/>
    </w:pPr>
    <w:r>
      <w:rPr>
        <w:rFonts w:ascii="楷体_GB2312" w:eastAsia="楷体_GB2312" w:hint="eastAsia"/>
      </w:rPr>
      <w:t>中国石化股份有限公司长岭分公司10万吨/年乙苯-苯乙烯联合装置环境影响报告书</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4CB" w:rsidRDefault="00BD74CB">
    <w:pPr>
      <w:pStyle w:val="affffff"/>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FFFFF7C"/>
    <w:lvl w:ilvl="0">
      <w:start w:val="1"/>
      <w:numFmt w:val="decimal"/>
      <w:pStyle w:val="5"/>
      <w:lvlText w:val="%1."/>
      <w:lvlJc w:val="left"/>
      <w:pPr>
        <w:tabs>
          <w:tab w:val="num" w:pos="2412"/>
        </w:tabs>
        <w:ind w:left="2412" w:hanging="360"/>
      </w:pPr>
    </w:lvl>
  </w:abstractNum>
  <w:abstractNum w:abstractNumId="1">
    <w:nsid w:val="FFFFFF7D"/>
    <w:multiLevelType w:val="singleLevel"/>
    <w:tmpl w:val="FFFFFF7D"/>
    <w:lvl w:ilvl="0">
      <w:start w:val="1"/>
      <w:numFmt w:val="decimal"/>
      <w:pStyle w:val="4"/>
      <w:lvlText w:val="%1."/>
      <w:lvlJc w:val="left"/>
      <w:pPr>
        <w:tabs>
          <w:tab w:val="num" w:pos="1620"/>
        </w:tabs>
        <w:ind w:left="1620" w:hanging="360"/>
      </w:pPr>
    </w:lvl>
  </w:abstractNum>
  <w:abstractNum w:abstractNumId="2">
    <w:nsid w:val="FFFFFF7E"/>
    <w:multiLevelType w:val="singleLevel"/>
    <w:tmpl w:val="FFFFFF7E"/>
    <w:lvl w:ilvl="0">
      <w:start w:val="1"/>
      <w:numFmt w:val="decimal"/>
      <w:pStyle w:val="3"/>
      <w:lvlText w:val="%1."/>
      <w:lvlJc w:val="left"/>
      <w:pPr>
        <w:tabs>
          <w:tab w:val="num" w:pos="1200"/>
        </w:tabs>
        <w:ind w:left="1200" w:hanging="360"/>
      </w:pPr>
    </w:lvl>
  </w:abstractNum>
  <w:abstractNum w:abstractNumId="3">
    <w:nsid w:val="FFFFFF7F"/>
    <w:multiLevelType w:val="singleLevel"/>
    <w:tmpl w:val="FFFFFF7F"/>
    <w:lvl w:ilvl="0">
      <w:start w:val="1"/>
      <w:numFmt w:val="decimal"/>
      <w:pStyle w:val="2"/>
      <w:lvlText w:val="%1."/>
      <w:lvlJc w:val="left"/>
      <w:pPr>
        <w:tabs>
          <w:tab w:val="num" w:pos="780"/>
        </w:tabs>
        <w:ind w:left="780" w:hanging="360"/>
      </w:pPr>
    </w:lvl>
  </w:abstractNum>
  <w:abstractNum w:abstractNumId="4">
    <w:nsid w:val="FFFFFF80"/>
    <w:multiLevelType w:val="singleLevel"/>
    <w:tmpl w:val="FFFFFF80"/>
    <w:lvl w:ilvl="0">
      <w:start w:val="1"/>
      <w:numFmt w:val="bullet"/>
      <w:pStyle w:val="50"/>
      <w:lvlText w:val=""/>
      <w:lvlJc w:val="left"/>
      <w:pPr>
        <w:tabs>
          <w:tab w:val="num" w:pos="2040"/>
        </w:tabs>
        <w:ind w:left="2040" w:hanging="360"/>
      </w:pPr>
      <w:rPr>
        <w:rFonts w:ascii="Wingdings" w:hAnsi="Wingdings" w:hint="default"/>
      </w:rPr>
    </w:lvl>
  </w:abstractNum>
  <w:abstractNum w:abstractNumId="5">
    <w:nsid w:val="FFFFFF81"/>
    <w:multiLevelType w:val="singleLevel"/>
    <w:tmpl w:val="FFFFFF81"/>
    <w:lvl w:ilvl="0">
      <w:start w:val="1"/>
      <w:numFmt w:val="bullet"/>
      <w:pStyle w:val="40"/>
      <w:lvlText w:val=""/>
      <w:lvlJc w:val="left"/>
      <w:pPr>
        <w:tabs>
          <w:tab w:val="num" w:pos="1620"/>
        </w:tabs>
        <w:ind w:left="1620" w:hanging="360"/>
      </w:pPr>
      <w:rPr>
        <w:rFonts w:ascii="Wingdings" w:hAnsi="Wingdings" w:hint="default"/>
      </w:rPr>
    </w:lvl>
  </w:abstractNum>
  <w:abstractNum w:abstractNumId="6">
    <w:nsid w:val="FFFFFF82"/>
    <w:multiLevelType w:val="singleLevel"/>
    <w:tmpl w:val="FFFFFF82"/>
    <w:lvl w:ilvl="0">
      <w:start w:val="1"/>
      <w:numFmt w:val="bullet"/>
      <w:pStyle w:val="30"/>
      <w:lvlText w:val=""/>
      <w:lvlJc w:val="left"/>
      <w:pPr>
        <w:tabs>
          <w:tab w:val="num" w:pos="1200"/>
        </w:tabs>
        <w:ind w:left="1200" w:hanging="360"/>
      </w:pPr>
      <w:rPr>
        <w:rFonts w:ascii="Wingdings" w:hAnsi="Wingdings" w:hint="default"/>
      </w:rPr>
    </w:lvl>
  </w:abstractNum>
  <w:abstractNum w:abstractNumId="7">
    <w:nsid w:val="FFFFFF83"/>
    <w:multiLevelType w:val="singleLevel"/>
    <w:tmpl w:val="FFFFFF83"/>
    <w:lvl w:ilvl="0">
      <w:start w:val="1"/>
      <w:numFmt w:val="bullet"/>
      <w:pStyle w:val="20"/>
      <w:lvlText w:val=""/>
      <w:lvlJc w:val="left"/>
      <w:pPr>
        <w:tabs>
          <w:tab w:val="num" w:pos="780"/>
        </w:tabs>
        <w:ind w:left="780" w:hanging="360"/>
      </w:pPr>
      <w:rPr>
        <w:rFonts w:ascii="Wingdings" w:hAnsi="Wingdings" w:hint="default"/>
      </w:rPr>
    </w:lvl>
  </w:abstractNum>
  <w:abstractNum w:abstractNumId="8">
    <w:nsid w:val="FFFFFF88"/>
    <w:multiLevelType w:val="singleLevel"/>
    <w:tmpl w:val="FFFFFF88"/>
    <w:lvl w:ilvl="0">
      <w:start w:val="1"/>
      <w:numFmt w:val="decimal"/>
      <w:pStyle w:val="a"/>
      <w:lvlText w:val="%1."/>
      <w:lvlJc w:val="left"/>
      <w:pPr>
        <w:tabs>
          <w:tab w:val="num" w:pos="360"/>
        </w:tabs>
        <w:ind w:left="360" w:hanging="360"/>
      </w:pPr>
    </w:lvl>
  </w:abstractNum>
  <w:abstractNum w:abstractNumId="9">
    <w:nsid w:val="FFFFFF89"/>
    <w:multiLevelType w:val="singleLevel"/>
    <w:tmpl w:val="FFFFFF89"/>
    <w:lvl w:ilvl="0">
      <w:start w:val="1"/>
      <w:numFmt w:val="bullet"/>
      <w:pStyle w:val="a0"/>
      <w:lvlText w:val=""/>
      <w:lvlJc w:val="left"/>
      <w:pPr>
        <w:tabs>
          <w:tab w:val="num" w:pos="360"/>
        </w:tabs>
        <w:ind w:left="360" w:hanging="360"/>
      </w:pPr>
      <w:rPr>
        <w:rFonts w:ascii="Wingdings" w:hAnsi="Wingdings" w:hint="default"/>
      </w:rPr>
    </w:lvl>
  </w:abstractNum>
  <w:abstractNum w:abstractNumId="10">
    <w:nsid w:val="000616F9"/>
    <w:multiLevelType w:val="multilevel"/>
    <w:tmpl w:val="000616F9"/>
    <w:lvl w:ilvl="0">
      <w:start w:val="1"/>
      <w:numFmt w:val="decimal"/>
      <w:pStyle w:val="83"/>
      <w:lvlText w:val="表8.3 -%1"/>
      <w:lvlJc w:val="center"/>
      <w:pPr>
        <w:tabs>
          <w:tab w:val="num" w:pos="726"/>
        </w:tabs>
        <w:ind w:left="2" w:firstLine="4"/>
      </w:pPr>
      <w:rPr>
        <w:rFonts w:ascii="Times New Roman" w:hAnsi="Times New Roman" w:hint="default"/>
        <w:b/>
        <w:i w:val="0"/>
        <w:sz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01D31CB4"/>
    <w:multiLevelType w:val="multilevel"/>
    <w:tmpl w:val="01D31CB4"/>
    <w:lvl w:ilvl="0">
      <w:start w:val="1"/>
      <w:numFmt w:val="decimal"/>
      <w:pStyle w:val="72"/>
      <w:lvlText w:val="表7.2 -%1"/>
      <w:lvlJc w:val="center"/>
      <w:pPr>
        <w:tabs>
          <w:tab w:val="num" w:pos="726"/>
        </w:tabs>
        <w:ind w:left="2" w:firstLine="4"/>
      </w:pPr>
      <w:rPr>
        <w:rFonts w:ascii="Times New Roman" w:hAnsi="Times New Roman" w:hint="default"/>
        <w:b/>
        <w:i w:val="0"/>
        <w:sz w:val="24"/>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021767B0"/>
    <w:multiLevelType w:val="multilevel"/>
    <w:tmpl w:val="021767B0"/>
    <w:lvl w:ilvl="0">
      <w:start w:val="1"/>
      <w:numFmt w:val="decimal"/>
      <w:pStyle w:val="821"/>
      <w:lvlText w:val="表11.2-%1"/>
      <w:lvlJc w:val="center"/>
      <w:pPr>
        <w:tabs>
          <w:tab w:val="num" w:pos="2190"/>
        </w:tabs>
        <w:ind w:left="619" w:firstLine="851"/>
      </w:pPr>
      <w:rPr>
        <w:rFonts w:ascii="Times New Roman" w:hAnsi="Times New Roman" w:hint="default"/>
        <w:b/>
        <w:i w:val="0"/>
        <w:sz w:val="26"/>
      </w:rPr>
    </w:lvl>
    <w:lvl w:ilvl="1">
      <w:start w:val="1"/>
      <w:numFmt w:val="lowerLetter"/>
      <w:lvlText w:val="%2)"/>
      <w:lvlJc w:val="left"/>
      <w:pPr>
        <w:tabs>
          <w:tab w:val="num" w:pos="1459"/>
        </w:tabs>
        <w:ind w:left="1459" w:hanging="420"/>
      </w:pPr>
    </w:lvl>
    <w:lvl w:ilvl="2">
      <w:start w:val="1"/>
      <w:numFmt w:val="lowerRoman"/>
      <w:lvlText w:val="%3."/>
      <w:lvlJc w:val="right"/>
      <w:pPr>
        <w:tabs>
          <w:tab w:val="num" w:pos="1879"/>
        </w:tabs>
        <w:ind w:left="1879" w:hanging="420"/>
      </w:pPr>
    </w:lvl>
    <w:lvl w:ilvl="3">
      <w:start w:val="1"/>
      <w:numFmt w:val="decimal"/>
      <w:lvlText w:val="%4."/>
      <w:lvlJc w:val="left"/>
      <w:pPr>
        <w:tabs>
          <w:tab w:val="num" w:pos="2299"/>
        </w:tabs>
        <w:ind w:left="2299" w:hanging="420"/>
      </w:pPr>
    </w:lvl>
    <w:lvl w:ilvl="4">
      <w:start w:val="1"/>
      <w:numFmt w:val="lowerLetter"/>
      <w:lvlText w:val="%5)"/>
      <w:lvlJc w:val="left"/>
      <w:pPr>
        <w:tabs>
          <w:tab w:val="num" w:pos="2719"/>
        </w:tabs>
        <w:ind w:left="2719" w:hanging="420"/>
      </w:pPr>
    </w:lvl>
    <w:lvl w:ilvl="5">
      <w:start w:val="1"/>
      <w:numFmt w:val="lowerRoman"/>
      <w:lvlText w:val="%6."/>
      <w:lvlJc w:val="right"/>
      <w:pPr>
        <w:tabs>
          <w:tab w:val="num" w:pos="3139"/>
        </w:tabs>
        <w:ind w:left="3139" w:hanging="420"/>
      </w:pPr>
    </w:lvl>
    <w:lvl w:ilvl="6">
      <w:start w:val="1"/>
      <w:numFmt w:val="decimal"/>
      <w:lvlText w:val="%7."/>
      <w:lvlJc w:val="left"/>
      <w:pPr>
        <w:tabs>
          <w:tab w:val="num" w:pos="3559"/>
        </w:tabs>
        <w:ind w:left="3559" w:hanging="420"/>
      </w:pPr>
    </w:lvl>
    <w:lvl w:ilvl="7">
      <w:start w:val="1"/>
      <w:numFmt w:val="lowerLetter"/>
      <w:lvlText w:val="%8)"/>
      <w:lvlJc w:val="left"/>
      <w:pPr>
        <w:tabs>
          <w:tab w:val="num" w:pos="3979"/>
        </w:tabs>
        <w:ind w:left="3979" w:hanging="420"/>
      </w:pPr>
    </w:lvl>
    <w:lvl w:ilvl="8">
      <w:start w:val="1"/>
      <w:numFmt w:val="lowerRoman"/>
      <w:lvlText w:val="%9."/>
      <w:lvlJc w:val="right"/>
      <w:pPr>
        <w:tabs>
          <w:tab w:val="num" w:pos="4399"/>
        </w:tabs>
        <w:ind w:left="4399" w:hanging="420"/>
      </w:pPr>
    </w:lvl>
  </w:abstractNum>
  <w:abstractNum w:abstractNumId="13">
    <w:nsid w:val="022D2185"/>
    <w:multiLevelType w:val="multilevel"/>
    <w:tmpl w:val="022D2185"/>
    <w:lvl w:ilvl="0">
      <w:start w:val="16"/>
      <w:numFmt w:val="decimal"/>
      <w:lvlText w:val="%1"/>
      <w:lvlJc w:val="left"/>
      <w:pPr>
        <w:tabs>
          <w:tab w:val="num" w:pos="425"/>
        </w:tabs>
        <w:ind w:left="425" w:hanging="425"/>
      </w:pPr>
      <w:rPr>
        <w:rFonts w:hint="eastAsia"/>
      </w:rPr>
    </w:lvl>
    <w:lvl w:ilvl="1">
      <w:start w:val="7"/>
      <w:numFmt w:val="decimal"/>
      <w:lvlText w:val="%1.%2"/>
      <w:lvlJc w:val="left"/>
      <w:pPr>
        <w:tabs>
          <w:tab w:val="num" w:pos="-186"/>
        </w:tabs>
        <w:ind w:left="-906" w:firstLine="0"/>
      </w:pPr>
      <w:rPr>
        <w:rFonts w:hint="eastAsia"/>
      </w:rPr>
    </w:lvl>
    <w:lvl w:ilvl="2">
      <w:start w:val="1"/>
      <w:numFmt w:val="decimal"/>
      <w:lvlText w:val="%1.%2.%3"/>
      <w:lvlJc w:val="left"/>
      <w:pPr>
        <w:tabs>
          <w:tab w:val="num" w:pos="-437"/>
        </w:tabs>
        <w:ind w:left="-437" w:hanging="709"/>
      </w:pPr>
      <w:rPr>
        <w:rFonts w:ascii="Times New Roman" w:eastAsia="黑体" w:hAnsi="Times New Roman" w:cs="Times New Roman" w:hint="default"/>
        <w:b/>
        <w:bCs w:val="0"/>
        <w:i w:val="0"/>
        <w:iCs w:val="0"/>
        <w:caps w:val="0"/>
        <w:smallCaps w:val="0"/>
        <w:strike w:val="0"/>
        <w:dstrike w:val="0"/>
        <w:outline w:val="0"/>
        <w:shadow w:val="0"/>
        <w:emboss w:val="0"/>
        <w:imprint w:val="0"/>
        <w:vanish w:val="0"/>
        <w:spacing w:val="0"/>
        <w:position w:val="0"/>
        <w:sz w:val="24"/>
        <w:szCs w:val="24"/>
        <w:u w:val="none"/>
        <w:vertAlign w:val="baseline"/>
      </w:rPr>
    </w:lvl>
    <w:lvl w:ilvl="3">
      <w:start w:val="1"/>
      <w:numFmt w:val="decimal"/>
      <w:pStyle w:val="16711"/>
      <w:lvlText w:val="%1.%2.%3.%4"/>
      <w:lvlJc w:val="left"/>
      <w:pPr>
        <w:tabs>
          <w:tab w:val="num" w:pos="180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nsid w:val="02FD4570"/>
    <w:multiLevelType w:val="multilevel"/>
    <w:tmpl w:val="02FD4570"/>
    <w:lvl w:ilvl="0">
      <w:start w:val="1"/>
      <w:numFmt w:val="decimal"/>
      <w:pStyle w:val="12261"/>
      <w:lvlText w:val="表10.3-%1"/>
      <w:lvlJc w:val="center"/>
      <w:pPr>
        <w:tabs>
          <w:tab w:val="num" w:pos="851"/>
        </w:tabs>
        <w:ind w:left="0" w:firstLine="0"/>
      </w:pPr>
      <w:rPr>
        <w:rFonts w:ascii="Times New Roman" w:hAnsi="Times New Roman" w:hint="default"/>
        <w:b/>
        <w:i w:val="0"/>
        <w:sz w:val="26"/>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nsid w:val="06243E8C"/>
    <w:multiLevelType w:val="multilevel"/>
    <w:tmpl w:val="06243E8C"/>
    <w:lvl w:ilvl="0">
      <w:start w:val="1"/>
      <w:numFmt w:val="decimal"/>
      <w:pStyle w:val="33"/>
      <w:lvlText w:val="表3.3-%1"/>
      <w:lvlJc w:val="center"/>
      <w:pPr>
        <w:tabs>
          <w:tab w:val="num" w:pos="720"/>
        </w:tabs>
        <w:ind w:left="-4" w:firstLine="4"/>
      </w:pPr>
      <w:rPr>
        <w:rFonts w:ascii="Times New Roman" w:hAnsi="Times New Roman" w:hint="default"/>
        <w:b/>
        <w:i w:val="0"/>
        <w:sz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nsid w:val="06510FF7"/>
    <w:multiLevelType w:val="multilevel"/>
    <w:tmpl w:val="06510FF7"/>
    <w:lvl w:ilvl="0">
      <w:start w:val="1"/>
      <w:numFmt w:val="decimal"/>
      <w:lvlText w:val="%1、"/>
      <w:lvlJc w:val="left"/>
      <w:pPr>
        <w:ind w:left="940" w:hanging="360"/>
      </w:pPr>
      <w:rPr>
        <w:rFonts w:hint="default"/>
      </w:rPr>
    </w:lvl>
    <w:lvl w:ilvl="1">
      <w:start w:val="1"/>
      <w:numFmt w:val="lowerLetter"/>
      <w:lvlText w:val="%2)"/>
      <w:lvlJc w:val="left"/>
      <w:pPr>
        <w:ind w:left="1420" w:hanging="420"/>
      </w:pPr>
    </w:lvl>
    <w:lvl w:ilvl="2">
      <w:start w:val="1"/>
      <w:numFmt w:val="lowerRoman"/>
      <w:lvlText w:val="%3."/>
      <w:lvlJc w:val="right"/>
      <w:pPr>
        <w:ind w:left="1840" w:hanging="420"/>
      </w:pPr>
    </w:lvl>
    <w:lvl w:ilvl="3">
      <w:start w:val="1"/>
      <w:numFmt w:val="decimal"/>
      <w:lvlText w:val="%4."/>
      <w:lvlJc w:val="left"/>
      <w:pPr>
        <w:ind w:left="2260" w:hanging="420"/>
      </w:pPr>
    </w:lvl>
    <w:lvl w:ilvl="4">
      <w:start w:val="1"/>
      <w:numFmt w:val="lowerLetter"/>
      <w:lvlText w:val="%5)"/>
      <w:lvlJc w:val="left"/>
      <w:pPr>
        <w:ind w:left="2680" w:hanging="420"/>
      </w:pPr>
    </w:lvl>
    <w:lvl w:ilvl="5">
      <w:start w:val="1"/>
      <w:numFmt w:val="lowerRoman"/>
      <w:lvlText w:val="%6."/>
      <w:lvlJc w:val="right"/>
      <w:pPr>
        <w:ind w:left="3100" w:hanging="420"/>
      </w:pPr>
    </w:lvl>
    <w:lvl w:ilvl="6">
      <w:start w:val="1"/>
      <w:numFmt w:val="decimal"/>
      <w:lvlText w:val="%7."/>
      <w:lvlJc w:val="left"/>
      <w:pPr>
        <w:ind w:left="3520" w:hanging="420"/>
      </w:pPr>
    </w:lvl>
    <w:lvl w:ilvl="7">
      <w:start w:val="1"/>
      <w:numFmt w:val="lowerLetter"/>
      <w:lvlText w:val="%8)"/>
      <w:lvlJc w:val="left"/>
      <w:pPr>
        <w:ind w:left="3940" w:hanging="420"/>
      </w:pPr>
    </w:lvl>
    <w:lvl w:ilvl="8">
      <w:start w:val="1"/>
      <w:numFmt w:val="lowerRoman"/>
      <w:lvlText w:val="%9."/>
      <w:lvlJc w:val="right"/>
      <w:pPr>
        <w:ind w:left="4360" w:hanging="420"/>
      </w:pPr>
    </w:lvl>
  </w:abstractNum>
  <w:abstractNum w:abstractNumId="17">
    <w:nsid w:val="065D492C"/>
    <w:multiLevelType w:val="multilevel"/>
    <w:tmpl w:val="065D492C"/>
    <w:lvl w:ilvl="0">
      <w:start w:val="1"/>
      <w:numFmt w:val="decimal"/>
      <w:lvlText w:val="%1、"/>
      <w:lvlJc w:val="left"/>
      <w:pPr>
        <w:tabs>
          <w:tab w:val="num" w:pos="0"/>
        </w:tabs>
        <w:ind w:left="0" w:firstLine="0"/>
      </w:pPr>
      <w:rPr>
        <w:rFonts w:hint="eastAsia"/>
      </w:rPr>
    </w:lvl>
    <w:lvl w:ilvl="1">
      <w:start w:val="1"/>
      <w:numFmt w:val="decimal"/>
      <w:pStyle w:val="105"/>
      <w:lvlText w:val="%1.%2"/>
      <w:lvlJc w:val="left"/>
      <w:pPr>
        <w:tabs>
          <w:tab w:val="num" w:pos="360"/>
        </w:tabs>
        <w:ind w:left="0" w:firstLine="0"/>
      </w:pPr>
      <w:rPr>
        <w:rFonts w:hint="eastAsia"/>
      </w:rPr>
    </w:lvl>
    <w:lvl w:ilvl="2">
      <w:start w:val="1"/>
      <w:numFmt w:val="decimal"/>
      <w:lvlText w:val="%1.%2.%3"/>
      <w:lvlJc w:val="left"/>
      <w:pPr>
        <w:tabs>
          <w:tab w:val="num" w:pos="720"/>
        </w:tabs>
        <w:ind w:left="0" w:firstLine="0"/>
      </w:pPr>
      <w:rPr>
        <w:rFonts w:hint="eastAsia"/>
      </w:rPr>
    </w:lvl>
    <w:lvl w:ilvl="3">
      <w:start w:val="1"/>
      <w:numFmt w:val="decimal"/>
      <w:isLgl/>
      <w:lvlText w:val="%1.%2.%3.%4"/>
      <w:lvlJc w:val="left"/>
      <w:pPr>
        <w:tabs>
          <w:tab w:val="num" w:pos="0"/>
        </w:tabs>
        <w:ind w:left="0" w:firstLine="0"/>
      </w:pPr>
      <w:rPr>
        <w:rFonts w:ascii="Times New Roman" w:eastAsia="宋体" w:hAnsi="Times New Roman" w:hint="default"/>
        <w:sz w:val="24"/>
        <w:szCs w:val="24"/>
      </w:rPr>
    </w:lvl>
    <w:lvl w:ilvl="4">
      <w:start w:val="1"/>
      <w:numFmt w:val="decimal"/>
      <w:lvlText w:val="%1.%2.%3.%4.%5"/>
      <w:lvlJc w:val="left"/>
      <w:pPr>
        <w:tabs>
          <w:tab w:val="num" w:pos="1568"/>
        </w:tabs>
        <w:ind w:left="488" w:firstLine="0"/>
      </w:pPr>
      <w:rPr>
        <w:rFonts w:hint="eastAsia"/>
      </w:rPr>
    </w:lvl>
    <w:lvl w:ilvl="5">
      <w:start w:val="1"/>
      <w:numFmt w:val="decimal"/>
      <w:lvlText w:val="%1.%2.%3.%4.%5.%6"/>
      <w:lvlJc w:val="left"/>
      <w:pPr>
        <w:tabs>
          <w:tab w:val="num" w:pos="1568"/>
        </w:tabs>
        <w:ind w:left="488" w:firstLine="0"/>
      </w:pPr>
      <w:rPr>
        <w:rFonts w:hint="eastAsia"/>
      </w:rPr>
    </w:lvl>
    <w:lvl w:ilvl="6">
      <w:start w:val="1"/>
      <w:numFmt w:val="decimal"/>
      <w:lvlText w:val="%1.%2.%3.%4.%5.%6.%7"/>
      <w:lvlJc w:val="left"/>
      <w:pPr>
        <w:tabs>
          <w:tab w:val="num" w:pos="1928"/>
        </w:tabs>
        <w:ind w:left="488" w:firstLine="0"/>
      </w:pPr>
      <w:rPr>
        <w:rFonts w:hint="eastAsia"/>
      </w:rPr>
    </w:lvl>
    <w:lvl w:ilvl="7">
      <w:start w:val="1"/>
      <w:numFmt w:val="decimal"/>
      <w:lvlText w:val="%1.%2.%3.%4.%5.%6.%7.%8"/>
      <w:lvlJc w:val="left"/>
      <w:pPr>
        <w:tabs>
          <w:tab w:val="num" w:pos="1928"/>
        </w:tabs>
        <w:ind w:left="488" w:firstLine="0"/>
      </w:pPr>
      <w:rPr>
        <w:rFonts w:hint="eastAsia"/>
      </w:rPr>
    </w:lvl>
    <w:lvl w:ilvl="8">
      <w:start w:val="1"/>
      <w:numFmt w:val="decimal"/>
      <w:lvlText w:val="%1.%2.%3.%4.%5.%6.%7.%8.%9"/>
      <w:lvlJc w:val="left"/>
      <w:pPr>
        <w:tabs>
          <w:tab w:val="num" w:pos="2288"/>
        </w:tabs>
        <w:ind w:left="488" w:firstLine="0"/>
      </w:pPr>
      <w:rPr>
        <w:rFonts w:hint="eastAsia"/>
      </w:rPr>
    </w:lvl>
  </w:abstractNum>
  <w:abstractNum w:abstractNumId="18">
    <w:nsid w:val="083E6BB7"/>
    <w:multiLevelType w:val="multilevel"/>
    <w:tmpl w:val="083E6BB7"/>
    <w:lvl w:ilvl="0">
      <w:start w:val="1"/>
      <w:numFmt w:val="decimal"/>
      <w:pStyle w:val="53"/>
      <w:lvlText w:val="表5.3-%1"/>
      <w:lvlJc w:val="left"/>
      <w:pPr>
        <w:tabs>
          <w:tab w:val="num" w:pos="420"/>
        </w:tabs>
        <w:ind w:left="420" w:hanging="420"/>
      </w:pPr>
      <w:rPr>
        <w:rFonts w:ascii="Times New Roman" w:hAnsi="Times New Roman" w:hint="default"/>
        <w:b/>
        <w:i w:val="0"/>
        <w:color w:val="000000"/>
        <w:sz w:val="24"/>
        <w:szCs w:val="24"/>
      </w:rPr>
    </w:lvl>
    <w:lvl w:ilvl="1">
      <w:start w:val="1"/>
      <w:numFmt w:val="lowerLetter"/>
      <w:lvlText w:val="%2)"/>
      <w:lvlJc w:val="left"/>
      <w:pPr>
        <w:tabs>
          <w:tab w:val="num" w:pos="2307"/>
        </w:tabs>
        <w:ind w:left="2307" w:hanging="420"/>
      </w:pPr>
    </w:lvl>
    <w:lvl w:ilvl="2">
      <w:start w:val="1"/>
      <w:numFmt w:val="lowerRoman"/>
      <w:lvlText w:val="%3."/>
      <w:lvlJc w:val="right"/>
      <w:pPr>
        <w:tabs>
          <w:tab w:val="num" w:pos="2727"/>
        </w:tabs>
        <w:ind w:left="2727" w:hanging="420"/>
      </w:pPr>
    </w:lvl>
    <w:lvl w:ilvl="3">
      <w:start w:val="1"/>
      <w:numFmt w:val="decimal"/>
      <w:lvlText w:val="%4."/>
      <w:lvlJc w:val="left"/>
      <w:pPr>
        <w:tabs>
          <w:tab w:val="num" w:pos="3147"/>
        </w:tabs>
        <w:ind w:left="3147" w:hanging="420"/>
      </w:pPr>
    </w:lvl>
    <w:lvl w:ilvl="4">
      <w:start w:val="1"/>
      <w:numFmt w:val="lowerLetter"/>
      <w:lvlText w:val="%5)"/>
      <w:lvlJc w:val="left"/>
      <w:pPr>
        <w:tabs>
          <w:tab w:val="num" w:pos="3567"/>
        </w:tabs>
        <w:ind w:left="3567" w:hanging="420"/>
      </w:pPr>
    </w:lvl>
    <w:lvl w:ilvl="5">
      <w:start w:val="1"/>
      <w:numFmt w:val="lowerRoman"/>
      <w:lvlText w:val="%6."/>
      <w:lvlJc w:val="right"/>
      <w:pPr>
        <w:tabs>
          <w:tab w:val="num" w:pos="3987"/>
        </w:tabs>
        <w:ind w:left="3987" w:hanging="420"/>
      </w:pPr>
    </w:lvl>
    <w:lvl w:ilvl="6">
      <w:start w:val="1"/>
      <w:numFmt w:val="decimal"/>
      <w:lvlText w:val="%7."/>
      <w:lvlJc w:val="left"/>
      <w:pPr>
        <w:tabs>
          <w:tab w:val="num" w:pos="4407"/>
        </w:tabs>
        <w:ind w:left="4407" w:hanging="420"/>
      </w:pPr>
    </w:lvl>
    <w:lvl w:ilvl="7">
      <w:start w:val="1"/>
      <w:numFmt w:val="lowerLetter"/>
      <w:lvlText w:val="%8)"/>
      <w:lvlJc w:val="left"/>
      <w:pPr>
        <w:tabs>
          <w:tab w:val="num" w:pos="4827"/>
        </w:tabs>
        <w:ind w:left="4827" w:hanging="420"/>
      </w:pPr>
    </w:lvl>
    <w:lvl w:ilvl="8">
      <w:start w:val="1"/>
      <w:numFmt w:val="lowerRoman"/>
      <w:lvlText w:val="%9."/>
      <w:lvlJc w:val="right"/>
      <w:pPr>
        <w:tabs>
          <w:tab w:val="num" w:pos="5247"/>
        </w:tabs>
        <w:ind w:left="5247" w:hanging="420"/>
      </w:pPr>
    </w:lvl>
  </w:abstractNum>
  <w:abstractNum w:abstractNumId="19">
    <w:nsid w:val="09B45E51"/>
    <w:multiLevelType w:val="multilevel"/>
    <w:tmpl w:val="09B45E51"/>
    <w:lvl w:ilvl="0">
      <w:start w:val="5"/>
      <w:numFmt w:val="decimal"/>
      <w:lvlText w:val="%1"/>
      <w:lvlJc w:val="left"/>
      <w:pPr>
        <w:tabs>
          <w:tab w:val="num" w:pos="1571"/>
        </w:tabs>
        <w:ind w:left="1571" w:hanging="425"/>
      </w:pPr>
      <w:rPr>
        <w:rFonts w:hint="eastAsia"/>
      </w:rPr>
    </w:lvl>
    <w:lvl w:ilvl="1">
      <w:start w:val="15"/>
      <w:numFmt w:val="decimal"/>
      <w:lvlText w:val="%1.%2"/>
      <w:lvlJc w:val="left"/>
      <w:pPr>
        <w:tabs>
          <w:tab w:val="num" w:pos="2651"/>
        </w:tabs>
        <w:ind w:left="2138" w:hanging="567"/>
      </w:pPr>
      <w:rPr>
        <w:rFonts w:hint="eastAsia"/>
      </w:rPr>
    </w:lvl>
    <w:lvl w:ilvl="2">
      <w:start w:val="1"/>
      <w:numFmt w:val="decimal"/>
      <w:lvlText w:val="%1.%2.%3"/>
      <w:lvlJc w:val="left"/>
      <w:pPr>
        <w:tabs>
          <w:tab w:val="num" w:pos="3437"/>
        </w:tabs>
        <w:ind w:left="2564" w:hanging="567"/>
      </w:pPr>
      <w:rPr>
        <w:rFonts w:hint="eastAsia"/>
      </w:rPr>
    </w:lvl>
    <w:lvl w:ilvl="3">
      <w:start w:val="1"/>
      <w:numFmt w:val="decimal"/>
      <w:pStyle w:val="41111411114Char1111Char41114"/>
      <w:lvlText w:val="%1.%2.%3.%4"/>
      <w:lvlJc w:val="left"/>
      <w:pPr>
        <w:tabs>
          <w:tab w:val="num" w:pos="4582"/>
        </w:tabs>
        <w:ind w:left="3130" w:hanging="708"/>
      </w:pPr>
      <w:rPr>
        <w:rFonts w:hint="eastAsia"/>
      </w:rPr>
    </w:lvl>
    <w:lvl w:ilvl="4">
      <w:start w:val="1"/>
      <w:numFmt w:val="decimal"/>
      <w:lvlText w:val="%1.%2.%3.%4.%5"/>
      <w:lvlJc w:val="left"/>
      <w:pPr>
        <w:tabs>
          <w:tab w:val="num" w:pos="5727"/>
        </w:tabs>
        <w:ind w:left="3697" w:hanging="850"/>
      </w:pPr>
      <w:rPr>
        <w:rFonts w:hint="eastAsia"/>
      </w:rPr>
    </w:lvl>
    <w:lvl w:ilvl="5">
      <w:start w:val="1"/>
      <w:numFmt w:val="decimal"/>
      <w:lvlText w:val="%1.%2.%3.%4.%5.%6"/>
      <w:lvlJc w:val="left"/>
      <w:pPr>
        <w:tabs>
          <w:tab w:val="num" w:pos="6512"/>
        </w:tabs>
        <w:ind w:left="4406" w:hanging="1134"/>
      </w:pPr>
      <w:rPr>
        <w:rFonts w:hint="eastAsia"/>
      </w:rPr>
    </w:lvl>
    <w:lvl w:ilvl="6">
      <w:start w:val="1"/>
      <w:numFmt w:val="decimal"/>
      <w:lvlText w:val="%1.%2.%3.%4.%5.%6.%7"/>
      <w:lvlJc w:val="left"/>
      <w:pPr>
        <w:tabs>
          <w:tab w:val="num" w:pos="7657"/>
        </w:tabs>
        <w:ind w:left="4973" w:hanging="1276"/>
      </w:pPr>
      <w:rPr>
        <w:rFonts w:hint="eastAsia"/>
      </w:rPr>
    </w:lvl>
    <w:lvl w:ilvl="7">
      <w:start w:val="1"/>
      <w:numFmt w:val="decimal"/>
      <w:lvlText w:val="%1.%2.%3.%4.%5.%6.%7.%8"/>
      <w:lvlJc w:val="left"/>
      <w:pPr>
        <w:tabs>
          <w:tab w:val="num" w:pos="8442"/>
        </w:tabs>
        <w:ind w:left="5540" w:hanging="1418"/>
      </w:pPr>
      <w:rPr>
        <w:rFonts w:hint="eastAsia"/>
      </w:rPr>
    </w:lvl>
    <w:lvl w:ilvl="8">
      <w:start w:val="1"/>
      <w:numFmt w:val="decimal"/>
      <w:lvlText w:val="%1.%2.%3.%4.%5.%6.%7.%8.%9"/>
      <w:lvlJc w:val="left"/>
      <w:pPr>
        <w:tabs>
          <w:tab w:val="num" w:pos="9588"/>
        </w:tabs>
        <w:ind w:left="6248" w:hanging="1700"/>
      </w:pPr>
      <w:rPr>
        <w:rFonts w:hint="eastAsia"/>
      </w:rPr>
    </w:lvl>
  </w:abstractNum>
  <w:abstractNum w:abstractNumId="20">
    <w:nsid w:val="0A5213F3"/>
    <w:multiLevelType w:val="multilevel"/>
    <w:tmpl w:val="0A5213F3"/>
    <w:lvl w:ilvl="0">
      <w:start w:val="1"/>
      <w:numFmt w:val="decimal"/>
      <w:pStyle w:val="57"/>
      <w:lvlText w:val="表5.8-%1"/>
      <w:lvlJc w:val="left"/>
      <w:pPr>
        <w:tabs>
          <w:tab w:val="num" w:pos="1653"/>
        </w:tabs>
        <w:ind w:left="993" w:hanging="420"/>
      </w:pPr>
      <w:rPr>
        <w:rFonts w:ascii="Times New Roman" w:hAnsi="Times New Roman" w:hint="default"/>
        <w:b/>
        <w:i w:val="0"/>
        <w:sz w:val="24"/>
        <w:szCs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nsid w:val="14CB681D"/>
    <w:multiLevelType w:val="multilevel"/>
    <w:tmpl w:val="14CB681D"/>
    <w:lvl w:ilvl="0">
      <w:start w:val="16"/>
      <w:numFmt w:val="decimal"/>
      <w:lvlText w:val="%1"/>
      <w:lvlJc w:val="left"/>
      <w:pPr>
        <w:tabs>
          <w:tab w:val="num" w:pos="425"/>
        </w:tabs>
        <w:ind w:left="425" w:hanging="425"/>
      </w:pPr>
      <w:rPr>
        <w:rFonts w:hint="eastAsia"/>
      </w:rPr>
    </w:lvl>
    <w:lvl w:ilvl="1">
      <w:start w:val="8"/>
      <w:numFmt w:val="decimal"/>
      <w:lvlText w:val="%1.%2"/>
      <w:lvlJc w:val="left"/>
      <w:pPr>
        <w:tabs>
          <w:tab w:val="num" w:pos="-186"/>
        </w:tabs>
        <w:ind w:left="-906" w:firstLine="0"/>
      </w:pPr>
      <w:rPr>
        <w:rFonts w:hint="eastAsia"/>
      </w:rPr>
    </w:lvl>
    <w:lvl w:ilvl="2">
      <w:start w:val="1"/>
      <w:numFmt w:val="decimal"/>
      <w:lvlText w:val="%1.%2.%3"/>
      <w:lvlJc w:val="left"/>
      <w:pPr>
        <w:tabs>
          <w:tab w:val="num" w:pos="-437"/>
        </w:tabs>
        <w:ind w:left="-437" w:hanging="709"/>
      </w:pPr>
      <w:rPr>
        <w:rFonts w:ascii="Times New Roman" w:eastAsia="黑体" w:hAnsi="Times New Roman" w:cs="Times New Roman" w:hint="default"/>
        <w:b/>
        <w:bCs w:val="0"/>
        <w:i w:val="0"/>
        <w:iCs w:val="0"/>
        <w:caps w:val="0"/>
        <w:smallCaps w:val="0"/>
        <w:strike w:val="0"/>
        <w:dstrike w:val="0"/>
        <w:outline w:val="0"/>
        <w:shadow w:val="0"/>
        <w:emboss w:val="0"/>
        <w:imprint w:val="0"/>
        <w:vanish w:val="0"/>
        <w:spacing w:val="0"/>
        <w:position w:val="0"/>
        <w:sz w:val="24"/>
        <w:szCs w:val="24"/>
        <w:u w:val="none"/>
        <w:vertAlign w:val="baseline"/>
      </w:rPr>
    </w:lvl>
    <w:lvl w:ilvl="3">
      <w:start w:val="1"/>
      <w:numFmt w:val="decimal"/>
      <w:pStyle w:val="16811"/>
      <w:lvlText w:val="%1.%2.%3.%4"/>
      <w:lvlJc w:val="left"/>
      <w:pPr>
        <w:tabs>
          <w:tab w:val="num" w:pos="180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nsid w:val="14FB26B7"/>
    <w:multiLevelType w:val="multilevel"/>
    <w:tmpl w:val="14FB26B7"/>
    <w:lvl w:ilvl="0">
      <w:start w:val="16"/>
      <w:numFmt w:val="decimal"/>
      <w:isLgl/>
      <w:suff w:val="nothing"/>
      <w:lvlText w:val="%1"/>
      <w:lvlJc w:val="left"/>
      <w:pPr>
        <w:ind w:left="432" w:hanging="432"/>
      </w:pPr>
      <w:rPr>
        <w:rFonts w:eastAsia="黑体" w:hint="eastAsia"/>
        <w:b/>
        <w:i w:val="0"/>
        <w:caps/>
        <w:sz w:val="36"/>
      </w:rPr>
    </w:lvl>
    <w:lvl w:ilvl="1">
      <w:start w:val="2"/>
      <w:numFmt w:val="decimal"/>
      <w:suff w:val="nothing"/>
      <w:lvlText w:val="%1.%2"/>
      <w:lvlJc w:val="left"/>
      <w:pPr>
        <w:ind w:left="576" w:hanging="576"/>
      </w:pPr>
      <w:rPr>
        <w:rFonts w:ascii="Times New Roman" w:eastAsia="宋体" w:hAnsi="Times New Roman" w:hint="default"/>
        <w:b/>
        <w:i w:val="0"/>
        <w:caps/>
        <w:sz w:val="30"/>
      </w:rPr>
    </w:lvl>
    <w:lvl w:ilvl="2">
      <w:start w:val="1"/>
      <w:numFmt w:val="decimal"/>
      <w:suff w:val="nothing"/>
      <w:lvlText w:val="%1.%2.%3"/>
      <w:lvlJc w:val="left"/>
      <w:pPr>
        <w:ind w:left="720" w:hanging="720"/>
      </w:pPr>
      <w:rPr>
        <w:rFonts w:ascii="Times New Roman" w:hAnsi="Times New Roman" w:hint="default"/>
        <w:sz w:val="24"/>
      </w:rPr>
    </w:lvl>
    <w:lvl w:ilvl="3">
      <w:start w:val="1"/>
      <w:numFmt w:val="decimal"/>
      <w:pStyle w:val="16211"/>
      <w:suff w:val="nothing"/>
      <w:lvlText w:val="%1.%2.%3.%4"/>
      <w:lvlJc w:val="left"/>
      <w:pPr>
        <w:ind w:left="864" w:hanging="864"/>
      </w:pPr>
      <w:rPr>
        <w:rFonts w:ascii="Times New Roman" w:hAnsi="Times New Roman" w:hint="default"/>
        <w:sz w:val="24"/>
      </w:rPr>
    </w:lvl>
    <w:lvl w:ilvl="4">
      <w:start w:val="1"/>
      <w:numFmt w:val="decimal"/>
      <w:lvlText w:val="%111.%2.%3.%4.%5"/>
      <w:lvlJc w:val="left"/>
      <w:pPr>
        <w:tabs>
          <w:tab w:val="num" w:pos="2160"/>
        </w:tabs>
        <w:ind w:left="1008" w:hanging="1008"/>
      </w:pPr>
      <w:rPr>
        <w:rFonts w:hint="eastAsia"/>
      </w:rPr>
    </w:lvl>
    <w:lvl w:ilvl="5">
      <w:start w:val="1"/>
      <w:numFmt w:val="decimal"/>
      <w:lvlText w:val="%1.%2.%3.%4.%5.%6"/>
      <w:lvlJc w:val="left"/>
      <w:pPr>
        <w:tabs>
          <w:tab w:val="num" w:pos="2160"/>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3">
    <w:nsid w:val="15785348"/>
    <w:multiLevelType w:val="multilevel"/>
    <w:tmpl w:val="15785348"/>
    <w:lvl w:ilvl="0">
      <w:start w:val="1"/>
      <w:numFmt w:val="decimal"/>
      <w:pStyle w:val="441"/>
      <w:lvlText w:val="表5.4-%1"/>
      <w:lvlJc w:val="left"/>
      <w:pPr>
        <w:tabs>
          <w:tab w:val="num" w:pos="1080"/>
        </w:tabs>
        <w:ind w:left="420" w:hanging="420"/>
      </w:pPr>
      <w:rPr>
        <w:rFonts w:ascii="Times New Roman" w:hAnsi="Times New Roman" w:hint="default"/>
        <w:b/>
        <w:i w:val="0"/>
        <w:sz w:val="26"/>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4">
    <w:nsid w:val="16591406"/>
    <w:multiLevelType w:val="multilevel"/>
    <w:tmpl w:val="16591406"/>
    <w:lvl w:ilvl="0">
      <w:start w:val="1"/>
      <w:numFmt w:val="decimal"/>
      <w:pStyle w:val="21"/>
      <w:lvlText w:val="表5.9-%1"/>
      <w:lvlJc w:val="left"/>
      <w:pPr>
        <w:tabs>
          <w:tab w:val="num" w:pos="1080"/>
        </w:tabs>
        <w:ind w:left="420" w:hanging="420"/>
      </w:pPr>
      <w:rPr>
        <w:rFonts w:ascii="Times New Roman" w:hAnsi="Times New Roman" w:hint="default"/>
        <w:b/>
        <w:i w:val="0"/>
        <w:sz w:val="24"/>
        <w:szCs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5">
    <w:nsid w:val="1B41307A"/>
    <w:multiLevelType w:val="singleLevel"/>
    <w:tmpl w:val="1B41307A"/>
    <w:lvl w:ilvl="0">
      <w:start w:val="1"/>
      <w:numFmt w:val="bullet"/>
      <w:pStyle w:val="Bullet4"/>
      <w:lvlText w:val=""/>
      <w:lvlJc w:val="left"/>
      <w:pPr>
        <w:tabs>
          <w:tab w:val="num" w:pos="720"/>
        </w:tabs>
        <w:ind w:left="720" w:hanging="720"/>
      </w:pPr>
      <w:rPr>
        <w:rFonts w:ascii="Wingdings" w:hAnsi="Wingdings" w:hint="default"/>
        <w:sz w:val="16"/>
      </w:rPr>
    </w:lvl>
  </w:abstractNum>
  <w:abstractNum w:abstractNumId="26">
    <w:nsid w:val="1B6705E0"/>
    <w:multiLevelType w:val="multilevel"/>
    <w:tmpl w:val="1B6705E0"/>
    <w:lvl w:ilvl="0">
      <w:start w:val="1"/>
      <w:numFmt w:val="decimal"/>
      <w:pStyle w:val="59"/>
      <w:lvlText w:val="表5.10-%1"/>
      <w:lvlJc w:val="left"/>
      <w:pPr>
        <w:tabs>
          <w:tab w:val="num" w:pos="1653"/>
        </w:tabs>
        <w:ind w:left="993" w:hanging="420"/>
      </w:pPr>
      <w:rPr>
        <w:rFonts w:ascii="Times New Roman" w:hAnsi="Times New Roman" w:hint="default"/>
        <w:b/>
        <w:i w:val="0"/>
        <w:sz w:val="24"/>
        <w:szCs w:val="24"/>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7">
    <w:nsid w:val="1B746EEF"/>
    <w:multiLevelType w:val="multilevel"/>
    <w:tmpl w:val="1B746EEF"/>
    <w:lvl w:ilvl="0">
      <w:start w:val="1"/>
      <w:numFmt w:val="decimal"/>
      <w:pStyle w:val="1610-1"/>
      <w:lvlText w:val="表16.10-%1"/>
      <w:lvlJc w:val="left"/>
      <w:pPr>
        <w:tabs>
          <w:tab w:val="num" w:pos="3360"/>
        </w:tabs>
        <w:ind w:left="2700" w:hanging="420"/>
      </w:pPr>
      <w:rPr>
        <w:rFonts w:ascii="Times New Roman" w:hAnsi="Times New Roman" w:hint="default"/>
        <w:b/>
        <w:i w:val="0"/>
        <w:sz w:val="26"/>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8">
    <w:nsid w:val="1BE55F7B"/>
    <w:multiLevelType w:val="multilevel"/>
    <w:tmpl w:val="1BE55F7B"/>
    <w:lvl w:ilvl="0">
      <w:start w:val="1"/>
      <w:numFmt w:val="decimal"/>
      <w:lvlText w:val="%1)"/>
      <w:lvlJc w:val="left"/>
      <w:pPr>
        <w:tabs>
          <w:tab w:val="num" w:pos="759"/>
        </w:tabs>
        <w:ind w:left="1043" w:hanging="397"/>
      </w:pPr>
      <w:rPr>
        <w:rFonts w:hint="eastAsia"/>
      </w:rPr>
    </w:lvl>
    <w:lvl w:ilvl="1">
      <w:start w:val="1"/>
      <w:numFmt w:val="lowerLetter"/>
      <w:lvlText w:val="%2)"/>
      <w:lvlJc w:val="left"/>
      <w:pPr>
        <w:tabs>
          <w:tab w:val="num" w:pos="900"/>
        </w:tabs>
        <w:ind w:left="900" w:hanging="420"/>
      </w:pPr>
    </w:lvl>
    <w:lvl w:ilvl="2">
      <w:start w:val="1"/>
      <w:numFmt w:val="lowerRoman"/>
      <w:lvlText w:val="%3."/>
      <w:lvlJc w:val="right"/>
      <w:pPr>
        <w:tabs>
          <w:tab w:val="num" w:pos="1320"/>
        </w:tabs>
        <w:ind w:left="1320" w:hanging="420"/>
      </w:pPr>
    </w:lvl>
    <w:lvl w:ilvl="3">
      <w:start w:val="1"/>
      <w:numFmt w:val="decimal"/>
      <w:lvlText w:val="%4."/>
      <w:lvlJc w:val="left"/>
      <w:pPr>
        <w:tabs>
          <w:tab w:val="num" w:pos="1740"/>
        </w:tabs>
        <w:ind w:left="1740" w:hanging="420"/>
      </w:pPr>
    </w:lvl>
    <w:lvl w:ilvl="4">
      <w:start w:val="1"/>
      <w:numFmt w:val="lowerLetter"/>
      <w:lvlText w:val="%5)"/>
      <w:lvlJc w:val="left"/>
      <w:pPr>
        <w:tabs>
          <w:tab w:val="num" w:pos="2160"/>
        </w:tabs>
        <w:ind w:left="2160" w:hanging="420"/>
      </w:pPr>
    </w:lvl>
    <w:lvl w:ilvl="5">
      <w:start w:val="1"/>
      <w:numFmt w:val="lowerRoman"/>
      <w:lvlText w:val="%6."/>
      <w:lvlJc w:val="right"/>
      <w:pPr>
        <w:tabs>
          <w:tab w:val="num" w:pos="2580"/>
        </w:tabs>
        <w:ind w:left="2580" w:hanging="420"/>
      </w:pPr>
    </w:lvl>
    <w:lvl w:ilvl="6">
      <w:start w:val="1"/>
      <w:numFmt w:val="decimal"/>
      <w:lvlText w:val="%7."/>
      <w:lvlJc w:val="left"/>
      <w:pPr>
        <w:tabs>
          <w:tab w:val="num" w:pos="3000"/>
        </w:tabs>
        <w:ind w:left="3000" w:hanging="420"/>
      </w:pPr>
    </w:lvl>
    <w:lvl w:ilvl="7">
      <w:start w:val="1"/>
      <w:numFmt w:val="lowerLetter"/>
      <w:lvlText w:val="%8)"/>
      <w:lvlJc w:val="left"/>
      <w:pPr>
        <w:tabs>
          <w:tab w:val="num" w:pos="3420"/>
        </w:tabs>
        <w:ind w:left="3420" w:hanging="420"/>
      </w:pPr>
    </w:lvl>
    <w:lvl w:ilvl="8">
      <w:start w:val="1"/>
      <w:numFmt w:val="lowerRoman"/>
      <w:lvlText w:val="%9."/>
      <w:lvlJc w:val="right"/>
      <w:pPr>
        <w:tabs>
          <w:tab w:val="num" w:pos="3840"/>
        </w:tabs>
        <w:ind w:left="3840" w:hanging="420"/>
      </w:pPr>
    </w:lvl>
  </w:abstractNum>
  <w:abstractNum w:abstractNumId="29">
    <w:nsid w:val="1D40588D"/>
    <w:multiLevelType w:val="multilevel"/>
    <w:tmpl w:val="1D40588D"/>
    <w:lvl w:ilvl="0">
      <w:start w:val="1"/>
      <w:numFmt w:val="decimal"/>
      <w:pStyle w:val="38-1"/>
      <w:lvlText w:val="表3.8-%1"/>
      <w:lvlJc w:val="left"/>
      <w:pPr>
        <w:tabs>
          <w:tab w:val="num" w:pos="420"/>
        </w:tabs>
        <w:ind w:left="0" w:firstLine="0"/>
      </w:pPr>
      <w:rPr>
        <w:rFonts w:ascii="Times New Roman" w:hAnsi="Times New Roman" w:hint="default"/>
        <w:b/>
        <w:i w:val="0"/>
        <w:sz w:val="24"/>
        <w:szCs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0">
    <w:nsid w:val="1E1F2F85"/>
    <w:multiLevelType w:val="multilevel"/>
    <w:tmpl w:val="1E1F2F85"/>
    <w:lvl w:ilvl="0">
      <w:start w:val="1"/>
      <w:numFmt w:val="decimal"/>
      <w:pStyle w:val="82"/>
      <w:lvlText w:val="表8.2-%1"/>
      <w:lvlJc w:val="left"/>
      <w:pPr>
        <w:tabs>
          <w:tab w:val="num" w:pos="1080"/>
        </w:tabs>
        <w:ind w:left="420" w:hanging="420"/>
      </w:pPr>
      <w:rPr>
        <w:rFonts w:ascii="Times New Roman" w:hAnsi="Times New Roman" w:hint="default"/>
        <w:b/>
        <w:i w:val="0"/>
        <w:sz w:val="26"/>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1">
    <w:nsid w:val="1E41544F"/>
    <w:multiLevelType w:val="multilevel"/>
    <w:tmpl w:val="1E41544F"/>
    <w:lvl w:ilvl="0">
      <w:start w:val="4"/>
      <w:numFmt w:val="decimal"/>
      <w:pStyle w:val="a1"/>
      <w:lvlText w:val="%1"/>
      <w:lvlJc w:val="left"/>
      <w:pPr>
        <w:tabs>
          <w:tab w:val="num" w:pos="1200"/>
        </w:tabs>
        <w:ind w:left="1200" w:hanging="1200"/>
      </w:pPr>
      <w:rPr>
        <w:rFonts w:hint="default"/>
      </w:rPr>
    </w:lvl>
    <w:lvl w:ilvl="1">
      <w:start w:val="2"/>
      <w:numFmt w:val="decimal"/>
      <w:lvlText w:val="%1.%2"/>
      <w:lvlJc w:val="left"/>
      <w:pPr>
        <w:tabs>
          <w:tab w:val="num" w:pos="1200"/>
        </w:tabs>
        <w:ind w:left="1200" w:hanging="1200"/>
      </w:pPr>
      <w:rPr>
        <w:rFonts w:hint="default"/>
      </w:rPr>
    </w:lvl>
    <w:lvl w:ilvl="2">
      <w:start w:val="13"/>
      <w:numFmt w:val="decimal"/>
      <w:lvlText w:val="%1.%2.%3"/>
      <w:lvlJc w:val="left"/>
      <w:pPr>
        <w:tabs>
          <w:tab w:val="num" w:pos="1200"/>
        </w:tabs>
        <w:ind w:left="1200" w:hanging="1200"/>
      </w:pPr>
      <w:rPr>
        <w:rFonts w:hint="default"/>
      </w:rPr>
    </w:lvl>
    <w:lvl w:ilvl="3">
      <w:start w:val="3"/>
      <w:numFmt w:val="decimal"/>
      <w:lvlText w:val="%1.%2.%3.%4"/>
      <w:lvlJc w:val="left"/>
      <w:pPr>
        <w:tabs>
          <w:tab w:val="num" w:pos="1200"/>
        </w:tabs>
        <w:ind w:left="1200" w:hanging="1200"/>
      </w:pPr>
      <w:rPr>
        <w:rFonts w:hint="default"/>
      </w:rPr>
    </w:lvl>
    <w:lvl w:ilvl="4">
      <w:start w:val="1"/>
      <w:numFmt w:val="decimal"/>
      <w:lvlText w:val="%1.%2.%3.%4.%5"/>
      <w:lvlJc w:val="left"/>
      <w:pPr>
        <w:tabs>
          <w:tab w:val="num" w:pos="1200"/>
        </w:tabs>
        <w:ind w:left="1200" w:hanging="120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nsid w:val="1F5D5FAC"/>
    <w:multiLevelType w:val="multilevel"/>
    <w:tmpl w:val="1F5D5FAC"/>
    <w:lvl w:ilvl="0">
      <w:start w:val="9"/>
      <w:numFmt w:val="decimal"/>
      <w:lvlText w:val="%1"/>
      <w:lvlJc w:val="left"/>
      <w:pPr>
        <w:tabs>
          <w:tab w:val="num" w:pos="432"/>
        </w:tabs>
        <w:ind w:left="432" w:hanging="432"/>
      </w:pPr>
      <w:rPr>
        <w:rFonts w:ascii="黑体" w:eastAsia="黑体" w:hAnsi="Arial" w:hint="eastAsia"/>
        <w:b w:val="0"/>
        <w:i w:val="0"/>
        <w:color w:val="auto"/>
        <w:sz w:val="28"/>
      </w:rPr>
    </w:lvl>
    <w:lvl w:ilvl="1">
      <w:start w:val="1"/>
      <w:numFmt w:val="decimal"/>
      <w:lvlText w:val="%1.%2"/>
      <w:lvlJc w:val="left"/>
      <w:pPr>
        <w:tabs>
          <w:tab w:val="num" w:pos="72"/>
        </w:tabs>
        <w:ind w:left="72" w:hanging="576"/>
      </w:pPr>
      <w:rPr>
        <w:rFonts w:ascii="Arial" w:eastAsia="黑体" w:hAnsi="Arial" w:hint="default"/>
        <w:sz w:val="24"/>
      </w:rPr>
    </w:lvl>
    <w:lvl w:ilvl="2">
      <w:start w:val="2"/>
      <w:numFmt w:val="decimal"/>
      <w:lvlText w:val="%1.%2.%3"/>
      <w:lvlJc w:val="left"/>
      <w:pPr>
        <w:tabs>
          <w:tab w:val="num" w:pos="720"/>
        </w:tabs>
        <w:ind w:left="720" w:hanging="720"/>
      </w:pPr>
      <w:rPr>
        <w:rFonts w:ascii="Arial" w:eastAsia="黑体" w:hAnsi="Arial" w:hint="default"/>
        <w:sz w:val="24"/>
      </w:rPr>
    </w:lvl>
    <w:lvl w:ilvl="3">
      <w:start w:val="1"/>
      <w:numFmt w:val="decimal"/>
      <w:pStyle w:val="-047152"/>
      <w:lvlText w:val="%1.%2.%3.%4"/>
      <w:lvlJc w:val="left"/>
      <w:pPr>
        <w:tabs>
          <w:tab w:val="num" w:pos="0"/>
        </w:tabs>
        <w:ind w:left="0" w:firstLine="0"/>
      </w:pPr>
      <w:rPr>
        <w:rFonts w:ascii="宋体" w:eastAsia="宋体" w:hAnsi="Arial" w:hint="eastAsia"/>
        <w:color w:val="auto"/>
        <w:sz w:val="28"/>
      </w:rPr>
    </w:lvl>
    <w:lvl w:ilvl="4">
      <w:start w:val="1"/>
      <w:numFmt w:val="decimal"/>
      <w:lvlText w:val="%1.%2.%3.%4.%5"/>
      <w:lvlJc w:val="left"/>
      <w:pPr>
        <w:tabs>
          <w:tab w:val="num" w:pos="1800"/>
        </w:tabs>
        <w:ind w:left="1008" w:hanging="1008"/>
      </w:pPr>
      <w:rPr>
        <w:rFonts w:hint="eastAsia"/>
      </w:rPr>
    </w:lvl>
    <w:lvl w:ilvl="5">
      <w:start w:val="1"/>
      <w:numFmt w:val="decimal"/>
      <w:lvlText w:val="%1.%2.%3.%4.%5.%6"/>
      <w:lvlJc w:val="left"/>
      <w:pPr>
        <w:tabs>
          <w:tab w:val="num" w:pos="2160"/>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33">
    <w:nsid w:val="1FAE0F37"/>
    <w:multiLevelType w:val="multilevel"/>
    <w:tmpl w:val="1FAE0F37"/>
    <w:lvl w:ilvl="0">
      <w:start w:val="1"/>
      <w:numFmt w:val="decimal"/>
      <w:pStyle w:val="1"/>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4">
    <w:nsid w:val="2052290A"/>
    <w:multiLevelType w:val="multilevel"/>
    <w:tmpl w:val="2052290A"/>
    <w:lvl w:ilvl="0">
      <w:start w:val="1"/>
      <w:numFmt w:val="decimal"/>
      <w:pStyle w:val="26"/>
      <w:lvlText w:val="表2.7-%1"/>
      <w:lvlJc w:val="center"/>
      <w:pPr>
        <w:tabs>
          <w:tab w:val="num" w:pos="720"/>
        </w:tabs>
        <w:ind w:left="-4" w:firstLine="4"/>
      </w:pPr>
      <w:rPr>
        <w:rFonts w:ascii="Times New Roman" w:hAnsi="Times New Roman" w:hint="default"/>
        <w:b/>
        <w:i w:val="0"/>
        <w:sz w:val="24"/>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216A13A9"/>
    <w:multiLevelType w:val="multilevel"/>
    <w:tmpl w:val="216A13A9"/>
    <w:lvl w:ilvl="0">
      <w:start w:val="5"/>
      <w:numFmt w:val="decimal"/>
      <w:lvlText w:val="%1"/>
      <w:lvlJc w:val="left"/>
      <w:pPr>
        <w:tabs>
          <w:tab w:val="num" w:pos="1571"/>
        </w:tabs>
        <w:ind w:left="1571" w:hanging="425"/>
      </w:pPr>
      <w:rPr>
        <w:rFonts w:hint="eastAsia"/>
      </w:rPr>
    </w:lvl>
    <w:lvl w:ilvl="1">
      <w:start w:val="14"/>
      <w:numFmt w:val="decimal"/>
      <w:lvlText w:val="%1.%2"/>
      <w:lvlJc w:val="left"/>
      <w:pPr>
        <w:tabs>
          <w:tab w:val="num" w:pos="2651"/>
        </w:tabs>
        <w:ind w:left="2138" w:hanging="567"/>
      </w:pPr>
      <w:rPr>
        <w:rFonts w:hint="eastAsia"/>
      </w:rPr>
    </w:lvl>
    <w:lvl w:ilvl="2">
      <w:start w:val="2"/>
      <w:numFmt w:val="decimal"/>
      <w:lvlText w:val="%1.%2.%3"/>
      <w:lvlJc w:val="left"/>
      <w:pPr>
        <w:tabs>
          <w:tab w:val="num" w:pos="3437"/>
        </w:tabs>
        <w:ind w:left="2564" w:hanging="567"/>
      </w:pPr>
      <w:rPr>
        <w:rFonts w:hint="eastAsia"/>
      </w:rPr>
    </w:lvl>
    <w:lvl w:ilvl="3">
      <w:start w:val="1"/>
      <w:numFmt w:val="decimal"/>
      <w:pStyle w:val="41111411114Char1111Char41113"/>
      <w:lvlText w:val="%1.%2.%3.%4"/>
      <w:lvlJc w:val="left"/>
      <w:pPr>
        <w:tabs>
          <w:tab w:val="num" w:pos="4582"/>
        </w:tabs>
        <w:ind w:left="3130" w:hanging="708"/>
      </w:pPr>
      <w:rPr>
        <w:rFonts w:hint="eastAsia"/>
      </w:rPr>
    </w:lvl>
    <w:lvl w:ilvl="4">
      <w:start w:val="1"/>
      <w:numFmt w:val="decimal"/>
      <w:lvlText w:val="%1.%2.%3.%4.%5"/>
      <w:lvlJc w:val="left"/>
      <w:pPr>
        <w:tabs>
          <w:tab w:val="num" w:pos="5727"/>
        </w:tabs>
        <w:ind w:left="3697" w:hanging="850"/>
      </w:pPr>
      <w:rPr>
        <w:rFonts w:hint="eastAsia"/>
      </w:rPr>
    </w:lvl>
    <w:lvl w:ilvl="5">
      <w:start w:val="1"/>
      <w:numFmt w:val="decimal"/>
      <w:lvlText w:val="%1.%2.%3.%4.%5.%6"/>
      <w:lvlJc w:val="left"/>
      <w:pPr>
        <w:tabs>
          <w:tab w:val="num" w:pos="6512"/>
        </w:tabs>
        <w:ind w:left="4406" w:hanging="1134"/>
      </w:pPr>
      <w:rPr>
        <w:rFonts w:hint="eastAsia"/>
      </w:rPr>
    </w:lvl>
    <w:lvl w:ilvl="6">
      <w:start w:val="1"/>
      <w:numFmt w:val="decimal"/>
      <w:lvlText w:val="%1.%2.%3.%4.%5.%6.%7"/>
      <w:lvlJc w:val="left"/>
      <w:pPr>
        <w:tabs>
          <w:tab w:val="num" w:pos="7657"/>
        </w:tabs>
        <w:ind w:left="4973" w:hanging="1276"/>
      </w:pPr>
      <w:rPr>
        <w:rFonts w:hint="eastAsia"/>
      </w:rPr>
    </w:lvl>
    <w:lvl w:ilvl="7">
      <w:start w:val="1"/>
      <w:numFmt w:val="decimal"/>
      <w:lvlText w:val="%1.%2.%3.%4.%5.%6.%7.%8"/>
      <w:lvlJc w:val="left"/>
      <w:pPr>
        <w:tabs>
          <w:tab w:val="num" w:pos="8442"/>
        </w:tabs>
        <w:ind w:left="5540" w:hanging="1418"/>
      </w:pPr>
      <w:rPr>
        <w:rFonts w:hint="eastAsia"/>
      </w:rPr>
    </w:lvl>
    <w:lvl w:ilvl="8">
      <w:start w:val="1"/>
      <w:numFmt w:val="decimal"/>
      <w:lvlText w:val="%1.%2.%3.%4.%5.%6.%7.%8.%9"/>
      <w:lvlJc w:val="left"/>
      <w:pPr>
        <w:tabs>
          <w:tab w:val="num" w:pos="9588"/>
        </w:tabs>
        <w:ind w:left="6248" w:hanging="1700"/>
      </w:pPr>
      <w:rPr>
        <w:rFonts w:hint="eastAsia"/>
      </w:rPr>
    </w:lvl>
  </w:abstractNum>
  <w:abstractNum w:abstractNumId="36">
    <w:nsid w:val="244068D7"/>
    <w:multiLevelType w:val="multilevel"/>
    <w:tmpl w:val="244068D7"/>
    <w:lvl w:ilvl="0">
      <w:start w:val="1"/>
      <w:numFmt w:val="lowerLetter"/>
      <w:pStyle w:val="a2"/>
      <w:lvlText w:val="%1)"/>
      <w:lvlJc w:val="left"/>
      <w:pPr>
        <w:ind w:left="846" w:hanging="420"/>
      </w:pPr>
      <w:rPr>
        <w:rFonts w:hint="eastAsia"/>
      </w:rPr>
    </w:lvl>
    <w:lvl w:ilvl="1">
      <w:start w:val="1"/>
      <w:numFmt w:val="lowerLetter"/>
      <w:lvlText w:val="%2）"/>
      <w:lvlJc w:val="left"/>
      <w:pPr>
        <w:ind w:left="1710" w:hanging="810"/>
      </w:pPr>
      <w:rPr>
        <w:rFonts w:hint="default"/>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7">
    <w:nsid w:val="245A563F"/>
    <w:multiLevelType w:val="multilevel"/>
    <w:tmpl w:val="245A563F"/>
    <w:lvl w:ilvl="0">
      <w:start w:val="1"/>
      <w:numFmt w:val="decimal"/>
      <w:pStyle w:val="19"/>
      <w:lvlText w:val="表1.10-%1"/>
      <w:lvlJc w:val="center"/>
      <w:pPr>
        <w:tabs>
          <w:tab w:val="num" w:pos="3780"/>
        </w:tabs>
        <w:ind w:left="3056" w:firstLine="4"/>
      </w:pPr>
      <w:rPr>
        <w:rFonts w:ascii="Times New Roman" w:hAnsi="Times New Roman" w:hint="default"/>
        <w:b/>
        <w:i w:val="0"/>
        <w:sz w:val="24"/>
        <w:lang w:val="en-US"/>
      </w:rPr>
    </w:lvl>
    <w:lvl w:ilvl="1">
      <w:start w:val="1"/>
      <w:numFmt w:val="lowerLetter"/>
      <w:lvlText w:val="%2)"/>
      <w:lvlJc w:val="left"/>
      <w:pPr>
        <w:tabs>
          <w:tab w:val="num" w:pos="1500"/>
        </w:tabs>
        <w:ind w:left="1500" w:hanging="420"/>
      </w:pPr>
    </w:lvl>
    <w:lvl w:ilvl="2">
      <w:start w:val="1"/>
      <w:numFmt w:val="lowerRoman"/>
      <w:lvlText w:val="%3."/>
      <w:lvlJc w:val="right"/>
      <w:pPr>
        <w:tabs>
          <w:tab w:val="num" w:pos="1920"/>
        </w:tabs>
        <w:ind w:left="1920" w:hanging="420"/>
      </w:pPr>
    </w:lvl>
    <w:lvl w:ilvl="3">
      <w:start w:val="1"/>
      <w:numFmt w:val="decimal"/>
      <w:lvlText w:val="%4."/>
      <w:lvlJc w:val="left"/>
      <w:pPr>
        <w:tabs>
          <w:tab w:val="num" w:pos="2340"/>
        </w:tabs>
        <w:ind w:left="2340" w:hanging="420"/>
      </w:pPr>
    </w:lvl>
    <w:lvl w:ilvl="4">
      <w:start w:val="1"/>
      <w:numFmt w:val="lowerLetter"/>
      <w:lvlText w:val="%5)"/>
      <w:lvlJc w:val="left"/>
      <w:pPr>
        <w:tabs>
          <w:tab w:val="num" w:pos="2760"/>
        </w:tabs>
        <w:ind w:left="2760" w:hanging="420"/>
      </w:pPr>
    </w:lvl>
    <w:lvl w:ilvl="5">
      <w:start w:val="1"/>
      <w:numFmt w:val="lowerRoman"/>
      <w:lvlText w:val="%6."/>
      <w:lvlJc w:val="right"/>
      <w:pPr>
        <w:tabs>
          <w:tab w:val="num" w:pos="3180"/>
        </w:tabs>
        <w:ind w:left="3180" w:hanging="420"/>
      </w:pPr>
    </w:lvl>
    <w:lvl w:ilvl="6">
      <w:start w:val="1"/>
      <w:numFmt w:val="decimal"/>
      <w:lvlText w:val="%7."/>
      <w:lvlJc w:val="left"/>
      <w:pPr>
        <w:tabs>
          <w:tab w:val="num" w:pos="3600"/>
        </w:tabs>
        <w:ind w:left="3600" w:hanging="420"/>
      </w:pPr>
    </w:lvl>
    <w:lvl w:ilvl="7">
      <w:start w:val="1"/>
      <w:numFmt w:val="lowerLetter"/>
      <w:lvlText w:val="%8)"/>
      <w:lvlJc w:val="left"/>
      <w:pPr>
        <w:tabs>
          <w:tab w:val="num" w:pos="4020"/>
        </w:tabs>
        <w:ind w:left="4020" w:hanging="420"/>
      </w:pPr>
    </w:lvl>
    <w:lvl w:ilvl="8">
      <w:start w:val="1"/>
      <w:numFmt w:val="lowerRoman"/>
      <w:lvlText w:val="%9."/>
      <w:lvlJc w:val="right"/>
      <w:pPr>
        <w:tabs>
          <w:tab w:val="num" w:pos="4440"/>
        </w:tabs>
        <w:ind w:left="4440" w:hanging="420"/>
      </w:pPr>
    </w:lvl>
  </w:abstractNum>
  <w:abstractNum w:abstractNumId="38">
    <w:nsid w:val="25381F4F"/>
    <w:multiLevelType w:val="multilevel"/>
    <w:tmpl w:val="25381F4F"/>
    <w:lvl w:ilvl="0">
      <w:start w:val="1"/>
      <w:numFmt w:val="decimal"/>
      <w:pStyle w:val="172"/>
      <w:lvlText w:val="表1.7-%1"/>
      <w:lvlJc w:val="left"/>
      <w:pPr>
        <w:tabs>
          <w:tab w:val="num" w:pos="1931"/>
        </w:tabs>
        <w:ind w:left="1271" w:hanging="420"/>
      </w:pPr>
      <w:rPr>
        <w:rFonts w:ascii="Times New Roman" w:eastAsia="黑体" w:hAnsi="Times New Roman" w:hint="default"/>
        <w:b/>
        <w:i w:val="0"/>
        <w:sz w:val="24"/>
        <w:szCs w:val="24"/>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9">
    <w:nsid w:val="2571117F"/>
    <w:multiLevelType w:val="multilevel"/>
    <w:tmpl w:val="2571117F"/>
    <w:lvl w:ilvl="0">
      <w:start w:val="1"/>
      <w:numFmt w:val="decimal"/>
      <w:pStyle w:val="a3"/>
      <w:lvlText w:val="%1)"/>
      <w:lvlJc w:val="left"/>
      <w:pPr>
        <w:tabs>
          <w:tab w:val="num" w:pos="425"/>
        </w:tabs>
        <w:ind w:left="0" w:firstLine="425"/>
      </w:pPr>
      <w:rPr>
        <w:rFonts w:ascii="宋体" w:eastAsia="宋体" w:hAnsi="宋体" w:hint="eastAsia"/>
        <w:b w:val="0"/>
        <w:i w:val="0"/>
        <w:sz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0">
    <w:nsid w:val="294C1627"/>
    <w:multiLevelType w:val="multilevel"/>
    <w:tmpl w:val="294C1627"/>
    <w:lvl w:ilvl="0">
      <w:start w:val="16"/>
      <w:numFmt w:val="decimal"/>
      <w:lvlText w:val="%1"/>
      <w:lvlJc w:val="left"/>
      <w:pPr>
        <w:tabs>
          <w:tab w:val="num" w:pos="425"/>
        </w:tabs>
        <w:ind w:left="425" w:hanging="425"/>
      </w:pPr>
      <w:rPr>
        <w:rFonts w:hint="eastAsia"/>
      </w:rPr>
    </w:lvl>
    <w:lvl w:ilvl="1">
      <w:start w:val="9"/>
      <w:numFmt w:val="decimal"/>
      <w:lvlText w:val="%1.%2"/>
      <w:lvlJc w:val="left"/>
      <w:pPr>
        <w:tabs>
          <w:tab w:val="num" w:pos="-186"/>
        </w:tabs>
        <w:ind w:left="-906" w:firstLine="0"/>
      </w:pPr>
      <w:rPr>
        <w:rFonts w:hint="eastAsia"/>
      </w:rPr>
    </w:lvl>
    <w:lvl w:ilvl="2">
      <w:start w:val="5"/>
      <w:numFmt w:val="decimal"/>
      <w:lvlText w:val="%1.%2.%3"/>
      <w:lvlJc w:val="left"/>
      <w:pPr>
        <w:tabs>
          <w:tab w:val="num" w:pos="-437"/>
        </w:tabs>
        <w:ind w:left="-437" w:hanging="709"/>
      </w:pPr>
      <w:rPr>
        <w:rFonts w:ascii="Times New Roman" w:eastAsia="黑体" w:hAnsi="Times New Roman" w:cs="Times New Roman" w:hint="default"/>
        <w:b/>
        <w:bCs w:val="0"/>
        <w:i w:val="0"/>
        <w:iCs w:val="0"/>
        <w:caps w:val="0"/>
        <w:smallCaps w:val="0"/>
        <w:strike w:val="0"/>
        <w:dstrike w:val="0"/>
        <w:outline w:val="0"/>
        <w:shadow w:val="0"/>
        <w:emboss w:val="0"/>
        <w:imprint w:val="0"/>
        <w:vanish w:val="0"/>
        <w:spacing w:val="0"/>
        <w:position w:val="0"/>
        <w:sz w:val="24"/>
        <w:szCs w:val="24"/>
        <w:u w:val="none"/>
        <w:vertAlign w:val="baseline"/>
      </w:rPr>
    </w:lvl>
    <w:lvl w:ilvl="3">
      <w:start w:val="1"/>
      <w:numFmt w:val="decimal"/>
      <w:pStyle w:val="16951"/>
      <w:lvlText w:val="%1.%2.%3.%4"/>
      <w:lvlJc w:val="left"/>
      <w:pPr>
        <w:tabs>
          <w:tab w:val="num" w:pos="180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1">
    <w:nsid w:val="2F1628AA"/>
    <w:multiLevelType w:val="multilevel"/>
    <w:tmpl w:val="2F1628AA"/>
    <w:lvl w:ilvl="0">
      <w:start w:val="9"/>
      <w:numFmt w:val="decimal"/>
      <w:pStyle w:val="11Char10505050"/>
      <w:lvlText w:val="%1"/>
      <w:lvlJc w:val="left"/>
      <w:pPr>
        <w:tabs>
          <w:tab w:val="num" w:pos="0"/>
        </w:tabs>
        <w:ind w:left="0" w:firstLine="0"/>
      </w:pPr>
      <w:rPr>
        <w:rFonts w:ascii="黑体" w:eastAsia="黑体" w:hAnsi="Arial" w:hint="eastAsia"/>
        <w:b w:val="0"/>
        <w:i w:val="0"/>
        <w:color w:val="auto"/>
        <w:sz w:val="28"/>
      </w:rPr>
    </w:lvl>
    <w:lvl w:ilvl="1">
      <w:start w:val="1"/>
      <w:numFmt w:val="decimal"/>
      <w:lvlText w:val="%1.%2"/>
      <w:lvlJc w:val="left"/>
      <w:pPr>
        <w:tabs>
          <w:tab w:val="num" w:pos="576"/>
        </w:tabs>
        <w:ind w:left="576" w:hanging="576"/>
      </w:pPr>
      <w:rPr>
        <w:rFonts w:ascii="Arial" w:eastAsia="黑体" w:hAnsi="Arial" w:hint="default"/>
        <w:sz w:val="24"/>
      </w:rPr>
    </w:lvl>
    <w:lvl w:ilvl="2">
      <w:start w:val="1"/>
      <w:numFmt w:val="decimal"/>
      <w:lvlText w:val="%1.%2.%3"/>
      <w:lvlJc w:val="left"/>
      <w:pPr>
        <w:tabs>
          <w:tab w:val="num" w:pos="720"/>
        </w:tabs>
        <w:ind w:left="720" w:hanging="720"/>
      </w:pPr>
      <w:rPr>
        <w:rFonts w:ascii="Arial" w:eastAsia="黑体" w:hAnsi="Arial" w:hint="default"/>
        <w:sz w:val="24"/>
      </w:rPr>
    </w:lvl>
    <w:lvl w:ilvl="3">
      <w:start w:val="1"/>
      <w:numFmt w:val="decimal"/>
      <w:pStyle w:val="a4"/>
      <w:lvlText w:val="%1.%2.%3.%4"/>
      <w:lvlJc w:val="left"/>
      <w:pPr>
        <w:tabs>
          <w:tab w:val="num" w:pos="864"/>
        </w:tabs>
        <w:ind w:left="864" w:hanging="864"/>
      </w:pPr>
      <w:rPr>
        <w:rFonts w:ascii="Arial" w:eastAsia="黑体" w:hAnsi="Arial" w:hint="default"/>
        <w:sz w:val="24"/>
      </w:rPr>
    </w:lvl>
    <w:lvl w:ilvl="4">
      <w:start w:val="1"/>
      <w:numFmt w:val="decimal"/>
      <w:lvlText w:val="%1.%2.%3.%4.%5"/>
      <w:lvlJc w:val="left"/>
      <w:pPr>
        <w:tabs>
          <w:tab w:val="num" w:pos="1800"/>
        </w:tabs>
        <w:ind w:left="1008" w:hanging="1008"/>
      </w:pPr>
      <w:rPr>
        <w:rFonts w:hint="eastAsia"/>
      </w:rPr>
    </w:lvl>
    <w:lvl w:ilvl="5">
      <w:start w:val="1"/>
      <w:numFmt w:val="decimal"/>
      <w:lvlText w:val="%1.%2.%3.%4.%5.%6"/>
      <w:lvlJc w:val="left"/>
      <w:pPr>
        <w:tabs>
          <w:tab w:val="num" w:pos="2160"/>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42">
    <w:nsid w:val="32510205"/>
    <w:multiLevelType w:val="multilevel"/>
    <w:tmpl w:val="32510205"/>
    <w:lvl w:ilvl="0">
      <w:start w:val="1"/>
      <w:numFmt w:val="japaneseCounting"/>
      <w:lvlText w:val="%1、"/>
      <w:lvlJc w:val="left"/>
      <w:pPr>
        <w:ind w:left="960" w:hanging="480"/>
      </w:pPr>
      <w:rPr>
        <w:rFonts w:hAnsi="Times New Roman"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3">
    <w:nsid w:val="333C53E4"/>
    <w:multiLevelType w:val="multilevel"/>
    <w:tmpl w:val="333C53E4"/>
    <w:lvl w:ilvl="0">
      <w:start w:val="7"/>
      <w:numFmt w:val="decimal"/>
      <w:lvlText w:val="%1.1.1"/>
      <w:lvlJc w:val="left"/>
      <w:pPr>
        <w:tabs>
          <w:tab w:val="num" w:pos="295"/>
        </w:tabs>
        <w:ind w:left="0" w:hanging="425"/>
      </w:pPr>
      <w:rPr>
        <w:rFonts w:eastAsia="黑体" w:hint="eastAsia"/>
        <w:sz w:val="28"/>
      </w:rPr>
    </w:lvl>
    <w:lvl w:ilvl="1">
      <w:start w:val="1"/>
      <w:numFmt w:val="decimal"/>
      <w:pStyle w:val="21121122Char1Heading2205"/>
      <w:suff w:val="space"/>
      <w:lvlText w:val="7.%2"/>
      <w:lvlJc w:val="left"/>
      <w:pPr>
        <w:ind w:left="0" w:firstLine="0"/>
      </w:pPr>
      <w:rPr>
        <w:rFonts w:eastAsia="黑体" w:hint="eastAsia"/>
        <w:sz w:val="28"/>
      </w:rPr>
    </w:lvl>
    <w:lvl w:ilvl="2">
      <w:start w:val="1"/>
      <w:numFmt w:val="decimal"/>
      <w:lvlText w:val="%1.%2.%3"/>
      <w:lvlJc w:val="left"/>
      <w:pPr>
        <w:tabs>
          <w:tab w:val="num" w:pos="720"/>
        </w:tabs>
        <w:ind w:left="0" w:firstLine="0"/>
      </w:pPr>
      <w:rPr>
        <w:rFonts w:hint="eastAsia"/>
      </w:rPr>
    </w:lvl>
    <w:lvl w:ilvl="3">
      <w:start w:val="1"/>
      <w:numFmt w:val="decimal"/>
      <w:lvlText w:val="%1.%2.%3.%4"/>
      <w:lvlJc w:val="left"/>
      <w:pPr>
        <w:tabs>
          <w:tab w:val="num" w:pos="1559"/>
        </w:tabs>
        <w:ind w:left="1559" w:hanging="708"/>
      </w:pPr>
      <w:rPr>
        <w:rFonts w:hint="eastAsia"/>
      </w:rPr>
    </w:lvl>
    <w:lvl w:ilvl="4">
      <w:start w:val="1"/>
      <w:numFmt w:val="decimal"/>
      <w:lvlText w:val="%1.%2.%3.%4.%5"/>
      <w:lvlJc w:val="left"/>
      <w:pPr>
        <w:tabs>
          <w:tab w:val="num" w:pos="2126"/>
        </w:tabs>
        <w:ind w:left="2126" w:hanging="850"/>
      </w:pPr>
      <w:rPr>
        <w:rFonts w:hint="eastAsia"/>
      </w:rPr>
    </w:lvl>
    <w:lvl w:ilvl="5">
      <w:start w:val="1"/>
      <w:numFmt w:val="decimal"/>
      <w:lvlText w:val="%1.%2.%3.%4.%5.%6"/>
      <w:lvlJc w:val="left"/>
      <w:pPr>
        <w:tabs>
          <w:tab w:val="num" w:pos="2835"/>
        </w:tabs>
        <w:ind w:left="2835" w:hanging="1134"/>
      </w:pPr>
      <w:rPr>
        <w:rFonts w:hint="eastAsia"/>
      </w:rPr>
    </w:lvl>
    <w:lvl w:ilvl="6">
      <w:start w:val="1"/>
      <w:numFmt w:val="decimal"/>
      <w:lvlText w:val="%1.%2.%3.%4.%5.%6.%7"/>
      <w:lvlJc w:val="left"/>
      <w:pPr>
        <w:tabs>
          <w:tab w:val="num" w:pos="3402"/>
        </w:tabs>
        <w:ind w:left="3402" w:hanging="1276"/>
      </w:pPr>
      <w:rPr>
        <w:rFonts w:hint="eastAsia"/>
      </w:rPr>
    </w:lvl>
    <w:lvl w:ilvl="7">
      <w:start w:val="1"/>
      <w:numFmt w:val="decimal"/>
      <w:lvlText w:val="%1.%2.%3.%4.%5.%6.%7.%8"/>
      <w:lvlJc w:val="left"/>
      <w:pPr>
        <w:tabs>
          <w:tab w:val="num" w:pos="3969"/>
        </w:tabs>
        <w:ind w:left="3969" w:hanging="1418"/>
      </w:pPr>
      <w:rPr>
        <w:rFonts w:hint="eastAsia"/>
      </w:rPr>
    </w:lvl>
    <w:lvl w:ilvl="8">
      <w:start w:val="1"/>
      <w:numFmt w:val="decimal"/>
      <w:lvlText w:val="%1.%2.%3.%4.%5.%6.%7.%8.%9"/>
      <w:lvlJc w:val="left"/>
      <w:pPr>
        <w:tabs>
          <w:tab w:val="num" w:pos="4677"/>
        </w:tabs>
        <w:ind w:left="4677" w:hanging="1700"/>
      </w:pPr>
      <w:rPr>
        <w:rFonts w:hint="eastAsia"/>
      </w:rPr>
    </w:lvl>
  </w:abstractNum>
  <w:abstractNum w:abstractNumId="44">
    <w:nsid w:val="33725EB7"/>
    <w:multiLevelType w:val="multilevel"/>
    <w:tmpl w:val="33725EB7"/>
    <w:lvl w:ilvl="0">
      <w:start w:val="16"/>
      <w:numFmt w:val="decimal"/>
      <w:lvlText w:val="%1"/>
      <w:lvlJc w:val="left"/>
      <w:pPr>
        <w:tabs>
          <w:tab w:val="num" w:pos="425"/>
        </w:tabs>
        <w:ind w:left="425" w:hanging="425"/>
      </w:pPr>
      <w:rPr>
        <w:rFonts w:hint="eastAsia"/>
      </w:rPr>
    </w:lvl>
    <w:lvl w:ilvl="1">
      <w:start w:val="7"/>
      <w:numFmt w:val="decimal"/>
      <w:lvlText w:val="%1.%2"/>
      <w:lvlJc w:val="left"/>
      <w:pPr>
        <w:tabs>
          <w:tab w:val="num" w:pos="-186"/>
        </w:tabs>
        <w:ind w:left="-906" w:firstLine="0"/>
      </w:pPr>
      <w:rPr>
        <w:rFonts w:hint="eastAsia"/>
      </w:rPr>
    </w:lvl>
    <w:lvl w:ilvl="2">
      <w:start w:val="3"/>
      <w:numFmt w:val="decimal"/>
      <w:lvlText w:val="%1.%2.%3"/>
      <w:lvlJc w:val="left"/>
      <w:pPr>
        <w:tabs>
          <w:tab w:val="num" w:pos="-437"/>
        </w:tabs>
        <w:ind w:left="-437" w:hanging="709"/>
      </w:pPr>
      <w:rPr>
        <w:rFonts w:ascii="Times New Roman" w:eastAsia="黑体" w:hAnsi="Times New Roman" w:cs="Times New Roman" w:hint="default"/>
        <w:b/>
        <w:bCs w:val="0"/>
        <w:i w:val="0"/>
        <w:iCs w:val="0"/>
        <w:caps w:val="0"/>
        <w:smallCaps w:val="0"/>
        <w:strike w:val="0"/>
        <w:dstrike w:val="0"/>
        <w:outline w:val="0"/>
        <w:shadow w:val="0"/>
        <w:emboss w:val="0"/>
        <w:imprint w:val="0"/>
        <w:vanish w:val="0"/>
        <w:spacing w:val="0"/>
        <w:position w:val="0"/>
        <w:sz w:val="24"/>
        <w:szCs w:val="24"/>
        <w:u w:val="none"/>
        <w:vertAlign w:val="baseline"/>
      </w:rPr>
    </w:lvl>
    <w:lvl w:ilvl="3">
      <w:start w:val="1"/>
      <w:numFmt w:val="decimal"/>
      <w:pStyle w:val="16731"/>
      <w:lvlText w:val="%1.%2.%3.%4"/>
      <w:lvlJc w:val="left"/>
      <w:pPr>
        <w:tabs>
          <w:tab w:val="num" w:pos="180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5">
    <w:nsid w:val="347948C4"/>
    <w:multiLevelType w:val="multilevel"/>
    <w:tmpl w:val="347948C4"/>
    <w:lvl w:ilvl="0">
      <w:start w:val="1"/>
      <w:numFmt w:val="decimal"/>
      <w:pStyle w:val="10"/>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6">
    <w:nsid w:val="3609312E"/>
    <w:multiLevelType w:val="multilevel"/>
    <w:tmpl w:val="3609312E"/>
    <w:lvl w:ilvl="0">
      <w:start w:val="1"/>
      <w:numFmt w:val="bullet"/>
      <w:pStyle w:val="41"/>
      <w:lvlText w:val=""/>
      <w:lvlJc w:val="left"/>
      <w:pPr>
        <w:tabs>
          <w:tab w:val="num" w:pos="420"/>
        </w:tabs>
        <w:ind w:left="420" w:hanging="420"/>
      </w:pPr>
      <w:rPr>
        <w:rFonts w:ascii="Wingdings" w:hAnsi="Wingdings" w:hint="default"/>
        <w:sz w:val="16"/>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7">
    <w:nsid w:val="364816FF"/>
    <w:multiLevelType w:val="multilevel"/>
    <w:tmpl w:val="364816FF"/>
    <w:lvl w:ilvl="0">
      <w:start w:val="1"/>
      <w:numFmt w:val="decimal"/>
      <w:lvlText w:val="%1"/>
      <w:lvlJc w:val="left"/>
      <w:pPr>
        <w:tabs>
          <w:tab w:val="num" w:pos="432"/>
        </w:tabs>
        <w:ind w:left="432" w:hanging="432"/>
      </w:pPr>
    </w:lvl>
    <w:lvl w:ilvl="1">
      <w:start w:val="1"/>
      <w:numFmt w:val="decimal"/>
      <w:pStyle w:val="221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8">
    <w:nsid w:val="37A04360"/>
    <w:multiLevelType w:val="multilevel"/>
    <w:tmpl w:val="37A04360"/>
    <w:lvl w:ilvl="0">
      <w:start w:val="1"/>
      <w:numFmt w:val="decimal"/>
      <w:pStyle w:val="49"/>
      <w:lvlText w:val="表1.11-%1"/>
      <w:lvlJc w:val="center"/>
      <w:pPr>
        <w:tabs>
          <w:tab w:val="num" w:pos="2444"/>
        </w:tabs>
        <w:ind w:left="1720" w:firstLine="4"/>
      </w:pPr>
      <w:rPr>
        <w:rFonts w:ascii="Times New Roman" w:hAnsi="Times New Roman" w:hint="default"/>
        <w:b/>
        <w:i w:val="0"/>
        <w:sz w:val="24"/>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9">
    <w:nsid w:val="3A9076B2"/>
    <w:multiLevelType w:val="multilevel"/>
    <w:tmpl w:val="3A9076B2"/>
    <w:lvl w:ilvl="0">
      <w:start w:val="2"/>
      <w:numFmt w:val="decimal"/>
      <w:lvlText w:val="%1、"/>
      <w:lvlJc w:val="left"/>
      <w:pPr>
        <w:tabs>
          <w:tab w:val="num" w:pos="929"/>
        </w:tabs>
        <w:ind w:left="929"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pStyle w:val="a5"/>
      <w:lvlText w:val="%4."/>
      <w:lvlJc w:val="left"/>
      <w:pPr>
        <w:tabs>
          <w:tab w:val="num" w:pos="2249"/>
        </w:tabs>
        <w:ind w:left="2249" w:hanging="42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40570932"/>
    <w:multiLevelType w:val="multilevel"/>
    <w:tmpl w:val="40570932"/>
    <w:lvl w:ilvl="0">
      <w:start w:val="16"/>
      <w:numFmt w:val="decimal"/>
      <w:lvlText w:val="%1"/>
      <w:lvlJc w:val="left"/>
      <w:pPr>
        <w:tabs>
          <w:tab w:val="num" w:pos="425"/>
        </w:tabs>
        <w:ind w:left="425" w:hanging="425"/>
      </w:pPr>
      <w:rPr>
        <w:rFonts w:hint="eastAsia"/>
      </w:rPr>
    </w:lvl>
    <w:lvl w:ilvl="1">
      <w:start w:val="9"/>
      <w:numFmt w:val="decimal"/>
      <w:lvlText w:val="%1.%2"/>
      <w:lvlJc w:val="left"/>
      <w:pPr>
        <w:tabs>
          <w:tab w:val="num" w:pos="-186"/>
        </w:tabs>
        <w:ind w:left="-906" w:firstLine="0"/>
      </w:pPr>
      <w:rPr>
        <w:rFonts w:hint="eastAsia"/>
      </w:rPr>
    </w:lvl>
    <w:lvl w:ilvl="2">
      <w:start w:val="6"/>
      <w:numFmt w:val="decimal"/>
      <w:lvlText w:val="%1.%2.%3"/>
      <w:lvlJc w:val="left"/>
      <w:pPr>
        <w:tabs>
          <w:tab w:val="num" w:pos="-437"/>
        </w:tabs>
        <w:ind w:left="-437" w:hanging="709"/>
      </w:pPr>
      <w:rPr>
        <w:rFonts w:ascii="Times New Roman" w:eastAsia="黑体" w:hAnsi="Times New Roman" w:cs="Times New Roman" w:hint="default"/>
        <w:b/>
        <w:bCs w:val="0"/>
        <w:i w:val="0"/>
        <w:iCs w:val="0"/>
        <w:caps w:val="0"/>
        <w:smallCaps w:val="0"/>
        <w:strike w:val="0"/>
        <w:dstrike w:val="0"/>
        <w:outline w:val="0"/>
        <w:shadow w:val="0"/>
        <w:emboss w:val="0"/>
        <w:imprint w:val="0"/>
        <w:vanish w:val="0"/>
        <w:spacing w:val="0"/>
        <w:position w:val="0"/>
        <w:sz w:val="24"/>
        <w:szCs w:val="24"/>
        <w:u w:val="none"/>
        <w:vertAlign w:val="baseline"/>
      </w:rPr>
    </w:lvl>
    <w:lvl w:ilvl="3">
      <w:start w:val="1"/>
      <w:numFmt w:val="decimal"/>
      <w:pStyle w:val="16941"/>
      <w:lvlText w:val="%1.%2.%3.%4"/>
      <w:lvlJc w:val="left"/>
      <w:pPr>
        <w:tabs>
          <w:tab w:val="num" w:pos="180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51">
    <w:nsid w:val="47030B6C"/>
    <w:multiLevelType w:val="singleLevel"/>
    <w:tmpl w:val="47030B6C"/>
    <w:lvl w:ilvl="0">
      <w:start w:val="1"/>
      <w:numFmt w:val="decimal"/>
      <w:pStyle w:val="11"/>
      <w:lvlText w:val="%1)"/>
      <w:lvlJc w:val="left"/>
      <w:pPr>
        <w:tabs>
          <w:tab w:val="num" w:pos="624"/>
        </w:tabs>
        <w:ind w:left="624" w:hanging="397"/>
      </w:pPr>
      <w:rPr>
        <w:rFonts w:hint="eastAsia"/>
        <w:color w:val="000000"/>
      </w:rPr>
    </w:lvl>
  </w:abstractNum>
  <w:abstractNum w:abstractNumId="52">
    <w:nsid w:val="48104257"/>
    <w:multiLevelType w:val="multilevel"/>
    <w:tmpl w:val="48104257"/>
    <w:lvl w:ilvl="0">
      <w:start w:val="1"/>
      <w:numFmt w:val="decimal"/>
      <w:lvlText w:val="%1)"/>
      <w:lvlJc w:val="left"/>
      <w:pPr>
        <w:tabs>
          <w:tab w:val="num" w:pos="647"/>
        </w:tabs>
        <w:ind w:left="647"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3">
    <w:nsid w:val="49C131B1"/>
    <w:multiLevelType w:val="multilevel"/>
    <w:tmpl w:val="49C131B1"/>
    <w:lvl w:ilvl="0">
      <w:start w:val="1"/>
      <w:numFmt w:val="decimal"/>
      <w:pStyle w:val="512-1"/>
      <w:lvlText w:val="表5.12-%1"/>
      <w:lvlJc w:val="left"/>
      <w:pPr>
        <w:tabs>
          <w:tab w:val="num" w:pos="420"/>
        </w:tabs>
        <w:ind w:left="0" w:firstLine="0"/>
      </w:pPr>
      <w:rPr>
        <w:rFonts w:ascii="Times New Roman" w:hAnsi="Times New Roman" w:hint="default"/>
        <w:b/>
        <w:i w:val="0"/>
        <w:sz w:val="24"/>
        <w:szCs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4">
    <w:nsid w:val="4C6915EE"/>
    <w:multiLevelType w:val="multilevel"/>
    <w:tmpl w:val="4C6915EE"/>
    <w:lvl w:ilvl="0">
      <w:start w:val="1"/>
      <w:numFmt w:val="decimal"/>
      <w:pStyle w:val="164-1"/>
      <w:lvlText w:val="表16.4-%1"/>
      <w:lvlJc w:val="center"/>
      <w:pPr>
        <w:tabs>
          <w:tab w:val="num" w:pos="720"/>
        </w:tabs>
        <w:ind w:left="-4" w:firstLine="4"/>
      </w:pPr>
      <w:rPr>
        <w:rFonts w:ascii="黑体" w:eastAsia="黑体" w:hAnsi="宋体" w:hint="eastAsia"/>
        <w:b w:val="0"/>
        <w:bCs w:val="0"/>
        <w:i w:val="0"/>
        <w:iCs w:val="0"/>
        <w:caps w:val="0"/>
        <w:smallCaps w:val="0"/>
        <w:strike w:val="0"/>
        <w:dstrike w:val="0"/>
        <w:outline w:val="0"/>
        <w:shadow w:val="0"/>
        <w:emboss w:val="0"/>
        <w:imprint w:val="0"/>
        <w:color w:val="auto"/>
        <w:spacing w:val="0"/>
        <w:w w:val="100"/>
        <w:kern w:val="2"/>
        <w:position w:val="0"/>
        <w:sz w:val="24"/>
        <w:u w:val="none"/>
        <w:shd w:val="clear" w:color="auto" w:fill="auto"/>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5">
    <w:nsid w:val="4C99549B"/>
    <w:multiLevelType w:val="multilevel"/>
    <w:tmpl w:val="4C99549B"/>
    <w:lvl w:ilvl="0">
      <w:start w:val="1"/>
      <w:numFmt w:val="decimal"/>
      <w:pStyle w:val="513-11"/>
      <w:lvlText w:val="表5.13-%1"/>
      <w:lvlJc w:val="left"/>
      <w:pPr>
        <w:tabs>
          <w:tab w:val="num" w:pos="420"/>
        </w:tabs>
        <w:ind w:left="0" w:firstLine="0"/>
      </w:pPr>
      <w:rPr>
        <w:rFonts w:ascii="Times New Roman" w:hAnsi="Times New Roman" w:hint="default"/>
        <w:b/>
        <w:i w:val="0"/>
        <w:sz w:val="24"/>
        <w:szCs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6">
    <w:nsid w:val="4E403D3D"/>
    <w:multiLevelType w:val="multilevel"/>
    <w:tmpl w:val="4E403D3D"/>
    <w:lvl w:ilvl="0">
      <w:start w:val="12"/>
      <w:numFmt w:val="decimal"/>
      <w:lvlText w:val="%1"/>
      <w:lvlJc w:val="left"/>
      <w:pPr>
        <w:tabs>
          <w:tab w:val="num" w:pos="1570"/>
        </w:tabs>
        <w:ind w:left="1570" w:hanging="425"/>
      </w:pPr>
      <w:rPr>
        <w:rFonts w:hint="eastAsia"/>
      </w:rPr>
    </w:lvl>
    <w:lvl w:ilvl="1">
      <w:start w:val="2"/>
      <w:numFmt w:val="decimal"/>
      <w:lvlText w:val="%1.%2"/>
      <w:lvlJc w:val="left"/>
      <w:pPr>
        <w:tabs>
          <w:tab w:val="num" w:pos="959"/>
        </w:tabs>
        <w:ind w:left="239" w:firstLine="0"/>
      </w:pPr>
      <w:rPr>
        <w:rFonts w:hint="eastAsia"/>
      </w:rPr>
    </w:lvl>
    <w:lvl w:ilvl="2">
      <w:start w:val="6"/>
      <w:numFmt w:val="decimal"/>
      <w:lvlText w:val="%1.%2.%3"/>
      <w:lvlJc w:val="left"/>
      <w:pPr>
        <w:tabs>
          <w:tab w:val="num" w:pos="708"/>
        </w:tabs>
        <w:ind w:left="708" w:hanging="709"/>
      </w:pPr>
      <w:rPr>
        <w:rFonts w:ascii="Times New Roman" w:eastAsia="黑体" w:hAnsi="Times New Roman" w:hint="default"/>
        <w:b/>
        <w:i w:val="0"/>
        <w:sz w:val="24"/>
        <w:szCs w:val="24"/>
      </w:rPr>
    </w:lvl>
    <w:lvl w:ilvl="3">
      <w:start w:val="1"/>
      <w:numFmt w:val="decimal"/>
      <w:pStyle w:val="1231"/>
      <w:lvlText w:val="%1.%2.%3.%4"/>
      <w:lvlJc w:val="left"/>
      <w:pPr>
        <w:tabs>
          <w:tab w:val="num" w:pos="2945"/>
        </w:tabs>
        <w:ind w:left="1996" w:hanging="851"/>
      </w:pPr>
      <w:rPr>
        <w:rFonts w:ascii="Times New Roman" w:hAnsi="Times New Roman" w:hint="default"/>
        <w:b/>
        <w:i w:val="0"/>
        <w:sz w:val="24"/>
        <w:szCs w:val="24"/>
      </w:rPr>
    </w:lvl>
    <w:lvl w:ilvl="4">
      <w:start w:val="1"/>
      <w:numFmt w:val="decimal"/>
      <w:lvlText w:val="%1.%2.%3.%4.%5"/>
      <w:lvlJc w:val="left"/>
      <w:pPr>
        <w:tabs>
          <w:tab w:val="num" w:pos="2137"/>
        </w:tabs>
        <w:ind w:left="2137" w:hanging="992"/>
      </w:pPr>
      <w:rPr>
        <w:rFonts w:hint="eastAsia"/>
      </w:rPr>
    </w:lvl>
    <w:lvl w:ilvl="5">
      <w:start w:val="1"/>
      <w:numFmt w:val="decimal"/>
      <w:lvlText w:val="%1.%2.%3.%4.%5.%6."/>
      <w:lvlJc w:val="left"/>
      <w:pPr>
        <w:tabs>
          <w:tab w:val="num" w:pos="2279"/>
        </w:tabs>
        <w:ind w:left="2279" w:hanging="1134"/>
      </w:pPr>
      <w:rPr>
        <w:rFonts w:hint="eastAsia"/>
      </w:rPr>
    </w:lvl>
    <w:lvl w:ilvl="6">
      <w:start w:val="1"/>
      <w:numFmt w:val="decimal"/>
      <w:lvlText w:val="%1.%2.%3.%4.%5.%6.%7."/>
      <w:lvlJc w:val="left"/>
      <w:pPr>
        <w:tabs>
          <w:tab w:val="num" w:pos="2421"/>
        </w:tabs>
        <w:ind w:left="2421" w:hanging="1276"/>
      </w:pPr>
      <w:rPr>
        <w:rFonts w:hint="eastAsia"/>
      </w:rPr>
    </w:lvl>
    <w:lvl w:ilvl="7">
      <w:start w:val="1"/>
      <w:numFmt w:val="decimal"/>
      <w:lvlText w:val="%1.%2.%3.%4.%5.%6.%7.%8."/>
      <w:lvlJc w:val="left"/>
      <w:pPr>
        <w:tabs>
          <w:tab w:val="num" w:pos="2563"/>
        </w:tabs>
        <w:ind w:left="2563" w:hanging="1418"/>
      </w:pPr>
      <w:rPr>
        <w:rFonts w:hint="eastAsia"/>
      </w:rPr>
    </w:lvl>
    <w:lvl w:ilvl="8">
      <w:start w:val="1"/>
      <w:numFmt w:val="decimal"/>
      <w:lvlText w:val="%1.%2.%3.%4.%5.%6.%7.%8.%9."/>
      <w:lvlJc w:val="left"/>
      <w:pPr>
        <w:tabs>
          <w:tab w:val="num" w:pos="2704"/>
        </w:tabs>
        <w:ind w:left="2704" w:hanging="1559"/>
      </w:pPr>
      <w:rPr>
        <w:rFonts w:hint="eastAsia"/>
      </w:rPr>
    </w:lvl>
  </w:abstractNum>
  <w:abstractNum w:abstractNumId="57">
    <w:nsid w:val="53FC2D62"/>
    <w:multiLevelType w:val="multilevel"/>
    <w:tmpl w:val="53FC2D62"/>
    <w:lvl w:ilvl="0">
      <w:start w:val="22"/>
      <w:numFmt w:val="decimal"/>
      <w:lvlText w:val="%1"/>
      <w:lvlJc w:val="left"/>
      <w:pPr>
        <w:tabs>
          <w:tab w:val="num" w:pos="-2556"/>
        </w:tabs>
        <w:ind w:left="-2556" w:hanging="425"/>
      </w:pPr>
      <w:rPr>
        <w:rFonts w:hint="eastAsia"/>
      </w:rPr>
    </w:lvl>
    <w:lvl w:ilvl="1">
      <w:start w:val="1"/>
      <w:numFmt w:val="decimal"/>
      <w:lvlText w:val="%1.%2"/>
      <w:lvlJc w:val="left"/>
      <w:pPr>
        <w:tabs>
          <w:tab w:val="num" w:pos="-1476"/>
        </w:tabs>
        <w:ind w:left="-1989" w:hanging="567"/>
      </w:pPr>
      <w:rPr>
        <w:rFonts w:hint="eastAsia"/>
      </w:rPr>
    </w:lvl>
    <w:lvl w:ilvl="2">
      <w:start w:val="7"/>
      <w:numFmt w:val="decimal"/>
      <w:lvlText w:val="%1.%2.%3"/>
      <w:lvlJc w:val="left"/>
      <w:pPr>
        <w:tabs>
          <w:tab w:val="num" w:pos="-690"/>
        </w:tabs>
        <w:ind w:left="-1563" w:hanging="567"/>
      </w:pPr>
      <w:rPr>
        <w:rFonts w:hint="eastAsia"/>
      </w:rPr>
    </w:lvl>
    <w:lvl w:ilvl="3">
      <w:start w:val="1"/>
      <w:numFmt w:val="decimal"/>
      <w:pStyle w:val="221714"/>
      <w:lvlText w:val="20.%2.%3.%4"/>
      <w:lvlJc w:val="left"/>
      <w:pPr>
        <w:tabs>
          <w:tab w:val="num" w:pos="455"/>
        </w:tabs>
        <w:ind w:left="-997" w:firstLine="997"/>
      </w:pPr>
      <w:rPr>
        <w:rFonts w:ascii="Times New Roman" w:hAnsi="Times New Roman" w:hint="default"/>
      </w:rPr>
    </w:lvl>
    <w:lvl w:ilvl="4">
      <w:start w:val="1"/>
      <w:numFmt w:val="decimal"/>
      <w:lvlText w:val="%1.%2.%3.%4.%5"/>
      <w:lvlJc w:val="left"/>
      <w:pPr>
        <w:tabs>
          <w:tab w:val="num" w:pos="1600"/>
        </w:tabs>
        <w:ind w:left="-430" w:hanging="850"/>
      </w:pPr>
      <w:rPr>
        <w:rFonts w:hint="eastAsia"/>
      </w:rPr>
    </w:lvl>
    <w:lvl w:ilvl="5">
      <w:start w:val="1"/>
      <w:numFmt w:val="decimal"/>
      <w:lvlText w:val="%1.%2.%3.%4.%5.%6"/>
      <w:lvlJc w:val="left"/>
      <w:pPr>
        <w:tabs>
          <w:tab w:val="num" w:pos="2385"/>
        </w:tabs>
        <w:ind w:left="279" w:hanging="1134"/>
      </w:pPr>
      <w:rPr>
        <w:rFonts w:hint="eastAsia"/>
      </w:rPr>
    </w:lvl>
    <w:lvl w:ilvl="6">
      <w:start w:val="1"/>
      <w:numFmt w:val="decimal"/>
      <w:lvlText w:val="%1.%2.%3.%4.%5.%6.%7"/>
      <w:lvlJc w:val="left"/>
      <w:pPr>
        <w:tabs>
          <w:tab w:val="num" w:pos="3530"/>
        </w:tabs>
        <w:ind w:left="846" w:hanging="1276"/>
      </w:pPr>
      <w:rPr>
        <w:rFonts w:hint="eastAsia"/>
      </w:rPr>
    </w:lvl>
    <w:lvl w:ilvl="7">
      <w:start w:val="1"/>
      <w:numFmt w:val="decimal"/>
      <w:lvlText w:val="%1.%2.%3.%4.%5.%6.%7.%8"/>
      <w:lvlJc w:val="left"/>
      <w:pPr>
        <w:tabs>
          <w:tab w:val="num" w:pos="4315"/>
        </w:tabs>
        <w:ind w:left="1413" w:hanging="1418"/>
      </w:pPr>
      <w:rPr>
        <w:rFonts w:hint="eastAsia"/>
      </w:rPr>
    </w:lvl>
    <w:lvl w:ilvl="8">
      <w:start w:val="1"/>
      <w:numFmt w:val="decimal"/>
      <w:lvlText w:val="%1.%2.%3.%4.%5.%6.%7.%8.%9"/>
      <w:lvlJc w:val="left"/>
      <w:pPr>
        <w:tabs>
          <w:tab w:val="num" w:pos="5461"/>
        </w:tabs>
        <w:ind w:left="2121" w:hanging="1700"/>
      </w:pPr>
      <w:rPr>
        <w:rFonts w:hint="eastAsia"/>
      </w:rPr>
    </w:lvl>
  </w:abstractNum>
  <w:abstractNum w:abstractNumId="58">
    <w:nsid w:val="544646F5"/>
    <w:multiLevelType w:val="multilevel"/>
    <w:tmpl w:val="544646F5"/>
    <w:lvl w:ilvl="0">
      <w:start w:val="1"/>
      <w:numFmt w:val="decimal"/>
      <w:pStyle w:val="5121"/>
      <w:lvlText w:val="表5.13 -%1"/>
      <w:lvlJc w:val="center"/>
      <w:pPr>
        <w:tabs>
          <w:tab w:val="num" w:pos="4080"/>
        </w:tabs>
        <w:ind w:left="3356" w:firstLine="4"/>
      </w:pPr>
      <w:rPr>
        <w:rFonts w:ascii="Times New Roman" w:hAnsi="Times New Roman" w:hint="default"/>
        <w:b/>
        <w:i w:val="0"/>
        <w:sz w:val="24"/>
        <w:lang w:val="en-US"/>
      </w:rPr>
    </w:lvl>
    <w:lvl w:ilvl="1">
      <w:start w:val="1"/>
      <w:numFmt w:val="lowerLetter"/>
      <w:lvlText w:val="%2)"/>
      <w:lvlJc w:val="left"/>
      <w:pPr>
        <w:tabs>
          <w:tab w:val="num" w:pos="2476"/>
        </w:tabs>
        <w:ind w:left="2476" w:hanging="420"/>
      </w:pPr>
    </w:lvl>
    <w:lvl w:ilvl="2">
      <w:start w:val="1"/>
      <w:numFmt w:val="lowerRoman"/>
      <w:lvlText w:val="%3."/>
      <w:lvlJc w:val="right"/>
      <w:pPr>
        <w:tabs>
          <w:tab w:val="num" w:pos="2896"/>
        </w:tabs>
        <w:ind w:left="2896" w:hanging="420"/>
      </w:pPr>
    </w:lvl>
    <w:lvl w:ilvl="3">
      <w:start w:val="1"/>
      <w:numFmt w:val="decimal"/>
      <w:lvlText w:val="%4."/>
      <w:lvlJc w:val="left"/>
      <w:pPr>
        <w:tabs>
          <w:tab w:val="num" w:pos="3316"/>
        </w:tabs>
        <w:ind w:left="3316" w:hanging="420"/>
      </w:pPr>
    </w:lvl>
    <w:lvl w:ilvl="4">
      <w:start w:val="1"/>
      <w:numFmt w:val="lowerLetter"/>
      <w:lvlText w:val="%5)"/>
      <w:lvlJc w:val="left"/>
      <w:pPr>
        <w:tabs>
          <w:tab w:val="num" w:pos="3736"/>
        </w:tabs>
        <w:ind w:left="3736" w:hanging="420"/>
      </w:pPr>
    </w:lvl>
    <w:lvl w:ilvl="5">
      <w:start w:val="1"/>
      <w:numFmt w:val="lowerRoman"/>
      <w:lvlText w:val="%6."/>
      <w:lvlJc w:val="right"/>
      <w:pPr>
        <w:tabs>
          <w:tab w:val="num" w:pos="4156"/>
        </w:tabs>
        <w:ind w:left="4156" w:hanging="420"/>
      </w:pPr>
    </w:lvl>
    <w:lvl w:ilvl="6">
      <w:start w:val="1"/>
      <w:numFmt w:val="decimal"/>
      <w:lvlText w:val="%7."/>
      <w:lvlJc w:val="left"/>
      <w:pPr>
        <w:tabs>
          <w:tab w:val="num" w:pos="4576"/>
        </w:tabs>
        <w:ind w:left="4576" w:hanging="420"/>
      </w:pPr>
    </w:lvl>
    <w:lvl w:ilvl="7">
      <w:start w:val="1"/>
      <w:numFmt w:val="lowerLetter"/>
      <w:lvlText w:val="%8)"/>
      <w:lvlJc w:val="left"/>
      <w:pPr>
        <w:tabs>
          <w:tab w:val="num" w:pos="4996"/>
        </w:tabs>
        <w:ind w:left="4996" w:hanging="420"/>
      </w:pPr>
    </w:lvl>
    <w:lvl w:ilvl="8">
      <w:start w:val="1"/>
      <w:numFmt w:val="lowerRoman"/>
      <w:lvlText w:val="%9."/>
      <w:lvlJc w:val="right"/>
      <w:pPr>
        <w:tabs>
          <w:tab w:val="num" w:pos="5416"/>
        </w:tabs>
        <w:ind w:left="5416" w:hanging="420"/>
      </w:pPr>
    </w:lvl>
  </w:abstractNum>
  <w:abstractNum w:abstractNumId="59">
    <w:nsid w:val="546C7A36"/>
    <w:multiLevelType w:val="multilevel"/>
    <w:tmpl w:val="546C7A36"/>
    <w:lvl w:ilvl="0">
      <w:start w:val="18"/>
      <w:numFmt w:val="decimal"/>
      <w:pStyle w:val="6615"/>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60">
    <w:nsid w:val="57133F65"/>
    <w:multiLevelType w:val="multilevel"/>
    <w:tmpl w:val="57133F65"/>
    <w:lvl w:ilvl="0">
      <w:start w:val="1"/>
      <w:numFmt w:val="decimal"/>
      <w:pStyle w:val="cucd-1"/>
      <w:lvlText w:val="第%1章 "/>
      <w:lvlJc w:val="left"/>
      <w:pPr>
        <w:tabs>
          <w:tab w:val="num" w:pos="425"/>
        </w:tabs>
        <w:ind w:left="425" w:hanging="425"/>
      </w:pPr>
      <w:rPr>
        <w:rFonts w:hint="eastAsia"/>
      </w:rPr>
    </w:lvl>
    <w:lvl w:ilvl="1">
      <w:start w:val="1"/>
      <w:numFmt w:val="decimal"/>
      <w:isLgl/>
      <w:lvlText w:val="%1.%2 "/>
      <w:lvlJc w:val="left"/>
      <w:pPr>
        <w:tabs>
          <w:tab w:val="num" w:pos="0"/>
        </w:tabs>
        <w:ind w:left="0" w:firstLine="0"/>
      </w:pPr>
      <w:rPr>
        <w:rFonts w:ascii="Times New Roman" w:eastAsia="宋体" w:hAnsi="Times New Roman" w:hint="default"/>
      </w:rPr>
    </w:lvl>
    <w:lvl w:ilvl="2">
      <w:start w:val="1"/>
      <w:numFmt w:val="decimal"/>
      <w:lvlText w:val="%1.%2.%3 "/>
      <w:lvlJc w:val="left"/>
      <w:pPr>
        <w:tabs>
          <w:tab w:val="num" w:pos="57"/>
        </w:tabs>
        <w:ind w:left="170" w:hanging="113"/>
      </w:pPr>
      <w:rPr>
        <w:rFonts w:hint="eastAsia"/>
      </w:rPr>
    </w:lvl>
    <w:lvl w:ilvl="3">
      <w:start w:val="1"/>
      <w:numFmt w:val="decimal"/>
      <w:pStyle w:val="cucd-A"/>
      <w:lvlText w:val="%1.%2.%3.%4 "/>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61">
    <w:nsid w:val="571C150E"/>
    <w:multiLevelType w:val="multilevel"/>
    <w:tmpl w:val="571C150E"/>
    <w:lvl w:ilvl="0">
      <w:start w:val="16"/>
      <w:numFmt w:val="decimal"/>
      <w:lvlText w:val="%1"/>
      <w:lvlJc w:val="left"/>
      <w:pPr>
        <w:tabs>
          <w:tab w:val="num" w:pos="425"/>
        </w:tabs>
        <w:ind w:left="425" w:hanging="425"/>
      </w:pPr>
      <w:rPr>
        <w:rFonts w:hint="eastAsia"/>
      </w:rPr>
    </w:lvl>
    <w:lvl w:ilvl="1">
      <w:start w:val="7"/>
      <w:numFmt w:val="decimal"/>
      <w:lvlText w:val="%1.%2"/>
      <w:lvlJc w:val="left"/>
      <w:pPr>
        <w:tabs>
          <w:tab w:val="num" w:pos="-186"/>
        </w:tabs>
        <w:ind w:left="-906" w:firstLine="0"/>
      </w:pPr>
      <w:rPr>
        <w:rFonts w:hint="eastAsia"/>
      </w:rPr>
    </w:lvl>
    <w:lvl w:ilvl="2">
      <w:start w:val="2"/>
      <w:numFmt w:val="decimal"/>
      <w:lvlText w:val="%1.%2.%3"/>
      <w:lvlJc w:val="left"/>
      <w:pPr>
        <w:tabs>
          <w:tab w:val="num" w:pos="-437"/>
        </w:tabs>
        <w:ind w:left="-437" w:hanging="709"/>
      </w:pPr>
      <w:rPr>
        <w:rFonts w:ascii="Times New Roman" w:eastAsia="黑体" w:hAnsi="Times New Roman" w:cs="Times New Roman" w:hint="default"/>
        <w:b/>
        <w:bCs w:val="0"/>
        <w:i w:val="0"/>
        <w:iCs w:val="0"/>
        <w:caps w:val="0"/>
        <w:smallCaps w:val="0"/>
        <w:strike w:val="0"/>
        <w:dstrike w:val="0"/>
        <w:outline w:val="0"/>
        <w:shadow w:val="0"/>
        <w:emboss w:val="0"/>
        <w:imprint w:val="0"/>
        <w:vanish w:val="0"/>
        <w:spacing w:val="0"/>
        <w:position w:val="0"/>
        <w:sz w:val="24"/>
        <w:szCs w:val="24"/>
        <w:u w:val="none"/>
        <w:vertAlign w:val="baseline"/>
      </w:rPr>
    </w:lvl>
    <w:lvl w:ilvl="3">
      <w:start w:val="1"/>
      <w:numFmt w:val="decimal"/>
      <w:pStyle w:val="16721"/>
      <w:lvlText w:val="%1.%2.%3.%4"/>
      <w:lvlJc w:val="left"/>
      <w:pPr>
        <w:tabs>
          <w:tab w:val="num" w:pos="180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62">
    <w:nsid w:val="57C13D3F"/>
    <w:multiLevelType w:val="multilevel"/>
    <w:tmpl w:val="57C13D3F"/>
    <w:lvl w:ilvl="0">
      <w:start w:val="1"/>
      <w:numFmt w:val="decimal"/>
      <w:pStyle w:val="516"/>
      <w:lvlText w:val="表5.17-%1"/>
      <w:lvlJc w:val="left"/>
      <w:pPr>
        <w:tabs>
          <w:tab w:val="num" w:pos="420"/>
        </w:tabs>
        <w:ind w:left="420" w:hanging="420"/>
      </w:pPr>
      <w:rPr>
        <w:rFonts w:ascii="Times New Roman" w:hAnsi="Times New Roman" w:hint="default"/>
        <w:b/>
        <w:i w:val="0"/>
        <w:color w:val="000000"/>
        <w:sz w:val="24"/>
        <w:szCs w:val="24"/>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3">
    <w:nsid w:val="5846391B"/>
    <w:multiLevelType w:val="singleLevel"/>
    <w:tmpl w:val="5846391B"/>
    <w:lvl w:ilvl="0">
      <w:start w:val="1"/>
      <w:numFmt w:val="upperLetter"/>
      <w:suff w:val="nothing"/>
      <w:lvlText w:val="%1、"/>
      <w:lvlJc w:val="left"/>
    </w:lvl>
  </w:abstractNum>
  <w:abstractNum w:abstractNumId="64">
    <w:nsid w:val="598A5572"/>
    <w:multiLevelType w:val="multilevel"/>
    <w:tmpl w:val="598A5572"/>
    <w:lvl w:ilvl="0">
      <w:start w:val="1"/>
      <w:numFmt w:val="decimal"/>
      <w:pStyle w:val="241"/>
      <w:lvlText w:val="表2.6-%1"/>
      <w:lvlJc w:val="left"/>
      <w:pPr>
        <w:tabs>
          <w:tab w:val="num" w:pos="420"/>
        </w:tabs>
        <w:ind w:left="0" w:firstLine="0"/>
      </w:pPr>
      <w:rPr>
        <w:rFonts w:ascii="Times New Roman" w:hAnsi="Times New Roman" w:hint="default"/>
        <w:b/>
        <w:i w:val="0"/>
        <w:sz w:val="24"/>
        <w:szCs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5">
    <w:nsid w:val="5A455548"/>
    <w:multiLevelType w:val="multilevel"/>
    <w:tmpl w:val="5A455548"/>
    <w:lvl w:ilvl="0">
      <w:start w:val="1"/>
      <w:numFmt w:val="bullet"/>
      <w:pStyle w:val="GB231224"/>
      <w:lvlText w:val=""/>
      <w:lvlJc w:val="left"/>
      <w:pPr>
        <w:tabs>
          <w:tab w:val="num" w:pos="1099"/>
        </w:tabs>
        <w:ind w:left="1099" w:hanging="420"/>
      </w:pPr>
      <w:rPr>
        <w:rFonts w:ascii="Symbol" w:hAnsi="Symbol" w:hint="default"/>
        <w:color w:val="auto"/>
      </w:rPr>
    </w:lvl>
    <w:lvl w:ilvl="1">
      <w:start w:val="1"/>
      <w:numFmt w:val="bullet"/>
      <w:lvlText w:val=""/>
      <w:lvlJc w:val="left"/>
      <w:pPr>
        <w:tabs>
          <w:tab w:val="num" w:pos="1039"/>
        </w:tabs>
        <w:ind w:left="1039" w:hanging="420"/>
      </w:pPr>
      <w:rPr>
        <w:rFonts w:ascii="Wingdings" w:hAnsi="Wingdings" w:hint="default"/>
        <w:color w:val="auto"/>
      </w:rPr>
    </w:lvl>
    <w:lvl w:ilvl="2">
      <w:start w:val="1"/>
      <w:numFmt w:val="bullet"/>
      <w:lvlText w:val=""/>
      <w:lvlJc w:val="left"/>
      <w:pPr>
        <w:tabs>
          <w:tab w:val="num" w:pos="1459"/>
        </w:tabs>
        <w:ind w:left="1459" w:hanging="420"/>
      </w:pPr>
      <w:rPr>
        <w:rFonts w:ascii="Wingdings" w:hAnsi="Wingdings" w:hint="default"/>
      </w:rPr>
    </w:lvl>
    <w:lvl w:ilvl="3">
      <w:start w:val="1"/>
      <w:numFmt w:val="bullet"/>
      <w:lvlText w:val=""/>
      <w:lvlJc w:val="left"/>
      <w:pPr>
        <w:tabs>
          <w:tab w:val="num" w:pos="1879"/>
        </w:tabs>
        <w:ind w:left="1879" w:hanging="420"/>
      </w:pPr>
      <w:rPr>
        <w:rFonts w:ascii="Wingdings" w:hAnsi="Wingdings" w:hint="default"/>
      </w:rPr>
    </w:lvl>
    <w:lvl w:ilvl="4">
      <w:start w:val="1"/>
      <w:numFmt w:val="bullet"/>
      <w:lvlText w:val=""/>
      <w:lvlJc w:val="left"/>
      <w:pPr>
        <w:tabs>
          <w:tab w:val="num" w:pos="2299"/>
        </w:tabs>
        <w:ind w:left="2299" w:hanging="420"/>
      </w:pPr>
      <w:rPr>
        <w:rFonts w:ascii="Wingdings" w:hAnsi="Wingdings" w:hint="default"/>
      </w:rPr>
    </w:lvl>
    <w:lvl w:ilvl="5">
      <w:start w:val="1"/>
      <w:numFmt w:val="bullet"/>
      <w:lvlText w:val=""/>
      <w:lvlJc w:val="left"/>
      <w:pPr>
        <w:tabs>
          <w:tab w:val="num" w:pos="2719"/>
        </w:tabs>
        <w:ind w:left="2719" w:hanging="420"/>
      </w:pPr>
      <w:rPr>
        <w:rFonts w:ascii="Wingdings" w:hAnsi="Wingdings" w:hint="default"/>
      </w:rPr>
    </w:lvl>
    <w:lvl w:ilvl="6">
      <w:start w:val="1"/>
      <w:numFmt w:val="bullet"/>
      <w:lvlText w:val=""/>
      <w:lvlJc w:val="left"/>
      <w:pPr>
        <w:tabs>
          <w:tab w:val="num" w:pos="3139"/>
        </w:tabs>
        <w:ind w:left="3139" w:hanging="420"/>
      </w:pPr>
      <w:rPr>
        <w:rFonts w:ascii="Wingdings" w:hAnsi="Wingdings" w:hint="default"/>
      </w:rPr>
    </w:lvl>
    <w:lvl w:ilvl="7">
      <w:start w:val="1"/>
      <w:numFmt w:val="bullet"/>
      <w:lvlText w:val=""/>
      <w:lvlJc w:val="left"/>
      <w:pPr>
        <w:tabs>
          <w:tab w:val="num" w:pos="3559"/>
        </w:tabs>
        <w:ind w:left="3559" w:hanging="420"/>
      </w:pPr>
      <w:rPr>
        <w:rFonts w:ascii="Wingdings" w:hAnsi="Wingdings" w:hint="default"/>
      </w:rPr>
    </w:lvl>
    <w:lvl w:ilvl="8">
      <w:start w:val="1"/>
      <w:numFmt w:val="bullet"/>
      <w:lvlText w:val=""/>
      <w:lvlJc w:val="left"/>
      <w:pPr>
        <w:tabs>
          <w:tab w:val="num" w:pos="3979"/>
        </w:tabs>
        <w:ind w:left="3979" w:hanging="420"/>
      </w:pPr>
      <w:rPr>
        <w:rFonts w:ascii="Wingdings" w:hAnsi="Wingdings" w:hint="default"/>
      </w:rPr>
    </w:lvl>
  </w:abstractNum>
  <w:abstractNum w:abstractNumId="66">
    <w:nsid w:val="5D681B95"/>
    <w:multiLevelType w:val="multilevel"/>
    <w:tmpl w:val="5D681B95"/>
    <w:lvl w:ilvl="0">
      <w:start w:val="1"/>
      <w:numFmt w:val="decimal"/>
      <w:pStyle w:val="514"/>
      <w:lvlText w:val="表5.14-%1"/>
      <w:lvlJc w:val="left"/>
      <w:pPr>
        <w:tabs>
          <w:tab w:val="num" w:pos="993"/>
        </w:tabs>
        <w:ind w:left="993" w:hanging="420"/>
      </w:pPr>
      <w:rPr>
        <w:rFonts w:ascii="Times New Roman" w:hAnsi="Times New Roman" w:hint="default"/>
        <w:b/>
        <w:i w:val="0"/>
        <w:color w:val="000000"/>
        <w:sz w:val="24"/>
        <w:szCs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7">
    <w:nsid w:val="61CB7476"/>
    <w:multiLevelType w:val="multilevel"/>
    <w:tmpl w:val="61CB7476"/>
    <w:lvl w:ilvl="0">
      <w:start w:val="1"/>
      <w:numFmt w:val="decimal"/>
      <w:pStyle w:val="421"/>
      <w:lvlText w:val="表5.3-%1"/>
      <w:lvlJc w:val="left"/>
      <w:pPr>
        <w:tabs>
          <w:tab w:val="num" w:pos="4440"/>
        </w:tabs>
        <w:ind w:left="3780" w:hanging="420"/>
      </w:pPr>
      <w:rPr>
        <w:rFonts w:ascii="Times New Roman" w:hAnsi="Times New Roman" w:hint="default"/>
        <w:b/>
        <w:i w:val="0"/>
        <w:sz w:val="26"/>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8">
    <w:nsid w:val="629653DC"/>
    <w:multiLevelType w:val="singleLevel"/>
    <w:tmpl w:val="629653DC"/>
    <w:lvl w:ilvl="0">
      <w:start w:val="1"/>
      <w:numFmt w:val="bullet"/>
      <w:pStyle w:val="Bullet3"/>
      <w:lvlText w:val=""/>
      <w:lvlJc w:val="left"/>
      <w:pPr>
        <w:tabs>
          <w:tab w:val="num" w:pos="720"/>
        </w:tabs>
        <w:ind w:left="720" w:hanging="720"/>
      </w:pPr>
      <w:rPr>
        <w:rFonts w:ascii="Symbol" w:hAnsi="Symbol" w:hint="default"/>
      </w:rPr>
    </w:lvl>
  </w:abstractNum>
  <w:abstractNum w:abstractNumId="69">
    <w:nsid w:val="6333778A"/>
    <w:multiLevelType w:val="multilevel"/>
    <w:tmpl w:val="6333778A"/>
    <w:lvl w:ilvl="0">
      <w:start w:val="1"/>
      <w:numFmt w:val="decimal"/>
      <w:pStyle w:val="518"/>
      <w:lvlText w:val="表5.18-%1"/>
      <w:lvlJc w:val="left"/>
      <w:pPr>
        <w:tabs>
          <w:tab w:val="num" w:pos="420"/>
        </w:tabs>
        <w:ind w:left="0" w:firstLine="0"/>
      </w:pPr>
      <w:rPr>
        <w:rFonts w:ascii="Times New Roman" w:hAnsi="Times New Roman" w:hint="default"/>
        <w:b/>
        <w:i w:val="0"/>
        <w:sz w:val="24"/>
        <w:szCs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0">
    <w:nsid w:val="66226F3F"/>
    <w:multiLevelType w:val="multilevel"/>
    <w:tmpl w:val="66226F3F"/>
    <w:lvl w:ilvl="0">
      <w:start w:val="13"/>
      <w:numFmt w:val="decimal"/>
      <w:lvlText w:val="%1"/>
      <w:lvlJc w:val="left"/>
      <w:pPr>
        <w:tabs>
          <w:tab w:val="num" w:pos="425"/>
        </w:tabs>
        <w:ind w:left="425" w:hanging="425"/>
      </w:pPr>
      <w:rPr>
        <w:rFonts w:hint="eastAsia"/>
      </w:rPr>
    </w:lvl>
    <w:lvl w:ilvl="1">
      <w:start w:val="1"/>
      <w:numFmt w:val="decimal"/>
      <w:lvlText w:val="%1.%2"/>
      <w:lvlJc w:val="left"/>
      <w:pPr>
        <w:tabs>
          <w:tab w:val="num" w:pos="-186"/>
        </w:tabs>
        <w:ind w:left="-906" w:firstLine="0"/>
      </w:pPr>
      <w:rPr>
        <w:rFonts w:hint="eastAsia"/>
      </w:rPr>
    </w:lvl>
    <w:lvl w:ilvl="2">
      <w:start w:val="1"/>
      <w:numFmt w:val="decimal"/>
      <w:pStyle w:val="31113CharChar3Char3111111-"/>
      <w:lvlText w:val="15.%2.%3"/>
      <w:lvlJc w:val="left"/>
      <w:pPr>
        <w:tabs>
          <w:tab w:val="num" w:pos="284"/>
        </w:tabs>
        <w:ind w:left="0" w:firstLine="0"/>
      </w:pPr>
      <w:rPr>
        <w:rFonts w:ascii="Times New Roman" w:eastAsia="黑体" w:hAnsi="Times New Roman" w:cs="Times New Roman" w:hint="default"/>
        <w:b/>
        <w:bCs w:val="0"/>
        <w:i w:val="0"/>
        <w:iCs w:val="0"/>
        <w:caps w:val="0"/>
        <w:smallCaps w:val="0"/>
        <w:strike w:val="0"/>
        <w:dstrike w:val="0"/>
        <w:outline w:val="0"/>
        <w:shadow w:val="0"/>
        <w:emboss w:val="0"/>
        <w:imprint w:val="0"/>
        <w:vanish w:val="0"/>
        <w:spacing w:val="0"/>
        <w:position w:val="0"/>
        <w:sz w:val="24"/>
        <w:szCs w:val="24"/>
        <w:u w:val="none"/>
        <w:vertAlign w:val="baseline"/>
      </w:rPr>
    </w:lvl>
    <w:lvl w:ilvl="3">
      <w:start w:val="1"/>
      <w:numFmt w:val="decimal"/>
      <w:pStyle w:val="13131"/>
      <w:lvlText w:val="15.%2.%3.%4"/>
      <w:lvlJc w:val="left"/>
      <w:pPr>
        <w:tabs>
          <w:tab w:val="num" w:pos="284"/>
        </w:tabs>
        <w:ind w:left="0" w:firstLine="0"/>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1">
    <w:nsid w:val="666F0C6F"/>
    <w:multiLevelType w:val="multilevel"/>
    <w:tmpl w:val="666F0C6F"/>
    <w:lvl w:ilvl="0">
      <w:start w:val="16"/>
      <w:numFmt w:val="decimal"/>
      <w:lvlText w:val="%1"/>
      <w:lvlJc w:val="left"/>
      <w:pPr>
        <w:tabs>
          <w:tab w:val="num" w:pos="425"/>
        </w:tabs>
        <w:ind w:left="425" w:hanging="425"/>
      </w:pPr>
      <w:rPr>
        <w:rFonts w:hint="eastAsia"/>
      </w:rPr>
    </w:lvl>
    <w:lvl w:ilvl="1">
      <w:start w:val="9"/>
      <w:numFmt w:val="decimal"/>
      <w:lvlText w:val="%1.%2"/>
      <w:lvlJc w:val="left"/>
      <w:pPr>
        <w:tabs>
          <w:tab w:val="num" w:pos="-186"/>
        </w:tabs>
        <w:ind w:left="-906" w:firstLine="0"/>
      </w:pPr>
      <w:rPr>
        <w:rFonts w:hint="eastAsia"/>
      </w:rPr>
    </w:lvl>
    <w:lvl w:ilvl="2">
      <w:start w:val="1"/>
      <w:numFmt w:val="decimal"/>
      <w:lvlText w:val="%1.%2.%3"/>
      <w:lvlJc w:val="left"/>
      <w:pPr>
        <w:tabs>
          <w:tab w:val="num" w:pos="-437"/>
        </w:tabs>
        <w:ind w:left="-437" w:hanging="709"/>
      </w:pPr>
      <w:rPr>
        <w:rFonts w:ascii="Times New Roman" w:eastAsia="黑体" w:hAnsi="Times New Roman" w:cs="Times New Roman" w:hint="default"/>
        <w:b/>
        <w:bCs w:val="0"/>
        <w:i w:val="0"/>
        <w:iCs w:val="0"/>
        <w:caps w:val="0"/>
        <w:smallCaps w:val="0"/>
        <w:strike w:val="0"/>
        <w:dstrike w:val="0"/>
        <w:outline w:val="0"/>
        <w:shadow w:val="0"/>
        <w:emboss w:val="0"/>
        <w:imprint w:val="0"/>
        <w:vanish w:val="0"/>
        <w:spacing w:val="0"/>
        <w:position w:val="0"/>
        <w:sz w:val="24"/>
        <w:szCs w:val="24"/>
        <w:u w:val="none"/>
        <w:vertAlign w:val="baseline"/>
      </w:rPr>
    </w:lvl>
    <w:lvl w:ilvl="3">
      <w:start w:val="1"/>
      <w:numFmt w:val="decimal"/>
      <w:pStyle w:val="16911"/>
      <w:lvlText w:val="%1.%2.%3.%4"/>
      <w:lvlJc w:val="left"/>
      <w:pPr>
        <w:tabs>
          <w:tab w:val="num" w:pos="180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2">
    <w:nsid w:val="6BDC2E65"/>
    <w:multiLevelType w:val="multilevel"/>
    <w:tmpl w:val="6BDC2E65"/>
    <w:lvl w:ilvl="0">
      <w:start w:val="1"/>
      <w:numFmt w:val="decimal"/>
      <w:pStyle w:val="210"/>
      <w:lvlText w:val="表2.1-%1"/>
      <w:lvlJc w:val="left"/>
      <w:pPr>
        <w:tabs>
          <w:tab w:val="num" w:pos="3060"/>
        </w:tabs>
        <w:ind w:left="2400" w:hanging="420"/>
      </w:pPr>
      <w:rPr>
        <w:rFonts w:ascii="Times New Roman" w:hAnsi="Times New Roman" w:hint="default"/>
        <w:b/>
        <w:i w:val="0"/>
        <w:sz w:val="26"/>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3">
    <w:nsid w:val="6CEA2025"/>
    <w:multiLevelType w:val="multilevel"/>
    <w:tmpl w:val="6CEA2025"/>
    <w:lvl w:ilvl="0">
      <w:start w:val="1"/>
      <w:numFmt w:val="none"/>
      <w:pStyle w:val="a6"/>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pStyle w:val="a7"/>
      <w:suff w:val="nothing"/>
      <w:lvlText w:val="%1%2.%3　"/>
      <w:lvlJc w:val="left"/>
      <w:pPr>
        <w:ind w:left="0" w:firstLine="0"/>
      </w:pPr>
      <w:rPr>
        <w:rFonts w:ascii="黑体" w:eastAsia="黑体" w:hAnsi="Times New Roman" w:hint="eastAsia"/>
        <w:b w:val="0"/>
        <w:i w:val="0"/>
        <w:sz w:val="21"/>
      </w:rPr>
    </w:lvl>
    <w:lvl w:ilvl="3">
      <w:start w:val="1"/>
      <w:numFmt w:val="decimal"/>
      <w:pStyle w:val="a8"/>
      <w:suff w:val="nothing"/>
      <w:lvlText w:val="%1%2.%3.%4　"/>
      <w:lvlJc w:val="left"/>
      <w:pPr>
        <w:ind w:left="0" w:firstLine="0"/>
      </w:pPr>
      <w:rPr>
        <w:rFonts w:ascii="黑体" w:eastAsia="黑体" w:hAnsi="Times New Roman" w:hint="eastAsia"/>
        <w:b w:val="0"/>
        <w:i w:val="0"/>
        <w:sz w:val="21"/>
      </w:rPr>
    </w:lvl>
    <w:lvl w:ilvl="4">
      <w:start w:val="1"/>
      <w:numFmt w:val="decimal"/>
      <w:pStyle w:val="a9"/>
      <w:suff w:val="nothing"/>
      <w:lvlText w:val="%1%2.%3.%4.%5　"/>
      <w:lvlJc w:val="left"/>
      <w:pPr>
        <w:ind w:left="0" w:firstLine="0"/>
      </w:pPr>
      <w:rPr>
        <w:rFonts w:ascii="黑体" w:eastAsia="黑体" w:hAnsi="Times New Roman" w:hint="eastAsia"/>
        <w:b w:val="0"/>
        <w:i w:val="0"/>
        <w:sz w:val="21"/>
      </w:rPr>
    </w:lvl>
    <w:lvl w:ilvl="5">
      <w:start w:val="1"/>
      <w:numFmt w:val="decimal"/>
      <w:pStyle w:val="aa"/>
      <w:suff w:val="nothing"/>
      <w:lvlText w:val="%1%2.%3.%4.%5.%6　"/>
      <w:lvlJc w:val="left"/>
      <w:pPr>
        <w:ind w:left="0" w:firstLine="0"/>
      </w:pPr>
      <w:rPr>
        <w:rFonts w:ascii="黑体" w:eastAsia="黑体" w:hAnsi="Times New Roman" w:hint="eastAsia"/>
        <w:b w:val="0"/>
        <w:i w:val="0"/>
        <w:sz w:val="21"/>
      </w:rPr>
    </w:lvl>
    <w:lvl w:ilvl="6">
      <w:start w:val="1"/>
      <w:numFmt w:val="decimal"/>
      <w:pStyle w:val="ab"/>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74">
    <w:nsid w:val="6D2C0CFE"/>
    <w:multiLevelType w:val="multilevel"/>
    <w:tmpl w:val="6D2C0CFE"/>
    <w:lvl w:ilvl="0">
      <w:start w:val="5"/>
      <w:numFmt w:val="decimal"/>
      <w:lvlText w:val="%1"/>
      <w:lvlJc w:val="left"/>
      <w:pPr>
        <w:tabs>
          <w:tab w:val="num" w:pos="1571"/>
        </w:tabs>
        <w:ind w:left="1571" w:hanging="425"/>
      </w:pPr>
      <w:rPr>
        <w:rFonts w:hint="eastAsia"/>
      </w:rPr>
    </w:lvl>
    <w:lvl w:ilvl="1">
      <w:start w:val="14"/>
      <w:numFmt w:val="decimal"/>
      <w:lvlText w:val="%1.%2"/>
      <w:lvlJc w:val="left"/>
      <w:pPr>
        <w:tabs>
          <w:tab w:val="num" w:pos="2651"/>
        </w:tabs>
        <w:ind w:left="2138" w:hanging="567"/>
      </w:pPr>
      <w:rPr>
        <w:rFonts w:hint="eastAsia"/>
      </w:rPr>
    </w:lvl>
    <w:lvl w:ilvl="2">
      <w:start w:val="1"/>
      <w:numFmt w:val="decimal"/>
      <w:lvlText w:val="%1.%2.%3"/>
      <w:lvlJc w:val="left"/>
      <w:pPr>
        <w:tabs>
          <w:tab w:val="num" w:pos="3437"/>
        </w:tabs>
        <w:ind w:left="2564" w:hanging="567"/>
      </w:pPr>
      <w:rPr>
        <w:rFonts w:hint="eastAsia"/>
      </w:rPr>
    </w:lvl>
    <w:lvl w:ilvl="3">
      <w:start w:val="1"/>
      <w:numFmt w:val="decimal"/>
      <w:pStyle w:val="41111411114Char1111Char41112"/>
      <w:lvlText w:val="%1.%2.%3.%4"/>
      <w:lvlJc w:val="left"/>
      <w:pPr>
        <w:tabs>
          <w:tab w:val="num" w:pos="4582"/>
        </w:tabs>
        <w:ind w:left="3130" w:hanging="708"/>
      </w:pPr>
      <w:rPr>
        <w:rFonts w:hint="eastAsia"/>
      </w:rPr>
    </w:lvl>
    <w:lvl w:ilvl="4">
      <w:start w:val="1"/>
      <w:numFmt w:val="decimal"/>
      <w:lvlText w:val="%1.%2.%3.%4.%5"/>
      <w:lvlJc w:val="left"/>
      <w:pPr>
        <w:tabs>
          <w:tab w:val="num" w:pos="5727"/>
        </w:tabs>
        <w:ind w:left="3697" w:hanging="850"/>
      </w:pPr>
      <w:rPr>
        <w:rFonts w:hint="eastAsia"/>
      </w:rPr>
    </w:lvl>
    <w:lvl w:ilvl="5">
      <w:start w:val="1"/>
      <w:numFmt w:val="decimal"/>
      <w:lvlText w:val="%1.%2.%3.%4.%5.%6"/>
      <w:lvlJc w:val="left"/>
      <w:pPr>
        <w:tabs>
          <w:tab w:val="num" w:pos="6512"/>
        </w:tabs>
        <w:ind w:left="4406" w:hanging="1134"/>
      </w:pPr>
      <w:rPr>
        <w:rFonts w:hint="eastAsia"/>
      </w:rPr>
    </w:lvl>
    <w:lvl w:ilvl="6">
      <w:start w:val="1"/>
      <w:numFmt w:val="decimal"/>
      <w:lvlText w:val="%1.%2.%3.%4.%5.%6.%7"/>
      <w:lvlJc w:val="left"/>
      <w:pPr>
        <w:tabs>
          <w:tab w:val="num" w:pos="7657"/>
        </w:tabs>
        <w:ind w:left="4973" w:hanging="1276"/>
      </w:pPr>
      <w:rPr>
        <w:rFonts w:hint="eastAsia"/>
      </w:rPr>
    </w:lvl>
    <w:lvl w:ilvl="7">
      <w:start w:val="1"/>
      <w:numFmt w:val="decimal"/>
      <w:lvlText w:val="%1.%2.%3.%4.%5.%6.%7.%8"/>
      <w:lvlJc w:val="left"/>
      <w:pPr>
        <w:tabs>
          <w:tab w:val="num" w:pos="8442"/>
        </w:tabs>
        <w:ind w:left="5540" w:hanging="1418"/>
      </w:pPr>
      <w:rPr>
        <w:rFonts w:hint="eastAsia"/>
      </w:rPr>
    </w:lvl>
    <w:lvl w:ilvl="8">
      <w:start w:val="1"/>
      <w:numFmt w:val="decimal"/>
      <w:lvlText w:val="%1.%2.%3.%4.%5.%6.%7.%8.%9"/>
      <w:lvlJc w:val="left"/>
      <w:pPr>
        <w:tabs>
          <w:tab w:val="num" w:pos="9588"/>
        </w:tabs>
        <w:ind w:left="6248" w:hanging="1700"/>
      </w:pPr>
      <w:rPr>
        <w:rFonts w:hint="eastAsia"/>
      </w:rPr>
    </w:lvl>
  </w:abstractNum>
  <w:abstractNum w:abstractNumId="75">
    <w:nsid w:val="6DCB43A8"/>
    <w:multiLevelType w:val="multilevel"/>
    <w:tmpl w:val="6DCB43A8"/>
    <w:lvl w:ilvl="0">
      <w:start w:val="1"/>
      <w:numFmt w:val="decimal"/>
      <w:pStyle w:val="ac"/>
      <w:lvlText w:val="表6-%1"/>
      <w:lvlJc w:val="left"/>
      <w:pPr>
        <w:tabs>
          <w:tab w:val="num" w:pos="2815"/>
        </w:tabs>
        <w:ind w:left="2815" w:hanging="375"/>
      </w:pPr>
      <w:rPr>
        <w:rFonts w:ascii="Times New Roman" w:eastAsia="宋体" w:hAnsi="Times New Roman" w:hint="default"/>
        <w:b/>
        <w:i w:val="0"/>
        <w:sz w:val="24"/>
        <w:szCs w:val="28"/>
      </w:rPr>
    </w:lvl>
    <w:lvl w:ilvl="1">
      <w:start w:val="1"/>
      <w:numFmt w:val="lowerLetter"/>
      <w:lvlText w:val="%2)"/>
      <w:lvlJc w:val="left"/>
      <w:pPr>
        <w:tabs>
          <w:tab w:val="num" w:pos="3280"/>
        </w:tabs>
        <w:ind w:left="3280" w:hanging="420"/>
      </w:pPr>
      <w:rPr>
        <w:rFonts w:hint="eastAsia"/>
      </w:rPr>
    </w:lvl>
    <w:lvl w:ilvl="2">
      <w:start w:val="1"/>
      <w:numFmt w:val="lowerRoman"/>
      <w:lvlText w:val="%3."/>
      <w:lvlJc w:val="right"/>
      <w:pPr>
        <w:tabs>
          <w:tab w:val="num" w:pos="3700"/>
        </w:tabs>
        <w:ind w:left="3700" w:hanging="420"/>
      </w:pPr>
      <w:rPr>
        <w:rFonts w:hint="eastAsia"/>
      </w:rPr>
    </w:lvl>
    <w:lvl w:ilvl="3">
      <w:start w:val="1"/>
      <w:numFmt w:val="decimal"/>
      <w:lvlText w:val="%4."/>
      <w:lvlJc w:val="left"/>
      <w:pPr>
        <w:tabs>
          <w:tab w:val="num" w:pos="4120"/>
        </w:tabs>
        <w:ind w:left="4120" w:hanging="420"/>
      </w:pPr>
      <w:rPr>
        <w:rFonts w:hint="eastAsia"/>
      </w:rPr>
    </w:lvl>
    <w:lvl w:ilvl="4">
      <w:start w:val="1"/>
      <w:numFmt w:val="lowerLetter"/>
      <w:lvlText w:val="%5)"/>
      <w:lvlJc w:val="left"/>
      <w:pPr>
        <w:tabs>
          <w:tab w:val="num" w:pos="4540"/>
        </w:tabs>
        <w:ind w:left="4540" w:hanging="420"/>
      </w:pPr>
      <w:rPr>
        <w:rFonts w:hint="eastAsia"/>
      </w:rPr>
    </w:lvl>
    <w:lvl w:ilvl="5">
      <w:start w:val="1"/>
      <w:numFmt w:val="lowerRoman"/>
      <w:lvlText w:val="%6."/>
      <w:lvlJc w:val="right"/>
      <w:pPr>
        <w:tabs>
          <w:tab w:val="num" w:pos="4960"/>
        </w:tabs>
        <w:ind w:left="4960" w:hanging="420"/>
      </w:pPr>
      <w:rPr>
        <w:rFonts w:hint="eastAsia"/>
      </w:rPr>
    </w:lvl>
    <w:lvl w:ilvl="6">
      <w:start w:val="1"/>
      <w:numFmt w:val="decimal"/>
      <w:lvlText w:val="%7."/>
      <w:lvlJc w:val="left"/>
      <w:pPr>
        <w:tabs>
          <w:tab w:val="num" w:pos="5380"/>
        </w:tabs>
        <w:ind w:left="5380" w:hanging="420"/>
      </w:pPr>
      <w:rPr>
        <w:rFonts w:hint="eastAsia"/>
      </w:rPr>
    </w:lvl>
    <w:lvl w:ilvl="7">
      <w:start w:val="1"/>
      <w:numFmt w:val="lowerLetter"/>
      <w:lvlText w:val="%8)"/>
      <w:lvlJc w:val="left"/>
      <w:pPr>
        <w:tabs>
          <w:tab w:val="num" w:pos="5800"/>
        </w:tabs>
        <w:ind w:left="5800" w:hanging="420"/>
      </w:pPr>
      <w:rPr>
        <w:rFonts w:hint="eastAsia"/>
      </w:rPr>
    </w:lvl>
    <w:lvl w:ilvl="8">
      <w:start w:val="1"/>
      <w:numFmt w:val="lowerRoman"/>
      <w:lvlText w:val="%9."/>
      <w:lvlJc w:val="right"/>
      <w:pPr>
        <w:tabs>
          <w:tab w:val="num" w:pos="6220"/>
        </w:tabs>
        <w:ind w:left="6220" w:hanging="420"/>
      </w:pPr>
      <w:rPr>
        <w:rFonts w:hint="eastAsia"/>
      </w:rPr>
    </w:lvl>
  </w:abstractNum>
  <w:abstractNum w:abstractNumId="76">
    <w:nsid w:val="71871DA6"/>
    <w:multiLevelType w:val="multilevel"/>
    <w:tmpl w:val="71871DA6"/>
    <w:lvl w:ilvl="0">
      <w:start w:val="1"/>
      <w:numFmt w:val="decimal"/>
      <w:lvlText w:val="第 %1 条"/>
      <w:lvlJc w:val="left"/>
      <w:pPr>
        <w:tabs>
          <w:tab w:val="num" w:pos="0"/>
        </w:tabs>
        <w:ind w:left="0" w:firstLine="0"/>
      </w:pPr>
      <w:rPr>
        <w:rFonts w:hint="eastAsia"/>
      </w:rPr>
    </w:lvl>
    <w:lvl w:ilvl="1">
      <w:start w:val="1"/>
      <w:numFmt w:val="none"/>
      <w:isLgl/>
      <w:lvlText w:val=""/>
      <w:lvlJc w:val="left"/>
      <w:pPr>
        <w:tabs>
          <w:tab w:val="num" w:pos="2160"/>
        </w:tabs>
        <w:ind w:left="0" w:firstLine="0"/>
      </w:pPr>
      <w:rPr>
        <w:rFonts w:hint="eastAsia"/>
      </w:rPr>
    </w:lvl>
    <w:lvl w:ilvl="2">
      <w:start w:val="1"/>
      <w:numFmt w:val="decimal"/>
      <w:pStyle w:val="42"/>
      <w:lvlText w:val="第%3条"/>
      <w:lvlJc w:val="left"/>
      <w:pPr>
        <w:tabs>
          <w:tab w:val="num" w:pos="1494"/>
        </w:tabs>
        <w:ind w:left="360" w:firstLine="0"/>
      </w:pPr>
      <w:rPr>
        <w:rFonts w:ascii="黑体" w:eastAsia="黑体" w:hint="eastAsia"/>
        <w:b w:val="0"/>
        <w:sz w:val="24"/>
        <w:szCs w:val="24"/>
      </w:rPr>
    </w:lvl>
    <w:lvl w:ilvl="3">
      <w:start w:val="1"/>
      <w:numFmt w:val="lowerRoman"/>
      <w:lvlText w:val="(%4)"/>
      <w:lvlJc w:val="right"/>
      <w:pPr>
        <w:tabs>
          <w:tab w:val="num" w:pos="864"/>
        </w:tabs>
        <w:ind w:left="864" w:hanging="144"/>
      </w:pPr>
      <w:rPr>
        <w:rFonts w:hint="eastAsia"/>
      </w:rPr>
    </w:lvl>
    <w:lvl w:ilvl="4">
      <w:start w:val="1"/>
      <w:numFmt w:val="decimal"/>
      <w:lvlText w:val="%5)"/>
      <w:lvlJc w:val="left"/>
      <w:pPr>
        <w:tabs>
          <w:tab w:val="num" w:pos="1296"/>
        </w:tabs>
        <w:ind w:left="1008" w:hanging="432"/>
      </w:pPr>
      <w:rPr>
        <w:rFonts w:hint="eastAsia"/>
      </w:rPr>
    </w:lvl>
    <w:lvl w:ilvl="5">
      <w:start w:val="1"/>
      <w:numFmt w:val="lowerLetter"/>
      <w:lvlText w:val="%6)"/>
      <w:lvlJc w:val="left"/>
      <w:pPr>
        <w:tabs>
          <w:tab w:val="num" w:pos="1440"/>
        </w:tabs>
        <w:ind w:left="1152" w:hanging="432"/>
      </w:pPr>
      <w:rPr>
        <w:rFonts w:hint="eastAsia"/>
      </w:rPr>
    </w:lvl>
    <w:lvl w:ilvl="6">
      <w:start w:val="1"/>
      <w:numFmt w:val="lowerRoman"/>
      <w:lvlText w:val="%7)"/>
      <w:lvlJc w:val="right"/>
      <w:pPr>
        <w:tabs>
          <w:tab w:val="num" w:pos="1296"/>
        </w:tabs>
        <w:ind w:left="1296" w:hanging="288"/>
      </w:pPr>
      <w:rPr>
        <w:rFonts w:hint="eastAsia"/>
      </w:rPr>
    </w:lvl>
    <w:lvl w:ilvl="7">
      <w:start w:val="1"/>
      <w:numFmt w:val="lowerLetter"/>
      <w:lvlText w:val="%8."/>
      <w:lvlJc w:val="left"/>
      <w:pPr>
        <w:tabs>
          <w:tab w:val="num" w:pos="1728"/>
        </w:tabs>
        <w:ind w:left="1440" w:hanging="432"/>
      </w:pPr>
      <w:rPr>
        <w:rFonts w:hint="eastAsia"/>
      </w:rPr>
    </w:lvl>
    <w:lvl w:ilvl="8">
      <w:start w:val="1"/>
      <w:numFmt w:val="lowerRoman"/>
      <w:lvlText w:val="%9."/>
      <w:lvlJc w:val="right"/>
      <w:pPr>
        <w:tabs>
          <w:tab w:val="num" w:pos="1584"/>
        </w:tabs>
        <w:ind w:left="1584" w:hanging="144"/>
      </w:pPr>
      <w:rPr>
        <w:rFonts w:hint="eastAsia"/>
      </w:rPr>
    </w:lvl>
  </w:abstractNum>
  <w:abstractNum w:abstractNumId="77">
    <w:nsid w:val="71AC1274"/>
    <w:multiLevelType w:val="multilevel"/>
    <w:tmpl w:val="71AC1274"/>
    <w:lvl w:ilvl="0">
      <w:start w:val="9"/>
      <w:numFmt w:val="decimal"/>
      <w:lvlText w:val="%1"/>
      <w:lvlJc w:val="left"/>
      <w:pPr>
        <w:tabs>
          <w:tab w:val="num" w:pos="432"/>
        </w:tabs>
        <w:ind w:left="432" w:hanging="432"/>
      </w:pPr>
      <w:rPr>
        <w:rFonts w:ascii="Arial" w:eastAsia="黑体" w:hAnsi="Arial" w:hint="default"/>
        <w:sz w:val="24"/>
      </w:rPr>
    </w:lvl>
    <w:lvl w:ilvl="1">
      <w:start w:val="1"/>
      <w:numFmt w:val="decimal"/>
      <w:pStyle w:val="21121122Char12Heading2"/>
      <w:suff w:val="space"/>
      <w:lvlText w:val="%1.%2"/>
      <w:lvlJc w:val="left"/>
      <w:pPr>
        <w:ind w:left="0" w:firstLine="0"/>
      </w:pPr>
      <w:rPr>
        <w:rFonts w:ascii="Arial" w:eastAsia="黑体" w:hAnsi="Arial" w:hint="default"/>
        <w:sz w:val="24"/>
      </w:rPr>
    </w:lvl>
    <w:lvl w:ilvl="2">
      <w:start w:val="1"/>
      <w:numFmt w:val="decimal"/>
      <w:pStyle w:val="31113CharChar3Char3-31111"/>
      <w:suff w:val="space"/>
      <w:lvlText w:val="%1.%2.%3"/>
      <w:lvlJc w:val="left"/>
      <w:pPr>
        <w:ind w:left="0" w:firstLine="0"/>
      </w:pPr>
      <w:rPr>
        <w:rFonts w:ascii="宋体" w:eastAsia="宋体" w:hAnsi="Arial" w:hint="eastAsia"/>
        <w:b w:val="0"/>
        <w:i w:val="0"/>
        <w:sz w:val="28"/>
        <w:szCs w:val="28"/>
      </w:rPr>
    </w:lvl>
    <w:lvl w:ilvl="3">
      <w:start w:val="1"/>
      <w:numFmt w:val="decimal"/>
      <w:lvlText w:val="%1.%2.%3.%4"/>
      <w:lvlJc w:val="left"/>
      <w:pPr>
        <w:tabs>
          <w:tab w:val="num" w:pos="864"/>
        </w:tabs>
        <w:ind w:left="864" w:hanging="864"/>
      </w:pPr>
      <w:rPr>
        <w:rFonts w:ascii="Arial" w:eastAsia="黑体" w:hAnsi="Arial" w:hint="default"/>
        <w:sz w:val="24"/>
      </w:rPr>
    </w:lvl>
    <w:lvl w:ilvl="4">
      <w:start w:val="1"/>
      <w:numFmt w:val="decimal"/>
      <w:lvlText w:val="%1.%2.%3.%4.%5"/>
      <w:lvlJc w:val="left"/>
      <w:pPr>
        <w:tabs>
          <w:tab w:val="num" w:pos="1800"/>
        </w:tabs>
        <w:ind w:left="1008" w:hanging="1008"/>
      </w:pPr>
      <w:rPr>
        <w:rFonts w:hint="eastAsia"/>
      </w:rPr>
    </w:lvl>
    <w:lvl w:ilvl="5">
      <w:start w:val="1"/>
      <w:numFmt w:val="decimal"/>
      <w:lvlText w:val="%1.%2.%3.%4.%5.%6"/>
      <w:lvlJc w:val="left"/>
      <w:pPr>
        <w:tabs>
          <w:tab w:val="num" w:pos="2160"/>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8">
    <w:nsid w:val="73303BDC"/>
    <w:multiLevelType w:val="multilevel"/>
    <w:tmpl w:val="73303BDC"/>
    <w:lvl w:ilvl="0">
      <w:start w:val="16"/>
      <w:numFmt w:val="decimal"/>
      <w:lvlText w:val="%1"/>
      <w:lvlJc w:val="left"/>
      <w:pPr>
        <w:tabs>
          <w:tab w:val="num" w:pos="425"/>
        </w:tabs>
        <w:ind w:left="425" w:hanging="425"/>
      </w:pPr>
      <w:rPr>
        <w:rFonts w:hint="eastAsia"/>
      </w:rPr>
    </w:lvl>
    <w:lvl w:ilvl="1">
      <w:start w:val="1"/>
      <w:numFmt w:val="decimal"/>
      <w:lvlText w:val="%1.%2"/>
      <w:lvlJc w:val="left"/>
      <w:pPr>
        <w:tabs>
          <w:tab w:val="num" w:pos="-186"/>
        </w:tabs>
        <w:ind w:left="-906" w:firstLine="0"/>
      </w:pPr>
      <w:rPr>
        <w:rFonts w:hint="eastAsia"/>
      </w:rPr>
    </w:lvl>
    <w:lvl w:ilvl="2">
      <w:start w:val="1"/>
      <w:numFmt w:val="decimal"/>
      <w:lvlText w:val="%1.%2.%3"/>
      <w:lvlJc w:val="left"/>
      <w:pPr>
        <w:tabs>
          <w:tab w:val="num" w:pos="-437"/>
        </w:tabs>
        <w:ind w:left="-437" w:hanging="709"/>
      </w:pPr>
      <w:rPr>
        <w:rFonts w:ascii="Times New Roman" w:eastAsia="黑体" w:hAnsi="Times New Roman" w:cs="Times New Roman" w:hint="default"/>
        <w:b/>
        <w:bCs w:val="0"/>
        <w:i w:val="0"/>
        <w:iCs w:val="0"/>
        <w:caps w:val="0"/>
        <w:smallCaps w:val="0"/>
        <w:strike w:val="0"/>
        <w:dstrike w:val="0"/>
        <w:outline w:val="0"/>
        <w:shadow w:val="0"/>
        <w:emboss w:val="0"/>
        <w:imprint w:val="0"/>
        <w:vanish w:val="0"/>
        <w:spacing w:val="0"/>
        <w:position w:val="0"/>
        <w:sz w:val="24"/>
        <w:szCs w:val="24"/>
        <w:u w:val="none"/>
        <w:vertAlign w:val="baseline"/>
      </w:rPr>
    </w:lvl>
    <w:lvl w:ilvl="3">
      <w:start w:val="1"/>
      <w:numFmt w:val="decimal"/>
      <w:pStyle w:val="16111"/>
      <w:lvlText w:val="%1.%2.%3.%4"/>
      <w:lvlJc w:val="left"/>
      <w:pPr>
        <w:tabs>
          <w:tab w:val="num" w:pos="180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9">
    <w:nsid w:val="74953A83"/>
    <w:multiLevelType w:val="multilevel"/>
    <w:tmpl w:val="74953A83"/>
    <w:lvl w:ilvl="0">
      <w:start w:val="1"/>
      <w:numFmt w:val="decimal"/>
      <w:pStyle w:val="45"/>
      <w:lvlText w:val="表1.7-%1"/>
      <w:lvlJc w:val="center"/>
      <w:pPr>
        <w:tabs>
          <w:tab w:val="num" w:pos="2444"/>
        </w:tabs>
        <w:ind w:left="0" w:firstLine="1724"/>
      </w:pPr>
      <w:rPr>
        <w:rFonts w:ascii="Times New Roman" w:hAnsi="Times New Roman" w:hint="default"/>
        <w:b/>
        <w:i w:val="0"/>
        <w:sz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0">
    <w:nsid w:val="77751A4C"/>
    <w:multiLevelType w:val="multilevel"/>
    <w:tmpl w:val="77751A4C"/>
    <w:lvl w:ilvl="0">
      <w:start w:val="20"/>
      <w:numFmt w:val="decimal"/>
      <w:pStyle w:val="12"/>
      <w:lvlText w:val="%1"/>
      <w:lvlJc w:val="left"/>
      <w:pPr>
        <w:tabs>
          <w:tab w:val="num" w:pos="-426"/>
        </w:tabs>
        <w:ind w:left="-426" w:hanging="425"/>
      </w:pPr>
      <w:rPr>
        <w:rFonts w:hint="eastAsia"/>
      </w:rPr>
    </w:lvl>
    <w:lvl w:ilvl="1">
      <w:start w:val="6"/>
      <w:numFmt w:val="decimal"/>
      <w:lvlText w:val="%1.%2"/>
      <w:lvlJc w:val="left"/>
      <w:pPr>
        <w:tabs>
          <w:tab w:val="num" w:pos="654"/>
        </w:tabs>
        <w:ind w:left="141" w:hanging="567"/>
      </w:pPr>
      <w:rPr>
        <w:rFonts w:hint="eastAsia"/>
      </w:rPr>
    </w:lvl>
    <w:lvl w:ilvl="2">
      <w:start w:val="1"/>
      <w:numFmt w:val="decimal"/>
      <w:lvlText w:val="%1.%2.%3"/>
      <w:lvlJc w:val="left"/>
      <w:pPr>
        <w:tabs>
          <w:tab w:val="num" w:pos="1440"/>
        </w:tabs>
        <w:ind w:left="567" w:hanging="567"/>
      </w:pPr>
      <w:rPr>
        <w:rFonts w:hint="eastAsia"/>
      </w:rPr>
    </w:lvl>
    <w:lvl w:ilvl="3">
      <w:start w:val="1"/>
      <w:numFmt w:val="decimal"/>
      <w:lvlText w:val="%1.%2.%3.%4"/>
      <w:lvlJc w:val="left"/>
      <w:pPr>
        <w:tabs>
          <w:tab w:val="num" w:pos="2585"/>
        </w:tabs>
        <w:ind w:left="1133" w:hanging="708"/>
      </w:pPr>
      <w:rPr>
        <w:rFonts w:ascii="Times New Roman" w:hAnsi="Times New Roman" w:hint="default"/>
      </w:rPr>
    </w:lvl>
    <w:lvl w:ilvl="4">
      <w:start w:val="1"/>
      <w:numFmt w:val="decimal"/>
      <w:lvlText w:val="%1.%2.%3.%4.%5"/>
      <w:lvlJc w:val="left"/>
      <w:pPr>
        <w:tabs>
          <w:tab w:val="num" w:pos="3730"/>
        </w:tabs>
        <w:ind w:left="1700" w:hanging="850"/>
      </w:pPr>
      <w:rPr>
        <w:rFonts w:hint="eastAsia"/>
      </w:rPr>
    </w:lvl>
    <w:lvl w:ilvl="5">
      <w:start w:val="1"/>
      <w:numFmt w:val="decimal"/>
      <w:lvlText w:val="%1.%2.%3.%4.%5.%6"/>
      <w:lvlJc w:val="left"/>
      <w:pPr>
        <w:tabs>
          <w:tab w:val="num" w:pos="4515"/>
        </w:tabs>
        <w:ind w:left="2409" w:hanging="1134"/>
      </w:pPr>
      <w:rPr>
        <w:rFonts w:hint="eastAsia"/>
      </w:rPr>
    </w:lvl>
    <w:lvl w:ilvl="6">
      <w:start w:val="1"/>
      <w:numFmt w:val="decimal"/>
      <w:lvlText w:val="%1.%2.%3.%4.%5.%6.%7"/>
      <w:lvlJc w:val="left"/>
      <w:pPr>
        <w:tabs>
          <w:tab w:val="num" w:pos="5660"/>
        </w:tabs>
        <w:ind w:left="2976" w:hanging="1276"/>
      </w:pPr>
      <w:rPr>
        <w:rFonts w:hint="eastAsia"/>
      </w:rPr>
    </w:lvl>
    <w:lvl w:ilvl="7">
      <w:start w:val="1"/>
      <w:numFmt w:val="decimal"/>
      <w:lvlText w:val="%1.%2.%3.%4.%5.%6.%7.%8"/>
      <w:lvlJc w:val="left"/>
      <w:pPr>
        <w:tabs>
          <w:tab w:val="num" w:pos="6445"/>
        </w:tabs>
        <w:ind w:left="3543" w:hanging="1418"/>
      </w:pPr>
      <w:rPr>
        <w:rFonts w:hint="eastAsia"/>
      </w:rPr>
    </w:lvl>
    <w:lvl w:ilvl="8">
      <w:start w:val="1"/>
      <w:numFmt w:val="decimal"/>
      <w:lvlText w:val="%1.%2.%3.%4.%5.%6.%7.%8.%9"/>
      <w:lvlJc w:val="left"/>
      <w:pPr>
        <w:tabs>
          <w:tab w:val="num" w:pos="7591"/>
        </w:tabs>
        <w:ind w:left="4251" w:hanging="1700"/>
      </w:pPr>
      <w:rPr>
        <w:rFonts w:hint="eastAsia"/>
      </w:rPr>
    </w:lvl>
  </w:abstractNum>
  <w:abstractNum w:abstractNumId="81">
    <w:nsid w:val="77C465F1"/>
    <w:multiLevelType w:val="multilevel"/>
    <w:tmpl w:val="77C465F1"/>
    <w:lvl w:ilvl="0">
      <w:start w:val="12"/>
      <w:numFmt w:val="decimal"/>
      <w:lvlText w:val="%1"/>
      <w:lvlJc w:val="left"/>
      <w:pPr>
        <w:tabs>
          <w:tab w:val="num" w:pos="1571"/>
        </w:tabs>
        <w:ind w:left="1571" w:hanging="425"/>
      </w:pPr>
      <w:rPr>
        <w:rFonts w:hint="eastAsia"/>
      </w:rPr>
    </w:lvl>
    <w:lvl w:ilvl="1">
      <w:start w:val="1"/>
      <w:numFmt w:val="decimal"/>
      <w:lvlText w:val="%1.%2"/>
      <w:lvlJc w:val="left"/>
      <w:pPr>
        <w:tabs>
          <w:tab w:val="num" w:pos="960"/>
        </w:tabs>
        <w:ind w:left="240" w:firstLine="0"/>
      </w:pPr>
      <w:rPr>
        <w:rFonts w:hint="eastAsia"/>
      </w:rPr>
    </w:lvl>
    <w:lvl w:ilvl="2">
      <w:start w:val="1"/>
      <w:numFmt w:val="decimal"/>
      <w:pStyle w:val="21121122Char122"/>
      <w:lvlText w:val="10.%2.%3"/>
      <w:lvlJc w:val="left"/>
      <w:pPr>
        <w:tabs>
          <w:tab w:val="num" w:pos="567"/>
        </w:tabs>
        <w:ind w:left="0" w:firstLine="0"/>
      </w:pPr>
      <w:rPr>
        <w:rFonts w:ascii="Times New Roman" w:eastAsia="黑体" w:hAnsi="Times New Roman" w:hint="default"/>
        <w:b/>
        <w:i w:val="0"/>
        <w:sz w:val="24"/>
        <w:szCs w:val="24"/>
        <w:lang w:eastAsia="zh-CN"/>
      </w:rPr>
    </w:lvl>
    <w:lvl w:ilvl="3">
      <w:start w:val="1"/>
      <w:numFmt w:val="decimal"/>
      <w:lvlText w:val="%1.%2.%3.%4"/>
      <w:lvlJc w:val="left"/>
      <w:pPr>
        <w:tabs>
          <w:tab w:val="num" w:pos="2946"/>
        </w:tabs>
        <w:ind w:left="1997" w:hanging="851"/>
      </w:pPr>
      <w:rPr>
        <w:rFonts w:hint="eastAsia"/>
      </w:rPr>
    </w:lvl>
    <w:lvl w:ilvl="4">
      <w:start w:val="1"/>
      <w:numFmt w:val="decimal"/>
      <w:lvlText w:val="%1.%2.%3.%4.%5."/>
      <w:lvlJc w:val="left"/>
      <w:pPr>
        <w:tabs>
          <w:tab w:val="num" w:pos="2138"/>
        </w:tabs>
        <w:ind w:left="2138" w:hanging="992"/>
      </w:pPr>
      <w:rPr>
        <w:rFonts w:hint="eastAsia"/>
      </w:rPr>
    </w:lvl>
    <w:lvl w:ilvl="5">
      <w:start w:val="1"/>
      <w:numFmt w:val="decimal"/>
      <w:lvlText w:val="%1.%2.%3.%4.%5.%6."/>
      <w:lvlJc w:val="left"/>
      <w:pPr>
        <w:tabs>
          <w:tab w:val="num" w:pos="2280"/>
        </w:tabs>
        <w:ind w:left="2280" w:hanging="1134"/>
      </w:pPr>
      <w:rPr>
        <w:rFonts w:hint="eastAsia"/>
      </w:rPr>
    </w:lvl>
    <w:lvl w:ilvl="6">
      <w:start w:val="1"/>
      <w:numFmt w:val="decimal"/>
      <w:lvlText w:val="%1.%2.%3.%4.%5.%6.%7."/>
      <w:lvlJc w:val="left"/>
      <w:pPr>
        <w:tabs>
          <w:tab w:val="num" w:pos="2422"/>
        </w:tabs>
        <w:ind w:left="2422" w:hanging="1276"/>
      </w:pPr>
      <w:rPr>
        <w:rFonts w:hint="eastAsia"/>
      </w:rPr>
    </w:lvl>
    <w:lvl w:ilvl="7">
      <w:start w:val="1"/>
      <w:numFmt w:val="decimal"/>
      <w:lvlText w:val="%1.%2.%3.%4.%5.%6.%7.%8."/>
      <w:lvlJc w:val="left"/>
      <w:pPr>
        <w:tabs>
          <w:tab w:val="num" w:pos="2564"/>
        </w:tabs>
        <w:ind w:left="2564" w:hanging="1418"/>
      </w:pPr>
      <w:rPr>
        <w:rFonts w:hint="eastAsia"/>
      </w:rPr>
    </w:lvl>
    <w:lvl w:ilvl="8">
      <w:start w:val="1"/>
      <w:numFmt w:val="decimal"/>
      <w:lvlText w:val="%1.%2.%3.%4.%5.%6.%7.%8.%9."/>
      <w:lvlJc w:val="left"/>
      <w:pPr>
        <w:tabs>
          <w:tab w:val="num" w:pos="2705"/>
        </w:tabs>
        <w:ind w:left="2705" w:hanging="1559"/>
      </w:pPr>
      <w:rPr>
        <w:rFonts w:hint="eastAsia"/>
      </w:rPr>
    </w:lvl>
  </w:abstractNum>
  <w:abstractNum w:abstractNumId="82">
    <w:nsid w:val="78BD4145"/>
    <w:multiLevelType w:val="multilevel"/>
    <w:tmpl w:val="78BD4145"/>
    <w:lvl w:ilvl="0">
      <w:start w:val="1"/>
      <w:numFmt w:val="decimal"/>
      <w:pStyle w:val="37"/>
      <w:lvlText w:val="表3.7-%1"/>
      <w:lvlJc w:val="center"/>
      <w:pPr>
        <w:tabs>
          <w:tab w:val="num" w:pos="2444"/>
        </w:tabs>
        <w:ind w:left="1720" w:firstLine="4"/>
      </w:pPr>
      <w:rPr>
        <w:rFonts w:ascii="Times New Roman" w:hAnsi="Times New Roman" w:hint="default"/>
        <w:b/>
        <w:i w:val="0"/>
        <w:sz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3">
    <w:nsid w:val="797607D8"/>
    <w:multiLevelType w:val="multilevel"/>
    <w:tmpl w:val="797607D8"/>
    <w:lvl w:ilvl="0">
      <w:start w:val="1"/>
      <w:numFmt w:val="chineseCountingThousand"/>
      <w:pStyle w:val="ad"/>
      <w:lvlText w:val="第%1篇"/>
      <w:lvlJc w:val="left"/>
      <w:pPr>
        <w:ind w:left="425" w:hanging="425"/>
      </w:pPr>
      <w:rPr>
        <w:rFonts w:hint="eastAsia"/>
      </w:rPr>
    </w:lvl>
    <w:lvl w:ilvl="1">
      <w:start w:val="1"/>
      <w:numFmt w:val="chineseCountingThousand"/>
      <w:pStyle w:val="ae"/>
      <w:lvlText w:val="第%2章"/>
      <w:lvlJc w:val="left"/>
      <w:pPr>
        <w:ind w:left="992" w:hanging="567"/>
      </w:pPr>
      <w:rPr>
        <w:rFonts w:hint="eastAsia"/>
      </w:rPr>
    </w:lvl>
    <w:lvl w:ilvl="2">
      <w:start w:val="1"/>
      <w:numFmt w:val="chineseCountingThousand"/>
      <w:lvlText w:val="第%3节　"/>
      <w:lvlJc w:val="left"/>
      <w:pPr>
        <w:ind w:left="1701" w:hanging="567"/>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3">
      <w:start w:val="1"/>
      <w:numFmt w:val="chineseCountingThousand"/>
      <w:lvlText w:val="(%4)"/>
      <w:lvlJc w:val="left"/>
      <w:pPr>
        <w:ind w:left="1984" w:hanging="708"/>
      </w:pPr>
      <w:rPr>
        <w:rFonts w:hint="eastAsia"/>
      </w:rPr>
    </w:lvl>
    <w:lvl w:ilvl="4">
      <w:start w:val="1"/>
      <w:numFmt w:val="decimal"/>
      <w:pStyle w:val="af"/>
      <w:suff w:val="nothing"/>
      <w:lvlText w:val="%5."/>
      <w:lvlJc w:val="left"/>
      <w:pPr>
        <w:ind w:left="1134" w:hanging="85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5">
      <w:start w:val="1"/>
      <w:numFmt w:val="decimal"/>
      <w:pStyle w:val="af0"/>
      <w:suff w:val="nothing"/>
      <w:lvlText w:val="(%6) "/>
      <w:lvlJc w:val="left"/>
      <w:pPr>
        <w:ind w:left="-1158" w:firstLine="1726"/>
      </w:pPr>
      <w:rPr>
        <w:rFonts w:ascii="Times New Roman" w:hAnsi="Times New Roman" w:cs="Times New Roman" w:hint="eastAsia"/>
        <w:b w:val="0"/>
        <w:bCs w:val="0"/>
        <w:i w:val="0"/>
        <w:iCs w:val="0"/>
        <w:caps w:val="0"/>
        <w:smallCaps w:val="0"/>
        <w:strike w:val="0"/>
        <w:dstrike w:val="0"/>
        <w:outline w:val="0"/>
        <w:shadow w:val="0"/>
        <w:emboss w:val="0"/>
        <w:imprint w:val="0"/>
        <w:vanish w:val="0"/>
        <w:spacing w:val="0"/>
        <w:position w:val="0"/>
        <w:u w:val="none"/>
        <w:vertAlign w:val="baseline"/>
      </w:rPr>
    </w:lvl>
    <w:lvl w:ilvl="6">
      <w:start w:val="1"/>
      <w:numFmt w:val="decimal"/>
      <w:pStyle w:val="af1"/>
      <w:suff w:val="nothing"/>
      <w:lvlText w:val="(%7). "/>
      <w:lvlJc w:val="left"/>
      <w:pPr>
        <w:ind w:left="3827" w:hanging="1276"/>
      </w:pPr>
      <w:rPr>
        <w:rFonts w:hint="eastAsia"/>
      </w:rPr>
    </w:lvl>
    <w:lvl w:ilvl="7">
      <w:start w:val="1"/>
      <w:numFmt w:val="lowerLetter"/>
      <w:pStyle w:val="af2"/>
      <w:suff w:val="nothing"/>
      <w:lvlText w:val="%8. "/>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4">
    <w:nsid w:val="7D224BF4"/>
    <w:multiLevelType w:val="multilevel"/>
    <w:tmpl w:val="7D224BF4"/>
    <w:lvl w:ilvl="0">
      <w:start w:val="1"/>
      <w:numFmt w:val="decimal"/>
      <w:pStyle w:val="3101"/>
      <w:lvlText w:val="表3.10-%1"/>
      <w:lvlJc w:val="left"/>
      <w:pPr>
        <w:tabs>
          <w:tab w:val="num" w:pos="2025"/>
        </w:tabs>
        <w:ind w:left="1365" w:hanging="420"/>
      </w:pPr>
      <w:rPr>
        <w:rFonts w:ascii="Times New Roman" w:hAnsi="Times New Roman" w:hint="default"/>
        <w:b/>
        <w:i w:val="0"/>
        <w:sz w:val="24"/>
        <w:szCs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5">
    <w:nsid w:val="7FAA007F"/>
    <w:multiLevelType w:val="multilevel"/>
    <w:tmpl w:val="7FAA007F"/>
    <w:lvl w:ilvl="0">
      <w:start w:val="13"/>
      <w:numFmt w:val="decimal"/>
      <w:lvlText w:val="%1"/>
      <w:lvlJc w:val="left"/>
      <w:pPr>
        <w:tabs>
          <w:tab w:val="num" w:pos="425"/>
        </w:tabs>
        <w:ind w:left="425" w:hanging="425"/>
      </w:pPr>
      <w:rPr>
        <w:rFonts w:hint="eastAsia"/>
      </w:rPr>
    </w:lvl>
    <w:lvl w:ilvl="1">
      <w:start w:val="2"/>
      <w:numFmt w:val="decimal"/>
      <w:lvlText w:val="%1.%2"/>
      <w:lvlJc w:val="left"/>
      <w:pPr>
        <w:tabs>
          <w:tab w:val="num" w:pos="-186"/>
        </w:tabs>
        <w:ind w:left="-906" w:firstLine="0"/>
      </w:pPr>
      <w:rPr>
        <w:rFonts w:hint="eastAsia"/>
      </w:rPr>
    </w:lvl>
    <w:lvl w:ilvl="2">
      <w:start w:val="2"/>
      <w:numFmt w:val="decimal"/>
      <w:lvlText w:val="%1.%2.%3"/>
      <w:lvlJc w:val="left"/>
      <w:pPr>
        <w:tabs>
          <w:tab w:val="num" w:pos="-437"/>
        </w:tabs>
        <w:ind w:left="-437" w:hanging="709"/>
      </w:pPr>
      <w:rPr>
        <w:rFonts w:ascii="Times New Roman" w:eastAsia="黑体" w:hAnsi="Times New Roman" w:cs="Times New Roman" w:hint="default"/>
        <w:b/>
        <w:bCs w:val="0"/>
        <w:i w:val="0"/>
        <w:iCs w:val="0"/>
        <w:caps w:val="0"/>
        <w:smallCaps w:val="0"/>
        <w:strike w:val="0"/>
        <w:dstrike w:val="0"/>
        <w:outline w:val="0"/>
        <w:shadow w:val="0"/>
        <w:emboss w:val="0"/>
        <w:imprint w:val="0"/>
        <w:vanish w:val="0"/>
        <w:spacing w:val="0"/>
        <w:position w:val="0"/>
        <w:sz w:val="24"/>
        <w:szCs w:val="24"/>
        <w:u w:val="none"/>
        <w:vertAlign w:val="baseline"/>
      </w:rPr>
    </w:lvl>
    <w:lvl w:ilvl="3">
      <w:start w:val="1"/>
      <w:numFmt w:val="decimal"/>
      <w:pStyle w:val="13221"/>
      <w:suff w:val="nothing"/>
      <w:lvlText w:val="12.%2.%3.%4"/>
      <w:lvlJc w:val="left"/>
      <w:pPr>
        <w:ind w:left="0" w:firstLine="0"/>
      </w:pPr>
      <w:rPr>
        <w:rFonts w:eastAsia="宋体" w:hint="eastAsia"/>
        <w:b/>
        <w:i w:val="0"/>
        <w:spacing w:val="0"/>
        <w:w w:val="100"/>
        <w:kern w:val="0"/>
        <w:position w:val="0"/>
        <w:sz w:val="24"/>
        <w:szCs w:val="24"/>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5"/>
  </w:num>
  <w:num w:numId="2">
    <w:abstractNumId w:val="3"/>
  </w:num>
  <w:num w:numId="3">
    <w:abstractNumId w:val="9"/>
  </w:num>
  <w:num w:numId="4">
    <w:abstractNumId w:val="8"/>
  </w:num>
  <w:num w:numId="5">
    <w:abstractNumId w:val="7"/>
  </w:num>
  <w:num w:numId="6">
    <w:abstractNumId w:val="2"/>
  </w:num>
  <w:num w:numId="7">
    <w:abstractNumId w:val="74"/>
  </w:num>
  <w:num w:numId="8">
    <w:abstractNumId w:val="0"/>
  </w:num>
  <w:num w:numId="9">
    <w:abstractNumId w:val="6"/>
  </w:num>
  <w:num w:numId="10">
    <w:abstractNumId w:val="29"/>
  </w:num>
  <w:num w:numId="11">
    <w:abstractNumId w:val="4"/>
  </w:num>
  <w:num w:numId="12">
    <w:abstractNumId w:val="1"/>
  </w:num>
  <w:num w:numId="13">
    <w:abstractNumId w:val="10"/>
  </w:num>
  <w:num w:numId="14">
    <w:abstractNumId w:val="47"/>
  </w:num>
  <w:num w:numId="15">
    <w:abstractNumId w:val="49"/>
  </w:num>
  <w:num w:numId="16">
    <w:abstractNumId w:val="79"/>
  </w:num>
  <w:num w:numId="17">
    <w:abstractNumId w:val="83"/>
  </w:num>
  <w:num w:numId="18">
    <w:abstractNumId w:val="48"/>
  </w:num>
  <w:num w:numId="19">
    <w:abstractNumId w:val="15"/>
  </w:num>
  <w:num w:numId="20">
    <w:abstractNumId w:val="85"/>
  </w:num>
  <w:num w:numId="21">
    <w:abstractNumId w:val="71"/>
  </w:num>
  <w:num w:numId="22">
    <w:abstractNumId w:val="59"/>
  </w:num>
  <w:num w:numId="23">
    <w:abstractNumId w:val="73"/>
  </w:num>
  <w:num w:numId="24">
    <w:abstractNumId w:val="75"/>
  </w:num>
  <w:num w:numId="25">
    <w:abstractNumId w:val="78"/>
  </w:num>
  <w:num w:numId="26">
    <w:abstractNumId w:val="44"/>
  </w:num>
  <w:num w:numId="27">
    <w:abstractNumId w:val="30"/>
  </w:num>
  <w:num w:numId="28">
    <w:abstractNumId w:val="35"/>
  </w:num>
  <w:num w:numId="29">
    <w:abstractNumId w:val="36"/>
  </w:num>
  <w:num w:numId="30">
    <w:abstractNumId w:val="17"/>
  </w:num>
  <w:num w:numId="31">
    <w:abstractNumId w:val="32"/>
  </w:num>
  <w:num w:numId="32">
    <w:abstractNumId w:val="72"/>
  </w:num>
  <w:num w:numId="33">
    <w:abstractNumId w:val="34"/>
  </w:num>
  <w:num w:numId="34">
    <w:abstractNumId w:val="58"/>
  </w:num>
  <w:num w:numId="35">
    <w:abstractNumId w:val="62"/>
  </w:num>
  <w:num w:numId="36">
    <w:abstractNumId w:val="60"/>
  </w:num>
  <w:num w:numId="37">
    <w:abstractNumId w:val="11"/>
  </w:num>
  <w:num w:numId="38">
    <w:abstractNumId w:val="26"/>
  </w:num>
  <w:num w:numId="39">
    <w:abstractNumId w:val="24"/>
  </w:num>
  <w:num w:numId="40">
    <w:abstractNumId w:val="14"/>
  </w:num>
  <w:num w:numId="41">
    <w:abstractNumId w:val="66"/>
  </w:num>
  <w:num w:numId="42">
    <w:abstractNumId w:val="39"/>
  </w:num>
  <w:num w:numId="43">
    <w:abstractNumId w:val="18"/>
  </w:num>
  <w:num w:numId="44">
    <w:abstractNumId w:val="67"/>
  </w:num>
  <w:num w:numId="45">
    <w:abstractNumId w:val="68"/>
  </w:num>
  <w:num w:numId="46">
    <w:abstractNumId w:val="41"/>
  </w:num>
  <w:num w:numId="47">
    <w:abstractNumId w:val="82"/>
  </w:num>
  <w:num w:numId="48">
    <w:abstractNumId w:val="37"/>
  </w:num>
  <w:num w:numId="49">
    <w:abstractNumId w:val="13"/>
  </w:num>
  <w:num w:numId="50">
    <w:abstractNumId w:val="25"/>
  </w:num>
  <w:num w:numId="51">
    <w:abstractNumId w:val="77"/>
  </w:num>
  <w:num w:numId="52">
    <w:abstractNumId w:val="12"/>
  </w:num>
  <w:num w:numId="53">
    <w:abstractNumId w:val="23"/>
  </w:num>
  <w:num w:numId="54">
    <w:abstractNumId w:val="40"/>
  </w:num>
  <w:num w:numId="55">
    <w:abstractNumId w:val="56"/>
  </w:num>
  <w:num w:numId="56">
    <w:abstractNumId w:val="45"/>
  </w:num>
  <w:num w:numId="57">
    <w:abstractNumId w:val="38"/>
  </w:num>
  <w:num w:numId="58">
    <w:abstractNumId w:val="65"/>
  </w:num>
  <w:num w:numId="59">
    <w:abstractNumId w:val="22"/>
  </w:num>
  <w:num w:numId="60">
    <w:abstractNumId w:val="20"/>
  </w:num>
  <w:num w:numId="61">
    <w:abstractNumId w:val="46"/>
  </w:num>
  <w:num w:numId="62">
    <w:abstractNumId w:val="43"/>
  </w:num>
  <w:num w:numId="63">
    <w:abstractNumId w:val="50"/>
  </w:num>
  <w:num w:numId="64">
    <w:abstractNumId w:val="81"/>
  </w:num>
  <w:num w:numId="65">
    <w:abstractNumId w:val="54"/>
  </w:num>
  <w:num w:numId="66">
    <w:abstractNumId w:val="27"/>
  </w:num>
  <w:num w:numId="67">
    <w:abstractNumId w:val="21"/>
  </w:num>
  <w:num w:numId="68">
    <w:abstractNumId w:val="19"/>
  </w:num>
  <w:num w:numId="69">
    <w:abstractNumId w:val="70"/>
  </w:num>
  <w:num w:numId="70">
    <w:abstractNumId w:val="51"/>
  </w:num>
  <w:num w:numId="71">
    <w:abstractNumId w:val="57"/>
  </w:num>
  <w:num w:numId="72">
    <w:abstractNumId w:val="80"/>
  </w:num>
  <w:num w:numId="73">
    <w:abstractNumId w:val="61"/>
  </w:num>
  <w:num w:numId="74">
    <w:abstractNumId w:val="84"/>
  </w:num>
  <w:num w:numId="75">
    <w:abstractNumId w:val="55"/>
  </w:num>
  <w:num w:numId="76">
    <w:abstractNumId w:val="76"/>
  </w:num>
  <w:num w:numId="77">
    <w:abstractNumId w:val="69"/>
  </w:num>
  <w:num w:numId="78">
    <w:abstractNumId w:val="53"/>
  </w:num>
  <w:num w:numId="79">
    <w:abstractNumId w:val="64"/>
  </w:num>
  <w:num w:numId="80">
    <w:abstractNumId w:val="33"/>
  </w:num>
  <w:num w:numId="81">
    <w:abstractNumId w:val="31"/>
  </w:num>
  <w:num w:numId="82">
    <w:abstractNumId w:val="28"/>
  </w:num>
  <w:num w:numId="83">
    <w:abstractNumId w:val="52"/>
  </w:num>
  <w:num w:numId="84">
    <w:abstractNumId w:val="16"/>
  </w:num>
  <w:num w:numId="85">
    <w:abstractNumId w:val="42"/>
  </w:num>
  <w:num w:numId="86">
    <w:abstractNumId w:val="63"/>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bordersDoNotSurroundHeader/>
  <w:bordersDoNotSurroundFooter/>
  <w:hideSpellingErrors/>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26626" fillcolor="white">
      <v:fill color="white"/>
      <v:stroke endarrow="block"/>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32E9E"/>
    <w:rsid w:val="000004A1"/>
    <w:rsid w:val="00000C20"/>
    <w:rsid w:val="00000E11"/>
    <w:rsid w:val="000013AF"/>
    <w:rsid w:val="00001658"/>
    <w:rsid w:val="000018B0"/>
    <w:rsid w:val="00001B08"/>
    <w:rsid w:val="00001D66"/>
    <w:rsid w:val="00002266"/>
    <w:rsid w:val="00002B33"/>
    <w:rsid w:val="00002E96"/>
    <w:rsid w:val="00002F6D"/>
    <w:rsid w:val="00002FB0"/>
    <w:rsid w:val="00003342"/>
    <w:rsid w:val="00003BFA"/>
    <w:rsid w:val="0000425F"/>
    <w:rsid w:val="000047F4"/>
    <w:rsid w:val="00004921"/>
    <w:rsid w:val="00004B42"/>
    <w:rsid w:val="00005015"/>
    <w:rsid w:val="00005168"/>
    <w:rsid w:val="00005769"/>
    <w:rsid w:val="0000577A"/>
    <w:rsid w:val="000057BD"/>
    <w:rsid w:val="0000596A"/>
    <w:rsid w:val="00005B7F"/>
    <w:rsid w:val="00005D22"/>
    <w:rsid w:val="00006484"/>
    <w:rsid w:val="000069B9"/>
    <w:rsid w:val="000078E7"/>
    <w:rsid w:val="00007A15"/>
    <w:rsid w:val="0001010B"/>
    <w:rsid w:val="00010598"/>
    <w:rsid w:val="00010621"/>
    <w:rsid w:val="00010863"/>
    <w:rsid w:val="00010B21"/>
    <w:rsid w:val="00010CC6"/>
    <w:rsid w:val="0001141D"/>
    <w:rsid w:val="00011450"/>
    <w:rsid w:val="00011586"/>
    <w:rsid w:val="000117DC"/>
    <w:rsid w:val="00011D7D"/>
    <w:rsid w:val="00011FF1"/>
    <w:rsid w:val="000120A5"/>
    <w:rsid w:val="000123F9"/>
    <w:rsid w:val="00012527"/>
    <w:rsid w:val="00012630"/>
    <w:rsid w:val="000128F4"/>
    <w:rsid w:val="00012A45"/>
    <w:rsid w:val="00013167"/>
    <w:rsid w:val="0001392E"/>
    <w:rsid w:val="00013A44"/>
    <w:rsid w:val="00013A77"/>
    <w:rsid w:val="00013B42"/>
    <w:rsid w:val="00014310"/>
    <w:rsid w:val="00014614"/>
    <w:rsid w:val="000146F9"/>
    <w:rsid w:val="00014D03"/>
    <w:rsid w:val="00014E87"/>
    <w:rsid w:val="00015018"/>
    <w:rsid w:val="0001534A"/>
    <w:rsid w:val="000154CC"/>
    <w:rsid w:val="00015767"/>
    <w:rsid w:val="000158B0"/>
    <w:rsid w:val="000158DC"/>
    <w:rsid w:val="00015D1E"/>
    <w:rsid w:val="00015DBF"/>
    <w:rsid w:val="00016105"/>
    <w:rsid w:val="00016425"/>
    <w:rsid w:val="00016570"/>
    <w:rsid w:val="000165A2"/>
    <w:rsid w:val="00016682"/>
    <w:rsid w:val="0001673D"/>
    <w:rsid w:val="0001674C"/>
    <w:rsid w:val="000167CC"/>
    <w:rsid w:val="00016835"/>
    <w:rsid w:val="000168F1"/>
    <w:rsid w:val="00016C56"/>
    <w:rsid w:val="00017091"/>
    <w:rsid w:val="00017100"/>
    <w:rsid w:val="0001753F"/>
    <w:rsid w:val="00017781"/>
    <w:rsid w:val="00017796"/>
    <w:rsid w:val="00017BE2"/>
    <w:rsid w:val="00017CE1"/>
    <w:rsid w:val="00017E59"/>
    <w:rsid w:val="000204B7"/>
    <w:rsid w:val="0002086D"/>
    <w:rsid w:val="00020907"/>
    <w:rsid w:val="000209AF"/>
    <w:rsid w:val="00020A15"/>
    <w:rsid w:val="00021747"/>
    <w:rsid w:val="00021BB6"/>
    <w:rsid w:val="00021C03"/>
    <w:rsid w:val="00021CBD"/>
    <w:rsid w:val="00021D44"/>
    <w:rsid w:val="00021FFA"/>
    <w:rsid w:val="00022195"/>
    <w:rsid w:val="0002266A"/>
    <w:rsid w:val="00022690"/>
    <w:rsid w:val="0002274A"/>
    <w:rsid w:val="00022964"/>
    <w:rsid w:val="00022987"/>
    <w:rsid w:val="00022B78"/>
    <w:rsid w:val="00022B85"/>
    <w:rsid w:val="000231F6"/>
    <w:rsid w:val="00023605"/>
    <w:rsid w:val="00023715"/>
    <w:rsid w:val="000237F9"/>
    <w:rsid w:val="00023850"/>
    <w:rsid w:val="00023975"/>
    <w:rsid w:val="00023AA9"/>
    <w:rsid w:val="00023C6E"/>
    <w:rsid w:val="00023D8E"/>
    <w:rsid w:val="00023E6E"/>
    <w:rsid w:val="000240D5"/>
    <w:rsid w:val="00024221"/>
    <w:rsid w:val="000242CB"/>
    <w:rsid w:val="000242ED"/>
    <w:rsid w:val="000242F5"/>
    <w:rsid w:val="00024682"/>
    <w:rsid w:val="0002481F"/>
    <w:rsid w:val="000248B5"/>
    <w:rsid w:val="00024C8B"/>
    <w:rsid w:val="00024FF3"/>
    <w:rsid w:val="0002504E"/>
    <w:rsid w:val="000251F3"/>
    <w:rsid w:val="0002524B"/>
    <w:rsid w:val="0002545F"/>
    <w:rsid w:val="000254C3"/>
    <w:rsid w:val="00025686"/>
    <w:rsid w:val="00025786"/>
    <w:rsid w:val="000257FF"/>
    <w:rsid w:val="00025D19"/>
    <w:rsid w:val="00025D7F"/>
    <w:rsid w:val="000262A8"/>
    <w:rsid w:val="000264F0"/>
    <w:rsid w:val="0002688D"/>
    <w:rsid w:val="0002738E"/>
    <w:rsid w:val="00027398"/>
    <w:rsid w:val="000275D3"/>
    <w:rsid w:val="000275FD"/>
    <w:rsid w:val="00027626"/>
    <w:rsid w:val="00027837"/>
    <w:rsid w:val="000278DA"/>
    <w:rsid w:val="0003025C"/>
    <w:rsid w:val="0003047E"/>
    <w:rsid w:val="000305E5"/>
    <w:rsid w:val="000307BF"/>
    <w:rsid w:val="000307FB"/>
    <w:rsid w:val="000309A6"/>
    <w:rsid w:val="00030B27"/>
    <w:rsid w:val="00030D0A"/>
    <w:rsid w:val="000314AD"/>
    <w:rsid w:val="000317C2"/>
    <w:rsid w:val="00031980"/>
    <w:rsid w:val="00031BF6"/>
    <w:rsid w:val="00031FCD"/>
    <w:rsid w:val="0003216F"/>
    <w:rsid w:val="0003228B"/>
    <w:rsid w:val="000323F5"/>
    <w:rsid w:val="00032521"/>
    <w:rsid w:val="000327BD"/>
    <w:rsid w:val="00032C8F"/>
    <w:rsid w:val="00032CA2"/>
    <w:rsid w:val="00033193"/>
    <w:rsid w:val="000334CE"/>
    <w:rsid w:val="00033549"/>
    <w:rsid w:val="0003364B"/>
    <w:rsid w:val="00033797"/>
    <w:rsid w:val="0003394C"/>
    <w:rsid w:val="000339F1"/>
    <w:rsid w:val="00033B39"/>
    <w:rsid w:val="00033D59"/>
    <w:rsid w:val="00033F11"/>
    <w:rsid w:val="00034258"/>
    <w:rsid w:val="000347F3"/>
    <w:rsid w:val="00034939"/>
    <w:rsid w:val="00034E6D"/>
    <w:rsid w:val="00034FC8"/>
    <w:rsid w:val="0003506F"/>
    <w:rsid w:val="000354E9"/>
    <w:rsid w:val="00035597"/>
    <w:rsid w:val="00035B1C"/>
    <w:rsid w:val="00035BE9"/>
    <w:rsid w:val="00035D46"/>
    <w:rsid w:val="0003624F"/>
    <w:rsid w:val="000362E2"/>
    <w:rsid w:val="00036346"/>
    <w:rsid w:val="00036401"/>
    <w:rsid w:val="00036421"/>
    <w:rsid w:val="0003657C"/>
    <w:rsid w:val="00036778"/>
    <w:rsid w:val="00036AD4"/>
    <w:rsid w:val="00036C96"/>
    <w:rsid w:val="00036FBD"/>
    <w:rsid w:val="00037126"/>
    <w:rsid w:val="0003734D"/>
    <w:rsid w:val="00037701"/>
    <w:rsid w:val="00037722"/>
    <w:rsid w:val="00037780"/>
    <w:rsid w:val="000378D0"/>
    <w:rsid w:val="00037C5C"/>
    <w:rsid w:val="00037D75"/>
    <w:rsid w:val="00037FB6"/>
    <w:rsid w:val="000400CF"/>
    <w:rsid w:val="00040601"/>
    <w:rsid w:val="00040748"/>
    <w:rsid w:val="00040BF8"/>
    <w:rsid w:val="00040CE1"/>
    <w:rsid w:val="00040D87"/>
    <w:rsid w:val="00040DC4"/>
    <w:rsid w:val="00040DE5"/>
    <w:rsid w:val="00040F39"/>
    <w:rsid w:val="000412C5"/>
    <w:rsid w:val="00041403"/>
    <w:rsid w:val="00041461"/>
    <w:rsid w:val="00041765"/>
    <w:rsid w:val="00041776"/>
    <w:rsid w:val="0004186B"/>
    <w:rsid w:val="000418BE"/>
    <w:rsid w:val="00041AD5"/>
    <w:rsid w:val="00041DF6"/>
    <w:rsid w:val="00042288"/>
    <w:rsid w:val="00042302"/>
    <w:rsid w:val="0004236B"/>
    <w:rsid w:val="00042465"/>
    <w:rsid w:val="00042B85"/>
    <w:rsid w:val="00042BA0"/>
    <w:rsid w:val="00042CBE"/>
    <w:rsid w:val="00042CEC"/>
    <w:rsid w:val="00042F5E"/>
    <w:rsid w:val="00043173"/>
    <w:rsid w:val="00043342"/>
    <w:rsid w:val="000435CF"/>
    <w:rsid w:val="0004377B"/>
    <w:rsid w:val="00043892"/>
    <w:rsid w:val="000439FF"/>
    <w:rsid w:val="00043ED7"/>
    <w:rsid w:val="00043F6E"/>
    <w:rsid w:val="00043F96"/>
    <w:rsid w:val="00044499"/>
    <w:rsid w:val="0004466B"/>
    <w:rsid w:val="000446E6"/>
    <w:rsid w:val="000447B1"/>
    <w:rsid w:val="000447CA"/>
    <w:rsid w:val="00044C66"/>
    <w:rsid w:val="00044DE4"/>
    <w:rsid w:val="00045059"/>
    <w:rsid w:val="00045279"/>
    <w:rsid w:val="000452DF"/>
    <w:rsid w:val="00045470"/>
    <w:rsid w:val="000458A9"/>
    <w:rsid w:val="00045BB6"/>
    <w:rsid w:val="00045E66"/>
    <w:rsid w:val="00045F23"/>
    <w:rsid w:val="00046281"/>
    <w:rsid w:val="000467AD"/>
    <w:rsid w:val="00046B04"/>
    <w:rsid w:val="00047123"/>
    <w:rsid w:val="00047346"/>
    <w:rsid w:val="000477C1"/>
    <w:rsid w:val="0004784D"/>
    <w:rsid w:val="00047D5B"/>
    <w:rsid w:val="00047D5C"/>
    <w:rsid w:val="00047D8E"/>
    <w:rsid w:val="0005017F"/>
    <w:rsid w:val="0005074C"/>
    <w:rsid w:val="000507B7"/>
    <w:rsid w:val="00050893"/>
    <w:rsid w:val="00050999"/>
    <w:rsid w:val="00050B76"/>
    <w:rsid w:val="00051382"/>
    <w:rsid w:val="00051707"/>
    <w:rsid w:val="00051959"/>
    <w:rsid w:val="00051ACE"/>
    <w:rsid w:val="00052322"/>
    <w:rsid w:val="00052334"/>
    <w:rsid w:val="00052398"/>
    <w:rsid w:val="00052566"/>
    <w:rsid w:val="0005261E"/>
    <w:rsid w:val="00052649"/>
    <w:rsid w:val="0005275C"/>
    <w:rsid w:val="00052951"/>
    <w:rsid w:val="00052986"/>
    <w:rsid w:val="00053278"/>
    <w:rsid w:val="00053400"/>
    <w:rsid w:val="000534F2"/>
    <w:rsid w:val="0005362B"/>
    <w:rsid w:val="000537A2"/>
    <w:rsid w:val="000538D2"/>
    <w:rsid w:val="00053CCA"/>
    <w:rsid w:val="00053ECE"/>
    <w:rsid w:val="0005405F"/>
    <w:rsid w:val="00054115"/>
    <w:rsid w:val="0005434D"/>
    <w:rsid w:val="00054467"/>
    <w:rsid w:val="00054548"/>
    <w:rsid w:val="000545DC"/>
    <w:rsid w:val="00054618"/>
    <w:rsid w:val="00054744"/>
    <w:rsid w:val="00054957"/>
    <w:rsid w:val="00054C8C"/>
    <w:rsid w:val="00054E3E"/>
    <w:rsid w:val="00054F8F"/>
    <w:rsid w:val="00054FEE"/>
    <w:rsid w:val="0005516F"/>
    <w:rsid w:val="0005589E"/>
    <w:rsid w:val="00055BA5"/>
    <w:rsid w:val="00055E50"/>
    <w:rsid w:val="00056438"/>
    <w:rsid w:val="000565EF"/>
    <w:rsid w:val="00056614"/>
    <w:rsid w:val="00056663"/>
    <w:rsid w:val="000566B4"/>
    <w:rsid w:val="00056838"/>
    <w:rsid w:val="000568B6"/>
    <w:rsid w:val="000568EA"/>
    <w:rsid w:val="000568FC"/>
    <w:rsid w:val="0005708D"/>
    <w:rsid w:val="00057236"/>
    <w:rsid w:val="000574F4"/>
    <w:rsid w:val="000575F4"/>
    <w:rsid w:val="000576DC"/>
    <w:rsid w:val="00057A6D"/>
    <w:rsid w:val="00057AFD"/>
    <w:rsid w:val="00057D2E"/>
    <w:rsid w:val="00057FAD"/>
    <w:rsid w:val="000600ED"/>
    <w:rsid w:val="00060459"/>
    <w:rsid w:val="000604E9"/>
    <w:rsid w:val="00060771"/>
    <w:rsid w:val="000609C6"/>
    <w:rsid w:val="00060A2F"/>
    <w:rsid w:val="00060C7F"/>
    <w:rsid w:val="00060D40"/>
    <w:rsid w:val="000611CE"/>
    <w:rsid w:val="00061282"/>
    <w:rsid w:val="00061899"/>
    <w:rsid w:val="00061AFE"/>
    <w:rsid w:val="0006208B"/>
    <w:rsid w:val="000620C7"/>
    <w:rsid w:val="0006217D"/>
    <w:rsid w:val="0006219B"/>
    <w:rsid w:val="00062222"/>
    <w:rsid w:val="000627DD"/>
    <w:rsid w:val="00062C66"/>
    <w:rsid w:val="00062DB9"/>
    <w:rsid w:val="00062E01"/>
    <w:rsid w:val="00063088"/>
    <w:rsid w:val="000634A9"/>
    <w:rsid w:val="000637E0"/>
    <w:rsid w:val="00063910"/>
    <w:rsid w:val="00063A8B"/>
    <w:rsid w:val="00063B81"/>
    <w:rsid w:val="00063E40"/>
    <w:rsid w:val="00063F27"/>
    <w:rsid w:val="0006408A"/>
    <w:rsid w:val="00064102"/>
    <w:rsid w:val="0006414A"/>
    <w:rsid w:val="00064398"/>
    <w:rsid w:val="0006467A"/>
    <w:rsid w:val="00064711"/>
    <w:rsid w:val="00064958"/>
    <w:rsid w:val="00064CCC"/>
    <w:rsid w:val="00065DC3"/>
    <w:rsid w:val="000661CC"/>
    <w:rsid w:val="0006634F"/>
    <w:rsid w:val="0006658B"/>
    <w:rsid w:val="000665CB"/>
    <w:rsid w:val="00066769"/>
    <w:rsid w:val="0006687B"/>
    <w:rsid w:val="00066BE3"/>
    <w:rsid w:val="00066C44"/>
    <w:rsid w:val="00066C6A"/>
    <w:rsid w:val="00066ED3"/>
    <w:rsid w:val="00066F5A"/>
    <w:rsid w:val="0006750D"/>
    <w:rsid w:val="00067606"/>
    <w:rsid w:val="00067724"/>
    <w:rsid w:val="00067785"/>
    <w:rsid w:val="000677F2"/>
    <w:rsid w:val="0006793D"/>
    <w:rsid w:val="00067975"/>
    <w:rsid w:val="000679F3"/>
    <w:rsid w:val="00067C04"/>
    <w:rsid w:val="00067FE1"/>
    <w:rsid w:val="00070134"/>
    <w:rsid w:val="000701D4"/>
    <w:rsid w:val="000704C2"/>
    <w:rsid w:val="0007089A"/>
    <w:rsid w:val="000708AA"/>
    <w:rsid w:val="000709A0"/>
    <w:rsid w:val="00070F21"/>
    <w:rsid w:val="00070FB2"/>
    <w:rsid w:val="00071129"/>
    <w:rsid w:val="00071163"/>
    <w:rsid w:val="00071349"/>
    <w:rsid w:val="00071A11"/>
    <w:rsid w:val="00071AA6"/>
    <w:rsid w:val="00071BE3"/>
    <w:rsid w:val="00072179"/>
    <w:rsid w:val="00072205"/>
    <w:rsid w:val="0007227F"/>
    <w:rsid w:val="0007248D"/>
    <w:rsid w:val="00072B91"/>
    <w:rsid w:val="00072F16"/>
    <w:rsid w:val="00073216"/>
    <w:rsid w:val="0007344C"/>
    <w:rsid w:val="00073EBB"/>
    <w:rsid w:val="00073F21"/>
    <w:rsid w:val="00073F63"/>
    <w:rsid w:val="000744E9"/>
    <w:rsid w:val="000745FC"/>
    <w:rsid w:val="00074F6B"/>
    <w:rsid w:val="000756BA"/>
    <w:rsid w:val="000756EA"/>
    <w:rsid w:val="00075736"/>
    <w:rsid w:val="00075878"/>
    <w:rsid w:val="00075917"/>
    <w:rsid w:val="00075E8C"/>
    <w:rsid w:val="00076217"/>
    <w:rsid w:val="000763DB"/>
    <w:rsid w:val="000764C4"/>
    <w:rsid w:val="00076598"/>
    <w:rsid w:val="00076A0C"/>
    <w:rsid w:val="00076EAE"/>
    <w:rsid w:val="00076FDE"/>
    <w:rsid w:val="000773B6"/>
    <w:rsid w:val="000773BA"/>
    <w:rsid w:val="00077603"/>
    <w:rsid w:val="00077891"/>
    <w:rsid w:val="00077B94"/>
    <w:rsid w:val="00077DAE"/>
    <w:rsid w:val="00077DC7"/>
    <w:rsid w:val="00080059"/>
    <w:rsid w:val="0008037F"/>
    <w:rsid w:val="000803D1"/>
    <w:rsid w:val="000806B4"/>
    <w:rsid w:val="00080783"/>
    <w:rsid w:val="00080D56"/>
    <w:rsid w:val="0008121F"/>
    <w:rsid w:val="00081968"/>
    <w:rsid w:val="00081B9E"/>
    <w:rsid w:val="00081E76"/>
    <w:rsid w:val="00082278"/>
    <w:rsid w:val="0008255D"/>
    <w:rsid w:val="00082856"/>
    <w:rsid w:val="00082879"/>
    <w:rsid w:val="000829C1"/>
    <w:rsid w:val="00082C28"/>
    <w:rsid w:val="00082D65"/>
    <w:rsid w:val="00082F6B"/>
    <w:rsid w:val="00082FF7"/>
    <w:rsid w:val="00083768"/>
    <w:rsid w:val="00083806"/>
    <w:rsid w:val="00083817"/>
    <w:rsid w:val="000839AC"/>
    <w:rsid w:val="000839F8"/>
    <w:rsid w:val="00083A1A"/>
    <w:rsid w:val="00083BE1"/>
    <w:rsid w:val="00083CEF"/>
    <w:rsid w:val="00083E8E"/>
    <w:rsid w:val="00083EC5"/>
    <w:rsid w:val="00084057"/>
    <w:rsid w:val="00084238"/>
    <w:rsid w:val="000842F8"/>
    <w:rsid w:val="0008453B"/>
    <w:rsid w:val="00084918"/>
    <w:rsid w:val="0008493F"/>
    <w:rsid w:val="00084A83"/>
    <w:rsid w:val="00084B58"/>
    <w:rsid w:val="0008524E"/>
    <w:rsid w:val="000856B1"/>
    <w:rsid w:val="00085ABC"/>
    <w:rsid w:val="00085AD2"/>
    <w:rsid w:val="00085B1E"/>
    <w:rsid w:val="00085D56"/>
    <w:rsid w:val="00085DE4"/>
    <w:rsid w:val="00085F9B"/>
    <w:rsid w:val="000864A8"/>
    <w:rsid w:val="0008657C"/>
    <w:rsid w:val="00086641"/>
    <w:rsid w:val="00086704"/>
    <w:rsid w:val="00086839"/>
    <w:rsid w:val="00086EA2"/>
    <w:rsid w:val="00086F99"/>
    <w:rsid w:val="000870AB"/>
    <w:rsid w:val="00087249"/>
    <w:rsid w:val="0008748C"/>
    <w:rsid w:val="00087495"/>
    <w:rsid w:val="00087715"/>
    <w:rsid w:val="000877D0"/>
    <w:rsid w:val="000879A2"/>
    <w:rsid w:val="00087AD5"/>
    <w:rsid w:val="00087B4F"/>
    <w:rsid w:val="00087C21"/>
    <w:rsid w:val="00087E24"/>
    <w:rsid w:val="00090075"/>
    <w:rsid w:val="00090297"/>
    <w:rsid w:val="000904A6"/>
    <w:rsid w:val="000907C3"/>
    <w:rsid w:val="00090B98"/>
    <w:rsid w:val="00090C45"/>
    <w:rsid w:val="00090CD3"/>
    <w:rsid w:val="00090DF4"/>
    <w:rsid w:val="0009113D"/>
    <w:rsid w:val="00091291"/>
    <w:rsid w:val="0009136B"/>
    <w:rsid w:val="0009232E"/>
    <w:rsid w:val="00092B79"/>
    <w:rsid w:val="00092D5C"/>
    <w:rsid w:val="00092F89"/>
    <w:rsid w:val="000930DA"/>
    <w:rsid w:val="000932A6"/>
    <w:rsid w:val="000935BC"/>
    <w:rsid w:val="00093AAB"/>
    <w:rsid w:val="00093D2F"/>
    <w:rsid w:val="00093EB2"/>
    <w:rsid w:val="00093FB4"/>
    <w:rsid w:val="00094094"/>
    <w:rsid w:val="00094537"/>
    <w:rsid w:val="0009468D"/>
    <w:rsid w:val="0009478A"/>
    <w:rsid w:val="00094907"/>
    <w:rsid w:val="00094937"/>
    <w:rsid w:val="00094C10"/>
    <w:rsid w:val="00095A95"/>
    <w:rsid w:val="00095AAA"/>
    <w:rsid w:val="00095D18"/>
    <w:rsid w:val="00095E90"/>
    <w:rsid w:val="00095FA7"/>
    <w:rsid w:val="00095FB8"/>
    <w:rsid w:val="0009644A"/>
    <w:rsid w:val="0009651D"/>
    <w:rsid w:val="0009675B"/>
    <w:rsid w:val="00096B58"/>
    <w:rsid w:val="00096F88"/>
    <w:rsid w:val="000970FB"/>
    <w:rsid w:val="000975EE"/>
    <w:rsid w:val="00097A43"/>
    <w:rsid w:val="00097AA6"/>
    <w:rsid w:val="00097C78"/>
    <w:rsid w:val="00097E68"/>
    <w:rsid w:val="00097ECB"/>
    <w:rsid w:val="000A02BA"/>
    <w:rsid w:val="000A05F1"/>
    <w:rsid w:val="000A0636"/>
    <w:rsid w:val="000A0707"/>
    <w:rsid w:val="000A07AE"/>
    <w:rsid w:val="000A0818"/>
    <w:rsid w:val="000A0943"/>
    <w:rsid w:val="000A0B61"/>
    <w:rsid w:val="000A0D86"/>
    <w:rsid w:val="000A0E47"/>
    <w:rsid w:val="000A0F98"/>
    <w:rsid w:val="000A107D"/>
    <w:rsid w:val="000A133D"/>
    <w:rsid w:val="000A1354"/>
    <w:rsid w:val="000A136A"/>
    <w:rsid w:val="000A14BE"/>
    <w:rsid w:val="000A1519"/>
    <w:rsid w:val="000A16F9"/>
    <w:rsid w:val="000A18EA"/>
    <w:rsid w:val="000A2360"/>
    <w:rsid w:val="000A2A00"/>
    <w:rsid w:val="000A2A78"/>
    <w:rsid w:val="000A2C54"/>
    <w:rsid w:val="000A3442"/>
    <w:rsid w:val="000A355B"/>
    <w:rsid w:val="000A35B5"/>
    <w:rsid w:val="000A3682"/>
    <w:rsid w:val="000A37CB"/>
    <w:rsid w:val="000A41DC"/>
    <w:rsid w:val="000A4367"/>
    <w:rsid w:val="000A4702"/>
    <w:rsid w:val="000A483F"/>
    <w:rsid w:val="000A48CB"/>
    <w:rsid w:val="000A4A7B"/>
    <w:rsid w:val="000A4A86"/>
    <w:rsid w:val="000A4ADE"/>
    <w:rsid w:val="000A4ED6"/>
    <w:rsid w:val="000A4F58"/>
    <w:rsid w:val="000A4FC5"/>
    <w:rsid w:val="000A50C9"/>
    <w:rsid w:val="000A5803"/>
    <w:rsid w:val="000A59CB"/>
    <w:rsid w:val="000A5B1D"/>
    <w:rsid w:val="000A5F55"/>
    <w:rsid w:val="000A6220"/>
    <w:rsid w:val="000A624A"/>
    <w:rsid w:val="000A63F0"/>
    <w:rsid w:val="000A643D"/>
    <w:rsid w:val="000A666F"/>
    <w:rsid w:val="000A67EC"/>
    <w:rsid w:val="000A681F"/>
    <w:rsid w:val="000A6A29"/>
    <w:rsid w:val="000A710F"/>
    <w:rsid w:val="000A737D"/>
    <w:rsid w:val="000A73E9"/>
    <w:rsid w:val="000A7619"/>
    <w:rsid w:val="000A7BCC"/>
    <w:rsid w:val="000B02BD"/>
    <w:rsid w:val="000B0438"/>
    <w:rsid w:val="000B06F7"/>
    <w:rsid w:val="000B08FB"/>
    <w:rsid w:val="000B0A36"/>
    <w:rsid w:val="000B0D48"/>
    <w:rsid w:val="000B0DBF"/>
    <w:rsid w:val="000B1102"/>
    <w:rsid w:val="000B1349"/>
    <w:rsid w:val="000B1612"/>
    <w:rsid w:val="000B1774"/>
    <w:rsid w:val="000B20FE"/>
    <w:rsid w:val="000B225A"/>
    <w:rsid w:val="000B2407"/>
    <w:rsid w:val="000B2429"/>
    <w:rsid w:val="000B27A3"/>
    <w:rsid w:val="000B2C8B"/>
    <w:rsid w:val="000B2CA2"/>
    <w:rsid w:val="000B2E5A"/>
    <w:rsid w:val="000B3172"/>
    <w:rsid w:val="000B3222"/>
    <w:rsid w:val="000B34E5"/>
    <w:rsid w:val="000B36E0"/>
    <w:rsid w:val="000B3858"/>
    <w:rsid w:val="000B3870"/>
    <w:rsid w:val="000B3933"/>
    <w:rsid w:val="000B3AB5"/>
    <w:rsid w:val="000B3B4F"/>
    <w:rsid w:val="000B4332"/>
    <w:rsid w:val="000B4338"/>
    <w:rsid w:val="000B47BB"/>
    <w:rsid w:val="000B4A34"/>
    <w:rsid w:val="000B4B21"/>
    <w:rsid w:val="000B4BB3"/>
    <w:rsid w:val="000B4D1F"/>
    <w:rsid w:val="000B526A"/>
    <w:rsid w:val="000B559F"/>
    <w:rsid w:val="000B5871"/>
    <w:rsid w:val="000B58EF"/>
    <w:rsid w:val="000B58FC"/>
    <w:rsid w:val="000B59D3"/>
    <w:rsid w:val="000B5FE6"/>
    <w:rsid w:val="000B6032"/>
    <w:rsid w:val="000B6285"/>
    <w:rsid w:val="000B6613"/>
    <w:rsid w:val="000B677E"/>
    <w:rsid w:val="000B6B65"/>
    <w:rsid w:val="000B7026"/>
    <w:rsid w:val="000B7137"/>
    <w:rsid w:val="000B725E"/>
    <w:rsid w:val="000B744D"/>
    <w:rsid w:val="000B7667"/>
    <w:rsid w:val="000B7767"/>
    <w:rsid w:val="000B78AB"/>
    <w:rsid w:val="000B7F6A"/>
    <w:rsid w:val="000C0064"/>
    <w:rsid w:val="000C02B1"/>
    <w:rsid w:val="000C0449"/>
    <w:rsid w:val="000C059A"/>
    <w:rsid w:val="000C067A"/>
    <w:rsid w:val="000C07E7"/>
    <w:rsid w:val="000C0A90"/>
    <w:rsid w:val="000C0BA4"/>
    <w:rsid w:val="000C0BE9"/>
    <w:rsid w:val="000C0D1E"/>
    <w:rsid w:val="000C12B8"/>
    <w:rsid w:val="000C13B9"/>
    <w:rsid w:val="000C13FC"/>
    <w:rsid w:val="000C14FB"/>
    <w:rsid w:val="000C1763"/>
    <w:rsid w:val="000C19C2"/>
    <w:rsid w:val="000C1C2D"/>
    <w:rsid w:val="000C1CD2"/>
    <w:rsid w:val="000C21EC"/>
    <w:rsid w:val="000C220D"/>
    <w:rsid w:val="000C2376"/>
    <w:rsid w:val="000C243C"/>
    <w:rsid w:val="000C2D25"/>
    <w:rsid w:val="000C2E4C"/>
    <w:rsid w:val="000C3217"/>
    <w:rsid w:val="000C33D2"/>
    <w:rsid w:val="000C37DE"/>
    <w:rsid w:val="000C3890"/>
    <w:rsid w:val="000C3965"/>
    <w:rsid w:val="000C3C1F"/>
    <w:rsid w:val="000C3F16"/>
    <w:rsid w:val="000C3F46"/>
    <w:rsid w:val="000C3F48"/>
    <w:rsid w:val="000C40C6"/>
    <w:rsid w:val="000C4121"/>
    <w:rsid w:val="000C4596"/>
    <w:rsid w:val="000C46B6"/>
    <w:rsid w:val="000C47FD"/>
    <w:rsid w:val="000C4A0F"/>
    <w:rsid w:val="000C4C77"/>
    <w:rsid w:val="000C4D2B"/>
    <w:rsid w:val="000C5319"/>
    <w:rsid w:val="000C57C4"/>
    <w:rsid w:val="000C5830"/>
    <w:rsid w:val="000C5903"/>
    <w:rsid w:val="000C5C9B"/>
    <w:rsid w:val="000C5EEF"/>
    <w:rsid w:val="000C5FEE"/>
    <w:rsid w:val="000C6072"/>
    <w:rsid w:val="000C6137"/>
    <w:rsid w:val="000C6737"/>
    <w:rsid w:val="000C6C9A"/>
    <w:rsid w:val="000C6CC5"/>
    <w:rsid w:val="000C70DC"/>
    <w:rsid w:val="000C712F"/>
    <w:rsid w:val="000C734C"/>
    <w:rsid w:val="000C76BC"/>
    <w:rsid w:val="000C77D6"/>
    <w:rsid w:val="000D050B"/>
    <w:rsid w:val="000D070E"/>
    <w:rsid w:val="000D07C8"/>
    <w:rsid w:val="000D0970"/>
    <w:rsid w:val="000D0B82"/>
    <w:rsid w:val="000D0CC1"/>
    <w:rsid w:val="000D1479"/>
    <w:rsid w:val="000D1550"/>
    <w:rsid w:val="000D1596"/>
    <w:rsid w:val="000D16B9"/>
    <w:rsid w:val="000D1762"/>
    <w:rsid w:val="000D17FC"/>
    <w:rsid w:val="000D183A"/>
    <w:rsid w:val="000D1851"/>
    <w:rsid w:val="000D1B7B"/>
    <w:rsid w:val="000D1E01"/>
    <w:rsid w:val="000D1E71"/>
    <w:rsid w:val="000D21E1"/>
    <w:rsid w:val="000D23E8"/>
    <w:rsid w:val="000D258C"/>
    <w:rsid w:val="000D2662"/>
    <w:rsid w:val="000D26A1"/>
    <w:rsid w:val="000D2B83"/>
    <w:rsid w:val="000D2BAF"/>
    <w:rsid w:val="000D2EFA"/>
    <w:rsid w:val="000D36AA"/>
    <w:rsid w:val="000D3875"/>
    <w:rsid w:val="000D38B9"/>
    <w:rsid w:val="000D3909"/>
    <w:rsid w:val="000D3950"/>
    <w:rsid w:val="000D3A29"/>
    <w:rsid w:val="000D3AFB"/>
    <w:rsid w:val="000D3CB3"/>
    <w:rsid w:val="000D3FF7"/>
    <w:rsid w:val="000D427D"/>
    <w:rsid w:val="000D4715"/>
    <w:rsid w:val="000D4799"/>
    <w:rsid w:val="000D48BF"/>
    <w:rsid w:val="000D4EB9"/>
    <w:rsid w:val="000D51CC"/>
    <w:rsid w:val="000D5280"/>
    <w:rsid w:val="000D5595"/>
    <w:rsid w:val="000D5715"/>
    <w:rsid w:val="000D579B"/>
    <w:rsid w:val="000D5933"/>
    <w:rsid w:val="000D5D27"/>
    <w:rsid w:val="000D6143"/>
    <w:rsid w:val="000D6240"/>
    <w:rsid w:val="000D6399"/>
    <w:rsid w:val="000D63F2"/>
    <w:rsid w:val="000D64A4"/>
    <w:rsid w:val="000D6854"/>
    <w:rsid w:val="000D6919"/>
    <w:rsid w:val="000D6B4E"/>
    <w:rsid w:val="000D6D52"/>
    <w:rsid w:val="000D6E51"/>
    <w:rsid w:val="000D7114"/>
    <w:rsid w:val="000D728C"/>
    <w:rsid w:val="000D756E"/>
    <w:rsid w:val="000D7750"/>
    <w:rsid w:val="000D7875"/>
    <w:rsid w:val="000D7928"/>
    <w:rsid w:val="000E00C0"/>
    <w:rsid w:val="000E0161"/>
    <w:rsid w:val="000E0459"/>
    <w:rsid w:val="000E0748"/>
    <w:rsid w:val="000E076C"/>
    <w:rsid w:val="000E0806"/>
    <w:rsid w:val="000E08F7"/>
    <w:rsid w:val="000E0A4D"/>
    <w:rsid w:val="000E0D34"/>
    <w:rsid w:val="000E0DC6"/>
    <w:rsid w:val="000E11E0"/>
    <w:rsid w:val="000E12F9"/>
    <w:rsid w:val="000E1429"/>
    <w:rsid w:val="000E1D7D"/>
    <w:rsid w:val="000E21C1"/>
    <w:rsid w:val="000E2251"/>
    <w:rsid w:val="000E25D8"/>
    <w:rsid w:val="000E2931"/>
    <w:rsid w:val="000E2937"/>
    <w:rsid w:val="000E3061"/>
    <w:rsid w:val="000E3270"/>
    <w:rsid w:val="000E34FA"/>
    <w:rsid w:val="000E3B27"/>
    <w:rsid w:val="000E3B92"/>
    <w:rsid w:val="000E3BF0"/>
    <w:rsid w:val="000E41FF"/>
    <w:rsid w:val="000E4216"/>
    <w:rsid w:val="000E42BA"/>
    <w:rsid w:val="000E52ED"/>
    <w:rsid w:val="000E552F"/>
    <w:rsid w:val="000E57F2"/>
    <w:rsid w:val="000E5E05"/>
    <w:rsid w:val="000E5F24"/>
    <w:rsid w:val="000E5F53"/>
    <w:rsid w:val="000E607E"/>
    <w:rsid w:val="000E6575"/>
    <w:rsid w:val="000E6958"/>
    <w:rsid w:val="000E6983"/>
    <w:rsid w:val="000E6A1E"/>
    <w:rsid w:val="000E74F3"/>
    <w:rsid w:val="000E7531"/>
    <w:rsid w:val="000E7864"/>
    <w:rsid w:val="000F0133"/>
    <w:rsid w:val="000F066D"/>
    <w:rsid w:val="000F0C60"/>
    <w:rsid w:val="000F0E49"/>
    <w:rsid w:val="000F124E"/>
    <w:rsid w:val="000F13F3"/>
    <w:rsid w:val="000F1887"/>
    <w:rsid w:val="000F194C"/>
    <w:rsid w:val="000F1E58"/>
    <w:rsid w:val="000F202C"/>
    <w:rsid w:val="000F2471"/>
    <w:rsid w:val="000F268F"/>
    <w:rsid w:val="000F2B32"/>
    <w:rsid w:val="000F2F78"/>
    <w:rsid w:val="000F3391"/>
    <w:rsid w:val="000F34D0"/>
    <w:rsid w:val="000F3A88"/>
    <w:rsid w:val="000F3CEA"/>
    <w:rsid w:val="000F425B"/>
    <w:rsid w:val="000F4386"/>
    <w:rsid w:val="000F44C9"/>
    <w:rsid w:val="000F453C"/>
    <w:rsid w:val="000F46C6"/>
    <w:rsid w:val="000F484A"/>
    <w:rsid w:val="000F4979"/>
    <w:rsid w:val="000F4C1E"/>
    <w:rsid w:val="000F4DE0"/>
    <w:rsid w:val="000F4F3B"/>
    <w:rsid w:val="000F4F51"/>
    <w:rsid w:val="000F5178"/>
    <w:rsid w:val="000F5183"/>
    <w:rsid w:val="000F51A8"/>
    <w:rsid w:val="000F55D1"/>
    <w:rsid w:val="000F564B"/>
    <w:rsid w:val="000F5764"/>
    <w:rsid w:val="000F5A77"/>
    <w:rsid w:val="000F5B5C"/>
    <w:rsid w:val="000F5BC0"/>
    <w:rsid w:val="000F5C49"/>
    <w:rsid w:val="000F5FC1"/>
    <w:rsid w:val="000F60E2"/>
    <w:rsid w:val="000F60EB"/>
    <w:rsid w:val="000F6112"/>
    <w:rsid w:val="000F64AB"/>
    <w:rsid w:val="000F6507"/>
    <w:rsid w:val="000F6625"/>
    <w:rsid w:val="000F692E"/>
    <w:rsid w:val="000F6D0C"/>
    <w:rsid w:val="000F6D8A"/>
    <w:rsid w:val="000F6EB9"/>
    <w:rsid w:val="000F71DF"/>
    <w:rsid w:val="000F71E7"/>
    <w:rsid w:val="000F73F6"/>
    <w:rsid w:val="000F7531"/>
    <w:rsid w:val="000F7E1A"/>
    <w:rsid w:val="000F7EC3"/>
    <w:rsid w:val="001002E6"/>
    <w:rsid w:val="001007EC"/>
    <w:rsid w:val="00100B59"/>
    <w:rsid w:val="00100B63"/>
    <w:rsid w:val="00100DDB"/>
    <w:rsid w:val="00100EAB"/>
    <w:rsid w:val="00101055"/>
    <w:rsid w:val="00101190"/>
    <w:rsid w:val="001011FB"/>
    <w:rsid w:val="00101585"/>
    <w:rsid w:val="0010179A"/>
    <w:rsid w:val="001019D7"/>
    <w:rsid w:val="00101ADF"/>
    <w:rsid w:val="00101AF2"/>
    <w:rsid w:val="00101B4A"/>
    <w:rsid w:val="00102945"/>
    <w:rsid w:val="001029DF"/>
    <w:rsid w:val="00102AD6"/>
    <w:rsid w:val="00102C5F"/>
    <w:rsid w:val="00102FE9"/>
    <w:rsid w:val="00103503"/>
    <w:rsid w:val="0010361D"/>
    <w:rsid w:val="001036FB"/>
    <w:rsid w:val="00103A16"/>
    <w:rsid w:val="00104028"/>
    <w:rsid w:val="001040DF"/>
    <w:rsid w:val="00104676"/>
    <w:rsid w:val="0010497A"/>
    <w:rsid w:val="00104A19"/>
    <w:rsid w:val="00104B36"/>
    <w:rsid w:val="00104BB2"/>
    <w:rsid w:val="00104D70"/>
    <w:rsid w:val="00104EE4"/>
    <w:rsid w:val="00104F6F"/>
    <w:rsid w:val="001053C8"/>
    <w:rsid w:val="001053D2"/>
    <w:rsid w:val="0010542A"/>
    <w:rsid w:val="001054B5"/>
    <w:rsid w:val="001055AE"/>
    <w:rsid w:val="001055FF"/>
    <w:rsid w:val="00105A69"/>
    <w:rsid w:val="00105C33"/>
    <w:rsid w:val="0010632E"/>
    <w:rsid w:val="001065D9"/>
    <w:rsid w:val="00106832"/>
    <w:rsid w:val="0010692A"/>
    <w:rsid w:val="00106F59"/>
    <w:rsid w:val="00107184"/>
    <w:rsid w:val="00107584"/>
    <w:rsid w:val="00107642"/>
    <w:rsid w:val="00107857"/>
    <w:rsid w:val="00107930"/>
    <w:rsid w:val="00107BB1"/>
    <w:rsid w:val="00107FF5"/>
    <w:rsid w:val="001101BA"/>
    <w:rsid w:val="001103A9"/>
    <w:rsid w:val="00110BEE"/>
    <w:rsid w:val="00110E92"/>
    <w:rsid w:val="00111547"/>
    <w:rsid w:val="0011182E"/>
    <w:rsid w:val="0011191D"/>
    <w:rsid w:val="00111B0E"/>
    <w:rsid w:val="00111C20"/>
    <w:rsid w:val="00112161"/>
    <w:rsid w:val="001123CD"/>
    <w:rsid w:val="001125E1"/>
    <w:rsid w:val="00112B89"/>
    <w:rsid w:val="00112E41"/>
    <w:rsid w:val="00112FB1"/>
    <w:rsid w:val="0011304D"/>
    <w:rsid w:val="00113113"/>
    <w:rsid w:val="001131E4"/>
    <w:rsid w:val="00113256"/>
    <w:rsid w:val="001133B6"/>
    <w:rsid w:val="001133ED"/>
    <w:rsid w:val="00113513"/>
    <w:rsid w:val="00113564"/>
    <w:rsid w:val="001137A7"/>
    <w:rsid w:val="00113843"/>
    <w:rsid w:val="00113923"/>
    <w:rsid w:val="00113A72"/>
    <w:rsid w:val="00113C58"/>
    <w:rsid w:val="00113C85"/>
    <w:rsid w:val="00113CEE"/>
    <w:rsid w:val="00113EA6"/>
    <w:rsid w:val="001144D9"/>
    <w:rsid w:val="00114749"/>
    <w:rsid w:val="00114ADB"/>
    <w:rsid w:val="00114D4D"/>
    <w:rsid w:val="00114DC5"/>
    <w:rsid w:val="00114F81"/>
    <w:rsid w:val="00115019"/>
    <w:rsid w:val="0011501B"/>
    <w:rsid w:val="001150F0"/>
    <w:rsid w:val="00115157"/>
    <w:rsid w:val="001152DF"/>
    <w:rsid w:val="0011539D"/>
    <w:rsid w:val="001153AD"/>
    <w:rsid w:val="001155EB"/>
    <w:rsid w:val="001156BA"/>
    <w:rsid w:val="001157F7"/>
    <w:rsid w:val="00115C61"/>
    <w:rsid w:val="00115F41"/>
    <w:rsid w:val="00115F47"/>
    <w:rsid w:val="0011629A"/>
    <w:rsid w:val="00116378"/>
    <w:rsid w:val="00116480"/>
    <w:rsid w:val="001169B2"/>
    <w:rsid w:val="00116CFC"/>
    <w:rsid w:val="00116D0A"/>
    <w:rsid w:val="00116D72"/>
    <w:rsid w:val="00116E38"/>
    <w:rsid w:val="00116EB6"/>
    <w:rsid w:val="00117104"/>
    <w:rsid w:val="0011721D"/>
    <w:rsid w:val="001173DF"/>
    <w:rsid w:val="0011760B"/>
    <w:rsid w:val="0011763E"/>
    <w:rsid w:val="00117751"/>
    <w:rsid w:val="00117AB4"/>
    <w:rsid w:val="00117AE5"/>
    <w:rsid w:val="00117C11"/>
    <w:rsid w:val="00117D1D"/>
    <w:rsid w:val="00117DB6"/>
    <w:rsid w:val="00117F75"/>
    <w:rsid w:val="00120390"/>
    <w:rsid w:val="001207B7"/>
    <w:rsid w:val="00120929"/>
    <w:rsid w:val="0012108F"/>
    <w:rsid w:val="0012141D"/>
    <w:rsid w:val="0012145B"/>
    <w:rsid w:val="0012159F"/>
    <w:rsid w:val="001217DF"/>
    <w:rsid w:val="0012183D"/>
    <w:rsid w:val="00121F49"/>
    <w:rsid w:val="001223B5"/>
    <w:rsid w:val="0012244F"/>
    <w:rsid w:val="001224E0"/>
    <w:rsid w:val="001224F0"/>
    <w:rsid w:val="001229FA"/>
    <w:rsid w:val="00122A43"/>
    <w:rsid w:val="00122BDF"/>
    <w:rsid w:val="00122D1D"/>
    <w:rsid w:val="00122F7B"/>
    <w:rsid w:val="00123050"/>
    <w:rsid w:val="001235C2"/>
    <w:rsid w:val="00123BC2"/>
    <w:rsid w:val="00123EDE"/>
    <w:rsid w:val="00124377"/>
    <w:rsid w:val="0012439B"/>
    <w:rsid w:val="001245BD"/>
    <w:rsid w:val="00124704"/>
    <w:rsid w:val="00124DB5"/>
    <w:rsid w:val="00124F7F"/>
    <w:rsid w:val="00124FA3"/>
    <w:rsid w:val="001252CA"/>
    <w:rsid w:val="00125715"/>
    <w:rsid w:val="00125B2E"/>
    <w:rsid w:val="0012606C"/>
    <w:rsid w:val="0012649D"/>
    <w:rsid w:val="001264E4"/>
    <w:rsid w:val="00126BEB"/>
    <w:rsid w:val="00126D46"/>
    <w:rsid w:val="00126E58"/>
    <w:rsid w:val="00126FE7"/>
    <w:rsid w:val="0012740C"/>
    <w:rsid w:val="001274F8"/>
    <w:rsid w:val="00127536"/>
    <w:rsid w:val="0013013B"/>
    <w:rsid w:val="00130387"/>
    <w:rsid w:val="00130578"/>
    <w:rsid w:val="001306A7"/>
    <w:rsid w:val="001307FD"/>
    <w:rsid w:val="00130B9F"/>
    <w:rsid w:val="00130C2F"/>
    <w:rsid w:val="00130E29"/>
    <w:rsid w:val="00130EDB"/>
    <w:rsid w:val="0013108F"/>
    <w:rsid w:val="0013111B"/>
    <w:rsid w:val="0013120E"/>
    <w:rsid w:val="00131278"/>
    <w:rsid w:val="001312F6"/>
    <w:rsid w:val="001314F1"/>
    <w:rsid w:val="001315FF"/>
    <w:rsid w:val="001319B9"/>
    <w:rsid w:val="001319DE"/>
    <w:rsid w:val="00131A12"/>
    <w:rsid w:val="00131EF6"/>
    <w:rsid w:val="00132074"/>
    <w:rsid w:val="001326DF"/>
    <w:rsid w:val="001327C9"/>
    <w:rsid w:val="00132A8E"/>
    <w:rsid w:val="00132A91"/>
    <w:rsid w:val="00132D9B"/>
    <w:rsid w:val="00132E4E"/>
    <w:rsid w:val="00132EBB"/>
    <w:rsid w:val="00133046"/>
    <w:rsid w:val="00133188"/>
    <w:rsid w:val="001334A0"/>
    <w:rsid w:val="0013368D"/>
    <w:rsid w:val="0013385F"/>
    <w:rsid w:val="00133DA8"/>
    <w:rsid w:val="00133E43"/>
    <w:rsid w:val="00133F25"/>
    <w:rsid w:val="00134268"/>
    <w:rsid w:val="00134355"/>
    <w:rsid w:val="00134512"/>
    <w:rsid w:val="00134949"/>
    <w:rsid w:val="00134B95"/>
    <w:rsid w:val="00134C69"/>
    <w:rsid w:val="00135A1D"/>
    <w:rsid w:val="00135A6D"/>
    <w:rsid w:val="00135D23"/>
    <w:rsid w:val="00135E31"/>
    <w:rsid w:val="00135EA5"/>
    <w:rsid w:val="00135F7C"/>
    <w:rsid w:val="0013651C"/>
    <w:rsid w:val="001367DD"/>
    <w:rsid w:val="00136A74"/>
    <w:rsid w:val="00136AF6"/>
    <w:rsid w:val="00136CFB"/>
    <w:rsid w:val="00137026"/>
    <w:rsid w:val="0013715F"/>
    <w:rsid w:val="00137470"/>
    <w:rsid w:val="00137624"/>
    <w:rsid w:val="001377C8"/>
    <w:rsid w:val="001379B6"/>
    <w:rsid w:val="00137E60"/>
    <w:rsid w:val="00137FC2"/>
    <w:rsid w:val="0014002A"/>
    <w:rsid w:val="00140220"/>
    <w:rsid w:val="00140344"/>
    <w:rsid w:val="00140404"/>
    <w:rsid w:val="00140464"/>
    <w:rsid w:val="001405A3"/>
    <w:rsid w:val="0014060F"/>
    <w:rsid w:val="001406F0"/>
    <w:rsid w:val="00140A9E"/>
    <w:rsid w:val="00140B8F"/>
    <w:rsid w:val="00140C3E"/>
    <w:rsid w:val="00140D07"/>
    <w:rsid w:val="00140FEA"/>
    <w:rsid w:val="00141367"/>
    <w:rsid w:val="00141421"/>
    <w:rsid w:val="00141CF6"/>
    <w:rsid w:val="001421C8"/>
    <w:rsid w:val="0014236A"/>
    <w:rsid w:val="00142682"/>
    <w:rsid w:val="0014271B"/>
    <w:rsid w:val="00142857"/>
    <w:rsid w:val="00142EFC"/>
    <w:rsid w:val="0014337E"/>
    <w:rsid w:val="0014351C"/>
    <w:rsid w:val="00143702"/>
    <w:rsid w:val="00143A84"/>
    <w:rsid w:val="00143BBA"/>
    <w:rsid w:val="00143F30"/>
    <w:rsid w:val="001442ED"/>
    <w:rsid w:val="001442FD"/>
    <w:rsid w:val="0014434A"/>
    <w:rsid w:val="001444F2"/>
    <w:rsid w:val="00144573"/>
    <w:rsid w:val="001449E7"/>
    <w:rsid w:val="00144E80"/>
    <w:rsid w:val="00145088"/>
    <w:rsid w:val="0014558E"/>
    <w:rsid w:val="001455F8"/>
    <w:rsid w:val="001457BF"/>
    <w:rsid w:val="001459C2"/>
    <w:rsid w:val="00145C15"/>
    <w:rsid w:val="00145DC4"/>
    <w:rsid w:val="00145ECE"/>
    <w:rsid w:val="0014613C"/>
    <w:rsid w:val="00146144"/>
    <w:rsid w:val="00146286"/>
    <w:rsid w:val="00146601"/>
    <w:rsid w:val="00146895"/>
    <w:rsid w:val="00146943"/>
    <w:rsid w:val="00146DAA"/>
    <w:rsid w:val="0014791F"/>
    <w:rsid w:val="00147A72"/>
    <w:rsid w:val="00150048"/>
    <w:rsid w:val="00150060"/>
    <w:rsid w:val="00150205"/>
    <w:rsid w:val="001505A5"/>
    <w:rsid w:val="00150C8A"/>
    <w:rsid w:val="00150C91"/>
    <w:rsid w:val="00150CB8"/>
    <w:rsid w:val="00151064"/>
    <w:rsid w:val="001512E8"/>
    <w:rsid w:val="00151D18"/>
    <w:rsid w:val="0015236E"/>
    <w:rsid w:val="00152669"/>
    <w:rsid w:val="00152995"/>
    <w:rsid w:val="00153174"/>
    <w:rsid w:val="001532C0"/>
    <w:rsid w:val="00153684"/>
    <w:rsid w:val="0015375E"/>
    <w:rsid w:val="001538AC"/>
    <w:rsid w:val="0015397B"/>
    <w:rsid w:val="00153B7C"/>
    <w:rsid w:val="00153E3B"/>
    <w:rsid w:val="00154050"/>
    <w:rsid w:val="00154264"/>
    <w:rsid w:val="0015431E"/>
    <w:rsid w:val="0015436E"/>
    <w:rsid w:val="001543AA"/>
    <w:rsid w:val="00154649"/>
    <w:rsid w:val="0015468F"/>
    <w:rsid w:val="0015487C"/>
    <w:rsid w:val="00154C8A"/>
    <w:rsid w:val="001552E7"/>
    <w:rsid w:val="0015532B"/>
    <w:rsid w:val="001554A7"/>
    <w:rsid w:val="001555DD"/>
    <w:rsid w:val="00155B36"/>
    <w:rsid w:val="00155B38"/>
    <w:rsid w:val="00155C20"/>
    <w:rsid w:val="00155C9F"/>
    <w:rsid w:val="00156277"/>
    <w:rsid w:val="001563C9"/>
    <w:rsid w:val="00156856"/>
    <w:rsid w:val="00156889"/>
    <w:rsid w:val="0015694E"/>
    <w:rsid w:val="00156A3A"/>
    <w:rsid w:val="00156C99"/>
    <w:rsid w:val="00156CD4"/>
    <w:rsid w:val="00156F87"/>
    <w:rsid w:val="00157079"/>
    <w:rsid w:val="0015722F"/>
    <w:rsid w:val="00157270"/>
    <w:rsid w:val="0015730F"/>
    <w:rsid w:val="0015737F"/>
    <w:rsid w:val="001578AE"/>
    <w:rsid w:val="00157A67"/>
    <w:rsid w:val="00157BCA"/>
    <w:rsid w:val="00160139"/>
    <w:rsid w:val="00160267"/>
    <w:rsid w:val="001603EB"/>
    <w:rsid w:val="00160584"/>
    <w:rsid w:val="0016090F"/>
    <w:rsid w:val="00160986"/>
    <w:rsid w:val="001610BB"/>
    <w:rsid w:val="001610DB"/>
    <w:rsid w:val="001610F7"/>
    <w:rsid w:val="00161495"/>
    <w:rsid w:val="0016152A"/>
    <w:rsid w:val="001615CC"/>
    <w:rsid w:val="00161A72"/>
    <w:rsid w:val="00161A84"/>
    <w:rsid w:val="00161B95"/>
    <w:rsid w:val="00161C86"/>
    <w:rsid w:val="00161E50"/>
    <w:rsid w:val="00161F18"/>
    <w:rsid w:val="001629F0"/>
    <w:rsid w:val="00162A8F"/>
    <w:rsid w:val="00162AD5"/>
    <w:rsid w:val="00162B1C"/>
    <w:rsid w:val="00162CD2"/>
    <w:rsid w:val="00162D37"/>
    <w:rsid w:val="00162DA0"/>
    <w:rsid w:val="00163416"/>
    <w:rsid w:val="0016368D"/>
    <w:rsid w:val="00163B4E"/>
    <w:rsid w:val="00163D99"/>
    <w:rsid w:val="00163E5F"/>
    <w:rsid w:val="00164129"/>
    <w:rsid w:val="001647FF"/>
    <w:rsid w:val="001648E7"/>
    <w:rsid w:val="00164970"/>
    <w:rsid w:val="00164ACE"/>
    <w:rsid w:val="00164C33"/>
    <w:rsid w:val="00164D72"/>
    <w:rsid w:val="00165009"/>
    <w:rsid w:val="001651DB"/>
    <w:rsid w:val="00165367"/>
    <w:rsid w:val="0016538C"/>
    <w:rsid w:val="00165AEF"/>
    <w:rsid w:val="00165C68"/>
    <w:rsid w:val="00165DF1"/>
    <w:rsid w:val="001667AE"/>
    <w:rsid w:val="001668D0"/>
    <w:rsid w:val="00166CA0"/>
    <w:rsid w:val="00166E8F"/>
    <w:rsid w:val="0016731D"/>
    <w:rsid w:val="00167561"/>
    <w:rsid w:val="00167A1B"/>
    <w:rsid w:val="00167B7B"/>
    <w:rsid w:val="00167BF6"/>
    <w:rsid w:val="00167E71"/>
    <w:rsid w:val="001705C2"/>
    <w:rsid w:val="001707A8"/>
    <w:rsid w:val="001707DE"/>
    <w:rsid w:val="00170958"/>
    <w:rsid w:val="00170DB4"/>
    <w:rsid w:val="001713D4"/>
    <w:rsid w:val="001716FB"/>
    <w:rsid w:val="00171A8F"/>
    <w:rsid w:val="00171F94"/>
    <w:rsid w:val="00172078"/>
    <w:rsid w:val="00172215"/>
    <w:rsid w:val="00172437"/>
    <w:rsid w:val="0017265B"/>
    <w:rsid w:val="001726BB"/>
    <w:rsid w:val="001728F0"/>
    <w:rsid w:val="00172CF2"/>
    <w:rsid w:val="00173013"/>
    <w:rsid w:val="0017328B"/>
    <w:rsid w:val="0017349E"/>
    <w:rsid w:val="0017372F"/>
    <w:rsid w:val="00173957"/>
    <w:rsid w:val="00173B6B"/>
    <w:rsid w:val="00173DCF"/>
    <w:rsid w:val="00174098"/>
    <w:rsid w:val="00174191"/>
    <w:rsid w:val="00174471"/>
    <w:rsid w:val="001745AC"/>
    <w:rsid w:val="001745B0"/>
    <w:rsid w:val="001746E7"/>
    <w:rsid w:val="00174744"/>
    <w:rsid w:val="00174945"/>
    <w:rsid w:val="00174BC1"/>
    <w:rsid w:val="00174D7B"/>
    <w:rsid w:val="00174EA8"/>
    <w:rsid w:val="00174F73"/>
    <w:rsid w:val="001752CF"/>
    <w:rsid w:val="00175340"/>
    <w:rsid w:val="00175594"/>
    <w:rsid w:val="001755A8"/>
    <w:rsid w:val="00175AB3"/>
    <w:rsid w:val="00175D0D"/>
    <w:rsid w:val="00175D9E"/>
    <w:rsid w:val="00175FDF"/>
    <w:rsid w:val="0017600E"/>
    <w:rsid w:val="001761EA"/>
    <w:rsid w:val="001766A5"/>
    <w:rsid w:val="00176B35"/>
    <w:rsid w:val="00176C5C"/>
    <w:rsid w:val="00176EC0"/>
    <w:rsid w:val="00176EF0"/>
    <w:rsid w:val="0017716A"/>
    <w:rsid w:val="001771EC"/>
    <w:rsid w:val="001772A9"/>
    <w:rsid w:val="0017793B"/>
    <w:rsid w:val="00177BD8"/>
    <w:rsid w:val="00177EDF"/>
    <w:rsid w:val="0018009A"/>
    <w:rsid w:val="001800DF"/>
    <w:rsid w:val="00180788"/>
    <w:rsid w:val="00180D48"/>
    <w:rsid w:val="0018123C"/>
    <w:rsid w:val="001817F6"/>
    <w:rsid w:val="00181A27"/>
    <w:rsid w:val="00181C43"/>
    <w:rsid w:val="00181CB1"/>
    <w:rsid w:val="00181EC3"/>
    <w:rsid w:val="00182139"/>
    <w:rsid w:val="0018261F"/>
    <w:rsid w:val="00182630"/>
    <w:rsid w:val="0018290E"/>
    <w:rsid w:val="0018299F"/>
    <w:rsid w:val="00182C82"/>
    <w:rsid w:val="00182DDA"/>
    <w:rsid w:val="00182EE8"/>
    <w:rsid w:val="00182FFA"/>
    <w:rsid w:val="0018338C"/>
    <w:rsid w:val="00183448"/>
    <w:rsid w:val="00183585"/>
    <w:rsid w:val="00183633"/>
    <w:rsid w:val="0018375A"/>
    <w:rsid w:val="00183883"/>
    <w:rsid w:val="00183890"/>
    <w:rsid w:val="00183BE3"/>
    <w:rsid w:val="00183D28"/>
    <w:rsid w:val="00184014"/>
    <w:rsid w:val="0018417D"/>
    <w:rsid w:val="001844AA"/>
    <w:rsid w:val="001844F6"/>
    <w:rsid w:val="001845C9"/>
    <w:rsid w:val="001846D7"/>
    <w:rsid w:val="0018476A"/>
    <w:rsid w:val="00184776"/>
    <w:rsid w:val="00184C38"/>
    <w:rsid w:val="00184DCC"/>
    <w:rsid w:val="00184F11"/>
    <w:rsid w:val="00185662"/>
    <w:rsid w:val="001857F8"/>
    <w:rsid w:val="00185B5A"/>
    <w:rsid w:val="001864D0"/>
    <w:rsid w:val="001865D6"/>
    <w:rsid w:val="00186660"/>
    <w:rsid w:val="00186A49"/>
    <w:rsid w:val="00186EC0"/>
    <w:rsid w:val="00187167"/>
    <w:rsid w:val="0018729D"/>
    <w:rsid w:val="0018760D"/>
    <w:rsid w:val="001876E3"/>
    <w:rsid w:val="0018791D"/>
    <w:rsid w:val="00190145"/>
    <w:rsid w:val="00190238"/>
    <w:rsid w:val="00190682"/>
    <w:rsid w:val="001907F9"/>
    <w:rsid w:val="001908FA"/>
    <w:rsid w:val="00190B54"/>
    <w:rsid w:val="00190C80"/>
    <w:rsid w:val="00190E7C"/>
    <w:rsid w:val="00191ADF"/>
    <w:rsid w:val="00191BBD"/>
    <w:rsid w:val="00191C60"/>
    <w:rsid w:val="00191E19"/>
    <w:rsid w:val="00191E33"/>
    <w:rsid w:val="00192145"/>
    <w:rsid w:val="001923D9"/>
    <w:rsid w:val="001925BF"/>
    <w:rsid w:val="00192987"/>
    <w:rsid w:val="001929B6"/>
    <w:rsid w:val="00192B98"/>
    <w:rsid w:val="00192CDA"/>
    <w:rsid w:val="00192DAB"/>
    <w:rsid w:val="00192E7F"/>
    <w:rsid w:val="00193195"/>
    <w:rsid w:val="001932E1"/>
    <w:rsid w:val="0019364F"/>
    <w:rsid w:val="001936F3"/>
    <w:rsid w:val="00193798"/>
    <w:rsid w:val="00193C72"/>
    <w:rsid w:val="00194070"/>
    <w:rsid w:val="001946BC"/>
    <w:rsid w:val="00194800"/>
    <w:rsid w:val="001948E5"/>
    <w:rsid w:val="00194A03"/>
    <w:rsid w:val="00194EEB"/>
    <w:rsid w:val="001950F5"/>
    <w:rsid w:val="00195240"/>
    <w:rsid w:val="001953C8"/>
    <w:rsid w:val="00195440"/>
    <w:rsid w:val="001954FB"/>
    <w:rsid w:val="00195589"/>
    <w:rsid w:val="00195663"/>
    <w:rsid w:val="00195A25"/>
    <w:rsid w:val="00195C94"/>
    <w:rsid w:val="00195CE8"/>
    <w:rsid w:val="00195DEF"/>
    <w:rsid w:val="00195F3E"/>
    <w:rsid w:val="00196191"/>
    <w:rsid w:val="0019640F"/>
    <w:rsid w:val="00196489"/>
    <w:rsid w:val="0019669C"/>
    <w:rsid w:val="00197009"/>
    <w:rsid w:val="00197158"/>
    <w:rsid w:val="0019718C"/>
    <w:rsid w:val="00197392"/>
    <w:rsid w:val="00197569"/>
    <w:rsid w:val="00197570"/>
    <w:rsid w:val="001975EF"/>
    <w:rsid w:val="00197756"/>
    <w:rsid w:val="0019788B"/>
    <w:rsid w:val="001978D8"/>
    <w:rsid w:val="00197947"/>
    <w:rsid w:val="00197A8B"/>
    <w:rsid w:val="00197E4C"/>
    <w:rsid w:val="00197EC3"/>
    <w:rsid w:val="001A0106"/>
    <w:rsid w:val="001A0298"/>
    <w:rsid w:val="001A0788"/>
    <w:rsid w:val="001A0C91"/>
    <w:rsid w:val="001A0DD0"/>
    <w:rsid w:val="001A1115"/>
    <w:rsid w:val="001A134F"/>
    <w:rsid w:val="001A153C"/>
    <w:rsid w:val="001A1677"/>
    <w:rsid w:val="001A16E7"/>
    <w:rsid w:val="001A1C48"/>
    <w:rsid w:val="001A1EAA"/>
    <w:rsid w:val="001A220C"/>
    <w:rsid w:val="001A276E"/>
    <w:rsid w:val="001A2A1E"/>
    <w:rsid w:val="001A2A34"/>
    <w:rsid w:val="001A2A80"/>
    <w:rsid w:val="001A3051"/>
    <w:rsid w:val="001A3317"/>
    <w:rsid w:val="001A34CA"/>
    <w:rsid w:val="001A3AF1"/>
    <w:rsid w:val="001A3CF0"/>
    <w:rsid w:val="001A3DCF"/>
    <w:rsid w:val="001A40C5"/>
    <w:rsid w:val="001A45B7"/>
    <w:rsid w:val="001A4669"/>
    <w:rsid w:val="001A4956"/>
    <w:rsid w:val="001A496B"/>
    <w:rsid w:val="001A4C52"/>
    <w:rsid w:val="001A4D9C"/>
    <w:rsid w:val="001A52F4"/>
    <w:rsid w:val="001A555A"/>
    <w:rsid w:val="001A5590"/>
    <w:rsid w:val="001A57BD"/>
    <w:rsid w:val="001A5BA8"/>
    <w:rsid w:val="001A5BC7"/>
    <w:rsid w:val="001A5C91"/>
    <w:rsid w:val="001A5CCE"/>
    <w:rsid w:val="001A5D28"/>
    <w:rsid w:val="001A5E19"/>
    <w:rsid w:val="001A6C6D"/>
    <w:rsid w:val="001A6C8E"/>
    <w:rsid w:val="001A6D72"/>
    <w:rsid w:val="001A6DBF"/>
    <w:rsid w:val="001A6E7B"/>
    <w:rsid w:val="001A6F23"/>
    <w:rsid w:val="001A7673"/>
    <w:rsid w:val="001A7730"/>
    <w:rsid w:val="001A7B06"/>
    <w:rsid w:val="001A7BEA"/>
    <w:rsid w:val="001A7CD9"/>
    <w:rsid w:val="001B03C2"/>
    <w:rsid w:val="001B03E2"/>
    <w:rsid w:val="001B052F"/>
    <w:rsid w:val="001B074F"/>
    <w:rsid w:val="001B0830"/>
    <w:rsid w:val="001B08B6"/>
    <w:rsid w:val="001B0A89"/>
    <w:rsid w:val="001B1628"/>
    <w:rsid w:val="001B1675"/>
    <w:rsid w:val="001B1676"/>
    <w:rsid w:val="001B1708"/>
    <w:rsid w:val="001B1DFF"/>
    <w:rsid w:val="001B1E03"/>
    <w:rsid w:val="001B1F4D"/>
    <w:rsid w:val="001B20E9"/>
    <w:rsid w:val="001B2120"/>
    <w:rsid w:val="001B2127"/>
    <w:rsid w:val="001B229B"/>
    <w:rsid w:val="001B2818"/>
    <w:rsid w:val="001B3041"/>
    <w:rsid w:val="001B353A"/>
    <w:rsid w:val="001B3677"/>
    <w:rsid w:val="001B3794"/>
    <w:rsid w:val="001B38BC"/>
    <w:rsid w:val="001B3B29"/>
    <w:rsid w:val="001B3D6A"/>
    <w:rsid w:val="001B3DA8"/>
    <w:rsid w:val="001B3FC7"/>
    <w:rsid w:val="001B4046"/>
    <w:rsid w:val="001B40E3"/>
    <w:rsid w:val="001B43E9"/>
    <w:rsid w:val="001B4D29"/>
    <w:rsid w:val="001B5B1B"/>
    <w:rsid w:val="001B5F8C"/>
    <w:rsid w:val="001B611F"/>
    <w:rsid w:val="001B647E"/>
    <w:rsid w:val="001B6683"/>
    <w:rsid w:val="001B66C8"/>
    <w:rsid w:val="001B682D"/>
    <w:rsid w:val="001B68BF"/>
    <w:rsid w:val="001B6DAD"/>
    <w:rsid w:val="001B70C4"/>
    <w:rsid w:val="001B7450"/>
    <w:rsid w:val="001B795A"/>
    <w:rsid w:val="001B79F3"/>
    <w:rsid w:val="001B7A2B"/>
    <w:rsid w:val="001B7CA7"/>
    <w:rsid w:val="001B7D00"/>
    <w:rsid w:val="001B7EE1"/>
    <w:rsid w:val="001C0049"/>
    <w:rsid w:val="001C0065"/>
    <w:rsid w:val="001C0168"/>
    <w:rsid w:val="001C09C0"/>
    <w:rsid w:val="001C0A89"/>
    <w:rsid w:val="001C10EB"/>
    <w:rsid w:val="001C127E"/>
    <w:rsid w:val="001C1434"/>
    <w:rsid w:val="001C1A58"/>
    <w:rsid w:val="001C1A75"/>
    <w:rsid w:val="001C1EE2"/>
    <w:rsid w:val="001C214D"/>
    <w:rsid w:val="001C21B8"/>
    <w:rsid w:val="001C220A"/>
    <w:rsid w:val="001C273F"/>
    <w:rsid w:val="001C288D"/>
    <w:rsid w:val="001C2A6E"/>
    <w:rsid w:val="001C2ADB"/>
    <w:rsid w:val="001C2B45"/>
    <w:rsid w:val="001C2B9E"/>
    <w:rsid w:val="001C2CAA"/>
    <w:rsid w:val="001C333C"/>
    <w:rsid w:val="001C3B20"/>
    <w:rsid w:val="001C3E6F"/>
    <w:rsid w:val="001C4160"/>
    <w:rsid w:val="001C4476"/>
    <w:rsid w:val="001C4870"/>
    <w:rsid w:val="001C4A1B"/>
    <w:rsid w:val="001C4D26"/>
    <w:rsid w:val="001C4F11"/>
    <w:rsid w:val="001C4F91"/>
    <w:rsid w:val="001C51ED"/>
    <w:rsid w:val="001C53C9"/>
    <w:rsid w:val="001C540F"/>
    <w:rsid w:val="001C559E"/>
    <w:rsid w:val="001C5CE1"/>
    <w:rsid w:val="001C602F"/>
    <w:rsid w:val="001C61FD"/>
    <w:rsid w:val="001C633A"/>
    <w:rsid w:val="001C6362"/>
    <w:rsid w:val="001C63E4"/>
    <w:rsid w:val="001C6563"/>
    <w:rsid w:val="001C6594"/>
    <w:rsid w:val="001C6EBE"/>
    <w:rsid w:val="001C70E8"/>
    <w:rsid w:val="001C7239"/>
    <w:rsid w:val="001C73ED"/>
    <w:rsid w:val="001C78A0"/>
    <w:rsid w:val="001C7ADC"/>
    <w:rsid w:val="001C7C6E"/>
    <w:rsid w:val="001C7E20"/>
    <w:rsid w:val="001D05D5"/>
    <w:rsid w:val="001D08AC"/>
    <w:rsid w:val="001D0CA4"/>
    <w:rsid w:val="001D0D40"/>
    <w:rsid w:val="001D0F07"/>
    <w:rsid w:val="001D0F25"/>
    <w:rsid w:val="001D14E4"/>
    <w:rsid w:val="001D150D"/>
    <w:rsid w:val="001D1A52"/>
    <w:rsid w:val="001D1AA6"/>
    <w:rsid w:val="001D1FC9"/>
    <w:rsid w:val="001D2128"/>
    <w:rsid w:val="001D21FC"/>
    <w:rsid w:val="001D246B"/>
    <w:rsid w:val="001D24C5"/>
    <w:rsid w:val="001D2730"/>
    <w:rsid w:val="001D27DE"/>
    <w:rsid w:val="001D294C"/>
    <w:rsid w:val="001D2A4B"/>
    <w:rsid w:val="001D2ECC"/>
    <w:rsid w:val="001D3452"/>
    <w:rsid w:val="001D365D"/>
    <w:rsid w:val="001D3678"/>
    <w:rsid w:val="001D378A"/>
    <w:rsid w:val="001D3803"/>
    <w:rsid w:val="001D399A"/>
    <w:rsid w:val="001D39F3"/>
    <w:rsid w:val="001D3C55"/>
    <w:rsid w:val="001D3D15"/>
    <w:rsid w:val="001D3DAB"/>
    <w:rsid w:val="001D3F15"/>
    <w:rsid w:val="001D3F47"/>
    <w:rsid w:val="001D45F5"/>
    <w:rsid w:val="001D4615"/>
    <w:rsid w:val="001D498B"/>
    <w:rsid w:val="001D4A07"/>
    <w:rsid w:val="001D4B8F"/>
    <w:rsid w:val="001D4C40"/>
    <w:rsid w:val="001D4DDC"/>
    <w:rsid w:val="001D4E98"/>
    <w:rsid w:val="001D511B"/>
    <w:rsid w:val="001D547B"/>
    <w:rsid w:val="001D562A"/>
    <w:rsid w:val="001D5F0B"/>
    <w:rsid w:val="001D60ED"/>
    <w:rsid w:val="001D66E9"/>
    <w:rsid w:val="001D6BE4"/>
    <w:rsid w:val="001D73F3"/>
    <w:rsid w:val="001D74DC"/>
    <w:rsid w:val="001D758A"/>
    <w:rsid w:val="001D75D1"/>
    <w:rsid w:val="001D7B93"/>
    <w:rsid w:val="001D7CF3"/>
    <w:rsid w:val="001E02F9"/>
    <w:rsid w:val="001E040C"/>
    <w:rsid w:val="001E0820"/>
    <w:rsid w:val="001E0C03"/>
    <w:rsid w:val="001E0F93"/>
    <w:rsid w:val="001E1054"/>
    <w:rsid w:val="001E1A21"/>
    <w:rsid w:val="001E1B09"/>
    <w:rsid w:val="001E1C7A"/>
    <w:rsid w:val="001E1FEF"/>
    <w:rsid w:val="001E2032"/>
    <w:rsid w:val="001E2319"/>
    <w:rsid w:val="001E2429"/>
    <w:rsid w:val="001E2488"/>
    <w:rsid w:val="001E2992"/>
    <w:rsid w:val="001E2F4B"/>
    <w:rsid w:val="001E30CE"/>
    <w:rsid w:val="001E318A"/>
    <w:rsid w:val="001E31A6"/>
    <w:rsid w:val="001E338A"/>
    <w:rsid w:val="001E3676"/>
    <w:rsid w:val="001E373A"/>
    <w:rsid w:val="001E3A2D"/>
    <w:rsid w:val="001E3AF8"/>
    <w:rsid w:val="001E3CE8"/>
    <w:rsid w:val="001E3F48"/>
    <w:rsid w:val="001E3FEF"/>
    <w:rsid w:val="001E458D"/>
    <w:rsid w:val="001E4724"/>
    <w:rsid w:val="001E49C6"/>
    <w:rsid w:val="001E4A73"/>
    <w:rsid w:val="001E4D62"/>
    <w:rsid w:val="001E4D80"/>
    <w:rsid w:val="001E5005"/>
    <w:rsid w:val="001E510A"/>
    <w:rsid w:val="001E5230"/>
    <w:rsid w:val="001E5274"/>
    <w:rsid w:val="001E527C"/>
    <w:rsid w:val="001E52D9"/>
    <w:rsid w:val="001E54A7"/>
    <w:rsid w:val="001E54FB"/>
    <w:rsid w:val="001E5C05"/>
    <w:rsid w:val="001E5D0E"/>
    <w:rsid w:val="001E5D38"/>
    <w:rsid w:val="001E5D7B"/>
    <w:rsid w:val="001E5D99"/>
    <w:rsid w:val="001E5DD3"/>
    <w:rsid w:val="001E5DE5"/>
    <w:rsid w:val="001E5E10"/>
    <w:rsid w:val="001E65AF"/>
    <w:rsid w:val="001E674A"/>
    <w:rsid w:val="001E67C0"/>
    <w:rsid w:val="001E6B0D"/>
    <w:rsid w:val="001E6B3B"/>
    <w:rsid w:val="001E6ED9"/>
    <w:rsid w:val="001E72A0"/>
    <w:rsid w:val="001E7347"/>
    <w:rsid w:val="001E78C1"/>
    <w:rsid w:val="001E78F1"/>
    <w:rsid w:val="001E7B86"/>
    <w:rsid w:val="001E7D50"/>
    <w:rsid w:val="001E7E82"/>
    <w:rsid w:val="001F0084"/>
    <w:rsid w:val="001F0206"/>
    <w:rsid w:val="001F032F"/>
    <w:rsid w:val="001F064E"/>
    <w:rsid w:val="001F0788"/>
    <w:rsid w:val="001F0803"/>
    <w:rsid w:val="001F0E55"/>
    <w:rsid w:val="001F0EA5"/>
    <w:rsid w:val="001F0EED"/>
    <w:rsid w:val="001F1130"/>
    <w:rsid w:val="001F17C9"/>
    <w:rsid w:val="001F17ED"/>
    <w:rsid w:val="001F18A8"/>
    <w:rsid w:val="001F19E1"/>
    <w:rsid w:val="001F1A05"/>
    <w:rsid w:val="001F1AA0"/>
    <w:rsid w:val="001F1F6F"/>
    <w:rsid w:val="001F22BC"/>
    <w:rsid w:val="001F2433"/>
    <w:rsid w:val="001F30CA"/>
    <w:rsid w:val="001F3377"/>
    <w:rsid w:val="001F33E0"/>
    <w:rsid w:val="001F3603"/>
    <w:rsid w:val="001F3631"/>
    <w:rsid w:val="001F3709"/>
    <w:rsid w:val="001F3915"/>
    <w:rsid w:val="001F3B1E"/>
    <w:rsid w:val="001F3E97"/>
    <w:rsid w:val="001F3F44"/>
    <w:rsid w:val="001F3FAC"/>
    <w:rsid w:val="001F4473"/>
    <w:rsid w:val="001F4899"/>
    <w:rsid w:val="001F48B6"/>
    <w:rsid w:val="001F4956"/>
    <w:rsid w:val="001F4CD3"/>
    <w:rsid w:val="001F4CF1"/>
    <w:rsid w:val="001F4D38"/>
    <w:rsid w:val="001F4F36"/>
    <w:rsid w:val="001F57E1"/>
    <w:rsid w:val="001F5933"/>
    <w:rsid w:val="001F5D3A"/>
    <w:rsid w:val="001F5E89"/>
    <w:rsid w:val="001F5F74"/>
    <w:rsid w:val="001F5FAA"/>
    <w:rsid w:val="001F6158"/>
    <w:rsid w:val="001F61FF"/>
    <w:rsid w:val="001F6435"/>
    <w:rsid w:val="001F65AA"/>
    <w:rsid w:val="001F67BC"/>
    <w:rsid w:val="001F6A58"/>
    <w:rsid w:val="001F6B51"/>
    <w:rsid w:val="001F6CA1"/>
    <w:rsid w:val="001F6DCC"/>
    <w:rsid w:val="001F7076"/>
    <w:rsid w:val="001F707C"/>
    <w:rsid w:val="001F76BE"/>
    <w:rsid w:val="001F7AF6"/>
    <w:rsid w:val="001F7C9F"/>
    <w:rsid w:val="001F7DAB"/>
    <w:rsid w:val="001F7DBF"/>
    <w:rsid w:val="0020002C"/>
    <w:rsid w:val="0020003A"/>
    <w:rsid w:val="00200094"/>
    <w:rsid w:val="00200215"/>
    <w:rsid w:val="00200286"/>
    <w:rsid w:val="002009C1"/>
    <w:rsid w:val="00200A0E"/>
    <w:rsid w:val="00200B87"/>
    <w:rsid w:val="0020129A"/>
    <w:rsid w:val="00201355"/>
    <w:rsid w:val="00201777"/>
    <w:rsid w:val="00201CDF"/>
    <w:rsid w:val="00201F34"/>
    <w:rsid w:val="00202E97"/>
    <w:rsid w:val="002030AD"/>
    <w:rsid w:val="002034AC"/>
    <w:rsid w:val="002035C6"/>
    <w:rsid w:val="002039B7"/>
    <w:rsid w:val="002039CB"/>
    <w:rsid w:val="00203C7D"/>
    <w:rsid w:val="00203CA7"/>
    <w:rsid w:val="00203CAE"/>
    <w:rsid w:val="00203DE0"/>
    <w:rsid w:val="00204190"/>
    <w:rsid w:val="002041DD"/>
    <w:rsid w:val="002041FB"/>
    <w:rsid w:val="00204388"/>
    <w:rsid w:val="00204522"/>
    <w:rsid w:val="0020454E"/>
    <w:rsid w:val="00204937"/>
    <w:rsid w:val="00204B15"/>
    <w:rsid w:val="00204B60"/>
    <w:rsid w:val="00204B81"/>
    <w:rsid w:val="00204E78"/>
    <w:rsid w:val="002054A0"/>
    <w:rsid w:val="002055D7"/>
    <w:rsid w:val="0020563C"/>
    <w:rsid w:val="002056AC"/>
    <w:rsid w:val="00205708"/>
    <w:rsid w:val="002059AB"/>
    <w:rsid w:val="00205C17"/>
    <w:rsid w:val="00205D97"/>
    <w:rsid w:val="00205E25"/>
    <w:rsid w:val="002065A7"/>
    <w:rsid w:val="00206642"/>
    <w:rsid w:val="00206A5A"/>
    <w:rsid w:val="00206AF9"/>
    <w:rsid w:val="00206E91"/>
    <w:rsid w:val="0020717F"/>
    <w:rsid w:val="0020760B"/>
    <w:rsid w:val="002078A0"/>
    <w:rsid w:val="00207B33"/>
    <w:rsid w:val="00207C97"/>
    <w:rsid w:val="00207D82"/>
    <w:rsid w:val="00207D99"/>
    <w:rsid w:val="00207DE4"/>
    <w:rsid w:val="002102E0"/>
    <w:rsid w:val="002105EA"/>
    <w:rsid w:val="0021082B"/>
    <w:rsid w:val="002109B5"/>
    <w:rsid w:val="00210CF0"/>
    <w:rsid w:val="00210D38"/>
    <w:rsid w:val="0021120D"/>
    <w:rsid w:val="0021121A"/>
    <w:rsid w:val="00211460"/>
    <w:rsid w:val="0021167C"/>
    <w:rsid w:val="0021177E"/>
    <w:rsid w:val="0021199C"/>
    <w:rsid w:val="00211DF0"/>
    <w:rsid w:val="002125C0"/>
    <w:rsid w:val="00212621"/>
    <w:rsid w:val="00212688"/>
    <w:rsid w:val="00212ACF"/>
    <w:rsid w:val="00212AEB"/>
    <w:rsid w:val="00212C9E"/>
    <w:rsid w:val="00212DE6"/>
    <w:rsid w:val="00213155"/>
    <w:rsid w:val="002136AF"/>
    <w:rsid w:val="00213A1D"/>
    <w:rsid w:val="00213CC4"/>
    <w:rsid w:val="00213CDE"/>
    <w:rsid w:val="00213DDE"/>
    <w:rsid w:val="00213F1E"/>
    <w:rsid w:val="00214126"/>
    <w:rsid w:val="002141B4"/>
    <w:rsid w:val="00214352"/>
    <w:rsid w:val="00214421"/>
    <w:rsid w:val="0021443F"/>
    <w:rsid w:val="00214446"/>
    <w:rsid w:val="002145C1"/>
    <w:rsid w:val="00214A70"/>
    <w:rsid w:val="00214CAC"/>
    <w:rsid w:val="00214EF6"/>
    <w:rsid w:val="002151DE"/>
    <w:rsid w:val="0021527D"/>
    <w:rsid w:val="0021564B"/>
    <w:rsid w:val="002157E6"/>
    <w:rsid w:val="002158CC"/>
    <w:rsid w:val="00215A12"/>
    <w:rsid w:val="00215B40"/>
    <w:rsid w:val="00215CB7"/>
    <w:rsid w:val="002161DE"/>
    <w:rsid w:val="0021630C"/>
    <w:rsid w:val="00216626"/>
    <w:rsid w:val="00216767"/>
    <w:rsid w:val="002167A8"/>
    <w:rsid w:val="00217164"/>
    <w:rsid w:val="002172F4"/>
    <w:rsid w:val="00217384"/>
    <w:rsid w:val="00217465"/>
    <w:rsid w:val="0021758C"/>
    <w:rsid w:val="002178DA"/>
    <w:rsid w:val="00217938"/>
    <w:rsid w:val="0021796C"/>
    <w:rsid w:val="00217B8D"/>
    <w:rsid w:val="00217E4D"/>
    <w:rsid w:val="00217F2E"/>
    <w:rsid w:val="002201F3"/>
    <w:rsid w:val="002203EE"/>
    <w:rsid w:val="002205E8"/>
    <w:rsid w:val="00220626"/>
    <w:rsid w:val="0022070E"/>
    <w:rsid w:val="00220A1B"/>
    <w:rsid w:val="00220C68"/>
    <w:rsid w:val="00220CBE"/>
    <w:rsid w:val="00220F03"/>
    <w:rsid w:val="002211CD"/>
    <w:rsid w:val="00221412"/>
    <w:rsid w:val="0022149E"/>
    <w:rsid w:val="002217EB"/>
    <w:rsid w:val="00221C05"/>
    <w:rsid w:val="00221FBC"/>
    <w:rsid w:val="00222562"/>
    <w:rsid w:val="00222C4F"/>
    <w:rsid w:val="00222F1F"/>
    <w:rsid w:val="00223005"/>
    <w:rsid w:val="00223156"/>
    <w:rsid w:val="00223636"/>
    <w:rsid w:val="0022374B"/>
    <w:rsid w:val="002237D6"/>
    <w:rsid w:val="002238A0"/>
    <w:rsid w:val="00223D11"/>
    <w:rsid w:val="00223F5E"/>
    <w:rsid w:val="002241F4"/>
    <w:rsid w:val="00224380"/>
    <w:rsid w:val="0022466B"/>
    <w:rsid w:val="002246DA"/>
    <w:rsid w:val="00224807"/>
    <w:rsid w:val="0022527B"/>
    <w:rsid w:val="002253E0"/>
    <w:rsid w:val="002258CA"/>
    <w:rsid w:val="00225CE0"/>
    <w:rsid w:val="00225CE3"/>
    <w:rsid w:val="00225D13"/>
    <w:rsid w:val="00225D18"/>
    <w:rsid w:val="002261D0"/>
    <w:rsid w:val="002266F8"/>
    <w:rsid w:val="002269DB"/>
    <w:rsid w:val="00226AA5"/>
    <w:rsid w:val="00226DE8"/>
    <w:rsid w:val="002270CC"/>
    <w:rsid w:val="00227339"/>
    <w:rsid w:val="00227655"/>
    <w:rsid w:val="00227901"/>
    <w:rsid w:val="002279EF"/>
    <w:rsid w:val="00227B46"/>
    <w:rsid w:val="00227E43"/>
    <w:rsid w:val="00227FBE"/>
    <w:rsid w:val="00230160"/>
    <w:rsid w:val="0023023B"/>
    <w:rsid w:val="00230464"/>
    <w:rsid w:val="00230499"/>
    <w:rsid w:val="002305CD"/>
    <w:rsid w:val="00230E84"/>
    <w:rsid w:val="00230F97"/>
    <w:rsid w:val="002311EF"/>
    <w:rsid w:val="002316F4"/>
    <w:rsid w:val="002319A2"/>
    <w:rsid w:val="002319DE"/>
    <w:rsid w:val="00231A21"/>
    <w:rsid w:val="00231A88"/>
    <w:rsid w:val="00231B4C"/>
    <w:rsid w:val="00232548"/>
    <w:rsid w:val="0023297E"/>
    <w:rsid w:val="00232FD8"/>
    <w:rsid w:val="002333E2"/>
    <w:rsid w:val="0023352A"/>
    <w:rsid w:val="002335F1"/>
    <w:rsid w:val="00233A13"/>
    <w:rsid w:val="002348CB"/>
    <w:rsid w:val="00235259"/>
    <w:rsid w:val="00235425"/>
    <w:rsid w:val="00235465"/>
    <w:rsid w:val="002355FD"/>
    <w:rsid w:val="00235784"/>
    <w:rsid w:val="002358B2"/>
    <w:rsid w:val="00235BDA"/>
    <w:rsid w:val="00235E57"/>
    <w:rsid w:val="00236039"/>
    <w:rsid w:val="002362C0"/>
    <w:rsid w:val="002363F0"/>
    <w:rsid w:val="002364E3"/>
    <w:rsid w:val="0023679F"/>
    <w:rsid w:val="00236CC2"/>
    <w:rsid w:val="00236D3B"/>
    <w:rsid w:val="00236F48"/>
    <w:rsid w:val="00237060"/>
    <w:rsid w:val="00237085"/>
    <w:rsid w:val="00237830"/>
    <w:rsid w:val="002379F4"/>
    <w:rsid w:val="00237B75"/>
    <w:rsid w:val="00237ED0"/>
    <w:rsid w:val="00237EE3"/>
    <w:rsid w:val="002403D6"/>
    <w:rsid w:val="002405F6"/>
    <w:rsid w:val="002406BE"/>
    <w:rsid w:val="0024083D"/>
    <w:rsid w:val="00240951"/>
    <w:rsid w:val="00240F41"/>
    <w:rsid w:val="00241093"/>
    <w:rsid w:val="00241099"/>
    <w:rsid w:val="002410DD"/>
    <w:rsid w:val="00241132"/>
    <w:rsid w:val="0024140F"/>
    <w:rsid w:val="00241FAD"/>
    <w:rsid w:val="00242305"/>
    <w:rsid w:val="002429DA"/>
    <w:rsid w:val="00242ABA"/>
    <w:rsid w:val="00242C2D"/>
    <w:rsid w:val="00242DD6"/>
    <w:rsid w:val="00242DD9"/>
    <w:rsid w:val="00243006"/>
    <w:rsid w:val="002431F7"/>
    <w:rsid w:val="0024349B"/>
    <w:rsid w:val="002434A5"/>
    <w:rsid w:val="00243DD1"/>
    <w:rsid w:val="00243F74"/>
    <w:rsid w:val="00244566"/>
    <w:rsid w:val="00244BC9"/>
    <w:rsid w:val="00244D63"/>
    <w:rsid w:val="00244DF6"/>
    <w:rsid w:val="002453AC"/>
    <w:rsid w:val="00245674"/>
    <w:rsid w:val="00245706"/>
    <w:rsid w:val="0024582B"/>
    <w:rsid w:val="002458FB"/>
    <w:rsid w:val="00245A5F"/>
    <w:rsid w:val="00245B59"/>
    <w:rsid w:val="00245DA4"/>
    <w:rsid w:val="00246157"/>
    <w:rsid w:val="002463F7"/>
    <w:rsid w:val="002464B6"/>
    <w:rsid w:val="00246633"/>
    <w:rsid w:val="002466B9"/>
    <w:rsid w:val="0024681B"/>
    <w:rsid w:val="002469A8"/>
    <w:rsid w:val="00246A73"/>
    <w:rsid w:val="00246C50"/>
    <w:rsid w:val="00246D01"/>
    <w:rsid w:val="00246D8F"/>
    <w:rsid w:val="00246FF6"/>
    <w:rsid w:val="00246FFF"/>
    <w:rsid w:val="0024722B"/>
    <w:rsid w:val="0024752A"/>
    <w:rsid w:val="00247780"/>
    <w:rsid w:val="0025005B"/>
    <w:rsid w:val="002500C9"/>
    <w:rsid w:val="00250215"/>
    <w:rsid w:val="00250490"/>
    <w:rsid w:val="00250CC3"/>
    <w:rsid w:val="00251311"/>
    <w:rsid w:val="00251383"/>
    <w:rsid w:val="002514F9"/>
    <w:rsid w:val="002517C3"/>
    <w:rsid w:val="002517FE"/>
    <w:rsid w:val="00251814"/>
    <w:rsid w:val="00251B0B"/>
    <w:rsid w:val="00251E22"/>
    <w:rsid w:val="00251F26"/>
    <w:rsid w:val="002523B2"/>
    <w:rsid w:val="00252440"/>
    <w:rsid w:val="0025246B"/>
    <w:rsid w:val="002527D4"/>
    <w:rsid w:val="002527E1"/>
    <w:rsid w:val="002529D0"/>
    <w:rsid w:val="00252AB0"/>
    <w:rsid w:val="00252C79"/>
    <w:rsid w:val="00252CE2"/>
    <w:rsid w:val="002531E3"/>
    <w:rsid w:val="0025331F"/>
    <w:rsid w:val="0025345D"/>
    <w:rsid w:val="00253C99"/>
    <w:rsid w:val="002540F9"/>
    <w:rsid w:val="00254247"/>
    <w:rsid w:val="0025427F"/>
    <w:rsid w:val="00254472"/>
    <w:rsid w:val="00254742"/>
    <w:rsid w:val="002548F6"/>
    <w:rsid w:val="00254A85"/>
    <w:rsid w:val="0025515B"/>
    <w:rsid w:val="0025523C"/>
    <w:rsid w:val="002555E0"/>
    <w:rsid w:val="00255641"/>
    <w:rsid w:val="00255944"/>
    <w:rsid w:val="002559DD"/>
    <w:rsid w:val="00255A85"/>
    <w:rsid w:val="00255B2F"/>
    <w:rsid w:val="00255B98"/>
    <w:rsid w:val="00255E0A"/>
    <w:rsid w:val="00255F63"/>
    <w:rsid w:val="00256340"/>
    <w:rsid w:val="002565A6"/>
    <w:rsid w:val="00256676"/>
    <w:rsid w:val="002568CE"/>
    <w:rsid w:val="00256C7F"/>
    <w:rsid w:val="00256D86"/>
    <w:rsid w:val="00256DD4"/>
    <w:rsid w:val="00257082"/>
    <w:rsid w:val="00257317"/>
    <w:rsid w:val="002573E4"/>
    <w:rsid w:val="00257545"/>
    <w:rsid w:val="00257586"/>
    <w:rsid w:val="0025762B"/>
    <w:rsid w:val="002576A1"/>
    <w:rsid w:val="00257A5D"/>
    <w:rsid w:val="002607B5"/>
    <w:rsid w:val="0026116F"/>
    <w:rsid w:val="0026118F"/>
    <w:rsid w:val="002614D6"/>
    <w:rsid w:val="0026157C"/>
    <w:rsid w:val="00261737"/>
    <w:rsid w:val="00261C1F"/>
    <w:rsid w:val="00261CAE"/>
    <w:rsid w:val="00261EEA"/>
    <w:rsid w:val="00262316"/>
    <w:rsid w:val="00262361"/>
    <w:rsid w:val="00262999"/>
    <w:rsid w:val="00262D79"/>
    <w:rsid w:val="0026302D"/>
    <w:rsid w:val="002638A1"/>
    <w:rsid w:val="00263A63"/>
    <w:rsid w:val="00263AD9"/>
    <w:rsid w:val="00263E55"/>
    <w:rsid w:val="00264803"/>
    <w:rsid w:val="00264D94"/>
    <w:rsid w:val="002657F8"/>
    <w:rsid w:val="00265887"/>
    <w:rsid w:val="002658DB"/>
    <w:rsid w:val="00265A1F"/>
    <w:rsid w:val="00265EF5"/>
    <w:rsid w:val="00265F37"/>
    <w:rsid w:val="00266030"/>
    <w:rsid w:val="00266163"/>
    <w:rsid w:val="0026648F"/>
    <w:rsid w:val="002665E5"/>
    <w:rsid w:val="002665ED"/>
    <w:rsid w:val="00266647"/>
    <w:rsid w:val="002667D1"/>
    <w:rsid w:val="002668F5"/>
    <w:rsid w:val="002669C9"/>
    <w:rsid w:val="00266BA3"/>
    <w:rsid w:val="00266D7F"/>
    <w:rsid w:val="00266E1F"/>
    <w:rsid w:val="00267049"/>
    <w:rsid w:val="00267496"/>
    <w:rsid w:val="002675FF"/>
    <w:rsid w:val="00267971"/>
    <w:rsid w:val="00267CC0"/>
    <w:rsid w:val="00267E6B"/>
    <w:rsid w:val="00270022"/>
    <w:rsid w:val="002702DB"/>
    <w:rsid w:val="0027030A"/>
    <w:rsid w:val="002703C0"/>
    <w:rsid w:val="002704FA"/>
    <w:rsid w:val="00270B33"/>
    <w:rsid w:val="00270C8C"/>
    <w:rsid w:val="00270E3B"/>
    <w:rsid w:val="00270E94"/>
    <w:rsid w:val="00270EAC"/>
    <w:rsid w:val="00270FF5"/>
    <w:rsid w:val="00271094"/>
    <w:rsid w:val="00271405"/>
    <w:rsid w:val="00271565"/>
    <w:rsid w:val="00271608"/>
    <w:rsid w:val="00271916"/>
    <w:rsid w:val="00271C96"/>
    <w:rsid w:val="00271EA0"/>
    <w:rsid w:val="0027209C"/>
    <w:rsid w:val="002726AE"/>
    <w:rsid w:val="002729BC"/>
    <w:rsid w:val="00272E0A"/>
    <w:rsid w:val="00272E98"/>
    <w:rsid w:val="00272F72"/>
    <w:rsid w:val="002733CC"/>
    <w:rsid w:val="002734DE"/>
    <w:rsid w:val="00273629"/>
    <w:rsid w:val="0027370A"/>
    <w:rsid w:val="0027393E"/>
    <w:rsid w:val="002739A6"/>
    <w:rsid w:val="00273C54"/>
    <w:rsid w:val="00273C9C"/>
    <w:rsid w:val="00274039"/>
    <w:rsid w:val="0027412F"/>
    <w:rsid w:val="002742F6"/>
    <w:rsid w:val="002744FA"/>
    <w:rsid w:val="00274518"/>
    <w:rsid w:val="00274803"/>
    <w:rsid w:val="0027490C"/>
    <w:rsid w:val="00274926"/>
    <w:rsid w:val="00274E6F"/>
    <w:rsid w:val="00274EF4"/>
    <w:rsid w:val="00275240"/>
    <w:rsid w:val="00275482"/>
    <w:rsid w:val="002755B9"/>
    <w:rsid w:val="0027562A"/>
    <w:rsid w:val="00275999"/>
    <w:rsid w:val="00275D40"/>
    <w:rsid w:val="002765EE"/>
    <w:rsid w:val="0027676D"/>
    <w:rsid w:val="002769E1"/>
    <w:rsid w:val="00276B7F"/>
    <w:rsid w:val="00276BDA"/>
    <w:rsid w:val="00276DF0"/>
    <w:rsid w:val="002773D7"/>
    <w:rsid w:val="00277738"/>
    <w:rsid w:val="00277881"/>
    <w:rsid w:val="002778C0"/>
    <w:rsid w:val="0027792F"/>
    <w:rsid w:val="00277D9B"/>
    <w:rsid w:val="00277DC5"/>
    <w:rsid w:val="00277F5B"/>
    <w:rsid w:val="00280255"/>
    <w:rsid w:val="002803CA"/>
    <w:rsid w:val="00280991"/>
    <w:rsid w:val="002809B6"/>
    <w:rsid w:val="00280E39"/>
    <w:rsid w:val="002810FB"/>
    <w:rsid w:val="002811A3"/>
    <w:rsid w:val="0028181B"/>
    <w:rsid w:val="00281AC9"/>
    <w:rsid w:val="00281D6C"/>
    <w:rsid w:val="00281EB8"/>
    <w:rsid w:val="00281FB1"/>
    <w:rsid w:val="0028226A"/>
    <w:rsid w:val="00282492"/>
    <w:rsid w:val="00282669"/>
    <w:rsid w:val="00282766"/>
    <w:rsid w:val="00282790"/>
    <w:rsid w:val="002829AE"/>
    <w:rsid w:val="00282C32"/>
    <w:rsid w:val="00282F2F"/>
    <w:rsid w:val="00282F80"/>
    <w:rsid w:val="00283155"/>
    <w:rsid w:val="00283216"/>
    <w:rsid w:val="00283230"/>
    <w:rsid w:val="00283F31"/>
    <w:rsid w:val="00283FA6"/>
    <w:rsid w:val="002840C6"/>
    <w:rsid w:val="00284139"/>
    <w:rsid w:val="0028435E"/>
    <w:rsid w:val="002849ED"/>
    <w:rsid w:val="00284AA7"/>
    <w:rsid w:val="00284B7E"/>
    <w:rsid w:val="00284D3B"/>
    <w:rsid w:val="00284F22"/>
    <w:rsid w:val="00285589"/>
    <w:rsid w:val="00285703"/>
    <w:rsid w:val="002858C1"/>
    <w:rsid w:val="00285A71"/>
    <w:rsid w:val="00285AFD"/>
    <w:rsid w:val="00285D3A"/>
    <w:rsid w:val="00285D67"/>
    <w:rsid w:val="00286039"/>
    <w:rsid w:val="00286205"/>
    <w:rsid w:val="00286232"/>
    <w:rsid w:val="00286284"/>
    <w:rsid w:val="002864D3"/>
    <w:rsid w:val="00286E68"/>
    <w:rsid w:val="00286FEA"/>
    <w:rsid w:val="0028713B"/>
    <w:rsid w:val="00287295"/>
    <w:rsid w:val="00287B5B"/>
    <w:rsid w:val="00287E34"/>
    <w:rsid w:val="00287E9B"/>
    <w:rsid w:val="00287FB1"/>
    <w:rsid w:val="00290107"/>
    <w:rsid w:val="00290310"/>
    <w:rsid w:val="00290435"/>
    <w:rsid w:val="00290520"/>
    <w:rsid w:val="00290580"/>
    <w:rsid w:val="00290A4C"/>
    <w:rsid w:val="00290DAE"/>
    <w:rsid w:val="00290E4D"/>
    <w:rsid w:val="002910B8"/>
    <w:rsid w:val="00291277"/>
    <w:rsid w:val="00291D54"/>
    <w:rsid w:val="00292024"/>
    <w:rsid w:val="00292201"/>
    <w:rsid w:val="002922A2"/>
    <w:rsid w:val="00292308"/>
    <w:rsid w:val="00292345"/>
    <w:rsid w:val="002923EC"/>
    <w:rsid w:val="00292EC7"/>
    <w:rsid w:val="00293300"/>
    <w:rsid w:val="002934F0"/>
    <w:rsid w:val="00293841"/>
    <w:rsid w:val="002939CA"/>
    <w:rsid w:val="00293FA2"/>
    <w:rsid w:val="0029413D"/>
    <w:rsid w:val="002946F0"/>
    <w:rsid w:val="00294ECC"/>
    <w:rsid w:val="00294EDC"/>
    <w:rsid w:val="00295126"/>
    <w:rsid w:val="00295208"/>
    <w:rsid w:val="0029583A"/>
    <w:rsid w:val="00295947"/>
    <w:rsid w:val="0029595D"/>
    <w:rsid w:val="002959BC"/>
    <w:rsid w:val="00295C35"/>
    <w:rsid w:val="00295CED"/>
    <w:rsid w:val="0029604A"/>
    <w:rsid w:val="0029624F"/>
    <w:rsid w:val="00296335"/>
    <w:rsid w:val="002963A7"/>
    <w:rsid w:val="0029651C"/>
    <w:rsid w:val="00296596"/>
    <w:rsid w:val="0029661D"/>
    <w:rsid w:val="0029687C"/>
    <w:rsid w:val="00296B7B"/>
    <w:rsid w:val="00296C65"/>
    <w:rsid w:val="002970B5"/>
    <w:rsid w:val="002A0415"/>
    <w:rsid w:val="002A090E"/>
    <w:rsid w:val="002A0A76"/>
    <w:rsid w:val="002A0DAB"/>
    <w:rsid w:val="002A0E6A"/>
    <w:rsid w:val="002A1161"/>
    <w:rsid w:val="002A1445"/>
    <w:rsid w:val="002A193C"/>
    <w:rsid w:val="002A1DAF"/>
    <w:rsid w:val="002A1DEB"/>
    <w:rsid w:val="002A240D"/>
    <w:rsid w:val="002A25C7"/>
    <w:rsid w:val="002A293F"/>
    <w:rsid w:val="002A29C3"/>
    <w:rsid w:val="002A2A51"/>
    <w:rsid w:val="002A2B5A"/>
    <w:rsid w:val="002A2CE0"/>
    <w:rsid w:val="002A2D9C"/>
    <w:rsid w:val="002A3011"/>
    <w:rsid w:val="002A3660"/>
    <w:rsid w:val="002A3753"/>
    <w:rsid w:val="002A3785"/>
    <w:rsid w:val="002A3925"/>
    <w:rsid w:val="002A3F7D"/>
    <w:rsid w:val="002A4169"/>
    <w:rsid w:val="002A42AA"/>
    <w:rsid w:val="002A4868"/>
    <w:rsid w:val="002A4953"/>
    <w:rsid w:val="002A49CA"/>
    <w:rsid w:val="002A4E46"/>
    <w:rsid w:val="002A503E"/>
    <w:rsid w:val="002A54C7"/>
    <w:rsid w:val="002A5A7F"/>
    <w:rsid w:val="002A5AB2"/>
    <w:rsid w:val="002A5D79"/>
    <w:rsid w:val="002A5D8A"/>
    <w:rsid w:val="002A6113"/>
    <w:rsid w:val="002A611F"/>
    <w:rsid w:val="002A6780"/>
    <w:rsid w:val="002A6902"/>
    <w:rsid w:val="002A693E"/>
    <w:rsid w:val="002A6AD8"/>
    <w:rsid w:val="002A6F76"/>
    <w:rsid w:val="002A7001"/>
    <w:rsid w:val="002A7040"/>
    <w:rsid w:val="002A7233"/>
    <w:rsid w:val="002A783D"/>
    <w:rsid w:val="002A7C08"/>
    <w:rsid w:val="002A7D5E"/>
    <w:rsid w:val="002A7E83"/>
    <w:rsid w:val="002B024C"/>
    <w:rsid w:val="002B02F8"/>
    <w:rsid w:val="002B0328"/>
    <w:rsid w:val="002B0BE6"/>
    <w:rsid w:val="002B1449"/>
    <w:rsid w:val="002B14AE"/>
    <w:rsid w:val="002B177E"/>
    <w:rsid w:val="002B17AD"/>
    <w:rsid w:val="002B1DBA"/>
    <w:rsid w:val="002B2209"/>
    <w:rsid w:val="002B22CE"/>
    <w:rsid w:val="002B25F2"/>
    <w:rsid w:val="002B294B"/>
    <w:rsid w:val="002B2BCD"/>
    <w:rsid w:val="002B3613"/>
    <w:rsid w:val="002B376F"/>
    <w:rsid w:val="002B3D2D"/>
    <w:rsid w:val="002B3E45"/>
    <w:rsid w:val="002B401A"/>
    <w:rsid w:val="002B45D9"/>
    <w:rsid w:val="002B45EE"/>
    <w:rsid w:val="002B497E"/>
    <w:rsid w:val="002B4BA0"/>
    <w:rsid w:val="002B4BAD"/>
    <w:rsid w:val="002B50A3"/>
    <w:rsid w:val="002B529B"/>
    <w:rsid w:val="002B54AA"/>
    <w:rsid w:val="002B56A8"/>
    <w:rsid w:val="002B56C9"/>
    <w:rsid w:val="002B57CB"/>
    <w:rsid w:val="002B57D2"/>
    <w:rsid w:val="002B5A39"/>
    <w:rsid w:val="002B5F99"/>
    <w:rsid w:val="002B6089"/>
    <w:rsid w:val="002B61FA"/>
    <w:rsid w:val="002B67B2"/>
    <w:rsid w:val="002B68FB"/>
    <w:rsid w:val="002B6980"/>
    <w:rsid w:val="002B6B11"/>
    <w:rsid w:val="002B6BF2"/>
    <w:rsid w:val="002B6C4B"/>
    <w:rsid w:val="002B6C82"/>
    <w:rsid w:val="002B6DB1"/>
    <w:rsid w:val="002B732D"/>
    <w:rsid w:val="002B73FD"/>
    <w:rsid w:val="002B7467"/>
    <w:rsid w:val="002B76F9"/>
    <w:rsid w:val="002B7894"/>
    <w:rsid w:val="002B7996"/>
    <w:rsid w:val="002B7F6F"/>
    <w:rsid w:val="002C0550"/>
    <w:rsid w:val="002C08C5"/>
    <w:rsid w:val="002C0C68"/>
    <w:rsid w:val="002C0C73"/>
    <w:rsid w:val="002C131B"/>
    <w:rsid w:val="002C20E3"/>
    <w:rsid w:val="002C226F"/>
    <w:rsid w:val="002C22E7"/>
    <w:rsid w:val="002C25E2"/>
    <w:rsid w:val="002C2789"/>
    <w:rsid w:val="002C2856"/>
    <w:rsid w:val="002C2895"/>
    <w:rsid w:val="002C2A2C"/>
    <w:rsid w:val="002C2AA3"/>
    <w:rsid w:val="002C2EBE"/>
    <w:rsid w:val="002C2F9C"/>
    <w:rsid w:val="002C2FED"/>
    <w:rsid w:val="002C3122"/>
    <w:rsid w:val="002C320F"/>
    <w:rsid w:val="002C32A0"/>
    <w:rsid w:val="002C37DD"/>
    <w:rsid w:val="002C3F94"/>
    <w:rsid w:val="002C41E3"/>
    <w:rsid w:val="002C4454"/>
    <w:rsid w:val="002C4584"/>
    <w:rsid w:val="002C460B"/>
    <w:rsid w:val="002C4747"/>
    <w:rsid w:val="002C4A73"/>
    <w:rsid w:val="002C4BEC"/>
    <w:rsid w:val="002C4CC1"/>
    <w:rsid w:val="002C4E14"/>
    <w:rsid w:val="002C5173"/>
    <w:rsid w:val="002C52BE"/>
    <w:rsid w:val="002C52E8"/>
    <w:rsid w:val="002C56F5"/>
    <w:rsid w:val="002C5A26"/>
    <w:rsid w:val="002C5BD7"/>
    <w:rsid w:val="002C5D46"/>
    <w:rsid w:val="002C5E07"/>
    <w:rsid w:val="002C62AE"/>
    <w:rsid w:val="002C632A"/>
    <w:rsid w:val="002C68D8"/>
    <w:rsid w:val="002C6A0A"/>
    <w:rsid w:val="002C6E14"/>
    <w:rsid w:val="002C6FA3"/>
    <w:rsid w:val="002C710A"/>
    <w:rsid w:val="002C71F9"/>
    <w:rsid w:val="002C7772"/>
    <w:rsid w:val="002C783D"/>
    <w:rsid w:val="002C786B"/>
    <w:rsid w:val="002C79A0"/>
    <w:rsid w:val="002C7A63"/>
    <w:rsid w:val="002C7BA6"/>
    <w:rsid w:val="002C7C9E"/>
    <w:rsid w:val="002C7CD4"/>
    <w:rsid w:val="002D027D"/>
    <w:rsid w:val="002D0526"/>
    <w:rsid w:val="002D0891"/>
    <w:rsid w:val="002D1009"/>
    <w:rsid w:val="002D1153"/>
    <w:rsid w:val="002D147B"/>
    <w:rsid w:val="002D18E2"/>
    <w:rsid w:val="002D1E4C"/>
    <w:rsid w:val="002D2ACF"/>
    <w:rsid w:val="002D2B74"/>
    <w:rsid w:val="002D2D37"/>
    <w:rsid w:val="002D2F1E"/>
    <w:rsid w:val="002D2FBB"/>
    <w:rsid w:val="002D30D6"/>
    <w:rsid w:val="002D32F4"/>
    <w:rsid w:val="002D338D"/>
    <w:rsid w:val="002D36A6"/>
    <w:rsid w:val="002D36CB"/>
    <w:rsid w:val="002D37B0"/>
    <w:rsid w:val="002D3801"/>
    <w:rsid w:val="002D3AFE"/>
    <w:rsid w:val="002D3CA3"/>
    <w:rsid w:val="002D4018"/>
    <w:rsid w:val="002D4323"/>
    <w:rsid w:val="002D4520"/>
    <w:rsid w:val="002D4DAF"/>
    <w:rsid w:val="002D50A3"/>
    <w:rsid w:val="002D5608"/>
    <w:rsid w:val="002D57FA"/>
    <w:rsid w:val="002D59EB"/>
    <w:rsid w:val="002D5AE5"/>
    <w:rsid w:val="002D5D14"/>
    <w:rsid w:val="002D5E70"/>
    <w:rsid w:val="002D6050"/>
    <w:rsid w:val="002D6183"/>
    <w:rsid w:val="002D62EC"/>
    <w:rsid w:val="002D635B"/>
    <w:rsid w:val="002D63A3"/>
    <w:rsid w:val="002D64EA"/>
    <w:rsid w:val="002D6555"/>
    <w:rsid w:val="002D66F4"/>
    <w:rsid w:val="002D6886"/>
    <w:rsid w:val="002D69B6"/>
    <w:rsid w:val="002D716C"/>
    <w:rsid w:val="002D717F"/>
    <w:rsid w:val="002D7228"/>
    <w:rsid w:val="002D7600"/>
    <w:rsid w:val="002D7626"/>
    <w:rsid w:val="002D76B9"/>
    <w:rsid w:val="002D7B27"/>
    <w:rsid w:val="002D7CDA"/>
    <w:rsid w:val="002E0009"/>
    <w:rsid w:val="002E04F0"/>
    <w:rsid w:val="002E0A09"/>
    <w:rsid w:val="002E0A10"/>
    <w:rsid w:val="002E0EB7"/>
    <w:rsid w:val="002E12E9"/>
    <w:rsid w:val="002E1653"/>
    <w:rsid w:val="002E1E10"/>
    <w:rsid w:val="002E1F76"/>
    <w:rsid w:val="002E2088"/>
    <w:rsid w:val="002E219E"/>
    <w:rsid w:val="002E2354"/>
    <w:rsid w:val="002E242B"/>
    <w:rsid w:val="002E28AC"/>
    <w:rsid w:val="002E2DE1"/>
    <w:rsid w:val="002E2E34"/>
    <w:rsid w:val="002E2EBA"/>
    <w:rsid w:val="002E3061"/>
    <w:rsid w:val="002E3154"/>
    <w:rsid w:val="002E35B1"/>
    <w:rsid w:val="002E371A"/>
    <w:rsid w:val="002E376C"/>
    <w:rsid w:val="002E3EF9"/>
    <w:rsid w:val="002E3F21"/>
    <w:rsid w:val="002E45B2"/>
    <w:rsid w:val="002E46B3"/>
    <w:rsid w:val="002E4856"/>
    <w:rsid w:val="002E4B62"/>
    <w:rsid w:val="002E4CA3"/>
    <w:rsid w:val="002E50D8"/>
    <w:rsid w:val="002E57BA"/>
    <w:rsid w:val="002E5BEC"/>
    <w:rsid w:val="002E5D78"/>
    <w:rsid w:val="002E5E2A"/>
    <w:rsid w:val="002E6019"/>
    <w:rsid w:val="002E62E0"/>
    <w:rsid w:val="002E65BC"/>
    <w:rsid w:val="002E68C5"/>
    <w:rsid w:val="002E6C14"/>
    <w:rsid w:val="002E6C62"/>
    <w:rsid w:val="002E6F6F"/>
    <w:rsid w:val="002E7083"/>
    <w:rsid w:val="002E7444"/>
    <w:rsid w:val="002E7EA7"/>
    <w:rsid w:val="002E7ED7"/>
    <w:rsid w:val="002E7FEA"/>
    <w:rsid w:val="002F01CF"/>
    <w:rsid w:val="002F0273"/>
    <w:rsid w:val="002F04B0"/>
    <w:rsid w:val="002F07DE"/>
    <w:rsid w:val="002F082F"/>
    <w:rsid w:val="002F09FC"/>
    <w:rsid w:val="002F0AAD"/>
    <w:rsid w:val="002F0BCD"/>
    <w:rsid w:val="002F0E47"/>
    <w:rsid w:val="002F0F2E"/>
    <w:rsid w:val="002F1030"/>
    <w:rsid w:val="002F13F6"/>
    <w:rsid w:val="002F1550"/>
    <w:rsid w:val="002F15B1"/>
    <w:rsid w:val="002F181C"/>
    <w:rsid w:val="002F189B"/>
    <w:rsid w:val="002F1CA3"/>
    <w:rsid w:val="002F1FA1"/>
    <w:rsid w:val="002F201E"/>
    <w:rsid w:val="002F20A4"/>
    <w:rsid w:val="002F2838"/>
    <w:rsid w:val="002F2DB8"/>
    <w:rsid w:val="002F3205"/>
    <w:rsid w:val="002F339C"/>
    <w:rsid w:val="002F345E"/>
    <w:rsid w:val="002F384C"/>
    <w:rsid w:val="002F3975"/>
    <w:rsid w:val="002F39B8"/>
    <w:rsid w:val="002F3BCA"/>
    <w:rsid w:val="002F425E"/>
    <w:rsid w:val="002F43BE"/>
    <w:rsid w:val="002F4584"/>
    <w:rsid w:val="002F45D2"/>
    <w:rsid w:val="002F4ACB"/>
    <w:rsid w:val="002F4B79"/>
    <w:rsid w:val="002F4C50"/>
    <w:rsid w:val="002F4CBF"/>
    <w:rsid w:val="002F4F0A"/>
    <w:rsid w:val="002F53E8"/>
    <w:rsid w:val="002F57D1"/>
    <w:rsid w:val="002F59B5"/>
    <w:rsid w:val="002F5D2C"/>
    <w:rsid w:val="002F5F79"/>
    <w:rsid w:val="002F5F85"/>
    <w:rsid w:val="002F62CB"/>
    <w:rsid w:val="002F63B9"/>
    <w:rsid w:val="002F6851"/>
    <w:rsid w:val="002F6E6E"/>
    <w:rsid w:val="002F6E70"/>
    <w:rsid w:val="002F71DA"/>
    <w:rsid w:val="002F71DB"/>
    <w:rsid w:val="002F7701"/>
    <w:rsid w:val="002F7EAC"/>
    <w:rsid w:val="0030033E"/>
    <w:rsid w:val="00300488"/>
    <w:rsid w:val="00300520"/>
    <w:rsid w:val="00300851"/>
    <w:rsid w:val="00300884"/>
    <w:rsid w:val="003008B0"/>
    <w:rsid w:val="003009C5"/>
    <w:rsid w:val="00300AC0"/>
    <w:rsid w:val="0030103C"/>
    <w:rsid w:val="00301192"/>
    <w:rsid w:val="0030154C"/>
    <w:rsid w:val="003018B4"/>
    <w:rsid w:val="003019A9"/>
    <w:rsid w:val="00301AB8"/>
    <w:rsid w:val="00301E1C"/>
    <w:rsid w:val="00301F9B"/>
    <w:rsid w:val="0030246F"/>
    <w:rsid w:val="003027E6"/>
    <w:rsid w:val="00302B3D"/>
    <w:rsid w:val="00302EA1"/>
    <w:rsid w:val="003034C0"/>
    <w:rsid w:val="00303658"/>
    <w:rsid w:val="0030375C"/>
    <w:rsid w:val="00303AB7"/>
    <w:rsid w:val="00303AE1"/>
    <w:rsid w:val="0030466A"/>
    <w:rsid w:val="00304711"/>
    <w:rsid w:val="003047AD"/>
    <w:rsid w:val="003047BA"/>
    <w:rsid w:val="0030498F"/>
    <w:rsid w:val="00304BCD"/>
    <w:rsid w:val="00304BE7"/>
    <w:rsid w:val="00304D27"/>
    <w:rsid w:val="00304D34"/>
    <w:rsid w:val="00304F42"/>
    <w:rsid w:val="00304F77"/>
    <w:rsid w:val="00305007"/>
    <w:rsid w:val="00305637"/>
    <w:rsid w:val="00305971"/>
    <w:rsid w:val="00305A47"/>
    <w:rsid w:val="00305A4C"/>
    <w:rsid w:val="00305AC7"/>
    <w:rsid w:val="00305AD7"/>
    <w:rsid w:val="00305D42"/>
    <w:rsid w:val="00305EDE"/>
    <w:rsid w:val="00306105"/>
    <w:rsid w:val="003061A2"/>
    <w:rsid w:val="00306278"/>
    <w:rsid w:val="00306442"/>
    <w:rsid w:val="0030648A"/>
    <w:rsid w:val="003065C1"/>
    <w:rsid w:val="00306835"/>
    <w:rsid w:val="00306870"/>
    <w:rsid w:val="00306A23"/>
    <w:rsid w:val="00306F73"/>
    <w:rsid w:val="00306F77"/>
    <w:rsid w:val="0030760F"/>
    <w:rsid w:val="003078D6"/>
    <w:rsid w:val="00307A3E"/>
    <w:rsid w:val="00307BD3"/>
    <w:rsid w:val="00307D7A"/>
    <w:rsid w:val="003100D4"/>
    <w:rsid w:val="003100F0"/>
    <w:rsid w:val="00310171"/>
    <w:rsid w:val="00310377"/>
    <w:rsid w:val="0031057C"/>
    <w:rsid w:val="0031065B"/>
    <w:rsid w:val="00310A2B"/>
    <w:rsid w:val="00310EB3"/>
    <w:rsid w:val="00311087"/>
    <w:rsid w:val="00311179"/>
    <w:rsid w:val="003111D6"/>
    <w:rsid w:val="00311306"/>
    <w:rsid w:val="00311410"/>
    <w:rsid w:val="003115FD"/>
    <w:rsid w:val="0031163C"/>
    <w:rsid w:val="0031166C"/>
    <w:rsid w:val="00311723"/>
    <w:rsid w:val="003120B2"/>
    <w:rsid w:val="0031224A"/>
    <w:rsid w:val="00312480"/>
    <w:rsid w:val="0031285E"/>
    <w:rsid w:val="003129D4"/>
    <w:rsid w:val="00312E89"/>
    <w:rsid w:val="003132BB"/>
    <w:rsid w:val="00313986"/>
    <w:rsid w:val="00313AB7"/>
    <w:rsid w:val="00313D59"/>
    <w:rsid w:val="00313E65"/>
    <w:rsid w:val="003144BB"/>
    <w:rsid w:val="003144E9"/>
    <w:rsid w:val="00314543"/>
    <w:rsid w:val="003149B8"/>
    <w:rsid w:val="00314B68"/>
    <w:rsid w:val="00314E49"/>
    <w:rsid w:val="00315169"/>
    <w:rsid w:val="00315197"/>
    <w:rsid w:val="003151AD"/>
    <w:rsid w:val="003153DA"/>
    <w:rsid w:val="003157D5"/>
    <w:rsid w:val="00315BFE"/>
    <w:rsid w:val="00316053"/>
    <w:rsid w:val="003163C0"/>
    <w:rsid w:val="003163C8"/>
    <w:rsid w:val="0031640B"/>
    <w:rsid w:val="0031648B"/>
    <w:rsid w:val="003164FA"/>
    <w:rsid w:val="00316655"/>
    <w:rsid w:val="003166B2"/>
    <w:rsid w:val="003168B7"/>
    <w:rsid w:val="003169F5"/>
    <w:rsid w:val="00316BD3"/>
    <w:rsid w:val="00316E43"/>
    <w:rsid w:val="00316EB7"/>
    <w:rsid w:val="003170A4"/>
    <w:rsid w:val="00317317"/>
    <w:rsid w:val="003173BD"/>
    <w:rsid w:val="00317765"/>
    <w:rsid w:val="00320044"/>
    <w:rsid w:val="003200E1"/>
    <w:rsid w:val="00320629"/>
    <w:rsid w:val="0032084C"/>
    <w:rsid w:val="00321259"/>
    <w:rsid w:val="003212B1"/>
    <w:rsid w:val="003212D8"/>
    <w:rsid w:val="003215E0"/>
    <w:rsid w:val="00321691"/>
    <w:rsid w:val="00321BAC"/>
    <w:rsid w:val="00321D96"/>
    <w:rsid w:val="0032200C"/>
    <w:rsid w:val="00322387"/>
    <w:rsid w:val="00322870"/>
    <w:rsid w:val="00322B41"/>
    <w:rsid w:val="00322CEA"/>
    <w:rsid w:val="00322D63"/>
    <w:rsid w:val="00322DBD"/>
    <w:rsid w:val="00322E4D"/>
    <w:rsid w:val="00323028"/>
    <w:rsid w:val="003235AD"/>
    <w:rsid w:val="003237BA"/>
    <w:rsid w:val="00323D2E"/>
    <w:rsid w:val="00323D73"/>
    <w:rsid w:val="0032410C"/>
    <w:rsid w:val="0032433E"/>
    <w:rsid w:val="00324442"/>
    <w:rsid w:val="00324748"/>
    <w:rsid w:val="00324827"/>
    <w:rsid w:val="00324BF7"/>
    <w:rsid w:val="00324CF9"/>
    <w:rsid w:val="003252E0"/>
    <w:rsid w:val="00325326"/>
    <w:rsid w:val="0032593E"/>
    <w:rsid w:val="00325BA2"/>
    <w:rsid w:val="00325D93"/>
    <w:rsid w:val="00325DA5"/>
    <w:rsid w:val="00325F1D"/>
    <w:rsid w:val="0032600F"/>
    <w:rsid w:val="0032669D"/>
    <w:rsid w:val="003266ED"/>
    <w:rsid w:val="00326E69"/>
    <w:rsid w:val="0032701D"/>
    <w:rsid w:val="003271E3"/>
    <w:rsid w:val="003273D9"/>
    <w:rsid w:val="003274E6"/>
    <w:rsid w:val="00327540"/>
    <w:rsid w:val="00327654"/>
    <w:rsid w:val="00327704"/>
    <w:rsid w:val="00327821"/>
    <w:rsid w:val="0032785B"/>
    <w:rsid w:val="00327CD5"/>
    <w:rsid w:val="00327F8B"/>
    <w:rsid w:val="003300B6"/>
    <w:rsid w:val="00330145"/>
    <w:rsid w:val="003302B1"/>
    <w:rsid w:val="003304F3"/>
    <w:rsid w:val="00330878"/>
    <w:rsid w:val="00330B4F"/>
    <w:rsid w:val="00330D90"/>
    <w:rsid w:val="00330EA5"/>
    <w:rsid w:val="00330F39"/>
    <w:rsid w:val="0033124C"/>
    <w:rsid w:val="00331C49"/>
    <w:rsid w:val="00331DD2"/>
    <w:rsid w:val="003321E6"/>
    <w:rsid w:val="003328D5"/>
    <w:rsid w:val="00332D0B"/>
    <w:rsid w:val="00332F61"/>
    <w:rsid w:val="00333288"/>
    <w:rsid w:val="00333347"/>
    <w:rsid w:val="003334BE"/>
    <w:rsid w:val="00333732"/>
    <w:rsid w:val="00333795"/>
    <w:rsid w:val="00333934"/>
    <w:rsid w:val="003339A2"/>
    <w:rsid w:val="00333A99"/>
    <w:rsid w:val="00333B91"/>
    <w:rsid w:val="00333F27"/>
    <w:rsid w:val="00333F3E"/>
    <w:rsid w:val="00334021"/>
    <w:rsid w:val="003342E9"/>
    <w:rsid w:val="003348DE"/>
    <w:rsid w:val="00334D4A"/>
    <w:rsid w:val="00334DC0"/>
    <w:rsid w:val="00335079"/>
    <w:rsid w:val="00335242"/>
    <w:rsid w:val="00335398"/>
    <w:rsid w:val="003356A1"/>
    <w:rsid w:val="00335AD1"/>
    <w:rsid w:val="003361BF"/>
    <w:rsid w:val="003361C4"/>
    <w:rsid w:val="00336328"/>
    <w:rsid w:val="00336418"/>
    <w:rsid w:val="00336628"/>
    <w:rsid w:val="003367BF"/>
    <w:rsid w:val="0033680D"/>
    <w:rsid w:val="003369BD"/>
    <w:rsid w:val="00336AA1"/>
    <w:rsid w:val="00336F06"/>
    <w:rsid w:val="003370B8"/>
    <w:rsid w:val="0033710E"/>
    <w:rsid w:val="0033714E"/>
    <w:rsid w:val="00337268"/>
    <w:rsid w:val="00337623"/>
    <w:rsid w:val="003379E6"/>
    <w:rsid w:val="00337A45"/>
    <w:rsid w:val="00337AA5"/>
    <w:rsid w:val="00337DD9"/>
    <w:rsid w:val="00340094"/>
    <w:rsid w:val="00340158"/>
    <w:rsid w:val="00340312"/>
    <w:rsid w:val="003404BB"/>
    <w:rsid w:val="00340747"/>
    <w:rsid w:val="0034087E"/>
    <w:rsid w:val="00340944"/>
    <w:rsid w:val="00340D5C"/>
    <w:rsid w:val="00341C57"/>
    <w:rsid w:val="00341D37"/>
    <w:rsid w:val="00341DDC"/>
    <w:rsid w:val="003423B4"/>
    <w:rsid w:val="0034240B"/>
    <w:rsid w:val="003426B0"/>
    <w:rsid w:val="00342714"/>
    <w:rsid w:val="00342780"/>
    <w:rsid w:val="00342827"/>
    <w:rsid w:val="003429E8"/>
    <w:rsid w:val="00342BF9"/>
    <w:rsid w:val="00342C0E"/>
    <w:rsid w:val="00342CA3"/>
    <w:rsid w:val="00342E26"/>
    <w:rsid w:val="00343044"/>
    <w:rsid w:val="0034307A"/>
    <w:rsid w:val="003432EA"/>
    <w:rsid w:val="003434BF"/>
    <w:rsid w:val="003435D2"/>
    <w:rsid w:val="00343BF8"/>
    <w:rsid w:val="00343E7D"/>
    <w:rsid w:val="00343FBA"/>
    <w:rsid w:val="00344202"/>
    <w:rsid w:val="003442C2"/>
    <w:rsid w:val="00344550"/>
    <w:rsid w:val="003445E3"/>
    <w:rsid w:val="00344610"/>
    <w:rsid w:val="00344678"/>
    <w:rsid w:val="003448A3"/>
    <w:rsid w:val="00344C42"/>
    <w:rsid w:val="00344C61"/>
    <w:rsid w:val="00344E56"/>
    <w:rsid w:val="0034500A"/>
    <w:rsid w:val="0034519A"/>
    <w:rsid w:val="0034523E"/>
    <w:rsid w:val="003453F0"/>
    <w:rsid w:val="003455B3"/>
    <w:rsid w:val="003457FD"/>
    <w:rsid w:val="00345AC9"/>
    <w:rsid w:val="00345AE7"/>
    <w:rsid w:val="00345EDA"/>
    <w:rsid w:val="00345F08"/>
    <w:rsid w:val="00345FFB"/>
    <w:rsid w:val="00346151"/>
    <w:rsid w:val="00346798"/>
    <w:rsid w:val="00346A25"/>
    <w:rsid w:val="00346B8C"/>
    <w:rsid w:val="00346CFD"/>
    <w:rsid w:val="00346E33"/>
    <w:rsid w:val="00346FC4"/>
    <w:rsid w:val="0034706C"/>
    <w:rsid w:val="00347A3B"/>
    <w:rsid w:val="00347F81"/>
    <w:rsid w:val="003501D3"/>
    <w:rsid w:val="00350335"/>
    <w:rsid w:val="003504B5"/>
    <w:rsid w:val="003504FB"/>
    <w:rsid w:val="0035071E"/>
    <w:rsid w:val="00350CED"/>
    <w:rsid w:val="00351059"/>
    <w:rsid w:val="0035105D"/>
    <w:rsid w:val="0035169C"/>
    <w:rsid w:val="00351CA3"/>
    <w:rsid w:val="00351D85"/>
    <w:rsid w:val="0035209E"/>
    <w:rsid w:val="0035237A"/>
    <w:rsid w:val="0035270F"/>
    <w:rsid w:val="003527ED"/>
    <w:rsid w:val="00352814"/>
    <w:rsid w:val="00352973"/>
    <w:rsid w:val="00352A54"/>
    <w:rsid w:val="00352E14"/>
    <w:rsid w:val="00352FC2"/>
    <w:rsid w:val="003530BB"/>
    <w:rsid w:val="0035342A"/>
    <w:rsid w:val="00353AE0"/>
    <w:rsid w:val="00353D3D"/>
    <w:rsid w:val="00353D50"/>
    <w:rsid w:val="0035408A"/>
    <w:rsid w:val="00354497"/>
    <w:rsid w:val="003545FD"/>
    <w:rsid w:val="0035487D"/>
    <w:rsid w:val="00354A87"/>
    <w:rsid w:val="00354B67"/>
    <w:rsid w:val="00355040"/>
    <w:rsid w:val="00355244"/>
    <w:rsid w:val="0035531C"/>
    <w:rsid w:val="00355486"/>
    <w:rsid w:val="00355A5C"/>
    <w:rsid w:val="00356307"/>
    <w:rsid w:val="00356804"/>
    <w:rsid w:val="00356C7E"/>
    <w:rsid w:val="00356CBB"/>
    <w:rsid w:val="00356EF0"/>
    <w:rsid w:val="0035722E"/>
    <w:rsid w:val="00357AA7"/>
    <w:rsid w:val="00357EBC"/>
    <w:rsid w:val="00360610"/>
    <w:rsid w:val="003606BD"/>
    <w:rsid w:val="00360AFB"/>
    <w:rsid w:val="00360C14"/>
    <w:rsid w:val="00360EC7"/>
    <w:rsid w:val="00361014"/>
    <w:rsid w:val="003612B5"/>
    <w:rsid w:val="003612E8"/>
    <w:rsid w:val="0036184A"/>
    <w:rsid w:val="00361A2E"/>
    <w:rsid w:val="00361DE8"/>
    <w:rsid w:val="00361F44"/>
    <w:rsid w:val="003621A4"/>
    <w:rsid w:val="00362457"/>
    <w:rsid w:val="0036255D"/>
    <w:rsid w:val="00362896"/>
    <w:rsid w:val="0036296F"/>
    <w:rsid w:val="00362AF0"/>
    <w:rsid w:val="00362B1D"/>
    <w:rsid w:val="00362C3A"/>
    <w:rsid w:val="00362DEB"/>
    <w:rsid w:val="00363041"/>
    <w:rsid w:val="003631C0"/>
    <w:rsid w:val="0036326D"/>
    <w:rsid w:val="003633B0"/>
    <w:rsid w:val="0036349E"/>
    <w:rsid w:val="00363A29"/>
    <w:rsid w:val="00363C9D"/>
    <w:rsid w:val="00363E81"/>
    <w:rsid w:val="00363F08"/>
    <w:rsid w:val="00364048"/>
    <w:rsid w:val="003641B7"/>
    <w:rsid w:val="0036450D"/>
    <w:rsid w:val="00364B27"/>
    <w:rsid w:val="00364C91"/>
    <w:rsid w:val="00364D64"/>
    <w:rsid w:val="003653DA"/>
    <w:rsid w:val="0036547E"/>
    <w:rsid w:val="00365C51"/>
    <w:rsid w:val="00365F0E"/>
    <w:rsid w:val="00365FEC"/>
    <w:rsid w:val="003664F8"/>
    <w:rsid w:val="003665B4"/>
    <w:rsid w:val="003666DE"/>
    <w:rsid w:val="003667AF"/>
    <w:rsid w:val="00366974"/>
    <w:rsid w:val="00366D74"/>
    <w:rsid w:val="00367022"/>
    <w:rsid w:val="0036718B"/>
    <w:rsid w:val="00367AC4"/>
    <w:rsid w:val="00367D6B"/>
    <w:rsid w:val="00367E00"/>
    <w:rsid w:val="00367F0B"/>
    <w:rsid w:val="0037029A"/>
    <w:rsid w:val="00370464"/>
    <w:rsid w:val="0037083D"/>
    <w:rsid w:val="00370B3A"/>
    <w:rsid w:val="00370B80"/>
    <w:rsid w:val="00370F0F"/>
    <w:rsid w:val="00370F76"/>
    <w:rsid w:val="00371293"/>
    <w:rsid w:val="003713DD"/>
    <w:rsid w:val="003713E8"/>
    <w:rsid w:val="003713FC"/>
    <w:rsid w:val="0037154B"/>
    <w:rsid w:val="00371722"/>
    <w:rsid w:val="003719E1"/>
    <w:rsid w:val="00371F66"/>
    <w:rsid w:val="00372302"/>
    <w:rsid w:val="00372336"/>
    <w:rsid w:val="00372392"/>
    <w:rsid w:val="00372858"/>
    <w:rsid w:val="0037287C"/>
    <w:rsid w:val="00372A7C"/>
    <w:rsid w:val="00372A9A"/>
    <w:rsid w:val="00372E64"/>
    <w:rsid w:val="00372ED8"/>
    <w:rsid w:val="00372ED9"/>
    <w:rsid w:val="00373575"/>
    <w:rsid w:val="003735E2"/>
    <w:rsid w:val="003736A5"/>
    <w:rsid w:val="00373780"/>
    <w:rsid w:val="003737B2"/>
    <w:rsid w:val="003737E3"/>
    <w:rsid w:val="003746B4"/>
    <w:rsid w:val="00374836"/>
    <w:rsid w:val="00374994"/>
    <w:rsid w:val="00374A20"/>
    <w:rsid w:val="003753EF"/>
    <w:rsid w:val="00375616"/>
    <w:rsid w:val="0037568D"/>
    <w:rsid w:val="003757E9"/>
    <w:rsid w:val="0037625A"/>
    <w:rsid w:val="00376380"/>
    <w:rsid w:val="00376415"/>
    <w:rsid w:val="00376995"/>
    <w:rsid w:val="00376B1A"/>
    <w:rsid w:val="00376B4D"/>
    <w:rsid w:val="00376E91"/>
    <w:rsid w:val="00376FBB"/>
    <w:rsid w:val="003776BB"/>
    <w:rsid w:val="00377816"/>
    <w:rsid w:val="003779EE"/>
    <w:rsid w:val="00377D4B"/>
    <w:rsid w:val="0038003D"/>
    <w:rsid w:val="0038057E"/>
    <w:rsid w:val="00380745"/>
    <w:rsid w:val="003809ED"/>
    <w:rsid w:val="00380B2F"/>
    <w:rsid w:val="00380D2A"/>
    <w:rsid w:val="003814E8"/>
    <w:rsid w:val="00381662"/>
    <w:rsid w:val="00381A46"/>
    <w:rsid w:val="00381B7A"/>
    <w:rsid w:val="00381C09"/>
    <w:rsid w:val="00381FA5"/>
    <w:rsid w:val="0038207F"/>
    <w:rsid w:val="0038244F"/>
    <w:rsid w:val="0038253B"/>
    <w:rsid w:val="00382542"/>
    <w:rsid w:val="003826C3"/>
    <w:rsid w:val="003827C1"/>
    <w:rsid w:val="00382DB7"/>
    <w:rsid w:val="00382F7B"/>
    <w:rsid w:val="00383208"/>
    <w:rsid w:val="0038339D"/>
    <w:rsid w:val="003833B0"/>
    <w:rsid w:val="003833D5"/>
    <w:rsid w:val="003833E7"/>
    <w:rsid w:val="00383413"/>
    <w:rsid w:val="0038367D"/>
    <w:rsid w:val="00383752"/>
    <w:rsid w:val="00383CE1"/>
    <w:rsid w:val="00384119"/>
    <w:rsid w:val="003843C6"/>
    <w:rsid w:val="003848B7"/>
    <w:rsid w:val="003849D1"/>
    <w:rsid w:val="00384A00"/>
    <w:rsid w:val="00384C2A"/>
    <w:rsid w:val="0038500C"/>
    <w:rsid w:val="003853C6"/>
    <w:rsid w:val="003855ED"/>
    <w:rsid w:val="00385826"/>
    <w:rsid w:val="00385C3D"/>
    <w:rsid w:val="003860AB"/>
    <w:rsid w:val="00386136"/>
    <w:rsid w:val="003863E0"/>
    <w:rsid w:val="00386D1B"/>
    <w:rsid w:val="00386DE5"/>
    <w:rsid w:val="00386FC2"/>
    <w:rsid w:val="00387043"/>
    <w:rsid w:val="00387216"/>
    <w:rsid w:val="003874E4"/>
    <w:rsid w:val="00387598"/>
    <w:rsid w:val="00387781"/>
    <w:rsid w:val="00387BD6"/>
    <w:rsid w:val="00387BF2"/>
    <w:rsid w:val="00387C25"/>
    <w:rsid w:val="00387CA4"/>
    <w:rsid w:val="00387E0F"/>
    <w:rsid w:val="00387FA4"/>
    <w:rsid w:val="0039027E"/>
    <w:rsid w:val="0039041E"/>
    <w:rsid w:val="0039099B"/>
    <w:rsid w:val="00390B10"/>
    <w:rsid w:val="00390C3B"/>
    <w:rsid w:val="00390D81"/>
    <w:rsid w:val="00390E95"/>
    <w:rsid w:val="00391041"/>
    <w:rsid w:val="003913D5"/>
    <w:rsid w:val="00391A5B"/>
    <w:rsid w:val="00391D22"/>
    <w:rsid w:val="00391E75"/>
    <w:rsid w:val="0039223F"/>
    <w:rsid w:val="00392430"/>
    <w:rsid w:val="0039251F"/>
    <w:rsid w:val="00392579"/>
    <w:rsid w:val="003925C3"/>
    <w:rsid w:val="00392760"/>
    <w:rsid w:val="00392C16"/>
    <w:rsid w:val="00392DEF"/>
    <w:rsid w:val="0039327D"/>
    <w:rsid w:val="003937DA"/>
    <w:rsid w:val="0039380B"/>
    <w:rsid w:val="003938FE"/>
    <w:rsid w:val="00393AEA"/>
    <w:rsid w:val="00393CBD"/>
    <w:rsid w:val="00394145"/>
    <w:rsid w:val="003941E5"/>
    <w:rsid w:val="00394366"/>
    <w:rsid w:val="003943EE"/>
    <w:rsid w:val="0039444A"/>
    <w:rsid w:val="00394945"/>
    <w:rsid w:val="00394AFC"/>
    <w:rsid w:val="00394DFF"/>
    <w:rsid w:val="0039505B"/>
    <w:rsid w:val="00395539"/>
    <w:rsid w:val="00395868"/>
    <w:rsid w:val="00395874"/>
    <w:rsid w:val="00395966"/>
    <w:rsid w:val="003961BA"/>
    <w:rsid w:val="00396479"/>
    <w:rsid w:val="003966C2"/>
    <w:rsid w:val="00396D4F"/>
    <w:rsid w:val="003975F7"/>
    <w:rsid w:val="0039796F"/>
    <w:rsid w:val="00397997"/>
    <w:rsid w:val="00397B91"/>
    <w:rsid w:val="00397BB2"/>
    <w:rsid w:val="00397C93"/>
    <w:rsid w:val="00397EB3"/>
    <w:rsid w:val="003A040A"/>
    <w:rsid w:val="003A0494"/>
    <w:rsid w:val="003A0573"/>
    <w:rsid w:val="003A0749"/>
    <w:rsid w:val="003A08D6"/>
    <w:rsid w:val="003A0DC4"/>
    <w:rsid w:val="003A13E0"/>
    <w:rsid w:val="003A1537"/>
    <w:rsid w:val="003A1804"/>
    <w:rsid w:val="003A1868"/>
    <w:rsid w:val="003A1C4E"/>
    <w:rsid w:val="003A1DD3"/>
    <w:rsid w:val="003A1E55"/>
    <w:rsid w:val="003A201C"/>
    <w:rsid w:val="003A2148"/>
    <w:rsid w:val="003A21B4"/>
    <w:rsid w:val="003A22E2"/>
    <w:rsid w:val="003A244A"/>
    <w:rsid w:val="003A24CC"/>
    <w:rsid w:val="003A2989"/>
    <w:rsid w:val="003A2B8D"/>
    <w:rsid w:val="003A2D96"/>
    <w:rsid w:val="003A2EC4"/>
    <w:rsid w:val="003A370D"/>
    <w:rsid w:val="003A37FE"/>
    <w:rsid w:val="003A3908"/>
    <w:rsid w:val="003A3934"/>
    <w:rsid w:val="003A3B30"/>
    <w:rsid w:val="003A3B9D"/>
    <w:rsid w:val="003A3BDD"/>
    <w:rsid w:val="003A3D61"/>
    <w:rsid w:val="003A3ED4"/>
    <w:rsid w:val="003A4343"/>
    <w:rsid w:val="003A43E0"/>
    <w:rsid w:val="003A4643"/>
    <w:rsid w:val="003A48F6"/>
    <w:rsid w:val="003A4A00"/>
    <w:rsid w:val="003A4ACC"/>
    <w:rsid w:val="003A4C50"/>
    <w:rsid w:val="003A513D"/>
    <w:rsid w:val="003A51B3"/>
    <w:rsid w:val="003A526E"/>
    <w:rsid w:val="003A55A2"/>
    <w:rsid w:val="003A5B53"/>
    <w:rsid w:val="003A5DA8"/>
    <w:rsid w:val="003A5E16"/>
    <w:rsid w:val="003A5F38"/>
    <w:rsid w:val="003A604B"/>
    <w:rsid w:val="003A686F"/>
    <w:rsid w:val="003A689C"/>
    <w:rsid w:val="003A68B8"/>
    <w:rsid w:val="003A697E"/>
    <w:rsid w:val="003A6A56"/>
    <w:rsid w:val="003A6A75"/>
    <w:rsid w:val="003A6C9B"/>
    <w:rsid w:val="003A6E16"/>
    <w:rsid w:val="003A6EA0"/>
    <w:rsid w:val="003A6EAD"/>
    <w:rsid w:val="003A765C"/>
    <w:rsid w:val="003A78B6"/>
    <w:rsid w:val="003B0328"/>
    <w:rsid w:val="003B09AC"/>
    <w:rsid w:val="003B0ADC"/>
    <w:rsid w:val="003B0DC7"/>
    <w:rsid w:val="003B1C67"/>
    <w:rsid w:val="003B1E15"/>
    <w:rsid w:val="003B1F71"/>
    <w:rsid w:val="003B2122"/>
    <w:rsid w:val="003B223A"/>
    <w:rsid w:val="003B25AC"/>
    <w:rsid w:val="003B28BF"/>
    <w:rsid w:val="003B2F1B"/>
    <w:rsid w:val="003B33AD"/>
    <w:rsid w:val="003B34E9"/>
    <w:rsid w:val="003B350B"/>
    <w:rsid w:val="003B3703"/>
    <w:rsid w:val="003B38CA"/>
    <w:rsid w:val="003B3B3B"/>
    <w:rsid w:val="003B3D9F"/>
    <w:rsid w:val="003B3E2B"/>
    <w:rsid w:val="003B3FDD"/>
    <w:rsid w:val="003B435B"/>
    <w:rsid w:val="003B43B8"/>
    <w:rsid w:val="003B4670"/>
    <w:rsid w:val="003B48BD"/>
    <w:rsid w:val="003B4BBA"/>
    <w:rsid w:val="003B5509"/>
    <w:rsid w:val="003B5680"/>
    <w:rsid w:val="003B5920"/>
    <w:rsid w:val="003B5E74"/>
    <w:rsid w:val="003B5FCA"/>
    <w:rsid w:val="003B614C"/>
    <w:rsid w:val="003B6405"/>
    <w:rsid w:val="003B64B4"/>
    <w:rsid w:val="003B64BC"/>
    <w:rsid w:val="003B6676"/>
    <w:rsid w:val="003B671F"/>
    <w:rsid w:val="003B6801"/>
    <w:rsid w:val="003B6C0B"/>
    <w:rsid w:val="003B6C4C"/>
    <w:rsid w:val="003B6E2E"/>
    <w:rsid w:val="003B7184"/>
    <w:rsid w:val="003B71C5"/>
    <w:rsid w:val="003B730D"/>
    <w:rsid w:val="003B73C4"/>
    <w:rsid w:val="003B750E"/>
    <w:rsid w:val="003B7ACE"/>
    <w:rsid w:val="003B7BC8"/>
    <w:rsid w:val="003B7DEE"/>
    <w:rsid w:val="003B7F92"/>
    <w:rsid w:val="003C03E9"/>
    <w:rsid w:val="003C04C1"/>
    <w:rsid w:val="003C05A3"/>
    <w:rsid w:val="003C0773"/>
    <w:rsid w:val="003C0A12"/>
    <w:rsid w:val="003C0A19"/>
    <w:rsid w:val="003C0EB2"/>
    <w:rsid w:val="003C13C5"/>
    <w:rsid w:val="003C152F"/>
    <w:rsid w:val="003C1936"/>
    <w:rsid w:val="003C1D00"/>
    <w:rsid w:val="003C1DB4"/>
    <w:rsid w:val="003C1DC1"/>
    <w:rsid w:val="003C1DF4"/>
    <w:rsid w:val="003C20D2"/>
    <w:rsid w:val="003C20ED"/>
    <w:rsid w:val="003C2D10"/>
    <w:rsid w:val="003C36C8"/>
    <w:rsid w:val="003C410F"/>
    <w:rsid w:val="003C4315"/>
    <w:rsid w:val="003C43CE"/>
    <w:rsid w:val="003C484A"/>
    <w:rsid w:val="003C4AF1"/>
    <w:rsid w:val="003C4C75"/>
    <w:rsid w:val="003C4EA7"/>
    <w:rsid w:val="003C503F"/>
    <w:rsid w:val="003C50FB"/>
    <w:rsid w:val="003C549D"/>
    <w:rsid w:val="003C56D5"/>
    <w:rsid w:val="003C57CC"/>
    <w:rsid w:val="003C5B20"/>
    <w:rsid w:val="003C5DFB"/>
    <w:rsid w:val="003C5E4F"/>
    <w:rsid w:val="003C638B"/>
    <w:rsid w:val="003C63AA"/>
    <w:rsid w:val="003C65DC"/>
    <w:rsid w:val="003C684F"/>
    <w:rsid w:val="003C68E1"/>
    <w:rsid w:val="003C7073"/>
    <w:rsid w:val="003C72A5"/>
    <w:rsid w:val="003C7A4D"/>
    <w:rsid w:val="003C7D66"/>
    <w:rsid w:val="003C7DB5"/>
    <w:rsid w:val="003D01AE"/>
    <w:rsid w:val="003D0334"/>
    <w:rsid w:val="003D052F"/>
    <w:rsid w:val="003D0579"/>
    <w:rsid w:val="003D05BD"/>
    <w:rsid w:val="003D0736"/>
    <w:rsid w:val="003D07E2"/>
    <w:rsid w:val="003D084D"/>
    <w:rsid w:val="003D0CA0"/>
    <w:rsid w:val="003D0CCA"/>
    <w:rsid w:val="003D0E18"/>
    <w:rsid w:val="003D13BA"/>
    <w:rsid w:val="003D14BF"/>
    <w:rsid w:val="003D1757"/>
    <w:rsid w:val="003D17EF"/>
    <w:rsid w:val="003D1875"/>
    <w:rsid w:val="003D1920"/>
    <w:rsid w:val="003D1984"/>
    <w:rsid w:val="003D1B15"/>
    <w:rsid w:val="003D1D13"/>
    <w:rsid w:val="003D1DDF"/>
    <w:rsid w:val="003D1DF9"/>
    <w:rsid w:val="003D1F77"/>
    <w:rsid w:val="003D207A"/>
    <w:rsid w:val="003D217E"/>
    <w:rsid w:val="003D21D0"/>
    <w:rsid w:val="003D23ED"/>
    <w:rsid w:val="003D25B8"/>
    <w:rsid w:val="003D262E"/>
    <w:rsid w:val="003D2C66"/>
    <w:rsid w:val="003D3000"/>
    <w:rsid w:val="003D30D9"/>
    <w:rsid w:val="003D3830"/>
    <w:rsid w:val="003D3873"/>
    <w:rsid w:val="003D3A66"/>
    <w:rsid w:val="003D3CC6"/>
    <w:rsid w:val="003D3DA8"/>
    <w:rsid w:val="003D3F7D"/>
    <w:rsid w:val="003D4037"/>
    <w:rsid w:val="003D41E4"/>
    <w:rsid w:val="003D4897"/>
    <w:rsid w:val="003D4C8F"/>
    <w:rsid w:val="003D4CAE"/>
    <w:rsid w:val="003D5278"/>
    <w:rsid w:val="003D5541"/>
    <w:rsid w:val="003D5CC9"/>
    <w:rsid w:val="003D5CEC"/>
    <w:rsid w:val="003D6275"/>
    <w:rsid w:val="003D68D3"/>
    <w:rsid w:val="003D6972"/>
    <w:rsid w:val="003D6999"/>
    <w:rsid w:val="003D6C6E"/>
    <w:rsid w:val="003D6FF4"/>
    <w:rsid w:val="003D71B7"/>
    <w:rsid w:val="003D7370"/>
    <w:rsid w:val="003D7444"/>
    <w:rsid w:val="003D749A"/>
    <w:rsid w:val="003D7561"/>
    <w:rsid w:val="003D79CF"/>
    <w:rsid w:val="003D7AEF"/>
    <w:rsid w:val="003E0022"/>
    <w:rsid w:val="003E04A6"/>
    <w:rsid w:val="003E09CA"/>
    <w:rsid w:val="003E09F7"/>
    <w:rsid w:val="003E0BFD"/>
    <w:rsid w:val="003E0EA0"/>
    <w:rsid w:val="003E1026"/>
    <w:rsid w:val="003E1043"/>
    <w:rsid w:val="003E105E"/>
    <w:rsid w:val="003E14AA"/>
    <w:rsid w:val="003E159A"/>
    <w:rsid w:val="003E1651"/>
    <w:rsid w:val="003E1750"/>
    <w:rsid w:val="003E175E"/>
    <w:rsid w:val="003E187E"/>
    <w:rsid w:val="003E18DA"/>
    <w:rsid w:val="003E1DC1"/>
    <w:rsid w:val="003E1F00"/>
    <w:rsid w:val="003E2365"/>
    <w:rsid w:val="003E28D0"/>
    <w:rsid w:val="003E2FCD"/>
    <w:rsid w:val="003E307A"/>
    <w:rsid w:val="003E328B"/>
    <w:rsid w:val="003E32D7"/>
    <w:rsid w:val="003E34EF"/>
    <w:rsid w:val="003E3800"/>
    <w:rsid w:val="003E3AB5"/>
    <w:rsid w:val="003E4460"/>
    <w:rsid w:val="003E44C6"/>
    <w:rsid w:val="003E4600"/>
    <w:rsid w:val="003E4629"/>
    <w:rsid w:val="003E4715"/>
    <w:rsid w:val="003E4983"/>
    <w:rsid w:val="003E4BFD"/>
    <w:rsid w:val="003E4C2D"/>
    <w:rsid w:val="003E4D1B"/>
    <w:rsid w:val="003E4E34"/>
    <w:rsid w:val="003E504C"/>
    <w:rsid w:val="003E5B1D"/>
    <w:rsid w:val="003E603B"/>
    <w:rsid w:val="003E6251"/>
    <w:rsid w:val="003E64E5"/>
    <w:rsid w:val="003E6DB6"/>
    <w:rsid w:val="003E6E34"/>
    <w:rsid w:val="003E6EB4"/>
    <w:rsid w:val="003E71BD"/>
    <w:rsid w:val="003E7206"/>
    <w:rsid w:val="003E767B"/>
    <w:rsid w:val="003E77E0"/>
    <w:rsid w:val="003E7A11"/>
    <w:rsid w:val="003E7E7D"/>
    <w:rsid w:val="003F0017"/>
    <w:rsid w:val="003F0232"/>
    <w:rsid w:val="003F038C"/>
    <w:rsid w:val="003F04EE"/>
    <w:rsid w:val="003F06F5"/>
    <w:rsid w:val="003F0879"/>
    <w:rsid w:val="003F0C62"/>
    <w:rsid w:val="003F0EC0"/>
    <w:rsid w:val="003F0F96"/>
    <w:rsid w:val="003F1275"/>
    <w:rsid w:val="003F14A9"/>
    <w:rsid w:val="003F153B"/>
    <w:rsid w:val="003F184E"/>
    <w:rsid w:val="003F1D40"/>
    <w:rsid w:val="003F2282"/>
    <w:rsid w:val="003F2369"/>
    <w:rsid w:val="003F2792"/>
    <w:rsid w:val="003F2857"/>
    <w:rsid w:val="003F2BDE"/>
    <w:rsid w:val="003F2FBE"/>
    <w:rsid w:val="003F341E"/>
    <w:rsid w:val="003F355B"/>
    <w:rsid w:val="003F363D"/>
    <w:rsid w:val="003F3864"/>
    <w:rsid w:val="003F38E8"/>
    <w:rsid w:val="003F3AA3"/>
    <w:rsid w:val="003F3C19"/>
    <w:rsid w:val="003F3CD4"/>
    <w:rsid w:val="003F3D20"/>
    <w:rsid w:val="003F468B"/>
    <w:rsid w:val="003F4725"/>
    <w:rsid w:val="003F5141"/>
    <w:rsid w:val="003F5144"/>
    <w:rsid w:val="003F516C"/>
    <w:rsid w:val="003F532A"/>
    <w:rsid w:val="003F53C6"/>
    <w:rsid w:val="003F5422"/>
    <w:rsid w:val="003F579F"/>
    <w:rsid w:val="003F57FD"/>
    <w:rsid w:val="003F5E56"/>
    <w:rsid w:val="003F5F15"/>
    <w:rsid w:val="003F600B"/>
    <w:rsid w:val="003F64D3"/>
    <w:rsid w:val="003F6665"/>
    <w:rsid w:val="003F6852"/>
    <w:rsid w:val="003F7176"/>
    <w:rsid w:val="003F71B2"/>
    <w:rsid w:val="003F7773"/>
    <w:rsid w:val="003F7A1C"/>
    <w:rsid w:val="003F7AFB"/>
    <w:rsid w:val="003F7B62"/>
    <w:rsid w:val="003F7F04"/>
    <w:rsid w:val="003F7F13"/>
    <w:rsid w:val="0040016A"/>
    <w:rsid w:val="004002ED"/>
    <w:rsid w:val="0040036F"/>
    <w:rsid w:val="00400565"/>
    <w:rsid w:val="004006E1"/>
    <w:rsid w:val="0040080D"/>
    <w:rsid w:val="00400E3E"/>
    <w:rsid w:val="0040125F"/>
    <w:rsid w:val="0040157E"/>
    <w:rsid w:val="004015EE"/>
    <w:rsid w:val="004016AD"/>
    <w:rsid w:val="00401808"/>
    <w:rsid w:val="00401B34"/>
    <w:rsid w:val="00401BE1"/>
    <w:rsid w:val="00402154"/>
    <w:rsid w:val="004021EE"/>
    <w:rsid w:val="0040233C"/>
    <w:rsid w:val="004023D8"/>
    <w:rsid w:val="004023EE"/>
    <w:rsid w:val="004024C2"/>
    <w:rsid w:val="00402DD2"/>
    <w:rsid w:val="004032B9"/>
    <w:rsid w:val="0040333D"/>
    <w:rsid w:val="00403488"/>
    <w:rsid w:val="004037B8"/>
    <w:rsid w:val="00403B25"/>
    <w:rsid w:val="00403B2D"/>
    <w:rsid w:val="00403D5C"/>
    <w:rsid w:val="0040401F"/>
    <w:rsid w:val="004041E1"/>
    <w:rsid w:val="0040477F"/>
    <w:rsid w:val="00404F56"/>
    <w:rsid w:val="0040516D"/>
    <w:rsid w:val="00405298"/>
    <w:rsid w:val="00405518"/>
    <w:rsid w:val="00405676"/>
    <w:rsid w:val="00405BEB"/>
    <w:rsid w:val="00405E3A"/>
    <w:rsid w:val="00405FE8"/>
    <w:rsid w:val="004060C8"/>
    <w:rsid w:val="004061E1"/>
    <w:rsid w:val="00406730"/>
    <w:rsid w:val="00406838"/>
    <w:rsid w:val="00406977"/>
    <w:rsid w:val="00406AA7"/>
    <w:rsid w:val="00406DD8"/>
    <w:rsid w:val="00406E4D"/>
    <w:rsid w:val="00406E83"/>
    <w:rsid w:val="00406F92"/>
    <w:rsid w:val="0040712A"/>
    <w:rsid w:val="0040712F"/>
    <w:rsid w:val="0040732F"/>
    <w:rsid w:val="0040737F"/>
    <w:rsid w:val="00407DBE"/>
    <w:rsid w:val="00407E55"/>
    <w:rsid w:val="00407ED1"/>
    <w:rsid w:val="0041005F"/>
    <w:rsid w:val="00410168"/>
    <w:rsid w:val="0041022F"/>
    <w:rsid w:val="00410668"/>
    <w:rsid w:val="0041083C"/>
    <w:rsid w:val="00410C65"/>
    <w:rsid w:val="00410E54"/>
    <w:rsid w:val="00410EDA"/>
    <w:rsid w:val="0041108B"/>
    <w:rsid w:val="0041158D"/>
    <w:rsid w:val="004115B8"/>
    <w:rsid w:val="00411788"/>
    <w:rsid w:val="00411811"/>
    <w:rsid w:val="00411EF4"/>
    <w:rsid w:val="0041297A"/>
    <w:rsid w:val="0041299E"/>
    <w:rsid w:val="00412A62"/>
    <w:rsid w:val="00412BA0"/>
    <w:rsid w:val="00412BF4"/>
    <w:rsid w:val="00413661"/>
    <w:rsid w:val="004139FC"/>
    <w:rsid w:val="00413B3C"/>
    <w:rsid w:val="00413D64"/>
    <w:rsid w:val="00413F1F"/>
    <w:rsid w:val="004143C1"/>
    <w:rsid w:val="00414418"/>
    <w:rsid w:val="0041442C"/>
    <w:rsid w:val="00414518"/>
    <w:rsid w:val="004145ED"/>
    <w:rsid w:val="004148C2"/>
    <w:rsid w:val="004148FC"/>
    <w:rsid w:val="00414A71"/>
    <w:rsid w:val="0041501B"/>
    <w:rsid w:val="00415852"/>
    <w:rsid w:val="004158E8"/>
    <w:rsid w:val="00415D5C"/>
    <w:rsid w:val="00415DDB"/>
    <w:rsid w:val="00415F8F"/>
    <w:rsid w:val="00416249"/>
    <w:rsid w:val="0041645B"/>
    <w:rsid w:val="00416462"/>
    <w:rsid w:val="004164EF"/>
    <w:rsid w:val="004165E5"/>
    <w:rsid w:val="004166CC"/>
    <w:rsid w:val="0041693D"/>
    <w:rsid w:val="004169E0"/>
    <w:rsid w:val="00416C5B"/>
    <w:rsid w:val="00416D96"/>
    <w:rsid w:val="0041746E"/>
    <w:rsid w:val="00417880"/>
    <w:rsid w:val="0041788C"/>
    <w:rsid w:val="00417A30"/>
    <w:rsid w:val="00417B26"/>
    <w:rsid w:val="00417C97"/>
    <w:rsid w:val="00417D03"/>
    <w:rsid w:val="0042028B"/>
    <w:rsid w:val="004202A5"/>
    <w:rsid w:val="004202B3"/>
    <w:rsid w:val="004204B7"/>
    <w:rsid w:val="00420648"/>
    <w:rsid w:val="0042084E"/>
    <w:rsid w:val="00420920"/>
    <w:rsid w:val="004209EF"/>
    <w:rsid w:val="00420E82"/>
    <w:rsid w:val="004213B0"/>
    <w:rsid w:val="00421965"/>
    <w:rsid w:val="00421FBA"/>
    <w:rsid w:val="00421FCE"/>
    <w:rsid w:val="0042213B"/>
    <w:rsid w:val="004222AF"/>
    <w:rsid w:val="004224D1"/>
    <w:rsid w:val="00422767"/>
    <w:rsid w:val="00422842"/>
    <w:rsid w:val="00422AB6"/>
    <w:rsid w:val="00422AF9"/>
    <w:rsid w:val="00422CA7"/>
    <w:rsid w:val="00422E79"/>
    <w:rsid w:val="00422F72"/>
    <w:rsid w:val="00423174"/>
    <w:rsid w:val="00423D00"/>
    <w:rsid w:val="00424268"/>
    <w:rsid w:val="0042436D"/>
    <w:rsid w:val="00424AD5"/>
    <w:rsid w:val="00424BD7"/>
    <w:rsid w:val="00424DFC"/>
    <w:rsid w:val="00424F5A"/>
    <w:rsid w:val="004253A0"/>
    <w:rsid w:val="00425668"/>
    <w:rsid w:val="004261E1"/>
    <w:rsid w:val="004265EF"/>
    <w:rsid w:val="004267E8"/>
    <w:rsid w:val="00426826"/>
    <w:rsid w:val="004268F8"/>
    <w:rsid w:val="0042700B"/>
    <w:rsid w:val="00427187"/>
    <w:rsid w:val="00427189"/>
    <w:rsid w:val="004273E7"/>
    <w:rsid w:val="004274ED"/>
    <w:rsid w:val="0042751C"/>
    <w:rsid w:val="00427693"/>
    <w:rsid w:val="004276A9"/>
    <w:rsid w:val="004276C1"/>
    <w:rsid w:val="0043001E"/>
    <w:rsid w:val="0043007D"/>
    <w:rsid w:val="004300B2"/>
    <w:rsid w:val="004302FF"/>
    <w:rsid w:val="00430508"/>
    <w:rsid w:val="0043061F"/>
    <w:rsid w:val="004309D7"/>
    <w:rsid w:val="00430B72"/>
    <w:rsid w:val="004310AB"/>
    <w:rsid w:val="004311BF"/>
    <w:rsid w:val="00431499"/>
    <w:rsid w:val="004314FB"/>
    <w:rsid w:val="00431BE3"/>
    <w:rsid w:val="00431D8A"/>
    <w:rsid w:val="00431E58"/>
    <w:rsid w:val="004323A5"/>
    <w:rsid w:val="004323B7"/>
    <w:rsid w:val="0043245C"/>
    <w:rsid w:val="00432791"/>
    <w:rsid w:val="00432D49"/>
    <w:rsid w:val="00432FB2"/>
    <w:rsid w:val="004331FF"/>
    <w:rsid w:val="0043325F"/>
    <w:rsid w:val="004333D0"/>
    <w:rsid w:val="0043343C"/>
    <w:rsid w:val="004337E0"/>
    <w:rsid w:val="00433891"/>
    <w:rsid w:val="004338C9"/>
    <w:rsid w:val="00433E88"/>
    <w:rsid w:val="00434307"/>
    <w:rsid w:val="0043436E"/>
    <w:rsid w:val="004345B9"/>
    <w:rsid w:val="004346CA"/>
    <w:rsid w:val="004347AC"/>
    <w:rsid w:val="00434979"/>
    <w:rsid w:val="00434F38"/>
    <w:rsid w:val="00435144"/>
    <w:rsid w:val="00435260"/>
    <w:rsid w:val="00435293"/>
    <w:rsid w:val="0043579F"/>
    <w:rsid w:val="00435BC2"/>
    <w:rsid w:val="00435BD8"/>
    <w:rsid w:val="00435E35"/>
    <w:rsid w:val="00435EB3"/>
    <w:rsid w:val="00435F59"/>
    <w:rsid w:val="004362A2"/>
    <w:rsid w:val="004367A6"/>
    <w:rsid w:val="004368A8"/>
    <w:rsid w:val="00436AE1"/>
    <w:rsid w:val="00436D9F"/>
    <w:rsid w:val="00436E3C"/>
    <w:rsid w:val="004370C8"/>
    <w:rsid w:val="00437302"/>
    <w:rsid w:val="00437441"/>
    <w:rsid w:val="004378DB"/>
    <w:rsid w:val="0043791A"/>
    <w:rsid w:val="00437C07"/>
    <w:rsid w:val="00437F50"/>
    <w:rsid w:val="00437FE6"/>
    <w:rsid w:val="00440074"/>
    <w:rsid w:val="0044062E"/>
    <w:rsid w:val="00440A21"/>
    <w:rsid w:val="00440AFC"/>
    <w:rsid w:val="00440D4A"/>
    <w:rsid w:val="00440F21"/>
    <w:rsid w:val="0044142B"/>
    <w:rsid w:val="00441CEC"/>
    <w:rsid w:val="00441D60"/>
    <w:rsid w:val="00442201"/>
    <w:rsid w:val="0044294F"/>
    <w:rsid w:val="004429D6"/>
    <w:rsid w:val="00443492"/>
    <w:rsid w:val="0044355F"/>
    <w:rsid w:val="004435ED"/>
    <w:rsid w:val="0044366C"/>
    <w:rsid w:val="0044372E"/>
    <w:rsid w:val="0044380B"/>
    <w:rsid w:val="004439EC"/>
    <w:rsid w:val="00443F95"/>
    <w:rsid w:val="00444144"/>
    <w:rsid w:val="00444159"/>
    <w:rsid w:val="0044429F"/>
    <w:rsid w:val="004446A0"/>
    <w:rsid w:val="004446E3"/>
    <w:rsid w:val="004447EF"/>
    <w:rsid w:val="0044487D"/>
    <w:rsid w:val="00444A0C"/>
    <w:rsid w:val="00444D30"/>
    <w:rsid w:val="00444E9D"/>
    <w:rsid w:val="00445016"/>
    <w:rsid w:val="004451F7"/>
    <w:rsid w:val="0044538B"/>
    <w:rsid w:val="0044542F"/>
    <w:rsid w:val="0044578B"/>
    <w:rsid w:val="0044593E"/>
    <w:rsid w:val="00445CCF"/>
    <w:rsid w:val="00445ED1"/>
    <w:rsid w:val="00445EEB"/>
    <w:rsid w:val="004462FB"/>
    <w:rsid w:val="0044647B"/>
    <w:rsid w:val="00446750"/>
    <w:rsid w:val="0044678E"/>
    <w:rsid w:val="00446CAD"/>
    <w:rsid w:val="00446D7F"/>
    <w:rsid w:val="00446E24"/>
    <w:rsid w:val="004477F8"/>
    <w:rsid w:val="0044786C"/>
    <w:rsid w:val="004500B0"/>
    <w:rsid w:val="0045025E"/>
    <w:rsid w:val="004505E2"/>
    <w:rsid w:val="004507BF"/>
    <w:rsid w:val="004509F7"/>
    <w:rsid w:val="00450A9B"/>
    <w:rsid w:val="00450C4B"/>
    <w:rsid w:val="00450CE4"/>
    <w:rsid w:val="004510AA"/>
    <w:rsid w:val="0045114F"/>
    <w:rsid w:val="00451827"/>
    <w:rsid w:val="00451BDA"/>
    <w:rsid w:val="00451C55"/>
    <w:rsid w:val="00451E91"/>
    <w:rsid w:val="00451EEF"/>
    <w:rsid w:val="004521A6"/>
    <w:rsid w:val="004522C8"/>
    <w:rsid w:val="00452422"/>
    <w:rsid w:val="00452500"/>
    <w:rsid w:val="00452D05"/>
    <w:rsid w:val="00452D4F"/>
    <w:rsid w:val="004531E1"/>
    <w:rsid w:val="00453224"/>
    <w:rsid w:val="00453246"/>
    <w:rsid w:val="00453415"/>
    <w:rsid w:val="00453541"/>
    <w:rsid w:val="00453831"/>
    <w:rsid w:val="00453953"/>
    <w:rsid w:val="00453DB0"/>
    <w:rsid w:val="00453DC8"/>
    <w:rsid w:val="0045423C"/>
    <w:rsid w:val="0045453D"/>
    <w:rsid w:val="0045460C"/>
    <w:rsid w:val="0045468B"/>
    <w:rsid w:val="004547EA"/>
    <w:rsid w:val="00454CCB"/>
    <w:rsid w:val="00454F1F"/>
    <w:rsid w:val="0045526E"/>
    <w:rsid w:val="004555C2"/>
    <w:rsid w:val="00455AC1"/>
    <w:rsid w:val="00456124"/>
    <w:rsid w:val="004565EE"/>
    <w:rsid w:val="00456B29"/>
    <w:rsid w:val="00456D34"/>
    <w:rsid w:val="00456DD1"/>
    <w:rsid w:val="00456E81"/>
    <w:rsid w:val="00456ED5"/>
    <w:rsid w:val="0045732E"/>
    <w:rsid w:val="00457370"/>
    <w:rsid w:val="0045788D"/>
    <w:rsid w:val="004604D1"/>
    <w:rsid w:val="004605B7"/>
    <w:rsid w:val="0046063F"/>
    <w:rsid w:val="004607BF"/>
    <w:rsid w:val="00460AA7"/>
    <w:rsid w:val="0046101A"/>
    <w:rsid w:val="00461165"/>
    <w:rsid w:val="00461553"/>
    <w:rsid w:val="004615B3"/>
    <w:rsid w:val="00461769"/>
    <w:rsid w:val="00461889"/>
    <w:rsid w:val="00461D21"/>
    <w:rsid w:val="00461F36"/>
    <w:rsid w:val="00462023"/>
    <w:rsid w:val="0046215A"/>
    <w:rsid w:val="00462314"/>
    <w:rsid w:val="00462397"/>
    <w:rsid w:val="004624FE"/>
    <w:rsid w:val="00462515"/>
    <w:rsid w:val="00463320"/>
    <w:rsid w:val="004633DB"/>
    <w:rsid w:val="004636AC"/>
    <w:rsid w:val="00463889"/>
    <w:rsid w:val="00463A8A"/>
    <w:rsid w:val="00463D0A"/>
    <w:rsid w:val="0046444A"/>
    <w:rsid w:val="00464502"/>
    <w:rsid w:val="00464A6C"/>
    <w:rsid w:val="00464D3F"/>
    <w:rsid w:val="00464F35"/>
    <w:rsid w:val="0046504F"/>
    <w:rsid w:val="0046533D"/>
    <w:rsid w:val="00465433"/>
    <w:rsid w:val="0046562A"/>
    <w:rsid w:val="00465B55"/>
    <w:rsid w:val="00465EC8"/>
    <w:rsid w:val="004663C8"/>
    <w:rsid w:val="0046651A"/>
    <w:rsid w:val="004668FC"/>
    <w:rsid w:val="00466986"/>
    <w:rsid w:val="00466B63"/>
    <w:rsid w:val="00466C81"/>
    <w:rsid w:val="00466D33"/>
    <w:rsid w:val="00466DB6"/>
    <w:rsid w:val="0046752B"/>
    <w:rsid w:val="00467570"/>
    <w:rsid w:val="0046764F"/>
    <w:rsid w:val="0046777C"/>
    <w:rsid w:val="0046794E"/>
    <w:rsid w:val="00467D06"/>
    <w:rsid w:val="00470195"/>
    <w:rsid w:val="00470284"/>
    <w:rsid w:val="004702C0"/>
    <w:rsid w:val="0047058D"/>
    <w:rsid w:val="00470670"/>
    <w:rsid w:val="00470C0A"/>
    <w:rsid w:val="00470F07"/>
    <w:rsid w:val="00470F39"/>
    <w:rsid w:val="0047112B"/>
    <w:rsid w:val="0047125A"/>
    <w:rsid w:val="004712E4"/>
    <w:rsid w:val="00471320"/>
    <w:rsid w:val="0047146E"/>
    <w:rsid w:val="0047155E"/>
    <w:rsid w:val="00471688"/>
    <w:rsid w:val="00471872"/>
    <w:rsid w:val="00471955"/>
    <w:rsid w:val="004719A6"/>
    <w:rsid w:val="00471FE4"/>
    <w:rsid w:val="0047263F"/>
    <w:rsid w:val="00472865"/>
    <w:rsid w:val="0047289A"/>
    <w:rsid w:val="004728A0"/>
    <w:rsid w:val="0047291F"/>
    <w:rsid w:val="00472A98"/>
    <w:rsid w:val="00472AB8"/>
    <w:rsid w:val="00472EBF"/>
    <w:rsid w:val="00473091"/>
    <w:rsid w:val="004730A7"/>
    <w:rsid w:val="004731CB"/>
    <w:rsid w:val="00473250"/>
    <w:rsid w:val="00473424"/>
    <w:rsid w:val="00473529"/>
    <w:rsid w:val="00473766"/>
    <w:rsid w:val="004738E2"/>
    <w:rsid w:val="004738ED"/>
    <w:rsid w:val="00474026"/>
    <w:rsid w:val="0047414F"/>
    <w:rsid w:val="0047424D"/>
    <w:rsid w:val="0047434C"/>
    <w:rsid w:val="00474401"/>
    <w:rsid w:val="0047448D"/>
    <w:rsid w:val="00474569"/>
    <w:rsid w:val="00474625"/>
    <w:rsid w:val="0047465D"/>
    <w:rsid w:val="00474695"/>
    <w:rsid w:val="004746B0"/>
    <w:rsid w:val="0047484A"/>
    <w:rsid w:val="00474A74"/>
    <w:rsid w:val="00475010"/>
    <w:rsid w:val="00475462"/>
    <w:rsid w:val="00475650"/>
    <w:rsid w:val="004757F7"/>
    <w:rsid w:val="00475CE3"/>
    <w:rsid w:val="00476060"/>
    <w:rsid w:val="004763BF"/>
    <w:rsid w:val="00476587"/>
    <w:rsid w:val="0047679D"/>
    <w:rsid w:val="004768AB"/>
    <w:rsid w:val="00476A22"/>
    <w:rsid w:val="00476ABA"/>
    <w:rsid w:val="00476E40"/>
    <w:rsid w:val="00477512"/>
    <w:rsid w:val="00477592"/>
    <w:rsid w:val="00477717"/>
    <w:rsid w:val="00477A69"/>
    <w:rsid w:val="00477AC4"/>
    <w:rsid w:val="00477BF0"/>
    <w:rsid w:val="00477D91"/>
    <w:rsid w:val="00477ED0"/>
    <w:rsid w:val="00477F9C"/>
    <w:rsid w:val="00480018"/>
    <w:rsid w:val="004802DA"/>
    <w:rsid w:val="004805A1"/>
    <w:rsid w:val="0048073B"/>
    <w:rsid w:val="004808C1"/>
    <w:rsid w:val="00480ED5"/>
    <w:rsid w:val="00480F51"/>
    <w:rsid w:val="004813EE"/>
    <w:rsid w:val="00481612"/>
    <w:rsid w:val="004817BC"/>
    <w:rsid w:val="004819C4"/>
    <w:rsid w:val="004819CA"/>
    <w:rsid w:val="004819E6"/>
    <w:rsid w:val="00481B1E"/>
    <w:rsid w:val="00481B95"/>
    <w:rsid w:val="00481C39"/>
    <w:rsid w:val="00481D8A"/>
    <w:rsid w:val="00482021"/>
    <w:rsid w:val="004825CD"/>
    <w:rsid w:val="00482843"/>
    <w:rsid w:val="004828C2"/>
    <w:rsid w:val="00482993"/>
    <w:rsid w:val="00482A13"/>
    <w:rsid w:val="00482B0C"/>
    <w:rsid w:val="00482B40"/>
    <w:rsid w:val="00482CF8"/>
    <w:rsid w:val="00483029"/>
    <w:rsid w:val="00483102"/>
    <w:rsid w:val="004837AD"/>
    <w:rsid w:val="0048382F"/>
    <w:rsid w:val="00483B76"/>
    <w:rsid w:val="00483EBF"/>
    <w:rsid w:val="004840E7"/>
    <w:rsid w:val="004842B9"/>
    <w:rsid w:val="004842C0"/>
    <w:rsid w:val="0048466A"/>
    <w:rsid w:val="004848CB"/>
    <w:rsid w:val="00484A53"/>
    <w:rsid w:val="00484B19"/>
    <w:rsid w:val="00484BB8"/>
    <w:rsid w:val="00484C11"/>
    <w:rsid w:val="00484D96"/>
    <w:rsid w:val="00484F8C"/>
    <w:rsid w:val="00485089"/>
    <w:rsid w:val="0048555E"/>
    <w:rsid w:val="0048581A"/>
    <w:rsid w:val="00485988"/>
    <w:rsid w:val="00485CAA"/>
    <w:rsid w:val="00486064"/>
    <w:rsid w:val="0048606F"/>
    <w:rsid w:val="0048609F"/>
    <w:rsid w:val="0048619E"/>
    <w:rsid w:val="00486458"/>
    <w:rsid w:val="00486572"/>
    <w:rsid w:val="00486798"/>
    <w:rsid w:val="00486A75"/>
    <w:rsid w:val="004871F0"/>
    <w:rsid w:val="0048750A"/>
    <w:rsid w:val="00487A44"/>
    <w:rsid w:val="00490054"/>
    <w:rsid w:val="004901C3"/>
    <w:rsid w:val="004904B7"/>
    <w:rsid w:val="00490A04"/>
    <w:rsid w:val="00490CBF"/>
    <w:rsid w:val="00491390"/>
    <w:rsid w:val="0049176D"/>
    <w:rsid w:val="004919CB"/>
    <w:rsid w:val="00491A24"/>
    <w:rsid w:val="00492C11"/>
    <w:rsid w:val="00492E10"/>
    <w:rsid w:val="004931B6"/>
    <w:rsid w:val="004932CD"/>
    <w:rsid w:val="00493637"/>
    <w:rsid w:val="00493653"/>
    <w:rsid w:val="00493739"/>
    <w:rsid w:val="004937B4"/>
    <w:rsid w:val="004938E4"/>
    <w:rsid w:val="00493C32"/>
    <w:rsid w:val="004945AF"/>
    <w:rsid w:val="0049488C"/>
    <w:rsid w:val="00494975"/>
    <w:rsid w:val="00494D6E"/>
    <w:rsid w:val="00495282"/>
    <w:rsid w:val="00495444"/>
    <w:rsid w:val="0049578D"/>
    <w:rsid w:val="00495B1B"/>
    <w:rsid w:val="004960A7"/>
    <w:rsid w:val="004963B2"/>
    <w:rsid w:val="00496442"/>
    <w:rsid w:val="00496661"/>
    <w:rsid w:val="00496752"/>
    <w:rsid w:val="004967E5"/>
    <w:rsid w:val="00496F31"/>
    <w:rsid w:val="00497061"/>
    <w:rsid w:val="00497192"/>
    <w:rsid w:val="00497853"/>
    <w:rsid w:val="00497B5A"/>
    <w:rsid w:val="00497C86"/>
    <w:rsid w:val="004A0161"/>
    <w:rsid w:val="004A034E"/>
    <w:rsid w:val="004A04FB"/>
    <w:rsid w:val="004A0717"/>
    <w:rsid w:val="004A0893"/>
    <w:rsid w:val="004A0F35"/>
    <w:rsid w:val="004A1056"/>
    <w:rsid w:val="004A1182"/>
    <w:rsid w:val="004A1235"/>
    <w:rsid w:val="004A16DC"/>
    <w:rsid w:val="004A1713"/>
    <w:rsid w:val="004A195F"/>
    <w:rsid w:val="004A1D64"/>
    <w:rsid w:val="004A1F1E"/>
    <w:rsid w:val="004A20FC"/>
    <w:rsid w:val="004A21BA"/>
    <w:rsid w:val="004A2284"/>
    <w:rsid w:val="004A22CD"/>
    <w:rsid w:val="004A2537"/>
    <w:rsid w:val="004A27BD"/>
    <w:rsid w:val="004A2AC8"/>
    <w:rsid w:val="004A35F7"/>
    <w:rsid w:val="004A39C6"/>
    <w:rsid w:val="004A3B30"/>
    <w:rsid w:val="004A3D43"/>
    <w:rsid w:val="004A3DE4"/>
    <w:rsid w:val="004A3FB7"/>
    <w:rsid w:val="004A41F8"/>
    <w:rsid w:val="004A4214"/>
    <w:rsid w:val="004A4A28"/>
    <w:rsid w:val="004A4B8C"/>
    <w:rsid w:val="004A4DAF"/>
    <w:rsid w:val="004A4F77"/>
    <w:rsid w:val="004A5037"/>
    <w:rsid w:val="004A5065"/>
    <w:rsid w:val="004A5364"/>
    <w:rsid w:val="004A56A3"/>
    <w:rsid w:val="004A5C8C"/>
    <w:rsid w:val="004A5CFF"/>
    <w:rsid w:val="004A6006"/>
    <w:rsid w:val="004A61E1"/>
    <w:rsid w:val="004A6214"/>
    <w:rsid w:val="004A6246"/>
    <w:rsid w:val="004A6437"/>
    <w:rsid w:val="004A6C2D"/>
    <w:rsid w:val="004A6CA7"/>
    <w:rsid w:val="004A779E"/>
    <w:rsid w:val="004A7FE7"/>
    <w:rsid w:val="004B0210"/>
    <w:rsid w:val="004B04DC"/>
    <w:rsid w:val="004B07B4"/>
    <w:rsid w:val="004B0981"/>
    <w:rsid w:val="004B0A8D"/>
    <w:rsid w:val="004B0AB9"/>
    <w:rsid w:val="004B1076"/>
    <w:rsid w:val="004B1A00"/>
    <w:rsid w:val="004B1AC3"/>
    <w:rsid w:val="004B1C1D"/>
    <w:rsid w:val="004B2A35"/>
    <w:rsid w:val="004B2E46"/>
    <w:rsid w:val="004B2F3E"/>
    <w:rsid w:val="004B3098"/>
    <w:rsid w:val="004B318E"/>
    <w:rsid w:val="004B4342"/>
    <w:rsid w:val="004B4550"/>
    <w:rsid w:val="004B458E"/>
    <w:rsid w:val="004B48CF"/>
    <w:rsid w:val="004B4926"/>
    <w:rsid w:val="004B532D"/>
    <w:rsid w:val="004B533E"/>
    <w:rsid w:val="004B534E"/>
    <w:rsid w:val="004B5A8C"/>
    <w:rsid w:val="004B5C5E"/>
    <w:rsid w:val="004B5DBE"/>
    <w:rsid w:val="004B5DF1"/>
    <w:rsid w:val="004B5FC6"/>
    <w:rsid w:val="004B5FCD"/>
    <w:rsid w:val="004B61F1"/>
    <w:rsid w:val="004B6491"/>
    <w:rsid w:val="004B6781"/>
    <w:rsid w:val="004B67C6"/>
    <w:rsid w:val="004B68A2"/>
    <w:rsid w:val="004B6912"/>
    <w:rsid w:val="004B6CA7"/>
    <w:rsid w:val="004B6F05"/>
    <w:rsid w:val="004B70EE"/>
    <w:rsid w:val="004B713A"/>
    <w:rsid w:val="004B7253"/>
    <w:rsid w:val="004B7613"/>
    <w:rsid w:val="004B7865"/>
    <w:rsid w:val="004B7B73"/>
    <w:rsid w:val="004B7DD5"/>
    <w:rsid w:val="004B7F80"/>
    <w:rsid w:val="004B7FF4"/>
    <w:rsid w:val="004C01E0"/>
    <w:rsid w:val="004C0295"/>
    <w:rsid w:val="004C02D5"/>
    <w:rsid w:val="004C093D"/>
    <w:rsid w:val="004C145C"/>
    <w:rsid w:val="004C1778"/>
    <w:rsid w:val="004C19FD"/>
    <w:rsid w:val="004C1C2B"/>
    <w:rsid w:val="004C1D3C"/>
    <w:rsid w:val="004C21AE"/>
    <w:rsid w:val="004C245C"/>
    <w:rsid w:val="004C27D2"/>
    <w:rsid w:val="004C28A5"/>
    <w:rsid w:val="004C2A40"/>
    <w:rsid w:val="004C2B55"/>
    <w:rsid w:val="004C2BC7"/>
    <w:rsid w:val="004C2EC4"/>
    <w:rsid w:val="004C3126"/>
    <w:rsid w:val="004C32FF"/>
    <w:rsid w:val="004C3375"/>
    <w:rsid w:val="004C36E7"/>
    <w:rsid w:val="004C383C"/>
    <w:rsid w:val="004C384C"/>
    <w:rsid w:val="004C390F"/>
    <w:rsid w:val="004C3B01"/>
    <w:rsid w:val="004C3C5E"/>
    <w:rsid w:val="004C3D96"/>
    <w:rsid w:val="004C3E3D"/>
    <w:rsid w:val="004C3E58"/>
    <w:rsid w:val="004C401A"/>
    <w:rsid w:val="004C431E"/>
    <w:rsid w:val="004C45D0"/>
    <w:rsid w:val="004C45EA"/>
    <w:rsid w:val="004C45FE"/>
    <w:rsid w:val="004C4761"/>
    <w:rsid w:val="004C4931"/>
    <w:rsid w:val="004C4934"/>
    <w:rsid w:val="004C4982"/>
    <w:rsid w:val="004C49FE"/>
    <w:rsid w:val="004C4AE9"/>
    <w:rsid w:val="004C4F00"/>
    <w:rsid w:val="004C50AD"/>
    <w:rsid w:val="004C50B6"/>
    <w:rsid w:val="004C5A93"/>
    <w:rsid w:val="004C5AC9"/>
    <w:rsid w:val="004C5BA4"/>
    <w:rsid w:val="004C5E96"/>
    <w:rsid w:val="004C6211"/>
    <w:rsid w:val="004C670C"/>
    <w:rsid w:val="004C68C4"/>
    <w:rsid w:val="004C69D6"/>
    <w:rsid w:val="004C709C"/>
    <w:rsid w:val="004C7A13"/>
    <w:rsid w:val="004C7F6F"/>
    <w:rsid w:val="004C7F95"/>
    <w:rsid w:val="004D0177"/>
    <w:rsid w:val="004D01AA"/>
    <w:rsid w:val="004D01EA"/>
    <w:rsid w:val="004D02FB"/>
    <w:rsid w:val="004D0751"/>
    <w:rsid w:val="004D09A8"/>
    <w:rsid w:val="004D0BFC"/>
    <w:rsid w:val="004D0F73"/>
    <w:rsid w:val="004D0FE8"/>
    <w:rsid w:val="004D1031"/>
    <w:rsid w:val="004D11C1"/>
    <w:rsid w:val="004D1904"/>
    <w:rsid w:val="004D207B"/>
    <w:rsid w:val="004D21E8"/>
    <w:rsid w:val="004D2280"/>
    <w:rsid w:val="004D2419"/>
    <w:rsid w:val="004D2778"/>
    <w:rsid w:val="004D27AB"/>
    <w:rsid w:val="004D27D4"/>
    <w:rsid w:val="004D2DCE"/>
    <w:rsid w:val="004D2DFE"/>
    <w:rsid w:val="004D2F81"/>
    <w:rsid w:val="004D2FAF"/>
    <w:rsid w:val="004D30FC"/>
    <w:rsid w:val="004D370B"/>
    <w:rsid w:val="004D3FBB"/>
    <w:rsid w:val="004D40B9"/>
    <w:rsid w:val="004D4671"/>
    <w:rsid w:val="004D4747"/>
    <w:rsid w:val="004D499D"/>
    <w:rsid w:val="004D49FE"/>
    <w:rsid w:val="004D50B5"/>
    <w:rsid w:val="004D519B"/>
    <w:rsid w:val="004D5581"/>
    <w:rsid w:val="004D5B1D"/>
    <w:rsid w:val="004D5B2A"/>
    <w:rsid w:val="004D6429"/>
    <w:rsid w:val="004D693D"/>
    <w:rsid w:val="004D695C"/>
    <w:rsid w:val="004D6A4A"/>
    <w:rsid w:val="004D6B3E"/>
    <w:rsid w:val="004D6EA4"/>
    <w:rsid w:val="004D6FE4"/>
    <w:rsid w:val="004D7556"/>
    <w:rsid w:val="004D7A4A"/>
    <w:rsid w:val="004D7B08"/>
    <w:rsid w:val="004D7C38"/>
    <w:rsid w:val="004D7C47"/>
    <w:rsid w:val="004E025C"/>
    <w:rsid w:val="004E0988"/>
    <w:rsid w:val="004E0E62"/>
    <w:rsid w:val="004E1456"/>
    <w:rsid w:val="004E160E"/>
    <w:rsid w:val="004E19CC"/>
    <w:rsid w:val="004E1A6E"/>
    <w:rsid w:val="004E1C47"/>
    <w:rsid w:val="004E1E6F"/>
    <w:rsid w:val="004E255B"/>
    <w:rsid w:val="004E29DE"/>
    <w:rsid w:val="004E2A80"/>
    <w:rsid w:val="004E2B33"/>
    <w:rsid w:val="004E2BD5"/>
    <w:rsid w:val="004E2BE1"/>
    <w:rsid w:val="004E2BEF"/>
    <w:rsid w:val="004E2D25"/>
    <w:rsid w:val="004E3313"/>
    <w:rsid w:val="004E3822"/>
    <w:rsid w:val="004E3A0C"/>
    <w:rsid w:val="004E3A98"/>
    <w:rsid w:val="004E3AEF"/>
    <w:rsid w:val="004E3D87"/>
    <w:rsid w:val="004E3F4C"/>
    <w:rsid w:val="004E4224"/>
    <w:rsid w:val="004E4349"/>
    <w:rsid w:val="004E4538"/>
    <w:rsid w:val="004E461A"/>
    <w:rsid w:val="004E4712"/>
    <w:rsid w:val="004E482D"/>
    <w:rsid w:val="004E4CF8"/>
    <w:rsid w:val="004E5478"/>
    <w:rsid w:val="004E547D"/>
    <w:rsid w:val="004E56D0"/>
    <w:rsid w:val="004E59C5"/>
    <w:rsid w:val="004E5B08"/>
    <w:rsid w:val="004E5FC1"/>
    <w:rsid w:val="004E6031"/>
    <w:rsid w:val="004E6082"/>
    <w:rsid w:val="004E67E6"/>
    <w:rsid w:val="004E6905"/>
    <w:rsid w:val="004E6A0F"/>
    <w:rsid w:val="004E6E59"/>
    <w:rsid w:val="004E6EC6"/>
    <w:rsid w:val="004E7106"/>
    <w:rsid w:val="004E7129"/>
    <w:rsid w:val="004E719E"/>
    <w:rsid w:val="004E7767"/>
    <w:rsid w:val="004E78D5"/>
    <w:rsid w:val="004E79FE"/>
    <w:rsid w:val="004E7A71"/>
    <w:rsid w:val="004F0022"/>
    <w:rsid w:val="004F0695"/>
    <w:rsid w:val="004F0B42"/>
    <w:rsid w:val="004F0E47"/>
    <w:rsid w:val="004F0E8F"/>
    <w:rsid w:val="004F1202"/>
    <w:rsid w:val="004F16CA"/>
    <w:rsid w:val="004F19A1"/>
    <w:rsid w:val="004F19EF"/>
    <w:rsid w:val="004F1AB8"/>
    <w:rsid w:val="004F1BAC"/>
    <w:rsid w:val="004F1D34"/>
    <w:rsid w:val="004F1EAF"/>
    <w:rsid w:val="004F20CC"/>
    <w:rsid w:val="004F20FB"/>
    <w:rsid w:val="004F24FA"/>
    <w:rsid w:val="004F278A"/>
    <w:rsid w:val="004F2DB5"/>
    <w:rsid w:val="004F2F40"/>
    <w:rsid w:val="004F316C"/>
    <w:rsid w:val="004F325D"/>
    <w:rsid w:val="004F3275"/>
    <w:rsid w:val="004F3420"/>
    <w:rsid w:val="004F376D"/>
    <w:rsid w:val="004F38C8"/>
    <w:rsid w:val="004F3D38"/>
    <w:rsid w:val="004F3D5F"/>
    <w:rsid w:val="004F3D70"/>
    <w:rsid w:val="004F3D71"/>
    <w:rsid w:val="004F3F1A"/>
    <w:rsid w:val="004F43D7"/>
    <w:rsid w:val="004F48E7"/>
    <w:rsid w:val="004F50B5"/>
    <w:rsid w:val="004F5258"/>
    <w:rsid w:val="004F5663"/>
    <w:rsid w:val="004F5807"/>
    <w:rsid w:val="004F5B9A"/>
    <w:rsid w:val="004F5CF1"/>
    <w:rsid w:val="004F5D17"/>
    <w:rsid w:val="004F5DDA"/>
    <w:rsid w:val="004F5F0B"/>
    <w:rsid w:val="004F6433"/>
    <w:rsid w:val="004F66CB"/>
    <w:rsid w:val="004F683A"/>
    <w:rsid w:val="004F6B1E"/>
    <w:rsid w:val="004F7330"/>
    <w:rsid w:val="004F74D6"/>
    <w:rsid w:val="004F7B8E"/>
    <w:rsid w:val="004F7E02"/>
    <w:rsid w:val="0050048E"/>
    <w:rsid w:val="005005D2"/>
    <w:rsid w:val="00500A4E"/>
    <w:rsid w:val="00500BB5"/>
    <w:rsid w:val="00500F18"/>
    <w:rsid w:val="00501324"/>
    <w:rsid w:val="00501391"/>
    <w:rsid w:val="0050145C"/>
    <w:rsid w:val="005016B6"/>
    <w:rsid w:val="00501772"/>
    <w:rsid w:val="00501BF2"/>
    <w:rsid w:val="00501DC7"/>
    <w:rsid w:val="00501E03"/>
    <w:rsid w:val="00502111"/>
    <w:rsid w:val="00502293"/>
    <w:rsid w:val="00502400"/>
    <w:rsid w:val="0050263F"/>
    <w:rsid w:val="00502A6D"/>
    <w:rsid w:val="00502B0C"/>
    <w:rsid w:val="00502BEE"/>
    <w:rsid w:val="00502DC8"/>
    <w:rsid w:val="0050303E"/>
    <w:rsid w:val="0050313C"/>
    <w:rsid w:val="00503380"/>
    <w:rsid w:val="0050380A"/>
    <w:rsid w:val="00503A63"/>
    <w:rsid w:val="00503BEB"/>
    <w:rsid w:val="0050408D"/>
    <w:rsid w:val="00504263"/>
    <w:rsid w:val="005043BF"/>
    <w:rsid w:val="005046D2"/>
    <w:rsid w:val="005048E2"/>
    <w:rsid w:val="00504CC6"/>
    <w:rsid w:val="00505116"/>
    <w:rsid w:val="00505471"/>
    <w:rsid w:val="00505885"/>
    <w:rsid w:val="005058B5"/>
    <w:rsid w:val="00505967"/>
    <w:rsid w:val="00505998"/>
    <w:rsid w:val="00505CEF"/>
    <w:rsid w:val="00505FBC"/>
    <w:rsid w:val="0050643F"/>
    <w:rsid w:val="005064F4"/>
    <w:rsid w:val="00506645"/>
    <w:rsid w:val="005066AE"/>
    <w:rsid w:val="005067BD"/>
    <w:rsid w:val="00506B11"/>
    <w:rsid w:val="005074D3"/>
    <w:rsid w:val="005078DD"/>
    <w:rsid w:val="00510097"/>
    <w:rsid w:val="00510253"/>
    <w:rsid w:val="00510592"/>
    <w:rsid w:val="00510F23"/>
    <w:rsid w:val="00510FBE"/>
    <w:rsid w:val="00511091"/>
    <w:rsid w:val="005112E8"/>
    <w:rsid w:val="005112F4"/>
    <w:rsid w:val="0051148F"/>
    <w:rsid w:val="005115E9"/>
    <w:rsid w:val="005116B4"/>
    <w:rsid w:val="00511861"/>
    <w:rsid w:val="0051195F"/>
    <w:rsid w:val="00511C66"/>
    <w:rsid w:val="00512510"/>
    <w:rsid w:val="00512E02"/>
    <w:rsid w:val="0051341C"/>
    <w:rsid w:val="005134A4"/>
    <w:rsid w:val="005136A7"/>
    <w:rsid w:val="005138B8"/>
    <w:rsid w:val="00513A95"/>
    <w:rsid w:val="00513BDF"/>
    <w:rsid w:val="00513BFA"/>
    <w:rsid w:val="00513C21"/>
    <w:rsid w:val="00513CCA"/>
    <w:rsid w:val="00513D8F"/>
    <w:rsid w:val="00513ED7"/>
    <w:rsid w:val="00513FA6"/>
    <w:rsid w:val="0051428D"/>
    <w:rsid w:val="00514345"/>
    <w:rsid w:val="005149EA"/>
    <w:rsid w:val="005149EC"/>
    <w:rsid w:val="00514A19"/>
    <w:rsid w:val="00514C70"/>
    <w:rsid w:val="00515042"/>
    <w:rsid w:val="005151DA"/>
    <w:rsid w:val="005151F7"/>
    <w:rsid w:val="005156ED"/>
    <w:rsid w:val="005157E2"/>
    <w:rsid w:val="005158F2"/>
    <w:rsid w:val="00515B95"/>
    <w:rsid w:val="005160A7"/>
    <w:rsid w:val="00516978"/>
    <w:rsid w:val="00517225"/>
    <w:rsid w:val="005176A2"/>
    <w:rsid w:val="005179AC"/>
    <w:rsid w:val="00517B83"/>
    <w:rsid w:val="00517C41"/>
    <w:rsid w:val="00517E15"/>
    <w:rsid w:val="00517E85"/>
    <w:rsid w:val="00520103"/>
    <w:rsid w:val="005205A9"/>
    <w:rsid w:val="005205D0"/>
    <w:rsid w:val="00520961"/>
    <w:rsid w:val="00520B96"/>
    <w:rsid w:val="00520BD3"/>
    <w:rsid w:val="00520E75"/>
    <w:rsid w:val="00520E97"/>
    <w:rsid w:val="005210A2"/>
    <w:rsid w:val="005212E9"/>
    <w:rsid w:val="005215D5"/>
    <w:rsid w:val="005217F3"/>
    <w:rsid w:val="005218CD"/>
    <w:rsid w:val="00521A51"/>
    <w:rsid w:val="00521A69"/>
    <w:rsid w:val="00521AE6"/>
    <w:rsid w:val="00521E2B"/>
    <w:rsid w:val="00522F92"/>
    <w:rsid w:val="00523327"/>
    <w:rsid w:val="00523478"/>
    <w:rsid w:val="005235B5"/>
    <w:rsid w:val="005235BF"/>
    <w:rsid w:val="0052376A"/>
    <w:rsid w:val="0052404F"/>
    <w:rsid w:val="00524220"/>
    <w:rsid w:val="0052433A"/>
    <w:rsid w:val="00524589"/>
    <w:rsid w:val="0052487A"/>
    <w:rsid w:val="00524CCA"/>
    <w:rsid w:val="00524D45"/>
    <w:rsid w:val="00524EB5"/>
    <w:rsid w:val="005253C2"/>
    <w:rsid w:val="00525427"/>
    <w:rsid w:val="005258FA"/>
    <w:rsid w:val="0052595B"/>
    <w:rsid w:val="0052598E"/>
    <w:rsid w:val="00525A5E"/>
    <w:rsid w:val="00525B5D"/>
    <w:rsid w:val="00525C2C"/>
    <w:rsid w:val="00525E51"/>
    <w:rsid w:val="00525E92"/>
    <w:rsid w:val="00525F66"/>
    <w:rsid w:val="00526010"/>
    <w:rsid w:val="00526351"/>
    <w:rsid w:val="00526426"/>
    <w:rsid w:val="00526C03"/>
    <w:rsid w:val="00526CDD"/>
    <w:rsid w:val="00526F50"/>
    <w:rsid w:val="0052718D"/>
    <w:rsid w:val="005273B0"/>
    <w:rsid w:val="005279D1"/>
    <w:rsid w:val="00527C84"/>
    <w:rsid w:val="00527E1F"/>
    <w:rsid w:val="00527EF1"/>
    <w:rsid w:val="00527F3D"/>
    <w:rsid w:val="0053008A"/>
    <w:rsid w:val="005300BC"/>
    <w:rsid w:val="00530296"/>
    <w:rsid w:val="0053036E"/>
    <w:rsid w:val="00530AAC"/>
    <w:rsid w:val="00530C0E"/>
    <w:rsid w:val="00530CFD"/>
    <w:rsid w:val="00530E69"/>
    <w:rsid w:val="00530F46"/>
    <w:rsid w:val="00530F4D"/>
    <w:rsid w:val="00530F8B"/>
    <w:rsid w:val="00531075"/>
    <w:rsid w:val="005310E5"/>
    <w:rsid w:val="00531105"/>
    <w:rsid w:val="00531334"/>
    <w:rsid w:val="00531337"/>
    <w:rsid w:val="005314E5"/>
    <w:rsid w:val="005316D3"/>
    <w:rsid w:val="005318F2"/>
    <w:rsid w:val="0053199D"/>
    <w:rsid w:val="00531A17"/>
    <w:rsid w:val="00531AA5"/>
    <w:rsid w:val="00531B77"/>
    <w:rsid w:val="00531D1A"/>
    <w:rsid w:val="00531D1D"/>
    <w:rsid w:val="00531DBA"/>
    <w:rsid w:val="00531DC2"/>
    <w:rsid w:val="005320CF"/>
    <w:rsid w:val="00532456"/>
    <w:rsid w:val="005325E2"/>
    <w:rsid w:val="00532732"/>
    <w:rsid w:val="005328AC"/>
    <w:rsid w:val="005329CC"/>
    <w:rsid w:val="00532CD3"/>
    <w:rsid w:val="00532D7F"/>
    <w:rsid w:val="00532DBE"/>
    <w:rsid w:val="00532FDD"/>
    <w:rsid w:val="00532FE8"/>
    <w:rsid w:val="0053322B"/>
    <w:rsid w:val="0053346E"/>
    <w:rsid w:val="00533A64"/>
    <w:rsid w:val="00533CBE"/>
    <w:rsid w:val="00533EE4"/>
    <w:rsid w:val="005341DD"/>
    <w:rsid w:val="00534247"/>
    <w:rsid w:val="00534848"/>
    <w:rsid w:val="00534D19"/>
    <w:rsid w:val="00534E09"/>
    <w:rsid w:val="005352D6"/>
    <w:rsid w:val="005353C1"/>
    <w:rsid w:val="0053542D"/>
    <w:rsid w:val="005358FB"/>
    <w:rsid w:val="005359F8"/>
    <w:rsid w:val="00535C6E"/>
    <w:rsid w:val="00535CF8"/>
    <w:rsid w:val="00535FDE"/>
    <w:rsid w:val="0053640A"/>
    <w:rsid w:val="005365DA"/>
    <w:rsid w:val="00536BB1"/>
    <w:rsid w:val="00536CB9"/>
    <w:rsid w:val="00537034"/>
    <w:rsid w:val="0053714F"/>
    <w:rsid w:val="0053735B"/>
    <w:rsid w:val="005376B9"/>
    <w:rsid w:val="005379A8"/>
    <w:rsid w:val="00537FAE"/>
    <w:rsid w:val="00537FCD"/>
    <w:rsid w:val="00540107"/>
    <w:rsid w:val="005402CA"/>
    <w:rsid w:val="0054052C"/>
    <w:rsid w:val="005407C3"/>
    <w:rsid w:val="005407CA"/>
    <w:rsid w:val="00540857"/>
    <w:rsid w:val="00540967"/>
    <w:rsid w:val="00540E8E"/>
    <w:rsid w:val="00541391"/>
    <w:rsid w:val="0054155A"/>
    <w:rsid w:val="005417B6"/>
    <w:rsid w:val="005419BE"/>
    <w:rsid w:val="00541F23"/>
    <w:rsid w:val="00542C4A"/>
    <w:rsid w:val="00542C4D"/>
    <w:rsid w:val="005435C6"/>
    <w:rsid w:val="005435D6"/>
    <w:rsid w:val="005437CB"/>
    <w:rsid w:val="005438A6"/>
    <w:rsid w:val="00543B0A"/>
    <w:rsid w:val="00543E75"/>
    <w:rsid w:val="005445C6"/>
    <w:rsid w:val="005446BE"/>
    <w:rsid w:val="00544879"/>
    <w:rsid w:val="005449C6"/>
    <w:rsid w:val="00545226"/>
    <w:rsid w:val="00545253"/>
    <w:rsid w:val="0054526D"/>
    <w:rsid w:val="00545343"/>
    <w:rsid w:val="00545417"/>
    <w:rsid w:val="005454E2"/>
    <w:rsid w:val="00545769"/>
    <w:rsid w:val="005457E3"/>
    <w:rsid w:val="00545ACE"/>
    <w:rsid w:val="00545BB7"/>
    <w:rsid w:val="00546174"/>
    <w:rsid w:val="005462C3"/>
    <w:rsid w:val="00546800"/>
    <w:rsid w:val="00546C28"/>
    <w:rsid w:val="00546D73"/>
    <w:rsid w:val="00546F28"/>
    <w:rsid w:val="005472DF"/>
    <w:rsid w:val="00547616"/>
    <w:rsid w:val="00547B17"/>
    <w:rsid w:val="00547B87"/>
    <w:rsid w:val="00547CAC"/>
    <w:rsid w:val="0055000C"/>
    <w:rsid w:val="0055004A"/>
    <w:rsid w:val="0055034F"/>
    <w:rsid w:val="005504CA"/>
    <w:rsid w:val="005506C2"/>
    <w:rsid w:val="00550E1A"/>
    <w:rsid w:val="00551093"/>
    <w:rsid w:val="00551186"/>
    <w:rsid w:val="005513B3"/>
    <w:rsid w:val="00551CC4"/>
    <w:rsid w:val="00552159"/>
    <w:rsid w:val="005521A4"/>
    <w:rsid w:val="005523E9"/>
    <w:rsid w:val="0055264F"/>
    <w:rsid w:val="00552890"/>
    <w:rsid w:val="00552B4C"/>
    <w:rsid w:val="00552C8B"/>
    <w:rsid w:val="00552E69"/>
    <w:rsid w:val="00552F68"/>
    <w:rsid w:val="00553564"/>
    <w:rsid w:val="00553587"/>
    <w:rsid w:val="00553650"/>
    <w:rsid w:val="005537A2"/>
    <w:rsid w:val="005538AF"/>
    <w:rsid w:val="0055403E"/>
    <w:rsid w:val="005543BF"/>
    <w:rsid w:val="00554BF3"/>
    <w:rsid w:val="00554DB5"/>
    <w:rsid w:val="00554F8A"/>
    <w:rsid w:val="005552AE"/>
    <w:rsid w:val="005552CC"/>
    <w:rsid w:val="005552FF"/>
    <w:rsid w:val="005556B6"/>
    <w:rsid w:val="005557C7"/>
    <w:rsid w:val="00555B8C"/>
    <w:rsid w:val="00555EE0"/>
    <w:rsid w:val="00555FD9"/>
    <w:rsid w:val="005561D4"/>
    <w:rsid w:val="0055631A"/>
    <w:rsid w:val="00556331"/>
    <w:rsid w:val="005564C0"/>
    <w:rsid w:val="0055669B"/>
    <w:rsid w:val="00556A69"/>
    <w:rsid w:val="00556CCF"/>
    <w:rsid w:val="00557540"/>
    <w:rsid w:val="0055765C"/>
    <w:rsid w:val="00557766"/>
    <w:rsid w:val="005578C8"/>
    <w:rsid w:val="00557B62"/>
    <w:rsid w:val="00557DC9"/>
    <w:rsid w:val="00557FAD"/>
    <w:rsid w:val="0056065F"/>
    <w:rsid w:val="0056074B"/>
    <w:rsid w:val="00560975"/>
    <w:rsid w:val="00560A93"/>
    <w:rsid w:val="00560AA9"/>
    <w:rsid w:val="00560CF4"/>
    <w:rsid w:val="00560FC5"/>
    <w:rsid w:val="00561120"/>
    <w:rsid w:val="00561726"/>
    <w:rsid w:val="005618D6"/>
    <w:rsid w:val="005618EA"/>
    <w:rsid w:val="00561EA2"/>
    <w:rsid w:val="005620D2"/>
    <w:rsid w:val="00562758"/>
    <w:rsid w:val="005629EC"/>
    <w:rsid w:val="00562E36"/>
    <w:rsid w:val="0056315F"/>
    <w:rsid w:val="00563676"/>
    <w:rsid w:val="0056382D"/>
    <w:rsid w:val="005638A3"/>
    <w:rsid w:val="005639E8"/>
    <w:rsid w:val="00564334"/>
    <w:rsid w:val="00564504"/>
    <w:rsid w:val="0056452A"/>
    <w:rsid w:val="005648AC"/>
    <w:rsid w:val="00564ACF"/>
    <w:rsid w:val="00564AE7"/>
    <w:rsid w:val="00564C5C"/>
    <w:rsid w:val="00564EBD"/>
    <w:rsid w:val="005650BC"/>
    <w:rsid w:val="005652ED"/>
    <w:rsid w:val="00565372"/>
    <w:rsid w:val="00565547"/>
    <w:rsid w:val="00565792"/>
    <w:rsid w:val="00565E90"/>
    <w:rsid w:val="00566158"/>
    <w:rsid w:val="00566B74"/>
    <w:rsid w:val="00566D1A"/>
    <w:rsid w:val="00566FE2"/>
    <w:rsid w:val="005672C8"/>
    <w:rsid w:val="005676E6"/>
    <w:rsid w:val="00567789"/>
    <w:rsid w:val="00567890"/>
    <w:rsid w:val="00570052"/>
    <w:rsid w:val="005704E4"/>
    <w:rsid w:val="005709BC"/>
    <w:rsid w:val="00570A10"/>
    <w:rsid w:val="00570A65"/>
    <w:rsid w:val="00570ACF"/>
    <w:rsid w:val="00570B38"/>
    <w:rsid w:val="00570D5B"/>
    <w:rsid w:val="00570DAA"/>
    <w:rsid w:val="005711B2"/>
    <w:rsid w:val="005711F7"/>
    <w:rsid w:val="005714DA"/>
    <w:rsid w:val="0057155C"/>
    <w:rsid w:val="0057198B"/>
    <w:rsid w:val="00571B1A"/>
    <w:rsid w:val="00571D3D"/>
    <w:rsid w:val="00571F5B"/>
    <w:rsid w:val="00571FEF"/>
    <w:rsid w:val="005721B2"/>
    <w:rsid w:val="005721D4"/>
    <w:rsid w:val="00572359"/>
    <w:rsid w:val="0057238F"/>
    <w:rsid w:val="00572473"/>
    <w:rsid w:val="0057255B"/>
    <w:rsid w:val="005726B6"/>
    <w:rsid w:val="005736DE"/>
    <w:rsid w:val="00573B00"/>
    <w:rsid w:val="0057436C"/>
    <w:rsid w:val="005744D1"/>
    <w:rsid w:val="0057465E"/>
    <w:rsid w:val="00574BFE"/>
    <w:rsid w:val="00574CDB"/>
    <w:rsid w:val="00574EF5"/>
    <w:rsid w:val="00575306"/>
    <w:rsid w:val="0057545C"/>
    <w:rsid w:val="0057546D"/>
    <w:rsid w:val="00575538"/>
    <w:rsid w:val="005756D8"/>
    <w:rsid w:val="00575C22"/>
    <w:rsid w:val="00575D20"/>
    <w:rsid w:val="00575F66"/>
    <w:rsid w:val="00575F75"/>
    <w:rsid w:val="005761E7"/>
    <w:rsid w:val="0057626F"/>
    <w:rsid w:val="005765BF"/>
    <w:rsid w:val="005765E7"/>
    <w:rsid w:val="005766BD"/>
    <w:rsid w:val="005766E6"/>
    <w:rsid w:val="00576F44"/>
    <w:rsid w:val="00576FF9"/>
    <w:rsid w:val="00577340"/>
    <w:rsid w:val="0057748E"/>
    <w:rsid w:val="00577605"/>
    <w:rsid w:val="00577A3D"/>
    <w:rsid w:val="00577CE5"/>
    <w:rsid w:val="00577ED6"/>
    <w:rsid w:val="00577F4B"/>
    <w:rsid w:val="005801C4"/>
    <w:rsid w:val="0058048A"/>
    <w:rsid w:val="00580C2A"/>
    <w:rsid w:val="00580C4F"/>
    <w:rsid w:val="00581170"/>
    <w:rsid w:val="005812FC"/>
    <w:rsid w:val="00581A64"/>
    <w:rsid w:val="00581B5D"/>
    <w:rsid w:val="0058246A"/>
    <w:rsid w:val="005825FE"/>
    <w:rsid w:val="0058263F"/>
    <w:rsid w:val="0058271D"/>
    <w:rsid w:val="0058273C"/>
    <w:rsid w:val="005829DD"/>
    <w:rsid w:val="00582B21"/>
    <w:rsid w:val="00582D97"/>
    <w:rsid w:val="00583774"/>
    <w:rsid w:val="00583778"/>
    <w:rsid w:val="00583829"/>
    <w:rsid w:val="005838C9"/>
    <w:rsid w:val="00583976"/>
    <w:rsid w:val="005846B2"/>
    <w:rsid w:val="005846BE"/>
    <w:rsid w:val="0058484D"/>
    <w:rsid w:val="00584AE6"/>
    <w:rsid w:val="00584CE6"/>
    <w:rsid w:val="00585256"/>
    <w:rsid w:val="00585422"/>
    <w:rsid w:val="00585577"/>
    <w:rsid w:val="005855AB"/>
    <w:rsid w:val="0058589D"/>
    <w:rsid w:val="00585BE3"/>
    <w:rsid w:val="00585C16"/>
    <w:rsid w:val="00585D1D"/>
    <w:rsid w:val="005862FB"/>
    <w:rsid w:val="005866B9"/>
    <w:rsid w:val="005866D0"/>
    <w:rsid w:val="00586A4B"/>
    <w:rsid w:val="00586A9C"/>
    <w:rsid w:val="00586B99"/>
    <w:rsid w:val="00586BBF"/>
    <w:rsid w:val="00586CE9"/>
    <w:rsid w:val="005873A7"/>
    <w:rsid w:val="00587564"/>
    <w:rsid w:val="005878F2"/>
    <w:rsid w:val="00587C09"/>
    <w:rsid w:val="00587C53"/>
    <w:rsid w:val="00587D3B"/>
    <w:rsid w:val="00587F70"/>
    <w:rsid w:val="00587FBD"/>
    <w:rsid w:val="0059018B"/>
    <w:rsid w:val="00590539"/>
    <w:rsid w:val="005907D8"/>
    <w:rsid w:val="005908D4"/>
    <w:rsid w:val="00590A43"/>
    <w:rsid w:val="00590AA0"/>
    <w:rsid w:val="0059151D"/>
    <w:rsid w:val="0059166B"/>
    <w:rsid w:val="00591681"/>
    <w:rsid w:val="00591ADE"/>
    <w:rsid w:val="00591B27"/>
    <w:rsid w:val="00591C34"/>
    <w:rsid w:val="00591EF5"/>
    <w:rsid w:val="00591F3B"/>
    <w:rsid w:val="00591FBA"/>
    <w:rsid w:val="005920CB"/>
    <w:rsid w:val="00592171"/>
    <w:rsid w:val="005921BF"/>
    <w:rsid w:val="00592412"/>
    <w:rsid w:val="005924C0"/>
    <w:rsid w:val="00592577"/>
    <w:rsid w:val="005927FD"/>
    <w:rsid w:val="00592A66"/>
    <w:rsid w:val="0059301B"/>
    <w:rsid w:val="005931F1"/>
    <w:rsid w:val="00593667"/>
    <w:rsid w:val="00593ADE"/>
    <w:rsid w:val="00593D54"/>
    <w:rsid w:val="005941A7"/>
    <w:rsid w:val="0059426E"/>
    <w:rsid w:val="00594305"/>
    <w:rsid w:val="00594337"/>
    <w:rsid w:val="005944C7"/>
    <w:rsid w:val="00594511"/>
    <w:rsid w:val="00594590"/>
    <w:rsid w:val="005947D8"/>
    <w:rsid w:val="00594853"/>
    <w:rsid w:val="00594E26"/>
    <w:rsid w:val="00594E50"/>
    <w:rsid w:val="005952A4"/>
    <w:rsid w:val="00595582"/>
    <w:rsid w:val="00595711"/>
    <w:rsid w:val="00595AB1"/>
    <w:rsid w:val="00595DEE"/>
    <w:rsid w:val="00595E92"/>
    <w:rsid w:val="00595EDB"/>
    <w:rsid w:val="00595F6E"/>
    <w:rsid w:val="005960AE"/>
    <w:rsid w:val="00596135"/>
    <w:rsid w:val="00596509"/>
    <w:rsid w:val="005968DE"/>
    <w:rsid w:val="00596AEA"/>
    <w:rsid w:val="00596B02"/>
    <w:rsid w:val="00596B52"/>
    <w:rsid w:val="00596B89"/>
    <w:rsid w:val="00596D21"/>
    <w:rsid w:val="00596E62"/>
    <w:rsid w:val="00596F73"/>
    <w:rsid w:val="00597325"/>
    <w:rsid w:val="0059764C"/>
    <w:rsid w:val="005976ED"/>
    <w:rsid w:val="0059786E"/>
    <w:rsid w:val="00597B51"/>
    <w:rsid w:val="005A007C"/>
    <w:rsid w:val="005A00F9"/>
    <w:rsid w:val="005A02EC"/>
    <w:rsid w:val="005A0680"/>
    <w:rsid w:val="005A0A11"/>
    <w:rsid w:val="005A0D12"/>
    <w:rsid w:val="005A0E71"/>
    <w:rsid w:val="005A0EB5"/>
    <w:rsid w:val="005A10BF"/>
    <w:rsid w:val="005A1134"/>
    <w:rsid w:val="005A128E"/>
    <w:rsid w:val="005A1392"/>
    <w:rsid w:val="005A1453"/>
    <w:rsid w:val="005A17B9"/>
    <w:rsid w:val="005A1982"/>
    <w:rsid w:val="005A19E7"/>
    <w:rsid w:val="005A1B13"/>
    <w:rsid w:val="005A1EFE"/>
    <w:rsid w:val="005A209A"/>
    <w:rsid w:val="005A2436"/>
    <w:rsid w:val="005A25DC"/>
    <w:rsid w:val="005A3429"/>
    <w:rsid w:val="005A343F"/>
    <w:rsid w:val="005A38C2"/>
    <w:rsid w:val="005A3A83"/>
    <w:rsid w:val="005A40DE"/>
    <w:rsid w:val="005A4365"/>
    <w:rsid w:val="005A468D"/>
    <w:rsid w:val="005A4CFB"/>
    <w:rsid w:val="005A4D00"/>
    <w:rsid w:val="005A4F9C"/>
    <w:rsid w:val="005A5040"/>
    <w:rsid w:val="005A5048"/>
    <w:rsid w:val="005A5095"/>
    <w:rsid w:val="005A5636"/>
    <w:rsid w:val="005A5826"/>
    <w:rsid w:val="005A59F7"/>
    <w:rsid w:val="005A5C65"/>
    <w:rsid w:val="005A5F4A"/>
    <w:rsid w:val="005A67FF"/>
    <w:rsid w:val="005A68FF"/>
    <w:rsid w:val="005A6933"/>
    <w:rsid w:val="005A6BEE"/>
    <w:rsid w:val="005A6DEE"/>
    <w:rsid w:val="005A6EF1"/>
    <w:rsid w:val="005A732A"/>
    <w:rsid w:val="005A78B9"/>
    <w:rsid w:val="005A7967"/>
    <w:rsid w:val="005A7AFD"/>
    <w:rsid w:val="005A7DC5"/>
    <w:rsid w:val="005A7EF0"/>
    <w:rsid w:val="005B01B4"/>
    <w:rsid w:val="005B0250"/>
    <w:rsid w:val="005B03BF"/>
    <w:rsid w:val="005B06CC"/>
    <w:rsid w:val="005B0A22"/>
    <w:rsid w:val="005B0AD7"/>
    <w:rsid w:val="005B0B41"/>
    <w:rsid w:val="005B0EE8"/>
    <w:rsid w:val="005B12ED"/>
    <w:rsid w:val="005B140E"/>
    <w:rsid w:val="005B1F71"/>
    <w:rsid w:val="005B218B"/>
    <w:rsid w:val="005B2435"/>
    <w:rsid w:val="005B2528"/>
    <w:rsid w:val="005B2A9B"/>
    <w:rsid w:val="005B2B5E"/>
    <w:rsid w:val="005B334C"/>
    <w:rsid w:val="005B352F"/>
    <w:rsid w:val="005B3709"/>
    <w:rsid w:val="005B3AEB"/>
    <w:rsid w:val="005B3E91"/>
    <w:rsid w:val="005B4465"/>
    <w:rsid w:val="005B4760"/>
    <w:rsid w:val="005B4D42"/>
    <w:rsid w:val="005B4D64"/>
    <w:rsid w:val="005B4EDC"/>
    <w:rsid w:val="005B5237"/>
    <w:rsid w:val="005B5834"/>
    <w:rsid w:val="005B59DB"/>
    <w:rsid w:val="005B5DFA"/>
    <w:rsid w:val="005B6977"/>
    <w:rsid w:val="005B6B59"/>
    <w:rsid w:val="005B6CAC"/>
    <w:rsid w:val="005B715A"/>
    <w:rsid w:val="005B72A3"/>
    <w:rsid w:val="005B7343"/>
    <w:rsid w:val="005B78F7"/>
    <w:rsid w:val="005B7C0B"/>
    <w:rsid w:val="005B7EF0"/>
    <w:rsid w:val="005C00F9"/>
    <w:rsid w:val="005C01C8"/>
    <w:rsid w:val="005C0369"/>
    <w:rsid w:val="005C09C5"/>
    <w:rsid w:val="005C0A58"/>
    <w:rsid w:val="005C0ADC"/>
    <w:rsid w:val="005C1092"/>
    <w:rsid w:val="005C14DB"/>
    <w:rsid w:val="005C15BA"/>
    <w:rsid w:val="005C164E"/>
    <w:rsid w:val="005C17C7"/>
    <w:rsid w:val="005C18AF"/>
    <w:rsid w:val="005C18FD"/>
    <w:rsid w:val="005C1A1B"/>
    <w:rsid w:val="005C1A6B"/>
    <w:rsid w:val="005C1A8C"/>
    <w:rsid w:val="005C1D13"/>
    <w:rsid w:val="005C1D1D"/>
    <w:rsid w:val="005C2260"/>
    <w:rsid w:val="005C22AE"/>
    <w:rsid w:val="005C249E"/>
    <w:rsid w:val="005C2859"/>
    <w:rsid w:val="005C31D1"/>
    <w:rsid w:val="005C31FD"/>
    <w:rsid w:val="005C3289"/>
    <w:rsid w:val="005C381C"/>
    <w:rsid w:val="005C389E"/>
    <w:rsid w:val="005C38C2"/>
    <w:rsid w:val="005C39A5"/>
    <w:rsid w:val="005C3A0D"/>
    <w:rsid w:val="005C3A29"/>
    <w:rsid w:val="005C3A55"/>
    <w:rsid w:val="005C3D59"/>
    <w:rsid w:val="005C3DC7"/>
    <w:rsid w:val="005C3DCE"/>
    <w:rsid w:val="005C3FD0"/>
    <w:rsid w:val="005C4081"/>
    <w:rsid w:val="005C423F"/>
    <w:rsid w:val="005C42B6"/>
    <w:rsid w:val="005C42E9"/>
    <w:rsid w:val="005C46A4"/>
    <w:rsid w:val="005C47AE"/>
    <w:rsid w:val="005C4989"/>
    <w:rsid w:val="005C4ECD"/>
    <w:rsid w:val="005C50D0"/>
    <w:rsid w:val="005C5124"/>
    <w:rsid w:val="005C5255"/>
    <w:rsid w:val="005C5ABB"/>
    <w:rsid w:val="005C5AD3"/>
    <w:rsid w:val="005C5B09"/>
    <w:rsid w:val="005C629E"/>
    <w:rsid w:val="005C6538"/>
    <w:rsid w:val="005C6654"/>
    <w:rsid w:val="005C6738"/>
    <w:rsid w:val="005C67CE"/>
    <w:rsid w:val="005C6B75"/>
    <w:rsid w:val="005C6C79"/>
    <w:rsid w:val="005C7658"/>
    <w:rsid w:val="005C7B6D"/>
    <w:rsid w:val="005D02EA"/>
    <w:rsid w:val="005D04DB"/>
    <w:rsid w:val="005D0660"/>
    <w:rsid w:val="005D08BD"/>
    <w:rsid w:val="005D08CA"/>
    <w:rsid w:val="005D09F8"/>
    <w:rsid w:val="005D0AEF"/>
    <w:rsid w:val="005D0E96"/>
    <w:rsid w:val="005D1181"/>
    <w:rsid w:val="005D13A4"/>
    <w:rsid w:val="005D14F3"/>
    <w:rsid w:val="005D16B4"/>
    <w:rsid w:val="005D181B"/>
    <w:rsid w:val="005D197B"/>
    <w:rsid w:val="005D1A8A"/>
    <w:rsid w:val="005D1AFF"/>
    <w:rsid w:val="005D2180"/>
    <w:rsid w:val="005D239F"/>
    <w:rsid w:val="005D23E5"/>
    <w:rsid w:val="005D2549"/>
    <w:rsid w:val="005D2578"/>
    <w:rsid w:val="005D28C7"/>
    <w:rsid w:val="005D29E8"/>
    <w:rsid w:val="005D2E2B"/>
    <w:rsid w:val="005D2F42"/>
    <w:rsid w:val="005D2FD3"/>
    <w:rsid w:val="005D33E3"/>
    <w:rsid w:val="005D3B06"/>
    <w:rsid w:val="005D3D2A"/>
    <w:rsid w:val="005D3D8E"/>
    <w:rsid w:val="005D3DEC"/>
    <w:rsid w:val="005D4108"/>
    <w:rsid w:val="005D42C0"/>
    <w:rsid w:val="005D4933"/>
    <w:rsid w:val="005D4BDF"/>
    <w:rsid w:val="005D4C61"/>
    <w:rsid w:val="005D4EA5"/>
    <w:rsid w:val="005D508C"/>
    <w:rsid w:val="005D50DA"/>
    <w:rsid w:val="005D50E1"/>
    <w:rsid w:val="005D52E3"/>
    <w:rsid w:val="005D5944"/>
    <w:rsid w:val="005D5A8F"/>
    <w:rsid w:val="005D6287"/>
    <w:rsid w:val="005D69FC"/>
    <w:rsid w:val="005D7134"/>
    <w:rsid w:val="005D71B0"/>
    <w:rsid w:val="005D72C9"/>
    <w:rsid w:val="005D75DA"/>
    <w:rsid w:val="005D77D7"/>
    <w:rsid w:val="005D7804"/>
    <w:rsid w:val="005D790F"/>
    <w:rsid w:val="005D7912"/>
    <w:rsid w:val="005D7A28"/>
    <w:rsid w:val="005D7D65"/>
    <w:rsid w:val="005E009B"/>
    <w:rsid w:val="005E03E7"/>
    <w:rsid w:val="005E0800"/>
    <w:rsid w:val="005E081D"/>
    <w:rsid w:val="005E0983"/>
    <w:rsid w:val="005E0C22"/>
    <w:rsid w:val="005E0DFF"/>
    <w:rsid w:val="005E112E"/>
    <w:rsid w:val="005E14C2"/>
    <w:rsid w:val="005E17CC"/>
    <w:rsid w:val="005E17D8"/>
    <w:rsid w:val="005E1B3E"/>
    <w:rsid w:val="005E1BA5"/>
    <w:rsid w:val="005E1E9E"/>
    <w:rsid w:val="005E20AB"/>
    <w:rsid w:val="005E2116"/>
    <w:rsid w:val="005E256C"/>
    <w:rsid w:val="005E2590"/>
    <w:rsid w:val="005E2887"/>
    <w:rsid w:val="005E2A3C"/>
    <w:rsid w:val="005E32FF"/>
    <w:rsid w:val="005E34E7"/>
    <w:rsid w:val="005E3592"/>
    <w:rsid w:val="005E3600"/>
    <w:rsid w:val="005E3F27"/>
    <w:rsid w:val="005E3F50"/>
    <w:rsid w:val="005E3FEF"/>
    <w:rsid w:val="005E4779"/>
    <w:rsid w:val="005E47EC"/>
    <w:rsid w:val="005E4D8B"/>
    <w:rsid w:val="005E4E9D"/>
    <w:rsid w:val="005E4EE5"/>
    <w:rsid w:val="005E5026"/>
    <w:rsid w:val="005E51E7"/>
    <w:rsid w:val="005E5309"/>
    <w:rsid w:val="005E5AC1"/>
    <w:rsid w:val="005E6135"/>
    <w:rsid w:val="005E6E35"/>
    <w:rsid w:val="005E72D0"/>
    <w:rsid w:val="005E7407"/>
    <w:rsid w:val="005E7438"/>
    <w:rsid w:val="005E76AF"/>
    <w:rsid w:val="005E7ACD"/>
    <w:rsid w:val="005E7D83"/>
    <w:rsid w:val="005E7DAF"/>
    <w:rsid w:val="005F0305"/>
    <w:rsid w:val="005F0563"/>
    <w:rsid w:val="005F05B3"/>
    <w:rsid w:val="005F0AA4"/>
    <w:rsid w:val="005F0CAC"/>
    <w:rsid w:val="005F0F28"/>
    <w:rsid w:val="005F1059"/>
    <w:rsid w:val="005F12C4"/>
    <w:rsid w:val="005F137B"/>
    <w:rsid w:val="005F13F5"/>
    <w:rsid w:val="005F1A70"/>
    <w:rsid w:val="005F1B42"/>
    <w:rsid w:val="005F1CFD"/>
    <w:rsid w:val="005F1EA9"/>
    <w:rsid w:val="005F200F"/>
    <w:rsid w:val="005F210A"/>
    <w:rsid w:val="005F21B6"/>
    <w:rsid w:val="005F21F7"/>
    <w:rsid w:val="005F2344"/>
    <w:rsid w:val="005F27C0"/>
    <w:rsid w:val="005F295E"/>
    <w:rsid w:val="005F38A6"/>
    <w:rsid w:val="005F40F9"/>
    <w:rsid w:val="005F4337"/>
    <w:rsid w:val="005F4EED"/>
    <w:rsid w:val="005F4FD6"/>
    <w:rsid w:val="005F51E5"/>
    <w:rsid w:val="005F550F"/>
    <w:rsid w:val="005F5727"/>
    <w:rsid w:val="005F5BCF"/>
    <w:rsid w:val="005F5C2E"/>
    <w:rsid w:val="005F677F"/>
    <w:rsid w:val="005F67CA"/>
    <w:rsid w:val="005F6890"/>
    <w:rsid w:val="005F7740"/>
    <w:rsid w:val="005F7F63"/>
    <w:rsid w:val="005F7F79"/>
    <w:rsid w:val="00600185"/>
    <w:rsid w:val="006001A7"/>
    <w:rsid w:val="0060022B"/>
    <w:rsid w:val="006008F0"/>
    <w:rsid w:val="00600BDA"/>
    <w:rsid w:val="00600DD4"/>
    <w:rsid w:val="00601348"/>
    <w:rsid w:val="00601610"/>
    <w:rsid w:val="0060163F"/>
    <w:rsid w:val="0060182A"/>
    <w:rsid w:val="00601B8F"/>
    <w:rsid w:val="00601C1E"/>
    <w:rsid w:val="006020B4"/>
    <w:rsid w:val="00602185"/>
    <w:rsid w:val="006023CD"/>
    <w:rsid w:val="00602473"/>
    <w:rsid w:val="006024BC"/>
    <w:rsid w:val="00602BB2"/>
    <w:rsid w:val="00602BE5"/>
    <w:rsid w:val="00602DBB"/>
    <w:rsid w:val="00602F18"/>
    <w:rsid w:val="00603127"/>
    <w:rsid w:val="00603311"/>
    <w:rsid w:val="006033CC"/>
    <w:rsid w:val="0060352D"/>
    <w:rsid w:val="00603618"/>
    <w:rsid w:val="006036DD"/>
    <w:rsid w:val="006037E1"/>
    <w:rsid w:val="00603D61"/>
    <w:rsid w:val="00603E45"/>
    <w:rsid w:val="0060417F"/>
    <w:rsid w:val="006041BB"/>
    <w:rsid w:val="00604387"/>
    <w:rsid w:val="006046AC"/>
    <w:rsid w:val="00604956"/>
    <w:rsid w:val="00605067"/>
    <w:rsid w:val="0060520E"/>
    <w:rsid w:val="00605594"/>
    <w:rsid w:val="006058D5"/>
    <w:rsid w:val="00605B28"/>
    <w:rsid w:val="00605B52"/>
    <w:rsid w:val="00605CBE"/>
    <w:rsid w:val="00605DEF"/>
    <w:rsid w:val="00605E53"/>
    <w:rsid w:val="00606574"/>
    <w:rsid w:val="00606675"/>
    <w:rsid w:val="00606917"/>
    <w:rsid w:val="00606B03"/>
    <w:rsid w:val="00606C71"/>
    <w:rsid w:val="00607523"/>
    <w:rsid w:val="0060779E"/>
    <w:rsid w:val="006078D7"/>
    <w:rsid w:val="00607BED"/>
    <w:rsid w:val="00607C0A"/>
    <w:rsid w:val="0061048A"/>
    <w:rsid w:val="006104BE"/>
    <w:rsid w:val="006105BE"/>
    <w:rsid w:val="00610C1D"/>
    <w:rsid w:val="00610D4E"/>
    <w:rsid w:val="00610E1F"/>
    <w:rsid w:val="00610ED0"/>
    <w:rsid w:val="0061115D"/>
    <w:rsid w:val="00611296"/>
    <w:rsid w:val="00611432"/>
    <w:rsid w:val="00611605"/>
    <w:rsid w:val="006118AC"/>
    <w:rsid w:val="0061192F"/>
    <w:rsid w:val="00611A3A"/>
    <w:rsid w:val="00611BAE"/>
    <w:rsid w:val="00611F34"/>
    <w:rsid w:val="00611F81"/>
    <w:rsid w:val="00611FDE"/>
    <w:rsid w:val="006120EE"/>
    <w:rsid w:val="00612211"/>
    <w:rsid w:val="006126B3"/>
    <w:rsid w:val="00612FF8"/>
    <w:rsid w:val="0061338B"/>
    <w:rsid w:val="00613521"/>
    <w:rsid w:val="0061358E"/>
    <w:rsid w:val="006137AF"/>
    <w:rsid w:val="00613931"/>
    <w:rsid w:val="00613D29"/>
    <w:rsid w:val="00613DAC"/>
    <w:rsid w:val="00613FCF"/>
    <w:rsid w:val="00614410"/>
    <w:rsid w:val="0061468E"/>
    <w:rsid w:val="006152A3"/>
    <w:rsid w:val="006155F1"/>
    <w:rsid w:val="0061562B"/>
    <w:rsid w:val="00615ACA"/>
    <w:rsid w:val="00615B08"/>
    <w:rsid w:val="00615CDC"/>
    <w:rsid w:val="00615F4F"/>
    <w:rsid w:val="0061688B"/>
    <w:rsid w:val="00616A0C"/>
    <w:rsid w:val="00616B39"/>
    <w:rsid w:val="00616C7E"/>
    <w:rsid w:val="00616E0D"/>
    <w:rsid w:val="00617203"/>
    <w:rsid w:val="006174CF"/>
    <w:rsid w:val="006174D6"/>
    <w:rsid w:val="0061758B"/>
    <w:rsid w:val="006175BE"/>
    <w:rsid w:val="0061777D"/>
    <w:rsid w:val="00617784"/>
    <w:rsid w:val="00617A1C"/>
    <w:rsid w:val="00617A88"/>
    <w:rsid w:val="00617B6D"/>
    <w:rsid w:val="00620439"/>
    <w:rsid w:val="0062045D"/>
    <w:rsid w:val="00620505"/>
    <w:rsid w:val="00620648"/>
    <w:rsid w:val="00620958"/>
    <w:rsid w:val="00620A71"/>
    <w:rsid w:val="00620C76"/>
    <w:rsid w:val="00621343"/>
    <w:rsid w:val="0062135F"/>
    <w:rsid w:val="0062189E"/>
    <w:rsid w:val="00621CAE"/>
    <w:rsid w:val="00622671"/>
    <w:rsid w:val="0062293C"/>
    <w:rsid w:val="0062295E"/>
    <w:rsid w:val="006229B6"/>
    <w:rsid w:val="00622AB7"/>
    <w:rsid w:val="00622C26"/>
    <w:rsid w:val="00622D80"/>
    <w:rsid w:val="00623704"/>
    <w:rsid w:val="00623737"/>
    <w:rsid w:val="00623820"/>
    <w:rsid w:val="006239C6"/>
    <w:rsid w:val="00623A6F"/>
    <w:rsid w:val="00623A84"/>
    <w:rsid w:val="00623E4E"/>
    <w:rsid w:val="00623F54"/>
    <w:rsid w:val="00623F64"/>
    <w:rsid w:val="0062402F"/>
    <w:rsid w:val="00624079"/>
    <w:rsid w:val="006240A8"/>
    <w:rsid w:val="00624424"/>
    <w:rsid w:val="00624442"/>
    <w:rsid w:val="00624A07"/>
    <w:rsid w:val="00624EF4"/>
    <w:rsid w:val="00624FF9"/>
    <w:rsid w:val="006250A1"/>
    <w:rsid w:val="0062512F"/>
    <w:rsid w:val="006259BC"/>
    <w:rsid w:val="00625CC7"/>
    <w:rsid w:val="00625DEE"/>
    <w:rsid w:val="00625F36"/>
    <w:rsid w:val="0062601A"/>
    <w:rsid w:val="00626130"/>
    <w:rsid w:val="00626153"/>
    <w:rsid w:val="0062625C"/>
    <w:rsid w:val="00626D5E"/>
    <w:rsid w:val="0062722A"/>
    <w:rsid w:val="006272E9"/>
    <w:rsid w:val="006273E6"/>
    <w:rsid w:val="00627DE8"/>
    <w:rsid w:val="006305A9"/>
    <w:rsid w:val="00630EA4"/>
    <w:rsid w:val="00630F04"/>
    <w:rsid w:val="00631230"/>
    <w:rsid w:val="00631832"/>
    <w:rsid w:val="00631981"/>
    <w:rsid w:val="00631AFB"/>
    <w:rsid w:val="00631BBC"/>
    <w:rsid w:val="00631BC3"/>
    <w:rsid w:val="00631CA3"/>
    <w:rsid w:val="00631D05"/>
    <w:rsid w:val="00632216"/>
    <w:rsid w:val="0063222D"/>
    <w:rsid w:val="006322AC"/>
    <w:rsid w:val="00632605"/>
    <w:rsid w:val="00632CD7"/>
    <w:rsid w:val="0063300C"/>
    <w:rsid w:val="006331F0"/>
    <w:rsid w:val="0063321B"/>
    <w:rsid w:val="00633406"/>
    <w:rsid w:val="00633444"/>
    <w:rsid w:val="0063389E"/>
    <w:rsid w:val="00633B66"/>
    <w:rsid w:val="00633B6A"/>
    <w:rsid w:val="006340EF"/>
    <w:rsid w:val="0063416D"/>
    <w:rsid w:val="0063481E"/>
    <w:rsid w:val="006352EB"/>
    <w:rsid w:val="006353E7"/>
    <w:rsid w:val="00635672"/>
    <w:rsid w:val="0063570A"/>
    <w:rsid w:val="006357E4"/>
    <w:rsid w:val="00635850"/>
    <w:rsid w:val="00635970"/>
    <w:rsid w:val="00635A6B"/>
    <w:rsid w:val="00635DDC"/>
    <w:rsid w:val="006361CF"/>
    <w:rsid w:val="0063625A"/>
    <w:rsid w:val="00636773"/>
    <w:rsid w:val="006369AE"/>
    <w:rsid w:val="006369FC"/>
    <w:rsid w:val="00636D64"/>
    <w:rsid w:val="006372DB"/>
    <w:rsid w:val="00637319"/>
    <w:rsid w:val="006375A2"/>
    <w:rsid w:val="0063777C"/>
    <w:rsid w:val="006377AA"/>
    <w:rsid w:val="006379CE"/>
    <w:rsid w:val="00637CB1"/>
    <w:rsid w:val="006400D8"/>
    <w:rsid w:val="006402C4"/>
    <w:rsid w:val="006407A2"/>
    <w:rsid w:val="006407A3"/>
    <w:rsid w:val="00640D46"/>
    <w:rsid w:val="00640EF7"/>
    <w:rsid w:val="00640F6B"/>
    <w:rsid w:val="006415E8"/>
    <w:rsid w:val="006415F1"/>
    <w:rsid w:val="00641666"/>
    <w:rsid w:val="0064169A"/>
    <w:rsid w:val="006418A4"/>
    <w:rsid w:val="00641A92"/>
    <w:rsid w:val="00641B69"/>
    <w:rsid w:val="00641C3B"/>
    <w:rsid w:val="00641E12"/>
    <w:rsid w:val="00641EB9"/>
    <w:rsid w:val="006422CA"/>
    <w:rsid w:val="00642762"/>
    <w:rsid w:val="0064286A"/>
    <w:rsid w:val="00642E06"/>
    <w:rsid w:val="00642E64"/>
    <w:rsid w:val="00642ED1"/>
    <w:rsid w:val="00642F4E"/>
    <w:rsid w:val="006435DB"/>
    <w:rsid w:val="0064373E"/>
    <w:rsid w:val="00643C11"/>
    <w:rsid w:val="00643F3E"/>
    <w:rsid w:val="00643F46"/>
    <w:rsid w:val="006442B1"/>
    <w:rsid w:val="00644525"/>
    <w:rsid w:val="00644B67"/>
    <w:rsid w:val="00645022"/>
    <w:rsid w:val="006451C8"/>
    <w:rsid w:val="0064521D"/>
    <w:rsid w:val="00645264"/>
    <w:rsid w:val="006453BA"/>
    <w:rsid w:val="00645445"/>
    <w:rsid w:val="0064579C"/>
    <w:rsid w:val="00645AD5"/>
    <w:rsid w:val="00645D59"/>
    <w:rsid w:val="00645F5E"/>
    <w:rsid w:val="006460A9"/>
    <w:rsid w:val="00646486"/>
    <w:rsid w:val="00646973"/>
    <w:rsid w:val="00646A7F"/>
    <w:rsid w:val="00646BFD"/>
    <w:rsid w:val="00646C35"/>
    <w:rsid w:val="00646E33"/>
    <w:rsid w:val="00646FFB"/>
    <w:rsid w:val="006470CB"/>
    <w:rsid w:val="00647414"/>
    <w:rsid w:val="00647421"/>
    <w:rsid w:val="00647445"/>
    <w:rsid w:val="00647479"/>
    <w:rsid w:val="006478F1"/>
    <w:rsid w:val="0064797D"/>
    <w:rsid w:val="00647D9F"/>
    <w:rsid w:val="0065016C"/>
    <w:rsid w:val="00650481"/>
    <w:rsid w:val="00650D5C"/>
    <w:rsid w:val="00650F89"/>
    <w:rsid w:val="00650FC4"/>
    <w:rsid w:val="006511DE"/>
    <w:rsid w:val="00651330"/>
    <w:rsid w:val="006513A3"/>
    <w:rsid w:val="00651424"/>
    <w:rsid w:val="006517A8"/>
    <w:rsid w:val="0065198F"/>
    <w:rsid w:val="00651BEA"/>
    <w:rsid w:val="00651D6C"/>
    <w:rsid w:val="00651D77"/>
    <w:rsid w:val="00651D78"/>
    <w:rsid w:val="006525D9"/>
    <w:rsid w:val="00652681"/>
    <w:rsid w:val="006528AD"/>
    <w:rsid w:val="00652945"/>
    <w:rsid w:val="00652B34"/>
    <w:rsid w:val="00652B8F"/>
    <w:rsid w:val="00652BA5"/>
    <w:rsid w:val="00652F77"/>
    <w:rsid w:val="00653012"/>
    <w:rsid w:val="00653305"/>
    <w:rsid w:val="00653415"/>
    <w:rsid w:val="0065346B"/>
    <w:rsid w:val="0065346D"/>
    <w:rsid w:val="006534A2"/>
    <w:rsid w:val="006535BC"/>
    <w:rsid w:val="00653606"/>
    <w:rsid w:val="0065387B"/>
    <w:rsid w:val="00653C44"/>
    <w:rsid w:val="00653F0D"/>
    <w:rsid w:val="006540AC"/>
    <w:rsid w:val="006541DA"/>
    <w:rsid w:val="006545AE"/>
    <w:rsid w:val="006545DA"/>
    <w:rsid w:val="006547C1"/>
    <w:rsid w:val="006548D0"/>
    <w:rsid w:val="00654AFC"/>
    <w:rsid w:val="00654C98"/>
    <w:rsid w:val="00654F97"/>
    <w:rsid w:val="00655534"/>
    <w:rsid w:val="006555C2"/>
    <w:rsid w:val="00655926"/>
    <w:rsid w:val="00655B4A"/>
    <w:rsid w:val="00655DEA"/>
    <w:rsid w:val="00655EFB"/>
    <w:rsid w:val="006560A7"/>
    <w:rsid w:val="00656140"/>
    <w:rsid w:val="0065649F"/>
    <w:rsid w:val="006564F5"/>
    <w:rsid w:val="006565FD"/>
    <w:rsid w:val="00656675"/>
    <w:rsid w:val="006567DE"/>
    <w:rsid w:val="006568B7"/>
    <w:rsid w:val="00656E25"/>
    <w:rsid w:val="00656F3E"/>
    <w:rsid w:val="0065714B"/>
    <w:rsid w:val="006571A5"/>
    <w:rsid w:val="00657341"/>
    <w:rsid w:val="006574A7"/>
    <w:rsid w:val="006577D7"/>
    <w:rsid w:val="006578BE"/>
    <w:rsid w:val="00657968"/>
    <w:rsid w:val="00657AAB"/>
    <w:rsid w:val="00657D74"/>
    <w:rsid w:val="00657E0F"/>
    <w:rsid w:val="00657E4D"/>
    <w:rsid w:val="0066035A"/>
    <w:rsid w:val="006605FC"/>
    <w:rsid w:val="006607D2"/>
    <w:rsid w:val="00660844"/>
    <w:rsid w:val="00660855"/>
    <w:rsid w:val="00660A65"/>
    <w:rsid w:val="00660D67"/>
    <w:rsid w:val="00660F8C"/>
    <w:rsid w:val="00661242"/>
    <w:rsid w:val="0066168F"/>
    <w:rsid w:val="006616B4"/>
    <w:rsid w:val="0066178D"/>
    <w:rsid w:val="00661DEB"/>
    <w:rsid w:val="0066202A"/>
    <w:rsid w:val="006620C7"/>
    <w:rsid w:val="006625BC"/>
    <w:rsid w:val="00662AF4"/>
    <w:rsid w:val="00662E06"/>
    <w:rsid w:val="00662E7A"/>
    <w:rsid w:val="00662E97"/>
    <w:rsid w:val="00663067"/>
    <w:rsid w:val="00663671"/>
    <w:rsid w:val="006636A5"/>
    <w:rsid w:val="00663AB8"/>
    <w:rsid w:val="00663BA5"/>
    <w:rsid w:val="00663D88"/>
    <w:rsid w:val="00663E3D"/>
    <w:rsid w:val="00664086"/>
    <w:rsid w:val="00664208"/>
    <w:rsid w:val="00664742"/>
    <w:rsid w:val="006649FE"/>
    <w:rsid w:val="00664D8B"/>
    <w:rsid w:val="006650C6"/>
    <w:rsid w:val="006654B2"/>
    <w:rsid w:val="006654CE"/>
    <w:rsid w:val="0066569A"/>
    <w:rsid w:val="0066577D"/>
    <w:rsid w:val="00665AF5"/>
    <w:rsid w:val="00665F43"/>
    <w:rsid w:val="00665FF7"/>
    <w:rsid w:val="006663A7"/>
    <w:rsid w:val="00666468"/>
    <w:rsid w:val="00666476"/>
    <w:rsid w:val="006665D1"/>
    <w:rsid w:val="006667DC"/>
    <w:rsid w:val="0066693E"/>
    <w:rsid w:val="00666B3A"/>
    <w:rsid w:val="00666DE4"/>
    <w:rsid w:val="00666EC4"/>
    <w:rsid w:val="00667450"/>
    <w:rsid w:val="0066758A"/>
    <w:rsid w:val="0066761E"/>
    <w:rsid w:val="006677DA"/>
    <w:rsid w:val="00667818"/>
    <w:rsid w:val="00667F46"/>
    <w:rsid w:val="00670222"/>
    <w:rsid w:val="0067042D"/>
    <w:rsid w:val="0067043E"/>
    <w:rsid w:val="00670CF9"/>
    <w:rsid w:val="00671047"/>
    <w:rsid w:val="0067107D"/>
    <w:rsid w:val="006710C7"/>
    <w:rsid w:val="006711B0"/>
    <w:rsid w:val="00671426"/>
    <w:rsid w:val="00671746"/>
    <w:rsid w:val="00671936"/>
    <w:rsid w:val="00671AC9"/>
    <w:rsid w:val="00671ED7"/>
    <w:rsid w:val="006721CD"/>
    <w:rsid w:val="006725F3"/>
    <w:rsid w:val="00672AA4"/>
    <w:rsid w:val="00672F65"/>
    <w:rsid w:val="0067309D"/>
    <w:rsid w:val="006735B4"/>
    <w:rsid w:val="00673663"/>
    <w:rsid w:val="00673681"/>
    <w:rsid w:val="00673B76"/>
    <w:rsid w:val="00673CFB"/>
    <w:rsid w:val="00673D2D"/>
    <w:rsid w:val="00673E62"/>
    <w:rsid w:val="006740C7"/>
    <w:rsid w:val="00674503"/>
    <w:rsid w:val="006745C2"/>
    <w:rsid w:val="0067461C"/>
    <w:rsid w:val="00674AD9"/>
    <w:rsid w:val="0067568C"/>
    <w:rsid w:val="00675B3D"/>
    <w:rsid w:val="00676094"/>
    <w:rsid w:val="00676141"/>
    <w:rsid w:val="0067694A"/>
    <w:rsid w:val="006769C4"/>
    <w:rsid w:val="00677015"/>
    <w:rsid w:val="006770DE"/>
    <w:rsid w:val="0067718B"/>
    <w:rsid w:val="00677784"/>
    <w:rsid w:val="00677B8C"/>
    <w:rsid w:val="00677C3F"/>
    <w:rsid w:val="00677FCF"/>
    <w:rsid w:val="006803B7"/>
    <w:rsid w:val="006805F6"/>
    <w:rsid w:val="00680C68"/>
    <w:rsid w:val="00681270"/>
    <w:rsid w:val="00681435"/>
    <w:rsid w:val="0068209F"/>
    <w:rsid w:val="0068211B"/>
    <w:rsid w:val="00682A6D"/>
    <w:rsid w:val="00682CDC"/>
    <w:rsid w:val="00682EC3"/>
    <w:rsid w:val="00682FA0"/>
    <w:rsid w:val="00683028"/>
    <w:rsid w:val="00683091"/>
    <w:rsid w:val="006831EF"/>
    <w:rsid w:val="006832FC"/>
    <w:rsid w:val="0068342F"/>
    <w:rsid w:val="006834DB"/>
    <w:rsid w:val="006834E5"/>
    <w:rsid w:val="006834EC"/>
    <w:rsid w:val="00683828"/>
    <w:rsid w:val="00683A66"/>
    <w:rsid w:val="00683AF7"/>
    <w:rsid w:val="00683B07"/>
    <w:rsid w:val="00683CAF"/>
    <w:rsid w:val="00683D1A"/>
    <w:rsid w:val="00684071"/>
    <w:rsid w:val="00684193"/>
    <w:rsid w:val="00684481"/>
    <w:rsid w:val="006844D8"/>
    <w:rsid w:val="00684819"/>
    <w:rsid w:val="00684E01"/>
    <w:rsid w:val="00684FBC"/>
    <w:rsid w:val="00685164"/>
    <w:rsid w:val="006855F5"/>
    <w:rsid w:val="00685752"/>
    <w:rsid w:val="006859AA"/>
    <w:rsid w:val="00685A6D"/>
    <w:rsid w:val="00685AB6"/>
    <w:rsid w:val="00685BC8"/>
    <w:rsid w:val="00685C00"/>
    <w:rsid w:val="00685D8B"/>
    <w:rsid w:val="00685DB6"/>
    <w:rsid w:val="006862E9"/>
    <w:rsid w:val="00686404"/>
    <w:rsid w:val="00686511"/>
    <w:rsid w:val="00686752"/>
    <w:rsid w:val="006868CC"/>
    <w:rsid w:val="00686E43"/>
    <w:rsid w:val="00686EB4"/>
    <w:rsid w:val="00686FDC"/>
    <w:rsid w:val="00687013"/>
    <w:rsid w:val="00687048"/>
    <w:rsid w:val="006873BB"/>
    <w:rsid w:val="006874A7"/>
    <w:rsid w:val="00687794"/>
    <w:rsid w:val="006879CD"/>
    <w:rsid w:val="00687E91"/>
    <w:rsid w:val="00687F70"/>
    <w:rsid w:val="006903BA"/>
    <w:rsid w:val="00690446"/>
    <w:rsid w:val="00690448"/>
    <w:rsid w:val="00690A4E"/>
    <w:rsid w:val="00690BA2"/>
    <w:rsid w:val="00690D4F"/>
    <w:rsid w:val="00690D63"/>
    <w:rsid w:val="0069121A"/>
    <w:rsid w:val="0069127C"/>
    <w:rsid w:val="00691577"/>
    <w:rsid w:val="006918A6"/>
    <w:rsid w:val="0069193D"/>
    <w:rsid w:val="00691A49"/>
    <w:rsid w:val="00691C38"/>
    <w:rsid w:val="00691D9B"/>
    <w:rsid w:val="00691DE1"/>
    <w:rsid w:val="006924E0"/>
    <w:rsid w:val="006926FF"/>
    <w:rsid w:val="006928E6"/>
    <w:rsid w:val="00692A65"/>
    <w:rsid w:val="00693298"/>
    <w:rsid w:val="00693448"/>
    <w:rsid w:val="006934A8"/>
    <w:rsid w:val="0069383A"/>
    <w:rsid w:val="006938C6"/>
    <w:rsid w:val="006939FA"/>
    <w:rsid w:val="00693D03"/>
    <w:rsid w:val="006941BA"/>
    <w:rsid w:val="006945BC"/>
    <w:rsid w:val="00694913"/>
    <w:rsid w:val="00694B14"/>
    <w:rsid w:val="006956DB"/>
    <w:rsid w:val="0069573C"/>
    <w:rsid w:val="00695970"/>
    <w:rsid w:val="00695E27"/>
    <w:rsid w:val="00695FA3"/>
    <w:rsid w:val="00696163"/>
    <w:rsid w:val="006962B6"/>
    <w:rsid w:val="00696696"/>
    <w:rsid w:val="00696982"/>
    <w:rsid w:val="00696A7B"/>
    <w:rsid w:val="00696B55"/>
    <w:rsid w:val="00696D64"/>
    <w:rsid w:val="00696E22"/>
    <w:rsid w:val="00697040"/>
    <w:rsid w:val="0069720B"/>
    <w:rsid w:val="00697304"/>
    <w:rsid w:val="0069764F"/>
    <w:rsid w:val="006978D8"/>
    <w:rsid w:val="00697CAC"/>
    <w:rsid w:val="00697FFC"/>
    <w:rsid w:val="006A01E1"/>
    <w:rsid w:val="006A026E"/>
    <w:rsid w:val="006A0401"/>
    <w:rsid w:val="006A0586"/>
    <w:rsid w:val="006A09C3"/>
    <w:rsid w:val="006A1012"/>
    <w:rsid w:val="006A12A7"/>
    <w:rsid w:val="006A141D"/>
    <w:rsid w:val="006A172D"/>
    <w:rsid w:val="006A1DC0"/>
    <w:rsid w:val="006A1DE1"/>
    <w:rsid w:val="006A209E"/>
    <w:rsid w:val="006A2887"/>
    <w:rsid w:val="006A295A"/>
    <w:rsid w:val="006A2B2B"/>
    <w:rsid w:val="006A2C6D"/>
    <w:rsid w:val="006A339E"/>
    <w:rsid w:val="006A3627"/>
    <w:rsid w:val="006A3695"/>
    <w:rsid w:val="006A3701"/>
    <w:rsid w:val="006A38F7"/>
    <w:rsid w:val="006A3919"/>
    <w:rsid w:val="006A3AB4"/>
    <w:rsid w:val="006A3AF2"/>
    <w:rsid w:val="006A4133"/>
    <w:rsid w:val="006A414B"/>
    <w:rsid w:val="006A4696"/>
    <w:rsid w:val="006A4724"/>
    <w:rsid w:val="006A4911"/>
    <w:rsid w:val="006A4B65"/>
    <w:rsid w:val="006A4B9D"/>
    <w:rsid w:val="006A4DE3"/>
    <w:rsid w:val="006A50D2"/>
    <w:rsid w:val="006A53CD"/>
    <w:rsid w:val="006A562B"/>
    <w:rsid w:val="006A58AD"/>
    <w:rsid w:val="006A59B2"/>
    <w:rsid w:val="006A5A6E"/>
    <w:rsid w:val="006A5B36"/>
    <w:rsid w:val="006A5B7B"/>
    <w:rsid w:val="006A5C15"/>
    <w:rsid w:val="006A5DFA"/>
    <w:rsid w:val="006A5E14"/>
    <w:rsid w:val="006A628F"/>
    <w:rsid w:val="006A62BC"/>
    <w:rsid w:val="006A6559"/>
    <w:rsid w:val="006A670F"/>
    <w:rsid w:val="006A67FF"/>
    <w:rsid w:val="006A69DC"/>
    <w:rsid w:val="006A6B7E"/>
    <w:rsid w:val="006A6BB8"/>
    <w:rsid w:val="006A6D9E"/>
    <w:rsid w:val="006A6D9F"/>
    <w:rsid w:val="006A7188"/>
    <w:rsid w:val="006A73D6"/>
    <w:rsid w:val="006A7576"/>
    <w:rsid w:val="006A7756"/>
    <w:rsid w:val="006A7ACC"/>
    <w:rsid w:val="006A7F83"/>
    <w:rsid w:val="006A7FDA"/>
    <w:rsid w:val="006B0627"/>
    <w:rsid w:val="006B0883"/>
    <w:rsid w:val="006B0AD7"/>
    <w:rsid w:val="006B0C05"/>
    <w:rsid w:val="006B0C81"/>
    <w:rsid w:val="006B1143"/>
    <w:rsid w:val="006B1255"/>
    <w:rsid w:val="006B1404"/>
    <w:rsid w:val="006B1424"/>
    <w:rsid w:val="006B1501"/>
    <w:rsid w:val="006B18CA"/>
    <w:rsid w:val="006B19C3"/>
    <w:rsid w:val="006B1CFF"/>
    <w:rsid w:val="006B2051"/>
    <w:rsid w:val="006B20B5"/>
    <w:rsid w:val="006B2206"/>
    <w:rsid w:val="006B2462"/>
    <w:rsid w:val="006B24D1"/>
    <w:rsid w:val="006B2A46"/>
    <w:rsid w:val="006B2BF9"/>
    <w:rsid w:val="006B2C31"/>
    <w:rsid w:val="006B2CF1"/>
    <w:rsid w:val="006B338D"/>
    <w:rsid w:val="006B3466"/>
    <w:rsid w:val="006B3560"/>
    <w:rsid w:val="006B359D"/>
    <w:rsid w:val="006B380A"/>
    <w:rsid w:val="006B38BA"/>
    <w:rsid w:val="006B3A23"/>
    <w:rsid w:val="006B3C9F"/>
    <w:rsid w:val="006B3CD6"/>
    <w:rsid w:val="006B4111"/>
    <w:rsid w:val="006B4335"/>
    <w:rsid w:val="006B45DB"/>
    <w:rsid w:val="006B45E4"/>
    <w:rsid w:val="006B481C"/>
    <w:rsid w:val="006B48C9"/>
    <w:rsid w:val="006B540E"/>
    <w:rsid w:val="006B547E"/>
    <w:rsid w:val="006B5627"/>
    <w:rsid w:val="006B57F8"/>
    <w:rsid w:val="006B58E6"/>
    <w:rsid w:val="006B58F4"/>
    <w:rsid w:val="006B5B74"/>
    <w:rsid w:val="006B5CAD"/>
    <w:rsid w:val="006B5CB0"/>
    <w:rsid w:val="006B5D7D"/>
    <w:rsid w:val="006B5E64"/>
    <w:rsid w:val="006B60F4"/>
    <w:rsid w:val="006B658D"/>
    <w:rsid w:val="006B6612"/>
    <w:rsid w:val="006B723D"/>
    <w:rsid w:val="006B7348"/>
    <w:rsid w:val="006B761A"/>
    <w:rsid w:val="006B767F"/>
    <w:rsid w:val="006B7A56"/>
    <w:rsid w:val="006B7C44"/>
    <w:rsid w:val="006C014F"/>
    <w:rsid w:val="006C0202"/>
    <w:rsid w:val="006C0220"/>
    <w:rsid w:val="006C02DA"/>
    <w:rsid w:val="006C04FD"/>
    <w:rsid w:val="006C0636"/>
    <w:rsid w:val="006C0ACF"/>
    <w:rsid w:val="006C0BF1"/>
    <w:rsid w:val="006C0E53"/>
    <w:rsid w:val="006C1036"/>
    <w:rsid w:val="006C116B"/>
    <w:rsid w:val="006C1236"/>
    <w:rsid w:val="006C12B0"/>
    <w:rsid w:val="006C173E"/>
    <w:rsid w:val="006C1BDE"/>
    <w:rsid w:val="006C1EC6"/>
    <w:rsid w:val="006C1EF2"/>
    <w:rsid w:val="006C1F87"/>
    <w:rsid w:val="006C2073"/>
    <w:rsid w:val="006C24D2"/>
    <w:rsid w:val="006C2544"/>
    <w:rsid w:val="006C2587"/>
    <w:rsid w:val="006C2993"/>
    <w:rsid w:val="006C2A40"/>
    <w:rsid w:val="006C2ABC"/>
    <w:rsid w:val="006C2B1F"/>
    <w:rsid w:val="006C2C8A"/>
    <w:rsid w:val="006C2EBA"/>
    <w:rsid w:val="006C3447"/>
    <w:rsid w:val="006C364F"/>
    <w:rsid w:val="006C36C8"/>
    <w:rsid w:val="006C3730"/>
    <w:rsid w:val="006C3CDA"/>
    <w:rsid w:val="006C3D4D"/>
    <w:rsid w:val="006C401F"/>
    <w:rsid w:val="006C420A"/>
    <w:rsid w:val="006C4236"/>
    <w:rsid w:val="006C428B"/>
    <w:rsid w:val="006C4893"/>
    <w:rsid w:val="006C4AC0"/>
    <w:rsid w:val="006C4C80"/>
    <w:rsid w:val="006C4FE5"/>
    <w:rsid w:val="006C5000"/>
    <w:rsid w:val="006C52C7"/>
    <w:rsid w:val="006C5869"/>
    <w:rsid w:val="006C58BA"/>
    <w:rsid w:val="006C58C7"/>
    <w:rsid w:val="006C5A8C"/>
    <w:rsid w:val="006C5D71"/>
    <w:rsid w:val="006C5F53"/>
    <w:rsid w:val="006C5F5A"/>
    <w:rsid w:val="006C6416"/>
    <w:rsid w:val="006C64F4"/>
    <w:rsid w:val="006C6B82"/>
    <w:rsid w:val="006C6E72"/>
    <w:rsid w:val="006C70A0"/>
    <w:rsid w:val="006C79CB"/>
    <w:rsid w:val="006D0006"/>
    <w:rsid w:val="006D0299"/>
    <w:rsid w:val="006D04CD"/>
    <w:rsid w:val="006D050D"/>
    <w:rsid w:val="006D054C"/>
    <w:rsid w:val="006D056B"/>
    <w:rsid w:val="006D0612"/>
    <w:rsid w:val="006D0A31"/>
    <w:rsid w:val="006D0AAA"/>
    <w:rsid w:val="006D0BED"/>
    <w:rsid w:val="006D0CFF"/>
    <w:rsid w:val="006D0E65"/>
    <w:rsid w:val="006D104E"/>
    <w:rsid w:val="006D1154"/>
    <w:rsid w:val="006D136B"/>
    <w:rsid w:val="006D149E"/>
    <w:rsid w:val="006D14A2"/>
    <w:rsid w:val="006D15FE"/>
    <w:rsid w:val="006D1780"/>
    <w:rsid w:val="006D1832"/>
    <w:rsid w:val="006D1862"/>
    <w:rsid w:val="006D19D8"/>
    <w:rsid w:val="006D1A4F"/>
    <w:rsid w:val="006D1CE5"/>
    <w:rsid w:val="006D2587"/>
    <w:rsid w:val="006D25CF"/>
    <w:rsid w:val="006D25D9"/>
    <w:rsid w:val="006D264E"/>
    <w:rsid w:val="006D28E0"/>
    <w:rsid w:val="006D29A2"/>
    <w:rsid w:val="006D2A97"/>
    <w:rsid w:val="006D2D09"/>
    <w:rsid w:val="006D2E47"/>
    <w:rsid w:val="006D300B"/>
    <w:rsid w:val="006D3383"/>
    <w:rsid w:val="006D37B1"/>
    <w:rsid w:val="006D38FE"/>
    <w:rsid w:val="006D3917"/>
    <w:rsid w:val="006D39B8"/>
    <w:rsid w:val="006D3A39"/>
    <w:rsid w:val="006D3D80"/>
    <w:rsid w:val="006D3E91"/>
    <w:rsid w:val="006D3F02"/>
    <w:rsid w:val="006D3F2F"/>
    <w:rsid w:val="006D44A8"/>
    <w:rsid w:val="006D4C5A"/>
    <w:rsid w:val="006D4F89"/>
    <w:rsid w:val="006D5165"/>
    <w:rsid w:val="006D55AD"/>
    <w:rsid w:val="006D566A"/>
    <w:rsid w:val="006D568D"/>
    <w:rsid w:val="006D6353"/>
    <w:rsid w:val="006D644C"/>
    <w:rsid w:val="006D658F"/>
    <w:rsid w:val="006D668E"/>
    <w:rsid w:val="006D6699"/>
    <w:rsid w:val="006D685C"/>
    <w:rsid w:val="006D6961"/>
    <w:rsid w:val="006D6EE0"/>
    <w:rsid w:val="006D756B"/>
    <w:rsid w:val="006D762A"/>
    <w:rsid w:val="006D7E2A"/>
    <w:rsid w:val="006E0065"/>
    <w:rsid w:val="006E07E3"/>
    <w:rsid w:val="006E0B1B"/>
    <w:rsid w:val="006E0CE5"/>
    <w:rsid w:val="006E0F83"/>
    <w:rsid w:val="006E0F85"/>
    <w:rsid w:val="006E1591"/>
    <w:rsid w:val="006E1686"/>
    <w:rsid w:val="006E1C61"/>
    <w:rsid w:val="006E28A7"/>
    <w:rsid w:val="006E28DA"/>
    <w:rsid w:val="006E2AD2"/>
    <w:rsid w:val="006E2CFC"/>
    <w:rsid w:val="006E2E61"/>
    <w:rsid w:val="006E2F7D"/>
    <w:rsid w:val="006E312F"/>
    <w:rsid w:val="006E318C"/>
    <w:rsid w:val="006E357B"/>
    <w:rsid w:val="006E3B37"/>
    <w:rsid w:val="006E4051"/>
    <w:rsid w:val="006E4339"/>
    <w:rsid w:val="006E4695"/>
    <w:rsid w:val="006E4842"/>
    <w:rsid w:val="006E49DF"/>
    <w:rsid w:val="006E4C09"/>
    <w:rsid w:val="006E4D11"/>
    <w:rsid w:val="006E4E5A"/>
    <w:rsid w:val="006E5252"/>
    <w:rsid w:val="006E53BE"/>
    <w:rsid w:val="006E54A5"/>
    <w:rsid w:val="006E5529"/>
    <w:rsid w:val="006E599F"/>
    <w:rsid w:val="006E5A23"/>
    <w:rsid w:val="006E5B10"/>
    <w:rsid w:val="006E5D2D"/>
    <w:rsid w:val="006E5DBD"/>
    <w:rsid w:val="006E5DD3"/>
    <w:rsid w:val="006E6177"/>
    <w:rsid w:val="006E6690"/>
    <w:rsid w:val="006E6A5D"/>
    <w:rsid w:val="006E6C34"/>
    <w:rsid w:val="006E6DAA"/>
    <w:rsid w:val="006E72BE"/>
    <w:rsid w:val="006E732D"/>
    <w:rsid w:val="006E734E"/>
    <w:rsid w:val="006E7443"/>
    <w:rsid w:val="006E749D"/>
    <w:rsid w:val="006E760A"/>
    <w:rsid w:val="006E76A0"/>
    <w:rsid w:val="006E7A62"/>
    <w:rsid w:val="006E7A7F"/>
    <w:rsid w:val="006E7CE7"/>
    <w:rsid w:val="006E7E21"/>
    <w:rsid w:val="006F04D1"/>
    <w:rsid w:val="006F073D"/>
    <w:rsid w:val="006F0D0E"/>
    <w:rsid w:val="006F0EA4"/>
    <w:rsid w:val="006F11A4"/>
    <w:rsid w:val="006F14A1"/>
    <w:rsid w:val="006F16C4"/>
    <w:rsid w:val="006F1852"/>
    <w:rsid w:val="006F1E28"/>
    <w:rsid w:val="006F1E92"/>
    <w:rsid w:val="006F2180"/>
    <w:rsid w:val="006F23C6"/>
    <w:rsid w:val="006F24B4"/>
    <w:rsid w:val="006F25C6"/>
    <w:rsid w:val="006F26A6"/>
    <w:rsid w:val="006F2734"/>
    <w:rsid w:val="006F27A1"/>
    <w:rsid w:val="006F2B59"/>
    <w:rsid w:val="006F2D7C"/>
    <w:rsid w:val="006F2D83"/>
    <w:rsid w:val="006F2DD8"/>
    <w:rsid w:val="006F2DE7"/>
    <w:rsid w:val="006F3011"/>
    <w:rsid w:val="006F3123"/>
    <w:rsid w:val="006F323D"/>
    <w:rsid w:val="006F32A7"/>
    <w:rsid w:val="006F359D"/>
    <w:rsid w:val="006F35DA"/>
    <w:rsid w:val="006F395E"/>
    <w:rsid w:val="006F39EB"/>
    <w:rsid w:val="006F3AFF"/>
    <w:rsid w:val="006F3B0B"/>
    <w:rsid w:val="006F3BC9"/>
    <w:rsid w:val="006F3C34"/>
    <w:rsid w:val="006F3D8D"/>
    <w:rsid w:val="006F3DC7"/>
    <w:rsid w:val="006F3F34"/>
    <w:rsid w:val="006F4394"/>
    <w:rsid w:val="006F45D1"/>
    <w:rsid w:val="006F4609"/>
    <w:rsid w:val="006F4743"/>
    <w:rsid w:val="006F4A99"/>
    <w:rsid w:val="006F4C86"/>
    <w:rsid w:val="006F4D06"/>
    <w:rsid w:val="006F4D96"/>
    <w:rsid w:val="006F4FC5"/>
    <w:rsid w:val="006F50BE"/>
    <w:rsid w:val="006F527A"/>
    <w:rsid w:val="006F54ED"/>
    <w:rsid w:val="006F5546"/>
    <w:rsid w:val="006F5592"/>
    <w:rsid w:val="006F56DE"/>
    <w:rsid w:val="006F5717"/>
    <w:rsid w:val="006F57F7"/>
    <w:rsid w:val="006F5D5C"/>
    <w:rsid w:val="006F5F9A"/>
    <w:rsid w:val="006F6029"/>
    <w:rsid w:val="006F6075"/>
    <w:rsid w:val="006F61BD"/>
    <w:rsid w:val="006F63AC"/>
    <w:rsid w:val="006F6651"/>
    <w:rsid w:val="006F67DA"/>
    <w:rsid w:val="006F68D4"/>
    <w:rsid w:val="006F6B50"/>
    <w:rsid w:val="006F6C1A"/>
    <w:rsid w:val="006F6CF7"/>
    <w:rsid w:val="006F6E24"/>
    <w:rsid w:val="006F7170"/>
    <w:rsid w:val="006F7410"/>
    <w:rsid w:val="006F762A"/>
    <w:rsid w:val="006F762E"/>
    <w:rsid w:val="006F7875"/>
    <w:rsid w:val="006F78AC"/>
    <w:rsid w:val="006F7A1F"/>
    <w:rsid w:val="006F7AF5"/>
    <w:rsid w:val="006F7D76"/>
    <w:rsid w:val="0070021F"/>
    <w:rsid w:val="007006EF"/>
    <w:rsid w:val="00700849"/>
    <w:rsid w:val="00700A3C"/>
    <w:rsid w:val="00700B60"/>
    <w:rsid w:val="00700D5E"/>
    <w:rsid w:val="00700D7B"/>
    <w:rsid w:val="0070108E"/>
    <w:rsid w:val="00701286"/>
    <w:rsid w:val="00701761"/>
    <w:rsid w:val="0070178F"/>
    <w:rsid w:val="00701D29"/>
    <w:rsid w:val="00701D86"/>
    <w:rsid w:val="007020D7"/>
    <w:rsid w:val="007021BC"/>
    <w:rsid w:val="0070239D"/>
    <w:rsid w:val="007028AF"/>
    <w:rsid w:val="00702EB9"/>
    <w:rsid w:val="007034D1"/>
    <w:rsid w:val="00703618"/>
    <w:rsid w:val="007038C9"/>
    <w:rsid w:val="00703E06"/>
    <w:rsid w:val="00703FC1"/>
    <w:rsid w:val="0070416B"/>
    <w:rsid w:val="007043A1"/>
    <w:rsid w:val="007043C2"/>
    <w:rsid w:val="00704551"/>
    <w:rsid w:val="007045EB"/>
    <w:rsid w:val="00704C3B"/>
    <w:rsid w:val="00704C78"/>
    <w:rsid w:val="00704F6C"/>
    <w:rsid w:val="007050CC"/>
    <w:rsid w:val="00705189"/>
    <w:rsid w:val="00705260"/>
    <w:rsid w:val="007052E7"/>
    <w:rsid w:val="0070557E"/>
    <w:rsid w:val="007055B6"/>
    <w:rsid w:val="0070586B"/>
    <w:rsid w:val="00705B29"/>
    <w:rsid w:val="00705B41"/>
    <w:rsid w:val="00705BA8"/>
    <w:rsid w:val="00705FA8"/>
    <w:rsid w:val="0070621D"/>
    <w:rsid w:val="00706366"/>
    <w:rsid w:val="007063A0"/>
    <w:rsid w:val="007063E9"/>
    <w:rsid w:val="007065E2"/>
    <w:rsid w:val="00706748"/>
    <w:rsid w:val="00706F8F"/>
    <w:rsid w:val="00707006"/>
    <w:rsid w:val="007070E7"/>
    <w:rsid w:val="0070728E"/>
    <w:rsid w:val="007073A1"/>
    <w:rsid w:val="00707B1F"/>
    <w:rsid w:val="00707C94"/>
    <w:rsid w:val="00707CD8"/>
    <w:rsid w:val="00707D01"/>
    <w:rsid w:val="00707DDC"/>
    <w:rsid w:val="00707FF0"/>
    <w:rsid w:val="00707FF7"/>
    <w:rsid w:val="007102C6"/>
    <w:rsid w:val="00710799"/>
    <w:rsid w:val="0071085C"/>
    <w:rsid w:val="007109E5"/>
    <w:rsid w:val="00710A81"/>
    <w:rsid w:val="00710B4C"/>
    <w:rsid w:val="00710BB0"/>
    <w:rsid w:val="00710CDF"/>
    <w:rsid w:val="00710DD8"/>
    <w:rsid w:val="00711510"/>
    <w:rsid w:val="00711610"/>
    <w:rsid w:val="007116BE"/>
    <w:rsid w:val="00711998"/>
    <w:rsid w:val="00711CAA"/>
    <w:rsid w:val="00711D54"/>
    <w:rsid w:val="00711F51"/>
    <w:rsid w:val="007120F1"/>
    <w:rsid w:val="007126F3"/>
    <w:rsid w:val="00712735"/>
    <w:rsid w:val="0071274D"/>
    <w:rsid w:val="007128DB"/>
    <w:rsid w:val="00713AD0"/>
    <w:rsid w:val="00713E62"/>
    <w:rsid w:val="00713F23"/>
    <w:rsid w:val="00714202"/>
    <w:rsid w:val="007145F8"/>
    <w:rsid w:val="007145FE"/>
    <w:rsid w:val="0071472E"/>
    <w:rsid w:val="00714847"/>
    <w:rsid w:val="007148BD"/>
    <w:rsid w:val="0071494B"/>
    <w:rsid w:val="007149C6"/>
    <w:rsid w:val="00714C66"/>
    <w:rsid w:val="00714F67"/>
    <w:rsid w:val="007154C2"/>
    <w:rsid w:val="0071573F"/>
    <w:rsid w:val="0071576C"/>
    <w:rsid w:val="007158ED"/>
    <w:rsid w:val="0071590E"/>
    <w:rsid w:val="007160EF"/>
    <w:rsid w:val="007163AC"/>
    <w:rsid w:val="00716683"/>
    <w:rsid w:val="007167D4"/>
    <w:rsid w:val="007167E8"/>
    <w:rsid w:val="0071682A"/>
    <w:rsid w:val="0071687B"/>
    <w:rsid w:val="00717193"/>
    <w:rsid w:val="007171E5"/>
    <w:rsid w:val="007171FD"/>
    <w:rsid w:val="0071726A"/>
    <w:rsid w:val="0071728B"/>
    <w:rsid w:val="007172B1"/>
    <w:rsid w:val="007173DA"/>
    <w:rsid w:val="0071775E"/>
    <w:rsid w:val="007177CA"/>
    <w:rsid w:val="00717B05"/>
    <w:rsid w:val="007201F1"/>
    <w:rsid w:val="00720392"/>
    <w:rsid w:val="00720E88"/>
    <w:rsid w:val="00720E8C"/>
    <w:rsid w:val="007212CB"/>
    <w:rsid w:val="007212FD"/>
    <w:rsid w:val="00721798"/>
    <w:rsid w:val="007218EB"/>
    <w:rsid w:val="00721901"/>
    <w:rsid w:val="00721C29"/>
    <w:rsid w:val="00721F34"/>
    <w:rsid w:val="00721F70"/>
    <w:rsid w:val="00721FFA"/>
    <w:rsid w:val="00722516"/>
    <w:rsid w:val="00722559"/>
    <w:rsid w:val="00722C78"/>
    <w:rsid w:val="00722E2E"/>
    <w:rsid w:val="0072315E"/>
    <w:rsid w:val="007231C3"/>
    <w:rsid w:val="00723233"/>
    <w:rsid w:val="00723571"/>
    <w:rsid w:val="007239EB"/>
    <w:rsid w:val="00723A8B"/>
    <w:rsid w:val="00723B25"/>
    <w:rsid w:val="00723D7B"/>
    <w:rsid w:val="0072401D"/>
    <w:rsid w:val="007246F5"/>
    <w:rsid w:val="0072481D"/>
    <w:rsid w:val="00724DD9"/>
    <w:rsid w:val="00724F42"/>
    <w:rsid w:val="00724FC0"/>
    <w:rsid w:val="007250F7"/>
    <w:rsid w:val="007251AA"/>
    <w:rsid w:val="00725216"/>
    <w:rsid w:val="007252D4"/>
    <w:rsid w:val="0072533F"/>
    <w:rsid w:val="007254AC"/>
    <w:rsid w:val="007257C0"/>
    <w:rsid w:val="0072580C"/>
    <w:rsid w:val="00725856"/>
    <w:rsid w:val="00725A9B"/>
    <w:rsid w:val="00725AEB"/>
    <w:rsid w:val="00725E38"/>
    <w:rsid w:val="00726069"/>
    <w:rsid w:val="0072617B"/>
    <w:rsid w:val="00726238"/>
    <w:rsid w:val="00726347"/>
    <w:rsid w:val="00726359"/>
    <w:rsid w:val="007263F8"/>
    <w:rsid w:val="00726514"/>
    <w:rsid w:val="0072673E"/>
    <w:rsid w:val="00726832"/>
    <w:rsid w:val="007268EB"/>
    <w:rsid w:val="00726E28"/>
    <w:rsid w:val="0072734C"/>
    <w:rsid w:val="00727398"/>
    <w:rsid w:val="0072739C"/>
    <w:rsid w:val="00727A8B"/>
    <w:rsid w:val="00727AEF"/>
    <w:rsid w:val="007301C5"/>
    <w:rsid w:val="00730268"/>
    <w:rsid w:val="00730D0B"/>
    <w:rsid w:val="00731134"/>
    <w:rsid w:val="00731314"/>
    <w:rsid w:val="0073132B"/>
    <w:rsid w:val="00731340"/>
    <w:rsid w:val="0073150E"/>
    <w:rsid w:val="00731610"/>
    <w:rsid w:val="0073186A"/>
    <w:rsid w:val="007319F0"/>
    <w:rsid w:val="00731AD0"/>
    <w:rsid w:val="00731C1C"/>
    <w:rsid w:val="00731D68"/>
    <w:rsid w:val="007320A4"/>
    <w:rsid w:val="007322FA"/>
    <w:rsid w:val="007326A9"/>
    <w:rsid w:val="00732B34"/>
    <w:rsid w:val="007332EB"/>
    <w:rsid w:val="0073381E"/>
    <w:rsid w:val="00733946"/>
    <w:rsid w:val="00733BC9"/>
    <w:rsid w:val="00733BDD"/>
    <w:rsid w:val="00733E8A"/>
    <w:rsid w:val="0073477C"/>
    <w:rsid w:val="007347CD"/>
    <w:rsid w:val="0073481A"/>
    <w:rsid w:val="00734916"/>
    <w:rsid w:val="00734A3F"/>
    <w:rsid w:val="00735050"/>
    <w:rsid w:val="00735176"/>
    <w:rsid w:val="0073522C"/>
    <w:rsid w:val="0073577C"/>
    <w:rsid w:val="007359DC"/>
    <w:rsid w:val="00735B2C"/>
    <w:rsid w:val="00735BC2"/>
    <w:rsid w:val="00735CBF"/>
    <w:rsid w:val="007360B3"/>
    <w:rsid w:val="00736106"/>
    <w:rsid w:val="00736174"/>
    <w:rsid w:val="007361AA"/>
    <w:rsid w:val="00736987"/>
    <w:rsid w:val="007371AF"/>
    <w:rsid w:val="00737425"/>
    <w:rsid w:val="0073773F"/>
    <w:rsid w:val="007378E1"/>
    <w:rsid w:val="00737CD5"/>
    <w:rsid w:val="00737D46"/>
    <w:rsid w:val="00737F81"/>
    <w:rsid w:val="007402CC"/>
    <w:rsid w:val="00740331"/>
    <w:rsid w:val="00740667"/>
    <w:rsid w:val="00740B96"/>
    <w:rsid w:val="00740EDE"/>
    <w:rsid w:val="007410AD"/>
    <w:rsid w:val="00741776"/>
    <w:rsid w:val="0074198D"/>
    <w:rsid w:val="00741ADD"/>
    <w:rsid w:val="00741DA3"/>
    <w:rsid w:val="00741E7D"/>
    <w:rsid w:val="00741FEC"/>
    <w:rsid w:val="0074226C"/>
    <w:rsid w:val="00742307"/>
    <w:rsid w:val="007425B3"/>
    <w:rsid w:val="0074268B"/>
    <w:rsid w:val="007427A5"/>
    <w:rsid w:val="00742D60"/>
    <w:rsid w:val="00742DBA"/>
    <w:rsid w:val="00742FF8"/>
    <w:rsid w:val="0074301A"/>
    <w:rsid w:val="007434D9"/>
    <w:rsid w:val="00743C16"/>
    <w:rsid w:val="00743DB9"/>
    <w:rsid w:val="00743E36"/>
    <w:rsid w:val="00743E48"/>
    <w:rsid w:val="00743F99"/>
    <w:rsid w:val="0074402C"/>
    <w:rsid w:val="00744568"/>
    <w:rsid w:val="00744761"/>
    <w:rsid w:val="007449BB"/>
    <w:rsid w:val="00744A17"/>
    <w:rsid w:val="00744B74"/>
    <w:rsid w:val="00744DFB"/>
    <w:rsid w:val="007452F0"/>
    <w:rsid w:val="007453E2"/>
    <w:rsid w:val="0074578C"/>
    <w:rsid w:val="00745944"/>
    <w:rsid w:val="00745BCB"/>
    <w:rsid w:val="00745EF2"/>
    <w:rsid w:val="00745F80"/>
    <w:rsid w:val="0074622F"/>
    <w:rsid w:val="00746285"/>
    <w:rsid w:val="007462A4"/>
    <w:rsid w:val="0074638A"/>
    <w:rsid w:val="007463EC"/>
    <w:rsid w:val="0074643B"/>
    <w:rsid w:val="007465FF"/>
    <w:rsid w:val="0074668B"/>
    <w:rsid w:val="007467AC"/>
    <w:rsid w:val="00746BBC"/>
    <w:rsid w:val="0074743D"/>
    <w:rsid w:val="00747508"/>
    <w:rsid w:val="007475FA"/>
    <w:rsid w:val="007478E7"/>
    <w:rsid w:val="00747AFE"/>
    <w:rsid w:val="00747C96"/>
    <w:rsid w:val="00747EE8"/>
    <w:rsid w:val="00750042"/>
    <w:rsid w:val="00750F46"/>
    <w:rsid w:val="00750FE2"/>
    <w:rsid w:val="007510CC"/>
    <w:rsid w:val="00751171"/>
    <w:rsid w:val="00751185"/>
    <w:rsid w:val="0075122D"/>
    <w:rsid w:val="00751390"/>
    <w:rsid w:val="007513F5"/>
    <w:rsid w:val="0075150E"/>
    <w:rsid w:val="00751940"/>
    <w:rsid w:val="0075219F"/>
    <w:rsid w:val="00752455"/>
    <w:rsid w:val="00752807"/>
    <w:rsid w:val="00752FCD"/>
    <w:rsid w:val="00752FD2"/>
    <w:rsid w:val="007531EB"/>
    <w:rsid w:val="00753382"/>
    <w:rsid w:val="00753476"/>
    <w:rsid w:val="007537F3"/>
    <w:rsid w:val="007538A3"/>
    <w:rsid w:val="0075390E"/>
    <w:rsid w:val="00753C74"/>
    <w:rsid w:val="00753E38"/>
    <w:rsid w:val="00754346"/>
    <w:rsid w:val="00754347"/>
    <w:rsid w:val="007547EF"/>
    <w:rsid w:val="007548FC"/>
    <w:rsid w:val="00754D33"/>
    <w:rsid w:val="00754D46"/>
    <w:rsid w:val="00754EE1"/>
    <w:rsid w:val="00755029"/>
    <w:rsid w:val="00755377"/>
    <w:rsid w:val="0075548B"/>
    <w:rsid w:val="00756788"/>
    <w:rsid w:val="007568D1"/>
    <w:rsid w:val="00756B39"/>
    <w:rsid w:val="00756CCB"/>
    <w:rsid w:val="00756D5B"/>
    <w:rsid w:val="00756E1D"/>
    <w:rsid w:val="00757584"/>
    <w:rsid w:val="00757686"/>
    <w:rsid w:val="00757888"/>
    <w:rsid w:val="007578D7"/>
    <w:rsid w:val="00757A8B"/>
    <w:rsid w:val="00757FC9"/>
    <w:rsid w:val="00760469"/>
    <w:rsid w:val="00760652"/>
    <w:rsid w:val="00760AC2"/>
    <w:rsid w:val="00760B52"/>
    <w:rsid w:val="00760C22"/>
    <w:rsid w:val="00760D00"/>
    <w:rsid w:val="007616EC"/>
    <w:rsid w:val="0076175B"/>
    <w:rsid w:val="00761F3C"/>
    <w:rsid w:val="00761FFE"/>
    <w:rsid w:val="007621C8"/>
    <w:rsid w:val="0076255B"/>
    <w:rsid w:val="00762610"/>
    <w:rsid w:val="00762668"/>
    <w:rsid w:val="007626F5"/>
    <w:rsid w:val="00762778"/>
    <w:rsid w:val="00762B2D"/>
    <w:rsid w:val="00762EAB"/>
    <w:rsid w:val="007631F3"/>
    <w:rsid w:val="007634BF"/>
    <w:rsid w:val="0076354A"/>
    <w:rsid w:val="00763584"/>
    <w:rsid w:val="00763603"/>
    <w:rsid w:val="00763EAB"/>
    <w:rsid w:val="00763F76"/>
    <w:rsid w:val="00764005"/>
    <w:rsid w:val="0076405D"/>
    <w:rsid w:val="007643F8"/>
    <w:rsid w:val="00764596"/>
    <w:rsid w:val="00764C4E"/>
    <w:rsid w:val="00764FD6"/>
    <w:rsid w:val="0076513C"/>
    <w:rsid w:val="007651AF"/>
    <w:rsid w:val="00765465"/>
    <w:rsid w:val="00765531"/>
    <w:rsid w:val="00765594"/>
    <w:rsid w:val="00765ACE"/>
    <w:rsid w:val="00765C04"/>
    <w:rsid w:val="00765C7E"/>
    <w:rsid w:val="00765CB3"/>
    <w:rsid w:val="00765F8A"/>
    <w:rsid w:val="00766013"/>
    <w:rsid w:val="00766725"/>
    <w:rsid w:val="00766834"/>
    <w:rsid w:val="007668E4"/>
    <w:rsid w:val="00766E11"/>
    <w:rsid w:val="00766EAF"/>
    <w:rsid w:val="007670D3"/>
    <w:rsid w:val="007674AD"/>
    <w:rsid w:val="00767774"/>
    <w:rsid w:val="007677FB"/>
    <w:rsid w:val="00767B0E"/>
    <w:rsid w:val="00767BC3"/>
    <w:rsid w:val="00767FE9"/>
    <w:rsid w:val="00770030"/>
    <w:rsid w:val="007701B9"/>
    <w:rsid w:val="0077043B"/>
    <w:rsid w:val="00770944"/>
    <w:rsid w:val="007709A4"/>
    <w:rsid w:val="007716F2"/>
    <w:rsid w:val="007718F4"/>
    <w:rsid w:val="00771E01"/>
    <w:rsid w:val="00771E27"/>
    <w:rsid w:val="00771F82"/>
    <w:rsid w:val="00772037"/>
    <w:rsid w:val="007723AD"/>
    <w:rsid w:val="00772C9C"/>
    <w:rsid w:val="00772E0F"/>
    <w:rsid w:val="00773A3D"/>
    <w:rsid w:val="00773AC2"/>
    <w:rsid w:val="00773CE4"/>
    <w:rsid w:val="00773DD2"/>
    <w:rsid w:val="00773F36"/>
    <w:rsid w:val="0077446F"/>
    <w:rsid w:val="00774816"/>
    <w:rsid w:val="00774A30"/>
    <w:rsid w:val="00775162"/>
    <w:rsid w:val="0077522F"/>
    <w:rsid w:val="00775A26"/>
    <w:rsid w:val="00775B27"/>
    <w:rsid w:val="00775C20"/>
    <w:rsid w:val="00775F00"/>
    <w:rsid w:val="007761C8"/>
    <w:rsid w:val="00776C24"/>
    <w:rsid w:val="00776D41"/>
    <w:rsid w:val="00776DE6"/>
    <w:rsid w:val="00776E7E"/>
    <w:rsid w:val="007773A4"/>
    <w:rsid w:val="007774BB"/>
    <w:rsid w:val="007775E9"/>
    <w:rsid w:val="0077783C"/>
    <w:rsid w:val="00777B33"/>
    <w:rsid w:val="00780554"/>
    <w:rsid w:val="00780612"/>
    <w:rsid w:val="00780AA6"/>
    <w:rsid w:val="00780B5D"/>
    <w:rsid w:val="00780C9B"/>
    <w:rsid w:val="00780ECA"/>
    <w:rsid w:val="00781032"/>
    <w:rsid w:val="00781040"/>
    <w:rsid w:val="0078111B"/>
    <w:rsid w:val="00781189"/>
    <w:rsid w:val="007811E9"/>
    <w:rsid w:val="007812A6"/>
    <w:rsid w:val="007813B3"/>
    <w:rsid w:val="0078148C"/>
    <w:rsid w:val="0078194E"/>
    <w:rsid w:val="00781DB8"/>
    <w:rsid w:val="0078224B"/>
    <w:rsid w:val="00782464"/>
    <w:rsid w:val="00782700"/>
    <w:rsid w:val="00782A30"/>
    <w:rsid w:val="00783378"/>
    <w:rsid w:val="007833C8"/>
    <w:rsid w:val="00783999"/>
    <w:rsid w:val="00783C27"/>
    <w:rsid w:val="00783C48"/>
    <w:rsid w:val="00783E64"/>
    <w:rsid w:val="00783F01"/>
    <w:rsid w:val="00783F16"/>
    <w:rsid w:val="00783F20"/>
    <w:rsid w:val="00783FB8"/>
    <w:rsid w:val="00783FE2"/>
    <w:rsid w:val="0078437A"/>
    <w:rsid w:val="00784387"/>
    <w:rsid w:val="007843F8"/>
    <w:rsid w:val="007844EE"/>
    <w:rsid w:val="00784521"/>
    <w:rsid w:val="00784698"/>
    <w:rsid w:val="007846F3"/>
    <w:rsid w:val="007847F2"/>
    <w:rsid w:val="00785273"/>
    <w:rsid w:val="00785368"/>
    <w:rsid w:val="0078565C"/>
    <w:rsid w:val="00785D4E"/>
    <w:rsid w:val="00785E31"/>
    <w:rsid w:val="00785E3E"/>
    <w:rsid w:val="0078625C"/>
    <w:rsid w:val="00786539"/>
    <w:rsid w:val="0078677A"/>
    <w:rsid w:val="00786B74"/>
    <w:rsid w:val="00786C02"/>
    <w:rsid w:val="00787230"/>
    <w:rsid w:val="00787241"/>
    <w:rsid w:val="00787551"/>
    <w:rsid w:val="00787A05"/>
    <w:rsid w:val="00787BC7"/>
    <w:rsid w:val="00787CA3"/>
    <w:rsid w:val="00787F27"/>
    <w:rsid w:val="00790126"/>
    <w:rsid w:val="00790178"/>
    <w:rsid w:val="0079021B"/>
    <w:rsid w:val="007902E7"/>
    <w:rsid w:val="007906AC"/>
    <w:rsid w:val="00790C08"/>
    <w:rsid w:val="00790C14"/>
    <w:rsid w:val="00790D7A"/>
    <w:rsid w:val="00790DC4"/>
    <w:rsid w:val="00791148"/>
    <w:rsid w:val="00791166"/>
    <w:rsid w:val="0079143D"/>
    <w:rsid w:val="00791839"/>
    <w:rsid w:val="00791A51"/>
    <w:rsid w:val="00791E84"/>
    <w:rsid w:val="007920C3"/>
    <w:rsid w:val="00792203"/>
    <w:rsid w:val="007924B4"/>
    <w:rsid w:val="00792540"/>
    <w:rsid w:val="007926F7"/>
    <w:rsid w:val="00792A44"/>
    <w:rsid w:val="00792C04"/>
    <w:rsid w:val="00792D52"/>
    <w:rsid w:val="00792D54"/>
    <w:rsid w:val="00792E35"/>
    <w:rsid w:val="00792F62"/>
    <w:rsid w:val="00792FD8"/>
    <w:rsid w:val="00793080"/>
    <w:rsid w:val="0079364D"/>
    <w:rsid w:val="00794184"/>
    <w:rsid w:val="007942E7"/>
    <w:rsid w:val="007946F5"/>
    <w:rsid w:val="00794930"/>
    <w:rsid w:val="0079498E"/>
    <w:rsid w:val="00794F7A"/>
    <w:rsid w:val="007954C2"/>
    <w:rsid w:val="00795600"/>
    <w:rsid w:val="00795C0E"/>
    <w:rsid w:val="00795F6C"/>
    <w:rsid w:val="0079610E"/>
    <w:rsid w:val="00796879"/>
    <w:rsid w:val="007968F2"/>
    <w:rsid w:val="007969E2"/>
    <w:rsid w:val="00796CD2"/>
    <w:rsid w:val="00796D51"/>
    <w:rsid w:val="00796F3B"/>
    <w:rsid w:val="00796FF8"/>
    <w:rsid w:val="00797068"/>
    <w:rsid w:val="00797191"/>
    <w:rsid w:val="007971B4"/>
    <w:rsid w:val="007973FD"/>
    <w:rsid w:val="0079752C"/>
    <w:rsid w:val="00797753"/>
    <w:rsid w:val="00797920"/>
    <w:rsid w:val="007979E5"/>
    <w:rsid w:val="00797D52"/>
    <w:rsid w:val="007A0023"/>
    <w:rsid w:val="007A039F"/>
    <w:rsid w:val="007A0D51"/>
    <w:rsid w:val="007A0F56"/>
    <w:rsid w:val="007A1397"/>
    <w:rsid w:val="007A1408"/>
    <w:rsid w:val="007A1527"/>
    <w:rsid w:val="007A164A"/>
    <w:rsid w:val="007A16AB"/>
    <w:rsid w:val="007A1725"/>
    <w:rsid w:val="007A18F2"/>
    <w:rsid w:val="007A197D"/>
    <w:rsid w:val="007A1CDD"/>
    <w:rsid w:val="007A1E39"/>
    <w:rsid w:val="007A1FB7"/>
    <w:rsid w:val="007A227C"/>
    <w:rsid w:val="007A255F"/>
    <w:rsid w:val="007A275E"/>
    <w:rsid w:val="007A27A6"/>
    <w:rsid w:val="007A2FF9"/>
    <w:rsid w:val="007A366D"/>
    <w:rsid w:val="007A3986"/>
    <w:rsid w:val="007A3C5D"/>
    <w:rsid w:val="007A3C84"/>
    <w:rsid w:val="007A3DE8"/>
    <w:rsid w:val="007A42D0"/>
    <w:rsid w:val="007A48FD"/>
    <w:rsid w:val="007A5113"/>
    <w:rsid w:val="007A5182"/>
    <w:rsid w:val="007A55AD"/>
    <w:rsid w:val="007A5A09"/>
    <w:rsid w:val="007A5B59"/>
    <w:rsid w:val="007A5C9B"/>
    <w:rsid w:val="007A5DB0"/>
    <w:rsid w:val="007A60A3"/>
    <w:rsid w:val="007A60D9"/>
    <w:rsid w:val="007A61AD"/>
    <w:rsid w:val="007A6249"/>
    <w:rsid w:val="007A65F1"/>
    <w:rsid w:val="007A666E"/>
    <w:rsid w:val="007A66B3"/>
    <w:rsid w:val="007A69CD"/>
    <w:rsid w:val="007A6EAD"/>
    <w:rsid w:val="007A71BD"/>
    <w:rsid w:val="007A72B7"/>
    <w:rsid w:val="007A75A8"/>
    <w:rsid w:val="007A75C1"/>
    <w:rsid w:val="007A76C8"/>
    <w:rsid w:val="007A7A26"/>
    <w:rsid w:val="007A7CC4"/>
    <w:rsid w:val="007B00B2"/>
    <w:rsid w:val="007B0227"/>
    <w:rsid w:val="007B058B"/>
    <w:rsid w:val="007B0676"/>
    <w:rsid w:val="007B0A59"/>
    <w:rsid w:val="007B0C6A"/>
    <w:rsid w:val="007B0FB4"/>
    <w:rsid w:val="007B11B9"/>
    <w:rsid w:val="007B133F"/>
    <w:rsid w:val="007B135C"/>
    <w:rsid w:val="007B14B3"/>
    <w:rsid w:val="007B1E42"/>
    <w:rsid w:val="007B1F1C"/>
    <w:rsid w:val="007B26A2"/>
    <w:rsid w:val="007B2A5B"/>
    <w:rsid w:val="007B2B95"/>
    <w:rsid w:val="007B2D40"/>
    <w:rsid w:val="007B2D51"/>
    <w:rsid w:val="007B31B2"/>
    <w:rsid w:val="007B32A6"/>
    <w:rsid w:val="007B35D3"/>
    <w:rsid w:val="007B39EF"/>
    <w:rsid w:val="007B40B0"/>
    <w:rsid w:val="007B4657"/>
    <w:rsid w:val="007B4784"/>
    <w:rsid w:val="007B4A67"/>
    <w:rsid w:val="007B4C86"/>
    <w:rsid w:val="007B4DEB"/>
    <w:rsid w:val="007B50B8"/>
    <w:rsid w:val="007B5684"/>
    <w:rsid w:val="007B576E"/>
    <w:rsid w:val="007B5C52"/>
    <w:rsid w:val="007B5E63"/>
    <w:rsid w:val="007B61AF"/>
    <w:rsid w:val="007B63A7"/>
    <w:rsid w:val="007B640A"/>
    <w:rsid w:val="007B6539"/>
    <w:rsid w:val="007B65BF"/>
    <w:rsid w:val="007B6D12"/>
    <w:rsid w:val="007B6EFC"/>
    <w:rsid w:val="007B6F17"/>
    <w:rsid w:val="007B7300"/>
    <w:rsid w:val="007B7790"/>
    <w:rsid w:val="007B7AD1"/>
    <w:rsid w:val="007B7CCF"/>
    <w:rsid w:val="007B7DF6"/>
    <w:rsid w:val="007B7F7D"/>
    <w:rsid w:val="007C005A"/>
    <w:rsid w:val="007C00B7"/>
    <w:rsid w:val="007C02DC"/>
    <w:rsid w:val="007C0318"/>
    <w:rsid w:val="007C06E9"/>
    <w:rsid w:val="007C09AF"/>
    <w:rsid w:val="007C12B5"/>
    <w:rsid w:val="007C1389"/>
    <w:rsid w:val="007C19B0"/>
    <w:rsid w:val="007C1C60"/>
    <w:rsid w:val="007C1D5F"/>
    <w:rsid w:val="007C1E4E"/>
    <w:rsid w:val="007C210F"/>
    <w:rsid w:val="007C252E"/>
    <w:rsid w:val="007C2570"/>
    <w:rsid w:val="007C2762"/>
    <w:rsid w:val="007C2D4C"/>
    <w:rsid w:val="007C2EC9"/>
    <w:rsid w:val="007C30DA"/>
    <w:rsid w:val="007C31F6"/>
    <w:rsid w:val="007C3407"/>
    <w:rsid w:val="007C343F"/>
    <w:rsid w:val="007C3502"/>
    <w:rsid w:val="007C3A46"/>
    <w:rsid w:val="007C3AEA"/>
    <w:rsid w:val="007C40C4"/>
    <w:rsid w:val="007C41FE"/>
    <w:rsid w:val="007C42A4"/>
    <w:rsid w:val="007C474F"/>
    <w:rsid w:val="007C4B2E"/>
    <w:rsid w:val="007C4C3A"/>
    <w:rsid w:val="007C4E6E"/>
    <w:rsid w:val="007C512A"/>
    <w:rsid w:val="007C53AF"/>
    <w:rsid w:val="007C53E3"/>
    <w:rsid w:val="007C5BEC"/>
    <w:rsid w:val="007C5D62"/>
    <w:rsid w:val="007C5F4E"/>
    <w:rsid w:val="007C6167"/>
    <w:rsid w:val="007C67C2"/>
    <w:rsid w:val="007C67D1"/>
    <w:rsid w:val="007C6BC3"/>
    <w:rsid w:val="007C6CB6"/>
    <w:rsid w:val="007C6D58"/>
    <w:rsid w:val="007C6D82"/>
    <w:rsid w:val="007C6E11"/>
    <w:rsid w:val="007C7028"/>
    <w:rsid w:val="007C74AC"/>
    <w:rsid w:val="007C7810"/>
    <w:rsid w:val="007C78BB"/>
    <w:rsid w:val="007D0AEF"/>
    <w:rsid w:val="007D0D72"/>
    <w:rsid w:val="007D0F0C"/>
    <w:rsid w:val="007D0F76"/>
    <w:rsid w:val="007D0FA0"/>
    <w:rsid w:val="007D105E"/>
    <w:rsid w:val="007D110A"/>
    <w:rsid w:val="007D11DF"/>
    <w:rsid w:val="007D1352"/>
    <w:rsid w:val="007D13F8"/>
    <w:rsid w:val="007D14AB"/>
    <w:rsid w:val="007D1535"/>
    <w:rsid w:val="007D1E32"/>
    <w:rsid w:val="007D2319"/>
    <w:rsid w:val="007D24FB"/>
    <w:rsid w:val="007D2B23"/>
    <w:rsid w:val="007D3050"/>
    <w:rsid w:val="007D30D8"/>
    <w:rsid w:val="007D3192"/>
    <w:rsid w:val="007D3222"/>
    <w:rsid w:val="007D3309"/>
    <w:rsid w:val="007D38F2"/>
    <w:rsid w:val="007D393A"/>
    <w:rsid w:val="007D3D0F"/>
    <w:rsid w:val="007D3FC0"/>
    <w:rsid w:val="007D4389"/>
    <w:rsid w:val="007D4442"/>
    <w:rsid w:val="007D45FC"/>
    <w:rsid w:val="007D4883"/>
    <w:rsid w:val="007D48E1"/>
    <w:rsid w:val="007D48EE"/>
    <w:rsid w:val="007D4BDC"/>
    <w:rsid w:val="007D4D9D"/>
    <w:rsid w:val="007D5208"/>
    <w:rsid w:val="007D5447"/>
    <w:rsid w:val="007D551D"/>
    <w:rsid w:val="007D58FD"/>
    <w:rsid w:val="007D598B"/>
    <w:rsid w:val="007D5D69"/>
    <w:rsid w:val="007D5E8B"/>
    <w:rsid w:val="007D5F01"/>
    <w:rsid w:val="007D609F"/>
    <w:rsid w:val="007D66A6"/>
    <w:rsid w:val="007D6BA6"/>
    <w:rsid w:val="007D6E2B"/>
    <w:rsid w:val="007D7113"/>
    <w:rsid w:val="007D7129"/>
    <w:rsid w:val="007D79B2"/>
    <w:rsid w:val="007D7E54"/>
    <w:rsid w:val="007D7EEC"/>
    <w:rsid w:val="007E001A"/>
    <w:rsid w:val="007E0400"/>
    <w:rsid w:val="007E05EB"/>
    <w:rsid w:val="007E0821"/>
    <w:rsid w:val="007E095D"/>
    <w:rsid w:val="007E0B89"/>
    <w:rsid w:val="007E0EA0"/>
    <w:rsid w:val="007E11A3"/>
    <w:rsid w:val="007E1605"/>
    <w:rsid w:val="007E176E"/>
    <w:rsid w:val="007E18E5"/>
    <w:rsid w:val="007E1B5D"/>
    <w:rsid w:val="007E1FE4"/>
    <w:rsid w:val="007E24BD"/>
    <w:rsid w:val="007E324E"/>
    <w:rsid w:val="007E361E"/>
    <w:rsid w:val="007E373A"/>
    <w:rsid w:val="007E3979"/>
    <w:rsid w:val="007E3FFA"/>
    <w:rsid w:val="007E46BF"/>
    <w:rsid w:val="007E484C"/>
    <w:rsid w:val="007E4AC2"/>
    <w:rsid w:val="007E4B05"/>
    <w:rsid w:val="007E4B8B"/>
    <w:rsid w:val="007E4BCC"/>
    <w:rsid w:val="007E5146"/>
    <w:rsid w:val="007E514E"/>
    <w:rsid w:val="007E51C0"/>
    <w:rsid w:val="007E51C4"/>
    <w:rsid w:val="007E59AD"/>
    <w:rsid w:val="007E5D82"/>
    <w:rsid w:val="007E5E3F"/>
    <w:rsid w:val="007E5FC0"/>
    <w:rsid w:val="007E62CA"/>
    <w:rsid w:val="007E65E2"/>
    <w:rsid w:val="007E65FE"/>
    <w:rsid w:val="007E6978"/>
    <w:rsid w:val="007E6CF0"/>
    <w:rsid w:val="007E6EB1"/>
    <w:rsid w:val="007E6F71"/>
    <w:rsid w:val="007E70DF"/>
    <w:rsid w:val="007E71F4"/>
    <w:rsid w:val="007E740C"/>
    <w:rsid w:val="007E762F"/>
    <w:rsid w:val="007E77F7"/>
    <w:rsid w:val="007E7CB9"/>
    <w:rsid w:val="007F0206"/>
    <w:rsid w:val="007F036D"/>
    <w:rsid w:val="007F03B6"/>
    <w:rsid w:val="007F0410"/>
    <w:rsid w:val="007F0938"/>
    <w:rsid w:val="007F09FA"/>
    <w:rsid w:val="007F0E7D"/>
    <w:rsid w:val="007F0F95"/>
    <w:rsid w:val="007F136D"/>
    <w:rsid w:val="007F1566"/>
    <w:rsid w:val="007F16B6"/>
    <w:rsid w:val="007F1728"/>
    <w:rsid w:val="007F1809"/>
    <w:rsid w:val="007F1CF0"/>
    <w:rsid w:val="007F1E1E"/>
    <w:rsid w:val="007F210A"/>
    <w:rsid w:val="007F23D0"/>
    <w:rsid w:val="007F24E8"/>
    <w:rsid w:val="007F2515"/>
    <w:rsid w:val="007F259E"/>
    <w:rsid w:val="007F274E"/>
    <w:rsid w:val="007F275D"/>
    <w:rsid w:val="007F2DF2"/>
    <w:rsid w:val="007F3535"/>
    <w:rsid w:val="007F3569"/>
    <w:rsid w:val="007F375E"/>
    <w:rsid w:val="007F3794"/>
    <w:rsid w:val="007F3985"/>
    <w:rsid w:val="007F39CE"/>
    <w:rsid w:val="007F3C52"/>
    <w:rsid w:val="007F4332"/>
    <w:rsid w:val="007F47C9"/>
    <w:rsid w:val="007F4D52"/>
    <w:rsid w:val="007F4E61"/>
    <w:rsid w:val="007F5152"/>
    <w:rsid w:val="007F5314"/>
    <w:rsid w:val="007F5449"/>
    <w:rsid w:val="007F56C6"/>
    <w:rsid w:val="007F5A60"/>
    <w:rsid w:val="007F5CC1"/>
    <w:rsid w:val="007F5EC6"/>
    <w:rsid w:val="007F5FB1"/>
    <w:rsid w:val="007F64A8"/>
    <w:rsid w:val="007F6513"/>
    <w:rsid w:val="007F6A36"/>
    <w:rsid w:val="007F752F"/>
    <w:rsid w:val="007F7B91"/>
    <w:rsid w:val="007F7C63"/>
    <w:rsid w:val="007F7CB9"/>
    <w:rsid w:val="007F7DAC"/>
    <w:rsid w:val="00800008"/>
    <w:rsid w:val="0080009F"/>
    <w:rsid w:val="00800337"/>
    <w:rsid w:val="00800E12"/>
    <w:rsid w:val="00801203"/>
    <w:rsid w:val="00801656"/>
    <w:rsid w:val="00801975"/>
    <w:rsid w:val="00801BA5"/>
    <w:rsid w:val="00801D6F"/>
    <w:rsid w:val="00802112"/>
    <w:rsid w:val="00802280"/>
    <w:rsid w:val="00802977"/>
    <w:rsid w:val="00802B7A"/>
    <w:rsid w:val="00802D94"/>
    <w:rsid w:val="00802F70"/>
    <w:rsid w:val="0080316E"/>
    <w:rsid w:val="0080343C"/>
    <w:rsid w:val="008035B4"/>
    <w:rsid w:val="0080368B"/>
    <w:rsid w:val="00803785"/>
    <w:rsid w:val="00803894"/>
    <w:rsid w:val="00803956"/>
    <w:rsid w:val="008039C7"/>
    <w:rsid w:val="00803CD8"/>
    <w:rsid w:val="008040A8"/>
    <w:rsid w:val="0080423B"/>
    <w:rsid w:val="008042AD"/>
    <w:rsid w:val="00804389"/>
    <w:rsid w:val="008043F1"/>
    <w:rsid w:val="008046EC"/>
    <w:rsid w:val="00804AD7"/>
    <w:rsid w:val="00804FF0"/>
    <w:rsid w:val="00805390"/>
    <w:rsid w:val="008054BD"/>
    <w:rsid w:val="008055AD"/>
    <w:rsid w:val="00805AFC"/>
    <w:rsid w:val="00805B29"/>
    <w:rsid w:val="00805CD2"/>
    <w:rsid w:val="00805DD6"/>
    <w:rsid w:val="00806001"/>
    <w:rsid w:val="008062F7"/>
    <w:rsid w:val="008067EF"/>
    <w:rsid w:val="008069EE"/>
    <w:rsid w:val="00806A8F"/>
    <w:rsid w:val="00806B9C"/>
    <w:rsid w:val="00806CF3"/>
    <w:rsid w:val="00806F5A"/>
    <w:rsid w:val="00806F70"/>
    <w:rsid w:val="008075C5"/>
    <w:rsid w:val="008077EF"/>
    <w:rsid w:val="00807952"/>
    <w:rsid w:val="008079A3"/>
    <w:rsid w:val="00807BB8"/>
    <w:rsid w:val="00807D75"/>
    <w:rsid w:val="00807F17"/>
    <w:rsid w:val="00807F46"/>
    <w:rsid w:val="008100D6"/>
    <w:rsid w:val="00810811"/>
    <w:rsid w:val="00810858"/>
    <w:rsid w:val="00810949"/>
    <w:rsid w:val="00810CB6"/>
    <w:rsid w:val="00810EA9"/>
    <w:rsid w:val="00810F96"/>
    <w:rsid w:val="00810FA3"/>
    <w:rsid w:val="008112C7"/>
    <w:rsid w:val="0081186F"/>
    <w:rsid w:val="00811972"/>
    <w:rsid w:val="00811C2C"/>
    <w:rsid w:val="00811C36"/>
    <w:rsid w:val="00812385"/>
    <w:rsid w:val="00812565"/>
    <w:rsid w:val="00812681"/>
    <w:rsid w:val="0081268A"/>
    <w:rsid w:val="008129F9"/>
    <w:rsid w:val="0081308B"/>
    <w:rsid w:val="00813167"/>
    <w:rsid w:val="008132DA"/>
    <w:rsid w:val="0081368D"/>
    <w:rsid w:val="008136D7"/>
    <w:rsid w:val="008137A1"/>
    <w:rsid w:val="00813B3E"/>
    <w:rsid w:val="00813FA5"/>
    <w:rsid w:val="00813FAB"/>
    <w:rsid w:val="0081423B"/>
    <w:rsid w:val="008142A8"/>
    <w:rsid w:val="008143F9"/>
    <w:rsid w:val="00814679"/>
    <w:rsid w:val="00814748"/>
    <w:rsid w:val="0081496A"/>
    <w:rsid w:val="00814B40"/>
    <w:rsid w:val="00814C0C"/>
    <w:rsid w:val="00814F45"/>
    <w:rsid w:val="008150DC"/>
    <w:rsid w:val="008151F5"/>
    <w:rsid w:val="008153AD"/>
    <w:rsid w:val="008154E7"/>
    <w:rsid w:val="00815633"/>
    <w:rsid w:val="00815C8A"/>
    <w:rsid w:val="00815D4D"/>
    <w:rsid w:val="00816102"/>
    <w:rsid w:val="008161A7"/>
    <w:rsid w:val="00816641"/>
    <w:rsid w:val="0081678E"/>
    <w:rsid w:val="0081692B"/>
    <w:rsid w:val="00816A25"/>
    <w:rsid w:val="00816AF0"/>
    <w:rsid w:val="00816B6F"/>
    <w:rsid w:val="00816C9B"/>
    <w:rsid w:val="00816CB2"/>
    <w:rsid w:val="00816DD1"/>
    <w:rsid w:val="00816E83"/>
    <w:rsid w:val="0081701F"/>
    <w:rsid w:val="008170A8"/>
    <w:rsid w:val="00817106"/>
    <w:rsid w:val="0081720E"/>
    <w:rsid w:val="0081762C"/>
    <w:rsid w:val="00817859"/>
    <w:rsid w:val="0081785D"/>
    <w:rsid w:val="00817D5B"/>
    <w:rsid w:val="00817FA3"/>
    <w:rsid w:val="00820005"/>
    <w:rsid w:val="0082022D"/>
    <w:rsid w:val="0082032A"/>
    <w:rsid w:val="00820525"/>
    <w:rsid w:val="008206C5"/>
    <w:rsid w:val="00820C35"/>
    <w:rsid w:val="0082104D"/>
    <w:rsid w:val="0082118B"/>
    <w:rsid w:val="0082133F"/>
    <w:rsid w:val="008213F7"/>
    <w:rsid w:val="0082178B"/>
    <w:rsid w:val="00821931"/>
    <w:rsid w:val="00821982"/>
    <w:rsid w:val="00821A50"/>
    <w:rsid w:val="00821B80"/>
    <w:rsid w:val="00821C3C"/>
    <w:rsid w:val="00821D09"/>
    <w:rsid w:val="00822242"/>
    <w:rsid w:val="008223E1"/>
    <w:rsid w:val="0082266D"/>
    <w:rsid w:val="008228DB"/>
    <w:rsid w:val="00822C18"/>
    <w:rsid w:val="00822F4D"/>
    <w:rsid w:val="008231ED"/>
    <w:rsid w:val="00823343"/>
    <w:rsid w:val="00823D40"/>
    <w:rsid w:val="00823E7C"/>
    <w:rsid w:val="00823EB7"/>
    <w:rsid w:val="008240B4"/>
    <w:rsid w:val="008240B5"/>
    <w:rsid w:val="0082412A"/>
    <w:rsid w:val="00824133"/>
    <w:rsid w:val="0082436F"/>
    <w:rsid w:val="0082464E"/>
    <w:rsid w:val="008246A8"/>
    <w:rsid w:val="00824B03"/>
    <w:rsid w:val="00824B2E"/>
    <w:rsid w:val="00824B3F"/>
    <w:rsid w:val="00824B53"/>
    <w:rsid w:val="00824C50"/>
    <w:rsid w:val="00824E59"/>
    <w:rsid w:val="00824E67"/>
    <w:rsid w:val="00824EBE"/>
    <w:rsid w:val="0082551D"/>
    <w:rsid w:val="008255A3"/>
    <w:rsid w:val="00825A1C"/>
    <w:rsid w:val="00825DCA"/>
    <w:rsid w:val="00825E36"/>
    <w:rsid w:val="00825E46"/>
    <w:rsid w:val="00825EC5"/>
    <w:rsid w:val="00826177"/>
    <w:rsid w:val="00826486"/>
    <w:rsid w:val="0082660C"/>
    <w:rsid w:val="0082660D"/>
    <w:rsid w:val="008269F4"/>
    <w:rsid w:val="00826E32"/>
    <w:rsid w:val="00827043"/>
    <w:rsid w:val="0082707B"/>
    <w:rsid w:val="0082731E"/>
    <w:rsid w:val="00827740"/>
    <w:rsid w:val="00827A04"/>
    <w:rsid w:val="00827C26"/>
    <w:rsid w:val="00830170"/>
    <w:rsid w:val="00830285"/>
    <w:rsid w:val="008303A2"/>
    <w:rsid w:val="00830764"/>
    <w:rsid w:val="00830924"/>
    <w:rsid w:val="00830C67"/>
    <w:rsid w:val="00830D79"/>
    <w:rsid w:val="00830DF1"/>
    <w:rsid w:val="00831117"/>
    <w:rsid w:val="00831177"/>
    <w:rsid w:val="00831838"/>
    <w:rsid w:val="00831E63"/>
    <w:rsid w:val="00831F7F"/>
    <w:rsid w:val="00832285"/>
    <w:rsid w:val="008323C3"/>
    <w:rsid w:val="00832DF1"/>
    <w:rsid w:val="00832F30"/>
    <w:rsid w:val="00832FD0"/>
    <w:rsid w:val="0083340F"/>
    <w:rsid w:val="00833470"/>
    <w:rsid w:val="00833D5F"/>
    <w:rsid w:val="00833F69"/>
    <w:rsid w:val="00833FE9"/>
    <w:rsid w:val="0083400D"/>
    <w:rsid w:val="008340B7"/>
    <w:rsid w:val="00834105"/>
    <w:rsid w:val="0083416D"/>
    <w:rsid w:val="008341CC"/>
    <w:rsid w:val="00834222"/>
    <w:rsid w:val="00834230"/>
    <w:rsid w:val="008348B4"/>
    <w:rsid w:val="00834DB7"/>
    <w:rsid w:val="00834E26"/>
    <w:rsid w:val="00834E8E"/>
    <w:rsid w:val="00834F16"/>
    <w:rsid w:val="00835201"/>
    <w:rsid w:val="008354FD"/>
    <w:rsid w:val="0083566D"/>
    <w:rsid w:val="008357F6"/>
    <w:rsid w:val="00835832"/>
    <w:rsid w:val="00835C42"/>
    <w:rsid w:val="00836742"/>
    <w:rsid w:val="00836A60"/>
    <w:rsid w:val="00836CAD"/>
    <w:rsid w:val="00836DE2"/>
    <w:rsid w:val="00836E45"/>
    <w:rsid w:val="008370CB"/>
    <w:rsid w:val="008370DE"/>
    <w:rsid w:val="00837294"/>
    <w:rsid w:val="00837646"/>
    <w:rsid w:val="00837765"/>
    <w:rsid w:val="0083783C"/>
    <w:rsid w:val="00837B66"/>
    <w:rsid w:val="00837BBE"/>
    <w:rsid w:val="00837E5C"/>
    <w:rsid w:val="00837F3A"/>
    <w:rsid w:val="008401F9"/>
    <w:rsid w:val="008402E8"/>
    <w:rsid w:val="00840468"/>
    <w:rsid w:val="0084073E"/>
    <w:rsid w:val="0084079C"/>
    <w:rsid w:val="00840871"/>
    <w:rsid w:val="00840D4B"/>
    <w:rsid w:val="00840E91"/>
    <w:rsid w:val="00840ED5"/>
    <w:rsid w:val="00841204"/>
    <w:rsid w:val="008412B3"/>
    <w:rsid w:val="00841511"/>
    <w:rsid w:val="00841631"/>
    <w:rsid w:val="00841764"/>
    <w:rsid w:val="008419D5"/>
    <w:rsid w:val="00841DD4"/>
    <w:rsid w:val="00841F4F"/>
    <w:rsid w:val="00842400"/>
    <w:rsid w:val="00842409"/>
    <w:rsid w:val="0084241D"/>
    <w:rsid w:val="00842808"/>
    <w:rsid w:val="00842AC6"/>
    <w:rsid w:val="00842F4B"/>
    <w:rsid w:val="00843541"/>
    <w:rsid w:val="00843D58"/>
    <w:rsid w:val="00843FE2"/>
    <w:rsid w:val="0084404B"/>
    <w:rsid w:val="008440D2"/>
    <w:rsid w:val="008441B5"/>
    <w:rsid w:val="00844268"/>
    <w:rsid w:val="008442B6"/>
    <w:rsid w:val="008442EA"/>
    <w:rsid w:val="00844634"/>
    <w:rsid w:val="00844AE0"/>
    <w:rsid w:val="00844DA1"/>
    <w:rsid w:val="00844E62"/>
    <w:rsid w:val="008452B1"/>
    <w:rsid w:val="00845445"/>
    <w:rsid w:val="008454ED"/>
    <w:rsid w:val="00845542"/>
    <w:rsid w:val="00845A4C"/>
    <w:rsid w:val="00845D0B"/>
    <w:rsid w:val="00846141"/>
    <w:rsid w:val="00846224"/>
    <w:rsid w:val="008467C0"/>
    <w:rsid w:val="00846A08"/>
    <w:rsid w:val="00847054"/>
    <w:rsid w:val="0084741E"/>
    <w:rsid w:val="008474B4"/>
    <w:rsid w:val="00847B90"/>
    <w:rsid w:val="00847ED7"/>
    <w:rsid w:val="00847EE3"/>
    <w:rsid w:val="00847F4B"/>
    <w:rsid w:val="00850268"/>
    <w:rsid w:val="00850288"/>
    <w:rsid w:val="008502E9"/>
    <w:rsid w:val="008504BA"/>
    <w:rsid w:val="00850705"/>
    <w:rsid w:val="00850710"/>
    <w:rsid w:val="008507F1"/>
    <w:rsid w:val="008508CB"/>
    <w:rsid w:val="00850920"/>
    <w:rsid w:val="00850B72"/>
    <w:rsid w:val="00850F3A"/>
    <w:rsid w:val="008511A6"/>
    <w:rsid w:val="008517A5"/>
    <w:rsid w:val="0085187F"/>
    <w:rsid w:val="0085190E"/>
    <w:rsid w:val="00851ADD"/>
    <w:rsid w:val="00851EF2"/>
    <w:rsid w:val="00851F91"/>
    <w:rsid w:val="008520CE"/>
    <w:rsid w:val="008523F1"/>
    <w:rsid w:val="00852537"/>
    <w:rsid w:val="00852796"/>
    <w:rsid w:val="00852960"/>
    <w:rsid w:val="008529B2"/>
    <w:rsid w:val="00852A6C"/>
    <w:rsid w:val="00852EB4"/>
    <w:rsid w:val="00852EFB"/>
    <w:rsid w:val="00853179"/>
    <w:rsid w:val="008531F2"/>
    <w:rsid w:val="00853413"/>
    <w:rsid w:val="0085355A"/>
    <w:rsid w:val="00853834"/>
    <w:rsid w:val="00853B75"/>
    <w:rsid w:val="00853E61"/>
    <w:rsid w:val="00853FFD"/>
    <w:rsid w:val="008542DF"/>
    <w:rsid w:val="00854317"/>
    <w:rsid w:val="00854394"/>
    <w:rsid w:val="0085445C"/>
    <w:rsid w:val="00854AD6"/>
    <w:rsid w:val="00854C4C"/>
    <w:rsid w:val="00854D1D"/>
    <w:rsid w:val="00854D72"/>
    <w:rsid w:val="00854E0A"/>
    <w:rsid w:val="0085503E"/>
    <w:rsid w:val="00855241"/>
    <w:rsid w:val="00855343"/>
    <w:rsid w:val="0085539F"/>
    <w:rsid w:val="0085598C"/>
    <w:rsid w:val="00855A49"/>
    <w:rsid w:val="00855B5B"/>
    <w:rsid w:val="00855B5E"/>
    <w:rsid w:val="00855BBA"/>
    <w:rsid w:val="00855CB4"/>
    <w:rsid w:val="00855DAC"/>
    <w:rsid w:val="00856202"/>
    <w:rsid w:val="008563E7"/>
    <w:rsid w:val="00856474"/>
    <w:rsid w:val="008564B2"/>
    <w:rsid w:val="00856984"/>
    <w:rsid w:val="00856E96"/>
    <w:rsid w:val="00856F41"/>
    <w:rsid w:val="00857052"/>
    <w:rsid w:val="008570D5"/>
    <w:rsid w:val="00857546"/>
    <w:rsid w:val="00857667"/>
    <w:rsid w:val="00857F1E"/>
    <w:rsid w:val="00860252"/>
    <w:rsid w:val="0086051E"/>
    <w:rsid w:val="008605C5"/>
    <w:rsid w:val="0086074E"/>
    <w:rsid w:val="00860BE7"/>
    <w:rsid w:val="00860E47"/>
    <w:rsid w:val="00861253"/>
    <w:rsid w:val="008612DA"/>
    <w:rsid w:val="008614BA"/>
    <w:rsid w:val="0086156A"/>
    <w:rsid w:val="00861877"/>
    <w:rsid w:val="00861902"/>
    <w:rsid w:val="00861B7E"/>
    <w:rsid w:val="00861D59"/>
    <w:rsid w:val="00861D5B"/>
    <w:rsid w:val="00861DE5"/>
    <w:rsid w:val="00861DEC"/>
    <w:rsid w:val="00862062"/>
    <w:rsid w:val="00862081"/>
    <w:rsid w:val="008622BF"/>
    <w:rsid w:val="0086230F"/>
    <w:rsid w:val="00862353"/>
    <w:rsid w:val="008626C9"/>
    <w:rsid w:val="008626E2"/>
    <w:rsid w:val="008630A7"/>
    <w:rsid w:val="00863603"/>
    <w:rsid w:val="00863639"/>
    <w:rsid w:val="008637A3"/>
    <w:rsid w:val="008639CE"/>
    <w:rsid w:val="008639CF"/>
    <w:rsid w:val="00863A05"/>
    <w:rsid w:val="00863CF5"/>
    <w:rsid w:val="00863FBB"/>
    <w:rsid w:val="00864326"/>
    <w:rsid w:val="0086479C"/>
    <w:rsid w:val="00864ABC"/>
    <w:rsid w:val="0086501B"/>
    <w:rsid w:val="00865020"/>
    <w:rsid w:val="0086544C"/>
    <w:rsid w:val="00865A29"/>
    <w:rsid w:val="00865C6A"/>
    <w:rsid w:val="00865C85"/>
    <w:rsid w:val="00866078"/>
    <w:rsid w:val="008662EE"/>
    <w:rsid w:val="0086645A"/>
    <w:rsid w:val="00866684"/>
    <w:rsid w:val="00866885"/>
    <w:rsid w:val="00866BA6"/>
    <w:rsid w:val="00866BDD"/>
    <w:rsid w:val="00866C86"/>
    <w:rsid w:val="00867400"/>
    <w:rsid w:val="0086751D"/>
    <w:rsid w:val="00867A9D"/>
    <w:rsid w:val="00867C8D"/>
    <w:rsid w:val="00870085"/>
    <w:rsid w:val="0087012D"/>
    <w:rsid w:val="0087019A"/>
    <w:rsid w:val="00870A72"/>
    <w:rsid w:val="00870D4D"/>
    <w:rsid w:val="00870E99"/>
    <w:rsid w:val="00871253"/>
    <w:rsid w:val="008712EC"/>
    <w:rsid w:val="0087177B"/>
    <w:rsid w:val="008717BD"/>
    <w:rsid w:val="008719A9"/>
    <w:rsid w:val="00871AFE"/>
    <w:rsid w:val="00871DB1"/>
    <w:rsid w:val="008725D5"/>
    <w:rsid w:val="00872A48"/>
    <w:rsid w:val="00872A66"/>
    <w:rsid w:val="00872C19"/>
    <w:rsid w:val="00872E3A"/>
    <w:rsid w:val="008732AC"/>
    <w:rsid w:val="00873374"/>
    <w:rsid w:val="00873580"/>
    <w:rsid w:val="00873B1F"/>
    <w:rsid w:val="00873BAF"/>
    <w:rsid w:val="00873CC5"/>
    <w:rsid w:val="00873D3D"/>
    <w:rsid w:val="00874059"/>
    <w:rsid w:val="0087426B"/>
    <w:rsid w:val="00874421"/>
    <w:rsid w:val="008749AE"/>
    <w:rsid w:val="00874D3E"/>
    <w:rsid w:val="00874E0A"/>
    <w:rsid w:val="00874FE8"/>
    <w:rsid w:val="00875041"/>
    <w:rsid w:val="0087519D"/>
    <w:rsid w:val="00875310"/>
    <w:rsid w:val="00875323"/>
    <w:rsid w:val="008753AB"/>
    <w:rsid w:val="008753FA"/>
    <w:rsid w:val="008754D5"/>
    <w:rsid w:val="00875785"/>
    <w:rsid w:val="00875D44"/>
    <w:rsid w:val="00875E93"/>
    <w:rsid w:val="00875EE0"/>
    <w:rsid w:val="008761B8"/>
    <w:rsid w:val="008762DF"/>
    <w:rsid w:val="008765CA"/>
    <w:rsid w:val="00876A29"/>
    <w:rsid w:val="00876CA3"/>
    <w:rsid w:val="00876CD7"/>
    <w:rsid w:val="008773CA"/>
    <w:rsid w:val="008774B8"/>
    <w:rsid w:val="008779DD"/>
    <w:rsid w:val="00877B71"/>
    <w:rsid w:val="00877CA8"/>
    <w:rsid w:val="00877EF1"/>
    <w:rsid w:val="00880108"/>
    <w:rsid w:val="00880174"/>
    <w:rsid w:val="008809A2"/>
    <w:rsid w:val="008810DD"/>
    <w:rsid w:val="008812B8"/>
    <w:rsid w:val="00881366"/>
    <w:rsid w:val="0088160F"/>
    <w:rsid w:val="00881978"/>
    <w:rsid w:val="00881BA6"/>
    <w:rsid w:val="00881BE5"/>
    <w:rsid w:val="0088208B"/>
    <w:rsid w:val="0088221C"/>
    <w:rsid w:val="008827EB"/>
    <w:rsid w:val="00882B11"/>
    <w:rsid w:val="00882C5C"/>
    <w:rsid w:val="00882C65"/>
    <w:rsid w:val="00883182"/>
    <w:rsid w:val="00883696"/>
    <w:rsid w:val="008836A3"/>
    <w:rsid w:val="0088389D"/>
    <w:rsid w:val="00883A80"/>
    <w:rsid w:val="00883BF6"/>
    <w:rsid w:val="00883DE3"/>
    <w:rsid w:val="00883E47"/>
    <w:rsid w:val="00884089"/>
    <w:rsid w:val="0088436B"/>
    <w:rsid w:val="008844CB"/>
    <w:rsid w:val="008845B7"/>
    <w:rsid w:val="00884637"/>
    <w:rsid w:val="0088472C"/>
    <w:rsid w:val="008849E7"/>
    <w:rsid w:val="00884C5B"/>
    <w:rsid w:val="00884C77"/>
    <w:rsid w:val="00884CA5"/>
    <w:rsid w:val="00884FEA"/>
    <w:rsid w:val="0088509C"/>
    <w:rsid w:val="008851F9"/>
    <w:rsid w:val="00885549"/>
    <w:rsid w:val="0088582A"/>
    <w:rsid w:val="00885D86"/>
    <w:rsid w:val="008867C7"/>
    <w:rsid w:val="00886AFB"/>
    <w:rsid w:val="00886B9B"/>
    <w:rsid w:val="00886E92"/>
    <w:rsid w:val="0088707C"/>
    <w:rsid w:val="008872E7"/>
    <w:rsid w:val="00887491"/>
    <w:rsid w:val="00887528"/>
    <w:rsid w:val="00887A6F"/>
    <w:rsid w:val="00887EAA"/>
    <w:rsid w:val="00890131"/>
    <w:rsid w:val="0089014A"/>
    <w:rsid w:val="00890675"/>
    <w:rsid w:val="008909DF"/>
    <w:rsid w:val="00890F85"/>
    <w:rsid w:val="00890FB2"/>
    <w:rsid w:val="0089112E"/>
    <w:rsid w:val="00891826"/>
    <w:rsid w:val="0089195E"/>
    <w:rsid w:val="008919F2"/>
    <w:rsid w:val="00891C53"/>
    <w:rsid w:val="00891CD7"/>
    <w:rsid w:val="00891F78"/>
    <w:rsid w:val="0089202B"/>
    <w:rsid w:val="008920D7"/>
    <w:rsid w:val="0089240D"/>
    <w:rsid w:val="00892573"/>
    <w:rsid w:val="0089261F"/>
    <w:rsid w:val="008926A8"/>
    <w:rsid w:val="0089294B"/>
    <w:rsid w:val="00892A9A"/>
    <w:rsid w:val="00892BA1"/>
    <w:rsid w:val="00892BBA"/>
    <w:rsid w:val="00892C64"/>
    <w:rsid w:val="00892F88"/>
    <w:rsid w:val="0089329F"/>
    <w:rsid w:val="008933EB"/>
    <w:rsid w:val="0089347E"/>
    <w:rsid w:val="008934D9"/>
    <w:rsid w:val="008936A1"/>
    <w:rsid w:val="00893803"/>
    <w:rsid w:val="008938F9"/>
    <w:rsid w:val="00893AED"/>
    <w:rsid w:val="00893CEA"/>
    <w:rsid w:val="00893DE2"/>
    <w:rsid w:val="00893F50"/>
    <w:rsid w:val="008941D3"/>
    <w:rsid w:val="00894229"/>
    <w:rsid w:val="008942E5"/>
    <w:rsid w:val="0089451B"/>
    <w:rsid w:val="008945DE"/>
    <w:rsid w:val="0089562A"/>
    <w:rsid w:val="0089662C"/>
    <w:rsid w:val="0089667D"/>
    <w:rsid w:val="0089698B"/>
    <w:rsid w:val="00896ADD"/>
    <w:rsid w:val="0089768F"/>
    <w:rsid w:val="00897D69"/>
    <w:rsid w:val="00897E41"/>
    <w:rsid w:val="008A027A"/>
    <w:rsid w:val="008A04A3"/>
    <w:rsid w:val="008A065C"/>
    <w:rsid w:val="008A068C"/>
    <w:rsid w:val="008A06BE"/>
    <w:rsid w:val="008A09E1"/>
    <w:rsid w:val="008A09FF"/>
    <w:rsid w:val="008A0A86"/>
    <w:rsid w:val="008A0CD0"/>
    <w:rsid w:val="008A0D43"/>
    <w:rsid w:val="008A0ECF"/>
    <w:rsid w:val="008A0F79"/>
    <w:rsid w:val="008A12E9"/>
    <w:rsid w:val="008A16F6"/>
    <w:rsid w:val="008A17EE"/>
    <w:rsid w:val="008A1A17"/>
    <w:rsid w:val="008A1A84"/>
    <w:rsid w:val="008A239A"/>
    <w:rsid w:val="008A256E"/>
    <w:rsid w:val="008A2593"/>
    <w:rsid w:val="008A283C"/>
    <w:rsid w:val="008A2AE3"/>
    <w:rsid w:val="008A2B0A"/>
    <w:rsid w:val="008A2DAD"/>
    <w:rsid w:val="008A2FAC"/>
    <w:rsid w:val="008A30BD"/>
    <w:rsid w:val="008A3B13"/>
    <w:rsid w:val="008A3C83"/>
    <w:rsid w:val="008A3FBA"/>
    <w:rsid w:val="008A4099"/>
    <w:rsid w:val="008A418D"/>
    <w:rsid w:val="008A44DD"/>
    <w:rsid w:val="008A4700"/>
    <w:rsid w:val="008A4732"/>
    <w:rsid w:val="008A4953"/>
    <w:rsid w:val="008A4A9B"/>
    <w:rsid w:val="008A4CDC"/>
    <w:rsid w:val="008A5379"/>
    <w:rsid w:val="008A53E1"/>
    <w:rsid w:val="008A5B53"/>
    <w:rsid w:val="008A5C86"/>
    <w:rsid w:val="008A5C8F"/>
    <w:rsid w:val="008A624C"/>
    <w:rsid w:val="008A646B"/>
    <w:rsid w:val="008A653A"/>
    <w:rsid w:val="008A6633"/>
    <w:rsid w:val="008A69F1"/>
    <w:rsid w:val="008A6DF1"/>
    <w:rsid w:val="008A6E70"/>
    <w:rsid w:val="008A6EA0"/>
    <w:rsid w:val="008A6F68"/>
    <w:rsid w:val="008A71A6"/>
    <w:rsid w:val="008A74F9"/>
    <w:rsid w:val="008A762E"/>
    <w:rsid w:val="008A770B"/>
    <w:rsid w:val="008A7A6D"/>
    <w:rsid w:val="008B00A2"/>
    <w:rsid w:val="008B0361"/>
    <w:rsid w:val="008B05DE"/>
    <w:rsid w:val="008B0851"/>
    <w:rsid w:val="008B0903"/>
    <w:rsid w:val="008B0942"/>
    <w:rsid w:val="008B0E16"/>
    <w:rsid w:val="008B12C2"/>
    <w:rsid w:val="008B1532"/>
    <w:rsid w:val="008B1603"/>
    <w:rsid w:val="008B1AF8"/>
    <w:rsid w:val="008B1BF7"/>
    <w:rsid w:val="008B1D7F"/>
    <w:rsid w:val="008B1E74"/>
    <w:rsid w:val="008B2536"/>
    <w:rsid w:val="008B2B51"/>
    <w:rsid w:val="008B2E2F"/>
    <w:rsid w:val="008B3324"/>
    <w:rsid w:val="008B33C9"/>
    <w:rsid w:val="008B3667"/>
    <w:rsid w:val="008B3C21"/>
    <w:rsid w:val="008B3D4F"/>
    <w:rsid w:val="008B3D52"/>
    <w:rsid w:val="008B41E0"/>
    <w:rsid w:val="008B42A7"/>
    <w:rsid w:val="008B447A"/>
    <w:rsid w:val="008B4B89"/>
    <w:rsid w:val="008B4BF3"/>
    <w:rsid w:val="008B4C0C"/>
    <w:rsid w:val="008B4D2B"/>
    <w:rsid w:val="008B51F0"/>
    <w:rsid w:val="008B53D1"/>
    <w:rsid w:val="008B5457"/>
    <w:rsid w:val="008B56F8"/>
    <w:rsid w:val="008B588A"/>
    <w:rsid w:val="008B5C7C"/>
    <w:rsid w:val="008B6525"/>
    <w:rsid w:val="008B66DA"/>
    <w:rsid w:val="008B67A6"/>
    <w:rsid w:val="008B694B"/>
    <w:rsid w:val="008B69E8"/>
    <w:rsid w:val="008B6AEC"/>
    <w:rsid w:val="008B6BF6"/>
    <w:rsid w:val="008B6CB1"/>
    <w:rsid w:val="008B7077"/>
    <w:rsid w:val="008B70F6"/>
    <w:rsid w:val="008B7176"/>
    <w:rsid w:val="008B755C"/>
    <w:rsid w:val="008B77D9"/>
    <w:rsid w:val="008B77DB"/>
    <w:rsid w:val="008B7B17"/>
    <w:rsid w:val="008B7C22"/>
    <w:rsid w:val="008B7C97"/>
    <w:rsid w:val="008C00C7"/>
    <w:rsid w:val="008C019A"/>
    <w:rsid w:val="008C02BD"/>
    <w:rsid w:val="008C0BAA"/>
    <w:rsid w:val="008C0D30"/>
    <w:rsid w:val="008C0E4E"/>
    <w:rsid w:val="008C1013"/>
    <w:rsid w:val="008C1093"/>
    <w:rsid w:val="008C11D9"/>
    <w:rsid w:val="008C12C6"/>
    <w:rsid w:val="008C1338"/>
    <w:rsid w:val="008C14E5"/>
    <w:rsid w:val="008C19B9"/>
    <w:rsid w:val="008C1C30"/>
    <w:rsid w:val="008C20AF"/>
    <w:rsid w:val="008C21C8"/>
    <w:rsid w:val="008C27FD"/>
    <w:rsid w:val="008C2FAA"/>
    <w:rsid w:val="008C3210"/>
    <w:rsid w:val="008C35B8"/>
    <w:rsid w:val="008C360B"/>
    <w:rsid w:val="008C37B2"/>
    <w:rsid w:val="008C38E8"/>
    <w:rsid w:val="008C391B"/>
    <w:rsid w:val="008C39CF"/>
    <w:rsid w:val="008C40B5"/>
    <w:rsid w:val="008C412B"/>
    <w:rsid w:val="008C49D2"/>
    <w:rsid w:val="008C4E1C"/>
    <w:rsid w:val="008C5132"/>
    <w:rsid w:val="008C534F"/>
    <w:rsid w:val="008C5A3F"/>
    <w:rsid w:val="008C5AEA"/>
    <w:rsid w:val="008C5BD4"/>
    <w:rsid w:val="008C5F25"/>
    <w:rsid w:val="008C5FBB"/>
    <w:rsid w:val="008C630A"/>
    <w:rsid w:val="008C63F3"/>
    <w:rsid w:val="008C6457"/>
    <w:rsid w:val="008C64B6"/>
    <w:rsid w:val="008C64F6"/>
    <w:rsid w:val="008C6BB7"/>
    <w:rsid w:val="008C6F90"/>
    <w:rsid w:val="008C7057"/>
    <w:rsid w:val="008C71A5"/>
    <w:rsid w:val="008C7259"/>
    <w:rsid w:val="008C7472"/>
    <w:rsid w:val="008C7A8D"/>
    <w:rsid w:val="008C7D5A"/>
    <w:rsid w:val="008C7D89"/>
    <w:rsid w:val="008C7E43"/>
    <w:rsid w:val="008D02AB"/>
    <w:rsid w:val="008D0DD4"/>
    <w:rsid w:val="008D10C3"/>
    <w:rsid w:val="008D10C6"/>
    <w:rsid w:val="008D1972"/>
    <w:rsid w:val="008D1C2C"/>
    <w:rsid w:val="008D1C36"/>
    <w:rsid w:val="008D1DBD"/>
    <w:rsid w:val="008D1FE0"/>
    <w:rsid w:val="008D31EA"/>
    <w:rsid w:val="008D32F1"/>
    <w:rsid w:val="008D3464"/>
    <w:rsid w:val="008D34A8"/>
    <w:rsid w:val="008D369D"/>
    <w:rsid w:val="008D39E9"/>
    <w:rsid w:val="008D3AE0"/>
    <w:rsid w:val="008D3FC6"/>
    <w:rsid w:val="008D4119"/>
    <w:rsid w:val="008D4785"/>
    <w:rsid w:val="008D489B"/>
    <w:rsid w:val="008D4F08"/>
    <w:rsid w:val="008D54AE"/>
    <w:rsid w:val="008D586B"/>
    <w:rsid w:val="008D58F4"/>
    <w:rsid w:val="008D59E3"/>
    <w:rsid w:val="008D5B0E"/>
    <w:rsid w:val="008D5EEB"/>
    <w:rsid w:val="008D60F9"/>
    <w:rsid w:val="008D612B"/>
    <w:rsid w:val="008D613A"/>
    <w:rsid w:val="008D6153"/>
    <w:rsid w:val="008D617C"/>
    <w:rsid w:val="008D6356"/>
    <w:rsid w:val="008D6528"/>
    <w:rsid w:val="008D66C0"/>
    <w:rsid w:val="008D6B53"/>
    <w:rsid w:val="008D6E97"/>
    <w:rsid w:val="008D6EC0"/>
    <w:rsid w:val="008D6F49"/>
    <w:rsid w:val="008D741F"/>
    <w:rsid w:val="008D7AF8"/>
    <w:rsid w:val="008D7BBC"/>
    <w:rsid w:val="008D7C7B"/>
    <w:rsid w:val="008D7D6C"/>
    <w:rsid w:val="008E0377"/>
    <w:rsid w:val="008E038D"/>
    <w:rsid w:val="008E05DC"/>
    <w:rsid w:val="008E0659"/>
    <w:rsid w:val="008E0816"/>
    <w:rsid w:val="008E0DC8"/>
    <w:rsid w:val="008E0FA7"/>
    <w:rsid w:val="008E10B4"/>
    <w:rsid w:val="008E11F3"/>
    <w:rsid w:val="008E1476"/>
    <w:rsid w:val="008E1508"/>
    <w:rsid w:val="008E1611"/>
    <w:rsid w:val="008E1624"/>
    <w:rsid w:val="008E16E9"/>
    <w:rsid w:val="008E1851"/>
    <w:rsid w:val="008E1CCF"/>
    <w:rsid w:val="008E1CF3"/>
    <w:rsid w:val="008E1F3D"/>
    <w:rsid w:val="008E22C0"/>
    <w:rsid w:val="008E263E"/>
    <w:rsid w:val="008E292B"/>
    <w:rsid w:val="008E35F3"/>
    <w:rsid w:val="008E380A"/>
    <w:rsid w:val="008E38AE"/>
    <w:rsid w:val="008E3913"/>
    <w:rsid w:val="008E39A7"/>
    <w:rsid w:val="008E39B1"/>
    <w:rsid w:val="008E3A15"/>
    <w:rsid w:val="008E3AA7"/>
    <w:rsid w:val="008E3C0C"/>
    <w:rsid w:val="008E3C69"/>
    <w:rsid w:val="008E3DA2"/>
    <w:rsid w:val="008E3FCB"/>
    <w:rsid w:val="008E3FD1"/>
    <w:rsid w:val="008E433B"/>
    <w:rsid w:val="008E43B1"/>
    <w:rsid w:val="008E43CA"/>
    <w:rsid w:val="008E453C"/>
    <w:rsid w:val="008E4719"/>
    <w:rsid w:val="008E4751"/>
    <w:rsid w:val="008E4793"/>
    <w:rsid w:val="008E47B5"/>
    <w:rsid w:val="008E481E"/>
    <w:rsid w:val="008E5033"/>
    <w:rsid w:val="008E52D5"/>
    <w:rsid w:val="008E5FAF"/>
    <w:rsid w:val="008E641B"/>
    <w:rsid w:val="008E662C"/>
    <w:rsid w:val="008E6F2A"/>
    <w:rsid w:val="008E703E"/>
    <w:rsid w:val="008E7098"/>
    <w:rsid w:val="008E7243"/>
    <w:rsid w:val="008E7566"/>
    <w:rsid w:val="008E7A80"/>
    <w:rsid w:val="008E7BBF"/>
    <w:rsid w:val="008E7C30"/>
    <w:rsid w:val="008E7E33"/>
    <w:rsid w:val="008F03BD"/>
    <w:rsid w:val="008F0844"/>
    <w:rsid w:val="008F0922"/>
    <w:rsid w:val="008F0A5E"/>
    <w:rsid w:val="008F0F5B"/>
    <w:rsid w:val="008F1094"/>
    <w:rsid w:val="008F11D9"/>
    <w:rsid w:val="008F13C3"/>
    <w:rsid w:val="008F16FC"/>
    <w:rsid w:val="008F17F5"/>
    <w:rsid w:val="008F19F7"/>
    <w:rsid w:val="008F1BBE"/>
    <w:rsid w:val="008F1F6D"/>
    <w:rsid w:val="008F1FA3"/>
    <w:rsid w:val="008F244F"/>
    <w:rsid w:val="008F294D"/>
    <w:rsid w:val="008F2C97"/>
    <w:rsid w:val="008F2DAC"/>
    <w:rsid w:val="008F3110"/>
    <w:rsid w:val="008F343E"/>
    <w:rsid w:val="008F347E"/>
    <w:rsid w:val="008F3642"/>
    <w:rsid w:val="008F373A"/>
    <w:rsid w:val="008F3A41"/>
    <w:rsid w:val="008F3F1A"/>
    <w:rsid w:val="008F43D2"/>
    <w:rsid w:val="008F47BD"/>
    <w:rsid w:val="008F493D"/>
    <w:rsid w:val="008F4D2F"/>
    <w:rsid w:val="008F4DE0"/>
    <w:rsid w:val="008F4F3B"/>
    <w:rsid w:val="008F505B"/>
    <w:rsid w:val="008F5863"/>
    <w:rsid w:val="008F5B6C"/>
    <w:rsid w:val="008F5BBB"/>
    <w:rsid w:val="008F5C0D"/>
    <w:rsid w:val="008F5E05"/>
    <w:rsid w:val="008F608E"/>
    <w:rsid w:val="008F6537"/>
    <w:rsid w:val="008F6658"/>
    <w:rsid w:val="008F66BE"/>
    <w:rsid w:val="008F6A89"/>
    <w:rsid w:val="008F6B22"/>
    <w:rsid w:val="008F6FBA"/>
    <w:rsid w:val="008F7529"/>
    <w:rsid w:val="008F7597"/>
    <w:rsid w:val="008F787F"/>
    <w:rsid w:val="008F78BF"/>
    <w:rsid w:val="008F78F3"/>
    <w:rsid w:val="008F79D4"/>
    <w:rsid w:val="008F7F2F"/>
    <w:rsid w:val="009000B4"/>
    <w:rsid w:val="00900E65"/>
    <w:rsid w:val="00900FBB"/>
    <w:rsid w:val="009011DA"/>
    <w:rsid w:val="009012D6"/>
    <w:rsid w:val="00901477"/>
    <w:rsid w:val="0090175F"/>
    <w:rsid w:val="00901780"/>
    <w:rsid w:val="009017D3"/>
    <w:rsid w:val="009018F8"/>
    <w:rsid w:val="009019BC"/>
    <w:rsid w:val="00901AA8"/>
    <w:rsid w:val="00901B6B"/>
    <w:rsid w:val="00901BFA"/>
    <w:rsid w:val="00901C4B"/>
    <w:rsid w:val="0090215D"/>
    <w:rsid w:val="009023DD"/>
    <w:rsid w:val="0090263C"/>
    <w:rsid w:val="00902C8D"/>
    <w:rsid w:val="00902EA3"/>
    <w:rsid w:val="00902F64"/>
    <w:rsid w:val="00903153"/>
    <w:rsid w:val="009032E5"/>
    <w:rsid w:val="0090356F"/>
    <w:rsid w:val="00903A82"/>
    <w:rsid w:val="00903DB7"/>
    <w:rsid w:val="00904210"/>
    <w:rsid w:val="009042C7"/>
    <w:rsid w:val="0090458B"/>
    <w:rsid w:val="0090497E"/>
    <w:rsid w:val="00904C06"/>
    <w:rsid w:val="00904D0C"/>
    <w:rsid w:val="00905201"/>
    <w:rsid w:val="00905410"/>
    <w:rsid w:val="0090541E"/>
    <w:rsid w:val="009054A2"/>
    <w:rsid w:val="0090589A"/>
    <w:rsid w:val="00905A03"/>
    <w:rsid w:val="00905D77"/>
    <w:rsid w:val="00906165"/>
    <w:rsid w:val="009061D9"/>
    <w:rsid w:val="00906836"/>
    <w:rsid w:val="0090688F"/>
    <w:rsid w:val="00906965"/>
    <w:rsid w:val="00906B69"/>
    <w:rsid w:val="00906CAD"/>
    <w:rsid w:val="009072AD"/>
    <w:rsid w:val="0090779C"/>
    <w:rsid w:val="00907998"/>
    <w:rsid w:val="00907C65"/>
    <w:rsid w:val="00907FDC"/>
    <w:rsid w:val="009102E8"/>
    <w:rsid w:val="00910463"/>
    <w:rsid w:val="00910650"/>
    <w:rsid w:val="009109C0"/>
    <w:rsid w:val="00910E36"/>
    <w:rsid w:val="00910EBB"/>
    <w:rsid w:val="00911167"/>
    <w:rsid w:val="00911209"/>
    <w:rsid w:val="00911424"/>
    <w:rsid w:val="00911956"/>
    <w:rsid w:val="009119A3"/>
    <w:rsid w:val="00911A0A"/>
    <w:rsid w:val="00911B19"/>
    <w:rsid w:val="00911BC5"/>
    <w:rsid w:val="009120DA"/>
    <w:rsid w:val="009124A4"/>
    <w:rsid w:val="009125F3"/>
    <w:rsid w:val="009126B0"/>
    <w:rsid w:val="00912A01"/>
    <w:rsid w:val="00912BDF"/>
    <w:rsid w:val="00912D19"/>
    <w:rsid w:val="00913147"/>
    <w:rsid w:val="009131EB"/>
    <w:rsid w:val="00913493"/>
    <w:rsid w:val="009134EC"/>
    <w:rsid w:val="00913804"/>
    <w:rsid w:val="00913A35"/>
    <w:rsid w:val="00913AE2"/>
    <w:rsid w:val="00914048"/>
    <w:rsid w:val="009140E5"/>
    <w:rsid w:val="009140EC"/>
    <w:rsid w:val="0091448C"/>
    <w:rsid w:val="009146D9"/>
    <w:rsid w:val="0091474D"/>
    <w:rsid w:val="00914792"/>
    <w:rsid w:val="00914913"/>
    <w:rsid w:val="009149BC"/>
    <w:rsid w:val="00914BF4"/>
    <w:rsid w:val="0091511D"/>
    <w:rsid w:val="0091560D"/>
    <w:rsid w:val="009157B5"/>
    <w:rsid w:val="0091599E"/>
    <w:rsid w:val="00915BD3"/>
    <w:rsid w:val="00915BDE"/>
    <w:rsid w:val="00915D50"/>
    <w:rsid w:val="0091610B"/>
    <w:rsid w:val="00916234"/>
    <w:rsid w:val="009162D7"/>
    <w:rsid w:val="00916320"/>
    <w:rsid w:val="00916475"/>
    <w:rsid w:val="00916586"/>
    <w:rsid w:val="0091659B"/>
    <w:rsid w:val="00916985"/>
    <w:rsid w:val="00916E40"/>
    <w:rsid w:val="00916EC4"/>
    <w:rsid w:val="0091709C"/>
    <w:rsid w:val="00917243"/>
    <w:rsid w:val="0091762C"/>
    <w:rsid w:val="00917A9B"/>
    <w:rsid w:val="00917B29"/>
    <w:rsid w:val="00917CA0"/>
    <w:rsid w:val="0092055E"/>
    <w:rsid w:val="009209D4"/>
    <w:rsid w:val="00920B2A"/>
    <w:rsid w:val="00920DE8"/>
    <w:rsid w:val="00921A74"/>
    <w:rsid w:val="00921ADA"/>
    <w:rsid w:val="00921D8C"/>
    <w:rsid w:val="00921DAF"/>
    <w:rsid w:val="00921DB8"/>
    <w:rsid w:val="009222E9"/>
    <w:rsid w:val="00922671"/>
    <w:rsid w:val="009228F3"/>
    <w:rsid w:val="00922EC6"/>
    <w:rsid w:val="00923442"/>
    <w:rsid w:val="0092347D"/>
    <w:rsid w:val="00923565"/>
    <w:rsid w:val="009235C3"/>
    <w:rsid w:val="0092363D"/>
    <w:rsid w:val="00923676"/>
    <w:rsid w:val="00923A80"/>
    <w:rsid w:val="00923A9A"/>
    <w:rsid w:val="00924317"/>
    <w:rsid w:val="0092468B"/>
    <w:rsid w:val="00924A0B"/>
    <w:rsid w:val="00924AA2"/>
    <w:rsid w:val="00924D1C"/>
    <w:rsid w:val="00924D61"/>
    <w:rsid w:val="00924F09"/>
    <w:rsid w:val="00924FD9"/>
    <w:rsid w:val="009250A7"/>
    <w:rsid w:val="009253CA"/>
    <w:rsid w:val="00925432"/>
    <w:rsid w:val="00925464"/>
    <w:rsid w:val="00925541"/>
    <w:rsid w:val="00925713"/>
    <w:rsid w:val="00925A5A"/>
    <w:rsid w:val="00925A7A"/>
    <w:rsid w:val="00925B51"/>
    <w:rsid w:val="00925C5E"/>
    <w:rsid w:val="00925D34"/>
    <w:rsid w:val="00925E51"/>
    <w:rsid w:val="00926575"/>
    <w:rsid w:val="009267F5"/>
    <w:rsid w:val="0092696E"/>
    <w:rsid w:val="00926B38"/>
    <w:rsid w:val="00926F26"/>
    <w:rsid w:val="009273B4"/>
    <w:rsid w:val="00927779"/>
    <w:rsid w:val="009278E5"/>
    <w:rsid w:val="00927B36"/>
    <w:rsid w:val="00927B94"/>
    <w:rsid w:val="00927C45"/>
    <w:rsid w:val="00927C49"/>
    <w:rsid w:val="00927D6A"/>
    <w:rsid w:val="00927E05"/>
    <w:rsid w:val="0093034F"/>
    <w:rsid w:val="00930385"/>
    <w:rsid w:val="009305AE"/>
    <w:rsid w:val="0093080B"/>
    <w:rsid w:val="00930B22"/>
    <w:rsid w:val="0093119F"/>
    <w:rsid w:val="00931338"/>
    <w:rsid w:val="0093167E"/>
    <w:rsid w:val="009317D4"/>
    <w:rsid w:val="00931CF8"/>
    <w:rsid w:val="00931D1F"/>
    <w:rsid w:val="00932096"/>
    <w:rsid w:val="0093228F"/>
    <w:rsid w:val="00932383"/>
    <w:rsid w:val="0093241A"/>
    <w:rsid w:val="0093297F"/>
    <w:rsid w:val="0093298F"/>
    <w:rsid w:val="00932E9E"/>
    <w:rsid w:val="00932F21"/>
    <w:rsid w:val="00932F36"/>
    <w:rsid w:val="0093336D"/>
    <w:rsid w:val="00933436"/>
    <w:rsid w:val="009334F2"/>
    <w:rsid w:val="0093399B"/>
    <w:rsid w:val="00933A37"/>
    <w:rsid w:val="00933B92"/>
    <w:rsid w:val="00933D0E"/>
    <w:rsid w:val="00933E21"/>
    <w:rsid w:val="00933F1C"/>
    <w:rsid w:val="00934020"/>
    <w:rsid w:val="0093424D"/>
    <w:rsid w:val="00934336"/>
    <w:rsid w:val="009343EA"/>
    <w:rsid w:val="00934638"/>
    <w:rsid w:val="00934B31"/>
    <w:rsid w:val="00934C2B"/>
    <w:rsid w:val="009351A9"/>
    <w:rsid w:val="00935288"/>
    <w:rsid w:val="009357A2"/>
    <w:rsid w:val="00935F7B"/>
    <w:rsid w:val="0093643C"/>
    <w:rsid w:val="009366C0"/>
    <w:rsid w:val="00936955"/>
    <w:rsid w:val="00936BAB"/>
    <w:rsid w:val="00936C56"/>
    <w:rsid w:val="00936EE6"/>
    <w:rsid w:val="00937079"/>
    <w:rsid w:val="0093723B"/>
    <w:rsid w:val="009379C1"/>
    <w:rsid w:val="00937A22"/>
    <w:rsid w:val="00937C2E"/>
    <w:rsid w:val="00937C38"/>
    <w:rsid w:val="00937D00"/>
    <w:rsid w:val="00937EFF"/>
    <w:rsid w:val="00940084"/>
    <w:rsid w:val="0094008C"/>
    <w:rsid w:val="009403BE"/>
    <w:rsid w:val="00940427"/>
    <w:rsid w:val="0094053E"/>
    <w:rsid w:val="009406AB"/>
    <w:rsid w:val="0094073E"/>
    <w:rsid w:val="0094081B"/>
    <w:rsid w:val="00940952"/>
    <w:rsid w:val="00940DDD"/>
    <w:rsid w:val="00940F3E"/>
    <w:rsid w:val="009413D5"/>
    <w:rsid w:val="009413FA"/>
    <w:rsid w:val="00941437"/>
    <w:rsid w:val="00941935"/>
    <w:rsid w:val="0094199B"/>
    <w:rsid w:val="00941A9B"/>
    <w:rsid w:val="00941CB4"/>
    <w:rsid w:val="00941D02"/>
    <w:rsid w:val="009421F7"/>
    <w:rsid w:val="00942217"/>
    <w:rsid w:val="0094235D"/>
    <w:rsid w:val="0094256D"/>
    <w:rsid w:val="00942C44"/>
    <w:rsid w:val="00942D27"/>
    <w:rsid w:val="00942D30"/>
    <w:rsid w:val="009434A3"/>
    <w:rsid w:val="009436E1"/>
    <w:rsid w:val="00943864"/>
    <w:rsid w:val="00943948"/>
    <w:rsid w:val="00943A75"/>
    <w:rsid w:val="00943C7B"/>
    <w:rsid w:val="00943CB6"/>
    <w:rsid w:val="00943CFF"/>
    <w:rsid w:val="00943D49"/>
    <w:rsid w:val="00943D4A"/>
    <w:rsid w:val="00944342"/>
    <w:rsid w:val="00944522"/>
    <w:rsid w:val="00944949"/>
    <w:rsid w:val="00944D9D"/>
    <w:rsid w:val="0094564B"/>
    <w:rsid w:val="0094597A"/>
    <w:rsid w:val="00945B74"/>
    <w:rsid w:val="00945E34"/>
    <w:rsid w:val="00945E57"/>
    <w:rsid w:val="009460F3"/>
    <w:rsid w:val="009464EB"/>
    <w:rsid w:val="009464F7"/>
    <w:rsid w:val="00946564"/>
    <w:rsid w:val="00946790"/>
    <w:rsid w:val="0094725F"/>
    <w:rsid w:val="00947427"/>
    <w:rsid w:val="009478F5"/>
    <w:rsid w:val="00947952"/>
    <w:rsid w:val="009500B8"/>
    <w:rsid w:val="00950183"/>
    <w:rsid w:val="009501CA"/>
    <w:rsid w:val="0095025D"/>
    <w:rsid w:val="0095058E"/>
    <w:rsid w:val="0095060F"/>
    <w:rsid w:val="00950832"/>
    <w:rsid w:val="009509AF"/>
    <w:rsid w:val="00950ED3"/>
    <w:rsid w:val="009512E7"/>
    <w:rsid w:val="009513E2"/>
    <w:rsid w:val="00951768"/>
    <w:rsid w:val="0095182C"/>
    <w:rsid w:val="00951891"/>
    <w:rsid w:val="009518EA"/>
    <w:rsid w:val="0095197E"/>
    <w:rsid w:val="00952156"/>
    <w:rsid w:val="0095216B"/>
    <w:rsid w:val="0095241C"/>
    <w:rsid w:val="00952531"/>
    <w:rsid w:val="0095279B"/>
    <w:rsid w:val="00952B5E"/>
    <w:rsid w:val="00952D3A"/>
    <w:rsid w:val="00952E66"/>
    <w:rsid w:val="00952F42"/>
    <w:rsid w:val="009535C8"/>
    <w:rsid w:val="00953A03"/>
    <w:rsid w:val="00954174"/>
    <w:rsid w:val="00954505"/>
    <w:rsid w:val="009546B9"/>
    <w:rsid w:val="009546FE"/>
    <w:rsid w:val="00954ACE"/>
    <w:rsid w:val="00954EB6"/>
    <w:rsid w:val="00955063"/>
    <w:rsid w:val="009550CD"/>
    <w:rsid w:val="0095537F"/>
    <w:rsid w:val="0095544A"/>
    <w:rsid w:val="00955BE8"/>
    <w:rsid w:val="00955C3D"/>
    <w:rsid w:val="00955CA6"/>
    <w:rsid w:val="00955F95"/>
    <w:rsid w:val="00956191"/>
    <w:rsid w:val="009561B8"/>
    <w:rsid w:val="009566AD"/>
    <w:rsid w:val="0095674A"/>
    <w:rsid w:val="0095686A"/>
    <w:rsid w:val="00956988"/>
    <w:rsid w:val="00956CC2"/>
    <w:rsid w:val="00956CD1"/>
    <w:rsid w:val="00956FF6"/>
    <w:rsid w:val="00957135"/>
    <w:rsid w:val="009578E6"/>
    <w:rsid w:val="0095797B"/>
    <w:rsid w:val="00960048"/>
    <w:rsid w:val="009601F9"/>
    <w:rsid w:val="009603AB"/>
    <w:rsid w:val="00960665"/>
    <w:rsid w:val="00960814"/>
    <w:rsid w:val="00960E8B"/>
    <w:rsid w:val="00960F81"/>
    <w:rsid w:val="0096108C"/>
    <w:rsid w:val="009614BE"/>
    <w:rsid w:val="00961888"/>
    <w:rsid w:val="00961F27"/>
    <w:rsid w:val="009620E4"/>
    <w:rsid w:val="0096213E"/>
    <w:rsid w:val="009622B2"/>
    <w:rsid w:val="00962485"/>
    <w:rsid w:val="009624D2"/>
    <w:rsid w:val="0096299A"/>
    <w:rsid w:val="00962ACF"/>
    <w:rsid w:val="00963071"/>
    <w:rsid w:val="0096308F"/>
    <w:rsid w:val="009630F0"/>
    <w:rsid w:val="00963197"/>
    <w:rsid w:val="0096327C"/>
    <w:rsid w:val="0096383C"/>
    <w:rsid w:val="00963929"/>
    <w:rsid w:val="00963AA7"/>
    <w:rsid w:val="00963DCD"/>
    <w:rsid w:val="00963E48"/>
    <w:rsid w:val="0096414A"/>
    <w:rsid w:val="009642DC"/>
    <w:rsid w:val="009649CC"/>
    <w:rsid w:val="009653DE"/>
    <w:rsid w:val="009658ED"/>
    <w:rsid w:val="0096592D"/>
    <w:rsid w:val="00965ACF"/>
    <w:rsid w:val="009660A8"/>
    <w:rsid w:val="00966162"/>
    <w:rsid w:val="009661A4"/>
    <w:rsid w:val="009668BF"/>
    <w:rsid w:val="00966E74"/>
    <w:rsid w:val="00966E7C"/>
    <w:rsid w:val="009670AD"/>
    <w:rsid w:val="00967127"/>
    <w:rsid w:val="00967522"/>
    <w:rsid w:val="0096782D"/>
    <w:rsid w:val="009678DF"/>
    <w:rsid w:val="00967D86"/>
    <w:rsid w:val="00967EED"/>
    <w:rsid w:val="00967FFB"/>
    <w:rsid w:val="009700D5"/>
    <w:rsid w:val="009705C8"/>
    <w:rsid w:val="009706C4"/>
    <w:rsid w:val="00970A75"/>
    <w:rsid w:val="00970BF0"/>
    <w:rsid w:val="00971396"/>
    <w:rsid w:val="00971400"/>
    <w:rsid w:val="009714BA"/>
    <w:rsid w:val="009714C6"/>
    <w:rsid w:val="00971545"/>
    <w:rsid w:val="009715D0"/>
    <w:rsid w:val="009717A6"/>
    <w:rsid w:val="00971848"/>
    <w:rsid w:val="009719B7"/>
    <w:rsid w:val="009719EF"/>
    <w:rsid w:val="00971C79"/>
    <w:rsid w:val="009720B2"/>
    <w:rsid w:val="009724DE"/>
    <w:rsid w:val="009726D6"/>
    <w:rsid w:val="00972794"/>
    <w:rsid w:val="00972AE9"/>
    <w:rsid w:val="0097334E"/>
    <w:rsid w:val="0097348A"/>
    <w:rsid w:val="00973725"/>
    <w:rsid w:val="00973B3D"/>
    <w:rsid w:val="00973F48"/>
    <w:rsid w:val="009740D0"/>
    <w:rsid w:val="009743FD"/>
    <w:rsid w:val="00974505"/>
    <w:rsid w:val="009745C2"/>
    <w:rsid w:val="009747DA"/>
    <w:rsid w:val="00974BD3"/>
    <w:rsid w:val="00974DD8"/>
    <w:rsid w:val="00975342"/>
    <w:rsid w:val="00975712"/>
    <w:rsid w:val="009758E5"/>
    <w:rsid w:val="00975999"/>
    <w:rsid w:val="00975AA7"/>
    <w:rsid w:val="00975BB4"/>
    <w:rsid w:val="00975E3B"/>
    <w:rsid w:val="009762B4"/>
    <w:rsid w:val="009763BB"/>
    <w:rsid w:val="00976508"/>
    <w:rsid w:val="00976848"/>
    <w:rsid w:val="009769EC"/>
    <w:rsid w:val="00976B7E"/>
    <w:rsid w:val="00976BC9"/>
    <w:rsid w:val="00976C31"/>
    <w:rsid w:val="00976C62"/>
    <w:rsid w:val="00976E95"/>
    <w:rsid w:val="00976EE4"/>
    <w:rsid w:val="00976F1D"/>
    <w:rsid w:val="009772A8"/>
    <w:rsid w:val="00977609"/>
    <w:rsid w:val="00977660"/>
    <w:rsid w:val="0097779B"/>
    <w:rsid w:val="00977DD4"/>
    <w:rsid w:val="00980657"/>
    <w:rsid w:val="0098072C"/>
    <w:rsid w:val="00980806"/>
    <w:rsid w:val="0098096D"/>
    <w:rsid w:val="00980A32"/>
    <w:rsid w:val="00980A64"/>
    <w:rsid w:val="009817E2"/>
    <w:rsid w:val="00981D45"/>
    <w:rsid w:val="00981DCA"/>
    <w:rsid w:val="00981DF6"/>
    <w:rsid w:val="00981FF0"/>
    <w:rsid w:val="009821FC"/>
    <w:rsid w:val="009823A7"/>
    <w:rsid w:val="0098243F"/>
    <w:rsid w:val="0098278B"/>
    <w:rsid w:val="00982971"/>
    <w:rsid w:val="00982C12"/>
    <w:rsid w:val="00982CEB"/>
    <w:rsid w:val="00982F76"/>
    <w:rsid w:val="00982FEE"/>
    <w:rsid w:val="009831B9"/>
    <w:rsid w:val="00983BCA"/>
    <w:rsid w:val="00983E07"/>
    <w:rsid w:val="00983E40"/>
    <w:rsid w:val="00984216"/>
    <w:rsid w:val="00984592"/>
    <w:rsid w:val="00984B6D"/>
    <w:rsid w:val="0098509D"/>
    <w:rsid w:val="009857A9"/>
    <w:rsid w:val="009860E7"/>
    <w:rsid w:val="00986152"/>
    <w:rsid w:val="009861CD"/>
    <w:rsid w:val="0098650B"/>
    <w:rsid w:val="00986DDC"/>
    <w:rsid w:val="0098719E"/>
    <w:rsid w:val="00987292"/>
    <w:rsid w:val="00987390"/>
    <w:rsid w:val="009873C6"/>
    <w:rsid w:val="0098797E"/>
    <w:rsid w:val="00987C64"/>
    <w:rsid w:val="00987D58"/>
    <w:rsid w:val="00987F4D"/>
    <w:rsid w:val="00990194"/>
    <w:rsid w:val="0099023A"/>
    <w:rsid w:val="00990C5F"/>
    <w:rsid w:val="00990D71"/>
    <w:rsid w:val="00991082"/>
    <w:rsid w:val="009910F1"/>
    <w:rsid w:val="00991147"/>
    <w:rsid w:val="00991217"/>
    <w:rsid w:val="00991362"/>
    <w:rsid w:val="009914C6"/>
    <w:rsid w:val="00991598"/>
    <w:rsid w:val="00991C1C"/>
    <w:rsid w:val="00992216"/>
    <w:rsid w:val="009923C1"/>
    <w:rsid w:val="00992489"/>
    <w:rsid w:val="00992532"/>
    <w:rsid w:val="00992765"/>
    <w:rsid w:val="00992ABA"/>
    <w:rsid w:val="0099316F"/>
    <w:rsid w:val="0099335F"/>
    <w:rsid w:val="009937DC"/>
    <w:rsid w:val="00993E53"/>
    <w:rsid w:val="009946D1"/>
    <w:rsid w:val="00994AB1"/>
    <w:rsid w:val="00994F1C"/>
    <w:rsid w:val="00994FE5"/>
    <w:rsid w:val="00995031"/>
    <w:rsid w:val="00995170"/>
    <w:rsid w:val="00995435"/>
    <w:rsid w:val="0099584C"/>
    <w:rsid w:val="009958E1"/>
    <w:rsid w:val="009959E6"/>
    <w:rsid w:val="00995A2C"/>
    <w:rsid w:val="00995A6A"/>
    <w:rsid w:val="00995A73"/>
    <w:rsid w:val="00995BA7"/>
    <w:rsid w:val="00995D39"/>
    <w:rsid w:val="00995DEC"/>
    <w:rsid w:val="00995ED4"/>
    <w:rsid w:val="00995F54"/>
    <w:rsid w:val="009963FD"/>
    <w:rsid w:val="009964C3"/>
    <w:rsid w:val="0099662C"/>
    <w:rsid w:val="00996764"/>
    <w:rsid w:val="0099679D"/>
    <w:rsid w:val="00996B04"/>
    <w:rsid w:val="00996D96"/>
    <w:rsid w:val="00996EE9"/>
    <w:rsid w:val="00996F50"/>
    <w:rsid w:val="00996F57"/>
    <w:rsid w:val="0099704D"/>
    <w:rsid w:val="009970DC"/>
    <w:rsid w:val="00997167"/>
    <w:rsid w:val="0099737A"/>
    <w:rsid w:val="00997424"/>
    <w:rsid w:val="0099761B"/>
    <w:rsid w:val="0099786B"/>
    <w:rsid w:val="00997A99"/>
    <w:rsid w:val="00997AB8"/>
    <w:rsid w:val="00997D2D"/>
    <w:rsid w:val="009A05DF"/>
    <w:rsid w:val="009A0ECD"/>
    <w:rsid w:val="009A18BD"/>
    <w:rsid w:val="009A18D0"/>
    <w:rsid w:val="009A1AC3"/>
    <w:rsid w:val="009A1C0F"/>
    <w:rsid w:val="009A1D3C"/>
    <w:rsid w:val="009A1DBB"/>
    <w:rsid w:val="009A1E52"/>
    <w:rsid w:val="009A1E72"/>
    <w:rsid w:val="009A22B6"/>
    <w:rsid w:val="009A2585"/>
    <w:rsid w:val="009A25F1"/>
    <w:rsid w:val="009A263F"/>
    <w:rsid w:val="009A271A"/>
    <w:rsid w:val="009A2C2B"/>
    <w:rsid w:val="009A339F"/>
    <w:rsid w:val="009A33A7"/>
    <w:rsid w:val="009A35DB"/>
    <w:rsid w:val="009A3985"/>
    <w:rsid w:val="009A3A4D"/>
    <w:rsid w:val="009A460E"/>
    <w:rsid w:val="009A46A3"/>
    <w:rsid w:val="009A48FB"/>
    <w:rsid w:val="009A4A09"/>
    <w:rsid w:val="009A4BEE"/>
    <w:rsid w:val="009A4D13"/>
    <w:rsid w:val="009A4FF2"/>
    <w:rsid w:val="009A510E"/>
    <w:rsid w:val="009A57D1"/>
    <w:rsid w:val="009A5A19"/>
    <w:rsid w:val="009A5EB4"/>
    <w:rsid w:val="009A64B6"/>
    <w:rsid w:val="009A6621"/>
    <w:rsid w:val="009A6638"/>
    <w:rsid w:val="009A6812"/>
    <w:rsid w:val="009A6A72"/>
    <w:rsid w:val="009A6B42"/>
    <w:rsid w:val="009A6ED3"/>
    <w:rsid w:val="009A724C"/>
    <w:rsid w:val="009A7766"/>
    <w:rsid w:val="009A780C"/>
    <w:rsid w:val="009A7A92"/>
    <w:rsid w:val="009A7C30"/>
    <w:rsid w:val="009A7C6F"/>
    <w:rsid w:val="009A7D66"/>
    <w:rsid w:val="009B0326"/>
    <w:rsid w:val="009B0391"/>
    <w:rsid w:val="009B0559"/>
    <w:rsid w:val="009B061D"/>
    <w:rsid w:val="009B0964"/>
    <w:rsid w:val="009B0BEF"/>
    <w:rsid w:val="009B0D8C"/>
    <w:rsid w:val="009B0F3E"/>
    <w:rsid w:val="009B13B9"/>
    <w:rsid w:val="009B1738"/>
    <w:rsid w:val="009B1883"/>
    <w:rsid w:val="009B1885"/>
    <w:rsid w:val="009B1968"/>
    <w:rsid w:val="009B1A62"/>
    <w:rsid w:val="009B1B8F"/>
    <w:rsid w:val="009B1C45"/>
    <w:rsid w:val="009B1FF0"/>
    <w:rsid w:val="009B2210"/>
    <w:rsid w:val="009B27EE"/>
    <w:rsid w:val="009B2844"/>
    <w:rsid w:val="009B2A33"/>
    <w:rsid w:val="009B2B2C"/>
    <w:rsid w:val="009B2F1E"/>
    <w:rsid w:val="009B2F5B"/>
    <w:rsid w:val="009B31B7"/>
    <w:rsid w:val="009B3312"/>
    <w:rsid w:val="009B33AA"/>
    <w:rsid w:val="009B35A0"/>
    <w:rsid w:val="009B3804"/>
    <w:rsid w:val="009B3B67"/>
    <w:rsid w:val="009B3B8B"/>
    <w:rsid w:val="009B3B9E"/>
    <w:rsid w:val="009B3D62"/>
    <w:rsid w:val="009B3EA2"/>
    <w:rsid w:val="009B4058"/>
    <w:rsid w:val="009B4256"/>
    <w:rsid w:val="009B42F6"/>
    <w:rsid w:val="009B4758"/>
    <w:rsid w:val="009B49FE"/>
    <w:rsid w:val="009B4B40"/>
    <w:rsid w:val="009B4C02"/>
    <w:rsid w:val="009B516B"/>
    <w:rsid w:val="009B5377"/>
    <w:rsid w:val="009B539C"/>
    <w:rsid w:val="009B548F"/>
    <w:rsid w:val="009B56AE"/>
    <w:rsid w:val="009B6175"/>
    <w:rsid w:val="009B63E0"/>
    <w:rsid w:val="009B64CF"/>
    <w:rsid w:val="009B6DFD"/>
    <w:rsid w:val="009B6E07"/>
    <w:rsid w:val="009B6E54"/>
    <w:rsid w:val="009B70C4"/>
    <w:rsid w:val="009B73E5"/>
    <w:rsid w:val="009B74B1"/>
    <w:rsid w:val="009B75AD"/>
    <w:rsid w:val="009B76BA"/>
    <w:rsid w:val="009B78D9"/>
    <w:rsid w:val="009B7C68"/>
    <w:rsid w:val="009B7D89"/>
    <w:rsid w:val="009C041B"/>
    <w:rsid w:val="009C04B9"/>
    <w:rsid w:val="009C04E8"/>
    <w:rsid w:val="009C065C"/>
    <w:rsid w:val="009C0AB0"/>
    <w:rsid w:val="009C0AF1"/>
    <w:rsid w:val="009C0B91"/>
    <w:rsid w:val="009C0F59"/>
    <w:rsid w:val="009C114C"/>
    <w:rsid w:val="009C11AA"/>
    <w:rsid w:val="009C14D1"/>
    <w:rsid w:val="009C20C6"/>
    <w:rsid w:val="009C2398"/>
    <w:rsid w:val="009C256E"/>
    <w:rsid w:val="009C2766"/>
    <w:rsid w:val="009C2C71"/>
    <w:rsid w:val="009C2C7F"/>
    <w:rsid w:val="009C2CAD"/>
    <w:rsid w:val="009C2F45"/>
    <w:rsid w:val="009C2F4D"/>
    <w:rsid w:val="009C34D8"/>
    <w:rsid w:val="009C3B8C"/>
    <w:rsid w:val="009C4459"/>
    <w:rsid w:val="009C4A21"/>
    <w:rsid w:val="009C4ACA"/>
    <w:rsid w:val="009C5040"/>
    <w:rsid w:val="009C517B"/>
    <w:rsid w:val="009C5628"/>
    <w:rsid w:val="009C58CD"/>
    <w:rsid w:val="009C5A12"/>
    <w:rsid w:val="009C5E21"/>
    <w:rsid w:val="009C5EF9"/>
    <w:rsid w:val="009C5FFF"/>
    <w:rsid w:val="009C642A"/>
    <w:rsid w:val="009C67C3"/>
    <w:rsid w:val="009C681C"/>
    <w:rsid w:val="009C6865"/>
    <w:rsid w:val="009C6BD0"/>
    <w:rsid w:val="009C6DAF"/>
    <w:rsid w:val="009C70AA"/>
    <w:rsid w:val="009C71FD"/>
    <w:rsid w:val="009C7444"/>
    <w:rsid w:val="009C780E"/>
    <w:rsid w:val="009C7982"/>
    <w:rsid w:val="009C7A04"/>
    <w:rsid w:val="009C7B99"/>
    <w:rsid w:val="009C7D37"/>
    <w:rsid w:val="009C7F16"/>
    <w:rsid w:val="009C7FB3"/>
    <w:rsid w:val="009D0227"/>
    <w:rsid w:val="009D0296"/>
    <w:rsid w:val="009D0BBA"/>
    <w:rsid w:val="009D0C39"/>
    <w:rsid w:val="009D0C9F"/>
    <w:rsid w:val="009D0CD5"/>
    <w:rsid w:val="009D0DD6"/>
    <w:rsid w:val="009D0DDA"/>
    <w:rsid w:val="009D102E"/>
    <w:rsid w:val="009D1630"/>
    <w:rsid w:val="009D184A"/>
    <w:rsid w:val="009D186B"/>
    <w:rsid w:val="009D1AA9"/>
    <w:rsid w:val="009D1AC8"/>
    <w:rsid w:val="009D1BDC"/>
    <w:rsid w:val="009D1CE1"/>
    <w:rsid w:val="009D1EE3"/>
    <w:rsid w:val="009D2295"/>
    <w:rsid w:val="009D2486"/>
    <w:rsid w:val="009D24B7"/>
    <w:rsid w:val="009D2762"/>
    <w:rsid w:val="009D293B"/>
    <w:rsid w:val="009D2C23"/>
    <w:rsid w:val="009D2C6C"/>
    <w:rsid w:val="009D2DA6"/>
    <w:rsid w:val="009D2DC7"/>
    <w:rsid w:val="009D2E9D"/>
    <w:rsid w:val="009D31DC"/>
    <w:rsid w:val="009D31EA"/>
    <w:rsid w:val="009D3656"/>
    <w:rsid w:val="009D37F1"/>
    <w:rsid w:val="009D3AE5"/>
    <w:rsid w:val="009D46D6"/>
    <w:rsid w:val="009D487C"/>
    <w:rsid w:val="009D4A94"/>
    <w:rsid w:val="009D4BD5"/>
    <w:rsid w:val="009D4D80"/>
    <w:rsid w:val="009D4EBC"/>
    <w:rsid w:val="009D4F85"/>
    <w:rsid w:val="009D5BB6"/>
    <w:rsid w:val="009D5C72"/>
    <w:rsid w:val="009D5E9F"/>
    <w:rsid w:val="009D5F82"/>
    <w:rsid w:val="009D60B2"/>
    <w:rsid w:val="009D6113"/>
    <w:rsid w:val="009D636A"/>
    <w:rsid w:val="009D6495"/>
    <w:rsid w:val="009D6993"/>
    <w:rsid w:val="009D6A07"/>
    <w:rsid w:val="009D6CA7"/>
    <w:rsid w:val="009D6FC6"/>
    <w:rsid w:val="009D703F"/>
    <w:rsid w:val="009D7201"/>
    <w:rsid w:val="009D730C"/>
    <w:rsid w:val="009D7322"/>
    <w:rsid w:val="009D7599"/>
    <w:rsid w:val="009D7BDE"/>
    <w:rsid w:val="009E00C6"/>
    <w:rsid w:val="009E0150"/>
    <w:rsid w:val="009E0365"/>
    <w:rsid w:val="009E0478"/>
    <w:rsid w:val="009E0765"/>
    <w:rsid w:val="009E091A"/>
    <w:rsid w:val="009E0950"/>
    <w:rsid w:val="009E0B80"/>
    <w:rsid w:val="009E124E"/>
    <w:rsid w:val="009E147F"/>
    <w:rsid w:val="009E15D0"/>
    <w:rsid w:val="009E183A"/>
    <w:rsid w:val="009E18A1"/>
    <w:rsid w:val="009E1B75"/>
    <w:rsid w:val="009E1DC6"/>
    <w:rsid w:val="009E1E40"/>
    <w:rsid w:val="009E1FFD"/>
    <w:rsid w:val="009E1FFE"/>
    <w:rsid w:val="009E20C5"/>
    <w:rsid w:val="009E2158"/>
    <w:rsid w:val="009E22AF"/>
    <w:rsid w:val="009E23BE"/>
    <w:rsid w:val="009E270E"/>
    <w:rsid w:val="009E2932"/>
    <w:rsid w:val="009E2A9A"/>
    <w:rsid w:val="009E2C7E"/>
    <w:rsid w:val="009E30D3"/>
    <w:rsid w:val="009E30DF"/>
    <w:rsid w:val="009E3255"/>
    <w:rsid w:val="009E32CC"/>
    <w:rsid w:val="009E3AE6"/>
    <w:rsid w:val="009E3DA8"/>
    <w:rsid w:val="009E3F4F"/>
    <w:rsid w:val="009E4080"/>
    <w:rsid w:val="009E4AED"/>
    <w:rsid w:val="009E4E6F"/>
    <w:rsid w:val="009E4EB3"/>
    <w:rsid w:val="009E539F"/>
    <w:rsid w:val="009E55D6"/>
    <w:rsid w:val="009E5998"/>
    <w:rsid w:val="009E5A9A"/>
    <w:rsid w:val="009E5E5B"/>
    <w:rsid w:val="009E5EE0"/>
    <w:rsid w:val="009E5EFF"/>
    <w:rsid w:val="009E6243"/>
    <w:rsid w:val="009E6321"/>
    <w:rsid w:val="009E65A2"/>
    <w:rsid w:val="009E6C03"/>
    <w:rsid w:val="009E6E53"/>
    <w:rsid w:val="009E6F72"/>
    <w:rsid w:val="009E71DF"/>
    <w:rsid w:val="009E74F1"/>
    <w:rsid w:val="009E77AE"/>
    <w:rsid w:val="009E7D35"/>
    <w:rsid w:val="009E7D40"/>
    <w:rsid w:val="009E7E58"/>
    <w:rsid w:val="009F0AFC"/>
    <w:rsid w:val="009F0BC5"/>
    <w:rsid w:val="009F0EC0"/>
    <w:rsid w:val="009F1872"/>
    <w:rsid w:val="009F1AB9"/>
    <w:rsid w:val="009F1BAC"/>
    <w:rsid w:val="009F1C8B"/>
    <w:rsid w:val="009F1CDF"/>
    <w:rsid w:val="009F1E27"/>
    <w:rsid w:val="009F2547"/>
    <w:rsid w:val="009F2643"/>
    <w:rsid w:val="009F2E15"/>
    <w:rsid w:val="009F2FD2"/>
    <w:rsid w:val="009F30C7"/>
    <w:rsid w:val="009F3669"/>
    <w:rsid w:val="009F3776"/>
    <w:rsid w:val="009F37D2"/>
    <w:rsid w:val="009F39E8"/>
    <w:rsid w:val="009F3DA7"/>
    <w:rsid w:val="009F46D2"/>
    <w:rsid w:val="009F48B8"/>
    <w:rsid w:val="009F5057"/>
    <w:rsid w:val="009F5235"/>
    <w:rsid w:val="009F5430"/>
    <w:rsid w:val="009F545B"/>
    <w:rsid w:val="009F5B89"/>
    <w:rsid w:val="009F5CEB"/>
    <w:rsid w:val="009F5EA3"/>
    <w:rsid w:val="009F653E"/>
    <w:rsid w:val="009F6671"/>
    <w:rsid w:val="009F6853"/>
    <w:rsid w:val="009F6AF7"/>
    <w:rsid w:val="009F6C8B"/>
    <w:rsid w:val="009F6F06"/>
    <w:rsid w:val="009F700C"/>
    <w:rsid w:val="009F73E4"/>
    <w:rsid w:val="009F76AC"/>
    <w:rsid w:val="009F76CD"/>
    <w:rsid w:val="009F7807"/>
    <w:rsid w:val="009F7FB3"/>
    <w:rsid w:val="00A00062"/>
    <w:rsid w:val="00A00838"/>
    <w:rsid w:val="00A00ACF"/>
    <w:rsid w:val="00A00B9C"/>
    <w:rsid w:val="00A00CD5"/>
    <w:rsid w:val="00A00D70"/>
    <w:rsid w:val="00A01009"/>
    <w:rsid w:val="00A01202"/>
    <w:rsid w:val="00A01216"/>
    <w:rsid w:val="00A01302"/>
    <w:rsid w:val="00A01355"/>
    <w:rsid w:val="00A0168E"/>
    <w:rsid w:val="00A017F5"/>
    <w:rsid w:val="00A01A75"/>
    <w:rsid w:val="00A01DF6"/>
    <w:rsid w:val="00A01F55"/>
    <w:rsid w:val="00A02441"/>
    <w:rsid w:val="00A02E21"/>
    <w:rsid w:val="00A02EF7"/>
    <w:rsid w:val="00A02F07"/>
    <w:rsid w:val="00A02FEF"/>
    <w:rsid w:val="00A038C8"/>
    <w:rsid w:val="00A03C0E"/>
    <w:rsid w:val="00A03C97"/>
    <w:rsid w:val="00A0409D"/>
    <w:rsid w:val="00A042D5"/>
    <w:rsid w:val="00A04301"/>
    <w:rsid w:val="00A04388"/>
    <w:rsid w:val="00A043F0"/>
    <w:rsid w:val="00A048D7"/>
    <w:rsid w:val="00A04D3A"/>
    <w:rsid w:val="00A04E9F"/>
    <w:rsid w:val="00A050A2"/>
    <w:rsid w:val="00A05223"/>
    <w:rsid w:val="00A0598D"/>
    <w:rsid w:val="00A059AF"/>
    <w:rsid w:val="00A05D9E"/>
    <w:rsid w:val="00A06075"/>
    <w:rsid w:val="00A0621A"/>
    <w:rsid w:val="00A068E0"/>
    <w:rsid w:val="00A06BFA"/>
    <w:rsid w:val="00A06E36"/>
    <w:rsid w:val="00A06F22"/>
    <w:rsid w:val="00A06FBF"/>
    <w:rsid w:val="00A07003"/>
    <w:rsid w:val="00A07125"/>
    <w:rsid w:val="00A07155"/>
    <w:rsid w:val="00A0722E"/>
    <w:rsid w:val="00A0733F"/>
    <w:rsid w:val="00A0740D"/>
    <w:rsid w:val="00A07588"/>
    <w:rsid w:val="00A0764F"/>
    <w:rsid w:val="00A0771F"/>
    <w:rsid w:val="00A077AC"/>
    <w:rsid w:val="00A078B9"/>
    <w:rsid w:val="00A07A75"/>
    <w:rsid w:val="00A07B40"/>
    <w:rsid w:val="00A07E38"/>
    <w:rsid w:val="00A07E42"/>
    <w:rsid w:val="00A07EEC"/>
    <w:rsid w:val="00A07FA5"/>
    <w:rsid w:val="00A10263"/>
    <w:rsid w:val="00A103BD"/>
    <w:rsid w:val="00A10472"/>
    <w:rsid w:val="00A104BA"/>
    <w:rsid w:val="00A10689"/>
    <w:rsid w:val="00A10870"/>
    <w:rsid w:val="00A10A8B"/>
    <w:rsid w:val="00A10B30"/>
    <w:rsid w:val="00A10F7C"/>
    <w:rsid w:val="00A11336"/>
    <w:rsid w:val="00A11599"/>
    <w:rsid w:val="00A11B4F"/>
    <w:rsid w:val="00A11C11"/>
    <w:rsid w:val="00A11C99"/>
    <w:rsid w:val="00A11D6A"/>
    <w:rsid w:val="00A11EED"/>
    <w:rsid w:val="00A11FB7"/>
    <w:rsid w:val="00A120B9"/>
    <w:rsid w:val="00A12A1F"/>
    <w:rsid w:val="00A12F85"/>
    <w:rsid w:val="00A12FAE"/>
    <w:rsid w:val="00A135C1"/>
    <w:rsid w:val="00A138E3"/>
    <w:rsid w:val="00A13F0E"/>
    <w:rsid w:val="00A140EF"/>
    <w:rsid w:val="00A1420D"/>
    <w:rsid w:val="00A1437A"/>
    <w:rsid w:val="00A145B5"/>
    <w:rsid w:val="00A147C4"/>
    <w:rsid w:val="00A14DBD"/>
    <w:rsid w:val="00A1533A"/>
    <w:rsid w:val="00A15627"/>
    <w:rsid w:val="00A15763"/>
    <w:rsid w:val="00A15921"/>
    <w:rsid w:val="00A159D0"/>
    <w:rsid w:val="00A15A21"/>
    <w:rsid w:val="00A16493"/>
    <w:rsid w:val="00A164EC"/>
    <w:rsid w:val="00A16889"/>
    <w:rsid w:val="00A168B0"/>
    <w:rsid w:val="00A168E3"/>
    <w:rsid w:val="00A16B07"/>
    <w:rsid w:val="00A16C14"/>
    <w:rsid w:val="00A16CCF"/>
    <w:rsid w:val="00A17358"/>
    <w:rsid w:val="00A17379"/>
    <w:rsid w:val="00A1755B"/>
    <w:rsid w:val="00A1776E"/>
    <w:rsid w:val="00A17826"/>
    <w:rsid w:val="00A178A8"/>
    <w:rsid w:val="00A17FA1"/>
    <w:rsid w:val="00A2006A"/>
    <w:rsid w:val="00A208B4"/>
    <w:rsid w:val="00A20BC3"/>
    <w:rsid w:val="00A20DD8"/>
    <w:rsid w:val="00A21027"/>
    <w:rsid w:val="00A2164C"/>
    <w:rsid w:val="00A2169C"/>
    <w:rsid w:val="00A2173E"/>
    <w:rsid w:val="00A2189C"/>
    <w:rsid w:val="00A21B6E"/>
    <w:rsid w:val="00A21CEA"/>
    <w:rsid w:val="00A220B0"/>
    <w:rsid w:val="00A22475"/>
    <w:rsid w:val="00A22B5D"/>
    <w:rsid w:val="00A22D0D"/>
    <w:rsid w:val="00A22F92"/>
    <w:rsid w:val="00A22FA1"/>
    <w:rsid w:val="00A23856"/>
    <w:rsid w:val="00A239CE"/>
    <w:rsid w:val="00A239E6"/>
    <w:rsid w:val="00A23C42"/>
    <w:rsid w:val="00A23C99"/>
    <w:rsid w:val="00A23D2E"/>
    <w:rsid w:val="00A23E09"/>
    <w:rsid w:val="00A23F5E"/>
    <w:rsid w:val="00A241A7"/>
    <w:rsid w:val="00A24600"/>
    <w:rsid w:val="00A248E0"/>
    <w:rsid w:val="00A248E2"/>
    <w:rsid w:val="00A24E5A"/>
    <w:rsid w:val="00A24F33"/>
    <w:rsid w:val="00A24FCF"/>
    <w:rsid w:val="00A254CC"/>
    <w:rsid w:val="00A25694"/>
    <w:rsid w:val="00A2582F"/>
    <w:rsid w:val="00A25900"/>
    <w:rsid w:val="00A259A5"/>
    <w:rsid w:val="00A25A48"/>
    <w:rsid w:val="00A25A97"/>
    <w:rsid w:val="00A25AC9"/>
    <w:rsid w:val="00A25B9C"/>
    <w:rsid w:val="00A25E42"/>
    <w:rsid w:val="00A26093"/>
    <w:rsid w:val="00A26311"/>
    <w:rsid w:val="00A26880"/>
    <w:rsid w:val="00A269E3"/>
    <w:rsid w:val="00A2710D"/>
    <w:rsid w:val="00A2753C"/>
    <w:rsid w:val="00A27852"/>
    <w:rsid w:val="00A27B6B"/>
    <w:rsid w:val="00A27C9C"/>
    <w:rsid w:val="00A27D28"/>
    <w:rsid w:val="00A27D6C"/>
    <w:rsid w:val="00A27D8E"/>
    <w:rsid w:val="00A30136"/>
    <w:rsid w:val="00A301E7"/>
    <w:rsid w:val="00A3045A"/>
    <w:rsid w:val="00A309F3"/>
    <w:rsid w:val="00A30AB3"/>
    <w:rsid w:val="00A30B52"/>
    <w:rsid w:val="00A30CF2"/>
    <w:rsid w:val="00A30E6E"/>
    <w:rsid w:val="00A30EF1"/>
    <w:rsid w:val="00A30F5B"/>
    <w:rsid w:val="00A30F96"/>
    <w:rsid w:val="00A31685"/>
    <w:rsid w:val="00A319F8"/>
    <w:rsid w:val="00A31A8A"/>
    <w:rsid w:val="00A31C80"/>
    <w:rsid w:val="00A31EF4"/>
    <w:rsid w:val="00A32068"/>
    <w:rsid w:val="00A32256"/>
    <w:rsid w:val="00A32376"/>
    <w:rsid w:val="00A32489"/>
    <w:rsid w:val="00A329BB"/>
    <w:rsid w:val="00A32AA3"/>
    <w:rsid w:val="00A32BD8"/>
    <w:rsid w:val="00A32DC4"/>
    <w:rsid w:val="00A32EA4"/>
    <w:rsid w:val="00A32EF3"/>
    <w:rsid w:val="00A3301A"/>
    <w:rsid w:val="00A331B3"/>
    <w:rsid w:val="00A33537"/>
    <w:rsid w:val="00A335C4"/>
    <w:rsid w:val="00A338A5"/>
    <w:rsid w:val="00A338A6"/>
    <w:rsid w:val="00A33B06"/>
    <w:rsid w:val="00A33B96"/>
    <w:rsid w:val="00A34001"/>
    <w:rsid w:val="00A34100"/>
    <w:rsid w:val="00A3456C"/>
    <w:rsid w:val="00A347DB"/>
    <w:rsid w:val="00A3489C"/>
    <w:rsid w:val="00A34DE9"/>
    <w:rsid w:val="00A35214"/>
    <w:rsid w:val="00A35438"/>
    <w:rsid w:val="00A35443"/>
    <w:rsid w:val="00A359FE"/>
    <w:rsid w:val="00A36228"/>
    <w:rsid w:val="00A363C2"/>
    <w:rsid w:val="00A3641C"/>
    <w:rsid w:val="00A367DD"/>
    <w:rsid w:val="00A3686D"/>
    <w:rsid w:val="00A36AB6"/>
    <w:rsid w:val="00A36B66"/>
    <w:rsid w:val="00A36BAD"/>
    <w:rsid w:val="00A36C67"/>
    <w:rsid w:val="00A36CA8"/>
    <w:rsid w:val="00A36D47"/>
    <w:rsid w:val="00A36D4B"/>
    <w:rsid w:val="00A3738D"/>
    <w:rsid w:val="00A37531"/>
    <w:rsid w:val="00A375F8"/>
    <w:rsid w:val="00A377D5"/>
    <w:rsid w:val="00A3796D"/>
    <w:rsid w:val="00A37C04"/>
    <w:rsid w:val="00A37DC8"/>
    <w:rsid w:val="00A40024"/>
    <w:rsid w:val="00A40031"/>
    <w:rsid w:val="00A400BE"/>
    <w:rsid w:val="00A408CF"/>
    <w:rsid w:val="00A409C9"/>
    <w:rsid w:val="00A409DA"/>
    <w:rsid w:val="00A41019"/>
    <w:rsid w:val="00A411C1"/>
    <w:rsid w:val="00A416CE"/>
    <w:rsid w:val="00A417DA"/>
    <w:rsid w:val="00A41B4A"/>
    <w:rsid w:val="00A41E72"/>
    <w:rsid w:val="00A41F5E"/>
    <w:rsid w:val="00A42251"/>
    <w:rsid w:val="00A42300"/>
    <w:rsid w:val="00A426AF"/>
    <w:rsid w:val="00A427A2"/>
    <w:rsid w:val="00A42C84"/>
    <w:rsid w:val="00A42C91"/>
    <w:rsid w:val="00A42DC2"/>
    <w:rsid w:val="00A42DF8"/>
    <w:rsid w:val="00A43050"/>
    <w:rsid w:val="00A430BF"/>
    <w:rsid w:val="00A43240"/>
    <w:rsid w:val="00A436F0"/>
    <w:rsid w:val="00A438D3"/>
    <w:rsid w:val="00A43E56"/>
    <w:rsid w:val="00A4407C"/>
    <w:rsid w:val="00A44367"/>
    <w:rsid w:val="00A443DA"/>
    <w:rsid w:val="00A44724"/>
    <w:rsid w:val="00A447C8"/>
    <w:rsid w:val="00A448B0"/>
    <w:rsid w:val="00A44A6E"/>
    <w:rsid w:val="00A44A79"/>
    <w:rsid w:val="00A44CEF"/>
    <w:rsid w:val="00A45627"/>
    <w:rsid w:val="00A45735"/>
    <w:rsid w:val="00A45941"/>
    <w:rsid w:val="00A45B41"/>
    <w:rsid w:val="00A46004"/>
    <w:rsid w:val="00A46066"/>
    <w:rsid w:val="00A463F6"/>
    <w:rsid w:val="00A46607"/>
    <w:rsid w:val="00A467A8"/>
    <w:rsid w:val="00A46861"/>
    <w:rsid w:val="00A469FA"/>
    <w:rsid w:val="00A46D4C"/>
    <w:rsid w:val="00A471E6"/>
    <w:rsid w:val="00A4722E"/>
    <w:rsid w:val="00A472AF"/>
    <w:rsid w:val="00A47BD7"/>
    <w:rsid w:val="00A47D97"/>
    <w:rsid w:val="00A47EF6"/>
    <w:rsid w:val="00A502B3"/>
    <w:rsid w:val="00A504F2"/>
    <w:rsid w:val="00A50B3D"/>
    <w:rsid w:val="00A50BD1"/>
    <w:rsid w:val="00A50C73"/>
    <w:rsid w:val="00A51378"/>
    <w:rsid w:val="00A51576"/>
    <w:rsid w:val="00A51699"/>
    <w:rsid w:val="00A51737"/>
    <w:rsid w:val="00A51F18"/>
    <w:rsid w:val="00A51F1F"/>
    <w:rsid w:val="00A51F8E"/>
    <w:rsid w:val="00A51FD8"/>
    <w:rsid w:val="00A522E2"/>
    <w:rsid w:val="00A5251E"/>
    <w:rsid w:val="00A525C5"/>
    <w:rsid w:val="00A525D6"/>
    <w:rsid w:val="00A52784"/>
    <w:rsid w:val="00A527A9"/>
    <w:rsid w:val="00A5281B"/>
    <w:rsid w:val="00A52C97"/>
    <w:rsid w:val="00A52D47"/>
    <w:rsid w:val="00A53261"/>
    <w:rsid w:val="00A534C6"/>
    <w:rsid w:val="00A536D8"/>
    <w:rsid w:val="00A53702"/>
    <w:rsid w:val="00A53744"/>
    <w:rsid w:val="00A53814"/>
    <w:rsid w:val="00A539A2"/>
    <w:rsid w:val="00A539F2"/>
    <w:rsid w:val="00A53B2B"/>
    <w:rsid w:val="00A53D4F"/>
    <w:rsid w:val="00A53D7A"/>
    <w:rsid w:val="00A53E5B"/>
    <w:rsid w:val="00A54037"/>
    <w:rsid w:val="00A540D4"/>
    <w:rsid w:val="00A541F4"/>
    <w:rsid w:val="00A544DD"/>
    <w:rsid w:val="00A5460D"/>
    <w:rsid w:val="00A5486C"/>
    <w:rsid w:val="00A54896"/>
    <w:rsid w:val="00A548CA"/>
    <w:rsid w:val="00A54A1C"/>
    <w:rsid w:val="00A54AEA"/>
    <w:rsid w:val="00A54D26"/>
    <w:rsid w:val="00A54E29"/>
    <w:rsid w:val="00A54E85"/>
    <w:rsid w:val="00A5558F"/>
    <w:rsid w:val="00A5561E"/>
    <w:rsid w:val="00A55674"/>
    <w:rsid w:val="00A557B2"/>
    <w:rsid w:val="00A55987"/>
    <w:rsid w:val="00A55C0E"/>
    <w:rsid w:val="00A55CD6"/>
    <w:rsid w:val="00A55F08"/>
    <w:rsid w:val="00A5627E"/>
    <w:rsid w:val="00A562FE"/>
    <w:rsid w:val="00A567CF"/>
    <w:rsid w:val="00A56D40"/>
    <w:rsid w:val="00A56F18"/>
    <w:rsid w:val="00A57008"/>
    <w:rsid w:val="00A5705C"/>
    <w:rsid w:val="00A571F7"/>
    <w:rsid w:val="00A57657"/>
    <w:rsid w:val="00A579A0"/>
    <w:rsid w:val="00A57A04"/>
    <w:rsid w:val="00A57A16"/>
    <w:rsid w:val="00A57B24"/>
    <w:rsid w:val="00A57DDE"/>
    <w:rsid w:val="00A57DF6"/>
    <w:rsid w:val="00A600C3"/>
    <w:rsid w:val="00A60108"/>
    <w:rsid w:val="00A60172"/>
    <w:rsid w:val="00A6020A"/>
    <w:rsid w:val="00A606C9"/>
    <w:rsid w:val="00A607C3"/>
    <w:rsid w:val="00A608C6"/>
    <w:rsid w:val="00A60FA6"/>
    <w:rsid w:val="00A60FA9"/>
    <w:rsid w:val="00A61019"/>
    <w:rsid w:val="00A6154D"/>
    <w:rsid w:val="00A61686"/>
    <w:rsid w:val="00A61A03"/>
    <w:rsid w:val="00A61A2B"/>
    <w:rsid w:val="00A61B4B"/>
    <w:rsid w:val="00A62022"/>
    <w:rsid w:val="00A622EA"/>
    <w:rsid w:val="00A62489"/>
    <w:rsid w:val="00A6256F"/>
    <w:rsid w:val="00A629FF"/>
    <w:rsid w:val="00A62D45"/>
    <w:rsid w:val="00A62E6E"/>
    <w:rsid w:val="00A62E88"/>
    <w:rsid w:val="00A62EE9"/>
    <w:rsid w:val="00A632BF"/>
    <w:rsid w:val="00A634AE"/>
    <w:rsid w:val="00A6350D"/>
    <w:rsid w:val="00A637D2"/>
    <w:rsid w:val="00A6393A"/>
    <w:rsid w:val="00A63989"/>
    <w:rsid w:val="00A63994"/>
    <w:rsid w:val="00A63BA3"/>
    <w:rsid w:val="00A64119"/>
    <w:rsid w:val="00A64583"/>
    <w:rsid w:val="00A64A3B"/>
    <w:rsid w:val="00A64AF5"/>
    <w:rsid w:val="00A64BC6"/>
    <w:rsid w:val="00A64E0D"/>
    <w:rsid w:val="00A6531F"/>
    <w:rsid w:val="00A657B9"/>
    <w:rsid w:val="00A65F08"/>
    <w:rsid w:val="00A65FFF"/>
    <w:rsid w:val="00A661F3"/>
    <w:rsid w:val="00A662C3"/>
    <w:rsid w:val="00A6698C"/>
    <w:rsid w:val="00A66C46"/>
    <w:rsid w:val="00A66E33"/>
    <w:rsid w:val="00A66EC4"/>
    <w:rsid w:val="00A672DA"/>
    <w:rsid w:val="00A67310"/>
    <w:rsid w:val="00A67468"/>
    <w:rsid w:val="00A67486"/>
    <w:rsid w:val="00A67CE1"/>
    <w:rsid w:val="00A67D25"/>
    <w:rsid w:val="00A67D5F"/>
    <w:rsid w:val="00A67D86"/>
    <w:rsid w:val="00A67F36"/>
    <w:rsid w:val="00A67F5A"/>
    <w:rsid w:val="00A70086"/>
    <w:rsid w:val="00A701D1"/>
    <w:rsid w:val="00A70374"/>
    <w:rsid w:val="00A706A9"/>
    <w:rsid w:val="00A70EAC"/>
    <w:rsid w:val="00A70F7C"/>
    <w:rsid w:val="00A7111F"/>
    <w:rsid w:val="00A7154B"/>
    <w:rsid w:val="00A715CC"/>
    <w:rsid w:val="00A71EFF"/>
    <w:rsid w:val="00A71FC4"/>
    <w:rsid w:val="00A7237E"/>
    <w:rsid w:val="00A72396"/>
    <w:rsid w:val="00A723F0"/>
    <w:rsid w:val="00A724AD"/>
    <w:rsid w:val="00A724E4"/>
    <w:rsid w:val="00A72593"/>
    <w:rsid w:val="00A72681"/>
    <w:rsid w:val="00A72B8E"/>
    <w:rsid w:val="00A72E53"/>
    <w:rsid w:val="00A7325E"/>
    <w:rsid w:val="00A732EC"/>
    <w:rsid w:val="00A73484"/>
    <w:rsid w:val="00A73529"/>
    <w:rsid w:val="00A73A50"/>
    <w:rsid w:val="00A73A72"/>
    <w:rsid w:val="00A742C3"/>
    <w:rsid w:val="00A7434A"/>
    <w:rsid w:val="00A74841"/>
    <w:rsid w:val="00A74CD5"/>
    <w:rsid w:val="00A74DA2"/>
    <w:rsid w:val="00A74E67"/>
    <w:rsid w:val="00A74E68"/>
    <w:rsid w:val="00A74EDF"/>
    <w:rsid w:val="00A74FA7"/>
    <w:rsid w:val="00A7510A"/>
    <w:rsid w:val="00A75152"/>
    <w:rsid w:val="00A75233"/>
    <w:rsid w:val="00A752BB"/>
    <w:rsid w:val="00A75322"/>
    <w:rsid w:val="00A7535A"/>
    <w:rsid w:val="00A753FD"/>
    <w:rsid w:val="00A75774"/>
    <w:rsid w:val="00A757A7"/>
    <w:rsid w:val="00A75F7E"/>
    <w:rsid w:val="00A76078"/>
    <w:rsid w:val="00A766D9"/>
    <w:rsid w:val="00A76B1B"/>
    <w:rsid w:val="00A76B7B"/>
    <w:rsid w:val="00A76F55"/>
    <w:rsid w:val="00A772BE"/>
    <w:rsid w:val="00A7743C"/>
    <w:rsid w:val="00A775FD"/>
    <w:rsid w:val="00A77675"/>
    <w:rsid w:val="00A776F1"/>
    <w:rsid w:val="00A77FB6"/>
    <w:rsid w:val="00A80252"/>
    <w:rsid w:val="00A80619"/>
    <w:rsid w:val="00A80954"/>
    <w:rsid w:val="00A80AF2"/>
    <w:rsid w:val="00A80BEB"/>
    <w:rsid w:val="00A80ED7"/>
    <w:rsid w:val="00A8146C"/>
    <w:rsid w:val="00A81658"/>
    <w:rsid w:val="00A8179B"/>
    <w:rsid w:val="00A81A98"/>
    <w:rsid w:val="00A82182"/>
    <w:rsid w:val="00A821E5"/>
    <w:rsid w:val="00A82282"/>
    <w:rsid w:val="00A826AA"/>
    <w:rsid w:val="00A82B2A"/>
    <w:rsid w:val="00A82B61"/>
    <w:rsid w:val="00A82E2D"/>
    <w:rsid w:val="00A8320B"/>
    <w:rsid w:val="00A8326A"/>
    <w:rsid w:val="00A8344F"/>
    <w:rsid w:val="00A839FA"/>
    <w:rsid w:val="00A83CD3"/>
    <w:rsid w:val="00A83E6E"/>
    <w:rsid w:val="00A83F43"/>
    <w:rsid w:val="00A83F4C"/>
    <w:rsid w:val="00A841E3"/>
    <w:rsid w:val="00A8458E"/>
    <w:rsid w:val="00A845A4"/>
    <w:rsid w:val="00A8479E"/>
    <w:rsid w:val="00A8499C"/>
    <w:rsid w:val="00A84A89"/>
    <w:rsid w:val="00A84C69"/>
    <w:rsid w:val="00A84CE8"/>
    <w:rsid w:val="00A84E5E"/>
    <w:rsid w:val="00A84EA2"/>
    <w:rsid w:val="00A8503E"/>
    <w:rsid w:val="00A853C3"/>
    <w:rsid w:val="00A853CE"/>
    <w:rsid w:val="00A85AFB"/>
    <w:rsid w:val="00A85C48"/>
    <w:rsid w:val="00A85C98"/>
    <w:rsid w:val="00A85D26"/>
    <w:rsid w:val="00A85EC1"/>
    <w:rsid w:val="00A860F9"/>
    <w:rsid w:val="00A861FF"/>
    <w:rsid w:val="00A86237"/>
    <w:rsid w:val="00A8637C"/>
    <w:rsid w:val="00A86463"/>
    <w:rsid w:val="00A86DED"/>
    <w:rsid w:val="00A86E60"/>
    <w:rsid w:val="00A86E6A"/>
    <w:rsid w:val="00A87025"/>
    <w:rsid w:val="00A8724A"/>
    <w:rsid w:val="00A872DD"/>
    <w:rsid w:val="00A87484"/>
    <w:rsid w:val="00A8754B"/>
    <w:rsid w:val="00A876BE"/>
    <w:rsid w:val="00A8794E"/>
    <w:rsid w:val="00A87955"/>
    <w:rsid w:val="00A87966"/>
    <w:rsid w:val="00A87B1E"/>
    <w:rsid w:val="00A87F0E"/>
    <w:rsid w:val="00A87F43"/>
    <w:rsid w:val="00A90273"/>
    <w:rsid w:val="00A902B5"/>
    <w:rsid w:val="00A90618"/>
    <w:rsid w:val="00A90E4D"/>
    <w:rsid w:val="00A9107B"/>
    <w:rsid w:val="00A91366"/>
    <w:rsid w:val="00A919D8"/>
    <w:rsid w:val="00A91D11"/>
    <w:rsid w:val="00A9206B"/>
    <w:rsid w:val="00A92481"/>
    <w:rsid w:val="00A9253A"/>
    <w:rsid w:val="00A9268C"/>
    <w:rsid w:val="00A92772"/>
    <w:rsid w:val="00A92858"/>
    <w:rsid w:val="00A929DF"/>
    <w:rsid w:val="00A92BD7"/>
    <w:rsid w:val="00A92F01"/>
    <w:rsid w:val="00A931F5"/>
    <w:rsid w:val="00A93533"/>
    <w:rsid w:val="00A936AF"/>
    <w:rsid w:val="00A9382E"/>
    <w:rsid w:val="00A93E4A"/>
    <w:rsid w:val="00A941C3"/>
    <w:rsid w:val="00A941F7"/>
    <w:rsid w:val="00A94207"/>
    <w:rsid w:val="00A94271"/>
    <w:rsid w:val="00A94286"/>
    <w:rsid w:val="00A946D9"/>
    <w:rsid w:val="00A946E4"/>
    <w:rsid w:val="00A9470C"/>
    <w:rsid w:val="00A94742"/>
    <w:rsid w:val="00A94BD0"/>
    <w:rsid w:val="00A94C7A"/>
    <w:rsid w:val="00A94FE0"/>
    <w:rsid w:val="00A9515A"/>
    <w:rsid w:val="00A957AA"/>
    <w:rsid w:val="00A95824"/>
    <w:rsid w:val="00A95EF0"/>
    <w:rsid w:val="00A960F2"/>
    <w:rsid w:val="00A96478"/>
    <w:rsid w:val="00A96646"/>
    <w:rsid w:val="00A96647"/>
    <w:rsid w:val="00A9675D"/>
    <w:rsid w:val="00A9677F"/>
    <w:rsid w:val="00A9681F"/>
    <w:rsid w:val="00A9686D"/>
    <w:rsid w:val="00A96C53"/>
    <w:rsid w:val="00A96E24"/>
    <w:rsid w:val="00A9734A"/>
    <w:rsid w:val="00A97902"/>
    <w:rsid w:val="00A97CA5"/>
    <w:rsid w:val="00A97F4C"/>
    <w:rsid w:val="00AA0186"/>
    <w:rsid w:val="00AA0A0C"/>
    <w:rsid w:val="00AA0AE9"/>
    <w:rsid w:val="00AA0B36"/>
    <w:rsid w:val="00AA0B78"/>
    <w:rsid w:val="00AA0EFD"/>
    <w:rsid w:val="00AA10FB"/>
    <w:rsid w:val="00AA12D3"/>
    <w:rsid w:val="00AA1345"/>
    <w:rsid w:val="00AA141A"/>
    <w:rsid w:val="00AA1556"/>
    <w:rsid w:val="00AA1793"/>
    <w:rsid w:val="00AA1CA5"/>
    <w:rsid w:val="00AA206B"/>
    <w:rsid w:val="00AA222A"/>
    <w:rsid w:val="00AA2404"/>
    <w:rsid w:val="00AA2448"/>
    <w:rsid w:val="00AA25EE"/>
    <w:rsid w:val="00AA2AEF"/>
    <w:rsid w:val="00AA3143"/>
    <w:rsid w:val="00AA322E"/>
    <w:rsid w:val="00AA343E"/>
    <w:rsid w:val="00AA3547"/>
    <w:rsid w:val="00AA368A"/>
    <w:rsid w:val="00AA385A"/>
    <w:rsid w:val="00AA3A53"/>
    <w:rsid w:val="00AA3C90"/>
    <w:rsid w:val="00AA3D3A"/>
    <w:rsid w:val="00AA405B"/>
    <w:rsid w:val="00AA43A4"/>
    <w:rsid w:val="00AA442A"/>
    <w:rsid w:val="00AA45BC"/>
    <w:rsid w:val="00AA4637"/>
    <w:rsid w:val="00AA4896"/>
    <w:rsid w:val="00AA48B7"/>
    <w:rsid w:val="00AA4990"/>
    <w:rsid w:val="00AA4F44"/>
    <w:rsid w:val="00AA5033"/>
    <w:rsid w:val="00AA56AF"/>
    <w:rsid w:val="00AA5869"/>
    <w:rsid w:val="00AA5B5A"/>
    <w:rsid w:val="00AA60A1"/>
    <w:rsid w:val="00AA615E"/>
    <w:rsid w:val="00AA6373"/>
    <w:rsid w:val="00AA68BE"/>
    <w:rsid w:val="00AA6973"/>
    <w:rsid w:val="00AA6DA4"/>
    <w:rsid w:val="00AA70A0"/>
    <w:rsid w:val="00AA70E5"/>
    <w:rsid w:val="00AA7160"/>
    <w:rsid w:val="00AA735B"/>
    <w:rsid w:val="00AA779F"/>
    <w:rsid w:val="00AA78EC"/>
    <w:rsid w:val="00AA78FA"/>
    <w:rsid w:val="00AA7992"/>
    <w:rsid w:val="00AA7B22"/>
    <w:rsid w:val="00AA7B7D"/>
    <w:rsid w:val="00AB04C9"/>
    <w:rsid w:val="00AB08ED"/>
    <w:rsid w:val="00AB0B03"/>
    <w:rsid w:val="00AB0BE2"/>
    <w:rsid w:val="00AB0CB8"/>
    <w:rsid w:val="00AB141F"/>
    <w:rsid w:val="00AB16E5"/>
    <w:rsid w:val="00AB1B50"/>
    <w:rsid w:val="00AB1F88"/>
    <w:rsid w:val="00AB2110"/>
    <w:rsid w:val="00AB228C"/>
    <w:rsid w:val="00AB22E5"/>
    <w:rsid w:val="00AB26CF"/>
    <w:rsid w:val="00AB283F"/>
    <w:rsid w:val="00AB289E"/>
    <w:rsid w:val="00AB28B6"/>
    <w:rsid w:val="00AB2946"/>
    <w:rsid w:val="00AB2A7F"/>
    <w:rsid w:val="00AB2CC5"/>
    <w:rsid w:val="00AB2E22"/>
    <w:rsid w:val="00AB340C"/>
    <w:rsid w:val="00AB3472"/>
    <w:rsid w:val="00AB3564"/>
    <w:rsid w:val="00AB372E"/>
    <w:rsid w:val="00AB3CB9"/>
    <w:rsid w:val="00AB4577"/>
    <w:rsid w:val="00AB4744"/>
    <w:rsid w:val="00AB47E6"/>
    <w:rsid w:val="00AB4808"/>
    <w:rsid w:val="00AB48E9"/>
    <w:rsid w:val="00AB4A1F"/>
    <w:rsid w:val="00AB5014"/>
    <w:rsid w:val="00AB5487"/>
    <w:rsid w:val="00AB58BD"/>
    <w:rsid w:val="00AB58ED"/>
    <w:rsid w:val="00AB58FB"/>
    <w:rsid w:val="00AB5AA4"/>
    <w:rsid w:val="00AB5E94"/>
    <w:rsid w:val="00AB616C"/>
    <w:rsid w:val="00AB6539"/>
    <w:rsid w:val="00AB6648"/>
    <w:rsid w:val="00AB6B0E"/>
    <w:rsid w:val="00AB6C00"/>
    <w:rsid w:val="00AB7005"/>
    <w:rsid w:val="00AB73B5"/>
    <w:rsid w:val="00AB74DA"/>
    <w:rsid w:val="00AB75AB"/>
    <w:rsid w:val="00AB75F5"/>
    <w:rsid w:val="00AB7643"/>
    <w:rsid w:val="00AB78F3"/>
    <w:rsid w:val="00AB7AF0"/>
    <w:rsid w:val="00AB7D35"/>
    <w:rsid w:val="00AB7E9B"/>
    <w:rsid w:val="00AC0105"/>
    <w:rsid w:val="00AC012D"/>
    <w:rsid w:val="00AC01DF"/>
    <w:rsid w:val="00AC03FD"/>
    <w:rsid w:val="00AC0401"/>
    <w:rsid w:val="00AC078A"/>
    <w:rsid w:val="00AC0C01"/>
    <w:rsid w:val="00AC0CD1"/>
    <w:rsid w:val="00AC16B6"/>
    <w:rsid w:val="00AC1877"/>
    <w:rsid w:val="00AC1928"/>
    <w:rsid w:val="00AC1ABD"/>
    <w:rsid w:val="00AC1BAD"/>
    <w:rsid w:val="00AC1DF7"/>
    <w:rsid w:val="00AC228E"/>
    <w:rsid w:val="00AC22C0"/>
    <w:rsid w:val="00AC23D5"/>
    <w:rsid w:val="00AC24B2"/>
    <w:rsid w:val="00AC2511"/>
    <w:rsid w:val="00AC2605"/>
    <w:rsid w:val="00AC2737"/>
    <w:rsid w:val="00AC27BC"/>
    <w:rsid w:val="00AC280E"/>
    <w:rsid w:val="00AC2AC0"/>
    <w:rsid w:val="00AC2C9B"/>
    <w:rsid w:val="00AC3643"/>
    <w:rsid w:val="00AC36BB"/>
    <w:rsid w:val="00AC36FA"/>
    <w:rsid w:val="00AC373F"/>
    <w:rsid w:val="00AC3933"/>
    <w:rsid w:val="00AC3BF9"/>
    <w:rsid w:val="00AC3D0C"/>
    <w:rsid w:val="00AC3F9E"/>
    <w:rsid w:val="00AC4256"/>
    <w:rsid w:val="00AC44F1"/>
    <w:rsid w:val="00AC454E"/>
    <w:rsid w:val="00AC45AA"/>
    <w:rsid w:val="00AC45D4"/>
    <w:rsid w:val="00AC4813"/>
    <w:rsid w:val="00AC4966"/>
    <w:rsid w:val="00AC49D8"/>
    <w:rsid w:val="00AC4A01"/>
    <w:rsid w:val="00AC4CC8"/>
    <w:rsid w:val="00AC4EF3"/>
    <w:rsid w:val="00AC5367"/>
    <w:rsid w:val="00AC549F"/>
    <w:rsid w:val="00AC58CF"/>
    <w:rsid w:val="00AC5A61"/>
    <w:rsid w:val="00AC5D7F"/>
    <w:rsid w:val="00AC5DEB"/>
    <w:rsid w:val="00AC5F5F"/>
    <w:rsid w:val="00AC5F88"/>
    <w:rsid w:val="00AC61D9"/>
    <w:rsid w:val="00AC6549"/>
    <w:rsid w:val="00AC667C"/>
    <w:rsid w:val="00AC668A"/>
    <w:rsid w:val="00AC690E"/>
    <w:rsid w:val="00AC6F49"/>
    <w:rsid w:val="00AC6F96"/>
    <w:rsid w:val="00AC7243"/>
    <w:rsid w:val="00AC76E3"/>
    <w:rsid w:val="00AC7990"/>
    <w:rsid w:val="00AC7B78"/>
    <w:rsid w:val="00AC7C98"/>
    <w:rsid w:val="00AD0394"/>
    <w:rsid w:val="00AD08D5"/>
    <w:rsid w:val="00AD0E57"/>
    <w:rsid w:val="00AD0EE2"/>
    <w:rsid w:val="00AD0EF8"/>
    <w:rsid w:val="00AD13FD"/>
    <w:rsid w:val="00AD1973"/>
    <w:rsid w:val="00AD1AFC"/>
    <w:rsid w:val="00AD1B3B"/>
    <w:rsid w:val="00AD1B58"/>
    <w:rsid w:val="00AD1B76"/>
    <w:rsid w:val="00AD1BFB"/>
    <w:rsid w:val="00AD25EF"/>
    <w:rsid w:val="00AD2887"/>
    <w:rsid w:val="00AD28BD"/>
    <w:rsid w:val="00AD2BFE"/>
    <w:rsid w:val="00AD2D20"/>
    <w:rsid w:val="00AD2D97"/>
    <w:rsid w:val="00AD30A8"/>
    <w:rsid w:val="00AD3484"/>
    <w:rsid w:val="00AD3B0E"/>
    <w:rsid w:val="00AD3B3E"/>
    <w:rsid w:val="00AD3BD6"/>
    <w:rsid w:val="00AD3D47"/>
    <w:rsid w:val="00AD3D85"/>
    <w:rsid w:val="00AD3FC8"/>
    <w:rsid w:val="00AD4B9C"/>
    <w:rsid w:val="00AD4DCD"/>
    <w:rsid w:val="00AD5330"/>
    <w:rsid w:val="00AD5348"/>
    <w:rsid w:val="00AD54AC"/>
    <w:rsid w:val="00AD562E"/>
    <w:rsid w:val="00AD563D"/>
    <w:rsid w:val="00AD577E"/>
    <w:rsid w:val="00AD5F54"/>
    <w:rsid w:val="00AD6137"/>
    <w:rsid w:val="00AD61ED"/>
    <w:rsid w:val="00AD6474"/>
    <w:rsid w:val="00AD65C4"/>
    <w:rsid w:val="00AD665D"/>
    <w:rsid w:val="00AD6724"/>
    <w:rsid w:val="00AD6968"/>
    <w:rsid w:val="00AD6ACB"/>
    <w:rsid w:val="00AD6D2A"/>
    <w:rsid w:val="00AD6F62"/>
    <w:rsid w:val="00AD7308"/>
    <w:rsid w:val="00AD7316"/>
    <w:rsid w:val="00AD76C2"/>
    <w:rsid w:val="00AD7909"/>
    <w:rsid w:val="00AD797A"/>
    <w:rsid w:val="00AD7A67"/>
    <w:rsid w:val="00AD7A97"/>
    <w:rsid w:val="00AD7AF4"/>
    <w:rsid w:val="00AD7E73"/>
    <w:rsid w:val="00AD7EB1"/>
    <w:rsid w:val="00AD7F04"/>
    <w:rsid w:val="00AD7F48"/>
    <w:rsid w:val="00AD7FA4"/>
    <w:rsid w:val="00AE00CF"/>
    <w:rsid w:val="00AE0169"/>
    <w:rsid w:val="00AE033F"/>
    <w:rsid w:val="00AE05A3"/>
    <w:rsid w:val="00AE0776"/>
    <w:rsid w:val="00AE0988"/>
    <w:rsid w:val="00AE0CAC"/>
    <w:rsid w:val="00AE0E20"/>
    <w:rsid w:val="00AE129B"/>
    <w:rsid w:val="00AE12FC"/>
    <w:rsid w:val="00AE135B"/>
    <w:rsid w:val="00AE1700"/>
    <w:rsid w:val="00AE1961"/>
    <w:rsid w:val="00AE1E23"/>
    <w:rsid w:val="00AE1E8F"/>
    <w:rsid w:val="00AE2049"/>
    <w:rsid w:val="00AE2492"/>
    <w:rsid w:val="00AE2687"/>
    <w:rsid w:val="00AE27A4"/>
    <w:rsid w:val="00AE32F4"/>
    <w:rsid w:val="00AE3AB1"/>
    <w:rsid w:val="00AE4083"/>
    <w:rsid w:val="00AE4094"/>
    <w:rsid w:val="00AE4196"/>
    <w:rsid w:val="00AE425C"/>
    <w:rsid w:val="00AE455A"/>
    <w:rsid w:val="00AE4685"/>
    <w:rsid w:val="00AE4B78"/>
    <w:rsid w:val="00AE4BB8"/>
    <w:rsid w:val="00AE4C44"/>
    <w:rsid w:val="00AE4CE2"/>
    <w:rsid w:val="00AE4D62"/>
    <w:rsid w:val="00AE4E01"/>
    <w:rsid w:val="00AE53B8"/>
    <w:rsid w:val="00AE5451"/>
    <w:rsid w:val="00AE547A"/>
    <w:rsid w:val="00AE54A2"/>
    <w:rsid w:val="00AE551A"/>
    <w:rsid w:val="00AE5888"/>
    <w:rsid w:val="00AE5B6B"/>
    <w:rsid w:val="00AE5C6B"/>
    <w:rsid w:val="00AE5DDB"/>
    <w:rsid w:val="00AE6153"/>
    <w:rsid w:val="00AE6293"/>
    <w:rsid w:val="00AE6527"/>
    <w:rsid w:val="00AE6571"/>
    <w:rsid w:val="00AE6E39"/>
    <w:rsid w:val="00AE7022"/>
    <w:rsid w:val="00AE739B"/>
    <w:rsid w:val="00AE7956"/>
    <w:rsid w:val="00AE7B77"/>
    <w:rsid w:val="00AE7E89"/>
    <w:rsid w:val="00AE7F4B"/>
    <w:rsid w:val="00AF0047"/>
    <w:rsid w:val="00AF0143"/>
    <w:rsid w:val="00AF0190"/>
    <w:rsid w:val="00AF01E8"/>
    <w:rsid w:val="00AF0695"/>
    <w:rsid w:val="00AF0A08"/>
    <w:rsid w:val="00AF0ADC"/>
    <w:rsid w:val="00AF0CEE"/>
    <w:rsid w:val="00AF0F48"/>
    <w:rsid w:val="00AF1357"/>
    <w:rsid w:val="00AF13D9"/>
    <w:rsid w:val="00AF1572"/>
    <w:rsid w:val="00AF1671"/>
    <w:rsid w:val="00AF178A"/>
    <w:rsid w:val="00AF1819"/>
    <w:rsid w:val="00AF1BCC"/>
    <w:rsid w:val="00AF1BF2"/>
    <w:rsid w:val="00AF1C7D"/>
    <w:rsid w:val="00AF2237"/>
    <w:rsid w:val="00AF2381"/>
    <w:rsid w:val="00AF2A39"/>
    <w:rsid w:val="00AF2BBF"/>
    <w:rsid w:val="00AF2BF3"/>
    <w:rsid w:val="00AF2D52"/>
    <w:rsid w:val="00AF3287"/>
    <w:rsid w:val="00AF3331"/>
    <w:rsid w:val="00AF3481"/>
    <w:rsid w:val="00AF37D2"/>
    <w:rsid w:val="00AF3870"/>
    <w:rsid w:val="00AF3955"/>
    <w:rsid w:val="00AF3A5C"/>
    <w:rsid w:val="00AF3C81"/>
    <w:rsid w:val="00AF3CF6"/>
    <w:rsid w:val="00AF3E0C"/>
    <w:rsid w:val="00AF3F50"/>
    <w:rsid w:val="00AF4053"/>
    <w:rsid w:val="00AF421E"/>
    <w:rsid w:val="00AF4685"/>
    <w:rsid w:val="00AF4B5D"/>
    <w:rsid w:val="00AF4D1F"/>
    <w:rsid w:val="00AF4E04"/>
    <w:rsid w:val="00AF4E27"/>
    <w:rsid w:val="00AF4E73"/>
    <w:rsid w:val="00AF5443"/>
    <w:rsid w:val="00AF570A"/>
    <w:rsid w:val="00AF59FC"/>
    <w:rsid w:val="00AF5BC8"/>
    <w:rsid w:val="00AF5BF4"/>
    <w:rsid w:val="00AF6041"/>
    <w:rsid w:val="00AF6089"/>
    <w:rsid w:val="00AF60FC"/>
    <w:rsid w:val="00AF6414"/>
    <w:rsid w:val="00AF67AA"/>
    <w:rsid w:val="00AF6A51"/>
    <w:rsid w:val="00AF6AEF"/>
    <w:rsid w:val="00AF712F"/>
    <w:rsid w:val="00AF7178"/>
    <w:rsid w:val="00AF73D9"/>
    <w:rsid w:val="00AF786E"/>
    <w:rsid w:val="00AF7E56"/>
    <w:rsid w:val="00B00483"/>
    <w:rsid w:val="00B00908"/>
    <w:rsid w:val="00B00C3B"/>
    <w:rsid w:val="00B011B7"/>
    <w:rsid w:val="00B01343"/>
    <w:rsid w:val="00B013D0"/>
    <w:rsid w:val="00B016DE"/>
    <w:rsid w:val="00B016E3"/>
    <w:rsid w:val="00B018B5"/>
    <w:rsid w:val="00B0193B"/>
    <w:rsid w:val="00B01E1C"/>
    <w:rsid w:val="00B01E74"/>
    <w:rsid w:val="00B020E0"/>
    <w:rsid w:val="00B021DB"/>
    <w:rsid w:val="00B0229A"/>
    <w:rsid w:val="00B02BA9"/>
    <w:rsid w:val="00B0349B"/>
    <w:rsid w:val="00B03557"/>
    <w:rsid w:val="00B0364D"/>
    <w:rsid w:val="00B03FD0"/>
    <w:rsid w:val="00B04381"/>
    <w:rsid w:val="00B04902"/>
    <w:rsid w:val="00B04A15"/>
    <w:rsid w:val="00B04B5F"/>
    <w:rsid w:val="00B052A3"/>
    <w:rsid w:val="00B05569"/>
    <w:rsid w:val="00B05ADB"/>
    <w:rsid w:val="00B05B82"/>
    <w:rsid w:val="00B05C87"/>
    <w:rsid w:val="00B05E87"/>
    <w:rsid w:val="00B05F0D"/>
    <w:rsid w:val="00B05F15"/>
    <w:rsid w:val="00B060B2"/>
    <w:rsid w:val="00B060CE"/>
    <w:rsid w:val="00B06716"/>
    <w:rsid w:val="00B06918"/>
    <w:rsid w:val="00B06A41"/>
    <w:rsid w:val="00B06B01"/>
    <w:rsid w:val="00B07F71"/>
    <w:rsid w:val="00B10123"/>
    <w:rsid w:val="00B1013A"/>
    <w:rsid w:val="00B101D4"/>
    <w:rsid w:val="00B10671"/>
    <w:rsid w:val="00B1070A"/>
    <w:rsid w:val="00B1076C"/>
    <w:rsid w:val="00B10A25"/>
    <w:rsid w:val="00B10AD7"/>
    <w:rsid w:val="00B10D08"/>
    <w:rsid w:val="00B10EE5"/>
    <w:rsid w:val="00B10FEB"/>
    <w:rsid w:val="00B111A0"/>
    <w:rsid w:val="00B113A6"/>
    <w:rsid w:val="00B118C5"/>
    <w:rsid w:val="00B11DFA"/>
    <w:rsid w:val="00B120A9"/>
    <w:rsid w:val="00B12349"/>
    <w:rsid w:val="00B12351"/>
    <w:rsid w:val="00B123E6"/>
    <w:rsid w:val="00B12A7A"/>
    <w:rsid w:val="00B12AB6"/>
    <w:rsid w:val="00B12AEE"/>
    <w:rsid w:val="00B1300C"/>
    <w:rsid w:val="00B1300D"/>
    <w:rsid w:val="00B13553"/>
    <w:rsid w:val="00B13589"/>
    <w:rsid w:val="00B13847"/>
    <w:rsid w:val="00B13A9E"/>
    <w:rsid w:val="00B13AE8"/>
    <w:rsid w:val="00B13AF7"/>
    <w:rsid w:val="00B13C19"/>
    <w:rsid w:val="00B13F61"/>
    <w:rsid w:val="00B1425A"/>
    <w:rsid w:val="00B145DE"/>
    <w:rsid w:val="00B14AEC"/>
    <w:rsid w:val="00B14EF0"/>
    <w:rsid w:val="00B1505F"/>
    <w:rsid w:val="00B1537B"/>
    <w:rsid w:val="00B153AB"/>
    <w:rsid w:val="00B1564A"/>
    <w:rsid w:val="00B15D8F"/>
    <w:rsid w:val="00B16137"/>
    <w:rsid w:val="00B163A5"/>
    <w:rsid w:val="00B16538"/>
    <w:rsid w:val="00B16B62"/>
    <w:rsid w:val="00B1723A"/>
    <w:rsid w:val="00B176BD"/>
    <w:rsid w:val="00B179E0"/>
    <w:rsid w:val="00B17D5C"/>
    <w:rsid w:val="00B17F3A"/>
    <w:rsid w:val="00B17F7B"/>
    <w:rsid w:val="00B204E7"/>
    <w:rsid w:val="00B20978"/>
    <w:rsid w:val="00B209AB"/>
    <w:rsid w:val="00B20BE9"/>
    <w:rsid w:val="00B20CDD"/>
    <w:rsid w:val="00B20E7C"/>
    <w:rsid w:val="00B21486"/>
    <w:rsid w:val="00B216F5"/>
    <w:rsid w:val="00B21A32"/>
    <w:rsid w:val="00B21B2F"/>
    <w:rsid w:val="00B21ED0"/>
    <w:rsid w:val="00B21EFA"/>
    <w:rsid w:val="00B21F13"/>
    <w:rsid w:val="00B21FD9"/>
    <w:rsid w:val="00B226E8"/>
    <w:rsid w:val="00B22767"/>
    <w:rsid w:val="00B22919"/>
    <w:rsid w:val="00B22A05"/>
    <w:rsid w:val="00B22BEB"/>
    <w:rsid w:val="00B22D9F"/>
    <w:rsid w:val="00B22E87"/>
    <w:rsid w:val="00B231EF"/>
    <w:rsid w:val="00B232B4"/>
    <w:rsid w:val="00B233CB"/>
    <w:rsid w:val="00B23567"/>
    <w:rsid w:val="00B235FD"/>
    <w:rsid w:val="00B23F59"/>
    <w:rsid w:val="00B23F96"/>
    <w:rsid w:val="00B2423A"/>
    <w:rsid w:val="00B244A2"/>
    <w:rsid w:val="00B245CE"/>
    <w:rsid w:val="00B2473F"/>
    <w:rsid w:val="00B2480F"/>
    <w:rsid w:val="00B24B32"/>
    <w:rsid w:val="00B24CD2"/>
    <w:rsid w:val="00B25011"/>
    <w:rsid w:val="00B2517B"/>
    <w:rsid w:val="00B25362"/>
    <w:rsid w:val="00B25AF8"/>
    <w:rsid w:val="00B25B8E"/>
    <w:rsid w:val="00B26130"/>
    <w:rsid w:val="00B261FA"/>
    <w:rsid w:val="00B26410"/>
    <w:rsid w:val="00B264D4"/>
    <w:rsid w:val="00B269D3"/>
    <w:rsid w:val="00B26AAE"/>
    <w:rsid w:val="00B26DC0"/>
    <w:rsid w:val="00B2701D"/>
    <w:rsid w:val="00B27026"/>
    <w:rsid w:val="00B2710D"/>
    <w:rsid w:val="00B2753D"/>
    <w:rsid w:val="00B278B8"/>
    <w:rsid w:val="00B279A4"/>
    <w:rsid w:val="00B27AA4"/>
    <w:rsid w:val="00B27E70"/>
    <w:rsid w:val="00B27FE6"/>
    <w:rsid w:val="00B301AE"/>
    <w:rsid w:val="00B30260"/>
    <w:rsid w:val="00B302C0"/>
    <w:rsid w:val="00B30311"/>
    <w:rsid w:val="00B30423"/>
    <w:rsid w:val="00B30536"/>
    <w:rsid w:val="00B30607"/>
    <w:rsid w:val="00B3096C"/>
    <w:rsid w:val="00B309E9"/>
    <w:rsid w:val="00B30EBA"/>
    <w:rsid w:val="00B31189"/>
    <w:rsid w:val="00B31268"/>
    <w:rsid w:val="00B312DF"/>
    <w:rsid w:val="00B31759"/>
    <w:rsid w:val="00B31C30"/>
    <w:rsid w:val="00B31C40"/>
    <w:rsid w:val="00B31E28"/>
    <w:rsid w:val="00B31F1F"/>
    <w:rsid w:val="00B31F27"/>
    <w:rsid w:val="00B31FF7"/>
    <w:rsid w:val="00B3223E"/>
    <w:rsid w:val="00B3284C"/>
    <w:rsid w:val="00B32973"/>
    <w:rsid w:val="00B32BFA"/>
    <w:rsid w:val="00B32E91"/>
    <w:rsid w:val="00B32F61"/>
    <w:rsid w:val="00B32F86"/>
    <w:rsid w:val="00B33148"/>
    <w:rsid w:val="00B33404"/>
    <w:rsid w:val="00B335D5"/>
    <w:rsid w:val="00B33665"/>
    <w:rsid w:val="00B337CA"/>
    <w:rsid w:val="00B34261"/>
    <w:rsid w:val="00B342C3"/>
    <w:rsid w:val="00B342FB"/>
    <w:rsid w:val="00B344A9"/>
    <w:rsid w:val="00B34696"/>
    <w:rsid w:val="00B346FB"/>
    <w:rsid w:val="00B3476F"/>
    <w:rsid w:val="00B3483B"/>
    <w:rsid w:val="00B3499D"/>
    <w:rsid w:val="00B35210"/>
    <w:rsid w:val="00B35565"/>
    <w:rsid w:val="00B355C9"/>
    <w:rsid w:val="00B3564F"/>
    <w:rsid w:val="00B3595D"/>
    <w:rsid w:val="00B359DC"/>
    <w:rsid w:val="00B35CB1"/>
    <w:rsid w:val="00B35E3C"/>
    <w:rsid w:val="00B35ECD"/>
    <w:rsid w:val="00B35FC7"/>
    <w:rsid w:val="00B361FD"/>
    <w:rsid w:val="00B36217"/>
    <w:rsid w:val="00B3659F"/>
    <w:rsid w:val="00B36E92"/>
    <w:rsid w:val="00B373A0"/>
    <w:rsid w:val="00B37851"/>
    <w:rsid w:val="00B37A53"/>
    <w:rsid w:val="00B37B4C"/>
    <w:rsid w:val="00B37CC2"/>
    <w:rsid w:val="00B40497"/>
    <w:rsid w:val="00B40BE0"/>
    <w:rsid w:val="00B40D89"/>
    <w:rsid w:val="00B40DE4"/>
    <w:rsid w:val="00B40E2D"/>
    <w:rsid w:val="00B41328"/>
    <w:rsid w:val="00B414C0"/>
    <w:rsid w:val="00B414E8"/>
    <w:rsid w:val="00B417C2"/>
    <w:rsid w:val="00B41C4E"/>
    <w:rsid w:val="00B41D64"/>
    <w:rsid w:val="00B41FA4"/>
    <w:rsid w:val="00B42473"/>
    <w:rsid w:val="00B428DD"/>
    <w:rsid w:val="00B42B90"/>
    <w:rsid w:val="00B42C0A"/>
    <w:rsid w:val="00B42F2E"/>
    <w:rsid w:val="00B43C9D"/>
    <w:rsid w:val="00B43CD7"/>
    <w:rsid w:val="00B43D31"/>
    <w:rsid w:val="00B43D8C"/>
    <w:rsid w:val="00B43F0B"/>
    <w:rsid w:val="00B4440B"/>
    <w:rsid w:val="00B44424"/>
    <w:rsid w:val="00B446C7"/>
    <w:rsid w:val="00B449BB"/>
    <w:rsid w:val="00B44B9D"/>
    <w:rsid w:val="00B44DBD"/>
    <w:rsid w:val="00B44E1D"/>
    <w:rsid w:val="00B44F8E"/>
    <w:rsid w:val="00B45060"/>
    <w:rsid w:val="00B45167"/>
    <w:rsid w:val="00B45176"/>
    <w:rsid w:val="00B451D9"/>
    <w:rsid w:val="00B4525D"/>
    <w:rsid w:val="00B45335"/>
    <w:rsid w:val="00B45451"/>
    <w:rsid w:val="00B454C8"/>
    <w:rsid w:val="00B455BA"/>
    <w:rsid w:val="00B455F9"/>
    <w:rsid w:val="00B45B7D"/>
    <w:rsid w:val="00B45C43"/>
    <w:rsid w:val="00B45C50"/>
    <w:rsid w:val="00B45C9D"/>
    <w:rsid w:val="00B45EDB"/>
    <w:rsid w:val="00B45F4D"/>
    <w:rsid w:val="00B46096"/>
    <w:rsid w:val="00B4618E"/>
    <w:rsid w:val="00B464DE"/>
    <w:rsid w:val="00B467D8"/>
    <w:rsid w:val="00B46A61"/>
    <w:rsid w:val="00B46BB6"/>
    <w:rsid w:val="00B46BBC"/>
    <w:rsid w:val="00B47110"/>
    <w:rsid w:val="00B47349"/>
    <w:rsid w:val="00B473E5"/>
    <w:rsid w:val="00B4740F"/>
    <w:rsid w:val="00B47595"/>
    <w:rsid w:val="00B47731"/>
    <w:rsid w:val="00B47795"/>
    <w:rsid w:val="00B477EC"/>
    <w:rsid w:val="00B478C4"/>
    <w:rsid w:val="00B479E2"/>
    <w:rsid w:val="00B47A5C"/>
    <w:rsid w:val="00B47C00"/>
    <w:rsid w:val="00B47C6A"/>
    <w:rsid w:val="00B500BF"/>
    <w:rsid w:val="00B5070E"/>
    <w:rsid w:val="00B50893"/>
    <w:rsid w:val="00B5099D"/>
    <w:rsid w:val="00B509A0"/>
    <w:rsid w:val="00B50A0C"/>
    <w:rsid w:val="00B50B75"/>
    <w:rsid w:val="00B50C8F"/>
    <w:rsid w:val="00B50CB5"/>
    <w:rsid w:val="00B50E9A"/>
    <w:rsid w:val="00B5105E"/>
    <w:rsid w:val="00B51425"/>
    <w:rsid w:val="00B5197A"/>
    <w:rsid w:val="00B51B9B"/>
    <w:rsid w:val="00B51D9C"/>
    <w:rsid w:val="00B52381"/>
    <w:rsid w:val="00B525B4"/>
    <w:rsid w:val="00B525C9"/>
    <w:rsid w:val="00B52C99"/>
    <w:rsid w:val="00B52CEF"/>
    <w:rsid w:val="00B53208"/>
    <w:rsid w:val="00B53332"/>
    <w:rsid w:val="00B534A1"/>
    <w:rsid w:val="00B5375C"/>
    <w:rsid w:val="00B53839"/>
    <w:rsid w:val="00B5394E"/>
    <w:rsid w:val="00B53C69"/>
    <w:rsid w:val="00B5436A"/>
    <w:rsid w:val="00B5436B"/>
    <w:rsid w:val="00B5459E"/>
    <w:rsid w:val="00B545B8"/>
    <w:rsid w:val="00B54BB6"/>
    <w:rsid w:val="00B54BEC"/>
    <w:rsid w:val="00B54C91"/>
    <w:rsid w:val="00B54E19"/>
    <w:rsid w:val="00B54F47"/>
    <w:rsid w:val="00B54F64"/>
    <w:rsid w:val="00B55250"/>
    <w:rsid w:val="00B553EB"/>
    <w:rsid w:val="00B55A46"/>
    <w:rsid w:val="00B55ABC"/>
    <w:rsid w:val="00B55B71"/>
    <w:rsid w:val="00B55CFE"/>
    <w:rsid w:val="00B55E45"/>
    <w:rsid w:val="00B56AD6"/>
    <w:rsid w:val="00B56D66"/>
    <w:rsid w:val="00B56F35"/>
    <w:rsid w:val="00B57089"/>
    <w:rsid w:val="00B57935"/>
    <w:rsid w:val="00B579AB"/>
    <w:rsid w:val="00B579C9"/>
    <w:rsid w:val="00B57BF3"/>
    <w:rsid w:val="00B57CA9"/>
    <w:rsid w:val="00B57CB9"/>
    <w:rsid w:val="00B57E68"/>
    <w:rsid w:val="00B6011F"/>
    <w:rsid w:val="00B607C5"/>
    <w:rsid w:val="00B60899"/>
    <w:rsid w:val="00B60C18"/>
    <w:rsid w:val="00B60C75"/>
    <w:rsid w:val="00B60DFA"/>
    <w:rsid w:val="00B60E28"/>
    <w:rsid w:val="00B60EE4"/>
    <w:rsid w:val="00B614FF"/>
    <w:rsid w:val="00B615DA"/>
    <w:rsid w:val="00B619ED"/>
    <w:rsid w:val="00B61A2C"/>
    <w:rsid w:val="00B61B38"/>
    <w:rsid w:val="00B62399"/>
    <w:rsid w:val="00B626D7"/>
    <w:rsid w:val="00B62AF6"/>
    <w:rsid w:val="00B630AE"/>
    <w:rsid w:val="00B633D0"/>
    <w:rsid w:val="00B63443"/>
    <w:rsid w:val="00B63631"/>
    <w:rsid w:val="00B63EB0"/>
    <w:rsid w:val="00B63F3F"/>
    <w:rsid w:val="00B643F7"/>
    <w:rsid w:val="00B64417"/>
    <w:rsid w:val="00B648A9"/>
    <w:rsid w:val="00B64D2D"/>
    <w:rsid w:val="00B64DBB"/>
    <w:rsid w:val="00B64F9A"/>
    <w:rsid w:val="00B652C2"/>
    <w:rsid w:val="00B652F7"/>
    <w:rsid w:val="00B65556"/>
    <w:rsid w:val="00B655E3"/>
    <w:rsid w:val="00B655FD"/>
    <w:rsid w:val="00B656EF"/>
    <w:rsid w:val="00B65B1B"/>
    <w:rsid w:val="00B65BC0"/>
    <w:rsid w:val="00B65C91"/>
    <w:rsid w:val="00B65CCC"/>
    <w:rsid w:val="00B65E9C"/>
    <w:rsid w:val="00B665D1"/>
    <w:rsid w:val="00B66E30"/>
    <w:rsid w:val="00B670E8"/>
    <w:rsid w:val="00B67212"/>
    <w:rsid w:val="00B674F8"/>
    <w:rsid w:val="00B675BD"/>
    <w:rsid w:val="00B6788A"/>
    <w:rsid w:val="00B67A6D"/>
    <w:rsid w:val="00B67A87"/>
    <w:rsid w:val="00B67D23"/>
    <w:rsid w:val="00B67DB0"/>
    <w:rsid w:val="00B67E9C"/>
    <w:rsid w:val="00B7030B"/>
    <w:rsid w:val="00B7047E"/>
    <w:rsid w:val="00B704B7"/>
    <w:rsid w:val="00B70652"/>
    <w:rsid w:val="00B709A6"/>
    <w:rsid w:val="00B70BCB"/>
    <w:rsid w:val="00B70BD1"/>
    <w:rsid w:val="00B70F32"/>
    <w:rsid w:val="00B71404"/>
    <w:rsid w:val="00B718BC"/>
    <w:rsid w:val="00B71DE4"/>
    <w:rsid w:val="00B71E42"/>
    <w:rsid w:val="00B72115"/>
    <w:rsid w:val="00B724C7"/>
    <w:rsid w:val="00B72596"/>
    <w:rsid w:val="00B72629"/>
    <w:rsid w:val="00B7262A"/>
    <w:rsid w:val="00B72767"/>
    <w:rsid w:val="00B730AF"/>
    <w:rsid w:val="00B730B7"/>
    <w:rsid w:val="00B73A08"/>
    <w:rsid w:val="00B73A78"/>
    <w:rsid w:val="00B73B72"/>
    <w:rsid w:val="00B73F4F"/>
    <w:rsid w:val="00B7424E"/>
    <w:rsid w:val="00B74259"/>
    <w:rsid w:val="00B742FE"/>
    <w:rsid w:val="00B74832"/>
    <w:rsid w:val="00B74885"/>
    <w:rsid w:val="00B74FD9"/>
    <w:rsid w:val="00B7579E"/>
    <w:rsid w:val="00B757A8"/>
    <w:rsid w:val="00B75B9C"/>
    <w:rsid w:val="00B761AA"/>
    <w:rsid w:val="00B761F7"/>
    <w:rsid w:val="00B764CE"/>
    <w:rsid w:val="00B7690E"/>
    <w:rsid w:val="00B76DAF"/>
    <w:rsid w:val="00B76EAD"/>
    <w:rsid w:val="00B773C6"/>
    <w:rsid w:val="00B776A0"/>
    <w:rsid w:val="00B776A2"/>
    <w:rsid w:val="00B77834"/>
    <w:rsid w:val="00B77981"/>
    <w:rsid w:val="00B779CD"/>
    <w:rsid w:val="00B77BDF"/>
    <w:rsid w:val="00B806F2"/>
    <w:rsid w:val="00B8087E"/>
    <w:rsid w:val="00B80953"/>
    <w:rsid w:val="00B809B9"/>
    <w:rsid w:val="00B80BB1"/>
    <w:rsid w:val="00B80C3D"/>
    <w:rsid w:val="00B80D1B"/>
    <w:rsid w:val="00B80E38"/>
    <w:rsid w:val="00B80F1F"/>
    <w:rsid w:val="00B80F35"/>
    <w:rsid w:val="00B81052"/>
    <w:rsid w:val="00B81365"/>
    <w:rsid w:val="00B815C1"/>
    <w:rsid w:val="00B81800"/>
    <w:rsid w:val="00B81AEA"/>
    <w:rsid w:val="00B81F6E"/>
    <w:rsid w:val="00B82DCF"/>
    <w:rsid w:val="00B8301F"/>
    <w:rsid w:val="00B8365B"/>
    <w:rsid w:val="00B83E37"/>
    <w:rsid w:val="00B84354"/>
    <w:rsid w:val="00B84600"/>
    <w:rsid w:val="00B84C9E"/>
    <w:rsid w:val="00B84D22"/>
    <w:rsid w:val="00B84FCD"/>
    <w:rsid w:val="00B85725"/>
    <w:rsid w:val="00B85834"/>
    <w:rsid w:val="00B85945"/>
    <w:rsid w:val="00B85B98"/>
    <w:rsid w:val="00B85CF7"/>
    <w:rsid w:val="00B85D6B"/>
    <w:rsid w:val="00B85ED6"/>
    <w:rsid w:val="00B86033"/>
    <w:rsid w:val="00B86035"/>
    <w:rsid w:val="00B8604E"/>
    <w:rsid w:val="00B8606A"/>
    <w:rsid w:val="00B86157"/>
    <w:rsid w:val="00B86176"/>
    <w:rsid w:val="00B86B01"/>
    <w:rsid w:val="00B86C0A"/>
    <w:rsid w:val="00B86F38"/>
    <w:rsid w:val="00B87011"/>
    <w:rsid w:val="00B8728D"/>
    <w:rsid w:val="00B872B3"/>
    <w:rsid w:val="00B876F9"/>
    <w:rsid w:val="00B878A8"/>
    <w:rsid w:val="00B87A64"/>
    <w:rsid w:val="00B90760"/>
    <w:rsid w:val="00B90D75"/>
    <w:rsid w:val="00B9106D"/>
    <w:rsid w:val="00B914A6"/>
    <w:rsid w:val="00B91632"/>
    <w:rsid w:val="00B9196A"/>
    <w:rsid w:val="00B91C34"/>
    <w:rsid w:val="00B91D13"/>
    <w:rsid w:val="00B91FA9"/>
    <w:rsid w:val="00B920F2"/>
    <w:rsid w:val="00B9230A"/>
    <w:rsid w:val="00B92590"/>
    <w:rsid w:val="00B92642"/>
    <w:rsid w:val="00B933DB"/>
    <w:rsid w:val="00B9341C"/>
    <w:rsid w:val="00B9341F"/>
    <w:rsid w:val="00B93556"/>
    <w:rsid w:val="00B9381E"/>
    <w:rsid w:val="00B93866"/>
    <w:rsid w:val="00B938AE"/>
    <w:rsid w:val="00B93B00"/>
    <w:rsid w:val="00B93C0C"/>
    <w:rsid w:val="00B93D8E"/>
    <w:rsid w:val="00B93DA2"/>
    <w:rsid w:val="00B93E30"/>
    <w:rsid w:val="00B94181"/>
    <w:rsid w:val="00B941ED"/>
    <w:rsid w:val="00B9436C"/>
    <w:rsid w:val="00B949C6"/>
    <w:rsid w:val="00B94B1C"/>
    <w:rsid w:val="00B94B2A"/>
    <w:rsid w:val="00B94E69"/>
    <w:rsid w:val="00B94E80"/>
    <w:rsid w:val="00B94EBB"/>
    <w:rsid w:val="00B95079"/>
    <w:rsid w:val="00B95137"/>
    <w:rsid w:val="00B95301"/>
    <w:rsid w:val="00B953C1"/>
    <w:rsid w:val="00B9569E"/>
    <w:rsid w:val="00B95861"/>
    <w:rsid w:val="00B959C0"/>
    <w:rsid w:val="00B965E5"/>
    <w:rsid w:val="00B9662A"/>
    <w:rsid w:val="00B9667B"/>
    <w:rsid w:val="00B967F1"/>
    <w:rsid w:val="00B96943"/>
    <w:rsid w:val="00B969AB"/>
    <w:rsid w:val="00B979AD"/>
    <w:rsid w:val="00B979AE"/>
    <w:rsid w:val="00B97CA4"/>
    <w:rsid w:val="00B97DCE"/>
    <w:rsid w:val="00B97DE5"/>
    <w:rsid w:val="00BA00F5"/>
    <w:rsid w:val="00BA013C"/>
    <w:rsid w:val="00BA02ED"/>
    <w:rsid w:val="00BA0477"/>
    <w:rsid w:val="00BA0AB9"/>
    <w:rsid w:val="00BA0B03"/>
    <w:rsid w:val="00BA0DF9"/>
    <w:rsid w:val="00BA0FD4"/>
    <w:rsid w:val="00BA1533"/>
    <w:rsid w:val="00BA17F5"/>
    <w:rsid w:val="00BA1C5D"/>
    <w:rsid w:val="00BA1EB6"/>
    <w:rsid w:val="00BA1F45"/>
    <w:rsid w:val="00BA1F8E"/>
    <w:rsid w:val="00BA1FDD"/>
    <w:rsid w:val="00BA216F"/>
    <w:rsid w:val="00BA22C1"/>
    <w:rsid w:val="00BA230F"/>
    <w:rsid w:val="00BA2930"/>
    <w:rsid w:val="00BA2A31"/>
    <w:rsid w:val="00BA2CCC"/>
    <w:rsid w:val="00BA2DEE"/>
    <w:rsid w:val="00BA2E87"/>
    <w:rsid w:val="00BA3A0F"/>
    <w:rsid w:val="00BA46A5"/>
    <w:rsid w:val="00BA479E"/>
    <w:rsid w:val="00BA4DF4"/>
    <w:rsid w:val="00BA4EC3"/>
    <w:rsid w:val="00BA5289"/>
    <w:rsid w:val="00BA5362"/>
    <w:rsid w:val="00BA5492"/>
    <w:rsid w:val="00BA5512"/>
    <w:rsid w:val="00BA56C3"/>
    <w:rsid w:val="00BA584D"/>
    <w:rsid w:val="00BA5DD2"/>
    <w:rsid w:val="00BA5F56"/>
    <w:rsid w:val="00BA600F"/>
    <w:rsid w:val="00BA63BF"/>
    <w:rsid w:val="00BA671E"/>
    <w:rsid w:val="00BA694C"/>
    <w:rsid w:val="00BA6E54"/>
    <w:rsid w:val="00BA6FCE"/>
    <w:rsid w:val="00BA717A"/>
    <w:rsid w:val="00BA729F"/>
    <w:rsid w:val="00BA74B3"/>
    <w:rsid w:val="00BA7BD1"/>
    <w:rsid w:val="00BA7DF2"/>
    <w:rsid w:val="00BA7F4C"/>
    <w:rsid w:val="00BB0984"/>
    <w:rsid w:val="00BB0AD2"/>
    <w:rsid w:val="00BB137B"/>
    <w:rsid w:val="00BB154B"/>
    <w:rsid w:val="00BB174D"/>
    <w:rsid w:val="00BB1A77"/>
    <w:rsid w:val="00BB20F6"/>
    <w:rsid w:val="00BB217C"/>
    <w:rsid w:val="00BB23CD"/>
    <w:rsid w:val="00BB2A5E"/>
    <w:rsid w:val="00BB2F75"/>
    <w:rsid w:val="00BB3002"/>
    <w:rsid w:val="00BB30FF"/>
    <w:rsid w:val="00BB3B38"/>
    <w:rsid w:val="00BB3C92"/>
    <w:rsid w:val="00BB3CB5"/>
    <w:rsid w:val="00BB3F97"/>
    <w:rsid w:val="00BB41C5"/>
    <w:rsid w:val="00BB4272"/>
    <w:rsid w:val="00BB44BF"/>
    <w:rsid w:val="00BB44F4"/>
    <w:rsid w:val="00BB481F"/>
    <w:rsid w:val="00BB4B87"/>
    <w:rsid w:val="00BB4D02"/>
    <w:rsid w:val="00BB4EBA"/>
    <w:rsid w:val="00BB5432"/>
    <w:rsid w:val="00BB55AD"/>
    <w:rsid w:val="00BB58C6"/>
    <w:rsid w:val="00BB5CC5"/>
    <w:rsid w:val="00BB5ED1"/>
    <w:rsid w:val="00BB609B"/>
    <w:rsid w:val="00BB61CC"/>
    <w:rsid w:val="00BB6230"/>
    <w:rsid w:val="00BB6416"/>
    <w:rsid w:val="00BB653B"/>
    <w:rsid w:val="00BB683F"/>
    <w:rsid w:val="00BB6BF2"/>
    <w:rsid w:val="00BB6DC5"/>
    <w:rsid w:val="00BB6E64"/>
    <w:rsid w:val="00BB6F5E"/>
    <w:rsid w:val="00BB6FAA"/>
    <w:rsid w:val="00BB7024"/>
    <w:rsid w:val="00BB72F7"/>
    <w:rsid w:val="00BB7316"/>
    <w:rsid w:val="00BB792A"/>
    <w:rsid w:val="00BB79F7"/>
    <w:rsid w:val="00BB7A26"/>
    <w:rsid w:val="00BB7C68"/>
    <w:rsid w:val="00BB7D75"/>
    <w:rsid w:val="00BB7E43"/>
    <w:rsid w:val="00BB7FD9"/>
    <w:rsid w:val="00BC0431"/>
    <w:rsid w:val="00BC05F8"/>
    <w:rsid w:val="00BC06D8"/>
    <w:rsid w:val="00BC0AFA"/>
    <w:rsid w:val="00BC0BF3"/>
    <w:rsid w:val="00BC0C09"/>
    <w:rsid w:val="00BC15FC"/>
    <w:rsid w:val="00BC16C2"/>
    <w:rsid w:val="00BC18A5"/>
    <w:rsid w:val="00BC195F"/>
    <w:rsid w:val="00BC1AFC"/>
    <w:rsid w:val="00BC1BC0"/>
    <w:rsid w:val="00BC1D7C"/>
    <w:rsid w:val="00BC1DBD"/>
    <w:rsid w:val="00BC2067"/>
    <w:rsid w:val="00BC216C"/>
    <w:rsid w:val="00BC219B"/>
    <w:rsid w:val="00BC23BB"/>
    <w:rsid w:val="00BC245C"/>
    <w:rsid w:val="00BC249B"/>
    <w:rsid w:val="00BC2511"/>
    <w:rsid w:val="00BC26C5"/>
    <w:rsid w:val="00BC2B88"/>
    <w:rsid w:val="00BC2C88"/>
    <w:rsid w:val="00BC2E29"/>
    <w:rsid w:val="00BC2E5F"/>
    <w:rsid w:val="00BC30C0"/>
    <w:rsid w:val="00BC3233"/>
    <w:rsid w:val="00BC32A8"/>
    <w:rsid w:val="00BC39A9"/>
    <w:rsid w:val="00BC3E0E"/>
    <w:rsid w:val="00BC41A0"/>
    <w:rsid w:val="00BC4268"/>
    <w:rsid w:val="00BC44A0"/>
    <w:rsid w:val="00BC45C4"/>
    <w:rsid w:val="00BC478F"/>
    <w:rsid w:val="00BC4A09"/>
    <w:rsid w:val="00BC4BAB"/>
    <w:rsid w:val="00BC4CC6"/>
    <w:rsid w:val="00BC5107"/>
    <w:rsid w:val="00BC52D2"/>
    <w:rsid w:val="00BC52FE"/>
    <w:rsid w:val="00BC5379"/>
    <w:rsid w:val="00BC53D5"/>
    <w:rsid w:val="00BC5928"/>
    <w:rsid w:val="00BC592F"/>
    <w:rsid w:val="00BC5A63"/>
    <w:rsid w:val="00BC5C9D"/>
    <w:rsid w:val="00BC6191"/>
    <w:rsid w:val="00BC6241"/>
    <w:rsid w:val="00BC6653"/>
    <w:rsid w:val="00BC726D"/>
    <w:rsid w:val="00BC72B3"/>
    <w:rsid w:val="00BC72CC"/>
    <w:rsid w:val="00BC732D"/>
    <w:rsid w:val="00BC7347"/>
    <w:rsid w:val="00BC7488"/>
    <w:rsid w:val="00BC7736"/>
    <w:rsid w:val="00BC7967"/>
    <w:rsid w:val="00BC7C95"/>
    <w:rsid w:val="00BC7D28"/>
    <w:rsid w:val="00BD0684"/>
    <w:rsid w:val="00BD0A3A"/>
    <w:rsid w:val="00BD0B52"/>
    <w:rsid w:val="00BD0DA8"/>
    <w:rsid w:val="00BD12FD"/>
    <w:rsid w:val="00BD1302"/>
    <w:rsid w:val="00BD1376"/>
    <w:rsid w:val="00BD1673"/>
    <w:rsid w:val="00BD1848"/>
    <w:rsid w:val="00BD1952"/>
    <w:rsid w:val="00BD1AD3"/>
    <w:rsid w:val="00BD1CA2"/>
    <w:rsid w:val="00BD2022"/>
    <w:rsid w:val="00BD24F7"/>
    <w:rsid w:val="00BD2523"/>
    <w:rsid w:val="00BD260D"/>
    <w:rsid w:val="00BD26DC"/>
    <w:rsid w:val="00BD2777"/>
    <w:rsid w:val="00BD2A5C"/>
    <w:rsid w:val="00BD2B1B"/>
    <w:rsid w:val="00BD30FB"/>
    <w:rsid w:val="00BD35B0"/>
    <w:rsid w:val="00BD3770"/>
    <w:rsid w:val="00BD3C87"/>
    <w:rsid w:val="00BD3D2F"/>
    <w:rsid w:val="00BD41C7"/>
    <w:rsid w:val="00BD44E1"/>
    <w:rsid w:val="00BD48E0"/>
    <w:rsid w:val="00BD513C"/>
    <w:rsid w:val="00BD5290"/>
    <w:rsid w:val="00BD5442"/>
    <w:rsid w:val="00BD5634"/>
    <w:rsid w:val="00BD5888"/>
    <w:rsid w:val="00BD58D8"/>
    <w:rsid w:val="00BD5981"/>
    <w:rsid w:val="00BD6751"/>
    <w:rsid w:val="00BD6A22"/>
    <w:rsid w:val="00BD6DE0"/>
    <w:rsid w:val="00BD6E8E"/>
    <w:rsid w:val="00BD6EFC"/>
    <w:rsid w:val="00BD6FBA"/>
    <w:rsid w:val="00BD70A2"/>
    <w:rsid w:val="00BD71C9"/>
    <w:rsid w:val="00BD7336"/>
    <w:rsid w:val="00BD74CB"/>
    <w:rsid w:val="00BD7535"/>
    <w:rsid w:val="00BD7562"/>
    <w:rsid w:val="00BD7B7D"/>
    <w:rsid w:val="00BD7C3F"/>
    <w:rsid w:val="00BD7CBC"/>
    <w:rsid w:val="00BD7DE0"/>
    <w:rsid w:val="00BD7E47"/>
    <w:rsid w:val="00BD7EC3"/>
    <w:rsid w:val="00BE0011"/>
    <w:rsid w:val="00BE01B9"/>
    <w:rsid w:val="00BE01C1"/>
    <w:rsid w:val="00BE057B"/>
    <w:rsid w:val="00BE08DB"/>
    <w:rsid w:val="00BE0D90"/>
    <w:rsid w:val="00BE11E6"/>
    <w:rsid w:val="00BE1288"/>
    <w:rsid w:val="00BE129E"/>
    <w:rsid w:val="00BE132B"/>
    <w:rsid w:val="00BE1662"/>
    <w:rsid w:val="00BE1A68"/>
    <w:rsid w:val="00BE1B42"/>
    <w:rsid w:val="00BE1C4E"/>
    <w:rsid w:val="00BE1C7F"/>
    <w:rsid w:val="00BE1DD3"/>
    <w:rsid w:val="00BE1E4A"/>
    <w:rsid w:val="00BE21F5"/>
    <w:rsid w:val="00BE2219"/>
    <w:rsid w:val="00BE2256"/>
    <w:rsid w:val="00BE26E8"/>
    <w:rsid w:val="00BE272A"/>
    <w:rsid w:val="00BE29A5"/>
    <w:rsid w:val="00BE2B8D"/>
    <w:rsid w:val="00BE2C0E"/>
    <w:rsid w:val="00BE2C66"/>
    <w:rsid w:val="00BE2DD1"/>
    <w:rsid w:val="00BE2EAF"/>
    <w:rsid w:val="00BE336B"/>
    <w:rsid w:val="00BE3676"/>
    <w:rsid w:val="00BE3AD1"/>
    <w:rsid w:val="00BE3C70"/>
    <w:rsid w:val="00BE4009"/>
    <w:rsid w:val="00BE4479"/>
    <w:rsid w:val="00BE46E2"/>
    <w:rsid w:val="00BE4843"/>
    <w:rsid w:val="00BE4859"/>
    <w:rsid w:val="00BE48D0"/>
    <w:rsid w:val="00BE4E46"/>
    <w:rsid w:val="00BE4FC1"/>
    <w:rsid w:val="00BE527D"/>
    <w:rsid w:val="00BE546B"/>
    <w:rsid w:val="00BE5478"/>
    <w:rsid w:val="00BE57BE"/>
    <w:rsid w:val="00BE593A"/>
    <w:rsid w:val="00BE61D7"/>
    <w:rsid w:val="00BE66AB"/>
    <w:rsid w:val="00BE69C0"/>
    <w:rsid w:val="00BE6E5E"/>
    <w:rsid w:val="00BE7A77"/>
    <w:rsid w:val="00BE7E63"/>
    <w:rsid w:val="00BF0125"/>
    <w:rsid w:val="00BF0624"/>
    <w:rsid w:val="00BF0626"/>
    <w:rsid w:val="00BF075C"/>
    <w:rsid w:val="00BF08E4"/>
    <w:rsid w:val="00BF0B1D"/>
    <w:rsid w:val="00BF0C2A"/>
    <w:rsid w:val="00BF0E1B"/>
    <w:rsid w:val="00BF0E2E"/>
    <w:rsid w:val="00BF1939"/>
    <w:rsid w:val="00BF1947"/>
    <w:rsid w:val="00BF1F70"/>
    <w:rsid w:val="00BF2CC4"/>
    <w:rsid w:val="00BF2FB6"/>
    <w:rsid w:val="00BF345B"/>
    <w:rsid w:val="00BF38A3"/>
    <w:rsid w:val="00BF3ADE"/>
    <w:rsid w:val="00BF3CC7"/>
    <w:rsid w:val="00BF3DD6"/>
    <w:rsid w:val="00BF3E39"/>
    <w:rsid w:val="00BF3E56"/>
    <w:rsid w:val="00BF3FC9"/>
    <w:rsid w:val="00BF4154"/>
    <w:rsid w:val="00BF43B5"/>
    <w:rsid w:val="00BF4471"/>
    <w:rsid w:val="00BF47CE"/>
    <w:rsid w:val="00BF4956"/>
    <w:rsid w:val="00BF4AF6"/>
    <w:rsid w:val="00BF4C68"/>
    <w:rsid w:val="00BF4CC2"/>
    <w:rsid w:val="00BF4F9A"/>
    <w:rsid w:val="00BF575D"/>
    <w:rsid w:val="00BF59A0"/>
    <w:rsid w:val="00BF5B23"/>
    <w:rsid w:val="00BF5C5B"/>
    <w:rsid w:val="00BF5D7F"/>
    <w:rsid w:val="00BF5DD5"/>
    <w:rsid w:val="00BF5E2D"/>
    <w:rsid w:val="00BF5E35"/>
    <w:rsid w:val="00BF654E"/>
    <w:rsid w:val="00BF6787"/>
    <w:rsid w:val="00BF67FD"/>
    <w:rsid w:val="00BF6C69"/>
    <w:rsid w:val="00BF7097"/>
    <w:rsid w:val="00BF709F"/>
    <w:rsid w:val="00BF71A1"/>
    <w:rsid w:val="00BF71C5"/>
    <w:rsid w:val="00BF7797"/>
    <w:rsid w:val="00BF7A85"/>
    <w:rsid w:val="00BF7E7E"/>
    <w:rsid w:val="00C0016F"/>
    <w:rsid w:val="00C00701"/>
    <w:rsid w:val="00C00DA3"/>
    <w:rsid w:val="00C00E3C"/>
    <w:rsid w:val="00C00E4D"/>
    <w:rsid w:val="00C00E8E"/>
    <w:rsid w:val="00C00EB7"/>
    <w:rsid w:val="00C00F2D"/>
    <w:rsid w:val="00C01406"/>
    <w:rsid w:val="00C01642"/>
    <w:rsid w:val="00C018AD"/>
    <w:rsid w:val="00C01A61"/>
    <w:rsid w:val="00C01C4D"/>
    <w:rsid w:val="00C01E08"/>
    <w:rsid w:val="00C02068"/>
    <w:rsid w:val="00C02403"/>
    <w:rsid w:val="00C0249C"/>
    <w:rsid w:val="00C0274A"/>
    <w:rsid w:val="00C02811"/>
    <w:rsid w:val="00C028CB"/>
    <w:rsid w:val="00C028D5"/>
    <w:rsid w:val="00C028F1"/>
    <w:rsid w:val="00C02C4B"/>
    <w:rsid w:val="00C02D10"/>
    <w:rsid w:val="00C02D68"/>
    <w:rsid w:val="00C03143"/>
    <w:rsid w:val="00C0320E"/>
    <w:rsid w:val="00C032B9"/>
    <w:rsid w:val="00C0330C"/>
    <w:rsid w:val="00C0355A"/>
    <w:rsid w:val="00C035AB"/>
    <w:rsid w:val="00C04056"/>
    <w:rsid w:val="00C0449E"/>
    <w:rsid w:val="00C046A4"/>
    <w:rsid w:val="00C047B7"/>
    <w:rsid w:val="00C04833"/>
    <w:rsid w:val="00C04CC9"/>
    <w:rsid w:val="00C04CD2"/>
    <w:rsid w:val="00C04E47"/>
    <w:rsid w:val="00C05414"/>
    <w:rsid w:val="00C05899"/>
    <w:rsid w:val="00C05A36"/>
    <w:rsid w:val="00C05D2D"/>
    <w:rsid w:val="00C0635F"/>
    <w:rsid w:val="00C0661B"/>
    <w:rsid w:val="00C06933"/>
    <w:rsid w:val="00C06988"/>
    <w:rsid w:val="00C06989"/>
    <w:rsid w:val="00C06B9A"/>
    <w:rsid w:val="00C06BEF"/>
    <w:rsid w:val="00C06E1A"/>
    <w:rsid w:val="00C06E46"/>
    <w:rsid w:val="00C0700E"/>
    <w:rsid w:val="00C0704D"/>
    <w:rsid w:val="00C071D1"/>
    <w:rsid w:val="00C07294"/>
    <w:rsid w:val="00C0730F"/>
    <w:rsid w:val="00C077BD"/>
    <w:rsid w:val="00C078F2"/>
    <w:rsid w:val="00C07B5C"/>
    <w:rsid w:val="00C07B84"/>
    <w:rsid w:val="00C07C19"/>
    <w:rsid w:val="00C07E01"/>
    <w:rsid w:val="00C07EAA"/>
    <w:rsid w:val="00C1053F"/>
    <w:rsid w:val="00C105ED"/>
    <w:rsid w:val="00C105F1"/>
    <w:rsid w:val="00C1083C"/>
    <w:rsid w:val="00C10AD1"/>
    <w:rsid w:val="00C10CC3"/>
    <w:rsid w:val="00C111AF"/>
    <w:rsid w:val="00C11391"/>
    <w:rsid w:val="00C11602"/>
    <w:rsid w:val="00C117D2"/>
    <w:rsid w:val="00C11869"/>
    <w:rsid w:val="00C11966"/>
    <w:rsid w:val="00C11F9A"/>
    <w:rsid w:val="00C1208C"/>
    <w:rsid w:val="00C12438"/>
    <w:rsid w:val="00C1243A"/>
    <w:rsid w:val="00C12445"/>
    <w:rsid w:val="00C1255A"/>
    <w:rsid w:val="00C12740"/>
    <w:rsid w:val="00C12897"/>
    <w:rsid w:val="00C129F4"/>
    <w:rsid w:val="00C12BD1"/>
    <w:rsid w:val="00C12C7E"/>
    <w:rsid w:val="00C12E78"/>
    <w:rsid w:val="00C133F3"/>
    <w:rsid w:val="00C1353E"/>
    <w:rsid w:val="00C139B1"/>
    <w:rsid w:val="00C13A26"/>
    <w:rsid w:val="00C13FFE"/>
    <w:rsid w:val="00C142F3"/>
    <w:rsid w:val="00C145B3"/>
    <w:rsid w:val="00C14727"/>
    <w:rsid w:val="00C149E7"/>
    <w:rsid w:val="00C14BB8"/>
    <w:rsid w:val="00C14F6E"/>
    <w:rsid w:val="00C1583F"/>
    <w:rsid w:val="00C15DD4"/>
    <w:rsid w:val="00C15F0B"/>
    <w:rsid w:val="00C161E9"/>
    <w:rsid w:val="00C167CC"/>
    <w:rsid w:val="00C16887"/>
    <w:rsid w:val="00C168B1"/>
    <w:rsid w:val="00C16B7D"/>
    <w:rsid w:val="00C16FC9"/>
    <w:rsid w:val="00C17003"/>
    <w:rsid w:val="00C173B8"/>
    <w:rsid w:val="00C175C2"/>
    <w:rsid w:val="00C175F6"/>
    <w:rsid w:val="00C17A98"/>
    <w:rsid w:val="00C20627"/>
    <w:rsid w:val="00C206C8"/>
    <w:rsid w:val="00C20862"/>
    <w:rsid w:val="00C20A9B"/>
    <w:rsid w:val="00C20C99"/>
    <w:rsid w:val="00C20CE1"/>
    <w:rsid w:val="00C20DFC"/>
    <w:rsid w:val="00C20F73"/>
    <w:rsid w:val="00C214EA"/>
    <w:rsid w:val="00C2157E"/>
    <w:rsid w:val="00C21B22"/>
    <w:rsid w:val="00C21FFC"/>
    <w:rsid w:val="00C2213F"/>
    <w:rsid w:val="00C222A9"/>
    <w:rsid w:val="00C22A85"/>
    <w:rsid w:val="00C22FD2"/>
    <w:rsid w:val="00C239B2"/>
    <w:rsid w:val="00C23A2E"/>
    <w:rsid w:val="00C23BE2"/>
    <w:rsid w:val="00C245F8"/>
    <w:rsid w:val="00C24696"/>
    <w:rsid w:val="00C2494F"/>
    <w:rsid w:val="00C24A8B"/>
    <w:rsid w:val="00C24BED"/>
    <w:rsid w:val="00C24CA8"/>
    <w:rsid w:val="00C24DA9"/>
    <w:rsid w:val="00C2528D"/>
    <w:rsid w:val="00C2580B"/>
    <w:rsid w:val="00C259D8"/>
    <w:rsid w:val="00C25C3E"/>
    <w:rsid w:val="00C25CE9"/>
    <w:rsid w:val="00C25D19"/>
    <w:rsid w:val="00C25E83"/>
    <w:rsid w:val="00C267D0"/>
    <w:rsid w:val="00C26AB6"/>
    <w:rsid w:val="00C26C0E"/>
    <w:rsid w:val="00C2706E"/>
    <w:rsid w:val="00C270C0"/>
    <w:rsid w:val="00C27394"/>
    <w:rsid w:val="00C27AEA"/>
    <w:rsid w:val="00C27B06"/>
    <w:rsid w:val="00C27BD8"/>
    <w:rsid w:val="00C27D55"/>
    <w:rsid w:val="00C27DD4"/>
    <w:rsid w:val="00C27EAE"/>
    <w:rsid w:val="00C27EC2"/>
    <w:rsid w:val="00C3000E"/>
    <w:rsid w:val="00C30174"/>
    <w:rsid w:val="00C3021A"/>
    <w:rsid w:val="00C308DA"/>
    <w:rsid w:val="00C30C25"/>
    <w:rsid w:val="00C30D97"/>
    <w:rsid w:val="00C31080"/>
    <w:rsid w:val="00C31319"/>
    <w:rsid w:val="00C31331"/>
    <w:rsid w:val="00C31646"/>
    <w:rsid w:val="00C3201A"/>
    <w:rsid w:val="00C32073"/>
    <w:rsid w:val="00C32081"/>
    <w:rsid w:val="00C32170"/>
    <w:rsid w:val="00C32436"/>
    <w:rsid w:val="00C32906"/>
    <w:rsid w:val="00C32BF4"/>
    <w:rsid w:val="00C33130"/>
    <w:rsid w:val="00C3323E"/>
    <w:rsid w:val="00C33444"/>
    <w:rsid w:val="00C336D2"/>
    <w:rsid w:val="00C3399D"/>
    <w:rsid w:val="00C33D1F"/>
    <w:rsid w:val="00C33DE1"/>
    <w:rsid w:val="00C33DE2"/>
    <w:rsid w:val="00C3409E"/>
    <w:rsid w:val="00C3429A"/>
    <w:rsid w:val="00C3467D"/>
    <w:rsid w:val="00C3482B"/>
    <w:rsid w:val="00C349DB"/>
    <w:rsid w:val="00C34A70"/>
    <w:rsid w:val="00C34BA5"/>
    <w:rsid w:val="00C34CDC"/>
    <w:rsid w:val="00C34F83"/>
    <w:rsid w:val="00C35486"/>
    <w:rsid w:val="00C35529"/>
    <w:rsid w:val="00C355BE"/>
    <w:rsid w:val="00C35775"/>
    <w:rsid w:val="00C36402"/>
    <w:rsid w:val="00C366FC"/>
    <w:rsid w:val="00C36915"/>
    <w:rsid w:val="00C36B84"/>
    <w:rsid w:val="00C36ED4"/>
    <w:rsid w:val="00C370B2"/>
    <w:rsid w:val="00C37342"/>
    <w:rsid w:val="00C376E0"/>
    <w:rsid w:val="00C37915"/>
    <w:rsid w:val="00C37A50"/>
    <w:rsid w:val="00C37AEF"/>
    <w:rsid w:val="00C37F92"/>
    <w:rsid w:val="00C401BC"/>
    <w:rsid w:val="00C4030B"/>
    <w:rsid w:val="00C40D3E"/>
    <w:rsid w:val="00C410FC"/>
    <w:rsid w:val="00C4123E"/>
    <w:rsid w:val="00C4147D"/>
    <w:rsid w:val="00C414B0"/>
    <w:rsid w:val="00C4188C"/>
    <w:rsid w:val="00C41A52"/>
    <w:rsid w:val="00C41A7C"/>
    <w:rsid w:val="00C41AAC"/>
    <w:rsid w:val="00C41C5A"/>
    <w:rsid w:val="00C420E0"/>
    <w:rsid w:val="00C427C7"/>
    <w:rsid w:val="00C4287E"/>
    <w:rsid w:val="00C42CAA"/>
    <w:rsid w:val="00C43DD5"/>
    <w:rsid w:val="00C44069"/>
    <w:rsid w:val="00C44292"/>
    <w:rsid w:val="00C44361"/>
    <w:rsid w:val="00C443A9"/>
    <w:rsid w:val="00C443F5"/>
    <w:rsid w:val="00C44464"/>
    <w:rsid w:val="00C45074"/>
    <w:rsid w:val="00C4546A"/>
    <w:rsid w:val="00C456E5"/>
    <w:rsid w:val="00C4583E"/>
    <w:rsid w:val="00C45893"/>
    <w:rsid w:val="00C45DC3"/>
    <w:rsid w:val="00C45F7F"/>
    <w:rsid w:val="00C462FB"/>
    <w:rsid w:val="00C467C2"/>
    <w:rsid w:val="00C4681C"/>
    <w:rsid w:val="00C46BB6"/>
    <w:rsid w:val="00C46D9B"/>
    <w:rsid w:val="00C47147"/>
    <w:rsid w:val="00C473C7"/>
    <w:rsid w:val="00C47487"/>
    <w:rsid w:val="00C4753F"/>
    <w:rsid w:val="00C47600"/>
    <w:rsid w:val="00C47AA4"/>
    <w:rsid w:val="00C47BB0"/>
    <w:rsid w:val="00C47DE3"/>
    <w:rsid w:val="00C47E99"/>
    <w:rsid w:val="00C50090"/>
    <w:rsid w:val="00C50262"/>
    <w:rsid w:val="00C5069F"/>
    <w:rsid w:val="00C508D4"/>
    <w:rsid w:val="00C5090C"/>
    <w:rsid w:val="00C50ADE"/>
    <w:rsid w:val="00C50B51"/>
    <w:rsid w:val="00C50B88"/>
    <w:rsid w:val="00C512FB"/>
    <w:rsid w:val="00C51325"/>
    <w:rsid w:val="00C514B4"/>
    <w:rsid w:val="00C5173D"/>
    <w:rsid w:val="00C5191E"/>
    <w:rsid w:val="00C51985"/>
    <w:rsid w:val="00C519BA"/>
    <w:rsid w:val="00C51A9F"/>
    <w:rsid w:val="00C520B5"/>
    <w:rsid w:val="00C521CC"/>
    <w:rsid w:val="00C5247A"/>
    <w:rsid w:val="00C525E3"/>
    <w:rsid w:val="00C527AB"/>
    <w:rsid w:val="00C5285F"/>
    <w:rsid w:val="00C53692"/>
    <w:rsid w:val="00C5393B"/>
    <w:rsid w:val="00C539D4"/>
    <w:rsid w:val="00C53C9D"/>
    <w:rsid w:val="00C53F82"/>
    <w:rsid w:val="00C540DE"/>
    <w:rsid w:val="00C540EE"/>
    <w:rsid w:val="00C54211"/>
    <w:rsid w:val="00C548EE"/>
    <w:rsid w:val="00C54990"/>
    <w:rsid w:val="00C54A4F"/>
    <w:rsid w:val="00C54BA9"/>
    <w:rsid w:val="00C54CCF"/>
    <w:rsid w:val="00C54FDF"/>
    <w:rsid w:val="00C5543A"/>
    <w:rsid w:val="00C55508"/>
    <w:rsid w:val="00C55550"/>
    <w:rsid w:val="00C55699"/>
    <w:rsid w:val="00C557E5"/>
    <w:rsid w:val="00C55902"/>
    <w:rsid w:val="00C559D1"/>
    <w:rsid w:val="00C55A74"/>
    <w:rsid w:val="00C55D35"/>
    <w:rsid w:val="00C55ECA"/>
    <w:rsid w:val="00C560E7"/>
    <w:rsid w:val="00C56128"/>
    <w:rsid w:val="00C56473"/>
    <w:rsid w:val="00C56762"/>
    <w:rsid w:val="00C56BEC"/>
    <w:rsid w:val="00C570BF"/>
    <w:rsid w:val="00C5727B"/>
    <w:rsid w:val="00C5757F"/>
    <w:rsid w:val="00C577C7"/>
    <w:rsid w:val="00C601B6"/>
    <w:rsid w:val="00C6020B"/>
    <w:rsid w:val="00C604EB"/>
    <w:rsid w:val="00C60EEE"/>
    <w:rsid w:val="00C60F51"/>
    <w:rsid w:val="00C6112A"/>
    <w:rsid w:val="00C612B9"/>
    <w:rsid w:val="00C6145A"/>
    <w:rsid w:val="00C617C1"/>
    <w:rsid w:val="00C61863"/>
    <w:rsid w:val="00C61979"/>
    <w:rsid w:val="00C61BE1"/>
    <w:rsid w:val="00C61BEE"/>
    <w:rsid w:val="00C61DA4"/>
    <w:rsid w:val="00C62141"/>
    <w:rsid w:val="00C6232F"/>
    <w:rsid w:val="00C6283B"/>
    <w:rsid w:val="00C62B95"/>
    <w:rsid w:val="00C62CA0"/>
    <w:rsid w:val="00C62CC4"/>
    <w:rsid w:val="00C62DD9"/>
    <w:rsid w:val="00C62DFC"/>
    <w:rsid w:val="00C62E62"/>
    <w:rsid w:val="00C630ED"/>
    <w:rsid w:val="00C63451"/>
    <w:rsid w:val="00C6394C"/>
    <w:rsid w:val="00C63BC7"/>
    <w:rsid w:val="00C63F3B"/>
    <w:rsid w:val="00C63F63"/>
    <w:rsid w:val="00C64069"/>
    <w:rsid w:val="00C640B2"/>
    <w:rsid w:val="00C64205"/>
    <w:rsid w:val="00C64271"/>
    <w:rsid w:val="00C64416"/>
    <w:rsid w:val="00C64418"/>
    <w:rsid w:val="00C644DF"/>
    <w:rsid w:val="00C64630"/>
    <w:rsid w:val="00C6482F"/>
    <w:rsid w:val="00C648EA"/>
    <w:rsid w:val="00C648FA"/>
    <w:rsid w:val="00C64B3B"/>
    <w:rsid w:val="00C64B40"/>
    <w:rsid w:val="00C64CAC"/>
    <w:rsid w:val="00C65263"/>
    <w:rsid w:val="00C6579A"/>
    <w:rsid w:val="00C657C9"/>
    <w:rsid w:val="00C658CB"/>
    <w:rsid w:val="00C65AA1"/>
    <w:rsid w:val="00C65B1E"/>
    <w:rsid w:val="00C65F01"/>
    <w:rsid w:val="00C65FAC"/>
    <w:rsid w:val="00C6645D"/>
    <w:rsid w:val="00C664F4"/>
    <w:rsid w:val="00C66BA8"/>
    <w:rsid w:val="00C66C86"/>
    <w:rsid w:val="00C66CB0"/>
    <w:rsid w:val="00C66E6F"/>
    <w:rsid w:val="00C66EF8"/>
    <w:rsid w:val="00C66F68"/>
    <w:rsid w:val="00C67383"/>
    <w:rsid w:val="00C67643"/>
    <w:rsid w:val="00C67995"/>
    <w:rsid w:val="00C67D80"/>
    <w:rsid w:val="00C67DE7"/>
    <w:rsid w:val="00C67EA8"/>
    <w:rsid w:val="00C67EBB"/>
    <w:rsid w:val="00C67F61"/>
    <w:rsid w:val="00C67FA6"/>
    <w:rsid w:val="00C700A4"/>
    <w:rsid w:val="00C702AF"/>
    <w:rsid w:val="00C705F6"/>
    <w:rsid w:val="00C709D2"/>
    <w:rsid w:val="00C709E9"/>
    <w:rsid w:val="00C70A1E"/>
    <w:rsid w:val="00C70A27"/>
    <w:rsid w:val="00C70FA2"/>
    <w:rsid w:val="00C71585"/>
    <w:rsid w:val="00C71712"/>
    <w:rsid w:val="00C7172C"/>
    <w:rsid w:val="00C71766"/>
    <w:rsid w:val="00C719C3"/>
    <w:rsid w:val="00C71C63"/>
    <w:rsid w:val="00C71C79"/>
    <w:rsid w:val="00C71E37"/>
    <w:rsid w:val="00C71ED2"/>
    <w:rsid w:val="00C72199"/>
    <w:rsid w:val="00C7295F"/>
    <w:rsid w:val="00C73281"/>
    <w:rsid w:val="00C73394"/>
    <w:rsid w:val="00C734C5"/>
    <w:rsid w:val="00C73A4A"/>
    <w:rsid w:val="00C74109"/>
    <w:rsid w:val="00C74456"/>
    <w:rsid w:val="00C75019"/>
    <w:rsid w:val="00C75633"/>
    <w:rsid w:val="00C758BC"/>
    <w:rsid w:val="00C75BDE"/>
    <w:rsid w:val="00C75D64"/>
    <w:rsid w:val="00C75F45"/>
    <w:rsid w:val="00C76236"/>
    <w:rsid w:val="00C7685A"/>
    <w:rsid w:val="00C7697E"/>
    <w:rsid w:val="00C76982"/>
    <w:rsid w:val="00C76E46"/>
    <w:rsid w:val="00C76FB5"/>
    <w:rsid w:val="00C77011"/>
    <w:rsid w:val="00C77300"/>
    <w:rsid w:val="00C7740D"/>
    <w:rsid w:val="00C77682"/>
    <w:rsid w:val="00C777B8"/>
    <w:rsid w:val="00C7792F"/>
    <w:rsid w:val="00C77A4D"/>
    <w:rsid w:val="00C77DA3"/>
    <w:rsid w:val="00C77E1A"/>
    <w:rsid w:val="00C80068"/>
    <w:rsid w:val="00C80172"/>
    <w:rsid w:val="00C80220"/>
    <w:rsid w:val="00C80618"/>
    <w:rsid w:val="00C80872"/>
    <w:rsid w:val="00C80A81"/>
    <w:rsid w:val="00C80E81"/>
    <w:rsid w:val="00C8105C"/>
    <w:rsid w:val="00C8123A"/>
    <w:rsid w:val="00C81466"/>
    <w:rsid w:val="00C816CA"/>
    <w:rsid w:val="00C818B4"/>
    <w:rsid w:val="00C81EF9"/>
    <w:rsid w:val="00C81F4F"/>
    <w:rsid w:val="00C81F7D"/>
    <w:rsid w:val="00C82061"/>
    <w:rsid w:val="00C821F8"/>
    <w:rsid w:val="00C8238B"/>
    <w:rsid w:val="00C823E7"/>
    <w:rsid w:val="00C82439"/>
    <w:rsid w:val="00C82613"/>
    <w:rsid w:val="00C82699"/>
    <w:rsid w:val="00C826DC"/>
    <w:rsid w:val="00C82944"/>
    <w:rsid w:val="00C82B04"/>
    <w:rsid w:val="00C82BA5"/>
    <w:rsid w:val="00C82C2D"/>
    <w:rsid w:val="00C82ED7"/>
    <w:rsid w:val="00C82F0C"/>
    <w:rsid w:val="00C834A9"/>
    <w:rsid w:val="00C8383B"/>
    <w:rsid w:val="00C83ADF"/>
    <w:rsid w:val="00C83B32"/>
    <w:rsid w:val="00C83DCB"/>
    <w:rsid w:val="00C83F07"/>
    <w:rsid w:val="00C844A8"/>
    <w:rsid w:val="00C8451A"/>
    <w:rsid w:val="00C84842"/>
    <w:rsid w:val="00C84876"/>
    <w:rsid w:val="00C84DEB"/>
    <w:rsid w:val="00C84E0F"/>
    <w:rsid w:val="00C84F3C"/>
    <w:rsid w:val="00C84FD5"/>
    <w:rsid w:val="00C850B3"/>
    <w:rsid w:val="00C850C4"/>
    <w:rsid w:val="00C854E2"/>
    <w:rsid w:val="00C8558F"/>
    <w:rsid w:val="00C855CE"/>
    <w:rsid w:val="00C85DCB"/>
    <w:rsid w:val="00C86163"/>
    <w:rsid w:val="00C866C0"/>
    <w:rsid w:val="00C86706"/>
    <w:rsid w:val="00C86A07"/>
    <w:rsid w:val="00C86BB2"/>
    <w:rsid w:val="00C86CDE"/>
    <w:rsid w:val="00C86D9C"/>
    <w:rsid w:val="00C87023"/>
    <w:rsid w:val="00C87343"/>
    <w:rsid w:val="00C87B78"/>
    <w:rsid w:val="00C901BC"/>
    <w:rsid w:val="00C90598"/>
    <w:rsid w:val="00C90684"/>
    <w:rsid w:val="00C9069C"/>
    <w:rsid w:val="00C9099F"/>
    <w:rsid w:val="00C90BCF"/>
    <w:rsid w:val="00C90C4B"/>
    <w:rsid w:val="00C9106F"/>
    <w:rsid w:val="00C91463"/>
    <w:rsid w:val="00C916CB"/>
    <w:rsid w:val="00C9173B"/>
    <w:rsid w:val="00C917FF"/>
    <w:rsid w:val="00C92123"/>
    <w:rsid w:val="00C9224D"/>
    <w:rsid w:val="00C922B6"/>
    <w:rsid w:val="00C924A8"/>
    <w:rsid w:val="00C92A8C"/>
    <w:rsid w:val="00C92B9B"/>
    <w:rsid w:val="00C92C4C"/>
    <w:rsid w:val="00C92FEA"/>
    <w:rsid w:val="00C92FFF"/>
    <w:rsid w:val="00C9301B"/>
    <w:rsid w:val="00C937D0"/>
    <w:rsid w:val="00C93815"/>
    <w:rsid w:val="00C940D8"/>
    <w:rsid w:val="00C9444E"/>
    <w:rsid w:val="00C9482E"/>
    <w:rsid w:val="00C948C5"/>
    <w:rsid w:val="00C949D8"/>
    <w:rsid w:val="00C94E63"/>
    <w:rsid w:val="00C9512B"/>
    <w:rsid w:val="00C95269"/>
    <w:rsid w:val="00C953B1"/>
    <w:rsid w:val="00C9587B"/>
    <w:rsid w:val="00C958BB"/>
    <w:rsid w:val="00C95A63"/>
    <w:rsid w:val="00C95C2C"/>
    <w:rsid w:val="00C95CE9"/>
    <w:rsid w:val="00C96261"/>
    <w:rsid w:val="00C962AB"/>
    <w:rsid w:val="00C9633F"/>
    <w:rsid w:val="00C9645E"/>
    <w:rsid w:val="00C96495"/>
    <w:rsid w:val="00C96600"/>
    <w:rsid w:val="00C967FA"/>
    <w:rsid w:val="00C96A92"/>
    <w:rsid w:val="00C96D19"/>
    <w:rsid w:val="00C97003"/>
    <w:rsid w:val="00C9730B"/>
    <w:rsid w:val="00C97487"/>
    <w:rsid w:val="00C975E9"/>
    <w:rsid w:val="00C9794D"/>
    <w:rsid w:val="00C97CFE"/>
    <w:rsid w:val="00CA065F"/>
    <w:rsid w:val="00CA0C0D"/>
    <w:rsid w:val="00CA0D87"/>
    <w:rsid w:val="00CA0DB7"/>
    <w:rsid w:val="00CA0E4C"/>
    <w:rsid w:val="00CA1099"/>
    <w:rsid w:val="00CA10DB"/>
    <w:rsid w:val="00CA11C7"/>
    <w:rsid w:val="00CA1345"/>
    <w:rsid w:val="00CA150B"/>
    <w:rsid w:val="00CA1702"/>
    <w:rsid w:val="00CA1A32"/>
    <w:rsid w:val="00CA1B3F"/>
    <w:rsid w:val="00CA1F9A"/>
    <w:rsid w:val="00CA2192"/>
    <w:rsid w:val="00CA243F"/>
    <w:rsid w:val="00CA2637"/>
    <w:rsid w:val="00CA2CAF"/>
    <w:rsid w:val="00CA2E3C"/>
    <w:rsid w:val="00CA2E44"/>
    <w:rsid w:val="00CA32E4"/>
    <w:rsid w:val="00CA3647"/>
    <w:rsid w:val="00CA3971"/>
    <w:rsid w:val="00CA3F25"/>
    <w:rsid w:val="00CA3FB3"/>
    <w:rsid w:val="00CA3FF0"/>
    <w:rsid w:val="00CA40A1"/>
    <w:rsid w:val="00CA457B"/>
    <w:rsid w:val="00CA47AE"/>
    <w:rsid w:val="00CA4A1C"/>
    <w:rsid w:val="00CA4A46"/>
    <w:rsid w:val="00CA4A89"/>
    <w:rsid w:val="00CA50DD"/>
    <w:rsid w:val="00CA537F"/>
    <w:rsid w:val="00CA54AE"/>
    <w:rsid w:val="00CA615E"/>
    <w:rsid w:val="00CA6254"/>
    <w:rsid w:val="00CA6467"/>
    <w:rsid w:val="00CA66C4"/>
    <w:rsid w:val="00CA6813"/>
    <w:rsid w:val="00CA6B6B"/>
    <w:rsid w:val="00CA6BAC"/>
    <w:rsid w:val="00CA6BB3"/>
    <w:rsid w:val="00CA6F6B"/>
    <w:rsid w:val="00CA74C1"/>
    <w:rsid w:val="00CA77D9"/>
    <w:rsid w:val="00CA78DF"/>
    <w:rsid w:val="00CA7A50"/>
    <w:rsid w:val="00CA7B73"/>
    <w:rsid w:val="00CA7D81"/>
    <w:rsid w:val="00CB0DF9"/>
    <w:rsid w:val="00CB0F11"/>
    <w:rsid w:val="00CB1035"/>
    <w:rsid w:val="00CB12C5"/>
    <w:rsid w:val="00CB12CE"/>
    <w:rsid w:val="00CB1B4D"/>
    <w:rsid w:val="00CB1D2B"/>
    <w:rsid w:val="00CB1FD4"/>
    <w:rsid w:val="00CB20CD"/>
    <w:rsid w:val="00CB20DF"/>
    <w:rsid w:val="00CB21F4"/>
    <w:rsid w:val="00CB226D"/>
    <w:rsid w:val="00CB23BE"/>
    <w:rsid w:val="00CB2881"/>
    <w:rsid w:val="00CB288C"/>
    <w:rsid w:val="00CB2967"/>
    <w:rsid w:val="00CB2AE5"/>
    <w:rsid w:val="00CB2EF4"/>
    <w:rsid w:val="00CB2F7B"/>
    <w:rsid w:val="00CB30D6"/>
    <w:rsid w:val="00CB3145"/>
    <w:rsid w:val="00CB3246"/>
    <w:rsid w:val="00CB34AC"/>
    <w:rsid w:val="00CB359F"/>
    <w:rsid w:val="00CB3637"/>
    <w:rsid w:val="00CB365F"/>
    <w:rsid w:val="00CB369F"/>
    <w:rsid w:val="00CB37A8"/>
    <w:rsid w:val="00CB3B45"/>
    <w:rsid w:val="00CB3C3F"/>
    <w:rsid w:val="00CB3C71"/>
    <w:rsid w:val="00CB40C1"/>
    <w:rsid w:val="00CB42B6"/>
    <w:rsid w:val="00CB4639"/>
    <w:rsid w:val="00CB49B3"/>
    <w:rsid w:val="00CB4A36"/>
    <w:rsid w:val="00CB4A70"/>
    <w:rsid w:val="00CB4B42"/>
    <w:rsid w:val="00CB4BB6"/>
    <w:rsid w:val="00CB5304"/>
    <w:rsid w:val="00CB54B5"/>
    <w:rsid w:val="00CB55A8"/>
    <w:rsid w:val="00CB5BB9"/>
    <w:rsid w:val="00CB5CFD"/>
    <w:rsid w:val="00CB5DBD"/>
    <w:rsid w:val="00CB6420"/>
    <w:rsid w:val="00CB6A27"/>
    <w:rsid w:val="00CB6C91"/>
    <w:rsid w:val="00CB6F3D"/>
    <w:rsid w:val="00CB7290"/>
    <w:rsid w:val="00CB76E1"/>
    <w:rsid w:val="00CB7BAC"/>
    <w:rsid w:val="00CB7C23"/>
    <w:rsid w:val="00CB7D7A"/>
    <w:rsid w:val="00CB7EC0"/>
    <w:rsid w:val="00CC0253"/>
    <w:rsid w:val="00CC054E"/>
    <w:rsid w:val="00CC05BF"/>
    <w:rsid w:val="00CC070F"/>
    <w:rsid w:val="00CC0D2E"/>
    <w:rsid w:val="00CC0D7A"/>
    <w:rsid w:val="00CC0E2D"/>
    <w:rsid w:val="00CC0E9C"/>
    <w:rsid w:val="00CC1443"/>
    <w:rsid w:val="00CC165B"/>
    <w:rsid w:val="00CC1662"/>
    <w:rsid w:val="00CC16ED"/>
    <w:rsid w:val="00CC1939"/>
    <w:rsid w:val="00CC1A4B"/>
    <w:rsid w:val="00CC1A67"/>
    <w:rsid w:val="00CC1A8E"/>
    <w:rsid w:val="00CC1EEB"/>
    <w:rsid w:val="00CC1FCA"/>
    <w:rsid w:val="00CC2512"/>
    <w:rsid w:val="00CC255F"/>
    <w:rsid w:val="00CC287D"/>
    <w:rsid w:val="00CC28B3"/>
    <w:rsid w:val="00CC2EAF"/>
    <w:rsid w:val="00CC3BE6"/>
    <w:rsid w:val="00CC3E12"/>
    <w:rsid w:val="00CC401F"/>
    <w:rsid w:val="00CC42F0"/>
    <w:rsid w:val="00CC4401"/>
    <w:rsid w:val="00CC4477"/>
    <w:rsid w:val="00CC4792"/>
    <w:rsid w:val="00CC4B6D"/>
    <w:rsid w:val="00CC5328"/>
    <w:rsid w:val="00CC559D"/>
    <w:rsid w:val="00CC57A8"/>
    <w:rsid w:val="00CC586E"/>
    <w:rsid w:val="00CC58AD"/>
    <w:rsid w:val="00CC5A64"/>
    <w:rsid w:val="00CC5B30"/>
    <w:rsid w:val="00CC5EC0"/>
    <w:rsid w:val="00CC5F60"/>
    <w:rsid w:val="00CC5F91"/>
    <w:rsid w:val="00CC5F98"/>
    <w:rsid w:val="00CC645F"/>
    <w:rsid w:val="00CC64BB"/>
    <w:rsid w:val="00CC6CEB"/>
    <w:rsid w:val="00CC6DB3"/>
    <w:rsid w:val="00CC6E0F"/>
    <w:rsid w:val="00CC70FC"/>
    <w:rsid w:val="00CC72FC"/>
    <w:rsid w:val="00CC7349"/>
    <w:rsid w:val="00CC7669"/>
    <w:rsid w:val="00CC76FF"/>
    <w:rsid w:val="00CC770A"/>
    <w:rsid w:val="00CC782E"/>
    <w:rsid w:val="00CC7AAD"/>
    <w:rsid w:val="00CC7AD8"/>
    <w:rsid w:val="00CC7DAE"/>
    <w:rsid w:val="00CC7EDE"/>
    <w:rsid w:val="00CD03C3"/>
    <w:rsid w:val="00CD07E7"/>
    <w:rsid w:val="00CD0B1B"/>
    <w:rsid w:val="00CD10AA"/>
    <w:rsid w:val="00CD12C7"/>
    <w:rsid w:val="00CD152B"/>
    <w:rsid w:val="00CD172F"/>
    <w:rsid w:val="00CD1753"/>
    <w:rsid w:val="00CD1914"/>
    <w:rsid w:val="00CD1C61"/>
    <w:rsid w:val="00CD1DAE"/>
    <w:rsid w:val="00CD1F5A"/>
    <w:rsid w:val="00CD207D"/>
    <w:rsid w:val="00CD2212"/>
    <w:rsid w:val="00CD2238"/>
    <w:rsid w:val="00CD238F"/>
    <w:rsid w:val="00CD26E9"/>
    <w:rsid w:val="00CD2780"/>
    <w:rsid w:val="00CD2853"/>
    <w:rsid w:val="00CD289A"/>
    <w:rsid w:val="00CD2CB3"/>
    <w:rsid w:val="00CD2EA7"/>
    <w:rsid w:val="00CD31B9"/>
    <w:rsid w:val="00CD325C"/>
    <w:rsid w:val="00CD345E"/>
    <w:rsid w:val="00CD35AD"/>
    <w:rsid w:val="00CD367E"/>
    <w:rsid w:val="00CD371A"/>
    <w:rsid w:val="00CD3BC8"/>
    <w:rsid w:val="00CD3C68"/>
    <w:rsid w:val="00CD3D54"/>
    <w:rsid w:val="00CD4441"/>
    <w:rsid w:val="00CD44AA"/>
    <w:rsid w:val="00CD4B4E"/>
    <w:rsid w:val="00CD4BED"/>
    <w:rsid w:val="00CD4C0E"/>
    <w:rsid w:val="00CD4E82"/>
    <w:rsid w:val="00CD4FF1"/>
    <w:rsid w:val="00CD50A5"/>
    <w:rsid w:val="00CD554A"/>
    <w:rsid w:val="00CD5905"/>
    <w:rsid w:val="00CD597F"/>
    <w:rsid w:val="00CD5A48"/>
    <w:rsid w:val="00CD6016"/>
    <w:rsid w:val="00CD6053"/>
    <w:rsid w:val="00CD60B3"/>
    <w:rsid w:val="00CD60C7"/>
    <w:rsid w:val="00CD60D7"/>
    <w:rsid w:val="00CD62F4"/>
    <w:rsid w:val="00CD648C"/>
    <w:rsid w:val="00CD6897"/>
    <w:rsid w:val="00CD6978"/>
    <w:rsid w:val="00CD6CFE"/>
    <w:rsid w:val="00CD6D3B"/>
    <w:rsid w:val="00CD6E1D"/>
    <w:rsid w:val="00CD6EEE"/>
    <w:rsid w:val="00CD6F0A"/>
    <w:rsid w:val="00CD736F"/>
    <w:rsid w:val="00CD752F"/>
    <w:rsid w:val="00CD75C4"/>
    <w:rsid w:val="00CD7920"/>
    <w:rsid w:val="00CD7960"/>
    <w:rsid w:val="00CD7CAF"/>
    <w:rsid w:val="00CD7EF9"/>
    <w:rsid w:val="00CE01AE"/>
    <w:rsid w:val="00CE01D3"/>
    <w:rsid w:val="00CE02AE"/>
    <w:rsid w:val="00CE05F7"/>
    <w:rsid w:val="00CE073A"/>
    <w:rsid w:val="00CE07A1"/>
    <w:rsid w:val="00CE096A"/>
    <w:rsid w:val="00CE0B1F"/>
    <w:rsid w:val="00CE132C"/>
    <w:rsid w:val="00CE1376"/>
    <w:rsid w:val="00CE1494"/>
    <w:rsid w:val="00CE14F7"/>
    <w:rsid w:val="00CE1602"/>
    <w:rsid w:val="00CE1713"/>
    <w:rsid w:val="00CE18CB"/>
    <w:rsid w:val="00CE1C68"/>
    <w:rsid w:val="00CE1E2D"/>
    <w:rsid w:val="00CE1EAD"/>
    <w:rsid w:val="00CE2112"/>
    <w:rsid w:val="00CE22BE"/>
    <w:rsid w:val="00CE230B"/>
    <w:rsid w:val="00CE23B0"/>
    <w:rsid w:val="00CE275B"/>
    <w:rsid w:val="00CE2876"/>
    <w:rsid w:val="00CE28A5"/>
    <w:rsid w:val="00CE2C3F"/>
    <w:rsid w:val="00CE2D07"/>
    <w:rsid w:val="00CE3017"/>
    <w:rsid w:val="00CE3054"/>
    <w:rsid w:val="00CE3238"/>
    <w:rsid w:val="00CE37CC"/>
    <w:rsid w:val="00CE3AE5"/>
    <w:rsid w:val="00CE3C20"/>
    <w:rsid w:val="00CE3CC8"/>
    <w:rsid w:val="00CE3CCF"/>
    <w:rsid w:val="00CE3F9D"/>
    <w:rsid w:val="00CE426F"/>
    <w:rsid w:val="00CE4450"/>
    <w:rsid w:val="00CE490C"/>
    <w:rsid w:val="00CE496F"/>
    <w:rsid w:val="00CE4BCF"/>
    <w:rsid w:val="00CE4BEF"/>
    <w:rsid w:val="00CE5068"/>
    <w:rsid w:val="00CE524C"/>
    <w:rsid w:val="00CE5B0D"/>
    <w:rsid w:val="00CE5FDB"/>
    <w:rsid w:val="00CE632B"/>
    <w:rsid w:val="00CE6611"/>
    <w:rsid w:val="00CE6700"/>
    <w:rsid w:val="00CE6733"/>
    <w:rsid w:val="00CE6A9C"/>
    <w:rsid w:val="00CE7055"/>
    <w:rsid w:val="00CE71C8"/>
    <w:rsid w:val="00CE78E1"/>
    <w:rsid w:val="00CE7A38"/>
    <w:rsid w:val="00CE7A59"/>
    <w:rsid w:val="00CE7B4A"/>
    <w:rsid w:val="00CE7C51"/>
    <w:rsid w:val="00CE7E9E"/>
    <w:rsid w:val="00CF0355"/>
    <w:rsid w:val="00CF0D86"/>
    <w:rsid w:val="00CF0DCB"/>
    <w:rsid w:val="00CF108C"/>
    <w:rsid w:val="00CF10F8"/>
    <w:rsid w:val="00CF12CB"/>
    <w:rsid w:val="00CF12E1"/>
    <w:rsid w:val="00CF14C3"/>
    <w:rsid w:val="00CF1894"/>
    <w:rsid w:val="00CF1A1E"/>
    <w:rsid w:val="00CF20D3"/>
    <w:rsid w:val="00CF287D"/>
    <w:rsid w:val="00CF29E1"/>
    <w:rsid w:val="00CF2A2E"/>
    <w:rsid w:val="00CF2B8E"/>
    <w:rsid w:val="00CF305F"/>
    <w:rsid w:val="00CF3C00"/>
    <w:rsid w:val="00CF3CAC"/>
    <w:rsid w:val="00CF3D4A"/>
    <w:rsid w:val="00CF3DE8"/>
    <w:rsid w:val="00CF3F3C"/>
    <w:rsid w:val="00CF3FA3"/>
    <w:rsid w:val="00CF4199"/>
    <w:rsid w:val="00CF46FE"/>
    <w:rsid w:val="00CF4AF3"/>
    <w:rsid w:val="00CF4B15"/>
    <w:rsid w:val="00CF4F27"/>
    <w:rsid w:val="00CF4F7E"/>
    <w:rsid w:val="00CF5229"/>
    <w:rsid w:val="00CF635A"/>
    <w:rsid w:val="00CF6BE9"/>
    <w:rsid w:val="00CF6C4B"/>
    <w:rsid w:val="00CF6E9D"/>
    <w:rsid w:val="00CF73F2"/>
    <w:rsid w:val="00CF76A5"/>
    <w:rsid w:val="00CF76C2"/>
    <w:rsid w:val="00CF783E"/>
    <w:rsid w:val="00CF7E3F"/>
    <w:rsid w:val="00CF7F03"/>
    <w:rsid w:val="00CF7FEE"/>
    <w:rsid w:val="00D0002D"/>
    <w:rsid w:val="00D0011E"/>
    <w:rsid w:val="00D0022F"/>
    <w:rsid w:val="00D00436"/>
    <w:rsid w:val="00D0051C"/>
    <w:rsid w:val="00D00916"/>
    <w:rsid w:val="00D00C3F"/>
    <w:rsid w:val="00D00CAA"/>
    <w:rsid w:val="00D00CBD"/>
    <w:rsid w:val="00D00E2C"/>
    <w:rsid w:val="00D012AF"/>
    <w:rsid w:val="00D01404"/>
    <w:rsid w:val="00D01462"/>
    <w:rsid w:val="00D01977"/>
    <w:rsid w:val="00D01A07"/>
    <w:rsid w:val="00D01B6C"/>
    <w:rsid w:val="00D01E3B"/>
    <w:rsid w:val="00D01FDF"/>
    <w:rsid w:val="00D02276"/>
    <w:rsid w:val="00D023BF"/>
    <w:rsid w:val="00D02784"/>
    <w:rsid w:val="00D027E0"/>
    <w:rsid w:val="00D028DE"/>
    <w:rsid w:val="00D02CBB"/>
    <w:rsid w:val="00D02CD8"/>
    <w:rsid w:val="00D03054"/>
    <w:rsid w:val="00D032AA"/>
    <w:rsid w:val="00D03421"/>
    <w:rsid w:val="00D03542"/>
    <w:rsid w:val="00D035EF"/>
    <w:rsid w:val="00D03621"/>
    <w:rsid w:val="00D037EB"/>
    <w:rsid w:val="00D03B07"/>
    <w:rsid w:val="00D03CF5"/>
    <w:rsid w:val="00D04272"/>
    <w:rsid w:val="00D04584"/>
    <w:rsid w:val="00D04602"/>
    <w:rsid w:val="00D046D7"/>
    <w:rsid w:val="00D04807"/>
    <w:rsid w:val="00D04831"/>
    <w:rsid w:val="00D04C20"/>
    <w:rsid w:val="00D04C63"/>
    <w:rsid w:val="00D05072"/>
    <w:rsid w:val="00D050CC"/>
    <w:rsid w:val="00D05125"/>
    <w:rsid w:val="00D052D9"/>
    <w:rsid w:val="00D0535D"/>
    <w:rsid w:val="00D05525"/>
    <w:rsid w:val="00D05542"/>
    <w:rsid w:val="00D057F9"/>
    <w:rsid w:val="00D0598F"/>
    <w:rsid w:val="00D059A3"/>
    <w:rsid w:val="00D05CD0"/>
    <w:rsid w:val="00D05EB6"/>
    <w:rsid w:val="00D05F9D"/>
    <w:rsid w:val="00D067FA"/>
    <w:rsid w:val="00D0685D"/>
    <w:rsid w:val="00D06C44"/>
    <w:rsid w:val="00D06C5C"/>
    <w:rsid w:val="00D06D8A"/>
    <w:rsid w:val="00D07170"/>
    <w:rsid w:val="00D073F1"/>
    <w:rsid w:val="00D074F4"/>
    <w:rsid w:val="00D07BCC"/>
    <w:rsid w:val="00D07EE4"/>
    <w:rsid w:val="00D10124"/>
    <w:rsid w:val="00D10540"/>
    <w:rsid w:val="00D106E4"/>
    <w:rsid w:val="00D10721"/>
    <w:rsid w:val="00D107E6"/>
    <w:rsid w:val="00D10A26"/>
    <w:rsid w:val="00D10B35"/>
    <w:rsid w:val="00D11233"/>
    <w:rsid w:val="00D11306"/>
    <w:rsid w:val="00D1148E"/>
    <w:rsid w:val="00D1176B"/>
    <w:rsid w:val="00D118FA"/>
    <w:rsid w:val="00D1199C"/>
    <w:rsid w:val="00D119AF"/>
    <w:rsid w:val="00D119E4"/>
    <w:rsid w:val="00D11A41"/>
    <w:rsid w:val="00D11D11"/>
    <w:rsid w:val="00D11DDF"/>
    <w:rsid w:val="00D11E47"/>
    <w:rsid w:val="00D1207A"/>
    <w:rsid w:val="00D12587"/>
    <w:rsid w:val="00D125B9"/>
    <w:rsid w:val="00D1294C"/>
    <w:rsid w:val="00D13151"/>
    <w:rsid w:val="00D13156"/>
    <w:rsid w:val="00D138E5"/>
    <w:rsid w:val="00D13CA9"/>
    <w:rsid w:val="00D14130"/>
    <w:rsid w:val="00D1448F"/>
    <w:rsid w:val="00D145A6"/>
    <w:rsid w:val="00D14685"/>
    <w:rsid w:val="00D147EF"/>
    <w:rsid w:val="00D14DE6"/>
    <w:rsid w:val="00D14DE8"/>
    <w:rsid w:val="00D15019"/>
    <w:rsid w:val="00D1504E"/>
    <w:rsid w:val="00D15764"/>
    <w:rsid w:val="00D157E5"/>
    <w:rsid w:val="00D15E0C"/>
    <w:rsid w:val="00D15EF3"/>
    <w:rsid w:val="00D15F1E"/>
    <w:rsid w:val="00D165C3"/>
    <w:rsid w:val="00D16807"/>
    <w:rsid w:val="00D16CDD"/>
    <w:rsid w:val="00D16CED"/>
    <w:rsid w:val="00D16E92"/>
    <w:rsid w:val="00D17023"/>
    <w:rsid w:val="00D17899"/>
    <w:rsid w:val="00D179AD"/>
    <w:rsid w:val="00D17B3A"/>
    <w:rsid w:val="00D17B97"/>
    <w:rsid w:val="00D17C1D"/>
    <w:rsid w:val="00D17D6A"/>
    <w:rsid w:val="00D17DC5"/>
    <w:rsid w:val="00D17FE7"/>
    <w:rsid w:val="00D20013"/>
    <w:rsid w:val="00D202A7"/>
    <w:rsid w:val="00D20780"/>
    <w:rsid w:val="00D21269"/>
    <w:rsid w:val="00D2126C"/>
    <w:rsid w:val="00D21463"/>
    <w:rsid w:val="00D216CD"/>
    <w:rsid w:val="00D2196E"/>
    <w:rsid w:val="00D21E8B"/>
    <w:rsid w:val="00D223AC"/>
    <w:rsid w:val="00D22404"/>
    <w:rsid w:val="00D228CC"/>
    <w:rsid w:val="00D22B6C"/>
    <w:rsid w:val="00D22CC7"/>
    <w:rsid w:val="00D22D6A"/>
    <w:rsid w:val="00D23767"/>
    <w:rsid w:val="00D237DB"/>
    <w:rsid w:val="00D23A49"/>
    <w:rsid w:val="00D23CC9"/>
    <w:rsid w:val="00D242E3"/>
    <w:rsid w:val="00D24391"/>
    <w:rsid w:val="00D243C0"/>
    <w:rsid w:val="00D245C3"/>
    <w:rsid w:val="00D24A0A"/>
    <w:rsid w:val="00D24D9B"/>
    <w:rsid w:val="00D24DC7"/>
    <w:rsid w:val="00D259AF"/>
    <w:rsid w:val="00D2609C"/>
    <w:rsid w:val="00D26948"/>
    <w:rsid w:val="00D26CF0"/>
    <w:rsid w:val="00D26D59"/>
    <w:rsid w:val="00D2732E"/>
    <w:rsid w:val="00D2749B"/>
    <w:rsid w:val="00D275DE"/>
    <w:rsid w:val="00D2762E"/>
    <w:rsid w:val="00D2779D"/>
    <w:rsid w:val="00D278E5"/>
    <w:rsid w:val="00D27A9F"/>
    <w:rsid w:val="00D27ADA"/>
    <w:rsid w:val="00D27BCE"/>
    <w:rsid w:val="00D27D5B"/>
    <w:rsid w:val="00D30022"/>
    <w:rsid w:val="00D3012B"/>
    <w:rsid w:val="00D301B5"/>
    <w:rsid w:val="00D30594"/>
    <w:rsid w:val="00D3085E"/>
    <w:rsid w:val="00D30926"/>
    <w:rsid w:val="00D30AE2"/>
    <w:rsid w:val="00D30B39"/>
    <w:rsid w:val="00D30F25"/>
    <w:rsid w:val="00D31327"/>
    <w:rsid w:val="00D31443"/>
    <w:rsid w:val="00D3152D"/>
    <w:rsid w:val="00D3158B"/>
    <w:rsid w:val="00D315B4"/>
    <w:rsid w:val="00D3184F"/>
    <w:rsid w:val="00D31A6D"/>
    <w:rsid w:val="00D31B90"/>
    <w:rsid w:val="00D31BA4"/>
    <w:rsid w:val="00D31EF1"/>
    <w:rsid w:val="00D32392"/>
    <w:rsid w:val="00D323E0"/>
    <w:rsid w:val="00D32560"/>
    <w:rsid w:val="00D3264A"/>
    <w:rsid w:val="00D329BB"/>
    <w:rsid w:val="00D32B14"/>
    <w:rsid w:val="00D32CB9"/>
    <w:rsid w:val="00D32FA8"/>
    <w:rsid w:val="00D3322D"/>
    <w:rsid w:val="00D333CF"/>
    <w:rsid w:val="00D335B8"/>
    <w:rsid w:val="00D335E2"/>
    <w:rsid w:val="00D339B2"/>
    <w:rsid w:val="00D339B4"/>
    <w:rsid w:val="00D33A4A"/>
    <w:rsid w:val="00D33EF3"/>
    <w:rsid w:val="00D33FDB"/>
    <w:rsid w:val="00D340DB"/>
    <w:rsid w:val="00D34260"/>
    <w:rsid w:val="00D342C7"/>
    <w:rsid w:val="00D348AA"/>
    <w:rsid w:val="00D34AA8"/>
    <w:rsid w:val="00D34CCA"/>
    <w:rsid w:val="00D34D1D"/>
    <w:rsid w:val="00D34DE7"/>
    <w:rsid w:val="00D34EF2"/>
    <w:rsid w:val="00D352D2"/>
    <w:rsid w:val="00D35370"/>
    <w:rsid w:val="00D354C2"/>
    <w:rsid w:val="00D35604"/>
    <w:rsid w:val="00D3570C"/>
    <w:rsid w:val="00D35840"/>
    <w:rsid w:val="00D35AF0"/>
    <w:rsid w:val="00D35B7E"/>
    <w:rsid w:val="00D36190"/>
    <w:rsid w:val="00D361B9"/>
    <w:rsid w:val="00D362C7"/>
    <w:rsid w:val="00D366E0"/>
    <w:rsid w:val="00D36D48"/>
    <w:rsid w:val="00D36D8A"/>
    <w:rsid w:val="00D37099"/>
    <w:rsid w:val="00D37196"/>
    <w:rsid w:val="00D372E1"/>
    <w:rsid w:val="00D372FF"/>
    <w:rsid w:val="00D37681"/>
    <w:rsid w:val="00D377B1"/>
    <w:rsid w:val="00D37FEC"/>
    <w:rsid w:val="00D40263"/>
    <w:rsid w:val="00D40619"/>
    <w:rsid w:val="00D406B5"/>
    <w:rsid w:val="00D40874"/>
    <w:rsid w:val="00D40D22"/>
    <w:rsid w:val="00D40E96"/>
    <w:rsid w:val="00D4105E"/>
    <w:rsid w:val="00D411EE"/>
    <w:rsid w:val="00D41517"/>
    <w:rsid w:val="00D415A9"/>
    <w:rsid w:val="00D415AC"/>
    <w:rsid w:val="00D41620"/>
    <w:rsid w:val="00D41650"/>
    <w:rsid w:val="00D4168F"/>
    <w:rsid w:val="00D4178A"/>
    <w:rsid w:val="00D41C79"/>
    <w:rsid w:val="00D41C99"/>
    <w:rsid w:val="00D41FC1"/>
    <w:rsid w:val="00D42077"/>
    <w:rsid w:val="00D422E8"/>
    <w:rsid w:val="00D42453"/>
    <w:rsid w:val="00D425F6"/>
    <w:rsid w:val="00D42B73"/>
    <w:rsid w:val="00D42E12"/>
    <w:rsid w:val="00D43777"/>
    <w:rsid w:val="00D439C8"/>
    <w:rsid w:val="00D43F2F"/>
    <w:rsid w:val="00D4410F"/>
    <w:rsid w:val="00D44570"/>
    <w:rsid w:val="00D4459F"/>
    <w:rsid w:val="00D449B8"/>
    <w:rsid w:val="00D44E5A"/>
    <w:rsid w:val="00D453A9"/>
    <w:rsid w:val="00D459B6"/>
    <w:rsid w:val="00D45B12"/>
    <w:rsid w:val="00D45B56"/>
    <w:rsid w:val="00D45D5A"/>
    <w:rsid w:val="00D45DAA"/>
    <w:rsid w:val="00D46020"/>
    <w:rsid w:val="00D467AF"/>
    <w:rsid w:val="00D46A95"/>
    <w:rsid w:val="00D46B87"/>
    <w:rsid w:val="00D472B5"/>
    <w:rsid w:val="00D4743C"/>
    <w:rsid w:val="00D47477"/>
    <w:rsid w:val="00D4771C"/>
    <w:rsid w:val="00D47E40"/>
    <w:rsid w:val="00D47E63"/>
    <w:rsid w:val="00D50460"/>
    <w:rsid w:val="00D50811"/>
    <w:rsid w:val="00D50BDB"/>
    <w:rsid w:val="00D5102E"/>
    <w:rsid w:val="00D51186"/>
    <w:rsid w:val="00D5122E"/>
    <w:rsid w:val="00D5129D"/>
    <w:rsid w:val="00D51443"/>
    <w:rsid w:val="00D519E3"/>
    <w:rsid w:val="00D52137"/>
    <w:rsid w:val="00D52385"/>
    <w:rsid w:val="00D52B6D"/>
    <w:rsid w:val="00D53131"/>
    <w:rsid w:val="00D533F1"/>
    <w:rsid w:val="00D534BF"/>
    <w:rsid w:val="00D53AFA"/>
    <w:rsid w:val="00D54218"/>
    <w:rsid w:val="00D5421A"/>
    <w:rsid w:val="00D542E9"/>
    <w:rsid w:val="00D544E5"/>
    <w:rsid w:val="00D5472F"/>
    <w:rsid w:val="00D5480A"/>
    <w:rsid w:val="00D54960"/>
    <w:rsid w:val="00D54A2C"/>
    <w:rsid w:val="00D54B07"/>
    <w:rsid w:val="00D54B09"/>
    <w:rsid w:val="00D54CD1"/>
    <w:rsid w:val="00D55043"/>
    <w:rsid w:val="00D551B4"/>
    <w:rsid w:val="00D551E5"/>
    <w:rsid w:val="00D553D0"/>
    <w:rsid w:val="00D55AD6"/>
    <w:rsid w:val="00D55C39"/>
    <w:rsid w:val="00D55C5C"/>
    <w:rsid w:val="00D55ECE"/>
    <w:rsid w:val="00D560F8"/>
    <w:rsid w:val="00D561FC"/>
    <w:rsid w:val="00D56243"/>
    <w:rsid w:val="00D563B4"/>
    <w:rsid w:val="00D564F5"/>
    <w:rsid w:val="00D56570"/>
    <w:rsid w:val="00D56681"/>
    <w:rsid w:val="00D566BF"/>
    <w:rsid w:val="00D5696B"/>
    <w:rsid w:val="00D56D78"/>
    <w:rsid w:val="00D571BD"/>
    <w:rsid w:val="00D57255"/>
    <w:rsid w:val="00D57504"/>
    <w:rsid w:val="00D578D1"/>
    <w:rsid w:val="00D57945"/>
    <w:rsid w:val="00D57E46"/>
    <w:rsid w:val="00D60883"/>
    <w:rsid w:val="00D60895"/>
    <w:rsid w:val="00D608FE"/>
    <w:rsid w:val="00D60B1B"/>
    <w:rsid w:val="00D60C30"/>
    <w:rsid w:val="00D60DB7"/>
    <w:rsid w:val="00D60E86"/>
    <w:rsid w:val="00D60F49"/>
    <w:rsid w:val="00D60FCE"/>
    <w:rsid w:val="00D61021"/>
    <w:rsid w:val="00D612BF"/>
    <w:rsid w:val="00D612C2"/>
    <w:rsid w:val="00D61B22"/>
    <w:rsid w:val="00D61FA1"/>
    <w:rsid w:val="00D6211E"/>
    <w:rsid w:val="00D622F3"/>
    <w:rsid w:val="00D6239F"/>
    <w:rsid w:val="00D62531"/>
    <w:rsid w:val="00D62570"/>
    <w:rsid w:val="00D626F7"/>
    <w:rsid w:val="00D62787"/>
    <w:rsid w:val="00D629CC"/>
    <w:rsid w:val="00D62BDE"/>
    <w:rsid w:val="00D63202"/>
    <w:rsid w:val="00D63426"/>
    <w:rsid w:val="00D635A7"/>
    <w:rsid w:val="00D63822"/>
    <w:rsid w:val="00D63C8D"/>
    <w:rsid w:val="00D63E8D"/>
    <w:rsid w:val="00D64093"/>
    <w:rsid w:val="00D6430C"/>
    <w:rsid w:val="00D644AE"/>
    <w:rsid w:val="00D646F5"/>
    <w:rsid w:val="00D64970"/>
    <w:rsid w:val="00D64CAC"/>
    <w:rsid w:val="00D64F2B"/>
    <w:rsid w:val="00D65040"/>
    <w:rsid w:val="00D65071"/>
    <w:rsid w:val="00D65A7D"/>
    <w:rsid w:val="00D65E34"/>
    <w:rsid w:val="00D665D2"/>
    <w:rsid w:val="00D66C38"/>
    <w:rsid w:val="00D66FA6"/>
    <w:rsid w:val="00D6742D"/>
    <w:rsid w:val="00D675EC"/>
    <w:rsid w:val="00D6781D"/>
    <w:rsid w:val="00D67852"/>
    <w:rsid w:val="00D67D90"/>
    <w:rsid w:val="00D67FD4"/>
    <w:rsid w:val="00D70006"/>
    <w:rsid w:val="00D70071"/>
    <w:rsid w:val="00D7052F"/>
    <w:rsid w:val="00D70618"/>
    <w:rsid w:val="00D70D9A"/>
    <w:rsid w:val="00D70F90"/>
    <w:rsid w:val="00D71096"/>
    <w:rsid w:val="00D712B9"/>
    <w:rsid w:val="00D71354"/>
    <w:rsid w:val="00D7145C"/>
    <w:rsid w:val="00D7173F"/>
    <w:rsid w:val="00D717B7"/>
    <w:rsid w:val="00D718E1"/>
    <w:rsid w:val="00D719C5"/>
    <w:rsid w:val="00D71A3B"/>
    <w:rsid w:val="00D71B41"/>
    <w:rsid w:val="00D71E3C"/>
    <w:rsid w:val="00D71F41"/>
    <w:rsid w:val="00D721A9"/>
    <w:rsid w:val="00D72487"/>
    <w:rsid w:val="00D73078"/>
    <w:rsid w:val="00D73284"/>
    <w:rsid w:val="00D732FC"/>
    <w:rsid w:val="00D7363C"/>
    <w:rsid w:val="00D73892"/>
    <w:rsid w:val="00D73A44"/>
    <w:rsid w:val="00D73F8A"/>
    <w:rsid w:val="00D74420"/>
    <w:rsid w:val="00D744A8"/>
    <w:rsid w:val="00D745E0"/>
    <w:rsid w:val="00D74939"/>
    <w:rsid w:val="00D74A5F"/>
    <w:rsid w:val="00D74DBC"/>
    <w:rsid w:val="00D750B7"/>
    <w:rsid w:val="00D7528E"/>
    <w:rsid w:val="00D753E6"/>
    <w:rsid w:val="00D75A2A"/>
    <w:rsid w:val="00D75B5D"/>
    <w:rsid w:val="00D75C03"/>
    <w:rsid w:val="00D75CED"/>
    <w:rsid w:val="00D75D79"/>
    <w:rsid w:val="00D75D8D"/>
    <w:rsid w:val="00D7614C"/>
    <w:rsid w:val="00D76197"/>
    <w:rsid w:val="00D7668B"/>
    <w:rsid w:val="00D76945"/>
    <w:rsid w:val="00D76D00"/>
    <w:rsid w:val="00D77206"/>
    <w:rsid w:val="00D77281"/>
    <w:rsid w:val="00D77283"/>
    <w:rsid w:val="00D7740B"/>
    <w:rsid w:val="00D7765E"/>
    <w:rsid w:val="00D778F2"/>
    <w:rsid w:val="00D77D07"/>
    <w:rsid w:val="00D77D71"/>
    <w:rsid w:val="00D77DC1"/>
    <w:rsid w:val="00D77E73"/>
    <w:rsid w:val="00D80164"/>
    <w:rsid w:val="00D801EB"/>
    <w:rsid w:val="00D804C5"/>
    <w:rsid w:val="00D80508"/>
    <w:rsid w:val="00D80867"/>
    <w:rsid w:val="00D8095E"/>
    <w:rsid w:val="00D80AA4"/>
    <w:rsid w:val="00D80E8E"/>
    <w:rsid w:val="00D81026"/>
    <w:rsid w:val="00D81431"/>
    <w:rsid w:val="00D81605"/>
    <w:rsid w:val="00D81DAD"/>
    <w:rsid w:val="00D82277"/>
    <w:rsid w:val="00D822C1"/>
    <w:rsid w:val="00D828EE"/>
    <w:rsid w:val="00D82B1C"/>
    <w:rsid w:val="00D82D24"/>
    <w:rsid w:val="00D83052"/>
    <w:rsid w:val="00D83260"/>
    <w:rsid w:val="00D83286"/>
    <w:rsid w:val="00D838D6"/>
    <w:rsid w:val="00D83A9D"/>
    <w:rsid w:val="00D83AA4"/>
    <w:rsid w:val="00D83AE0"/>
    <w:rsid w:val="00D83C3A"/>
    <w:rsid w:val="00D83FA1"/>
    <w:rsid w:val="00D8480A"/>
    <w:rsid w:val="00D8493E"/>
    <w:rsid w:val="00D84A3D"/>
    <w:rsid w:val="00D84A84"/>
    <w:rsid w:val="00D84BBA"/>
    <w:rsid w:val="00D84E4A"/>
    <w:rsid w:val="00D850DD"/>
    <w:rsid w:val="00D850F7"/>
    <w:rsid w:val="00D854FA"/>
    <w:rsid w:val="00D85B66"/>
    <w:rsid w:val="00D85C0F"/>
    <w:rsid w:val="00D8604E"/>
    <w:rsid w:val="00D860E4"/>
    <w:rsid w:val="00D8617D"/>
    <w:rsid w:val="00D861B0"/>
    <w:rsid w:val="00D8637F"/>
    <w:rsid w:val="00D865E9"/>
    <w:rsid w:val="00D86A16"/>
    <w:rsid w:val="00D86E3F"/>
    <w:rsid w:val="00D87083"/>
    <w:rsid w:val="00D872F9"/>
    <w:rsid w:val="00D8738E"/>
    <w:rsid w:val="00D873F9"/>
    <w:rsid w:val="00D87413"/>
    <w:rsid w:val="00D87540"/>
    <w:rsid w:val="00D87722"/>
    <w:rsid w:val="00D8794C"/>
    <w:rsid w:val="00D90001"/>
    <w:rsid w:val="00D904C6"/>
    <w:rsid w:val="00D90A43"/>
    <w:rsid w:val="00D90E02"/>
    <w:rsid w:val="00D9110E"/>
    <w:rsid w:val="00D913E0"/>
    <w:rsid w:val="00D91497"/>
    <w:rsid w:val="00D91883"/>
    <w:rsid w:val="00D91966"/>
    <w:rsid w:val="00D91AB8"/>
    <w:rsid w:val="00D91EED"/>
    <w:rsid w:val="00D921C2"/>
    <w:rsid w:val="00D922A0"/>
    <w:rsid w:val="00D9231F"/>
    <w:rsid w:val="00D925F9"/>
    <w:rsid w:val="00D92AB0"/>
    <w:rsid w:val="00D92E4D"/>
    <w:rsid w:val="00D930CB"/>
    <w:rsid w:val="00D93219"/>
    <w:rsid w:val="00D9323D"/>
    <w:rsid w:val="00D932C2"/>
    <w:rsid w:val="00D932EB"/>
    <w:rsid w:val="00D9370B"/>
    <w:rsid w:val="00D93A43"/>
    <w:rsid w:val="00D93D6B"/>
    <w:rsid w:val="00D93FBE"/>
    <w:rsid w:val="00D93FD6"/>
    <w:rsid w:val="00D94342"/>
    <w:rsid w:val="00D94374"/>
    <w:rsid w:val="00D9443D"/>
    <w:rsid w:val="00D94777"/>
    <w:rsid w:val="00D947C1"/>
    <w:rsid w:val="00D94BB8"/>
    <w:rsid w:val="00D94C0E"/>
    <w:rsid w:val="00D94DA6"/>
    <w:rsid w:val="00D95073"/>
    <w:rsid w:val="00D952FC"/>
    <w:rsid w:val="00D957C9"/>
    <w:rsid w:val="00D9590D"/>
    <w:rsid w:val="00D95D5C"/>
    <w:rsid w:val="00D95E97"/>
    <w:rsid w:val="00D95E99"/>
    <w:rsid w:val="00D96027"/>
    <w:rsid w:val="00D963C9"/>
    <w:rsid w:val="00D9646F"/>
    <w:rsid w:val="00D9658E"/>
    <w:rsid w:val="00D96C6E"/>
    <w:rsid w:val="00D96E54"/>
    <w:rsid w:val="00D96F59"/>
    <w:rsid w:val="00D9701F"/>
    <w:rsid w:val="00D97160"/>
    <w:rsid w:val="00D97840"/>
    <w:rsid w:val="00D97CA1"/>
    <w:rsid w:val="00D97EBA"/>
    <w:rsid w:val="00DA0415"/>
    <w:rsid w:val="00DA04CD"/>
    <w:rsid w:val="00DA0540"/>
    <w:rsid w:val="00DA05BE"/>
    <w:rsid w:val="00DA06BF"/>
    <w:rsid w:val="00DA084B"/>
    <w:rsid w:val="00DA08C6"/>
    <w:rsid w:val="00DA0D88"/>
    <w:rsid w:val="00DA0E20"/>
    <w:rsid w:val="00DA0F9D"/>
    <w:rsid w:val="00DA11D1"/>
    <w:rsid w:val="00DA145C"/>
    <w:rsid w:val="00DA169C"/>
    <w:rsid w:val="00DA1754"/>
    <w:rsid w:val="00DA1911"/>
    <w:rsid w:val="00DA1A38"/>
    <w:rsid w:val="00DA2670"/>
    <w:rsid w:val="00DA2734"/>
    <w:rsid w:val="00DA285B"/>
    <w:rsid w:val="00DA286F"/>
    <w:rsid w:val="00DA2D28"/>
    <w:rsid w:val="00DA3219"/>
    <w:rsid w:val="00DA36AD"/>
    <w:rsid w:val="00DA3927"/>
    <w:rsid w:val="00DA3CCB"/>
    <w:rsid w:val="00DA3D1F"/>
    <w:rsid w:val="00DA3F8B"/>
    <w:rsid w:val="00DA406A"/>
    <w:rsid w:val="00DA42EA"/>
    <w:rsid w:val="00DA4390"/>
    <w:rsid w:val="00DA450D"/>
    <w:rsid w:val="00DA456C"/>
    <w:rsid w:val="00DA4620"/>
    <w:rsid w:val="00DA49DB"/>
    <w:rsid w:val="00DA4A71"/>
    <w:rsid w:val="00DA4C3B"/>
    <w:rsid w:val="00DA532E"/>
    <w:rsid w:val="00DA58A1"/>
    <w:rsid w:val="00DA5A76"/>
    <w:rsid w:val="00DA5AD0"/>
    <w:rsid w:val="00DA5B81"/>
    <w:rsid w:val="00DA5C30"/>
    <w:rsid w:val="00DA5F97"/>
    <w:rsid w:val="00DA63CD"/>
    <w:rsid w:val="00DA68F8"/>
    <w:rsid w:val="00DA6C3C"/>
    <w:rsid w:val="00DA6D73"/>
    <w:rsid w:val="00DA6E8E"/>
    <w:rsid w:val="00DA71F7"/>
    <w:rsid w:val="00DA77D3"/>
    <w:rsid w:val="00DA7A17"/>
    <w:rsid w:val="00DA7C71"/>
    <w:rsid w:val="00DA7FC5"/>
    <w:rsid w:val="00DB0139"/>
    <w:rsid w:val="00DB0170"/>
    <w:rsid w:val="00DB02E1"/>
    <w:rsid w:val="00DB0618"/>
    <w:rsid w:val="00DB08EE"/>
    <w:rsid w:val="00DB09F1"/>
    <w:rsid w:val="00DB0A7D"/>
    <w:rsid w:val="00DB0ABA"/>
    <w:rsid w:val="00DB1038"/>
    <w:rsid w:val="00DB10F1"/>
    <w:rsid w:val="00DB1377"/>
    <w:rsid w:val="00DB15C5"/>
    <w:rsid w:val="00DB165E"/>
    <w:rsid w:val="00DB1C16"/>
    <w:rsid w:val="00DB211F"/>
    <w:rsid w:val="00DB215A"/>
    <w:rsid w:val="00DB21BB"/>
    <w:rsid w:val="00DB26F1"/>
    <w:rsid w:val="00DB2B0F"/>
    <w:rsid w:val="00DB2C78"/>
    <w:rsid w:val="00DB32FB"/>
    <w:rsid w:val="00DB3349"/>
    <w:rsid w:val="00DB38C6"/>
    <w:rsid w:val="00DB396B"/>
    <w:rsid w:val="00DB3F81"/>
    <w:rsid w:val="00DB4264"/>
    <w:rsid w:val="00DB44AC"/>
    <w:rsid w:val="00DB44D8"/>
    <w:rsid w:val="00DB44E0"/>
    <w:rsid w:val="00DB4CFA"/>
    <w:rsid w:val="00DB4D4F"/>
    <w:rsid w:val="00DB4F47"/>
    <w:rsid w:val="00DB53DF"/>
    <w:rsid w:val="00DB56C5"/>
    <w:rsid w:val="00DB575F"/>
    <w:rsid w:val="00DB5AB0"/>
    <w:rsid w:val="00DB5F41"/>
    <w:rsid w:val="00DB62D3"/>
    <w:rsid w:val="00DB65AE"/>
    <w:rsid w:val="00DB6C65"/>
    <w:rsid w:val="00DB6D02"/>
    <w:rsid w:val="00DB6D40"/>
    <w:rsid w:val="00DB707A"/>
    <w:rsid w:val="00DB7156"/>
    <w:rsid w:val="00DB71AB"/>
    <w:rsid w:val="00DB7230"/>
    <w:rsid w:val="00DB7293"/>
    <w:rsid w:val="00DB72C2"/>
    <w:rsid w:val="00DB74BC"/>
    <w:rsid w:val="00DB76AE"/>
    <w:rsid w:val="00DB787C"/>
    <w:rsid w:val="00DB788F"/>
    <w:rsid w:val="00DB7AAC"/>
    <w:rsid w:val="00DB7B24"/>
    <w:rsid w:val="00DB7B94"/>
    <w:rsid w:val="00DB7C63"/>
    <w:rsid w:val="00DB7EB7"/>
    <w:rsid w:val="00DC0213"/>
    <w:rsid w:val="00DC0243"/>
    <w:rsid w:val="00DC040F"/>
    <w:rsid w:val="00DC05FD"/>
    <w:rsid w:val="00DC071D"/>
    <w:rsid w:val="00DC0A98"/>
    <w:rsid w:val="00DC0D12"/>
    <w:rsid w:val="00DC0DCA"/>
    <w:rsid w:val="00DC0F7F"/>
    <w:rsid w:val="00DC101E"/>
    <w:rsid w:val="00DC10EE"/>
    <w:rsid w:val="00DC1369"/>
    <w:rsid w:val="00DC141D"/>
    <w:rsid w:val="00DC1638"/>
    <w:rsid w:val="00DC1AC2"/>
    <w:rsid w:val="00DC1E1B"/>
    <w:rsid w:val="00DC1F07"/>
    <w:rsid w:val="00DC20E8"/>
    <w:rsid w:val="00DC20F1"/>
    <w:rsid w:val="00DC2643"/>
    <w:rsid w:val="00DC26AE"/>
    <w:rsid w:val="00DC277B"/>
    <w:rsid w:val="00DC27C4"/>
    <w:rsid w:val="00DC2B79"/>
    <w:rsid w:val="00DC2C7B"/>
    <w:rsid w:val="00DC304A"/>
    <w:rsid w:val="00DC31A7"/>
    <w:rsid w:val="00DC3423"/>
    <w:rsid w:val="00DC34EB"/>
    <w:rsid w:val="00DC350C"/>
    <w:rsid w:val="00DC3680"/>
    <w:rsid w:val="00DC3956"/>
    <w:rsid w:val="00DC3AE3"/>
    <w:rsid w:val="00DC3D71"/>
    <w:rsid w:val="00DC3E09"/>
    <w:rsid w:val="00DC3FD2"/>
    <w:rsid w:val="00DC40AE"/>
    <w:rsid w:val="00DC43CF"/>
    <w:rsid w:val="00DC4422"/>
    <w:rsid w:val="00DC4610"/>
    <w:rsid w:val="00DC49DB"/>
    <w:rsid w:val="00DC4B26"/>
    <w:rsid w:val="00DC4B5A"/>
    <w:rsid w:val="00DC51F5"/>
    <w:rsid w:val="00DC53A9"/>
    <w:rsid w:val="00DC59A8"/>
    <w:rsid w:val="00DC5AC7"/>
    <w:rsid w:val="00DC5B2F"/>
    <w:rsid w:val="00DC5F68"/>
    <w:rsid w:val="00DC5F6C"/>
    <w:rsid w:val="00DC5FFC"/>
    <w:rsid w:val="00DC602F"/>
    <w:rsid w:val="00DC62CC"/>
    <w:rsid w:val="00DC6362"/>
    <w:rsid w:val="00DC67FD"/>
    <w:rsid w:val="00DC685B"/>
    <w:rsid w:val="00DC69EE"/>
    <w:rsid w:val="00DC6A93"/>
    <w:rsid w:val="00DC6C58"/>
    <w:rsid w:val="00DC6D6C"/>
    <w:rsid w:val="00DC6D7A"/>
    <w:rsid w:val="00DC6ECE"/>
    <w:rsid w:val="00DC70F8"/>
    <w:rsid w:val="00DC715C"/>
    <w:rsid w:val="00DC72BA"/>
    <w:rsid w:val="00DC7886"/>
    <w:rsid w:val="00DC79B4"/>
    <w:rsid w:val="00DC7B8F"/>
    <w:rsid w:val="00DD01ED"/>
    <w:rsid w:val="00DD039B"/>
    <w:rsid w:val="00DD057B"/>
    <w:rsid w:val="00DD0D16"/>
    <w:rsid w:val="00DD0E0E"/>
    <w:rsid w:val="00DD1194"/>
    <w:rsid w:val="00DD1653"/>
    <w:rsid w:val="00DD1983"/>
    <w:rsid w:val="00DD1AA6"/>
    <w:rsid w:val="00DD1B08"/>
    <w:rsid w:val="00DD1B96"/>
    <w:rsid w:val="00DD2DBD"/>
    <w:rsid w:val="00DD30B2"/>
    <w:rsid w:val="00DD33AE"/>
    <w:rsid w:val="00DD34D2"/>
    <w:rsid w:val="00DD3696"/>
    <w:rsid w:val="00DD36CB"/>
    <w:rsid w:val="00DD37A7"/>
    <w:rsid w:val="00DD39C4"/>
    <w:rsid w:val="00DD44C0"/>
    <w:rsid w:val="00DD472B"/>
    <w:rsid w:val="00DD4730"/>
    <w:rsid w:val="00DD4749"/>
    <w:rsid w:val="00DD4817"/>
    <w:rsid w:val="00DD49A9"/>
    <w:rsid w:val="00DD51DE"/>
    <w:rsid w:val="00DD5208"/>
    <w:rsid w:val="00DD54D7"/>
    <w:rsid w:val="00DD5A1E"/>
    <w:rsid w:val="00DD5A88"/>
    <w:rsid w:val="00DD5CF1"/>
    <w:rsid w:val="00DD5CFD"/>
    <w:rsid w:val="00DD607A"/>
    <w:rsid w:val="00DD6158"/>
    <w:rsid w:val="00DD6196"/>
    <w:rsid w:val="00DD61C5"/>
    <w:rsid w:val="00DD6263"/>
    <w:rsid w:val="00DD643C"/>
    <w:rsid w:val="00DD647E"/>
    <w:rsid w:val="00DD66A9"/>
    <w:rsid w:val="00DD67BD"/>
    <w:rsid w:val="00DD6CF9"/>
    <w:rsid w:val="00DD6F3B"/>
    <w:rsid w:val="00DD766B"/>
    <w:rsid w:val="00DD7A39"/>
    <w:rsid w:val="00DD7B9B"/>
    <w:rsid w:val="00DD7CA7"/>
    <w:rsid w:val="00DE0664"/>
    <w:rsid w:val="00DE067C"/>
    <w:rsid w:val="00DE101D"/>
    <w:rsid w:val="00DE113D"/>
    <w:rsid w:val="00DE1292"/>
    <w:rsid w:val="00DE12C7"/>
    <w:rsid w:val="00DE147A"/>
    <w:rsid w:val="00DE15C5"/>
    <w:rsid w:val="00DE1790"/>
    <w:rsid w:val="00DE1B24"/>
    <w:rsid w:val="00DE1C04"/>
    <w:rsid w:val="00DE1C92"/>
    <w:rsid w:val="00DE1DF3"/>
    <w:rsid w:val="00DE1F11"/>
    <w:rsid w:val="00DE23E6"/>
    <w:rsid w:val="00DE24B4"/>
    <w:rsid w:val="00DE2654"/>
    <w:rsid w:val="00DE277D"/>
    <w:rsid w:val="00DE27A4"/>
    <w:rsid w:val="00DE289B"/>
    <w:rsid w:val="00DE2968"/>
    <w:rsid w:val="00DE2A15"/>
    <w:rsid w:val="00DE2B95"/>
    <w:rsid w:val="00DE2F98"/>
    <w:rsid w:val="00DE3193"/>
    <w:rsid w:val="00DE31DA"/>
    <w:rsid w:val="00DE328A"/>
    <w:rsid w:val="00DE3A6D"/>
    <w:rsid w:val="00DE404D"/>
    <w:rsid w:val="00DE4064"/>
    <w:rsid w:val="00DE4275"/>
    <w:rsid w:val="00DE43D5"/>
    <w:rsid w:val="00DE450C"/>
    <w:rsid w:val="00DE475B"/>
    <w:rsid w:val="00DE47F5"/>
    <w:rsid w:val="00DE483B"/>
    <w:rsid w:val="00DE49A3"/>
    <w:rsid w:val="00DE4A0C"/>
    <w:rsid w:val="00DE4A33"/>
    <w:rsid w:val="00DE4B29"/>
    <w:rsid w:val="00DE4B38"/>
    <w:rsid w:val="00DE4CF7"/>
    <w:rsid w:val="00DE4E61"/>
    <w:rsid w:val="00DE4EEA"/>
    <w:rsid w:val="00DE50B5"/>
    <w:rsid w:val="00DE5328"/>
    <w:rsid w:val="00DE5479"/>
    <w:rsid w:val="00DE5B79"/>
    <w:rsid w:val="00DE5B9F"/>
    <w:rsid w:val="00DE5CDA"/>
    <w:rsid w:val="00DE5F45"/>
    <w:rsid w:val="00DE6232"/>
    <w:rsid w:val="00DE625F"/>
    <w:rsid w:val="00DE62FC"/>
    <w:rsid w:val="00DE6439"/>
    <w:rsid w:val="00DE682D"/>
    <w:rsid w:val="00DE6912"/>
    <w:rsid w:val="00DE69E0"/>
    <w:rsid w:val="00DE6D07"/>
    <w:rsid w:val="00DE73CB"/>
    <w:rsid w:val="00DE73D7"/>
    <w:rsid w:val="00DE7602"/>
    <w:rsid w:val="00DE77A5"/>
    <w:rsid w:val="00DE791F"/>
    <w:rsid w:val="00DE7AB9"/>
    <w:rsid w:val="00DE7DFE"/>
    <w:rsid w:val="00DF00BB"/>
    <w:rsid w:val="00DF016B"/>
    <w:rsid w:val="00DF0C95"/>
    <w:rsid w:val="00DF0D11"/>
    <w:rsid w:val="00DF0D43"/>
    <w:rsid w:val="00DF12ED"/>
    <w:rsid w:val="00DF1481"/>
    <w:rsid w:val="00DF160B"/>
    <w:rsid w:val="00DF1A2A"/>
    <w:rsid w:val="00DF1CDE"/>
    <w:rsid w:val="00DF267F"/>
    <w:rsid w:val="00DF27D9"/>
    <w:rsid w:val="00DF2932"/>
    <w:rsid w:val="00DF29EF"/>
    <w:rsid w:val="00DF2BA9"/>
    <w:rsid w:val="00DF2C36"/>
    <w:rsid w:val="00DF2C90"/>
    <w:rsid w:val="00DF30F8"/>
    <w:rsid w:val="00DF35DD"/>
    <w:rsid w:val="00DF3FAF"/>
    <w:rsid w:val="00DF413C"/>
    <w:rsid w:val="00DF438C"/>
    <w:rsid w:val="00DF4393"/>
    <w:rsid w:val="00DF4618"/>
    <w:rsid w:val="00DF49CF"/>
    <w:rsid w:val="00DF5131"/>
    <w:rsid w:val="00DF514D"/>
    <w:rsid w:val="00DF5214"/>
    <w:rsid w:val="00DF5265"/>
    <w:rsid w:val="00DF60E5"/>
    <w:rsid w:val="00DF6109"/>
    <w:rsid w:val="00DF6244"/>
    <w:rsid w:val="00DF6251"/>
    <w:rsid w:val="00DF67DC"/>
    <w:rsid w:val="00DF6DC7"/>
    <w:rsid w:val="00DF6E7D"/>
    <w:rsid w:val="00DF6E99"/>
    <w:rsid w:val="00DF6EE8"/>
    <w:rsid w:val="00DF7122"/>
    <w:rsid w:val="00DF73C6"/>
    <w:rsid w:val="00DF7597"/>
    <w:rsid w:val="00DF7789"/>
    <w:rsid w:val="00E0005C"/>
    <w:rsid w:val="00E003DB"/>
    <w:rsid w:val="00E00B00"/>
    <w:rsid w:val="00E011BF"/>
    <w:rsid w:val="00E015F9"/>
    <w:rsid w:val="00E0175B"/>
    <w:rsid w:val="00E01814"/>
    <w:rsid w:val="00E01CD1"/>
    <w:rsid w:val="00E01E40"/>
    <w:rsid w:val="00E01F20"/>
    <w:rsid w:val="00E01FB9"/>
    <w:rsid w:val="00E02500"/>
    <w:rsid w:val="00E02760"/>
    <w:rsid w:val="00E0285F"/>
    <w:rsid w:val="00E029E8"/>
    <w:rsid w:val="00E02EB5"/>
    <w:rsid w:val="00E02ED0"/>
    <w:rsid w:val="00E031DD"/>
    <w:rsid w:val="00E032AE"/>
    <w:rsid w:val="00E03423"/>
    <w:rsid w:val="00E0357D"/>
    <w:rsid w:val="00E038F5"/>
    <w:rsid w:val="00E0391D"/>
    <w:rsid w:val="00E039EC"/>
    <w:rsid w:val="00E03BDA"/>
    <w:rsid w:val="00E03C08"/>
    <w:rsid w:val="00E03D13"/>
    <w:rsid w:val="00E040B6"/>
    <w:rsid w:val="00E0423A"/>
    <w:rsid w:val="00E04723"/>
    <w:rsid w:val="00E04857"/>
    <w:rsid w:val="00E04A24"/>
    <w:rsid w:val="00E04D68"/>
    <w:rsid w:val="00E05057"/>
    <w:rsid w:val="00E050CC"/>
    <w:rsid w:val="00E051B4"/>
    <w:rsid w:val="00E05271"/>
    <w:rsid w:val="00E054E3"/>
    <w:rsid w:val="00E054F7"/>
    <w:rsid w:val="00E05774"/>
    <w:rsid w:val="00E05FDA"/>
    <w:rsid w:val="00E06037"/>
    <w:rsid w:val="00E0636F"/>
    <w:rsid w:val="00E0655F"/>
    <w:rsid w:val="00E06A03"/>
    <w:rsid w:val="00E06EED"/>
    <w:rsid w:val="00E0700B"/>
    <w:rsid w:val="00E0703B"/>
    <w:rsid w:val="00E0708A"/>
    <w:rsid w:val="00E072DC"/>
    <w:rsid w:val="00E076D2"/>
    <w:rsid w:val="00E078C7"/>
    <w:rsid w:val="00E0790B"/>
    <w:rsid w:val="00E07A86"/>
    <w:rsid w:val="00E07C9D"/>
    <w:rsid w:val="00E07DC8"/>
    <w:rsid w:val="00E07F2C"/>
    <w:rsid w:val="00E102A9"/>
    <w:rsid w:val="00E1063D"/>
    <w:rsid w:val="00E10DB9"/>
    <w:rsid w:val="00E10F88"/>
    <w:rsid w:val="00E10FD3"/>
    <w:rsid w:val="00E1121F"/>
    <w:rsid w:val="00E112BF"/>
    <w:rsid w:val="00E11335"/>
    <w:rsid w:val="00E113D6"/>
    <w:rsid w:val="00E113E5"/>
    <w:rsid w:val="00E118C8"/>
    <w:rsid w:val="00E11F94"/>
    <w:rsid w:val="00E1254D"/>
    <w:rsid w:val="00E126B6"/>
    <w:rsid w:val="00E12D10"/>
    <w:rsid w:val="00E12D24"/>
    <w:rsid w:val="00E12E9B"/>
    <w:rsid w:val="00E12EC3"/>
    <w:rsid w:val="00E12ED6"/>
    <w:rsid w:val="00E13047"/>
    <w:rsid w:val="00E134D5"/>
    <w:rsid w:val="00E1378C"/>
    <w:rsid w:val="00E13895"/>
    <w:rsid w:val="00E13BEF"/>
    <w:rsid w:val="00E13F2E"/>
    <w:rsid w:val="00E13F5E"/>
    <w:rsid w:val="00E13F9B"/>
    <w:rsid w:val="00E1409E"/>
    <w:rsid w:val="00E142BC"/>
    <w:rsid w:val="00E14628"/>
    <w:rsid w:val="00E149A1"/>
    <w:rsid w:val="00E14A8C"/>
    <w:rsid w:val="00E14CAC"/>
    <w:rsid w:val="00E14DEE"/>
    <w:rsid w:val="00E1503D"/>
    <w:rsid w:val="00E1509D"/>
    <w:rsid w:val="00E154B9"/>
    <w:rsid w:val="00E15570"/>
    <w:rsid w:val="00E15755"/>
    <w:rsid w:val="00E15863"/>
    <w:rsid w:val="00E15921"/>
    <w:rsid w:val="00E1599F"/>
    <w:rsid w:val="00E15BD2"/>
    <w:rsid w:val="00E15D1C"/>
    <w:rsid w:val="00E16277"/>
    <w:rsid w:val="00E1667A"/>
    <w:rsid w:val="00E1680E"/>
    <w:rsid w:val="00E16B5A"/>
    <w:rsid w:val="00E16D4F"/>
    <w:rsid w:val="00E16E00"/>
    <w:rsid w:val="00E173F2"/>
    <w:rsid w:val="00E17605"/>
    <w:rsid w:val="00E177BE"/>
    <w:rsid w:val="00E177CD"/>
    <w:rsid w:val="00E17825"/>
    <w:rsid w:val="00E17A75"/>
    <w:rsid w:val="00E2035B"/>
    <w:rsid w:val="00E20738"/>
    <w:rsid w:val="00E20D31"/>
    <w:rsid w:val="00E20EBF"/>
    <w:rsid w:val="00E211B7"/>
    <w:rsid w:val="00E212B5"/>
    <w:rsid w:val="00E213BC"/>
    <w:rsid w:val="00E21667"/>
    <w:rsid w:val="00E21AAD"/>
    <w:rsid w:val="00E21D7A"/>
    <w:rsid w:val="00E21ECC"/>
    <w:rsid w:val="00E21F4E"/>
    <w:rsid w:val="00E223B5"/>
    <w:rsid w:val="00E22CD1"/>
    <w:rsid w:val="00E22CF7"/>
    <w:rsid w:val="00E2305F"/>
    <w:rsid w:val="00E231E9"/>
    <w:rsid w:val="00E233C9"/>
    <w:rsid w:val="00E239C8"/>
    <w:rsid w:val="00E23A06"/>
    <w:rsid w:val="00E23C12"/>
    <w:rsid w:val="00E23F59"/>
    <w:rsid w:val="00E23F68"/>
    <w:rsid w:val="00E24061"/>
    <w:rsid w:val="00E240D0"/>
    <w:rsid w:val="00E2421D"/>
    <w:rsid w:val="00E242E3"/>
    <w:rsid w:val="00E24427"/>
    <w:rsid w:val="00E2486C"/>
    <w:rsid w:val="00E248AD"/>
    <w:rsid w:val="00E2490C"/>
    <w:rsid w:val="00E24B27"/>
    <w:rsid w:val="00E24CC9"/>
    <w:rsid w:val="00E24DDE"/>
    <w:rsid w:val="00E253F7"/>
    <w:rsid w:val="00E25429"/>
    <w:rsid w:val="00E25DF5"/>
    <w:rsid w:val="00E2623C"/>
    <w:rsid w:val="00E2632C"/>
    <w:rsid w:val="00E26A99"/>
    <w:rsid w:val="00E26ABC"/>
    <w:rsid w:val="00E26E1A"/>
    <w:rsid w:val="00E26E4D"/>
    <w:rsid w:val="00E272A7"/>
    <w:rsid w:val="00E272E7"/>
    <w:rsid w:val="00E27528"/>
    <w:rsid w:val="00E279A6"/>
    <w:rsid w:val="00E27D4A"/>
    <w:rsid w:val="00E3003B"/>
    <w:rsid w:val="00E30087"/>
    <w:rsid w:val="00E30404"/>
    <w:rsid w:val="00E30669"/>
    <w:rsid w:val="00E30737"/>
    <w:rsid w:val="00E3074D"/>
    <w:rsid w:val="00E30787"/>
    <w:rsid w:val="00E3092D"/>
    <w:rsid w:val="00E309C6"/>
    <w:rsid w:val="00E30A56"/>
    <w:rsid w:val="00E30B02"/>
    <w:rsid w:val="00E30B81"/>
    <w:rsid w:val="00E30F00"/>
    <w:rsid w:val="00E310B8"/>
    <w:rsid w:val="00E315EF"/>
    <w:rsid w:val="00E316B0"/>
    <w:rsid w:val="00E3246C"/>
    <w:rsid w:val="00E32ACC"/>
    <w:rsid w:val="00E32ED9"/>
    <w:rsid w:val="00E33096"/>
    <w:rsid w:val="00E330CD"/>
    <w:rsid w:val="00E33132"/>
    <w:rsid w:val="00E334CE"/>
    <w:rsid w:val="00E3374F"/>
    <w:rsid w:val="00E337A1"/>
    <w:rsid w:val="00E33B53"/>
    <w:rsid w:val="00E33BDB"/>
    <w:rsid w:val="00E33BFF"/>
    <w:rsid w:val="00E340AD"/>
    <w:rsid w:val="00E343BB"/>
    <w:rsid w:val="00E34614"/>
    <w:rsid w:val="00E34786"/>
    <w:rsid w:val="00E3478D"/>
    <w:rsid w:val="00E347D8"/>
    <w:rsid w:val="00E3487E"/>
    <w:rsid w:val="00E34B60"/>
    <w:rsid w:val="00E34DFB"/>
    <w:rsid w:val="00E353B1"/>
    <w:rsid w:val="00E3542E"/>
    <w:rsid w:val="00E355B1"/>
    <w:rsid w:val="00E358F5"/>
    <w:rsid w:val="00E36099"/>
    <w:rsid w:val="00E364E1"/>
    <w:rsid w:val="00E364F8"/>
    <w:rsid w:val="00E3660B"/>
    <w:rsid w:val="00E36669"/>
    <w:rsid w:val="00E3696D"/>
    <w:rsid w:val="00E3697E"/>
    <w:rsid w:val="00E3711A"/>
    <w:rsid w:val="00E3729B"/>
    <w:rsid w:val="00E37504"/>
    <w:rsid w:val="00E37519"/>
    <w:rsid w:val="00E375B2"/>
    <w:rsid w:val="00E40226"/>
    <w:rsid w:val="00E402D0"/>
    <w:rsid w:val="00E40614"/>
    <w:rsid w:val="00E40681"/>
    <w:rsid w:val="00E40E93"/>
    <w:rsid w:val="00E40F68"/>
    <w:rsid w:val="00E41243"/>
    <w:rsid w:val="00E412F5"/>
    <w:rsid w:val="00E412F8"/>
    <w:rsid w:val="00E41974"/>
    <w:rsid w:val="00E41EFB"/>
    <w:rsid w:val="00E4228B"/>
    <w:rsid w:val="00E423CD"/>
    <w:rsid w:val="00E426D7"/>
    <w:rsid w:val="00E42BAE"/>
    <w:rsid w:val="00E42D4C"/>
    <w:rsid w:val="00E42E1B"/>
    <w:rsid w:val="00E42F41"/>
    <w:rsid w:val="00E430C9"/>
    <w:rsid w:val="00E4326B"/>
    <w:rsid w:val="00E43315"/>
    <w:rsid w:val="00E43340"/>
    <w:rsid w:val="00E43541"/>
    <w:rsid w:val="00E43E00"/>
    <w:rsid w:val="00E43F51"/>
    <w:rsid w:val="00E44085"/>
    <w:rsid w:val="00E44540"/>
    <w:rsid w:val="00E44AB9"/>
    <w:rsid w:val="00E44B05"/>
    <w:rsid w:val="00E44BC8"/>
    <w:rsid w:val="00E44EAD"/>
    <w:rsid w:val="00E45012"/>
    <w:rsid w:val="00E454CF"/>
    <w:rsid w:val="00E4551D"/>
    <w:rsid w:val="00E45926"/>
    <w:rsid w:val="00E45C91"/>
    <w:rsid w:val="00E45EE6"/>
    <w:rsid w:val="00E45FFB"/>
    <w:rsid w:val="00E464B9"/>
    <w:rsid w:val="00E4662A"/>
    <w:rsid w:val="00E469E5"/>
    <w:rsid w:val="00E470E5"/>
    <w:rsid w:val="00E4778E"/>
    <w:rsid w:val="00E47A4A"/>
    <w:rsid w:val="00E47E5E"/>
    <w:rsid w:val="00E47F3B"/>
    <w:rsid w:val="00E501F9"/>
    <w:rsid w:val="00E502C7"/>
    <w:rsid w:val="00E5109B"/>
    <w:rsid w:val="00E5120A"/>
    <w:rsid w:val="00E51317"/>
    <w:rsid w:val="00E5155B"/>
    <w:rsid w:val="00E5181E"/>
    <w:rsid w:val="00E518DA"/>
    <w:rsid w:val="00E51CB6"/>
    <w:rsid w:val="00E51EB8"/>
    <w:rsid w:val="00E51EBD"/>
    <w:rsid w:val="00E51F1C"/>
    <w:rsid w:val="00E51F45"/>
    <w:rsid w:val="00E51F5A"/>
    <w:rsid w:val="00E52149"/>
    <w:rsid w:val="00E52453"/>
    <w:rsid w:val="00E525D3"/>
    <w:rsid w:val="00E527D7"/>
    <w:rsid w:val="00E52CF0"/>
    <w:rsid w:val="00E52D35"/>
    <w:rsid w:val="00E52DA7"/>
    <w:rsid w:val="00E53472"/>
    <w:rsid w:val="00E5387F"/>
    <w:rsid w:val="00E53B10"/>
    <w:rsid w:val="00E53E7D"/>
    <w:rsid w:val="00E53E7F"/>
    <w:rsid w:val="00E54201"/>
    <w:rsid w:val="00E54694"/>
    <w:rsid w:val="00E548B1"/>
    <w:rsid w:val="00E54B0E"/>
    <w:rsid w:val="00E54DB7"/>
    <w:rsid w:val="00E54E1B"/>
    <w:rsid w:val="00E55240"/>
    <w:rsid w:val="00E558A8"/>
    <w:rsid w:val="00E55919"/>
    <w:rsid w:val="00E55E2E"/>
    <w:rsid w:val="00E56168"/>
    <w:rsid w:val="00E562AF"/>
    <w:rsid w:val="00E565B3"/>
    <w:rsid w:val="00E5680A"/>
    <w:rsid w:val="00E56DEF"/>
    <w:rsid w:val="00E56E2E"/>
    <w:rsid w:val="00E56FBE"/>
    <w:rsid w:val="00E573ED"/>
    <w:rsid w:val="00E574BC"/>
    <w:rsid w:val="00E57590"/>
    <w:rsid w:val="00E5797E"/>
    <w:rsid w:val="00E57ED6"/>
    <w:rsid w:val="00E600E9"/>
    <w:rsid w:val="00E601C4"/>
    <w:rsid w:val="00E60276"/>
    <w:rsid w:val="00E6063A"/>
    <w:rsid w:val="00E609B8"/>
    <w:rsid w:val="00E60D28"/>
    <w:rsid w:val="00E60DCA"/>
    <w:rsid w:val="00E61105"/>
    <w:rsid w:val="00E61138"/>
    <w:rsid w:val="00E611CA"/>
    <w:rsid w:val="00E6149D"/>
    <w:rsid w:val="00E615D9"/>
    <w:rsid w:val="00E616B4"/>
    <w:rsid w:val="00E616C8"/>
    <w:rsid w:val="00E61E47"/>
    <w:rsid w:val="00E61FA3"/>
    <w:rsid w:val="00E62344"/>
    <w:rsid w:val="00E62482"/>
    <w:rsid w:val="00E6256B"/>
    <w:rsid w:val="00E62830"/>
    <w:rsid w:val="00E63091"/>
    <w:rsid w:val="00E63288"/>
    <w:rsid w:val="00E63751"/>
    <w:rsid w:val="00E63896"/>
    <w:rsid w:val="00E63D18"/>
    <w:rsid w:val="00E63DA8"/>
    <w:rsid w:val="00E648D2"/>
    <w:rsid w:val="00E648ED"/>
    <w:rsid w:val="00E64CB7"/>
    <w:rsid w:val="00E64E20"/>
    <w:rsid w:val="00E65339"/>
    <w:rsid w:val="00E6541B"/>
    <w:rsid w:val="00E654CF"/>
    <w:rsid w:val="00E656DC"/>
    <w:rsid w:val="00E65887"/>
    <w:rsid w:val="00E659A9"/>
    <w:rsid w:val="00E65A56"/>
    <w:rsid w:val="00E65AC0"/>
    <w:rsid w:val="00E65BD2"/>
    <w:rsid w:val="00E65ED0"/>
    <w:rsid w:val="00E65F17"/>
    <w:rsid w:val="00E65F1C"/>
    <w:rsid w:val="00E663ED"/>
    <w:rsid w:val="00E66753"/>
    <w:rsid w:val="00E66798"/>
    <w:rsid w:val="00E670EF"/>
    <w:rsid w:val="00E6758E"/>
    <w:rsid w:val="00E678FC"/>
    <w:rsid w:val="00E679AB"/>
    <w:rsid w:val="00E679E5"/>
    <w:rsid w:val="00E67DED"/>
    <w:rsid w:val="00E700DF"/>
    <w:rsid w:val="00E70256"/>
    <w:rsid w:val="00E704AF"/>
    <w:rsid w:val="00E70594"/>
    <w:rsid w:val="00E7059E"/>
    <w:rsid w:val="00E707AB"/>
    <w:rsid w:val="00E70B0E"/>
    <w:rsid w:val="00E71688"/>
    <w:rsid w:val="00E71961"/>
    <w:rsid w:val="00E71C98"/>
    <w:rsid w:val="00E71CB6"/>
    <w:rsid w:val="00E71D81"/>
    <w:rsid w:val="00E71EA8"/>
    <w:rsid w:val="00E72095"/>
    <w:rsid w:val="00E722DA"/>
    <w:rsid w:val="00E726D2"/>
    <w:rsid w:val="00E73254"/>
    <w:rsid w:val="00E73617"/>
    <w:rsid w:val="00E738FB"/>
    <w:rsid w:val="00E739A1"/>
    <w:rsid w:val="00E7472A"/>
    <w:rsid w:val="00E74822"/>
    <w:rsid w:val="00E74B4C"/>
    <w:rsid w:val="00E74E81"/>
    <w:rsid w:val="00E75057"/>
    <w:rsid w:val="00E7509C"/>
    <w:rsid w:val="00E75256"/>
    <w:rsid w:val="00E75538"/>
    <w:rsid w:val="00E755CE"/>
    <w:rsid w:val="00E7572A"/>
    <w:rsid w:val="00E75775"/>
    <w:rsid w:val="00E757FB"/>
    <w:rsid w:val="00E7581F"/>
    <w:rsid w:val="00E75BCD"/>
    <w:rsid w:val="00E75CBF"/>
    <w:rsid w:val="00E75E49"/>
    <w:rsid w:val="00E75EC2"/>
    <w:rsid w:val="00E76176"/>
    <w:rsid w:val="00E76287"/>
    <w:rsid w:val="00E76644"/>
    <w:rsid w:val="00E7688A"/>
    <w:rsid w:val="00E76DAC"/>
    <w:rsid w:val="00E7768D"/>
    <w:rsid w:val="00E77C59"/>
    <w:rsid w:val="00E77E1D"/>
    <w:rsid w:val="00E8002F"/>
    <w:rsid w:val="00E80648"/>
    <w:rsid w:val="00E807C2"/>
    <w:rsid w:val="00E8081C"/>
    <w:rsid w:val="00E80B79"/>
    <w:rsid w:val="00E80BE9"/>
    <w:rsid w:val="00E80F8B"/>
    <w:rsid w:val="00E8156E"/>
    <w:rsid w:val="00E81884"/>
    <w:rsid w:val="00E8196E"/>
    <w:rsid w:val="00E81AA8"/>
    <w:rsid w:val="00E81B1E"/>
    <w:rsid w:val="00E81B27"/>
    <w:rsid w:val="00E81C16"/>
    <w:rsid w:val="00E81DDD"/>
    <w:rsid w:val="00E82036"/>
    <w:rsid w:val="00E82478"/>
    <w:rsid w:val="00E827CF"/>
    <w:rsid w:val="00E8286E"/>
    <w:rsid w:val="00E829C1"/>
    <w:rsid w:val="00E82AB5"/>
    <w:rsid w:val="00E82C24"/>
    <w:rsid w:val="00E8303A"/>
    <w:rsid w:val="00E83298"/>
    <w:rsid w:val="00E834B0"/>
    <w:rsid w:val="00E83AE1"/>
    <w:rsid w:val="00E83B9A"/>
    <w:rsid w:val="00E83BAB"/>
    <w:rsid w:val="00E83CB5"/>
    <w:rsid w:val="00E848C9"/>
    <w:rsid w:val="00E850F1"/>
    <w:rsid w:val="00E85AE6"/>
    <w:rsid w:val="00E85BE9"/>
    <w:rsid w:val="00E86277"/>
    <w:rsid w:val="00E863E8"/>
    <w:rsid w:val="00E8690A"/>
    <w:rsid w:val="00E86A93"/>
    <w:rsid w:val="00E86B03"/>
    <w:rsid w:val="00E86C7A"/>
    <w:rsid w:val="00E86E8C"/>
    <w:rsid w:val="00E86EE5"/>
    <w:rsid w:val="00E87D67"/>
    <w:rsid w:val="00E900B2"/>
    <w:rsid w:val="00E9047F"/>
    <w:rsid w:val="00E904AC"/>
    <w:rsid w:val="00E9051B"/>
    <w:rsid w:val="00E908D2"/>
    <w:rsid w:val="00E90B28"/>
    <w:rsid w:val="00E90FD8"/>
    <w:rsid w:val="00E910C9"/>
    <w:rsid w:val="00E91120"/>
    <w:rsid w:val="00E9117E"/>
    <w:rsid w:val="00E91226"/>
    <w:rsid w:val="00E91428"/>
    <w:rsid w:val="00E91778"/>
    <w:rsid w:val="00E9188A"/>
    <w:rsid w:val="00E91910"/>
    <w:rsid w:val="00E91AD2"/>
    <w:rsid w:val="00E91B8F"/>
    <w:rsid w:val="00E91C46"/>
    <w:rsid w:val="00E92024"/>
    <w:rsid w:val="00E9249F"/>
    <w:rsid w:val="00E925B4"/>
    <w:rsid w:val="00E92612"/>
    <w:rsid w:val="00E928B0"/>
    <w:rsid w:val="00E929D1"/>
    <w:rsid w:val="00E92C62"/>
    <w:rsid w:val="00E932BC"/>
    <w:rsid w:val="00E932BE"/>
    <w:rsid w:val="00E935C5"/>
    <w:rsid w:val="00E9384D"/>
    <w:rsid w:val="00E93B5F"/>
    <w:rsid w:val="00E93BB8"/>
    <w:rsid w:val="00E93E7C"/>
    <w:rsid w:val="00E93F2A"/>
    <w:rsid w:val="00E94003"/>
    <w:rsid w:val="00E94160"/>
    <w:rsid w:val="00E94165"/>
    <w:rsid w:val="00E941F3"/>
    <w:rsid w:val="00E94347"/>
    <w:rsid w:val="00E945FB"/>
    <w:rsid w:val="00E948E6"/>
    <w:rsid w:val="00E94CB2"/>
    <w:rsid w:val="00E9537D"/>
    <w:rsid w:val="00E9577E"/>
    <w:rsid w:val="00E957E6"/>
    <w:rsid w:val="00E9584D"/>
    <w:rsid w:val="00E958FF"/>
    <w:rsid w:val="00E95E13"/>
    <w:rsid w:val="00E96819"/>
    <w:rsid w:val="00E96A43"/>
    <w:rsid w:val="00E96CD4"/>
    <w:rsid w:val="00E96D57"/>
    <w:rsid w:val="00E97039"/>
    <w:rsid w:val="00E971F2"/>
    <w:rsid w:val="00E97AFF"/>
    <w:rsid w:val="00E97B7A"/>
    <w:rsid w:val="00E97E37"/>
    <w:rsid w:val="00EA03E8"/>
    <w:rsid w:val="00EA0475"/>
    <w:rsid w:val="00EA0513"/>
    <w:rsid w:val="00EA0B89"/>
    <w:rsid w:val="00EA0C4D"/>
    <w:rsid w:val="00EA0D0B"/>
    <w:rsid w:val="00EA0E00"/>
    <w:rsid w:val="00EA0EA4"/>
    <w:rsid w:val="00EA0F33"/>
    <w:rsid w:val="00EA12BA"/>
    <w:rsid w:val="00EA1518"/>
    <w:rsid w:val="00EA15D2"/>
    <w:rsid w:val="00EA1648"/>
    <w:rsid w:val="00EA16BD"/>
    <w:rsid w:val="00EA1793"/>
    <w:rsid w:val="00EA1A83"/>
    <w:rsid w:val="00EA1B7A"/>
    <w:rsid w:val="00EA1CAF"/>
    <w:rsid w:val="00EA2354"/>
    <w:rsid w:val="00EA24FE"/>
    <w:rsid w:val="00EA2876"/>
    <w:rsid w:val="00EA297B"/>
    <w:rsid w:val="00EA29B8"/>
    <w:rsid w:val="00EA2F1A"/>
    <w:rsid w:val="00EA310A"/>
    <w:rsid w:val="00EA32E8"/>
    <w:rsid w:val="00EA3712"/>
    <w:rsid w:val="00EA3CB9"/>
    <w:rsid w:val="00EA4281"/>
    <w:rsid w:val="00EA469E"/>
    <w:rsid w:val="00EA48BF"/>
    <w:rsid w:val="00EA4962"/>
    <w:rsid w:val="00EA4BBB"/>
    <w:rsid w:val="00EA4C04"/>
    <w:rsid w:val="00EA4CCC"/>
    <w:rsid w:val="00EA4DCE"/>
    <w:rsid w:val="00EA4DF4"/>
    <w:rsid w:val="00EA5075"/>
    <w:rsid w:val="00EA51A8"/>
    <w:rsid w:val="00EA5297"/>
    <w:rsid w:val="00EA53FA"/>
    <w:rsid w:val="00EA55B5"/>
    <w:rsid w:val="00EA59E2"/>
    <w:rsid w:val="00EA5BC0"/>
    <w:rsid w:val="00EA5EFB"/>
    <w:rsid w:val="00EA5F86"/>
    <w:rsid w:val="00EA600C"/>
    <w:rsid w:val="00EA61CD"/>
    <w:rsid w:val="00EA6522"/>
    <w:rsid w:val="00EA6A80"/>
    <w:rsid w:val="00EA6BDE"/>
    <w:rsid w:val="00EA6D0B"/>
    <w:rsid w:val="00EA6F9B"/>
    <w:rsid w:val="00EA72DC"/>
    <w:rsid w:val="00EA7302"/>
    <w:rsid w:val="00EA74A1"/>
    <w:rsid w:val="00EA74F3"/>
    <w:rsid w:val="00EA754A"/>
    <w:rsid w:val="00EA7583"/>
    <w:rsid w:val="00EA75C5"/>
    <w:rsid w:val="00EA7632"/>
    <w:rsid w:val="00EA77FE"/>
    <w:rsid w:val="00EA78C7"/>
    <w:rsid w:val="00EA7982"/>
    <w:rsid w:val="00EA7A6D"/>
    <w:rsid w:val="00EA7A80"/>
    <w:rsid w:val="00EB010E"/>
    <w:rsid w:val="00EB0249"/>
    <w:rsid w:val="00EB0261"/>
    <w:rsid w:val="00EB04E2"/>
    <w:rsid w:val="00EB0563"/>
    <w:rsid w:val="00EB0570"/>
    <w:rsid w:val="00EB05D4"/>
    <w:rsid w:val="00EB0CF2"/>
    <w:rsid w:val="00EB0EDB"/>
    <w:rsid w:val="00EB0F86"/>
    <w:rsid w:val="00EB131F"/>
    <w:rsid w:val="00EB141A"/>
    <w:rsid w:val="00EB14A3"/>
    <w:rsid w:val="00EB17A5"/>
    <w:rsid w:val="00EB1894"/>
    <w:rsid w:val="00EB1B22"/>
    <w:rsid w:val="00EB231B"/>
    <w:rsid w:val="00EB234B"/>
    <w:rsid w:val="00EB2714"/>
    <w:rsid w:val="00EB2BD9"/>
    <w:rsid w:val="00EB2D90"/>
    <w:rsid w:val="00EB2F5D"/>
    <w:rsid w:val="00EB3152"/>
    <w:rsid w:val="00EB33FB"/>
    <w:rsid w:val="00EB3525"/>
    <w:rsid w:val="00EB3637"/>
    <w:rsid w:val="00EB379D"/>
    <w:rsid w:val="00EB3BBA"/>
    <w:rsid w:val="00EB3E84"/>
    <w:rsid w:val="00EB4086"/>
    <w:rsid w:val="00EB40A1"/>
    <w:rsid w:val="00EB4752"/>
    <w:rsid w:val="00EB4849"/>
    <w:rsid w:val="00EB4870"/>
    <w:rsid w:val="00EB4AB8"/>
    <w:rsid w:val="00EB4AEB"/>
    <w:rsid w:val="00EB4BB8"/>
    <w:rsid w:val="00EB4D00"/>
    <w:rsid w:val="00EB4EFE"/>
    <w:rsid w:val="00EB4F50"/>
    <w:rsid w:val="00EB4F84"/>
    <w:rsid w:val="00EB5145"/>
    <w:rsid w:val="00EB5612"/>
    <w:rsid w:val="00EB567C"/>
    <w:rsid w:val="00EB5AD8"/>
    <w:rsid w:val="00EB5C16"/>
    <w:rsid w:val="00EB5D0F"/>
    <w:rsid w:val="00EB5D97"/>
    <w:rsid w:val="00EB5E2A"/>
    <w:rsid w:val="00EB63DE"/>
    <w:rsid w:val="00EB64F0"/>
    <w:rsid w:val="00EB66F7"/>
    <w:rsid w:val="00EB6992"/>
    <w:rsid w:val="00EB6D7E"/>
    <w:rsid w:val="00EB6F1C"/>
    <w:rsid w:val="00EB71DC"/>
    <w:rsid w:val="00EB7947"/>
    <w:rsid w:val="00EB7A8C"/>
    <w:rsid w:val="00EB7B09"/>
    <w:rsid w:val="00EB7E58"/>
    <w:rsid w:val="00EC0588"/>
    <w:rsid w:val="00EC0A84"/>
    <w:rsid w:val="00EC0AAE"/>
    <w:rsid w:val="00EC0B00"/>
    <w:rsid w:val="00EC1006"/>
    <w:rsid w:val="00EC117B"/>
    <w:rsid w:val="00EC1725"/>
    <w:rsid w:val="00EC178F"/>
    <w:rsid w:val="00EC19AB"/>
    <w:rsid w:val="00EC1FAF"/>
    <w:rsid w:val="00EC23E1"/>
    <w:rsid w:val="00EC26E0"/>
    <w:rsid w:val="00EC2730"/>
    <w:rsid w:val="00EC27CA"/>
    <w:rsid w:val="00EC2B74"/>
    <w:rsid w:val="00EC2CAA"/>
    <w:rsid w:val="00EC2E89"/>
    <w:rsid w:val="00EC2F25"/>
    <w:rsid w:val="00EC30F3"/>
    <w:rsid w:val="00EC35EA"/>
    <w:rsid w:val="00EC3999"/>
    <w:rsid w:val="00EC3A85"/>
    <w:rsid w:val="00EC3D81"/>
    <w:rsid w:val="00EC415F"/>
    <w:rsid w:val="00EC4317"/>
    <w:rsid w:val="00EC4371"/>
    <w:rsid w:val="00EC4545"/>
    <w:rsid w:val="00EC48B4"/>
    <w:rsid w:val="00EC4B84"/>
    <w:rsid w:val="00EC4B9C"/>
    <w:rsid w:val="00EC4D10"/>
    <w:rsid w:val="00EC4D18"/>
    <w:rsid w:val="00EC4DFC"/>
    <w:rsid w:val="00EC4E77"/>
    <w:rsid w:val="00EC4EFB"/>
    <w:rsid w:val="00EC4F50"/>
    <w:rsid w:val="00EC54BF"/>
    <w:rsid w:val="00EC553C"/>
    <w:rsid w:val="00EC5603"/>
    <w:rsid w:val="00EC5999"/>
    <w:rsid w:val="00EC5CB2"/>
    <w:rsid w:val="00EC5CE5"/>
    <w:rsid w:val="00EC5D8E"/>
    <w:rsid w:val="00EC5F7A"/>
    <w:rsid w:val="00EC633F"/>
    <w:rsid w:val="00EC63B8"/>
    <w:rsid w:val="00EC6407"/>
    <w:rsid w:val="00EC6870"/>
    <w:rsid w:val="00EC6994"/>
    <w:rsid w:val="00EC69E8"/>
    <w:rsid w:val="00EC6B68"/>
    <w:rsid w:val="00EC6ED7"/>
    <w:rsid w:val="00EC6F29"/>
    <w:rsid w:val="00EC7074"/>
    <w:rsid w:val="00EC7638"/>
    <w:rsid w:val="00EC789D"/>
    <w:rsid w:val="00EC7B05"/>
    <w:rsid w:val="00EC7C74"/>
    <w:rsid w:val="00EC7F39"/>
    <w:rsid w:val="00ED006D"/>
    <w:rsid w:val="00ED0314"/>
    <w:rsid w:val="00ED04B1"/>
    <w:rsid w:val="00ED05FE"/>
    <w:rsid w:val="00ED0E83"/>
    <w:rsid w:val="00ED1294"/>
    <w:rsid w:val="00ED156B"/>
    <w:rsid w:val="00ED1A15"/>
    <w:rsid w:val="00ED1A9A"/>
    <w:rsid w:val="00ED1CE5"/>
    <w:rsid w:val="00ED21ED"/>
    <w:rsid w:val="00ED22DD"/>
    <w:rsid w:val="00ED2531"/>
    <w:rsid w:val="00ED27FF"/>
    <w:rsid w:val="00ED2886"/>
    <w:rsid w:val="00ED28C6"/>
    <w:rsid w:val="00ED2A20"/>
    <w:rsid w:val="00ED2BC6"/>
    <w:rsid w:val="00ED2D84"/>
    <w:rsid w:val="00ED30F9"/>
    <w:rsid w:val="00ED3401"/>
    <w:rsid w:val="00ED340B"/>
    <w:rsid w:val="00ED3AB1"/>
    <w:rsid w:val="00ED3AB4"/>
    <w:rsid w:val="00ED3E34"/>
    <w:rsid w:val="00ED3FC5"/>
    <w:rsid w:val="00ED477A"/>
    <w:rsid w:val="00ED47EC"/>
    <w:rsid w:val="00ED4917"/>
    <w:rsid w:val="00ED4BE1"/>
    <w:rsid w:val="00ED4C9F"/>
    <w:rsid w:val="00ED4EE9"/>
    <w:rsid w:val="00ED51B6"/>
    <w:rsid w:val="00ED51C8"/>
    <w:rsid w:val="00ED54C2"/>
    <w:rsid w:val="00ED56D9"/>
    <w:rsid w:val="00ED5E4D"/>
    <w:rsid w:val="00ED5F4C"/>
    <w:rsid w:val="00ED68AD"/>
    <w:rsid w:val="00ED69D9"/>
    <w:rsid w:val="00ED6A84"/>
    <w:rsid w:val="00ED6C4C"/>
    <w:rsid w:val="00ED6EF0"/>
    <w:rsid w:val="00ED6FD8"/>
    <w:rsid w:val="00ED7562"/>
    <w:rsid w:val="00ED7595"/>
    <w:rsid w:val="00ED76B9"/>
    <w:rsid w:val="00ED7F4F"/>
    <w:rsid w:val="00EE00C2"/>
    <w:rsid w:val="00EE022A"/>
    <w:rsid w:val="00EE02E0"/>
    <w:rsid w:val="00EE02E2"/>
    <w:rsid w:val="00EE0425"/>
    <w:rsid w:val="00EE07A1"/>
    <w:rsid w:val="00EE08E7"/>
    <w:rsid w:val="00EE1219"/>
    <w:rsid w:val="00EE1507"/>
    <w:rsid w:val="00EE1EE0"/>
    <w:rsid w:val="00EE1FDE"/>
    <w:rsid w:val="00EE20CC"/>
    <w:rsid w:val="00EE23EB"/>
    <w:rsid w:val="00EE24E1"/>
    <w:rsid w:val="00EE2A01"/>
    <w:rsid w:val="00EE2A1D"/>
    <w:rsid w:val="00EE2BB0"/>
    <w:rsid w:val="00EE2DB2"/>
    <w:rsid w:val="00EE2E74"/>
    <w:rsid w:val="00EE2FE4"/>
    <w:rsid w:val="00EE3051"/>
    <w:rsid w:val="00EE3269"/>
    <w:rsid w:val="00EE3595"/>
    <w:rsid w:val="00EE35D1"/>
    <w:rsid w:val="00EE3ACD"/>
    <w:rsid w:val="00EE3BC5"/>
    <w:rsid w:val="00EE3BDD"/>
    <w:rsid w:val="00EE3CE7"/>
    <w:rsid w:val="00EE3DF2"/>
    <w:rsid w:val="00EE4539"/>
    <w:rsid w:val="00EE45F9"/>
    <w:rsid w:val="00EE4699"/>
    <w:rsid w:val="00EE4F0D"/>
    <w:rsid w:val="00EE52D9"/>
    <w:rsid w:val="00EE53AD"/>
    <w:rsid w:val="00EE5637"/>
    <w:rsid w:val="00EE5E9B"/>
    <w:rsid w:val="00EE61F2"/>
    <w:rsid w:val="00EE630F"/>
    <w:rsid w:val="00EE64E6"/>
    <w:rsid w:val="00EE658F"/>
    <w:rsid w:val="00EE65A7"/>
    <w:rsid w:val="00EE66DB"/>
    <w:rsid w:val="00EE66DC"/>
    <w:rsid w:val="00EE6C65"/>
    <w:rsid w:val="00EE6E64"/>
    <w:rsid w:val="00EE6E8F"/>
    <w:rsid w:val="00EE6F40"/>
    <w:rsid w:val="00EE73BE"/>
    <w:rsid w:val="00EE75A4"/>
    <w:rsid w:val="00EE77D9"/>
    <w:rsid w:val="00EE77FD"/>
    <w:rsid w:val="00EE7809"/>
    <w:rsid w:val="00EE784F"/>
    <w:rsid w:val="00EE7A73"/>
    <w:rsid w:val="00EE7ABD"/>
    <w:rsid w:val="00EE7AD8"/>
    <w:rsid w:val="00EE7E6A"/>
    <w:rsid w:val="00EE7FE5"/>
    <w:rsid w:val="00EF0073"/>
    <w:rsid w:val="00EF00E2"/>
    <w:rsid w:val="00EF0107"/>
    <w:rsid w:val="00EF02CE"/>
    <w:rsid w:val="00EF05EE"/>
    <w:rsid w:val="00EF0603"/>
    <w:rsid w:val="00EF086A"/>
    <w:rsid w:val="00EF0CC3"/>
    <w:rsid w:val="00EF0D50"/>
    <w:rsid w:val="00EF0F2F"/>
    <w:rsid w:val="00EF114B"/>
    <w:rsid w:val="00EF1191"/>
    <w:rsid w:val="00EF12B7"/>
    <w:rsid w:val="00EF1A57"/>
    <w:rsid w:val="00EF24AE"/>
    <w:rsid w:val="00EF2758"/>
    <w:rsid w:val="00EF29EB"/>
    <w:rsid w:val="00EF2E2C"/>
    <w:rsid w:val="00EF2FFE"/>
    <w:rsid w:val="00EF3296"/>
    <w:rsid w:val="00EF3B36"/>
    <w:rsid w:val="00EF3C91"/>
    <w:rsid w:val="00EF4079"/>
    <w:rsid w:val="00EF466A"/>
    <w:rsid w:val="00EF4835"/>
    <w:rsid w:val="00EF5146"/>
    <w:rsid w:val="00EF520E"/>
    <w:rsid w:val="00EF54C8"/>
    <w:rsid w:val="00EF55DF"/>
    <w:rsid w:val="00EF59E8"/>
    <w:rsid w:val="00EF5AC7"/>
    <w:rsid w:val="00EF60BB"/>
    <w:rsid w:val="00EF6DA4"/>
    <w:rsid w:val="00EF6E1B"/>
    <w:rsid w:val="00EF6E2E"/>
    <w:rsid w:val="00EF6E4E"/>
    <w:rsid w:val="00EF725F"/>
    <w:rsid w:val="00EF73CD"/>
    <w:rsid w:val="00EF7518"/>
    <w:rsid w:val="00EF786A"/>
    <w:rsid w:val="00EF7C3F"/>
    <w:rsid w:val="00EF7C51"/>
    <w:rsid w:val="00EF7EA8"/>
    <w:rsid w:val="00EF7F66"/>
    <w:rsid w:val="00F002CF"/>
    <w:rsid w:val="00F002F5"/>
    <w:rsid w:val="00F01475"/>
    <w:rsid w:val="00F01FCB"/>
    <w:rsid w:val="00F021E9"/>
    <w:rsid w:val="00F022DC"/>
    <w:rsid w:val="00F024B3"/>
    <w:rsid w:val="00F024F6"/>
    <w:rsid w:val="00F02553"/>
    <w:rsid w:val="00F026DC"/>
    <w:rsid w:val="00F02B81"/>
    <w:rsid w:val="00F02CE3"/>
    <w:rsid w:val="00F02CE9"/>
    <w:rsid w:val="00F02EA2"/>
    <w:rsid w:val="00F03097"/>
    <w:rsid w:val="00F03188"/>
    <w:rsid w:val="00F03260"/>
    <w:rsid w:val="00F03350"/>
    <w:rsid w:val="00F0352A"/>
    <w:rsid w:val="00F038C9"/>
    <w:rsid w:val="00F03AD4"/>
    <w:rsid w:val="00F03B8F"/>
    <w:rsid w:val="00F03BE7"/>
    <w:rsid w:val="00F03DD1"/>
    <w:rsid w:val="00F03E21"/>
    <w:rsid w:val="00F03ED2"/>
    <w:rsid w:val="00F03EE9"/>
    <w:rsid w:val="00F0450C"/>
    <w:rsid w:val="00F045A9"/>
    <w:rsid w:val="00F045F6"/>
    <w:rsid w:val="00F045F8"/>
    <w:rsid w:val="00F04630"/>
    <w:rsid w:val="00F04FED"/>
    <w:rsid w:val="00F057D4"/>
    <w:rsid w:val="00F0580F"/>
    <w:rsid w:val="00F05B62"/>
    <w:rsid w:val="00F06660"/>
    <w:rsid w:val="00F06DB7"/>
    <w:rsid w:val="00F06E2C"/>
    <w:rsid w:val="00F06F85"/>
    <w:rsid w:val="00F07108"/>
    <w:rsid w:val="00F0735E"/>
    <w:rsid w:val="00F07370"/>
    <w:rsid w:val="00F0753F"/>
    <w:rsid w:val="00F0776A"/>
    <w:rsid w:val="00F07C91"/>
    <w:rsid w:val="00F07E48"/>
    <w:rsid w:val="00F1006C"/>
    <w:rsid w:val="00F102A9"/>
    <w:rsid w:val="00F107C3"/>
    <w:rsid w:val="00F10FA0"/>
    <w:rsid w:val="00F1112A"/>
    <w:rsid w:val="00F112E2"/>
    <w:rsid w:val="00F11438"/>
    <w:rsid w:val="00F1153D"/>
    <w:rsid w:val="00F11626"/>
    <w:rsid w:val="00F11650"/>
    <w:rsid w:val="00F117B5"/>
    <w:rsid w:val="00F11B26"/>
    <w:rsid w:val="00F120BF"/>
    <w:rsid w:val="00F12113"/>
    <w:rsid w:val="00F123AA"/>
    <w:rsid w:val="00F12577"/>
    <w:rsid w:val="00F125C3"/>
    <w:rsid w:val="00F125FB"/>
    <w:rsid w:val="00F12ABC"/>
    <w:rsid w:val="00F12D08"/>
    <w:rsid w:val="00F12F52"/>
    <w:rsid w:val="00F13065"/>
    <w:rsid w:val="00F130F1"/>
    <w:rsid w:val="00F132C0"/>
    <w:rsid w:val="00F133DB"/>
    <w:rsid w:val="00F135B6"/>
    <w:rsid w:val="00F13604"/>
    <w:rsid w:val="00F1370A"/>
    <w:rsid w:val="00F13A19"/>
    <w:rsid w:val="00F143FF"/>
    <w:rsid w:val="00F14480"/>
    <w:rsid w:val="00F144B9"/>
    <w:rsid w:val="00F1466D"/>
    <w:rsid w:val="00F14784"/>
    <w:rsid w:val="00F15773"/>
    <w:rsid w:val="00F159B5"/>
    <w:rsid w:val="00F15A13"/>
    <w:rsid w:val="00F15AE3"/>
    <w:rsid w:val="00F15DAD"/>
    <w:rsid w:val="00F15F06"/>
    <w:rsid w:val="00F16481"/>
    <w:rsid w:val="00F164A0"/>
    <w:rsid w:val="00F166F7"/>
    <w:rsid w:val="00F167E9"/>
    <w:rsid w:val="00F16AC3"/>
    <w:rsid w:val="00F16AC5"/>
    <w:rsid w:val="00F16CBE"/>
    <w:rsid w:val="00F16FD7"/>
    <w:rsid w:val="00F17A42"/>
    <w:rsid w:val="00F17A7D"/>
    <w:rsid w:val="00F17C40"/>
    <w:rsid w:val="00F17F87"/>
    <w:rsid w:val="00F2014B"/>
    <w:rsid w:val="00F20449"/>
    <w:rsid w:val="00F20748"/>
    <w:rsid w:val="00F207AE"/>
    <w:rsid w:val="00F207D0"/>
    <w:rsid w:val="00F20C18"/>
    <w:rsid w:val="00F20FA3"/>
    <w:rsid w:val="00F21224"/>
    <w:rsid w:val="00F212C7"/>
    <w:rsid w:val="00F2139E"/>
    <w:rsid w:val="00F21605"/>
    <w:rsid w:val="00F21626"/>
    <w:rsid w:val="00F21708"/>
    <w:rsid w:val="00F218B9"/>
    <w:rsid w:val="00F22134"/>
    <w:rsid w:val="00F22206"/>
    <w:rsid w:val="00F22EB4"/>
    <w:rsid w:val="00F22EBC"/>
    <w:rsid w:val="00F22EC3"/>
    <w:rsid w:val="00F230AF"/>
    <w:rsid w:val="00F2326E"/>
    <w:rsid w:val="00F2335C"/>
    <w:rsid w:val="00F2359A"/>
    <w:rsid w:val="00F2362B"/>
    <w:rsid w:val="00F2373B"/>
    <w:rsid w:val="00F239F8"/>
    <w:rsid w:val="00F23A33"/>
    <w:rsid w:val="00F23CAA"/>
    <w:rsid w:val="00F24274"/>
    <w:rsid w:val="00F24283"/>
    <w:rsid w:val="00F24355"/>
    <w:rsid w:val="00F243A3"/>
    <w:rsid w:val="00F243E8"/>
    <w:rsid w:val="00F244A8"/>
    <w:rsid w:val="00F24526"/>
    <w:rsid w:val="00F248E4"/>
    <w:rsid w:val="00F24C13"/>
    <w:rsid w:val="00F24D35"/>
    <w:rsid w:val="00F24F30"/>
    <w:rsid w:val="00F24FBB"/>
    <w:rsid w:val="00F2532B"/>
    <w:rsid w:val="00F25488"/>
    <w:rsid w:val="00F2568A"/>
    <w:rsid w:val="00F2582D"/>
    <w:rsid w:val="00F25ADF"/>
    <w:rsid w:val="00F26590"/>
    <w:rsid w:val="00F26710"/>
    <w:rsid w:val="00F268D8"/>
    <w:rsid w:val="00F2734F"/>
    <w:rsid w:val="00F27981"/>
    <w:rsid w:val="00F27E1E"/>
    <w:rsid w:val="00F27E6F"/>
    <w:rsid w:val="00F302CB"/>
    <w:rsid w:val="00F30A75"/>
    <w:rsid w:val="00F30F0A"/>
    <w:rsid w:val="00F30FDD"/>
    <w:rsid w:val="00F311F6"/>
    <w:rsid w:val="00F3135C"/>
    <w:rsid w:val="00F313BE"/>
    <w:rsid w:val="00F314E3"/>
    <w:rsid w:val="00F31541"/>
    <w:rsid w:val="00F317DD"/>
    <w:rsid w:val="00F31931"/>
    <w:rsid w:val="00F31AD4"/>
    <w:rsid w:val="00F31E31"/>
    <w:rsid w:val="00F31E58"/>
    <w:rsid w:val="00F3212B"/>
    <w:rsid w:val="00F32225"/>
    <w:rsid w:val="00F327A6"/>
    <w:rsid w:val="00F32AD7"/>
    <w:rsid w:val="00F32CB9"/>
    <w:rsid w:val="00F3310B"/>
    <w:rsid w:val="00F33D9A"/>
    <w:rsid w:val="00F33E5E"/>
    <w:rsid w:val="00F33F29"/>
    <w:rsid w:val="00F34288"/>
    <w:rsid w:val="00F3459D"/>
    <w:rsid w:val="00F3491A"/>
    <w:rsid w:val="00F3494F"/>
    <w:rsid w:val="00F34A1A"/>
    <w:rsid w:val="00F34B8F"/>
    <w:rsid w:val="00F35029"/>
    <w:rsid w:val="00F35262"/>
    <w:rsid w:val="00F352F6"/>
    <w:rsid w:val="00F35420"/>
    <w:rsid w:val="00F35732"/>
    <w:rsid w:val="00F359EF"/>
    <w:rsid w:val="00F35B20"/>
    <w:rsid w:val="00F36A62"/>
    <w:rsid w:val="00F36A66"/>
    <w:rsid w:val="00F36AE6"/>
    <w:rsid w:val="00F36B4A"/>
    <w:rsid w:val="00F36E5E"/>
    <w:rsid w:val="00F36FE3"/>
    <w:rsid w:val="00F3700C"/>
    <w:rsid w:val="00F3721D"/>
    <w:rsid w:val="00F37502"/>
    <w:rsid w:val="00F37680"/>
    <w:rsid w:val="00F37730"/>
    <w:rsid w:val="00F37891"/>
    <w:rsid w:val="00F378E6"/>
    <w:rsid w:val="00F37D75"/>
    <w:rsid w:val="00F37F98"/>
    <w:rsid w:val="00F4016A"/>
    <w:rsid w:val="00F40180"/>
    <w:rsid w:val="00F404B7"/>
    <w:rsid w:val="00F408B4"/>
    <w:rsid w:val="00F40B8D"/>
    <w:rsid w:val="00F40BEA"/>
    <w:rsid w:val="00F40E4B"/>
    <w:rsid w:val="00F40EEF"/>
    <w:rsid w:val="00F4134F"/>
    <w:rsid w:val="00F415E8"/>
    <w:rsid w:val="00F41682"/>
    <w:rsid w:val="00F41716"/>
    <w:rsid w:val="00F41850"/>
    <w:rsid w:val="00F41AD2"/>
    <w:rsid w:val="00F41B09"/>
    <w:rsid w:val="00F41B7D"/>
    <w:rsid w:val="00F41C4E"/>
    <w:rsid w:val="00F4225D"/>
    <w:rsid w:val="00F42260"/>
    <w:rsid w:val="00F4240E"/>
    <w:rsid w:val="00F42483"/>
    <w:rsid w:val="00F4261A"/>
    <w:rsid w:val="00F426DD"/>
    <w:rsid w:val="00F42B88"/>
    <w:rsid w:val="00F42BF3"/>
    <w:rsid w:val="00F42F92"/>
    <w:rsid w:val="00F43126"/>
    <w:rsid w:val="00F43BD0"/>
    <w:rsid w:val="00F43D7C"/>
    <w:rsid w:val="00F443A8"/>
    <w:rsid w:val="00F443DE"/>
    <w:rsid w:val="00F4446F"/>
    <w:rsid w:val="00F4448D"/>
    <w:rsid w:val="00F445C2"/>
    <w:rsid w:val="00F44906"/>
    <w:rsid w:val="00F44DC9"/>
    <w:rsid w:val="00F44FB8"/>
    <w:rsid w:val="00F45267"/>
    <w:rsid w:val="00F45748"/>
    <w:rsid w:val="00F458DD"/>
    <w:rsid w:val="00F45D09"/>
    <w:rsid w:val="00F45E6C"/>
    <w:rsid w:val="00F46129"/>
    <w:rsid w:val="00F4626E"/>
    <w:rsid w:val="00F46650"/>
    <w:rsid w:val="00F467FD"/>
    <w:rsid w:val="00F468FA"/>
    <w:rsid w:val="00F46992"/>
    <w:rsid w:val="00F469C6"/>
    <w:rsid w:val="00F46F57"/>
    <w:rsid w:val="00F471ED"/>
    <w:rsid w:val="00F4783A"/>
    <w:rsid w:val="00F47CF8"/>
    <w:rsid w:val="00F47D4B"/>
    <w:rsid w:val="00F47FB8"/>
    <w:rsid w:val="00F5016B"/>
    <w:rsid w:val="00F50519"/>
    <w:rsid w:val="00F50668"/>
    <w:rsid w:val="00F5072A"/>
    <w:rsid w:val="00F508BC"/>
    <w:rsid w:val="00F508DB"/>
    <w:rsid w:val="00F50988"/>
    <w:rsid w:val="00F50AEC"/>
    <w:rsid w:val="00F50C49"/>
    <w:rsid w:val="00F51027"/>
    <w:rsid w:val="00F5145F"/>
    <w:rsid w:val="00F51532"/>
    <w:rsid w:val="00F516A4"/>
    <w:rsid w:val="00F51AED"/>
    <w:rsid w:val="00F51B55"/>
    <w:rsid w:val="00F51C5D"/>
    <w:rsid w:val="00F51CB1"/>
    <w:rsid w:val="00F51D6D"/>
    <w:rsid w:val="00F52196"/>
    <w:rsid w:val="00F521BD"/>
    <w:rsid w:val="00F5246C"/>
    <w:rsid w:val="00F52A0C"/>
    <w:rsid w:val="00F52A79"/>
    <w:rsid w:val="00F52BA4"/>
    <w:rsid w:val="00F52F0D"/>
    <w:rsid w:val="00F5330B"/>
    <w:rsid w:val="00F5341F"/>
    <w:rsid w:val="00F53B0F"/>
    <w:rsid w:val="00F53C50"/>
    <w:rsid w:val="00F53C9E"/>
    <w:rsid w:val="00F54226"/>
    <w:rsid w:val="00F545A8"/>
    <w:rsid w:val="00F545BD"/>
    <w:rsid w:val="00F54943"/>
    <w:rsid w:val="00F54A02"/>
    <w:rsid w:val="00F54DDD"/>
    <w:rsid w:val="00F55012"/>
    <w:rsid w:val="00F554D2"/>
    <w:rsid w:val="00F55520"/>
    <w:rsid w:val="00F55C56"/>
    <w:rsid w:val="00F55CD3"/>
    <w:rsid w:val="00F55DE5"/>
    <w:rsid w:val="00F55DEE"/>
    <w:rsid w:val="00F5626C"/>
    <w:rsid w:val="00F562DC"/>
    <w:rsid w:val="00F567F4"/>
    <w:rsid w:val="00F56875"/>
    <w:rsid w:val="00F56A35"/>
    <w:rsid w:val="00F56AE0"/>
    <w:rsid w:val="00F56C21"/>
    <w:rsid w:val="00F56D84"/>
    <w:rsid w:val="00F56E3B"/>
    <w:rsid w:val="00F5707B"/>
    <w:rsid w:val="00F570BD"/>
    <w:rsid w:val="00F5710B"/>
    <w:rsid w:val="00F57459"/>
    <w:rsid w:val="00F5767E"/>
    <w:rsid w:val="00F579D0"/>
    <w:rsid w:val="00F57A42"/>
    <w:rsid w:val="00F603CA"/>
    <w:rsid w:val="00F60818"/>
    <w:rsid w:val="00F60903"/>
    <w:rsid w:val="00F6096A"/>
    <w:rsid w:val="00F60E5D"/>
    <w:rsid w:val="00F610B9"/>
    <w:rsid w:val="00F61111"/>
    <w:rsid w:val="00F613EA"/>
    <w:rsid w:val="00F6146E"/>
    <w:rsid w:val="00F616C9"/>
    <w:rsid w:val="00F6170F"/>
    <w:rsid w:val="00F61B1E"/>
    <w:rsid w:val="00F61B78"/>
    <w:rsid w:val="00F61D24"/>
    <w:rsid w:val="00F623C9"/>
    <w:rsid w:val="00F623DA"/>
    <w:rsid w:val="00F625AB"/>
    <w:rsid w:val="00F62A86"/>
    <w:rsid w:val="00F62B84"/>
    <w:rsid w:val="00F62EC0"/>
    <w:rsid w:val="00F634F8"/>
    <w:rsid w:val="00F6363C"/>
    <w:rsid w:val="00F63771"/>
    <w:rsid w:val="00F63797"/>
    <w:rsid w:val="00F63953"/>
    <w:rsid w:val="00F63B77"/>
    <w:rsid w:val="00F63EA4"/>
    <w:rsid w:val="00F63F48"/>
    <w:rsid w:val="00F64108"/>
    <w:rsid w:val="00F64249"/>
    <w:rsid w:val="00F6433B"/>
    <w:rsid w:val="00F6448A"/>
    <w:rsid w:val="00F648CD"/>
    <w:rsid w:val="00F654A1"/>
    <w:rsid w:val="00F65A42"/>
    <w:rsid w:val="00F65DA7"/>
    <w:rsid w:val="00F66019"/>
    <w:rsid w:val="00F66529"/>
    <w:rsid w:val="00F6677C"/>
    <w:rsid w:val="00F66824"/>
    <w:rsid w:val="00F66C36"/>
    <w:rsid w:val="00F66C9F"/>
    <w:rsid w:val="00F66CCE"/>
    <w:rsid w:val="00F66F5C"/>
    <w:rsid w:val="00F67237"/>
    <w:rsid w:val="00F67241"/>
    <w:rsid w:val="00F674B1"/>
    <w:rsid w:val="00F674C3"/>
    <w:rsid w:val="00F677AF"/>
    <w:rsid w:val="00F67AD8"/>
    <w:rsid w:val="00F67BE7"/>
    <w:rsid w:val="00F67C40"/>
    <w:rsid w:val="00F67C4D"/>
    <w:rsid w:val="00F67CB1"/>
    <w:rsid w:val="00F70061"/>
    <w:rsid w:val="00F70158"/>
    <w:rsid w:val="00F70415"/>
    <w:rsid w:val="00F70469"/>
    <w:rsid w:val="00F70522"/>
    <w:rsid w:val="00F7074E"/>
    <w:rsid w:val="00F70A03"/>
    <w:rsid w:val="00F70C38"/>
    <w:rsid w:val="00F712FE"/>
    <w:rsid w:val="00F71767"/>
    <w:rsid w:val="00F718BE"/>
    <w:rsid w:val="00F72852"/>
    <w:rsid w:val="00F728EA"/>
    <w:rsid w:val="00F72C26"/>
    <w:rsid w:val="00F72DDC"/>
    <w:rsid w:val="00F72F36"/>
    <w:rsid w:val="00F73399"/>
    <w:rsid w:val="00F7342A"/>
    <w:rsid w:val="00F73F32"/>
    <w:rsid w:val="00F74033"/>
    <w:rsid w:val="00F74209"/>
    <w:rsid w:val="00F74239"/>
    <w:rsid w:val="00F742B0"/>
    <w:rsid w:val="00F7454A"/>
    <w:rsid w:val="00F74700"/>
    <w:rsid w:val="00F74FCC"/>
    <w:rsid w:val="00F75272"/>
    <w:rsid w:val="00F7562B"/>
    <w:rsid w:val="00F7569A"/>
    <w:rsid w:val="00F75B32"/>
    <w:rsid w:val="00F75CDB"/>
    <w:rsid w:val="00F75DAC"/>
    <w:rsid w:val="00F75DFB"/>
    <w:rsid w:val="00F75FB3"/>
    <w:rsid w:val="00F762BF"/>
    <w:rsid w:val="00F762C0"/>
    <w:rsid w:val="00F763CB"/>
    <w:rsid w:val="00F763EA"/>
    <w:rsid w:val="00F7653F"/>
    <w:rsid w:val="00F76710"/>
    <w:rsid w:val="00F76871"/>
    <w:rsid w:val="00F76C9F"/>
    <w:rsid w:val="00F76DD7"/>
    <w:rsid w:val="00F76DDD"/>
    <w:rsid w:val="00F76F55"/>
    <w:rsid w:val="00F77572"/>
    <w:rsid w:val="00F7766A"/>
    <w:rsid w:val="00F7794B"/>
    <w:rsid w:val="00F779FC"/>
    <w:rsid w:val="00F802A8"/>
    <w:rsid w:val="00F8047D"/>
    <w:rsid w:val="00F80AB6"/>
    <w:rsid w:val="00F80D41"/>
    <w:rsid w:val="00F80D6C"/>
    <w:rsid w:val="00F80DDF"/>
    <w:rsid w:val="00F80EA9"/>
    <w:rsid w:val="00F814B3"/>
    <w:rsid w:val="00F81680"/>
    <w:rsid w:val="00F81789"/>
    <w:rsid w:val="00F819DF"/>
    <w:rsid w:val="00F81A0F"/>
    <w:rsid w:val="00F81BA5"/>
    <w:rsid w:val="00F81F3C"/>
    <w:rsid w:val="00F8243C"/>
    <w:rsid w:val="00F8249A"/>
    <w:rsid w:val="00F829C4"/>
    <w:rsid w:val="00F82D92"/>
    <w:rsid w:val="00F82E37"/>
    <w:rsid w:val="00F830CD"/>
    <w:rsid w:val="00F830D0"/>
    <w:rsid w:val="00F83533"/>
    <w:rsid w:val="00F8361A"/>
    <w:rsid w:val="00F8389A"/>
    <w:rsid w:val="00F838AB"/>
    <w:rsid w:val="00F839E4"/>
    <w:rsid w:val="00F83D91"/>
    <w:rsid w:val="00F84180"/>
    <w:rsid w:val="00F84479"/>
    <w:rsid w:val="00F84574"/>
    <w:rsid w:val="00F846B5"/>
    <w:rsid w:val="00F84703"/>
    <w:rsid w:val="00F84883"/>
    <w:rsid w:val="00F84FE8"/>
    <w:rsid w:val="00F85057"/>
    <w:rsid w:val="00F85186"/>
    <w:rsid w:val="00F852D5"/>
    <w:rsid w:val="00F85342"/>
    <w:rsid w:val="00F854E6"/>
    <w:rsid w:val="00F85875"/>
    <w:rsid w:val="00F85B29"/>
    <w:rsid w:val="00F85EA5"/>
    <w:rsid w:val="00F85EAB"/>
    <w:rsid w:val="00F85ED6"/>
    <w:rsid w:val="00F866AA"/>
    <w:rsid w:val="00F86887"/>
    <w:rsid w:val="00F86C4D"/>
    <w:rsid w:val="00F86C70"/>
    <w:rsid w:val="00F87006"/>
    <w:rsid w:val="00F87143"/>
    <w:rsid w:val="00F875D5"/>
    <w:rsid w:val="00F878C2"/>
    <w:rsid w:val="00F878C3"/>
    <w:rsid w:val="00F87A3B"/>
    <w:rsid w:val="00F87A7D"/>
    <w:rsid w:val="00F87C06"/>
    <w:rsid w:val="00F87E19"/>
    <w:rsid w:val="00F90138"/>
    <w:rsid w:val="00F902A4"/>
    <w:rsid w:val="00F906C6"/>
    <w:rsid w:val="00F906D5"/>
    <w:rsid w:val="00F908A0"/>
    <w:rsid w:val="00F90A30"/>
    <w:rsid w:val="00F90B67"/>
    <w:rsid w:val="00F90D0F"/>
    <w:rsid w:val="00F913FE"/>
    <w:rsid w:val="00F91B2A"/>
    <w:rsid w:val="00F91E0F"/>
    <w:rsid w:val="00F91ECB"/>
    <w:rsid w:val="00F92345"/>
    <w:rsid w:val="00F92688"/>
    <w:rsid w:val="00F92A60"/>
    <w:rsid w:val="00F92A97"/>
    <w:rsid w:val="00F933B3"/>
    <w:rsid w:val="00F93546"/>
    <w:rsid w:val="00F9386C"/>
    <w:rsid w:val="00F93B09"/>
    <w:rsid w:val="00F93B62"/>
    <w:rsid w:val="00F93DAA"/>
    <w:rsid w:val="00F93DEF"/>
    <w:rsid w:val="00F93EE4"/>
    <w:rsid w:val="00F93EFE"/>
    <w:rsid w:val="00F93FD1"/>
    <w:rsid w:val="00F9403C"/>
    <w:rsid w:val="00F9421E"/>
    <w:rsid w:val="00F94DAF"/>
    <w:rsid w:val="00F94F80"/>
    <w:rsid w:val="00F950E7"/>
    <w:rsid w:val="00F953A2"/>
    <w:rsid w:val="00F953FC"/>
    <w:rsid w:val="00F9555A"/>
    <w:rsid w:val="00F956AB"/>
    <w:rsid w:val="00F957EB"/>
    <w:rsid w:val="00F958EC"/>
    <w:rsid w:val="00F959D0"/>
    <w:rsid w:val="00F95C27"/>
    <w:rsid w:val="00F95FDF"/>
    <w:rsid w:val="00F963A2"/>
    <w:rsid w:val="00F96702"/>
    <w:rsid w:val="00F9696C"/>
    <w:rsid w:val="00F969B2"/>
    <w:rsid w:val="00F96A54"/>
    <w:rsid w:val="00F96BE0"/>
    <w:rsid w:val="00F96C13"/>
    <w:rsid w:val="00F970DC"/>
    <w:rsid w:val="00F97366"/>
    <w:rsid w:val="00F97664"/>
    <w:rsid w:val="00F976E7"/>
    <w:rsid w:val="00F97BA7"/>
    <w:rsid w:val="00FA003D"/>
    <w:rsid w:val="00FA00BE"/>
    <w:rsid w:val="00FA0223"/>
    <w:rsid w:val="00FA02EE"/>
    <w:rsid w:val="00FA0531"/>
    <w:rsid w:val="00FA0554"/>
    <w:rsid w:val="00FA0659"/>
    <w:rsid w:val="00FA083F"/>
    <w:rsid w:val="00FA097F"/>
    <w:rsid w:val="00FA0EC7"/>
    <w:rsid w:val="00FA0FEC"/>
    <w:rsid w:val="00FA105D"/>
    <w:rsid w:val="00FA133C"/>
    <w:rsid w:val="00FA151E"/>
    <w:rsid w:val="00FA1545"/>
    <w:rsid w:val="00FA17C0"/>
    <w:rsid w:val="00FA1AAC"/>
    <w:rsid w:val="00FA1EDE"/>
    <w:rsid w:val="00FA226E"/>
    <w:rsid w:val="00FA246A"/>
    <w:rsid w:val="00FA2A3D"/>
    <w:rsid w:val="00FA2A91"/>
    <w:rsid w:val="00FA2B95"/>
    <w:rsid w:val="00FA2BCD"/>
    <w:rsid w:val="00FA2D3E"/>
    <w:rsid w:val="00FA2FBD"/>
    <w:rsid w:val="00FA2FC1"/>
    <w:rsid w:val="00FA3093"/>
    <w:rsid w:val="00FA3126"/>
    <w:rsid w:val="00FA3D28"/>
    <w:rsid w:val="00FA3EFB"/>
    <w:rsid w:val="00FA41E1"/>
    <w:rsid w:val="00FA4392"/>
    <w:rsid w:val="00FA44FD"/>
    <w:rsid w:val="00FA45E4"/>
    <w:rsid w:val="00FA4B60"/>
    <w:rsid w:val="00FA4C76"/>
    <w:rsid w:val="00FA501C"/>
    <w:rsid w:val="00FA5238"/>
    <w:rsid w:val="00FA5362"/>
    <w:rsid w:val="00FA563E"/>
    <w:rsid w:val="00FA5881"/>
    <w:rsid w:val="00FA58C8"/>
    <w:rsid w:val="00FA594F"/>
    <w:rsid w:val="00FA5A46"/>
    <w:rsid w:val="00FA5A67"/>
    <w:rsid w:val="00FA5BD5"/>
    <w:rsid w:val="00FA5D65"/>
    <w:rsid w:val="00FA5E5B"/>
    <w:rsid w:val="00FA6287"/>
    <w:rsid w:val="00FA633A"/>
    <w:rsid w:val="00FA6583"/>
    <w:rsid w:val="00FA6966"/>
    <w:rsid w:val="00FA6C7D"/>
    <w:rsid w:val="00FA6DAD"/>
    <w:rsid w:val="00FA6EC8"/>
    <w:rsid w:val="00FA6F54"/>
    <w:rsid w:val="00FA7109"/>
    <w:rsid w:val="00FA72F8"/>
    <w:rsid w:val="00FA7828"/>
    <w:rsid w:val="00FA7B43"/>
    <w:rsid w:val="00FA7D35"/>
    <w:rsid w:val="00FA7E55"/>
    <w:rsid w:val="00FB0227"/>
    <w:rsid w:val="00FB0578"/>
    <w:rsid w:val="00FB0714"/>
    <w:rsid w:val="00FB0AE5"/>
    <w:rsid w:val="00FB0E8B"/>
    <w:rsid w:val="00FB11BC"/>
    <w:rsid w:val="00FB12AC"/>
    <w:rsid w:val="00FB12C8"/>
    <w:rsid w:val="00FB13A4"/>
    <w:rsid w:val="00FB146B"/>
    <w:rsid w:val="00FB14D3"/>
    <w:rsid w:val="00FB1832"/>
    <w:rsid w:val="00FB187B"/>
    <w:rsid w:val="00FB1D25"/>
    <w:rsid w:val="00FB1DA3"/>
    <w:rsid w:val="00FB2200"/>
    <w:rsid w:val="00FB22E6"/>
    <w:rsid w:val="00FB25D2"/>
    <w:rsid w:val="00FB28A9"/>
    <w:rsid w:val="00FB2948"/>
    <w:rsid w:val="00FB2B46"/>
    <w:rsid w:val="00FB2B64"/>
    <w:rsid w:val="00FB2D0B"/>
    <w:rsid w:val="00FB2DCC"/>
    <w:rsid w:val="00FB2EAA"/>
    <w:rsid w:val="00FB30A7"/>
    <w:rsid w:val="00FB3343"/>
    <w:rsid w:val="00FB3A6D"/>
    <w:rsid w:val="00FB3D21"/>
    <w:rsid w:val="00FB3E69"/>
    <w:rsid w:val="00FB4890"/>
    <w:rsid w:val="00FB4E9A"/>
    <w:rsid w:val="00FB50B4"/>
    <w:rsid w:val="00FB5511"/>
    <w:rsid w:val="00FB5898"/>
    <w:rsid w:val="00FB5BE5"/>
    <w:rsid w:val="00FB5BFA"/>
    <w:rsid w:val="00FB5CA4"/>
    <w:rsid w:val="00FB609A"/>
    <w:rsid w:val="00FB6264"/>
    <w:rsid w:val="00FB62C3"/>
    <w:rsid w:val="00FB63CD"/>
    <w:rsid w:val="00FB65D1"/>
    <w:rsid w:val="00FB6605"/>
    <w:rsid w:val="00FB682B"/>
    <w:rsid w:val="00FB6C0A"/>
    <w:rsid w:val="00FB6C14"/>
    <w:rsid w:val="00FB6C3F"/>
    <w:rsid w:val="00FB72A0"/>
    <w:rsid w:val="00FB735C"/>
    <w:rsid w:val="00FB7526"/>
    <w:rsid w:val="00FB75D3"/>
    <w:rsid w:val="00FB7CB4"/>
    <w:rsid w:val="00FB7CF3"/>
    <w:rsid w:val="00FB7D42"/>
    <w:rsid w:val="00FC01DE"/>
    <w:rsid w:val="00FC0521"/>
    <w:rsid w:val="00FC062F"/>
    <w:rsid w:val="00FC0720"/>
    <w:rsid w:val="00FC0979"/>
    <w:rsid w:val="00FC0ABD"/>
    <w:rsid w:val="00FC0EE5"/>
    <w:rsid w:val="00FC175A"/>
    <w:rsid w:val="00FC1863"/>
    <w:rsid w:val="00FC1868"/>
    <w:rsid w:val="00FC1AF7"/>
    <w:rsid w:val="00FC1B11"/>
    <w:rsid w:val="00FC1D7E"/>
    <w:rsid w:val="00FC20DE"/>
    <w:rsid w:val="00FC2334"/>
    <w:rsid w:val="00FC239D"/>
    <w:rsid w:val="00FC23A1"/>
    <w:rsid w:val="00FC2499"/>
    <w:rsid w:val="00FC2732"/>
    <w:rsid w:val="00FC2763"/>
    <w:rsid w:val="00FC290F"/>
    <w:rsid w:val="00FC2CAC"/>
    <w:rsid w:val="00FC2CF0"/>
    <w:rsid w:val="00FC2D37"/>
    <w:rsid w:val="00FC33B7"/>
    <w:rsid w:val="00FC3537"/>
    <w:rsid w:val="00FC3890"/>
    <w:rsid w:val="00FC3BB6"/>
    <w:rsid w:val="00FC3CD9"/>
    <w:rsid w:val="00FC3D32"/>
    <w:rsid w:val="00FC41F9"/>
    <w:rsid w:val="00FC4232"/>
    <w:rsid w:val="00FC473A"/>
    <w:rsid w:val="00FC4DE3"/>
    <w:rsid w:val="00FC4E93"/>
    <w:rsid w:val="00FC5237"/>
    <w:rsid w:val="00FC52EB"/>
    <w:rsid w:val="00FC55FF"/>
    <w:rsid w:val="00FC586A"/>
    <w:rsid w:val="00FC587C"/>
    <w:rsid w:val="00FC5A19"/>
    <w:rsid w:val="00FC5AC7"/>
    <w:rsid w:val="00FC5B4D"/>
    <w:rsid w:val="00FC6572"/>
    <w:rsid w:val="00FC68CA"/>
    <w:rsid w:val="00FC6AA5"/>
    <w:rsid w:val="00FC6B9D"/>
    <w:rsid w:val="00FC6CDD"/>
    <w:rsid w:val="00FC6E3E"/>
    <w:rsid w:val="00FC6E71"/>
    <w:rsid w:val="00FC6F89"/>
    <w:rsid w:val="00FC7010"/>
    <w:rsid w:val="00FC701A"/>
    <w:rsid w:val="00FC703D"/>
    <w:rsid w:val="00FC73CE"/>
    <w:rsid w:val="00FC74EE"/>
    <w:rsid w:val="00FC7649"/>
    <w:rsid w:val="00FC7AA6"/>
    <w:rsid w:val="00FC7D68"/>
    <w:rsid w:val="00FC7EC0"/>
    <w:rsid w:val="00FC7ED1"/>
    <w:rsid w:val="00FD0332"/>
    <w:rsid w:val="00FD04E7"/>
    <w:rsid w:val="00FD057E"/>
    <w:rsid w:val="00FD0641"/>
    <w:rsid w:val="00FD0D05"/>
    <w:rsid w:val="00FD109D"/>
    <w:rsid w:val="00FD13E6"/>
    <w:rsid w:val="00FD1588"/>
    <w:rsid w:val="00FD1757"/>
    <w:rsid w:val="00FD19CA"/>
    <w:rsid w:val="00FD1A93"/>
    <w:rsid w:val="00FD1C68"/>
    <w:rsid w:val="00FD1EB4"/>
    <w:rsid w:val="00FD1EC2"/>
    <w:rsid w:val="00FD20CC"/>
    <w:rsid w:val="00FD20EF"/>
    <w:rsid w:val="00FD21D7"/>
    <w:rsid w:val="00FD25AB"/>
    <w:rsid w:val="00FD29C4"/>
    <w:rsid w:val="00FD2E94"/>
    <w:rsid w:val="00FD3123"/>
    <w:rsid w:val="00FD36C8"/>
    <w:rsid w:val="00FD36C9"/>
    <w:rsid w:val="00FD3855"/>
    <w:rsid w:val="00FD3B01"/>
    <w:rsid w:val="00FD3C1C"/>
    <w:rsid w:val="00FD3D7F"/>
    <w:rsid w:val="00FD3D85"/>
    <w:rsid w:val="00FD4118"/>
    <w:rsid w:val="00FD4180"/>
    <w:rsid w:val="00FD436A"/>
    <w:rsid w:val="00FD43DB"/>
    <w:rsid w:val="00FD43F8"/>
    <w:rsid w:val="00FD44A0"/>
    <w:rsid w:val="00FD490F"/>
    <w:rsid w:val="00FD49C0"/>
    <w:rsid w:val="00FD4AD9"/>
    <w:rsid w:val="00FD4E78"/>
    <w:rsid w:val="00FD4F55"/>
    <w:rsid w:val="00FD503F"/>
    <w:rsid w:val="00FD5538"/>
    <w:rsid w:val="00FD55D0"/>
    <w:rsid w:val="00FD56F4"/>
    <w:rsid w:val="00FD57E1"/>
    <w:rsid w:val="00FD5874"/>
    <w:rsid w:val="00FD5BC1"/>
    <w:rsid w:val="00FD5C00"/>
    <w:rsid w:val="00FD6007"/>
    <w:rsid w:val="00FD623A"/>
    <w:rsid w:val="00FD62B2"/>
    <w:rsid w:val="00FD66A6"/>
    <w:rsid w:val="00FD6EBB"/>
    <w:rsid w:val="00FD6EE3"/>
    <w:rsid w:val="00FD6F2B"/>
    <w:rsid w:val="00FD6FB4"/>
    <w:rsid w:val="00FD70E5"/>
    <w:rsid w:val="00FD7255"/>
    <w:rsid w:val="00FD72F8"/>
    <w:rsid w:val="00FD7998"/>
    <w:rsid w:val="00FE060A"/>
    <w:rsid w:val="00FE0C15"/>
    <w:rsid w:val="00FE1132"/>
    <w:rsid w:val="00FE1554"/>
    <w:rsid w:val="00FE15DB"/>
    <w:rsid w:val="00FE2179"/>
    <w:rsid w:val="00FE23BA"/>
    <w:rsid w:val="00FE25CB"/>
    <w:rsid w:val="00FE295F"/>
    <w:rsid w:val="00FE29C0"/>
    <w:rsid w:val="00FE2AE4"/>
    <w:rsid w:val="00FE2B3C"/>
    <w:rsid w:val="00FE2B6F"/>
    <w:rsid w:val="00FE2EEB"/>
    <w:rsid w:val="00FE31B4"/>
    <w:rsid w:val="00FE34A8"/>
    <w:rsid w:val="00FE3709"/>
    <w:rsid w:val="00FE3B54"/>
    <w:rsid w:val="00FE44E8"/>
    <w:rsid w:val="00FE4549"/>
    <w:rsid w:val="00FE45B8"/>
    <w:rsid w:val="00FE4689"/>
    <w:rsid w:val="00FE46D4"/>
    <w:rsid w:val="00FE4790"/>
    <w:rsid w:val="00FE47A9"/>
    <w:rsid w:val="00FE4B5B"/>
    <w:rsid w:val="00FE5058"/>
    <w:rsid w:val="00FE596A"/>
    <w:rsid w:val="00FE5D74"/>
    <w:rsid w:val="00FE5E20"/>
    <w:rsid w:val="00FE5ED7"/>
    <w:rsid w:val="00FE6119"/>
    <w:rsid w:val="00FE616E"/>
    <w:rsid w:val="00FE6264"/>
    <w:rsid w:val="00FE62A4"/>
    <w:rsid w:val="00FE6425"/>
    <w:rsid w:val="00FE665E"/>
    <w:rsid w:val="00FE66AF"/>
    <w:rsid w:val="00FE7004"/>
    <w:rsid w:val="00FE7228"/>
    <w:rsid w:val="00FE746D"/>
    <w:rsid w:val="00FE7557"/>
    <w:rsid w:val="00FE7623"/>
    <w:rsid w:val="00FE77E9"/>
    <w:rsid w:val="00FE7857"/>
    <w:rsid w:val="00FE78BB"/>
    <w:rsid w:val="00FE799E"/>
    <w:rsid w:val="00FE7A52"/>
    <w:rsid w:val="00FE7FE4"/>
    <w:rsid w:val="00FF0236"/>
    <w:rsid w:val="00FF0419"/>
    <w:rsid w:val="00FF0522"/>
    <w:rsid w:val="00FF0589"/>
    <w:rsid w:val="00FF0987"/>
    <w:rsid w:val="00FF14E4"/>
    <w:rsid w:val="00FF1586"/>
    <w:rsid w:val="00FF16C2"/>
    <w:rsid w:val="00FF16D8"/>
    <w:rsid w:val="00FF17B5"/>
    <w:rsid w:val="00FF183F"/>
    <w:rsid w:val="00FF195D"/>
    <w:rsid w:val="00FF1C0F"/>
    <w:rsid w:val="00FF1DB3"/>
    <w:rsid w:val="00FF1E2A"/>
    <w:rsid w:val="00FF235B"/>
    <w:rsid w:val="00FF27F6"/>
    <w:rsid w:val="00FF2E57"/>
    <w:rsid w:val="00FF3380"/>
    <w:rsid w:val="00FF3411"/>
    <w:rsid w:val="00FF3476"/>
    <w:rsid w:val="00FF410E"/>
    <w:rsid w:val="00FF4171"/>
    <w:rsid w:val="00FF42C7"/>
    <w:rsid w:val="00FF496F"/>
    <w:rsid w:val="00FF49EB"/>
    <w:rsid w:val="00FF4A8F"/>
    <w:rsid w:val="00FF4B6C"/>
    <w:rsid w:val="00FF4BD5"/>
    <w:rsid w:val="00FF4C88"/>
    <w:rsid w:val="00FF4C9B"/>
    <w:rsid w:val="00FF4EC6"/>
    <w:rsid w:val="00FF5092"/>
    <w:rsid w:val="00FF55AA"/>
    <w:rsid w:val="00FF5611"/>
    <w:rsid w:val="00FF5659"/>
    <w:rsid w:val="00FF5982"/>
    <w:rsid w:val="00FF5A42"/>
    <w:rsid w:val="00FF5AE4"/>
    <w:rsid w:val="00FF615B"/>
    <w:rsid w:val="00FF61BC"/>
    <w:rsid w:val="00FF641E"/>
    <w:rsid w:val="00FF6B6F"/>
    <w:rsid w:val="00FF6EAF"/>
    <w:rsid w:val="00FF6F2B"/>
    <w:rsid w:val="00FF6F55"/>
    <w:rsid w:val="00FF728F"/>
    <w:rsid w:val="00FF7369"/>
    <w:rsid w:val="00FF7530"/>
    <w:rsid w:val="00FF7AAA"/>
    <w:rsid w:val="00FF7D65"/>
    <w:rsid w:val="02A812E6"/>
    <w:rsid w:val="2DF973C1"/>
    <w:rsid w:val="2F81556E"/>
    <w:rsid w:val="4163490B"/>
    <w:rsid w:val="504516C0"/>
    <w:rsid w:val="529152F9"/>
    <w:rsid w:val="662F7B7D"/>
    <w:rsid w:val="73D32F7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fillcolor="white">
      <v:fill color="white"/>
      <v:stroke endarrow="block"/>
    </o:shapedefaults>
    <o:shapelayout v:ext="edit">
      <o:idmap v:ext="edit" data="1,3,4,5,6,7,8,9,10,11,12,13,14,15,16,17,18,19,20,21"/>
      <o:rules v:ext="edit">
        <o:r id="V:Rule5" type="connector" idref="#自选图形 20329"/>
        <o:r id="V:Rule6" type="connector" idref="#自选图形 20298"/>
        <o:r id="V:Rule7" type="connector" idref="#自选图形 20330"/>
        <o:r id="V:Rule8" type="connector" idref="#自选图形 204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1" w:count="267">
    <w:lsdException w:name="index 1" w:semiHidden="1"/>
    <w:lsdException w:name="index 2" w:semiHidden="1"/>
    <w:lsdException w:name="index 3" w:semiHidden="1"/>
    <w:lsdException w:name="index 4" w:semiHidden="1"/>
    <w:lsdException w:name="index 5" w:semiHidden="1" w:qFormat="0"/>
    <w:lsdException w:name="index 6" w:semiHidden="1"/>
    <w:lsdException w:name="index 7" w:semiHidden="1"/>
    <w:lsdException w:name="index 8" w:semiHidden="1" w:qFormat="0"/>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qFormat="0"/>
    <w:lsdException w:name="toc 8" w:uiPriority="39"/>
    <w:lsdException w:name="toc 9" w:uiPriority="39"/>
    <w:lsdException w:name="footnote text" w:semiHidden="1"/>
    <w:lsdException w:name="annotation text" w:qFormat="0"/>
    <w:lsdException w:name="header" w:qFormat="0"/>
    <w:lsdException w:name="index heading" w:semiHidden="1"/>
    <w:lsdException w:name="table of figures" w:semiHidden="1"/>
    <w:lsdException w:name="envelope address" w:qFormat="0"/>
    <w:lsdException w:name="footnote reference" w:unhideWhenUsed="1"/>
    <w:lsdException w:name="annotation reference" w:semiHidden="1"/>
    <w:lsdException w:name="endnote reference" w:qFormat="0"/>
    <w:lsdException w:name="endnote text" w:semiHidden="1"/>
    <w:lsdException w:name="table of authorities" w:semiHidden="1" w:qFormat="0"/>
    <w:lsdException w:name="macro" w:semiHidden="1" w:qFormat="0"/>
    <w:lsdException w:name="toa heading" w:semiHidden="1"/>
    <w:lsdException w:name="List Bullet" w:qFormat="0"/>
    <w:lsdException w:name="List Number" w:qFormat="0"/>
    <w:lsdException w:name="List Bullet 4" w:qFormat="0"/>
    <w:lsdException w:name="List Number 2" w:qFormat="0"/>
    <w:lsdException w:name="Default Paragraph Font" w:uiPriority="1" w:unhideWhenUsed="1" w:qFormat="0"/>
    <w:lsdException w:name="Body Text Indent 2" w:qFormat="0"/>
    <w:lsdException w:name="Hyperlink" w:uiPriority="99"/>
    <w:lsdException w:name="Document Map" w:semiHidden="1" w:qFormat="0"/>
    <w:lsdException w:name="Plain Text" w:qFormat="0"/>
    <w:lsdException w:name="E-mail Signature" w:qFormat="0"/>
    <w:lsdException w:name="HTML Top of Form" w:semiHidden="1" w:qFormat="0"/>
    <w:lsdException w:name="HTML Bottom of Form" w:qFormat="0"/>
    <w:lsdException w:name="Normal Table" w:uiPriority="99" w:unhideWhenUsed="1"/>
    <w:lsdException w:name="annotation subject" w:semiHidden="1" w:qFormat="0"/>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Colorful 1" w:semiHidden="1"/>
    <w:lsdException w:name="Table Columns 1" w:qFormat="0"/>
    <w:lsdException w:name="Table Columns 4" w:qFormat="0"/>
    <w:lsdException w:name="Table Grid 1" w:qFormat="0"/>
    <w:lsdException w:name="Table Grid 2" w:qFormat="0"/>
    <w:lsdException w:name="Table Grid 7" w:qFormat="0"/>
    <w:lsdException w:name="Table 3D effects 3" w:semiHidden="1"/>
    <w:lsdException w:name="Table Subtle 1" w:qFormat="0"/>
    <w:lsdException w:name="Balloon Text" w:semiHidden="1"/>
    <w:lsdException w:name="Table Theme" w:semiHidden="1"/>
    <w:lsdException w:name="Placeholder Text" w:semiHidden="1" w:uiPriority="99" w:qFormat="0"/>
    <w:lsdException w:name="No Spacing" w:uiPriority="1"/>
    <w:lsdException w:name="Light Shading" w:uiPriority="60" w:qFormat="0"/>
    <w:lsdException w:name="Light List" w:uiPriority="61" w:qFormat="0"/>
    <w:lsdException w:name="Light Grid" w:uiPriority="62" w:qFormat="0"/>
    <w:lsdException w:name="Medium Shading 1" w:uiPriority="63" w:qFormat="0"/>
    <w:lsdException w:name="Medium Shading 2" w:uiPriority="64" w:qFormat="0"/>
    <w:lsdException w:name="Medium List 1" w:uiPriority="65" w:qFormat="0"/>
    <w:lsdException w:name="Medium List 2" w:uiPriority="66" w:qFormat="0"/>
    <w:lsdException w:name="Medium Grid 1" w:uiPriority="67" w:qFormat="0"/>
    <w:lsdException w:name="Medium Grid 2" w:uiPriority="68" w:qFormat="0"/>
    <w:lsdException w:name="Medium Grid 3" w:uiPriority="69" w:qFormat="0"/>
    <w:lsdException w:name="Dark List" w:uiPriority="70" w:qFormat="0"/>
    <w:lsdException w:name="Colorful Shading" w:uiPriority="71" w:qFormat="0"/>
    <w:lsdException w:name="Colorful List" w:uiPriority="72" w:qFormat="0"/>
    <w:lsdException w:name="Colorful Grid" w:uiPriority="73" w:qFormat="0"/>
    <w:lsdException w:name="Light Shading Accent 1" w:uiPriority="60" w:qFormat="0"/>
    <w:lsdException w:name="Light List Accent 1" w:uiPriority="61" w:qFormat="0"/>
    <w:lsdException w:name="Light Grid Accent 1" w:uiPriority="62" w:qFormat="0"/>
    <w:lsdException w:name="Medium Shading 1 Accent 1" w:uiPriority="63" w:qFormat="0"/>
    <w:lsdException w:name="Medium Shading 2 Accent 1" w:uiPriority="64" w:qFormat="0"/>
    <w:lsdException w:name="Medium List 1 Accent 1" w:uiPriority="65" w:qFormat="0"/>
    <w:lsdException w:name="Revision" w:semiHidden="1" w:uiPriority="99" w:qFormat="0"/>
    <w:lsdException w:name="List Paragraph" w:uiPriority="34"/>
    <w:lsdException w:name="Quote" w:uiPriority="29"/>
    <w:lsdException w:name="Intense Quote" w:uiPriority="30"/>
    <w:lsdException w:name="Medium List 2 Accent 1" w:uiPriority="66" w:qFormat="0"/>
    <w:lsdException w:name="Medium Grid 1 Accent 1" w:uiPriority="67" w:qFormat="0"/>
    <w:lsdException w:name="Medium Grid 2 Accent 1" w:uiPriority="68" w:qFormat="0"/>
    <w:lsdException w:name="Medium Grid 3 Accent 1" w:uiPriority="69" w:qFormat="0"/>
    <w:lsdException w:name="Dark List Accent 1" w:uiPriority="70" w:qFormat="0"/>
    <w:lsdException w:name="Colorful Shading Accent 1" w:uiPriority="71" w:qFormat="0"/>
    <w:lsdException w:name="Colorful List Accent 1" w:uiPriority="72" w:qFormat="0"/>
    <w:lsdException w:name="Colorful Grid Accent 1" w:uiPriority="73" w:qFormat="0"/>
    <w:lsdException w:name="Light Shading Accent 2" w:uiPriority="60" w:qFormat="0"/>
    <w:lsdException w:name="Light List Accent 2" w:uiPriority="61" w:qFormat="0"/>
    <w:lsdException w:name="Light Grid Accent 2" w:uiPriority="62" w:qFormat="0"/>
    <w:lsdException w:name="Medium Shading 1 Accent 2" w:uiPriority="63" w:qFormat="0"/>
    <w:lsdException w:name="Medium Shading 2 Accent 2" w:uiPriority="64" w:qFormat="0"/>
    <w:lsdException w:name="Medium List 1 Accent 2" w:uiPriority="65" w:qFormat="0"/>
    <w:lsdException w:name="Medium List 2 Accent 2" w:uiPriority="66" w:qFormat="0"/>
    <w:lsdException w:name="Medium Grid 1 Accent 2" w:uiPriority="67" w:qFormat="0"/>
    <w:lsdException w:name="Medium Grid 2 Accent 2" w:uiPriority="68" w:qFormat="0"/>
    <w:lsdException w:name="Medium Grid 3 Accent 2" w:uiPriority="69" w:qFormat="0"/>
    <w:lsdException w:name="Dark List Accent 2" w:uiPriority="70" w:qFormat="0"/>
    <w:lsdException w:name="Colorful Shading Accent 2" w:uiPriority="71" w:qFormat="0"/>
    <w:lsdException w:name="Colorful List Accent 2" w:uiPriority="72" w:qFormat="0"/>
    <w:lsdException w:name="Colorful Grid Accent 2" w:uiPriority="73" w:qFormat="0"/>
    <w:lsdException w:name="Light Shading Accent 3" w:uiPriority="60" w:qFormat="0"/>
    <w:lsdException w:name="Light List Accent 3" w:uiPriority="61" w:qFormat="0"/>
    <w:lsdException w:name="Light Grid Accent 3" w:uiPriority="62" w:qFormat="0"/>
    <w:lsdException w:name="Medium Shading 1 Accent 3" w:uiPriority="63" w:qFormat="0"/>
    <w:lsdException w:name="Medium Shading 2 Accent 3" w:uiPriority="64" w:qFormat="0"/>
    <w:lsdException w:name="Medium List 1 Accent 3" w:uiPriority="65" w:qFormat="0"/>
    <w:lsdException w:name="Medium List 2 Accent 3" w:uiPriority="66" w:qFormat="0"/>
    <w:lsdException w:name="Medium Grid 1 Accent 3" w:uiPriority="67" w:qFormat="0"/>
    <w:lsdException w:name="Medium Grid 2 Accent 3" w:uiPriority="68" w:qFormat="0"/>
    <w:lsdException w:name="Medium Grid 3 Accent 3" w:uiPriority="69" w:qFormat="0"/>
    <w:lsdException w:name="Dark List Accent 3" w:uiPriority="70" w:qFormat="0"/>
    <w:lsdException w:name="Colorful Shading Accent 3" w:uiPriority="71" w:qFormat="0"/>
    <w:lsdException w:name="Colorful List Accent 3" w:uiPriority="72" w:qFormat="0"/>
    <w:lsdException w:name="Colorful Grid Accent 3" w:uiPriority="73" w:qFormat="0"/>
    <w:lsdException w:name="Light Shading Accent 4" w:uiPriority="60" w:qFormat="0"/>
    <w:lsdException w:name="Light List Accent 4" w:uiPriority="61" w:qFormat="0"/>
    <w:lsdException w:name="Light Grid Accent 4" w:uiPriority="62" w:qFormat="0"/>
    <w:lsdException w:name="Medium Shading 1 Accent 4" w:uiPriority="63" w:qFormat="0"/>
    <w:lsdException w:name="Medium Shading 2 Accent 4" w:uiPriority="64" w:qFormat="0"/>
    <w:lsdException w:name="Medium List 1 Accent 4" w:uiPriority="65" w:qFormat="0"/>
    <w:lsdException w:name="Medium List 2 Accent 4" w:uiPriority="66" w:qFormat="0"/>
    <w:lsdException w:name="Medium Grid 1 Accent 4" w:uiPriority="67" w:qFormat="0"/>
    <w:lsdException w:name="Medium Grid 2 Accent 4" w:uiPriority="68" w:qFormat="0"/>
    <w:lsdException w:name="Medium Grid 3 Accent 4" w:uiPriority="69" w:qFormat="0"/>
    <w:lsdException w:name="Dark List Accent 4" w:uiPriority="70" w:qFormat="0"/>
    <w:lsdException w:name="Colorful Shading Accent 4" w:uiPriority="71" w:qFormat="0"/>
    <w:lsdException w:name="Colorful List Accent 4" w:uiPriority="72" w:qFormat="0"/>
    <w:lsdException w:name="Colorful Grid Accent 4" w:uiPriority="73" w:qFormat="0"/>
    <w:lsdException w:name="Light Shading Accent 5" w:uiPriority="60" w:qFormat="0"/>
    <w:lsdException w:name="Light List Accent 5" w:uiPriority="61" w:qFormat="0"/>
    <w:lsdException w:name="Light Grid Accent 5" w:uiPriority="62" w:qFormat="0"/>
    <w:lsdException w:name="Medium Shading 1 Accent 5" w:uiPriority="63" w:qFormat="0"/>
    <w:lsdException w:name="Medium Shading 2 Accent 5" w:uiPriority="64" w:qFormat="0"/>
    <w:lsdException w:name="Medium List 1 Accent 5" w:uiPriority="65" w:qFormat="0"/>
    <w:lsdException w:name="Medium List 2 Accent 5" w:uiPriority="66" w:qFormat="0"/>
    <w:lsdException w:name="Medium Grid 1 Accent 5" w:uiPriority="67" w:qFormat="0"/>
    <w:lsdException w:name="Medium Grid 2 Accent 5" w:uiPriority="68" w:qFormat="0"/>
    <w:lsdException w:name="Medium Grid 3 Accent 5" w:uiPriority="69" w:qFormat="0"/>
    <w:lsdException w:name="Dark List Accent 5" w:uiPriority="70" w:qFormat="0"/>
    <w:lsdException w:name="Colorful Shading Accent 5" w:uiPriority="71" w:qFormat="0"/>
    <w:lsdException w:name="Colorful List Accent 5" w:uiPriority="72" w:qFormat="0"/>
    <w:lsdException w:name="Colorful Grid Accent 5" w:uiPriority="73" w:qFormat="0"/>
    <w:lsdException w:name="Light Shading Accent 6" w:uiPriority="60" w:qFormat="0"/>
    <w:lsdException w:name="Light List Accent 6" w:uiPriority="61" w:qFormat="0"/>
    <w:lsdException w:name="Light Grid Accent 6" w:uiPriority="62" w:qFormat="0"/>
    <w:lsdException w:name="Medium Shading 1 Accent 6" w:uiPriority="63" w:qFormat="0"/>
    <w:lsdException w:name="Medium Shading 2 Accent 6" w:uiPriority="64" w:qFormat="0"/>
    <w:lsdException w:name="Medium List 1 Accent 6" w:uiPriority="65" w:qFormat="0"/>
    <w:lsdException w:name="Medium List 2 Accent 6" w:uiPriority="66" w:qFormat="0"/>
    <w:lsdException w:name="Medium Grid 1 Accent 6" w:uiPriority="67" w:qFormat="0"/>
    <w:lsdException w:name="Medium Grid 2 Accent 6" w:uiPriority="68" w:qFormat="0"/>
    <w:lsdException w:name="Medium Grid 3 Accent 6" w:uiPriority="69" w:qFormat="0"/>
    <w:lsdException w:name="Dark List Accent 6" w:uiPriority="70" w:qFormat="0"/>
    <w:lsdException w:name="Colorful Shading Accent 6" w:uiPriority="71" w:qFormat="0"/>
    <w:lsdException w:name="Colorful List Accent 6" w:uiPriority="72" w:qFormat="0"/>
    <w:lsdException w:name="Colorful Grid Accent 6" w:uiPriority="73"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uiPriority="39"/>
  </w:latentStyles>
  <w:style w:type="paragraph" w:default="1" w:styleId="af3">
    <w:name w:val="Normal"/>
    <w:qFormat/>
    <w:rsid w:val="009964C3"/>
    <w:pPr>
      <w:widowControl w:val="0"/>
      <w:jc w:val="both"/>
    </w:pPr>
    <w:rPr>
      <w:kern w:val="2"/>
      <w:sz w:val="21"/>
      <w:szCs w:val="24"/>
    </w:rPr>
  </w:style>
  <w:style w:type="paragraph" w:styleId="13">
    <w:name w:val="heading 1"/>
    <w:basedOn w:val="af3"/>
    <w:next w:val="af3"/>
    <w:link w:val="1Char"/>
    <w:qFormat/>
    <w:rsid w:val="009964C3"/>
    <w:pPr>
      <w:keepNext/>
      <w:keepLines/>
      <w:spacing w:before="340" w:after="330" w:line="578" w:lineRule="auto"/>
      <w:outlineLvl w:val="0"/>
    </w:pPr>
    <w:rPr>
      <w:rFonts w:eastAsia="黑体"/>
      <w:b/>
      <w:bCs/>
      <w:kern w:val="44"/>
      <w:sz w:val="36"/>
      <w:szCs w:val="44"/>
    </w:rPr>
  </w:style>
  <w:style w:type="paragraph" w:styleId="22">
    <w:name w:val="heading 2"/>
    <w:basedOn w:val="af3"/>
    <w:next w:val="af3"/>
    <w:link w:val="2Char"/>
    <w:qFormat/>
    <w:rsid w:val="009964C3"/>
    <w:pPr>
      <w:keepNext/>
      <w:keepLines/>
      <w:spacing w:before="260" w:after="260" w:line="416" w:lineRule="auto"/>
      <w:outlineLvl w:val="1"/>
    </w:pPr>
    <w:rPr>
      <w:rFonts w:ascii="Arial" w:eastAsia="黑体" w:hAnsi="Arial"/>
      <w:b/>
      <w:bCs/>
      <w:sz w:val="32"/>
      <w:szCs w:val="32"/>
    </w:rPr>
  </w:style>
  <w:style w:type="paragraph" w:styleId="31">
    <w:name w:val="heading 3"/>
    <w:basedOn w:val="af3"/>
    <w:next w:val="af3"/>
    <w:link w:val="3Char1"/>
    <w:qFormat/>
    <w:rsid w:val="009964C3"/>
    <w:pPr>
      <w:keepNext/>
      <w:keepLines/>
      <w:spacing w:before="260" w:after="260" w:line="416" w:lineRule="auto"/>
      <w:outlineLvl w:val="2"/>
    </w:pPr>
    <w:rPr>
      <w:b/>
      <w:bCs/>
      <w:sz w:val="32"/>
      <w:szCs w:val="32"/>
    </w:rPr>
  </w:style>
  <w:style w:type="paragraph" w:styleId="43">
    <w:name w:val="heading 4"/>
    <w:basedOn w:val="af3"/>
    <w:next w:val="af3"/>
    <w:link w:val="4Char"/>
    <w:qFormat/>
    <w:rsid w:val="009964C3"/>
    <w:pPr>
      <w:keepNext/>
      <w:keepLines/>
      <w:spacing w:before="280" w:after="290" w:line="376" w:lineRule="auto"/>
      <w:outlineLvl w:val="3"/>
    </w:pPr>
    <w:rPr>
      <w:rFonts w:ascii="Arial" w:eastAsia="黑体" w:hAnsi="Arial"/>
      <w:b/>
      <w:bCs/>
      <w:sz w:val="28"/>
      <w:szCs w:val="28"/>
    </w:rPr>
  </w:style>
  <w:style w:type="paragraph" w:styleId="51">
    <w:name w:val="heading 5"/>
    <w:basedOn w:val="af3"/>
    <w:next w:val="af4"/>
    <w:link w:val="5Char"/>
    <w:qFormat/>
    <w:rsid w:val="009964C3"/>
    <w:pPr>
      <w:spacing w:line="440" w:lineRule="exact"/>
      <w:jc w:val="center"/>
      <w:outlineLvl w:val="4"/>
    </w:pPr>
    <w:rPr>
      <w:rFonts w:ascii="黑体" w:eastAsia="黑体" w:hAnsi="Arial"/>
      <w:color w:val="000000"/>
      <w:spacing w:val="20"/>
      <w:position w:val="4"/>
      <w:sz w:val="28"/>
      <w:szCs w:val="20"/>
    </w:rPr>
  </w:style>
  <w:style w:type="paragraph" w:styleId="6">
    <w:name w:val="heading 6"/>
    <w:basedOn w:val="af3"/>
    <w:next w:val="af3"/>
    <w:link w:val="6Char"/>
    <w:qFormat/>
    <w:rsid w:val="009964C3"/>
    <w:pPr>
      <w:keepNext/>
      <w:keepLines/>
      <w:widowControl/>
      <w:spacing w:before="240" w:after="64" w:line="320" w:lineRule="auto"/>
      <w:jc w:val="left"/>
      <w:outlineLvl w:val="5"/>
    </w:pPr>
    <w:rPr>
      <w:rFonts w:ascii="Arial" w:eastAsia="黑体" w:hAnsi="Arial" w:cs="宋体"/>
      <w:b/>
      <w:bCs/>
      <w:kern w:val="0"/>
      <w:sz w:val="24"/>
    </w:rPr>
  </w:style>
  <w:style w:type="paragraph" w:styleId="7">
    <w:name w:val="heading 7"/>
    <w:basedOn w:val="af3"/>
    <w:next w:val="af3"/>
    <w:link w:val="7Char"/>
    <w:qFormat/>
    <w:rsid w:val="009964C3"/>
    <w:pPr>
      <w:keepNext/>
      <w:keepLines/>
      <w:widowControl/>
      <w:spacing w:before="240" w:after="64" w:line="320" w:lineRule="auto"/>
      <w:jc w:val="left"/>
      <w:outlineLvl w:val="6"/>
    </w:pPr>
    <w:rPr>
      <w:rFonts w:ascii="宋体" w:hAnsi="宋体" w:cs="宋体"/>
      <w:b/>
      <w:bCs/>
      <w:kern w:val="0"/>
      <w:sz w:val="24"/>
    </w:rPr>
  </w:style>
  <w:style w:type="paragraph" w:styleId="8">
    <w:name w:val="heading 8"/>
    <w:basedOn w:val="af3"/>
    <w:next w:val="af3"/>
    <w:link w:val="8Char"/>
    <w:qFormat/>
    <w:rsid w:val="009964C3"/>
    <w:pPr>
      <w:keepNext/>
      <w:keepLines/>
      <w:widowControl/>
      <w:spacing w:before="240" w:after="64" w:line="320" w:lineRule="auto"/>
      <w:jc w:val="left"/>
      <w:outlineLvl w:val="7"/>
    </w:pPr>
    <w:rPr>
      <w:rFonts w:ascii="Arial" w:eastAsia="黑体" w:hAnsi="Arial" w:cs="宋体"/>
      <w:kern w:val="0"/>
      <w:sz w:val="24"/>
    </w:rPr>
  </w:style>
  <w:style w:type="paragraph" w:styleId="9">
    <w:name w:val="heading 9"/>
    <w:basedOn w:val="af3"/>
    <w:next w:val="af3"/>
    <w:link w:val="9Char"/>
    <w:qFormat/>
    <w:rsid w:val="009964C3"/>
    <w:pPr>
      <w:keepNext/>
      <w:keepLines/>
      <w:widowControl/>
      <w:spacing w:before="240" w:after="64" w:line="320" w:lineRule="auto"/>
      <w:jc w:val="left"/>
      <w:outlineLvl w:val="8"/>
    </w:pPr>
    <w:rPr>
      <w:rFonts w:ascii="Arial" w:eastAsia="黑体" w:hAnsi="Arial" w:cs="宋体"/>
      <w:kern w:val="0"/>
      <w:szCs w:val="21"/>
    </w:rPr>
  </w:style>
  <w:style w:type="character" w:default="1" w:styleId="af5">
    <w:name w:val="Default Paragraph Font"/>
    <w:uiPriority w:val="1"/>
    <w:semiHidden/>
    <w:unhideWhenUsed/>
  </w:style>
  <w:style w:type="table" w:default="1" w:styleId="af6">
    <w:name w:val="Normal Table"/>
    <w:uiPriority w:val="99"/>
    <w:semiHidden/>
    <w:unhideWhenUsed/>
    <w:qFormat/>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styleId="HTML">
    <w:name w:val="HTML Code"/>
    <w:qFormat/>
    <w:rsid w:val="009964C3"/>
    <w:rPr>
      <w:rFonts w:ascii="Courier New" w:hAnsi="Courier New" w:cs="Courier New"/>
      <w:sz w:val="20"/>
      <w:szCs w:val="20"/>
    </w:rPr>
  </w:style>
  <w:style w:type="character" w:styleId="af8">
    <w:name w:val="FollowedHyperlink"/>
    <w:qFormat/>
    <w:rsid w:val="009964C3"/>
    <w:rPr>
      <w:color w:val="800080"/>
      <w:u w:val="single"/>
    </w:rPr>
  </w:style>
  <w:style w:type="character" w:styleId="HTML0">
    <w:name w:val="HTML Cite"/>
    <w:qFormat/>
    <w:rsid w:val="009964C3"/>
    <w:rPr>
      <w:i/>
      <w:iCs/>
    </w:rPr>
  </w:style>
  <w:style w:type="character" w:styleId="af9">
    <w:name w:val="line number"/>
    <w:basedOn w:val="af5"/>
    <w:qFormat/>
    <w:rsid w:val="009964C3"/>
  </w:style>
  <w:style w:type="character" w:styleId="HTML1">
    <w:name w:val="HTML Keyboard"/>
    <w:qFormat/>
    <w:rsid w:val="009964C3"/>
    <w:rPr>
      <w:rFonts w:ascii="Courier New" w:hAnsi="Courier New" w:cs="Courier New"/>
      <w:sz w:val="20"/>
      <w:szCs w:val="20"/>
    </w:rPr>
  </w:style>
  <w:style w:type="character" w:styleId="HTML2">
    <w:name w:val="HTML Typewriter"/>
    <w:qFormat/>
    <w:rsid w:val="009964C3"/>
    <w:rPr>
      <w:rFonts w:ascii="Courier New" w:hAnsi="Courier New" w:cs="Courier New"/>
      <w:sz w:val="20"/>
      <w:szCs w:val="20"/>
    </w:rPr>
  </w:style>
  <w:style w:type="character" w:customStyle="1" w:styleId="CharChar7">
    <w:name w:val="Char Char7"/>
    <w:rsid w:val="009964C3"/>
    <w:rPr>
      <w:rFonts w:eastAsia="宋体"/>
      <w:kern w:val="2"/>
      <w:sz w:val="18"/>
      <w:szCs w:val="18"/>
      <w:lang w:val="en-US" w:eastAsia="zh-CN" w:bidi="ar-SA"/>
    </w:rPr>
  </w:style>
  <w:style w:type="character" w:styleId="HTML3">
    <w:name w:val="HTML Variable"/>
    <w:qFormat/>
    <w:rsid w:val="009964C3"/>
    <w:rPr>
      <w:i/>
      <w:iCs/>
    </w:rPr>
  </w:style>
  <w:style w:type="character" w:styleId="afa">
    <w:name w:val="endnote reference"/>
    <w:rsid w:val="009964C3"/>
    <w:rPr>
      <w:vertAlign w:val="superscript"/>
    </w:rPr>
  </w:style>
  <w:style w:type="character" w:styleId="afb">
    <w:name w:val="Strong"/>
    <w:qFormat/>
    <w:rsid w:val="009964C3"/>
    <w:rPr>
      <w:b/>
      <w:bCs/>
    </w:rPr>
  </w:style>
  <w:style w:type="character" w:styleId="afc">
    <w:name w:val="page number"/>
    <w:basedOn w:val="af5"/>
    <w:qFormat/>
    <w:rsid w:val="009964C3"/>
  </w:style>
  <w:style w:type="character" w:styleId="afd">
    <w:name w:val="Emphasis"/>
    <w:qFormat/>
    <w:rsid w:val="009964C3"/>
    <w:rPr>
      <w:i/>
      <w:iCs/>
    </w:rPr>
  </w:style>
  <w:style w:type="character" w:styleId="HTML4">
    <w:name w:val="HTML Definition"/>
    <w:qFormat/>
    <w:rsid w:val="009964C3"/>
    <w:rPr>
      <w:i/>
      <w:iCs/>
    </w:rPr>
  </w:style>
  <w:style w:type="character" w:styleId="HTML5">
    <w:name w:val="HTML Acronym"/>
    <w:basedOn w:val="af5"/>
    <w:qFormat/>
    <w:rsid w:val="009964C3"/>
  </w:style>
  <w:style w:type="character" w:styleId="afe">
    <w:name w:val="Hyperlink"/>
    <w:uiPriority w:val="99"/>
    <w:qFormat/>
    <w:rsid w:val="009964C3"/>
    <w:rPr>
      <w:color w:val="0000FF"/>
      <w:u w:val="single"/>
    </w:rPr>
  </w:style>
  <w:style w:type="character" w:styleId="aff">
    <w:name w:val="annotation reference"/>
    <w:semiHidden/>
    <w:qFormat/>
    <w:rsid w:val="009964C3"/>
    <w:rPr>
      <w:sz w:val="21"/>
      <w:szCs w:val="21"/>
    </w:rPr>
  </w:style>
  <w:style w:type="character" w:styleId="aff0">
    <w:name w:val="footnote reference"/>
    <w:unhideWhenUsed/>
    <w:qFormat/>
    <w:rsid w:val="009964C3"/>
    <w:rPr>
      <w:vertAlign w:val="superscript"/>
    </w:rPr>
  </w:style>
  <w:style w:type="character" w:styleId="HTML6">
    <w:name w:val="HTML Sample"/>
    <w:qFormat/>
    <w:rsid w:val="009964C3"/>
    <w:rPr>
      <w:rFonts w:ascii="Courier New" w:hAnsi="Courier New" w:cs="Courier New"/>
    </w:rPr>
  </w:style>
  <w:style w:type="character" w:customStyle="1" w:styleId="-Char">
    <w:name w:val="徐-正文 Char"/>
    <w:link w:val="-"/>
    <w:rsid w:val="009964C3"/>
    <w:rPr>
      <w:rFonts w:ascii="Arial" w:hAnsi="Arial"/>
      <w:color w:val="000000"/>
      <w:kern w:val="20"/>
      <w:sz w:val="24"/>
      <w:szCs w:val="24"/>
    </w:rPr>
  </w:style>
  <w:style w:type="character" w:customStyle="1" w:styleId="Char">
    <w:name w:val="正文 + 宋体 Char"/>
    <w:link w:val="aff1"/>
    <w:semiHidden/>
    <w:rsid w:val="009964C3"/>
    <w:rPr>
      <w:rFonts w:ascii="宋体" w:hAnsi="宋体"/>
      <w:kern w:val="2"/>
      <w:sz w:val="28"/>
    </w:rPr>
  </w:style>
  <w:style w:type="character" w:customStyle="1" w:styleId="CharChar12">
    <w:name w:val="Char Char12"/>
    <w:qFormat/>
    <w:locked/>
    <w:rsid w:val="009964C3"/>
    <w:rPr>
      <w:rFonts w:ascii="Arial" w:eastAsia="黑体" w:hAnsi="Arial"/>
      <w:b/>
      <w:bCs/>
      <w:kern w:val="2"/>
      <w:sz w:val="24"/>
      <w:szCs w:val="24"/>
      <w:lang w:val="en-US" w:eastAsia="zh-CN" w:bidi="ar-SA"/>
    </w:rPr>
  </w:style>
  <w:style w:type="character" w:customStyle="1" w:styleId="line16pt1">
    <w:name w:val="line16pt1"/>
    <w:qFormat/>
    <w:rsid w:val="009964C3"/>
    <w:rPr>
      <w:spacing w:val="384"/>
      <w:sz w:val="18"/>
      <w:szCs w:val="18"/>
    </w:rPr>
  </w:style>
  <w:style w:type="character" w:customStyle="1" w:styleId="Char0">
    <w:name w:val="公式 Char"/>
    <w:link w:val="aff2"/>
    <w:rsid w:val="009964C3"/>
    <w:rPr>
      <w:rFonts w:eastAsia="仿宋_GB2312"/>
      <w:sz w:val="30"/>
      <w:szCs w:val="30"/>
      <w:lang w:val="en-US" w:eastAsia="zh-CN" w:bidi="ar-SA"/>
    </w:rPr>
  </w:style>
  <w:style w:type="character" w:customStyle="1" w:styleId="Char1">
    <w:name w:val="报告正文 Char"/>
    <w:link w:val="aff3"/>
    <w:rsid w:val="009964C3"/>
    <w:rPr>
      <w:rFonts w:eastAsia="宋体"/>
      <w:color w:val="000000"/>
      <w:kern w:val="2"/>
      <w:sz w:val="24"/>
      <w:lang w:val="en-US" w:eastAsia="zh-CN" w:bidi="ar-SA"/>
    </w:rPr>
  </w:style>
  <w:style w:type="character" w:customStyle="1" w:styleId="CharChar121">
    <w:name w:val="Char Char121"/>
    <w:qFormat/>
    <w:rsid w:val="009964C3"/>
    <w:rPr>
      <w:rFonts w:eastAsia="宋体"/>
      <w:color w:val="000000"/>
      <w:kern w:val="2"/>
      <w:position w:val="4"/>
      <w:sz w:val="24"/>
      <w:szCs w:val="24"/>
      <w:lang w:val="en-US" w:eastAsia="zh-CN" w:bidi="ar-SA"/>
    </w:rPr>
  </w:style>
  <w:style w:type="character" w:customStyle="1" w:styleId="CharChar62">
    <w:name w:val="Char Char62"/>
    <w:rsid w:val="009964C3"/>
    <w:rPr>
      <w:rFonts w:eastAsia="宋体"/>
      <w:kern w:val="2"/>
      <w:sz w:val="18"/>
      <w:szCs w:val="18"/>
      <w:lang w:val="en-US" w:eastAsia="zh-CN" w:bidi="ar-SA"/>
    </w:rPr>
  </w:style>
  <w:style w:type="character" w:customStyle="1" w:styleId="CharCharCharChar">
    <w:name w:val="表格正文 Char Char Char Char"/>
    <w:semiHidden/>
    <w:rsid w:val="009964C3"/>
    <w:rPr>
      <w:rFonts w:ascii="宋体" w:eastAsia="宋体"/>
      <w:snapToGrid w:val="0"/>
      <w:spacing w:val="4"/>
      <w:w w:val="90"/>
      <w:kern w:val="2"/>
      <w:sz w:val="24"/>
      <w:szCs w:val="24"/>
      <w:lang w:val="en-US" w:eastAsia="zh-CN" w:bidi="ar-SA"/>
    </w:rPr>
  </w:style>
  <w:style w:type="character" w:customStyle="1" w:styleId="3Char">
    <w:name w:val="正文文本缩进 3 Char"/>
    <w:qFormat/>
    <w:rsid w:val="009964C3"/>
    <w:rPr>
      <w:rFonts w:eastAsia="楷体_GB2312"/>
      <w:kern w:val="28"/>
      <w:sz w:val="16"/>
      <w:szCs w:val="16"/>
      <w:lang w:val="en-US" w:eastAsia="zh-CN" w:bidi="ar-SA"/>
    </w:rPr>
  </w:style>
  <w:style w:type="character" w:customStyle="1" w:styleId="1CharCharCharCharCharCharCharChar1">
    <w:name w:val="标题 1 Char Char Char Char Char Char Char Char1"/>
    <w:qFormat/>
    <w:rsid w:val="009964C3"/>
    <w:rPr>
      <w:rFonts w:eastAsia="黑体"/>
      <w:b/>
      <w:kern w:val="44"/>
      <w:sz w:val="30"/>
      <w:lang w:val="en-US" w:eastAsia="zh-CN" w:bidi="ar-SA"/>
    </w:rPr>
  </w:style>
  <w:style w:type="character" w:customStyle="1" w:styleId="CharCharCharChar0">
    <w:name w:val="样式 正文文本 + (中文) 黑体 红色 Char Char Char Char"/>
    <w:link w:val="CharCharChar"/>
    <w:semiHidden/>
    <w:rsid w:val="009964C3"/>
    <w:rPr>
      <w:rFonts w:eastAsia="黑体"/>
      <w:snapToGrid w:val="0"/>
      <w:color w:val="FF0000"/>
      <w:kern w:val="2"/>
      <w:sz w:val="24"/>
      <w:szCs w:val="24"/>
    </w:rPr>
  </w:style>
  <w:style w:type="character" w:customStyle="1" w:styleId="keyword">
    <w:name w:val="keyword"/>
    <w:basedOn w:val="af5"/>
    <w:qFormat/>
    <w:rsid w:val="009964C3"/>
  </w:style>
  <w:style w:type="character" w:customStyle="1" w:styleId="2TimesNewRomanChar">
    <w:name w:val="样式 样式 首行缩进:  2 字符 + (符号) Times New Roman Char"/>
    <w:link w:val="2TimesNewRoman"/>
    <w:rsid w:val="009964C3"/>
    <w:rPr>
      <w:rFonts w:eastAsia="宋体" w:hAnsi="宋体"/>
      <w:sz w:val="24"/>
      <w:szCs w:val="24"/>
      <w:lang w:val="en-US" w:eastAsia="zh-CN" w:bidi="ar-SA"/>
    </w:rPr>
  </w:style>
  <w:style w:type="character" w:customStyle="1" w:styleId="1CharChar">
    <w:name w:val="1正文段落 Char Char"/>
    <w:link w:val="1Char0"/>
    <w:semiHidden/>
    <w:rsid w:val="009964C3"/>
    <w:rPr>
      <w:rFonts w:ascii="Arial" w:hAnsi="Arial"/>
      <w:snapToGrid w:val="0"/>
      <w:kern w:val="2"/>
      <w:sz w:val="24"/>
      <w:szCs w:val="24"/>
    </w:rPr>
  </w:style>
  <w:style w:type="character" w:customStyle="1" w:styleId="CharChar">
    <w:name w:val="报告书正文 Char Char"/>
    <w:rsid w:val="009964C3"/>
    <w:rPr>
      <w:rFonts w:eastAsia="宋体"/>
      <w:kern w:val="2"/>
      <w:sz w:val="24"/>
      <w:szCs w:val="24"/>
      <w:lang w:val="en-US" w:eastAsia="zh-CN" w:bidi="ar-SA"/>
    </w:rPr>
  </w:style>
  <w:style w:type="character" w:customStyle="1" w:styleId="CharChar48">
    <w:name w:val="Char Char48"/>
    <w:semiHidden/>
    <w:rsid w:val="009964C3"/>
    <w:rPr>
      <w:rFonts w:eastAsia="宋体"/>
      <w:kern w:val="2"/>
      <w:sz w:val="18"/>
      <w:szCs w:val="18"/>
      <w:lang w:val="en-US" w:eastAsia="zh-CN" w:bidi="ar-SA"/>
    </w:rPr>
  </w:style>
  <w:style w:type="character" w:customStyle="1" w:styleId="421CharChar">
    <w:name w:val="4号黑体左空2格行距1倍 Char Char"/>
    <w:semiHidden/>
    <w:rsid w:val="009964C3"/>
    <w:rPr>
      <w:rFonts w:ascii="Arial" w:eastAsia="仿宋_GB2312" w:hAnsi="Arial"/>
      <w:b/>
      <w:bCs/>
      <w:kern w:val="2"/>
      <w:sz w:val="24"/>
      <w:szCs w:val="24"/>
      <w:lang w:val="en-US" w:eastAsia="zh-CN" w:bidi="ar-SA"/>
    </w:rPr>
  </w:style>
  <w:style w:type="character" w:customStyle="1" w:styleId="Char2">
    <w:name w:val="江正文 Char"/>
    <w:link w:val="aff4"/>
    <w:semiHidden/>
    <w:rsid w:val="009964C3"/>
    <w:rPr>
      <w:sz w:val="24"/>
      <w:szCs w:val="28"/>
    </w:rPr>
  </w:style>
  <w:style w:type="character" w:customStyle="1" w:styleId="text1">
    <w:name w:val="text1"/>
    <w:semiHidden/>
    <w:locked/>
    <w:rsid w:val="009964C3"/>
    <w:rPr>
      <w:rFonts w:ascii="宋体" w:eastAsia="宋体" w:hAnsi="宋体" w:hint="eastAsia"/>
      <w:strike w:val="0"/>
      <w:dstrike w:val="0"/>
      <w:sz w:val="18"/>
      <w:szCs w:val="18"/>
      <w:u w:val="none"/>
    </w:rPr>
  </w:style>
  <w:style w:type="character" w:customStyle="1" w:styleId="3Char2">
    <w:name w:val="正文文本缩进 3 Char2"/>
    <w:semiHidden/>
    <w:rsid w:val="009964C3"/>
    <w:rPr>
      <w:kern w:val="2"/>
      <w:sz w:val="16"/>
      <w:szCs w:val="16"/>
    </w:rPr>
  </w:style>
  <w:style w:type="character" w:customStyle="1" w:styleId="CharChar1">
    <w:name w:val="编号 Char Char1"/>
    <w:semiHidden/>
    <w:rsid w:val="009964C3"/>
    <w:rPr>
      <w:rFonts w:ascii="Arial" w:eastAsia="宋体" w:hAnsi="Arial"/>
      <w:kern w:val="2"/>
      <w:sz w:val="21"/>
      <w:lang w:val="en-US" w:eastAsia="zh-CN" w:bidi="ar-SA"/>
    </w:rPr>
  </w:style>
  <w:style w:type="character" w:customStyle="1" w:styleId="4Arial">
    <w:name w:val="标题 4 + Arial"/>
    <w:rsid w:val="009964C3"/>
    <w:rPr>
      <w:rFonts w:ascii="Arial" w:eastAsia="宋体" w:hAnsi="Arial"/>
      <w:b/>
      <w:bCs/>
      <w:sz w:val="28"/>
      <w:szCs w:val="28"/>
    </w:rPr>
  </w:style>
  <w:style w:type="character" w:customStyle="1" w:styleId="2Char1Char">
    <w:name w:val="标题 2 Char1 Char"/>
    <w:rsid w:val="009964C3"/>
    <w:rPr>
      <w:rFonts w:ascii="Arial" w:eastAsia="黑体" w:hAnsi="Arial"/>
      <w:b/>
      <w:bCs/>
      <w:kern w:val="2"/>
      <w:sz w:val="32"/>
      <w:szCs w:val="32"/>
      <w:lang w:val="en-US" w:eastAsia="zh-CN" w:bidi="ar-SA"/>
    </w:rPr>
  </w:style>
  <w:style w:type="character" w:customStyle="1" w:styleId="Char3">
    <w:name w:val="表字居中 Char"/>
    <w:link w:val="aff5"/>
    <w:qFormat/>
    <w:rsid w:val="009964C3"/>
    <w:rPr>
      <w:rFonts w:eastAsia="宋体"/>
      <w:color w:val="000000"/>
      <w:sz w:val="18"/>
      <w:szCs w:val="18"/>
      <w:lang w:val="en-US" w:eastAsia="zh-CN" w:bidi="ar-SA"/>
    </w:rPr>
  </w:style>
  <w:style w:type="character" w:customStyle="1" w:styleId="Char4">
    <w:name w:val="表中文字 Char"/>
    <w:qFormat/>
    <w:rsid w:val="009964C3"/>
    <w:rPr>
      <w:rFonts w:ascii="Arial" w:eastAsia="楷体_GB2312" w:hAnsi="Arial"/>
      <w:kern w:val="2"/>
      <w:sz w:val="21"/>
      <w:szCs w:val="21"/>
      <w:shd w:val="clear" w:color="auto" w:fill="FFFFFF"/>
      <w:lang w:val="en-US" w:eastAsia="zh-CN" w:bidi="ar-SA"/>
    </w:rPr>
  </w:style>
  <w:style w:type="character" w:customStyle="1" w:styleId="CharCharCharCharCharCharCharCharChar">
    <w:name w:val="正文缩进 Char Char Char Char Char Char Char Char Char"/>
    <w:aliases w:val="正文缩进 Char Char Char Char Char Char Char Char1,正文缩进 Char Char Char Char Char Char Char Char2"/>
    <w:semiHidden/>
    <w:rsid w:val="009964C3"/>
    <w:rPr>
      <w:rFonts w:ascii="Arial" w:eastAsia="宋体" w:hAnsi="Arial"/>
      <w:kern w:val="2"/>
      <w:sz w:val="21"/>
      <w:szCs w:val="24"/>
      <w:lang w:val="en-US" w:eastAsia="zh-CN" w:bidi="ar-SA"/>
    </w:rPr>
  </w:style>
  <w:style w:type="character" w:customStyle="1" w:styleId="130">
    <w:name w:val="超链接13"/>
    <w:rsid w:val="009964C3"/>
    <w:rPr>
      <w:color w:val="999999"/>
      <w:u w:val="single"/>
    </w:rPr>
  </w:style>
  <w:style w:type="character" w:customStyle="1" w:styleId="CharCharChar0">
    <w:name w:val="正文规定 Char Char Char"/>
    <w:link w:val="CharChar0"/>
    <w:qFormat/>
    <w:rsid w:val="009964C3"/>
    <w:rPr>
      <w:rFonts w:ascii="宋体" w:eastAsia="宋体" w:hAnsi="宋体" w:cs="宋体"/>
      <w:b/>
      <w:kern w:val="2"/>
      <w:sz w:val="24"/>
      <w:szCs w:val="24"/>
      <w:lang w:val="en-US" w:eastAsia="zh-CN" w:bidi="ar-SA"/>
    </w:rPr>
  </w:style>
  <w:style w:type="character" w:customStyle="1" w:styleId="2Char0">
    <w:name w:val="正文文本缩进 2 Char"/>
    <w:aliases w:val="正文（桑） Char"/>
    <w:qFormat/>
    <w:rsid w:val="009964C3"/>
    <w:rPr>
      <w:rFonts w:ascii="宋体" w:eastAsia="宋体" w:hAnsi="宋体" w:cs="Times New Roman"/>
      <w:sz w:val="28"/>
      <w:szCs w:val="20"/>
    </w:rPr>
  </w:style>
  <w:style w:type="character" w:customStyle="1" w:styleId="Char5">
    <w:name w:val="注释标题 Char"/>
    <w:semiHidden/>
    <w:rsid w:val="009964C3"/>
    <w:rPr>
      <w:rFonts w:ascii="Times New Roman" w:eastAsia="宋体" w:hAnsi="Times New Roman" w:cs="Times New Roman"/>
      <w:szCs w:val="24"/>
    </w:rPr>
  </w:style>
  <w:style w:type="character" w:customStyle="1" w:styleId="InTableIIChar">
    <w:name w:val="In Table (II) Char"/>
    <w:qFormat/>
    <w:rsid w:val="009964C3"/>
    <w:rPr>
      <w:rFonts w:ascii="Tahoma" w:eastAsia="华文中宋" w:hAnsi="Tahoma"/>
      <w:bCs/>
      <w:kern w:val="2"/>
      <w:sz w:val="21"/>
      <w:szCs w:val="21"/>
      <w:lang w:val="en-US" w:eastAsia="zh-CN" w:bidi="ar-SA"/>
    </w:rPr>
  </w:style>
  <w:style w:type="character" w:customStyle="1" w:styleId="CharCharChar1">
    <w:name w:val="款 Char Char Char"/>
    <w:link w:val="CharChar2"/>
    <w:semiHidden/>
    <w:rsid w:val="009964C3"/>
    <w:rPr>
      <w:rFonts w:ascii="宋体" w:hAnsi="宋体"/>
      <w:bCs/>
      <w:sz w:val="28"/>
      <w:szCs w:val="28"/>
    </w:rPr>
  </w:style>
  <w:style w:type="character" w:customStyle="1" w:styleId="2Char2">
    <w:name w:val="正文文本 2 Char2"/>
    <w:semiHidden/>
    <w:rsid w:val="009964C3"/>
    <w:rPr>
      <w:kern w:val="2"/>
      <w:sz w:val="21"/>
      <w:szCs w:val="24"/>
    </w:rPr>
  </w:style>
  <w:style w:type="character" w:customStyle="1" w:styleId="Char10">
    <w:name w:val="无级项 Char1"/>
    <w:aliases w:val="项标题(1) Char1,标题 7表内5号 Char1,H7 Char,H71 Char,标题 7 表 Char1,无节条 Char1,标题 7表内5号1 Char1,标题 7表内5号2 Char1,标题 7表内5号11 Char1,标题 7表内5号3 Char1,标题 7表内5号12 Char1,标题 7表内5号4 Char1,标题 7表内5号13 Char1,标题 7表内5号5 Char1,标题 7表内5号14 Char1,标题 7表内5号6 Char1"/>
    <w:semiHidden/>
    <w:rsid w:val="009964C3"/>
    <w:rPr>
      <w:rFonts w:eastAsia="仿宋_GB2312"/>
      <w:bCs/>
      <w:kern w:val="2"/>
      <w:sz w:val="28"/>
      <w:szCs w:val="24"/>
      <w:lang w:val="en-US" w:eastAsia="zh-CN" w:bidi="ar-SA"/>
    </w:rPr>
  </w:style>
  <w:style w:type="character" w:customStyle="1" w:styleId="ca-0">
    <w:name w:val="ca-0"/>
    <w:semiHidden/>
    <w:rsid w:val="009964C3"/>
    <w:rPr>
      <w:rFonts w:ascii="Arial" w:eastAsia="宋体" w:hAnsi="Arial"/>
      <w:kern w:val="2"/>
      <w:sz w:val="21"/>
      <w:lang w:val="en-US" w:eastAsia="zh-CN" w:bidi="ar-SA"/>
    </w:rPr>
  </w:style>
  <w:style w:type="character" w:customStyle="1" w:styleId="CharChar52">
    <w:name w:val="Char Char52"/>
    <w:semiHidden/>
    <w:rsid w:val="009964C3"/>
    <w:rPr>
      <w:rFonts w:ascii="宋体" w:eastAsia="宋体" w:hAnsi="Arial"/>
      <w:bCs/>
      <w:sz w:val="28"/>
      <w:lang w:val="en-US" w:eastAsia="zh-CN" w:bidi="ar-SA"/>
    </w:rPr>
  </w:style>
  <w:style w:type="character" w:customStyle="1" w:styleId="aff6">
    <w:name w:val="样式 (中文) 新宋体"/>
    <w:semiHidden/>
    <w:rsid w:val="009964C3"/>
    <w:rPr>
      <w:rFonts w:ascii="Arial" w:eastAsia="宋体" w:hAnsi="Arial"/>
      <w:spacing w:val="0"/>
      <w:w w:val="100"/>
      <w:kern w:val="2"/>
      <w:position w:val="0"/>
      <w:sz w:val="28"/>
      <w:szCs w:val="21"/>
      <w:lang w:val="en-US" w:eastAsia="zh-CN" w:bidi="ar-SA"/>
    </w:rPr>
  </w:style>
  <w:style w:type="character" w:customStyle="1" w:styleId="Char6">
    <w:name w:val="正文缩进 Char"/>
    <w:link w:val="af4"/>
    <w:qFormat/>
    <w:rsid w:val="009964C3"/>
    <w:rPr>
      <w:rFonts w:eastAsia="宋体"/>
      <w:kern w:val="2"/>
      <w:sz w:val="21"/>
      <w:szCs w:val="21"/>
      <w:lang w:val="en-US" w:eastAsia="zh-CN" w:bidi="ar-SA"/>
    </w:rPr>
  </w:style>
  <w:style w:type="character" w:customStyle="1" w:styleId="Char7">
    <w:name w:val="正文首行缩进 Char"/>
    <w:link w:val="aff7"/>
    <w:qFormat/>
    <w:rsid w:val="009964C3"/>
    <w:rPr>
      <w:rFonts w:eastAsia="宋体"/>
      <w:kern w:val="2"/>
      <w:sz w:val="28"/>
      <w:szCs w:val="28"/>
      <w:lang w:val="en-US" w:eastAsia="zh-CN" w:bidi="ar-SA"/>
    </w:rPr>
  </w:style>
  <w:style w:type="character" w:customStyle="1" w:styleId="510CharChar">
    <w:name w:val="表5.10 Char Char"/>
    <w:link w:val="510"/>
    <w:qFormat/>
    <w:rsid w:val="009964C3"/>
    <w:rPr>
      <w:rFonts w:ascii="黑体" w:eastAsia="黑体" w:cs="宋体"/>
      <w:b/>
      <w:bCs/>
      <w:color w:val="000000"/>
      <w:spacing w:val="6"/>
      <w:sz w:val="24"/>
      <w:szCs w:val="24"/>
      <w:lang w:val="en-US" w:eastAsia="zh-CN" w:bidi="ar-SA"/>
    </w:rPr>
  </w:style>
  <w:style w:type="character" w:customStyle="1" w:styleId="question-title2">
    <w:name w:val="question-title2"/>
    <w:rsid w:val="009964C3"/>
    <w:rPr>
      <w:rFonts w:ascii="Arial" w:eastAsia="宋体" w:hAnsi="Arial"/>
      <w:kern w:val="2"/>
      <w:sz w:val="21"/>
      <w:lang w:val="en-US" w:eastAsia="zh-CN" w:bidi="ar-SA"/>
    </w:rPr>
  </w:style>
  <w:style w:type="character" w:customStyle="1" w:styleId="content2">
    <w:name w:val="content2"/>
    <w:rsid w:val="009964C3"/>
    <w:rPr>
      <w:rFonts w:ascii="Arial" w:eastAsia="宋体" w:hAnsi="Arial"/>
      <w:kern w:val="2"/>
      <w:sz w:val="21"/>
      <w:lang w:val="en-US" w:eastAsia="zh-CN" w:bidi="ar-SA"/>
    </w:rPr>
  </w:style>
  <w:style w:type="character" w:customStyle="1" w:styleId="CR-Char">
    <w:name w:val="CR-图表正文 Char"/>
    <w:link w:val="CR-"/>
    <w:semiHidden/>
    <w:rsid w:val="009964C3"/>
    <w:rPr>
      <w:rFonts w:ascii="Arial" w:eastAsia="黑体" w:hAnsi="Arial"/>
      <w:kern w:val="20"/>
      <w:sz w:val="21"/>
      <w:szCs w:val="21"/>
    </w:rPr>
  </w:style>
  <w:style w:type="character" w:customStyle="1" w:styleId="EmailStyle2391">
    <w:name w:val="EmailStyle2391"/>
    <w:semiHidden/>
    <w:rsid w:val="009964C3"/>
    <w:rPr>
      <w:rFonts w:ascii="Arial" w:eastAsia="宋体" w:hAnsi="Arial" w:cs="Arial"/>
      <w:color w:val="auto"/>
      <w:kern w:val="2"/>
      <w:sz w:val="20"/>
      <w:szCs w:val="21"/>
      <w:lang w:val="en-US" w:eastAsia="zh-CN" w:bidi="ar-SA"/>
    </w:rPr>
  </w:style>
  <w:style w:type="character" w:customStyle="1" w:styleId="style41">
    <w:name w:val="style41"/>
    <w:qFormat/>
    <w:rsid w:val="009964C3"/>
    <w:rPr>
      <w:sz w:val="21"/>
      <w:szCs w:val="21"/>
    </w:rPr>
  </w:style>
  <w:style w:type="character" w:customStyle="1" w:styleId="Char8">
    <w:name w:val="节标题 Char"/>
    <w:link w:val="aff8"/>
    <w:semiHidden/>
    <w:rsid w:val="009964C3"/>
    <w:rPr>
      <w:rFonts w:ascii="Arial" w:eastAsia="仿宋_GB2312" w:hAnsi="Arial"/>
      <w:color w:val="000000"/>
      <w:kern w:val="20"/>
      <w:sz w:val="28"/>
    </w:rPr>
  </w:style>
  <w:style w:type="character" w:customStyle="1" w:styleId="5Char0">
    <w:name w:val="样式 表内小5 + 黑体 加粗 倾斜 下划线 Char"/>
    <w:link w:val="52"/>
    <w:qFormat/>
    <w:rsid w:val="009964C3"/>
    <w:rPr>
      <w:rFonts w:ascii="黑体" w:eastAsia="黑体" w:hAnsi="黑体"/>
      <w:b/>
      <w:bCs/>
      <w:i/>
      <w:iCs/>
      <w:kern w:val="2"/>
      <w:sz w:val="18"/>
      <w:szCs w:val="24"/>
      <w:u w:val="single"/>
      <w:lang w:val="en-US" w:eastAsia="zh-CN" w:bidi="ar-SA"/>
    </w:rPr>
  </w:style>
  <w:style w:type="character" w:customStyle="1" w:styleId="pix92">
    <w:name w:val="pix92"/>
    <w:semiHidden/>
    <w:rsid w:val="009964C3"/>
    <w:rPr>
      <w:rFonts w:ascii="Arial" w:eastAsia="宋体" w:hAnsi="Arial"/>
      <w:strike w:val="0"/>
      <w:dstrike w:val="0"/>
      <w:color w:val="000033"/>
      <w:kern w:val="2"/>
      <w:sz w:val="18"/>
      <w:szCs w:val="18"/>
      <w:u w:val="none"/>
      <w:lang w:val="en-US" w:eastAsia="zh-CN" w:bidi="ar-SA"/>
    </w:rPr>
  </w:style>
  <w:style w:type="character" w:customStyle="1" w:styleId="CharChar11">
    <w:name w:val="Char Char11"/>
    <w:semiHidden/>
    <w:rsid w:val="009964C3"/>
    <w:rPr>
      <w:rFonts w:ascii="宋体" w:eastAsia="宋体" w:hAnsi="宋体"/>
      <w:kern w:val="2"/>
      <w:sz w:val="21"/>
      <w:szCs w:val="21"/>
      <w:u w:val="single"/>
      <w:lang w:val="en-US" w:eastAsia="zh-CN" w:bidi="ar-SA"/>
    </w:rPr>
  </w:style>
  <w:style w:type="character" w:customStyle="1" w:styleId="CharChar66">
    <w:name w:val="Char Char66"/>
    <w:rsid w:val="009964C3"/>
    <w:rPr>
      <w:rFonts w:ascii="Arial" w:eastAsia="黑体" w:hAnsi="Arial"/>
      <w:snapToGrid w:val="0"/>
      <w:kern w:val="24"/>
      <w:sz w:val="24"/>
      <w:lang w:val="en-US" w:eastAsia="zh-CN" w:bidi="ar-SA"/>
    </w:rPr>
  </w:style>
  <w:style w:type="character" w:customStyle="1" w:styleId="CharChar20">
    <w:name w:val="Char Char2"/>
    <w:semiHidden/>
    <w:rsid w:val="009964C3"/>
    <w:rPr>
      <w:rFonts w:ascii="宋体" w:eastAsia="宋体" w:hAnsi="宋体" w:cs="宋体"/>
      <w:sz w:val="21"/>
      <w:szCs w:val="21"/>
      <w:lang w:val="en-US" w:eastAsia="zh-CN" w:bidi="ar-SA"/>
    </w:rPr>
  </w:style>
  <w:style w:type="character" w:customStyle="1" w:styleId="cucd-0Char1">
    <w:name w:val="cucd-0 Char1"/>
    <w:semiHidden/>
    <w:rsid w:val="009964C3"/>
    <w:rPr>
      <w:rFonts w:ascii="Cambria" w:hAnsi="Cambria"/>
      <w:kern w:val="2"/>
      <w:sz w:val="24"/>
      <w:szCs w:val="24"/>
      <w:lang w:val="en-US" w:eastAsia="zh-CN" w:bidi="ar-SA"/>
    </w:rPr>
  </w:style>
  <w:style w:type="character" w:customStyle="1" w:styleId="1Char1">
    <w:name w:val="1文章 Char"/>
    <w:link w:val="14"/>
    <w:rsid w:val="009964C3"/>
    <w:rPr>
      <w:rFonts w:eastAsia="仿宋_GB2312"/>
      <w:kern w:val="2"/>
      <w:sz w:val="28"/>
    </w:rPr>
  </w:style>
  <w:style w:type="character" w:customStyle="1" w:styleId="zxlCharChar">
    <w:name w:val="页眉zxl Char Char"/>
    <w:semiHidden/>
    <w:qFormat/>
    <w:rsid w:val="009964C3"/>
    <w:rPr>
      <w:rFonts w:eastAsia="宋体"/>
      <w:kern w:val="2"/>
      <w:sz w:val="18"/>
      <w:szCs w:val="18"/>
      <w:lang w:val="en-US" w:eastAsia="zh-CN" w:bidi="ar-SA"/>
    </w:rPr>
  </w:style>
  <w:style w:type="character" w:customStyle="1" w:styleId="product04">
    <w:name w:val="product_04"/>
    <w:rsid w:val="009964C3"/>
    <w:rPr>
      <w:rFonts w:ascii="Arial" w:eastAsia="宋体" w:hAnsi="Arial"/>
      <w:kern w:val="2"/>
      <w:sz w:val="21"/>
      <w:lang w:val="en-US" w:eastAsia="zh-CN" w:bidi="ar-SA"/>
    </w:rPr>
  </w:style>
  <w:style w:type="character" w:customStyle="1" w:styleId="CharChar42">
    <w:name w:val="Char Char42"/>
    <w:semiHidden/>
    <w:rsid w:val="009964C3"/>
    <w:rPr>
      <w:rFonts w:eastAsia="宋体"/>
      <w:kern w:val="2"/>
      <w:sz w:val="21"/>
      <w:szCs w:val="24"/>
      <w:lang w:val="en-US" w:eastAsia="zh-CN" w:bidi="ar-SA"/>
    </w:rPr>
  </w:style>
  <w:style w:type="character" w:customStyle="1" w:styleId="CharChar40">
    <w:name w:val="Char Char40"/>
    <w:semiHidden/>
    <w:rsid w:val="009964C3"/>
    <w:rPr>
      <w:rFonts w:ascii="Courier New" w:eastAsia="仿宋_GB2312" w:hAnsi="Courier New" w:cs="Courier New"/>
      <w:kern w:val="2"/>
      <w:lang w:val="en-US" w:eastAsia="zh-CN" w:bidi="ar-SA"/>
    </w:rPr>
  </w:style>
  <w:style w:type="character" w:customStyle="1" w:styleId="Char9">
    <w:name w:val="表格正文 Char"/>
    <w:link w:val="aff9"/>
    <w:rsid w:val="009964C3"/>
    <w:rPr>
      <w:sz w:val="21"/>
      <w:lang w:val="en-US" w:eastAsia="zh-CN" w:bidi="ar-SA"/>
    </w:rPr>
  </w:style>
  <w:style w:type="character" w:customStyle="1" w:styleId="TimesNewRomanChar">
    <w:name w:val="样式 报告书 + Times New Roman Char"/>
    <w:semiHidden/>
    <w:rsid w:val="009964C3"/>
    <w:rPr>
      <w:rFonts w:ascii="宋体" w:eastAsia="宋体"/>
      <w:color w:val="000000"/>
      <w:kern w:val="24"/>
      <w:sz w:val="24"/>
      <w:szCs w:val="24"/>
      <w:lang w:val="en-US" w:eastAsia="zh-CN" w:bidi="ar-SA"/>
    </w:rPr>
  </w:style>
  <w:style w:type="character" w:customStyle="1" w:styleId="CharChar54">
    <w:name w:val="Char Char54"/>
    <w:semiHidden/>
    <w:rsid w:val="009964C3"/>
    <w:rPr>
      <w:rFonts w:ascii="楷体" w:eastAsia="楷体" w:hAnsi="楷体"/>
      <w:kern w:val="2"/>
      <w:sz w:val="24"/>
      <w:szCs w:val="24"/>
      <w:lang w:val="en-US" w:eastAsia="zh-CN" w:bidi="ar-SA"/>
    </w:rPr>
  </w:style>
  <w:style w:type="character" w:customStyle="1" w:styleId="2Char1">
    <w:name w:val="正文(首行缩进2字) Char"/>
    <w:link w:val="23"/>
    <w:qFormat/>
    <w:rsid w:val="009964C3"/>
    <w:rPr>
      <w:rFonts w:eastAsia="宋体"/>
      <w:color w:val="000000"/>
      <w:sz w:val="24"/>
      <w:szCs w:val="24"/>
      <w:lang w:val="en-US" w:eastAsia="zh-CN" w:bidi="ar-SA"/>
    </w:rPr>
  </w:style>
  <w:style w:type="character" w:customStyle="1" w:styleId="40505Char">
    <w:name w:val="样式 标题 4 + 段前: 0.5 行 段后: 0.5 行 Char"/>
    <w:rsid w:val="009964C3"/>
    <w:rPr>
      <w:rFonts w:ascii="Arial" w:eastAsia="宋体" w:hAnsi="Arial" w:cs="宋体"/>
      <w:b/>
      <w:bCs/>
      <w:color w:val="000000"/>
      <w:kern w:val="20"/>
      <w:sz w:val="24"/>
      <w:szCs w:val="28"/>
      <w:lang w:val="en-US" w:eastAsia="zh-CN" w:bidi="ar-SA"/>
    </w:rPr>
  </w:style>
  <w:style w:type="character" w:customStyle="1" w:styleId="dir">
    <w:name w:val="dir"/>
    <w:semiHidden/>
    <w:rsid w:val="009964C3"/>
    <w:rPr>
      <w:rFonts w:ascii="Arial" w:eastAsia="宋体" w:hAnsi="Arial"/>
      <w:kern w:val="2"/>
      <w:sz w:val="21"/>
      <w:szCs w:val="21"/>
      <w:lang w:val="en-US" w:eastAsia="zh-CN" w:bidi="ar-SA"/>
    </w:rPr>
  </w:style>
  <w:style w:type="character" w:customStyle="1" w:styleId="-Char1">
    <w:name w:val="-*+ Char1"/>
    <w:aliases w:val="章标题 1 Char1,1.标题 1 Char,h1 Char1,1st level Char1,Section Head Char1,l1 Char1,b1 Char1,H1 Char1,Header1 Char1,Heading 0 Char,Fab-1 Char,PIM 1 Char,标书1 Char,文章标题 Char,一、 Char,Heading 11 Char,H11 Char,H12 Char,第A章 Char,第*部分 Char,level 1 Char"/>
    <w:rsid w:val="009964C3"/>
    <w:rPr>
      <w:rFonts w:eastAsia="黑体"/>
      <w:kern w:val="2"/>
      <w:sz w:val="32"/>
      <w:szCs w:val="32"/>
    </w:rPr>
  </w:style>
  <w:style w:type="character" w:customStyle="1" w:styleId="1051Char">
    <w:name w:val="样式 样式1 + 段前: 0.5 行1 Char"/>
    <w:semiHidden/>
    <w:qFormat/>
    <w:rsid w:val="009964C3"/>
    <w:rPr>
      <w:rFonts w:ascii="宋体" w:eastAsia="宋体" w:hAnsi="宋体" w:cs="宋体"/>
      <w:snapToGrid w:val="0"/>
      <w:sz w:val="24"/>
      <w:szCs w:val="20"/>
    </w:rPr>
  </w:style>
  <w:style w:type="character" w:customStyle="1" w:styleId="4GCharChar">
    <w:name w:val="标题 4(G) Char Char"/>
    <w:semiHidden/>
    <w:rsid w:val="009964C3"/>
    <w:rPr>
      <w:rFonts w:ascii="楷体" w:eastAsia="楷体" w:hAnsi="楷体"/>
      <w:kern w:val="2"/>
      <w:sz w:val="24"/>
      <w:szCs w:val="24"/>
      <w:lang w:val="en-US" w:eastAsia="zh-CN" w:bidi="ar-SA"/>
    </w:rPr>
  </w:style>
  <w:style w:type="character" w:customStyle="1" w:styleId="CharCharChar2">
    <w:name w:val="Char Char Char"/>
    <w:semiHidden/>
    <w:rsid w:val="009964C3"/>
    <w:rPr>
      <w:rFonts w:ascii="Arial" w:eastAsia="楷体_GB2312" w:hAnsi="Arial"/>
      <w:kern w:val="2"/>
      <w:sz w:val="28"/>
      <w:szCs w:val="21"/>
      <w:lang w:val="en-US" w:eastAsia="zh-CN" w:bidi="ar-SA"/>
    </w:rPr>
  </w:style>
  <w:style w:type="character" w:customStyle="1" w:styleId="class1">
    <w:name w:val="class1"/>
    <w:qFormat/>
    <w:rsid w:val="009964C3"/>
    <w:rPr>
      <w:color w:val="000000"/>
      <w:spacing w:val="409"/>
      <w:sz w:val="18"/>
      <w:szCs w:val="18"/>
      <w:u w:val="none"/>
    </w:rPr>
  </w:style>
  <w:style w:type="character" w:customStyle="1" w:styleId="CR-Char0">
    <w:name w:val="CR-表正文 Char"/>
    <w:link w:val="CR-0"/>
    <w:semiHidden/>
    <w:rsid w:val="009964C3"/>
    <w:rPr>
      <w:rFonts w:ascii="Arial" w:eastAsia="黑体" w:hAnsi="Arial"/>
      <w:kern w:val="20"/>
      <w:sz w:val="21"/>
      <w:szCs w:val="21"/>
    </w:rPr>
  </w:style>
  <w:style w:type="character" w:customStyle="1" w:styleId="1CharChar0">
    <w:name w:val="标题 1 （桑） Char Char"/>
    <w:link w:val="15"/>
    <w:semiHidden/>
    <w:rsid w:val="009964C3"/>
    <w:rPr>
      <w:rFonts w:ascii="Arial" w:eastAsia="黑体" w:hAnsi="Arial" w:cs="宋体"/>
      <w:b/>
      <w:color w:val="000000"/>
      <w:spacing w:val="-10"/>
      <w:kern w:val="20"/>
      <w:sz w:val="28"/>
      <w:szCs w:val="28"/>
    </w:rPr>
  </w:style>
  <w:style w:type="character" w:customStyle="1" w:styleId="400Char">
    <w:name w:val="样式 标题 4 + 左侧:  0 厘米 首行缩进:  0 厘米 Char"/>
    <w:link w:val="400"/>
    <w:rsid w:val="009964C3"/>
    <w:rPr>
      <w:rFonts w:cs="宋体"/>
      <w:kern w:val="2"/>
      <w:sz w:val="24"/>
    </w:rPr>
  </w:style>
  <w:style w:type="character" w:customStyle="1" w:styleId="1Char10">
    <w:name w:val="目标题 1) Char1"/>
    <w:aliases w:val="H8 Char,注 Char1,无节款 Char1,注1 Char1,无节款1 Char1,目标题 1)1 Char1,注2 Char1,无节款2 Char1,目标题 1)2 Char1,注3 Char1,无节款3 Char1,目标题 1)3 Char1,注4 Char1,无节款4 Char1,目标题 1)4 Char1,注5 Char1,无节款5 Char1,目标题 1)5 Char1,注6 Char1,无节款6 Char1,目标题 1)6 Char1,注7 Char"/>
    <w:semiHidden/>
    <w:rsid w:val="009964C3"/>
    <w:rPr>
      <w:rFonts w:eastAsia="仿宋_GB2312"/>
      <w:kern w:val="2"/>
      <w:sz w:val="28"/>
      <w:szCs w:val="24"/>
      <w:lang w:val="en-US" w:eastAsia="zh-CN" w:bidi="ar-SA"/>
    </w:rPr>
  </w:style>
  <w:style w:type="character" w:customStyle="1" w:styleId="1Char2">
    <w:name w:val="目标题 1) Char2"/>
    <w:aliases w:val="H8 Char1,注 Char2,无节款 Char2,注1 Char2,无节款1 Char2,目标题 1)1 Char2,注2 Char2,无节款2 Char2,目标题 1)2 Char2,注3 Char2,无节款3 Char2,目标题 1)3 Char2,注4 Char2,无节款4 Char2,目标题 1)4 Char2,注5 Char2,无节款5 Char2,目标题 1)5 Char2,注6 Char2,无节款6 Char2,目标题 1)6 Char2,注7 Char1"/>
    <w:rsid w:val="009964C3"/>
    <w:rPr>
      <w:rFonts w:eastAsia="仿宋_GB2312"/>
      <w:kern w:val="2"/>
      <w:sz w:val="28"/>
      <w:szCs w:val="24"/>
      <w:lang w:val="en-US" w:eastAsia="zh-CN" w:bidi="ar-SA"/>
    </w:rPr>
  </w:style>
  <w:style w:type="character" w:customStyle="1" w:styleId="4Char0">
    <w:name w:val="4表内容 Char"/>
    <w:aliases w:val="7表内容 Char Char"/>
    <w:rsid w:val="009964C3"/>
    <w:rPr>
      <w:rFonts w:eastAsia="仿宋_GB2312" w:cs="Arial"/>
      <w:b/>
      <w:kern w:val="2"/>
      <w:sz w:val="24"/>
      <w:szCs w:val="21"/>
      <w:lang w:val="en-US" w:eastAsia="zh-CN" w:bidi="ar-SA"/>
    </w:rPr>
  </w:style>
  <w:style w:type="character" w:customStyle="1" w:styleId="Char11">
    <w:name w:val="正文缩进 Char11"/>
    <w:qFormat/>
    <w:rsid w:val="009964C3"/>
    <w:rPr>
      <w:rFonts w:ascii="宋体" w:eastAsia="宋体" w:hAnsi="宋体"/>
      <w:b/>
      <w:color w:val="0000FF"/>
      <w:sz w:val="24"/>
      <w:szCs w:val="24"/>
      <w:lang w:val="en-US" w:eastAsia="zh-CN" w:bidi="ar-SA"/>
    </w:rPr>
  </w:style>
  <w:style w:type="character" w:customStyle="1" w:styleId="Chara">
    <w:name w:val="燕山正文 Char"/>
    <w:qFormat/>
    <w:rsid w:val="009964C3"/>
    <w:rPr>
      <w:rFonts w:ascii="宋体" w:eastAsia="宋体" w:hAnsi="宋体"/>
      <w:color w:val="000000"/>
      <w:kern w:val="2"/>
      <w:sz w:val="24"/>
      <w:szCs w:val="24"/>
      <w:lang w:val="en-US" w:eastAsia="zh-CN" w:bidi="ar-SA"/>
    </w:rPr>
  </w:style>
  <w:style w:type="character" w:customStyle="1" w:styleId="2CharChar">
    <w:name w:val="标题（2） Char Char"/>
    <w:semiHidden/>
    <w:rsid w:val="009964C3"/>
    <w:rPr>
      <w:rFonts w:eastAsia="宋体"/>
      <w:b/>
      <w:kern w:val="28"/>
      <w:sz w:val="28"/>
      <w:lang w:val="en-US" w:eastAsia="zh-CN" w:bidi="ar-SA"/>
    </w:rPr>
  </w:style>
  <w:style w:type="character" w:customStyle="1" w:styleId="Charb">
    <w:name w:val="图题注 Char"/>
    <w:link w:val="affa"/>
    <w:qFormat/>
    <w:rsid w:val="009964C3"/>
    <w:rPr>
      <w:rFonts w:ascii="黑体" w:eastAsia="黑体" w:hAnsi="Arial" w:cs="宋体"/>
      <w:b/>
      <w:bCs/>
      <w:kern w:val="2"/>
      <w:sz w:val="24"/>
      <w:szCs w:val="24"/>
      <w:lang w:val="en-US" w:eastAsia="zh-CN" w:bidi="ar-SA"/>
    </w:rPr>
  </w:style>
  <w:style w:type="character" w:customStyle="1" w:styleId="13Char">
    <w:name w:val="正文小四首缩1.3行距 Char"/>
    <w:link w:val="131"/>
    <w:semiHidden/>
    <w:rsid w:val="009964C3"/>
    <w:rPr>
      <w:kern w:val="2"/>
      <w:sz w:val="24"/>
      <w:szCs w:val="24"/>
    </w:rPr>
  </w:style>
  <w:style w:type="character" w:customStyle="1" w:styleId="CharChar3">
    <w:name w:val="高表标 Char Char"/>
    <w:link w:val="Charc"/>
    <w:qFormat/>
    <w:rsid w:val="009964C3"/>
    <w:rPr>
      <w:rFonts w:ascii="Arial" w:eastAsia="黑体" w:hAnsi="Arial"/>
      <w:kern w:val="2"/>
      <w:sz w:val="24"/>
      <w:lang w:val="en-US" w:eastAsia="zh-CN" w:bidi="ar-SA"/>
    </w:rPr>
  </w:style>
  <w:style w:type="character" w:customStyle="1" w:styleId="56Char">
    <w:name w:val="表5.6 Char"/>
    <w:link w:val="56"/>
    <w:qFormat/>
    <w:rsid w:val="009964C3"/>
    <w:rPr>
      <w:rFonts w:ascii="黑体" w:eastAsia="黑体"/>
      <w:b/>
      <w:bCs/>
      <w:color w:val="FF0000"/>
      <w:sz w:val="24"/>
      <w:szCs w:val="24"/>
    </w:rPr>
  </w:style>
  <w:style w:type="character" w:customStyle="1" w:styleId="6TimesNewRomanChar">
    <w:name w:val="样式 标题 6 + Times New Roman 四号 Char"/>
    <w:link w:val="6TimesNewRoman"/>
    <w:semiHidden/>
    <w:rsid w:val="009964C3"/>
    <w:rPr>
      <w:rFonts w:ascii="Arial" w:eastAsia="黑体" w:hAnsi="Arial"/>
      <w:b/>
      <w:bCs/>
      <w:snapToGrid w:val="0"/>
      <w:kern w:val="24"/>
      <w:sz w:val="28"/>
      <w:szCs w:val="24"/>
    </w:rPr>
  </w:style>
  <w:style w:type="character" w:customStyle="1" w:styleId="15Char">
    <w:name w:val="标准文本 居中 行距1.5倍 Char"/>
    <w:link w:val="150"/>
    <w:qFormat/>
    <w:rsid w:val="009964C3"/>
    <w:rPr>
      <w:rFonts w:eastAsia="宋体" w:cs="宋体"/>
      <w:kern w:val="2"/>
      <w:sz w:val="24"/>
      <w:szCs w:val="24"/>
      <w:lang w:val="en-US" w:eastAsia="zh-CN" w:bidi="ar-SA"/>
    </w:rPr>
  </w:style>
  <w:style w:type="character" w:customStyle="1" w:styleId="CharChar28">
    <w:name w:val="Char Char28"/>
    <w:semiHidden/>
    <w:rsid w:val="009964C3"/>
    <w:rPr>
      <w:rFonts w:ascii="Arial" w:eastAsia="仿宋_GB2312" w:hAnsi="Arial"/>
      <w:kern w:val="2"/>
      <w:sz w:val="18"/>
      <w:szCs w:val="18"/>
      <w:lang w:val="en-US" w:eastAsia="zh-CN" w:bidi="ar-SA"/>
    </w:rPr>
  </w:style>
  <w:style w:type="character" w:customStyle="1" w:styleId="1CharChar1">
    <w:name w:val="章标题 1 Char Char"/>
    <w:qFormat/>
    <w:rsid w:val="009964C3"/>
    <w:rPr>
      <w:rFonts w:eastAsia="宋体"/>
      <w:b/>
      <w:snapToGrid w:val="0"/>
      <w:kern w:val="32"/>
      <w:sz w:val="30"/>
      <w:szCs w:val="30"/>
      <w:lang w:val="en-US" w:eastAsia="zh-CN" w:bidi="ar-SA"/>
    </w:rPr>
  </w:style>
  <w:style w:type="character" w:customStyle="1" w:styleId="CharChar45">
    <w:name w:val="Char Char45"/>
    <w:semiHidden/>
    <w:rsid w:val="009964C3"/>
    <w:rPr>
      <w:rFonts w:eastAsia="仿宋_GB2312"/>
      <w:color w:val="080808"/>
      <w:kern w:val="2"/>
      <w:sz w:val="24"/>
      <w:szCs w:val="24"/>
      <w:lang w:val="en-US" w:eastAsia="zh-CN" w:bidi="ar-SA"/>
    </w:rPr>
  </w:style>
  <w:style w:type="character" w:customStyle="1" w:styleId="CharChar4">
    <w:name w:val="鑫裕图头 Char Char"/>
    <w:link w:val="affb"/>
    <w:rsid w:val="009964C3"/>
    <w:rPr>
      <w:rFonts w:eastAsia="黑体"/>
      <w:kern w:val="2"/>
      <w:sz w:val="24"/>
      <w:szCs w:val="24"/>
    </w:rPr>
  </w:style>
  <w:style w:type="character" w:customStyle="1" w:styleId="Chard">
    <w:name w:val="平－项目 Char"/>
    <w:link w:val="affc"/>
    <w:qFormat/>
    <w:rsid w:val="009964C3"/>
    <w:rPr>
      <w:rFonts w:ascii="华文楷体" w:eastAsia="华文楷体" w:hAnsi="华文楷体"/>
      <w:kern w:val="2"/>
      <w:sz w:val="28"/>
      <w:szCs w:val="28"/>
      <w:lang w:val="en-US" w:eastAsia="zh-CN" w:bidi="ar-SA"/>
    </w:rPr>
  </w:style>
  <w:style w:type="character" w:customStyle="1" w:styleId="Chare">
    <w:name w:val="日期 Char"/>
    <w:qFormat/>
    <w:rsid w:val="009964C3"/>
    <w:rPr>
      <w:rFonts w:ascii="宋体" w:eastAsia="宋体" w:hAnsi="宋体" w:cs="Times New Roman"/>
      <w:sz w:val="28"/>
      <w:szCs w:val="20"/>
    </w:rPr>
  </w:style>
  <w:style w:type="character" w:customStyle="1" w:styleId="df">
    <w:name w:val="df"/>
    <w:basedOn w:val="af5"/>
    <w:qFormat/>
    <w:rsid w:val="009964C3"/>
  </w:style>
  <w:style w:type="character" w:customStyle="1" w:styleId="Char21">
    <w:name w:val="燕山正文 Char21"/>
    <w:qFormat/>
    <w:rsid w:val="009964C3"/>
    <w:rPr>
      <w:rFonts w:ascii="宋体" w:eastAsia="宋体" w:hAnsi="宋体"/>
      <w:bCs/>
      <w:color w:val="000000"/>
      <w:kern w:val="2"/>
      <w:sz w:val="24"/>
      <w:szCs w:val="24"/>
      <w:lang w:val="en-US" w:eastAsia="zh-CN" w:bidi="ar-SA"/>
    </w:rPr>
  </w:style>
  <w:style w:type="character" w:customStyle="1" w:styleId="CharChar5">
    <w:name w:val="列表序列 Char Char"/>
    <w:link w:val="a3"/>
    <w:rsid w:val="009964C3"/>
    <w:rPr>
      <w:kern w:val="2"/>
      <w:sz w:val="24"/>
      <w:szCs w:val="24"/>
    </w:rPr>
  </w:style>
  <w:style w:type="character" w:customStyle="1" w:styleId="Charf">
    <w:name w:val="批注文字 Char"/>
    <w:qFormat/>
    <w:rsid w:val="009964C3"/>
    <w:rPr>
      <w:rFonts w:ascii="宋体" w:eastAsia="宋体" w:hAnsi="宋体" w:cs="Times New Roman"/>
      <w:sz w:val="28"/>
      <w:szCs w:val="24"/>
    </w:rPr>
  </w:style>
  <w:style w:type="character" w:customStyle="1" w:styleId="Charf0">
    <w:name w:val="样式 表题 Char + 五号 加粗 黑色"/>
    <w:semiHidden/>
    <w:rsid w:val="009964C3"/>
    <w:rPr>
      <w:rFonts w:ascii="仿宋_GB2312" w:eastAsia="仿宋_GB2312"/>
      <w:bCs/>
      <w:color w:val="000000"/>
      <w:kern w:val="2"/>
      <w:sz w:val="24"/>
      <w:szCs w:val="24"/>
    </w:rPr>
  </w:style>
  <w:style w:type="character" w:customStyle="1" w:styleId="CharChar60">
    <w:name w:val="Char Char60"/>
    <w:rsid w:val="009964C3"/>
    <w:rPr>
      <w:rFonts w:eastAsia="宋体"/>
      <w:kern w:val="2"/>
      <w:sz w:val="24"/>
      <w:szCs w:val="24"/>
      <w:lang w:val="en-US" w:eastAsia="zh-CN" w:bidi="ar-SA"/>
    </w:rPr>
  </w:style>
  <w:style w:type="character" w:customStyle="1" w:styleId="5Char">
    <w:name w:val="标题 5 Char"/>
    <w:link w:val="51"/>
    <w:rsid w:val="009964C3"/>
    <w:rPr>
      <w:rFonts w:ascii="黑体" w:eastAsia="黑体" w:hAnsi="Arial"/>
      <w:color w:val="000000"/>
      <w:spacing w:val="20"/>
      <w:kern w:val="2"/>
      <w:position w:val="4"/>
      <w:sz w:val="28"/>
      <w:lang w:val="en-US" w:eastAsia="zh-CN" w:bidi="ar-SA"/>
    </w:rPr>
  </w:style>
  <w:style w:type="character" w:customStyle="1" w:styleId="GB2312">
    <w:name w:val="样式 (西文) 宋体 (中文) 仿宋_GB2312 小四"/>
    <w:semiHidden/>
    <w:rsid w:val="009964C3"/>
    <w:rPr>
      <w:rFonts w:ascii="Times New Roman" w:eastAsia="仿宋_GB2312" w:hAnsi="Times New Roman"/>
      <w:kern w:val="2"/>
      <w:sz w:val="24"/>
      <w:szCs w:val="21"/>
      <w:lang w:val="en-US" w:eastAsia="zh-CN" w:bidi="ar-SA"/>
    </w:rPr>
  </w:style>
  <w:style w:type="character" w:customStyle="1" w:styleId="CharChar6">
    <w:name w:val="图(水口山) Char Char"/>
    <w:link w:val="affd"/>
    <w:semiHidden/>
    <w:rsid w:val="009964C3"/>
    <w:rPr>
      <w:rFonts w:ascii="Arial" w:eastAsia="黑体" w:hAnsi="Arial"/>
      <w:kern w:val="24"/>
      <w:sz w:val="24"/>
      <w:szCs w:val="24"/>
      <w:lang w:val="en-US" w:eastAsia="zh-CN"/>
    </w:rPr>
  </w:style>
  <w:style w:type="character" w:customStyle="1" w:styleId="s1">
    <w:name w:val="s1"/>
    <w:semiHidden/>
    <w:rsid w:val="009964C3"/>
    <w:rPr>
      <w:rFonts w:ascii="Arial" w:eastAsia="宋体" w:hAnsi="Arial"/>
      <w:kern w:val="2"/>
      <w:sz w:val="18"/>
      <w:szCs w:val="18"/>
      <w:lang w:val="en-US" w:eastAsia="zh-CN" w:bidi="ar-SA"/>
    </w:rPr>
  </w:style>
  <w:style w:type="character" w:customStyle="1" w:styleId="2Char3">
    <w:name w:val="表格文字2 Char"/>
    <w:link w:val="24"/>
    <w:rsid w:val="009964C3"/>
    <w:rPr>
      <w:sz w:val="21"/>
      <w:szCs w:val="24"/>
    </w:rPr>
  </w:style>
  <w:style w:type="character" w:customStyle="1" w:styleId="Char12">
    <w:name w:val="页脚 Char1"/>
    <w:link w:val="affe"/>
    <w:qFormat/>
    <w:rsid w:val="009964C3"/>
    <w:rPr>
      <w:rFonts w:ascii="宋体" w:eastAsia="宋体" w:hAnsi="宋体" w:cs="宋体"/>
      <w:sz w:val="18"/>
      <w:szCs w:val="18"/>
      <w:lang w:val="en-US" w:eastAsia="zh-CN" w:bidi="ar-SA"/>
    </w:rPr>
  </w:style>
  <w:style w:type="character" w:customStyle="1" w:styleId="4GChar">
    <w:name w:val="标题 4(G) Char"/>
    <w:aliases w:val="4号仿宋左空1格行距1倍 Char1,四号仿宋左空1格行距1倍 Char1,标题 4 Char Char Char1,四号仿宋左空1格行距1倍 Char Char"/>
    <w:semiHidden/>
    <w:rsid w:val="009964C3"/>
    <w:rPr>
      <w:rFonts w:ascii="楷体" w:eastAsia="楷体" w:hAnsi="楷体"/>
      <w:kern w:val="2"/>
      <w:sz w:val="24"/>
      <w:szCs w:val="24"/>
      <w:lang w:val="en-US" w:eastAsia="zh-CN" w:bidi="ar-SA"/>
    </w:rPr>
  </w:style>
  <w:style w:type="character" w:customStyle="1" w:styleId="CharChar8">
    <w:name w:val="Char Char"/>
    <w:locked/>
    <w:rsid w:val="009964C3"/>
    <w:rPr>
      <w:rFonts w:ascii="Arial" w:eastAsia="黑体" w:hAnsi="Arial" w:cs="Arial"/>
      <w:kern w:val="2"/>
      <w:lang w:val="en-US" w:eastAsia="zh-CN" w:bidi="ar-SA"/>
    </w:rPr>
  </w:style>
  <w:style w:type="character" w:customStyle="1" w:styleId="Charf1">
    <w:name w:val="宏文本 Char"/>
    <w:qFormat/>
    <w:rsid w:val="009964C3"/>
    <w:rPr>
      <w:rFonts w:ascii="Courier New" w:hAnsi="Courier New" w:cs="Courier New"/>
      <w:kern w:val="2"/>
      <w:sz w:val="24"/>
      <w:szCs w:val="24"/>
      <w:lang w:val="en-US" w:eastAsia="zh-CN" w:bidi="ar-SA"/>
    </w:rPr>
  </w:style>
  <w:style w:type="character" w:customStyle="1" w:styleId="4Char6">
    <w:name w:val="标题4 Char6"/>
    <w:qFormat/>
    <w:rsid w:val="009964C3"/>
    <w:rPr>
      <w:rFonts w:ascii="宋体" w:eastAsia="宋体" w:hAnsi="宋体"/>
      <w:bCs/>
      <w:kern w:val="2"/>
      <w:sz w:val="24"/>
      <w:szCs w:val="24"/>
      <w:lang w:val="en-US" w:eastAsia="zh-CN" w:bidi="ar-SA"/>
    </w:rPr>
  </w:style>
  <w:style w:type="character" w:customStyle="1" w:styleId="style201">
    <w:name w:val="style201"/>
    <w:rsid w:val="009964C3"/>
    <w:rPr>
      <w:rFonts w:eastAsia="宋体"/>
      <w:color w:val="000000"/>
      <w:kern w:val="2"/>
      <w:sz w:val="19"/>
      <w:lang w:val="en-US" w:eastAsia="zh-CN" w:bidi="ar-SA"/>
    </w:rPr>
  </w:style>
  <w:style w:type="character" w:customStyle="1" w:styleId="3CharChar">
    <w:name w:val="标题样式3 Char Char"/>
    <w:qFormat/>
    <w:rsid w:val="009964C3"/>
    <w:rPr>
      <w:rFonts w:ascii="黑体" w:eastAsia="黑体" w:cs="黑体"/>
      <w:bCs/>
      <w:color w:val="000000"/>
      <w:kern w:val="2"/>
      <w:sz w:val="24"/>
      <w:szCs w:val="24"/>
      <w:lang w:val="zh-CN" w:eastAsia="zh-CN" w:bidi="ar-SA"/>
    </w:rPr>
  </w:style>
  <w:style w:type="character" w:customStyle="1" w:styleId="CharChar14">
    <w:name w:val="Char Char14"/>
    <w:qFormat/>
    <w:rsid w:val="009964C3"/>
    <w:rPr>
      <w:rFonts w:ascii="Arial" w:eastAsia="黑体" w:hAnsi="Arial" w:cs="宋体"/>
      <w:sz w:val="21"/>
      <w:szCs w:val="21"/>
      <w:lang w:val="en-US" w:eastAsia="zh-CN" w:bidi="ar-SA"/>
    </w:rPr>
  </w:style>
  <w:style w:type="character" w:customStyle="1" w:styleId="CharChar200">
    <w:name w:val="Char Char20"/>
    <w:rsid w:val="009964C3"/>
    <w:rPr>
      <w:kern w:val="2"/>
    </w:rPr>
  </w:style>
  <w:style w:type="character" w:customStyle="1" w:styleId="25">
    <w:name w:val="正文缩进2"/>
    <w:aliases w:val="正文（首行缩进两字）1 Char Char Char Char Char"/>
    <w:semiHidden/>
    <w:rsid w:val="009964C3"/>
    <w:rPr>
      <w:rFonts w:ascii="Arial" w:eastAsia="宋体" w:hAnsi="Arial"/>
      <w:kern w:val="2"/>
      <w:sz w:val="24"/>
      <w:szCs w:val="21"/>
      <w:lang w:val="en-US" w:eastAsia="zh-CN" w:bidi="ar-SA"/>
    </w:rPr>
  </w:style>
  <w:style w:type="character" w:customStyle="1" w:styleId="Charf2">
    <w:name w:val="正文文本 Char"/>
    <w:link w:val="afff"/>
    <w:qFormat/>
    <w:rsid w:val="009964C3"/>
    <w:rPr>
      <w:rFonts w:eastAsia="宋体"/>
      <w:kern w:val="2"/>
      <w:sz w:val="21"/>
      <w:szCs w:val="24"/>
      <w:lang w:val="en-US" w:eastAsia="zh-CN" w:bidi="ar-SA"/>
    </w:rPr>
  </w:style>
  <w:style w:type="character" w:customStyle="1" w:styleId="1Char11">
    <w:name w:val="标题 1 Char1"/>
    <w:aliases w:val="-*+ Char3,章标题 1 Char3,1.标题 1 Char2,h1 Char3,1st level Char3,Section Head Char3,l1 Char3,b1 Char3,H1 Char3,Header1 Char3,Heading 0 Char2,Fab-1 Char2,PIM 1 Char2,标书1 Char2,文章标题 Char2,一、 Char2,Heading 11 Char2,H11 Char2,H12 Char2,第A章 Char2"/>
    <w:qFormat/>
    <w:rsid w:val="009964C3"/>
    <w:rPr>
      <w:rFonts w:ascii="黑体" w:eastAsia="黑体" w:hAnsi="宋体"/>
      <w:snapToGrid w:val="0"/>
      <w:kern w:val="44"/>
      <w:sz w:val="30"/>
      <w:szCs w:val="30"/>
      <w:lang w:val="en-US" w:eastAsia="zh-CN" w:bidi="ar-SA"/>
    </w:rPr>
  </w:style>
  <w:style w:type="character" w:customStyle="1" w:styleId="Char20">
    <w:name w:val="图题注 Char2"/>
    <w:rsid w:val="009964C3"/>
    <w:rPr>
      <w:rFonts w:ascii="黑体" w:eastAsia="黑体" w:hAnsi="Arial" w:cs="宋体"/>
      <w:b/>
      <w:bCs/>
      <w:kern w:val="2"/>
      <w:sz w:val="24"/>
      <w:szCs w:val="24"/>
      <w:lang w:val="en-US" w:eastAsia="zh-CN" w:bidi="ar-SA"/>
    </w:rPr>
  </w:style>
  <w:style w:type="character" w:customStyle="1" w:styleId="aCharChar">
    <w:name w:val="标题 a Char Char"/>
    <w:semiHidden/>
    <w:rsid w:val="009964C3"/>
    <w:rPr>
      <w:rFonts w:ascii="宋体" w:eastAsia="宋体" w:hAnsi="宋体" w:cs="Times New Roman"/>
      <w:b/>
      <w:bCs/>
      <w:sz w:val="28"/>
      <w:szCs w:val="28"/>
    </w:rPr>
  </w:style>
  <w:style w:type="character" w:customStyle="1" w:styleId="CharChar9">
    <w:name w:val="表格文字 Char Char"/>
    <w:link w:val="afff0"/>
    <w:qFormat/>
    <w:rsid w:val="009964C3"/>
    <w:rPr>
      <w:rFonts w:eastAsia="宋体"/>
      <w:color w:val="000000"/>
      <w:kern w:val="2"/>
      <w:sz w:val="21"/>
      <w:szCs w:val="21"/>
      <w:lang w:val="en-US" w:eastAsia="zh-CN" w:bidi="ar-SA"/>
    </w:rPr>
  </w:style>
  <w:style w:type="character" w:customStyle="1" w:styleId="2CharChar0">
    <w:name w:val="正文(首行缩进2字) Char Char"/>
    <w:rsid w:val="009964C3"/>
    <w:rPr>
      <w:rFonts w:eastAsia="宋体"/>
      <w:color w:val="000000"/>
      <w:sz w:val="24"/>
      <w:lang w:val="en-US" w:eastAsia="zh-CN" w:bidi="ar-SA"/>
    </w:rPr>
  </w:style>
  <w:style w:type="character" w:customStyle="1" w:styleId="Heading4Char">
    <w:name w:val="Heading 4 Char"/>
    <w:rsid w:val="009964C3"/>
    <w:rPr>
      <w:rFonts w:eastAsia="仿宋_GB2312"/>
      <w:kern w:val="20"/>
      <w:sz w:val="28"/>
      <w:lang w:val="en-US" w:eastAsia="zh-CN" w:bidi="ar-SA"/>
    </w:rPr>
  </w:style>
  <w:style w:type="character" w:customStyle="1" w:styleId="Charf3">
    <w:name w:val="正文对的 Char"/>
    <w:link w:val="afff1"/>
    <w:semiHidden/>
    <w:rsid w:val="009964C3"/>
    <w:rPr>
      <w:rFonts w:hAnsi="宋体"/>
      <w:kern w:val="2"/>
      <w:sz w:val="24"/>
      <w:szCs w:val="24"/>
    </w:rPr>
  </w:style>
  <w:style w:type="character" w:customStyle="1" w:styleId="Char22">
    <w:name w:val="燕山正文 Char22"/>
    <w:qFormat/>
    <w:rsid w:val="009964C3"/>
    <w:rPr>
      <w:rFonts w:ascii="宋体" w:eastAsia="宋体" w:hAnsi="宋体"/>
      <w:bCs/>
      <w:color w:val="000000"/>
      <w:kern w:val="2"/>
      <w:sz w:val="24"/>
      <w:szCs w:val="24"/>
      <w:lang w:val="en-US" w:eastAsia="zh-CN" w:bidi="ar-SA"/>
    </w:rPr>
  </w:style>
  <w:style w:type="character" w:customStyle="1" w:styleId="str1">
    <w:name w:val="str1"/>
    <w:rsid w:val="009964C3"/>
    <w:rPr>
      <w:rFonts w:eastAsia="宋体"/>
      <w:b/>
      <w:kern w:val="2"/>
      <w:sz w:val="21"/>
      <w:lang w:val="en-US" w:eastAsia="zh-CN" w:bidi="ar-SA"/>
    </w:rPr>
  </w:style>
  <w:style w:type="character" w:customStyle="1" w:styleId="16111CharChar">
    <w:name w:val="16.1.1.1 Char Char"/>
    <w:qFormat/>
    <w:locked/>
    <w:rsid w:val="009964C3"/>
    <w:rPr>
      <w:rFonts w:ascii="Arial" w:eastAsia="宋体" w:hAnsi="Arial"/>
      <w:b/>
      <w:bCs/>
      <w:color w:val="000000"/>
      <w:kern w:val="44"/>
      <w:sz w:val="24"/>
      <w:szCs w:val="24"/>
      <w:lang w:val="en-US" w:eastAsia="zh-CN" w:bidi="ar-SA"/>
    </w:rPr>
  </w:style>
  <w:style w:type="character" w:customStyle="1" w:styleId="32Char">
    <w:name w:val="标题 3（桑2） Char"/>
    <w:link w:val="32"/>
    <w:semiHidden/>
    <w:rsid w:val="009964C3"/>
    <w:rPr>
      <w:rFonts w:ascii="Arial" w:hAnsi="Arial"/>
      <w:kern w:val="2"/>
      <w:sz w:val="28"/>
      <w:szCs w:val="28"/>
    </w:rPr>
  </w:style>
  <w:style w:type="character" w:customStyle="1" w:styleId="LChar">
    <w:name w:val="列表(L) Char"/>
    <w:link w:val="L"/>
    <w:qFormat/>
    <w:rsid w:val="009964C3"/>
    <w:rPr>
      <w:rFonts w:eastAsia="宋体" w:cs="宋体"/>
      <w:kern w:val="2"/>
      <w:sz w:val="21"/>
      <w:lang w:val="en-US" w:eastAsia="zh-CN" w:bidi="ar-SA"/>
    </w:rPr>
  </w:style>
  <w:style w:type="character" w:customStyle="1" w:styleId="Char23">
    <w:name w:val="题注 Char2"/>
    <w:link w:val="afff2"/>
    <w:qFormat/>
    <w:rsid w:val="009964C3"/>
    <w:rPr>
      <w:rFonts w:ascii="Arial" w:eastAsia="黑体" w:hAnsi="Arial" w:cs="Arial"/>
      <w:kern w:val="2"/>
      <w:lang w:val="en-US" w:eastAsia="zh-CN" w:bidi="ar-SA"/>
    </w:rPr>
  </w:style>
  <w:style w:type="character" w:customStyle="1" w:styleId="Char30">
    <w:name w:val="正文缩进 Char3"/>
    <w:rsid w:val="009964C3"/>
    <w:rPr>
      <w:rFonts w:ascii="宋体" w:eastAsia="宋体"/>
      <w:sz w:val="24"/>
      <w:szCs w:val="24"/>
      <w:lang w:val="en-US" w:eastAsia="zh-CN" w:bidi="ar-SA"/>
    </w:rPr>
  </w:style>
  <w:style w:type="character" w:customStyle="1" w:styleId="CharCharCharCharChar">
    <w:name w:val="表头 Char Char Char Char Char"/>
    <w:rsid w:val="009964C3"/>
    <w:rPr>
      <w:rFonts w:eastAsia="宋体" w:cs="宋体"/>
      <w:b/>
      <w:bCs/>
      <w:kern w:val="2"/>
      <w:sz w:val="28"/>
      <w:szCs w:val="28"/>
      <w:lang w:val="en-US" w:eastAsia="zh-CN" w:bidi="ar-SA"/>
    </w:rPr>
  </w:style>
  <w:style w:type="character" w:customStyle="1" w:styleId="Charf4">
    <w:name w:val="引用 Char"/>
    <w:link w:val="16"/>
    <w:qFormat/>
    <w:rsid w:val="009964C3"/>
    <w:rPr>
      <w:rFonts w:eastAsia="宋体"/>
      <w:i/>
      <w:iCs/>
      <w:color w:val="000000"/>
      <w:kern w:val="2"/>
      <w:lang w:val="en-US" w:eastAsia="zh-CN" w:bidi="ar-SA"/>
    </w:rPr>
  </w:style>
  <w:style w:type="character" w:customStyle="1" w:styleId="190">
    <w:name w:val="19号令"/>
    <w:basedOn w:val="af5"/>
    <w:qFormat/>
    <w:rsid w:val="009964C3"/>
  </w:style>
  <w:style w:type="character" w:customStyle="1" w:styleId="CharChar181">
    <w:name w:val="Char Char181"/>
    <w:qFormat/>
    <w:rsid w:val="009964C3"/>
    <w:rPr>
      <w:kern w:val="2"/>
      <w:sz w:val="18"/>
      <w:szCs w:val="18"/>
    </w:rPr>
  </w:style>
  <w:style w:type="character" w:customStyle="1" w:styleId="CharChar41">
    <w:name w:val="Char Char41"/>
    <w:semiHidden/>
    <w:rsid w:val="009964C3"/>
    <w:rPr>
      <w:rFonts w:eastAsia="楷体_GB2312"/>
      <w:b/>
      <w:bCs/>
      <w:kern w:val="2"/>
      <w:sz w:val="28"/>
      <w:lang w:val="en-US" w:eastAsia="zh-CN" w:bidi="ar-SA"/>
    </w:rPr>
  </w:style>
  <w:style w:type="character" w:customStyle="1" w:styleId="1Char3">
    <w:name w:val="样式 宋体 小四 黑色1 Char"/>
    <w:link w:val="17"/>
    <w:qFormat/>
    <w:rsid w:val="009964C3"/>
    <w:rPr>
      <w:rFonts w:ascii="宋体" w:eastAsia="宋体" w:hAnsi="宋体"/>
      <w:color w:val="000000"/>
      <w:sz w:val="24"/>
      <w:szCs w:val="24"/>
      <w:lang w:val="en-US" w:eastAsia="zh-CN" w:bidi="ar-SA"/>
    </w:rPr>
  </w:style>
  <w:style w:type="character" w:customStyle="1" w:styleId="CharCharChar10">
    <w:name w:val="Char Char Char1"/>
    <w:aliases w:val=" Char Char Char Char Char1"/>
    <w:semiHidden/>
    <w:rsid w:val="009964C3"/>
    <w:rPr>
      <w:rFonts w:ascii="黑体" w:eastAsia="黑体" w:hAnsi="Arial"/>
      <w:kern w:val="2"/>
      <w:sz w:val="36"/>
      <w:szCs w:val="24"/>
      <w:lang w:val="en-US" w:eastAsia="zh-CN" w:bidi="ar-SA"/>
    </w:rPr>
  </w:style>
  <w:style w:type="character" w:customStyle="1" w:styleId="txt4">
    <w:name w:val="txt4"/>
    <w:semiHidden/>
    <w:rsid w:val="009964C3"/>
    <w:rPr>
      <w:rFonts w:ascii="Arial" w:eastAsia="宋体" w:hAnsi="Arial"/>
      <w:kern w:val="2"/>
      <w:sz w:val="21"/>
      <w:szCs w:val="21"/>
      <w:lang w:val="en-US" w:eastAsia="zh-CN" w:bidi="ar-SA"/>
    </w:rPr>
  </w:style>
  <w:style w:type="character" w:customStyle="1" w:styleId="CharChar35">
    <w:name w:val="Char Char35"/>
    <w:semiHidden/>
    <w:rsid w:val="009964C3"/>
    <w:rPr>
      <w:rFonts w:ascii="Arial" w:eastAsia="黑体" w:hAnsi="Arial" w:cs="Times New Roman"/>
      <w:b/>
      <w:bCs/>
      <w:kern w:val="2"/>
      <w:sz w:val="32"/>
      <w:szCs w:val="32"/>
      <w:lang w:val="en-US" w:eastAsia="zh-CN" w:bidi="ar-SA"/>
    </w:rPr>
  </w:style>
  <w:style w:type="character" w:customStyle="1" w:styleId="CharChar30">
    <w:name w:val="Char Char3"/>
    <w:qFormat/>
    <w:rsid w:val="009964C3"/>
    <w:rPr>
      <w:rFonts w:ascii="宋体" w:eastAsia="宋体" w:hAnsi="Courier New" w:cs="Courier New"/>
      <w:szCs w:val="21"/>
    </w:rPr>
  </w:style>
  <w:style w:type="character" w:customStyle="1" w:styleId="-Char2">
    <w:name w:val="-*+ Char2"/>
    <w:aliases w:val="章标题 1 Char2,1.标题 1 Char1,h1 Char2,1st level Char2,Section Head Char2,l1 Char2,b1 Char2,H1 Char2,Header1 Char2,Heading 0 Char1,Fab-1 Char1,PIM 1 Char1,标书1 Char1,文章标题 Char1,一、 Char1,Heading 11 Char1,H11 Char1,H12 Char1,第A章 Char1,第*部分 Char1"/>
    <w:rsid w:val="009964C3"/>
    <w:rPr>
      <w:rFonts w:eastAsia="黑体"/>
      <w:kern w:val="2"/>
      <w:sz w:val="32"/>
      <w:szCs w:val="32"/>
      <w:lang w:val="en-US" w:eastAsia="zh-CN" w:bidi="ar-SA"/>
    </w:rPr>
  </w:style>
  <w:style w:type="character" w:customStyle="1" w:styleId="43Char">
    <w:name w:val="样式 标题 4 + 黑体 小四3 Char"/>
    <w:link w:val="430"/>
    <w:qFormat/>
    <w:rsid w:val="009964C3"/>
    <w:rPr>
      <w:rFonts w:eastAsia="黑体" w:hAnsi="黑体" w:cs="宋体"/>
      <w:b/>
      <w:bCs/>
      <w:kern w:val="2"/>
      <w:sz w:val="24"/>
      <w:szCs w:val="28"/>
      <w:lang w:val="en-US" w:eastAsia="zh-CN" w:bidi="ar-SA"/>
    </w:rPr>
  </w:style>
  <w:style w:type="character" w:customStyle="1" w:styleId="Charf5">
    <w:name w:val="内容 Char"/>
    <w:link w:val="afff3"/>
    <w:semiHidden/>
    <w:rsid w:val="009964C3"/>
    <w:rPr>
      <w:kern w:val="2"/>
      <w:sz w:val="24"/>
    </w:rPr>
  </w:style>
  <w:style w:type="character" w:customStyle="1" w:styleId="f121">
    <w:name w:val="f121"/>
    <w:qFormat/>
    <w:rsid w:val="009964C3"/>
    <w:rPr>
      <w:spacing w:val="240"/>
      <w:sz w:val="18"/>
      <w:szCs w:val="18"/>
      <w:u w:val="none"/>
    </w:rPr>
  </w:style>
  <w:style w:type="character" w:customStyle="1" w:styleId="MessageHeaderLabel">
    <w:name w:val="Message Header Label"/>
    <w:qFormat/>
    <w:rsid w:val="009964C3"/>
    <w:rPr>
      <w:rFonts w:ascii="Arial Black" w:hAnsi="Arial Black" w:hint="default"/>
      <w:sz w:val="18"/>
    </w:rPr>
  </w:style>
  <w:style w:type="character" w:customStyle="1" w:styleId="CharChar201">
    <w:name w:val="Char Char20"/>
    <w:semiHidden/>
    <w:rsid w:val="009964C3"/>
    <w:rPr>
      <w:rFonts w:ascii="Arial" w:eastAsia="宋体" w:hAnsi="Arial"/>
      <w:kern w:val="2"/>
      <w:sz w:val="21"/>
      <w:szCs w:val="24"/>
      <w:lang w:val="en-US" w:eastAsia="zh-CN" w:bidi="ar-SA"/>
    </w:rPr>
  </w:style>
  <w:style w:type="character" w:customStyle="1" w:styleId="p121">
    <w:name w:val="p121"/>
    <w:semiHidden/>
    <w:rsid w:val="009964C3"/>
    <w:rPr>
      <w:rFonts w:ascii="宋体" w:eastAsia="宋体" w:hAnsi="宋体"/>
      <w:kern w:val="2"/>
      <w:sz w:val="18"/>
      <w:szCs w:val="18"/>
      <w:lang w:val="en-US" w:eastAsia="zh-CN" w:bidi="ar-SA"/>
    </w:rPr>
  </w:style>
  <w:style w:type="character" w:customStyle="1" w:styleId="Char17">
    <w:name w:val="Char17"/>
    <w:qFormat/>
    <w:locked/>
    <w:rsid w:val="009964C3"/>
    <w:rPr>
      <w:rFonts w:ascii="方正大标宋简体" w:eastAsia="方正大标宋简体" w:hAnsi="宋体" w:cs="宋体"/>
      <w:b/>
      <w:bCs/>
      <w:kern w:val="44"/>
      <w:sz w:val="30"/>
      <w:szCs w:val="44"/>
      <w:lang w:val="en-US" w:eastAsia="zh-CN" w:bidi="ar-SA"/>
    </w:rPr>
  </w:style>
  <w:style w:type="character" w:customStyle="1" w:styleId="1Char4">
    <w:name w:val="段落1 Char"/>
    <w:link w:val="18"/>
    <w:qFormat/>
    <w:rsid w:val="009964C3"/>
    <w:rPr>
      <w:rFonts w:eastAsia="宋体"/>
      <w:sz w:val="24"/>
      <w:szCs w:val="24"/>
      <w:lang w:val="en-US" w:eastAsia="zh-CN" w:bidi="ar-SA"/>
    </w:rPr>
  </w:style>
  <w:style w:type="character" w:customStyle="1" w:styleId="CharChar64">
    <w:name w:val="Char Char64"/>
    <w:rsid w:val="009964C3"/>
    <w:rPr>
      <w:rFonts w:ascii="Arial" w:eastAsia="黑体" w:hAnsi="Arial"/>
      <w:snapToGrid w:val="0"/>
      <w:kern w:val="24"/>
      <w:sz w:val="24"/>
      <w:lang w:val="en-US" w:eastAsia="zh-CN" w:bidi="ar-SA"/>
    </w:rPr>
  </w:style>
  <w:style w:type="character" w:customStyle="1" w:styleId="CharChar70">
    <w:name w:val="Char Char70"/>
    <w:rsid w:val="009964C3"/>
    <w:rPr>
      <w:rFonts w:ascii="Arial" w:eastAsia="宋体" w:hAnsi="Arial"/>
      <w:kern w:val="2"/>
      <w:sz w:val="28"/>
      <w:szCs w:val="28"/>
      <w:lang w:val="en-US" w:eastAsia="zh-CN" w:bidi="ar-SA"/>
    </w:rPr>
  </w:style>
  <w:style w:type="character" w:customStyle="1" w:styleId="Charf6">
    <w:name w:val="列表项目符号 Char"/>
    <w:rsid w:val="009964C3"/>
    <w:rPr>
      <w:rFonts w:eastAsia="宋体"/>
      <w:b/>
      <w:snapToGrid w:val="0"/>
      <w:kern w:val="28"/>
      <w:sz w:val="26"/>
      <w:lang w:val="en-US" w:eastAsia="zh-CN" w:bidi="ar-SA"/>
    </w:rPr>
  </w:style>
  <w:style w:type="character" w:customStyle="1" w:styleId="CharCharChar3">
    <w:name w:val="文本匡小五号 Char Char Char"/>
    <w:semiHidden/>
    <w:rsid w:val="009964C3"/>
    <w:rPr>
      <w:rFonts w:ascii="Arial" w:eastAsia="仿宋_GB2312" w:hAnsi="Arial"/>
      <w:kern w:val="2"/>
      <w:sz w:val="18"/>
      <w:szCs w:val="24"/>
      <w:lang w:val="en-US" w:eastAsia="zh-CN" w:bidi="ar-SA"/>
    </w:rPr>
  </w:style>
  <w:style w:type="character" w:customStyle="1" w:styleId="gb13-301">
    <w:name w:val="gb13-301"/>
    <w:qFormat/>
    <w:rsid w:val="009964C3"/>
    <w:rPr>
      <w:spacing w:val="450"/>
      <w:sz w:val="20"/>
      <w:szCs w:val="20"/>
    </w:rPr>
  </w:style>
  <w:style w:type="character" w:customStyle="1" w:styleId="5Char1">
    <w:name w:val="表内5 Char"/>
    <w:link w:val="54"/>
    <w:qFormat/>
    <w:rsid w:val="009964C3"/>
    <w:rPr>
      <w:rFonts w:ascii="宋体" w:eastAsia="宋体" w:hAnsi="宋体" w:cs="宋体"/>
      <w:kern w:val="2"/>
      <w:sz w:val="21"/>
      <w:lang w:val="en-US" w:eastAsia="zh-CN" w:bidi="ar-SA"/>
    </w:rPr>
  </w:style>
  <w:style w:type="character" w:customStyle="1" w:styleId="Char13">
    <w:name w:val="表格文字居中 Char1"/>
    <w:link w:val="afff4"/>
    <w:qFormat/>
    <w:locked/>
    <w:rsid w:val="009964C3"/>
    <w:rPr>
      <w:rFonts w:eastAsia="宋体"/>
      <w:kern w:val="2"/>
      <w:sz w:val="18"/>
      <w:szCs w:val="18"/>
      <w:lang w:val="en-US" w:eastAsia="zh-CN" w:bidi="ar-SA"/>
    </w:rPr>
  </w:style>
  <w:style w:type="character" w:customStyle="1" w:styleId="Charf7">
    <w:name w:val="魏秀珍   正文 Char"/>
    <w:link w:val="afff5"/>
    <w:semiHidden/>
    <w:rsid w:val="009964C3"/>
    <w:rPr>
      <w:rFonts w:cs="宋体"/>
      <w:sz w:val="24"/>
      <w:lang w:val="en-GB"/>
    </w:rPr>
  </w:style>
  <w:style w:type="character" w:customStyle="1" w:styleId="Charf8">
    <w:name w:val="南车表头 Char"/>
    <w:link w:val="afff6"/>
    <w:semiHidden/>
    <w:rsid w:val="009964C3"/>
    <w:rPr>
      <w:rFonts w:ascii="Arial" w:eastAsia="黑体" w:hAnsi="Arial" w:cs="宋体"/>
      <w:color w:val="000000"/>
      <w:kern w:val="10"/>
      <w:sz w:val="24"/>
    </w:rPr>
  </w:style>
  <w:style w:type="character" w:customStyle="1" w:styleId="GChar">
    <w:name w:val="段落(G) Char"/>
    <w:link w:val="G"/>
    <w:rsid w:val="009964C3"/>
    <w:rPr>
      <w:rFonts w:ascii="Arial" w:hAnsi="Arial"/>
      <w:color w:val="000000"/>
      <w:kern w:val="24"/>
      <w:sz w:val="24"/>
      <w:szCs w:val="24"/>
      <w:lang w:val="zh-CN" w:eastAsia="zh-CN"/>
    </w:rPr>
  </w:style>
  <w:style w:type="character" w:customStyle="1" w:styleId="Charf9">
    <w:name w:val="表文字 Char"/>
    <w:link w:val="afff7"/>
    <w:qFormat/>
    <w:rsid w:val="009964C3"/>
    <w:rPr>
      <w:rFonts w:eastAsia="宋体"/>
      <w:sz w:val="24"/>
      <w:szCs w:val="24"/>
      <w:lang w:val="en-US" w:eastAsia="zh-CN" w:bidi="ar-SA"/>
    </w:rPr>
  </w:style>
  <w:style w:type="character" w:customStyle="1" w:styleId="afff8">
    <w:name w:val="二级丹"/>
    <w:rsid w:val="009964C3"/>
    <w:rPr>
      <w:rFonts w:eastAsia="黑体"/>
      <w:b/>
      <w:bCs/>
      <w:sz w:val="30"/>
    </w:rPr>
  </w:style>
  <w:style w:type="character" w:customStyle="1" w:styleId="11Char">
    <w:name w:val="样式 标题 1 + 黑体1 Char"/>
    <w:qFormat/>
    <w:rsid w:val="009964C3"/>
    <w:rPr>
      <w:rFonts w:ascii="Arial" w:eastAsia="黑体" w:hAnsi="Arial" w:cs="Arial"/>
      <w:kern w:val="44"/>
      <w:sz w:val="24"/>
      <w:lang w:val="en-US" w:eastAsia="zh-CN" w:bidi="ar-SA"/>
    </w:rPr>
  </w:style>
  <w:style w:type="character" w:customStyle="1" w:styleId="afff9">
    <w:name w:val="篇号"/>
    <w:qFormat/>
    <w:rsid w:val="009964C3"/>
    <w:rPr>
      <w:rFonts w:eastAsia="黑体"/>
      <w:sz w:val="32"/>
    </w:rPr>
  </w:style>
  <w:style w:type="character" w:customStyle="1" w:styleId="1Char5">
    <w:name w:val="标题样式1 Char"/>
    <w:link w:val="1a"/>
    <w:qFormat/>
    <w:rsid w:val="009964C3"/>
    <w:rPr>
      <w:rFonts w:ascii="黑体" w:eastAsia="黑体"/>
      <w:b/>
      <w:bCs/>
      <w:color w:val="FF0000"/>
      <w:kern w:val="44"/>
      <w:sz w:val="28"/>
      <w:szCs w:val="28"/>
      <w:lang w:val="en-US" w:eastAsia="zh-CN" w:bidi="ar-SA"/>
    </w:rPr>
  </w:style>
  <w:style w:type="character" w:customStyle="1" w:styleId="Qzy3Char">
    <w:name w:val="Qzy样式3 Char"/>
    <w:link w:val="Qzy3"/>
    <w:semiHidden/>
    <w:rsid w:val="009964C3"/>
    <w:rPr>
      <w:kern w:val="2"/>
      <w:sz w:val="28"/>
    </w:rPr>
  </w:style>
  <w:style w:type="character" w:customStyle="1" w:styleId="Char14">
    <w:name w:val="图题注 Char1"/>
    <w:rsid w:val="009964C3"/>
    <w:rPr>
      <w:rFonts w:ascii="黑体" w:eastAsia="黑体" w:hAnsi="Arial" w:cs="宋体"/>
      <w:b/>
      <w:bCs/>
      <w:kern w:val="2"/>
      <w:sz w:val="24"/>
      <w:szCs w:val="24"/>
      <w:lang w:val="en-US" w:eastAsia="zh-CN" w:bidi="ar-SA"/>
    </w:rPr>
  </w:style>
  <w:style w:type="character" w:customStyle="1" w:styleId="CharChar19">
    <w:name w:val="Char Char19"/>
    <w:qFormat/>
    <w:rsid w:val="009964C3"/>
    <w:rPr>
      <w:b/>
      <w:bCs/>
      <w:kern w:val="2"/>
      <w:sz w:val="24"/>
    </w:rPr>
  </w:style>
  <w:style w:type="character" w:customStyle="1" w:styleId="CharChara">
    <w:name w:val="正文内容 Char Char"/>
    <w:link w:val="Charfa"/>
    <w:rsid w:val="009964C3"/>
    <w:rPr>
      <w:rFonts w:eastAsia="宋体" w:cs="宋体"/>
      <w:kern w:val="2"/>
      <w:sz w:val="24"/>
      <w:szCs w:val="24"/>
      <w:lang w:val="en-US" w:eastAsia="zh-CN" w:bidi="ar-SA"/>
    </w:rPr>
  </w:style>
  <w:style w:type="character" w:customStyle="1" w:styleId="4Char2">
    <w:name w:val="标题 4 Char2"/>
    <w:rsid w:val="009964C3"/>
    <w:rPr>
      <w:rFonts w:ascii="黑体" w:eastAsia="黑体"/>
      <w:bCs/>
      <w:kern w:val="2"/>
      <w:sz w:val="24"/>
      <w:szCs w:val="28"/>
      <w:lang w:val="en-US" w:eastAsia="zh-CN" w:bidi="ar-SA"/>
    </w:rPr>
  </w:style>
  <w:style w:type="character" w:customStyle="1" w:styleId="Char24">
    <w:name w:val="燕山正文 Char24"/>
    <w:qFormat/>
    <w:rsid w:val="009964C3"/>
    <w:rPr>
      <w:rFonts w:ascii="宋体" w:eastAsia="宋体" w:hAnsi="宋体"/>
      <w:bCs/>
      <w:color w:val="000000"/>
      <w:kern w:val="2"/>
      <w:sz w:val="24"/>
      <w:szCs w:val="24"/>
      <w:lang w:val="en-US" w:eastAsia="zh-CN" w:bidi="ar-SA"/>
    </w:rPr>
  </w:style>
  <w:style w:type="character" w:customStyle="1" w:styleId="Charfb">
    <w:name w:val="报告书正文 Char"/>
    <w:link w:val="afffa"/>
    <w:qFormat/>
    <w:rsid w:val="009964C3"/>
    <w:rPr>
      <w:rFonts w:eastAsia="宋体"/>
      <w:kern w:val="2"/>
      <w:sz w:val="24"/>
      <w:lang w:val="en-US" w:eastAsia="zh-CN" w:bidi="ar-SA"/>
    </w:rPr>
  </w:style>
  <w:style w:type="character" w:customStyle="1" w:styleId="16911CharChar">
    <w:name w:val="16.9.1.1 Char Char"/>
    <w:link w:val="16911"/>
    <w:qFormat/>
    <w:rsid w:val="009964C3"/>
    <w:rPr>
      <w:rFonts w:ascii="Arial" w:eastAsia="黑体" w:hAnsi="Arial" w:cs="宋体"/>
      <w:b/>
      <w:bCs/>
      <w:kern w:val="2"/>
      <w:sz w:val="24"/>
      <w:szCs w:val="24"/>
    </w:rPr>
  </w:style>
  <w:style w:type="character" w:customStyle="1" w:styleId="tittop">
    <w:name w:val="tit_top"/>
    <w:semiHidden/>
    <w:rsid w:val="009964C3"/>
    <w:rPr>
      <w:rFonts w:ascii="Arial" w:eastAsia="宋体" w:hAnsi="Arial"/>
      <w:kern w:val="2"/>
      <w:sz w:val="21"/>
      <w:szCs w:val="21"/>
      <w:lang w:val="en-US" w:eastAsia="zh-CN" w:bidi="ar-SA"/>
    </w:rPr>
  </w:style>
  <w:style w:type="character" w:customStyle="1" w:styleId="cucd-0Char">
    <w:name w:val="cucd-0 Char"/>
    <w:link w:val="cucd-0"/>
    <w:qFormat/>
    <w:rsid w:val="009964C3"/>
    <w:rPr>
      <w:kern w:val="2"/>
      <w:sz w:val="24"/>
      <w:szCs w:val="24"/>
      <w:lang w:val="en-US" w:eastAsia="zh-CN" w:bidi="ar-SA"/>
    </w:rPr>
  </w:style>
  <w:style w:type="character" w:customStyle="1" w:styleId="1-Char">
    <w:name w:val="1-正文 Char"/>
    <w:link w:val="1-"/>
    <w:semiHidden/>
    <w:rsid w:val="009964C3"/>
    <w:rPr>
      <w:rFonts w:ascii="宋体" w:hAnsi="宋体" w:cs="宋体"/>
      <w:kern w:val="2"/>
      <w:sz w:val="24"/>
      <w:szCs w:val="24"/>
    </w:rPr>
  </w:style>
  <w:style w:type="character" w:customStyle="1" w:styleId="CharChar110">
    <w:name w:val="Char Char11"/>
    <w:qFormat/>
    <w:rsid w:val="009964C3"/>
    <w:rPr>
      <w:rFonts w:eastAsia="宋体"/>
      <w:kern w:val="2"/>
      <w:sz w:val="18"/>
      <w:szCs w:val="18"/>
      <w:lang w:val="en-US" w:eastAsia="zh-CN" w:bidi="ar-SA"/>
    </w:rPr>
  </w:style>
  <w:style w:type="character" w:customStyle="1" w:styleId="CharChar27">
    <w:name w:val="Char Char27"/>
    <w:semiHidden/>
    <w:rsid w:val="009964C3"/>
    <w:rPr>
      <w:rFonts w:ascii="Arial" w:eastAsia="宋体" w:hAnsi="Arial"/>
      <w:kern w:val="2"/>
      <w:sz w:val="18"/>
      <w:szCs w:val="18"/>
      <w:lang w:val="en-US" w:eastAsia="zh-CN" w:bidi="ar-SA"/>
    </w:rPr>
  </w:style>
  <w:style w:type="character" w:customStyle="1" w:styleId="2Char">
    <w:name w:val="标题 2 Char"/>
    <w:link w:val="22"/>
    <w:qFormat/>
    <w:rsid w:val="009964C3"/>
    <w:rPr>
      <w:rFonts w:ascii="Arial" w:eastAsia="黑体" w:hAnsi="Arial"/>
      <w:b/>
      <w:bCs/>
      <w:kern w:val="2"/>
      <w:sz w:val="32"/>
      <w:szCs w:val="32"/>
      <w:lang w:val="en-US" w:eastAsia="zh-CN" w:bidi="ar-SA"/>
    </w:rPr>
  </w:style>
  <w:style w:type="character" w:customStyle="1" w:styleId="javascript">
    <w:name w:val="javascript"/>
    <w:basedOn w:val="af5"/>
    <w:rsid w:val="009964C3"/>
  </w:style>
  <w:style w:type="character" w:customStyle="1" w:styleId="41111411114Char1111Char41111Char">
    <w:name w:val="样式 标题 41.1.1.1标题 4.1.1.1.1标题 4 Char款1.1.1.1 Char标4段1.1.1...1 Char"/>
    <w:link w:val="41111411114Char1111Char41111"/>
    <w:rsid w:val="009964C3"/>
    <w:rPr>
      <w:rFonts w:eastAsia="黑体"/>
      <w:b/>
      <w:bCs/>
      <w:color w:val="000000"/>
      <w:kern w:val="2"/>
      <w:sz w:val="24"/>
      <w:szCs w:val="24"/>
      <w:lang w:val="en-US" w:eastAsia="zh-CN" w:bidi="ar-SA"/>
    </w:rPr>
  </w:style>
  <w:style w:type="character" w:customStyle="1" w:styleId="CharChar72">
    <w:name w:val="Char Char72"/>
    <w:rsid w:val="009964C3"/>
    <w:rPr>
      <w:rFonts w:eastAsia="黑体"/>
      <w:kern w:val="2"/>
      <w:sz w:val="32"/>
      <w:szCs w:val="32"/>
      <w:lang w:val="en-US" w:eastAsia="zh-CN" w:bidi="ar-SA"/>
    </w:rPr>
  </w:style>
  <w:style w:type="character" w:customStyle="1" w:styleId="searchcontent1">
    <w:name w:val="search_content1"/>
    <w:qFormat/>
    <w:rsid w:val="009964C3"/>
    <w:rPr>
      <w:sz w:val="20"/>
      <w:szCs w:val="20"/>
    </w:rPr>
  </w:style>
  <w:style w:type="character" w:customStyle="1" w:styleId="27">
    <w:name w:val="样式 (符号) 宋体 四号2"/>
    <w:qFormat/>
    <w:rsid w:val="009964C3"/>
    <w:rPr>
      <w:rFonts w:ascii="宋体" w:eastAsia="宋体"/>
      <w:spacing w:val="-6"/>
      <w:kern w:val="2"/>
      <w:sz w:val="28"/>
      <w:szCs w:val="24"/>
      <w:lang w:val="en-US" w:eastAsia="zh-CN" w:bidi="ar-SA"/>
    </w:rPr>
  </w:style>
  <w:style w:type="character" w:customStyle="1" w:styleId="Charfc">
    <w:name w:val="页脚 Char"/>
    <w:uiPriority w:val="99"/>
    <w:qFormat/>
    <w:rsid w:val="009964C3"/>
    <w:rPr>
      <w:rFonts w:eastAsia="宋体"/>
      <w:kern w:val="2"/>
      <w:sz w:val="18"/>
      <w:szCs w:val="24"/>
      <w:lang w:val="en-US" w:eastAsia="zh-CN" w:bidi="ar-SA"/>
    </w:rPr>
  </w:style>
  <w:style w:type="character" w:customStyle="1" w:styleId="22Char">
    <w:name w:val="样式 样式 正文文本 + 首行缩进:  2 字符 + 宋体 首行缩进:  2 字符 Char"/>
    <w:link w:val="220"/>
    <w:qFormat/>
    <w:rsid w:val="009964C3"/>
    <w:rPr>
      <w:rFonts w:eastAsia="宋体" w:cs="宋体"/>
      <w:kern w:val="2"/>
      <w:sz w:val="24"/>
      <w:szCs w:val="24"/>
      <w:lang w:val="en-US" w:eastAsia="zh-CN" w:bidi="ar-SA"/>
    </w:rPr>
  </w:style>
  <w:style w:type="character" w:customStyle="1" w:styleId="5Char2">
    <w:name w:val="样式5 Char"/>
    <w:link w:val="55"/>
    <w:rsid w:val="009964C3"/>
    <w:rPr>
      <w:rFonts w:ascii="宋体" w:eastAsia="宋体"/>
      <w:b/>
      <w:kern w:val="2"/>
      <w:sz w:val="24"/>
      <w:szCs w:val="24"/>
      <w:lang w:val="en-US" w:eastAsia="zh-CN" w:bidi="ar-SA"/>
    </w:rPr>
  </w:style>
  <w:style w:type="character" w:customStyle="1" w:styleId="88888888888Char">
    <w:name w:val="样式88888888888 Char"/>
    <w:link w:val="88888888888"/>
    <w:rsid w:val="009964C3"/>
    <w:rPr>
      <w:rFonts w:ascii="宋体" w:eastAsia="宋体" w:hAnsi="宋体"/>
      <w:bCs/>
      <w:sz w:val="21"/>
      <w:szCs w:val="21"/>
      <w:lang w:val="en-US" w:eastAsia="zh-CN" w:bidi="ar-SA"/>
    </w:rPr>
  </w:style>
  <w:style w:type="character" w:customStyle="1" w:styleId="GCharChar">
    <w:name w:val="表头(G) Char Char"/>
    <w:rsid w:val="009964C3"/>
    <w:rPr>
      <w:rFonts w:ascii="Arial" w:eastAsia="宋体" w:hAnsi="Arial"/>
      <w:b/>
      <w:color w:val="000000"/>
      <w:kern w:val="24"/>
      <w:sz w:val="24"/>
      <w:szCs w:val="24"/>
      <w:lang w:val="en-US" w:eastAsia="zh-CN" w:bidi="ar-SA"/>
    </w:rPr>
  </w:style>
  <w:style w:type="character" w:customStyle="1" w:styleId="5Char3">
    <w:name w:val="样式 标题 5 + 宋体 Char"/>
    <w:qFormat/>
    <w:rsid w:val="009964C3"/>
    <w:rPr>
      <w:rFonts w:ascii="宋体" w:eastAsia="宋体" w:hAnsi="宋体"/>
      <w:bCs/>
      <w:kern w:val="2"/>
      <w:sz w:val="28"/>
      <w:szCs w:val="28"/>
      <w:lang w:val="en-US" w:eastAsia="zh-CN" w:bidi="ar-SA"/>
    </w:rPr>
  </w:style>
  <w:style w:type="character" w:customStyle="1" w:styleId="1Char6">
    <w:name w:val="页眉1 Char"/>
    <w:aliases w:val="无页眉 Char,页眉R Char,Header1 Char,奇数页眉 Char Char,奇数页眉 Char,页眉2 Char,En-tête client Char Char,even Char,页眉2 Char2,页眉 Char Char2,页眉 Char Char Char Char,g Char Char1"/>
    <w:semiHidden/>
    <w:qFormat/>
    <w:rsid w:val="009964C3"/>
    <w:rPr>
      <w:rFonts w:ascii="宋体" w:eastAsia="宋体" w:hAnsi="宋体" w:cs="宋体"/>
      <w:sz w:val="21"/>
      <w:szCs w:val="21"/>
      <w:lang w:val="en-US" w:eastAsia="zh-CN" w:bidi="ar-SA"/>
    </w:rPr>
  </w:style>
  <w:style w:type="character" w:customStyle="1" w:styleId="4-25CharCharChar">
    <w:name w:val="4-25正 Char Char Char"/>
    <w:link w:val="4-25CharChar"/>
    <w:qFormat/>
    <w:rsid w:val="009964C3"/>
    <w:rPr>
      <w:rFonts w:eastAsia="宋体" w:cs="宋体"/>
      <w:b/>
      <w:kern w:val="2"/>
      <w:sz w:val="24"/>
      <w:szCs w:val="24"/>
      <w:lang w:val="en-US" w:eastAsia="zh-CN" w:bidi="ar-SA"/>
    </w:rPr>
  </w:style>
  <w:style w:type="character" w:customStyle="1" w:styleId="2Char4">
    <w:name w:val="样式 正文文本缩进 + 左侧:  2 字符 Char"/>
    <w:link w:val="28"/>
    <w:semiHidden/>
    <w:rsid w:val="009964C3"/>
    <w:rPr>
      <w:rFonts w:ascii="Arial" w:hAnsi="Arial"/>
      <w:color w:val="000000"/>
      <w:spacing w:val="-20"/>
      <w:kern w:val="11"/>
      <w:sz w:val="24"/>
      <w:szCs w:val="21"/>
    </w:rPr>
  </w:style>
  <w:style w:type="character" w:customStyle="1" w:styleId="Charfd">
    <w:name w:val="表格内字体 Char"/>
    <w:link w:val="afffb"/>
    <w:qFormat/>
    <w:rsid w:val="009964C3"/>
    <w:rPr>
      <w:rFonts w:ascii="宋体" w:eastAsia="宋体" w:hAnsi="宋体" w:cs="宋体"/>
      <w:sz w:val="21"/>
      <w:lang w:val="zh-CN" w:eastAsia="zh-CN" w:bidi="ar-SA"/>
    </w:rPr>
  </w:style>
  <w:style w:type="character" w:customStyle="1" w:styleId="CharChar13">
    <w:name w:val="Char Char13"/>
    <w:rsid w:val="009964C3"/>
    <w:rPr>
      <w:rFonts w:eastAsia="黑体"/>
      <w:kern w:val="2"/>
      <w:sz w:val="24"/>
    </w:rPr>
  </w:style>
  <w:style w:type="character" w:customStyle="1" w:styleId="1Char7">
    <w:name w:val="表头1 Char"/>
    <w:link w:val="1b"/>
    <w:qFormat/>
    <w:rsid w:val="009964C3"/>
    <w:rPr>
      <w:rFonts w:eastAsia="宋体"/>
      <w:color w:val="000000"/>
      <w:kern w:val="2"/>
      <w:sz w:val="21"/>
      <w:szCs w:val="21"/>
      <w:lang w:val="en-US" w:eastAsia="zh-CN" w:bidi="ar-SA"/>
    </w:rPr>
  </w:style>
  <w:style w:type="character" w:customStyle="1" w:styleId="CharChar47">
    <w:name w:val="Char Char47"/>
    <w:semiHidden/>
    <w:rsid w:val="009964C3"/>
    <w:rPr>
      <w:rFonts w:eastAsia="宋体"/>
      <w:kern w:val="2"/>
      <w:sz w:val="18"/>
      <w:szCs w:val="18"/>
      <w:lang w:val="en-US" w:eastAsia="zh-CN" w:bidi="ar-SA"/>
    </w:rPr>
  </w:style>
  <w:style w:type="character" w:customStyle="1" w:styleId="2Char5">
    <w:name w:val="标题2新 Char"/>
    <w:link w:val="29"/>
    <w:semiHidden/>
    <w:rsid w:val="009964C3"/>
    <w:rPr>
      <w:rFonts w:ascii="Cambria" w:hAnsi="Cambria"/>
      <w:b/>
      <w:bCs/>
      <w:kern w:val="2"/>
      <w:sz w:val="24"/>
      <w:szCs w:val="24"/>
    </w:rPr>
  </w:style>
  <w:style w:type="character" w:customStyle="1" w:styleId="4Char1">
    <w:name w:val="样式4 Char"/>
    <w:link w:val="44"/>
    <w:qFormat/>
    <w:rsid w:val="009964C3"/>
    <w:rPr>
      <w:rFonts w:eastAsia="黑体"/>
      <w:b/>
      <w:bCs/>
      <w:kern w:val="44"/>
      <w:sz w:val="32"/>
      <w:szCs w:val="44"/>
      <w:lang w:val="en-US" w:eastAsia="zh-CN" w:bidi="ar-SA"/>
    </w:rPr>
  </w:style>
  <w:style w:type="character" w:customStyle="1" w:styleId="ttag">
    <w:name w:val="t_tag"/>
    <w:basedOn w:val="af5"/>
    <w:qFormat/>
    <w:rsid w:val="009964C3"/>
  </w:style>
  <w:style w:type="character" w:customStyle="1" w:styleId="Char25">
    <w:name w:val="正文缩进 Char2"/>
    <w:qFormat/>
    <w:rsid w:val="009964C3"/>
    <w:rPr>
      <w:rFonts w:ascii="宋体" w:eastAsia="宋体"/>
      <w:kern w:val="2"/>
      <w:sz w:val="24"/>
      <w:lang w:val="en-US" w:eastAsia="zh-CN" w:bidi="ar-SA"/>
    </w:rPr>
  </w:style>
  <w:style w:type="character" w:customStyle="1" w:styleId="1Char8">
    <w:name w:val="样式 首行缩进:  1 字符 Char"/>
    <w:link w:val="1c"/>
    <w:semiHidden/>
    <w:rsid w:val="009964C3"/>
    <w:rPr>
      <w:rFonts w:ascii="宋体" w:cs="宋体"/>
      <w:snapToGrid w:val="0"/>
      <w:sz w:val="24"/>
      <w:szCs w:val="24"/>
    </w:rPr>
  </w:style>
  <w:style w:type="character" w:customStyle="1" w:styleId="1Char9">
    <w:name w:val="1样式表标 Char"/>
    <w:link w:val="1d"/>
    <w:qFormat/>
    <w:rsid w:val="009964C3"/>
    <w:rPr>
      <w:rFonts w:ascii="宋体" w:eastAsia="宋体" w:hAnsi="宋体"/>
      <w:kern w:val="2"/>
      <w:sz w:val="24"/>
      <w:lang w:val="en-US" w:eastAsia="zh-CN" w:bidi="ar-SA"/>
    </w:rPr>
  </w:style>
  <w:style w:type="character" w:customStyle="1" w:styleId="5Char4">
    <w:name w:val="表内小5 Char"/>
    <w:link w:val="58"/>
    <w:qFormat/>
    <w:rsid w:val="009964C3"/>
    <w:rPr>
      <w:rFonts w:ascii="宋体" w:eastAsia="宋体" w:hAnsi="宋体"/>
      <w:kern w:val="2"/>
      <w:sz w:val="18"/>
      <w:szCs w:val="24"/>
      <w:lang w:val="en-US" w:eastAsia="zh-CN" w:bidi="ar-SA"/>
    </w:rPr>
  </w:style>
  <w:style w:type="character" w:customStyle="1" w:styleId="241Char">
    <w:name w:val="样式 表标题2.4 + 居中 段前: 1 行 Char"/>
    <w:link w:val="2410"/>
    <w:qFormat/>
    <w:rsid w:val="009964C3"/>
    <w:rPr>
      <w:rFonts w:ascii="黑体" w:eastAsia="黑体" w:cs="宋体"/>
      <w:b/>
      <w:bCs/>
      <w:spacing w:val="6"/>
      <w:sz w:val="24"/>
      <w:szCs w:val="24"/>
      <w:lang w:val="en-US" w:eastAsia="zh-CN" w:bidi="ar-SA"/>
    </w:rPr>
  </w:style>
  <w:style w:type="character" w:customStyle="1" w:styleId="CharChar21">
    <w:name w:val="Char Char21"/>
    <w:qFormat/>
    <w:rsid w:val="009964C3"/>
    <w:rPr>
      <w:kern w:val="2"/>
    </w:rPr>
  </w:style>
  <w:style w:type="character" w:customStyle="1" w:styleId="big1">
    <w:name w:val="big1"/>
    <w:rsid w:val="009964C3"/>
    <w:rPr>
      <w:rFonts w:ascii="Arial" w:eastAsia="宋体" w:hAnsi="Arial"/>
      <w:kern w:val="2"/>
      <w:sz w:val="21"/>
      <w:lang w:val="en-US" w:eastAsia="zh-CN" w:bidi="ar-SA"/>
    </w:rPr>
  </w:style>
  <w:style w:type="character" w:customStyle="1" w:styleId="42CharChar">
    <w:name w:val="标题 4（桑2） Char Char"/>
    <w:rsid w:val="009964C3"/>
    <w:rPr>
      <w:rFonts w:ascii="楷体" w:eastAsia="楷体" w:hAnsi="楷体"/>
      <w:kern w:val="2"/>
      <w:sz w:val="24"/>
      <w:szCs w:val="24"/>
      <w:lang w:val="en-US" w:eastAsia="zh-CN" w:bidi="ar-SA"/>
    </w:rPr>
  </w:style>
  <w:style w:type="character" w:customStyle="1" w:styleId="L4Char">
    <w:name w:val="L4 Char"/>
    <w:qFormat/>
    <w:rsid w:val="009964C3"/>
    <w:rPr>
      <w:rFonts w:eastAsia="黑体" w:cs="宋体"/>
      <w:bCs/>
      <w:sz w:val="24"/>
      <w:szCs w:val="24"/>
      <w:lang w:val="en-US" w:eastAsia="zh-CN" w:bidi="ar-SA"/>
    </w:rPr>
  </w:style>
  <w:style w:type="character" w:customStyle="1" w:styleId="Char15">
    <w:name w:val="电子邮件签名 Char1"/>
    <w:link w:val="afffc"/>
    <w:rsid w:val="009964C3"/>
    <w:rPr>
      <w:kern w:val="2"/>
      <w:sz w:val="24"/>
    </w:rPr>
  </w:style>
  <w:style w:type="character" w:customStyle="1" w:styleId="df1">
    <w:name w:val="df1"/>
    <w:basedOn w:val="af5"/>
    <w:qFormat/>
    <w:rsid w:val="009964C3"/>
  </w:style>
  <w:style w:type="character" w:customStyle="1" w:styleId="CharChar39">
    <w:name w:val="Char Char39"/>
    <w:semiHidden/>
    <w:rsid w:val="009964C3"/>
    <w:rPr>
      <w:rFonts w:ascii="Times New Roman" w:eastAsia="宋体" w:hAnsi="Times New Roman" w:cs="Times New Roman"/>
      <w:sz w:val="18"/>
      <w:szCs w:val="18"/>
    </w:rPr>
  </w:style>
  <w:style w:type="character" w:customStyle="1" w:styleId="CharCharb">
    <w:name w:val="表文字 Char Char"/>
    <w:semiHidden/>
    <w:rsid w:val="009964C3"/>
    <w:rPr>
      <w:w w:val="105"/>
      <w:sz w:val="21"/>
      <w:lang w:val="en-US" w:eastAsia="zh-CN" w:bidi="ar-SA"/>
    </w:rPr>
  </w:style>
  <w:style w:type="character" w:customStyle="1" w:styleId="Char1CharChar">
    <w:name w:val="表头 Char1 Char Char"/>
    <w:qFormat/>
    <w:rsid w:val="009964C3"/>
    <w:rPr>
      <w:rFonts w:eastAsia="黑体"/>
      <w:color w:val="000000"/>
      <w:kern w:val="24"/>
      <w:sz w:val="24"/>
      <w:szCs w:val="24"/>
      <w:lang w:val="zh-CN" w:eastAsia="zh-CN" w:bidi="ar-SA"/>
    </w:rPr>
  </w:style>
  <w:style w:type="character" w:customStyle="1" w:styleId="1CharCharCharCharChar">
    <w:name w:val="正文1 Char Char Char Char Char"/>
    <w:link w:val="1CharChar2"/>
    <w:semiHidden/>
    <w:rsid w:val="009964C3"/>
    <w:rPr>
      <w:rFonts w:ascii="Arial Narrow" w:eastAsia="仿宋_GB2312" w:hAnsi="Arial Narrow"/>
      <w:color w:val="000000"/>
      <w:kern w:val="10"/>
      <w:sz w:val="28"/>
    </w:rPr>
  </w:style>
  <w:style w:type="character" w:customStyle="1" w:styleId="21Char">
    <w:name w:val="样式 正文首行缩进 + 首行缩进:  2 字符1 Char"/>
    <w:link w:val="211"/>
    <w:qFormat/>
    <w:rsid w:val="009964C3"/>
    <w:rPr>
      <w:rFonts w:ascii="宋体" w:eastAsia="宋体" w:hAnsi="宋体" w:cs="宋体"/>
      <w:kern w:val="2"/>
      <w:sz w:val="28"/>
      <w:lang w:val="en-US" w:eastAsia="zh-CN" w:bidi="ar-SA"/>
    </w:rPr>
  </w:style>
  <w:style w:type="character" w:customStyle="1" w:styleId="CharCharCharCharCharChar">
    <w:name w:val="样式 题注 + 居中 Char Char Char Char Char Char"/>
    <w:qFormat/>
    <w:rsid w:val="009964C3"/>
    <w:rPr>
      <w:rFonts w:ascii="Arial" w:eastAsia="黑体" w:hAnsi="Arial" w:cs="宋体"/>
      <w:kern w:val="2"/>
      <w:sz w:val="24"/>
      <w:szCs w:val="24"/>
      <w:lang w:val="en-US" w:eastAsia="zh-CN" w:bidi="ar-SA"/>
    </w:rPr>
  </w:style>
  <w:style w:type="character" w:customStyle="1" w:styleId="Char16">
    <w:name w:val="称呼 Char1"/>
    <w:link w:val="afffd"/>
    <w:rsid w:val="009964C3"/>
    <w:rPr>
      <w:kern w:val="2"/>
      <w:sz w:val="24"/>
    </w:rPr>
  </w:style>
  <w:style w:type="character" w:customStyle="1" w:styleId="1CharChar1Char">
    <w:name w:val="正文样式1 Char Char1 Char"/>
    <w:qFormat/>
    <w:rsid w:val="009964C3"/>
    <w:rPr>
      <w:rFonts w:eastAsia="宋体"/>
      <w:snapToGrid w:val="0"/>
      <w:position w:val="-12"/>
      <w:sz w:val="24"/>
      <w:szCs w:val="24"/>
      <w:lang w:val="en-US" w:eastAsia="zh-CN" w:bidi="ar-SA"/>
    </w:rPr>
  </w:style>
  <w:style w:type="character" w:customStyle="1" w:styleId="612Char">
    <w:name w:val="612表格 Char"/>
    <w:link w:val="612"/>
    <w:semiHidden/>
    <w:rsid w:val="009964C3"/>
    <w:rPr>
      <w:rFonts w:ascii="Arial Unicode MS" w:hAnsi="Arial Unicode MS"/>
      <w:kern w:val="2"/>
      <w:sz w:val="21"/>
      <w:szCs w:val="21"/>
    </w:rPr>
  </w:style>
  <w:style w:type="character" w:customStyle="1" w:styleId="Charfe">
    <w:name w:val="样式 表头 江 + 宋体 Char"/>
    <w:basedOn w:val="Charff"/>
    <w:link w:val="afffe"/>
    <w:semiHidden/>
    <w:rsid w:val="009964C3"/>
  </w:style>
  <w:style w:type="character" w:customStyle="1" w:styleId="unnamed2">
    <w:name w:val="unnamed2"/>
    <w:basedOn w:val="af5"/>
    <w:semiHidden/>
    <w:rsid w:val="009964C3"/>
  </w:style>
  <w:style w:type="character" w:customStyle="1" w:styleId="Charff">
    <w:name w:val="表头 江 Char"/>
    <w:link w:val="affff"/>
    <w:semiHidden/>
    <w:rsid w:val="009964C3"/>
    <w:rPr>
      <w:b/>
      <w:kern w:val="2"/>
      <w:sz w:val="28"/>
    </w:rPr>
  </w:style>
  <w:style w:type="character" w:customStyle="1" w:styleId="Char1Char">
    <w:name w:val="段落 Char1 Char"/>
    <w:rsid w:val="009964C3"/>
    <w:rPr>
      <w:rFonts w:eastAsia="宋体"/>
      <w:sz w:val="24"/>
      <w:szCs w:val="24"/>
      <w:lang w:val="en-US" w:eastAsia="zh-CN" w:bidi="ar-SA"/>
    </w:rPr>
  </w:style>
  <w:style w:type="character" w:customStyle="1" w:styleId="Charff0">
    <w:name w:val="中文报告书样式 Char"/>
    <w:semiHidden/>
    <w:rsid w:val="009964C3"/>
    <w:rPr>
      <w:rFonts w:eastAsia="宋体"/>
      <w:kern w:val="24"/>
      <w:sz w:val="24"/>
      <w:lang w:val="en-US" w:eastAsia="zh-CN" w:bidi="ar-SA"/>
    </w:rPr>
  </w:style>
  <w:style w:type="character" w:customStyle="1" w:styleId="CharCharc">
    <w:name w:val="表头文字 Char Char"/>
    <w:link w:val="affff0"/>
    <w:semiHidden/>
    <w:rsid w:val="009964C3"/>
    <w:rPr>
      <w:rFonts w:eastAsia="黑体"/>
      <w:kern w:val="2"/>
      <w:sz w:val="24"/>
    </w:rPr>
  </w:style>
  <w:style w:type="character" w:customStyle="1" w:styleId="Char18">
    <w:name w:val="表 Char1"/>
    <w:semiHidden/>
    <w:rsid w:val="009964C3"/>
    <w:rPr>
      <w:rFonts w:ascii="Arial" w:eastAsia="宋体" w:hAnsi="Arial"/>
      <w:bCs/>
      <w:color w:val="000000"/>
      <w:kern w:val="21"/>
      <w:sz w:val="21"/>
      <w:szCs w:val="24"/>
      <w:lang w:val="en-US" w:eastAsia="zh-CN" w:bidi="ar-SA"/>
    </w:rPr>
  </w:style>
  <w:style w:type="character" w:customStyle="1" w:styleId="CharChard">
    <w:name w:val="正文 Char Char"/>
    <w:link w:val="858D7CFB-ED40-4347-BF05-701D383B685F858D7CFB-ED40-4347-BF05-701D383B685F"/>
    <w:qFormat/>
    <w:rsid w:val="009964C3"/>
    <w:rPr>
      <w:rFonts w:eastAsia="宋体" w:cs="宋体"/>
      <w:kern w:val="2"/>
      <w:sz w:val="28"/>
      <w:szCs w:val="24"/>
      <w:lang w:val="en-US" w:eastAsia="zh-CN" w:bidi="ar-SA"/>
    </w:rPr>
  </w:style>
  <w:style w:type="character" w:customStyle="1" w:styleId="affff1">
    <w:name w:val="消息标题号"/>
    <w:rsid w:val="009964C3"/>
    <w:rPr>
      <w:rFonts w:ascii="Arial Black" w:eastAsia="黑体" w:hAnsi="Arial Black" w:cs="Arial Black"/>
      <w:b/>
      <w:bCs/>
      <w:sz w:val="21"/>
      <w:szCs w:val="21"/>
      <w:lang w:eastAsia="zh-CN"/>
    </w:rPr>
  </w:style>
  <w:style w:type="character" w:customStyle="1" w:styleId="Charff1">
    <w:name w:val="样式 表 + 五号 Char"/>
    <w:link w:val="affff2"/>
    <w:semiHidden/>
    <w:rsid w:val="009964C3"/>
    <w:rPr>
      <w:color w:val="000000"/>
      <w:kern w:val="2"/>
      <w:sz w:val="24"/>
      <w:szCs w:val="24"/>
    </w:rPr>
  </w:style>
  <w:style w:type="character" w:customStyle="1" w:styleId="2TimesNewRomanCharChar">
    <w:name w:val="样式 标题 2 + (西文) Times New Roman (中文) 宋体 四号 Char Char"/>
    <w:link w:val="2TimesNewRomanChar0"/>
    <w:semiHidden/>
    <w:rsid w:val="009964C3"/>
    <w:rPr>
      <w:rFonts w:ascii="Arial" w:hAnsi="Arial"/>
      <w:b/>
      <w:kern w:val="2"/>
      <w:sz w:val="28"/>
    </w:rPr>
  </w:style>
  <w:style w:type="character" w:customStyle="1" w:styleId="ak51">
    <w:name w:val="ak51"/>
    <w:qFormat/>
    <w:rsid w:val="009964C3"/>
    <w:rPr>
      <w:spacing w:val="300"/>
      <w:sz w:val="19"/>
      <w:szCs w:val="19"/>
    </w:rPr>
  </w:style>
  <w:style w:type="character" w:customStyle="1" w:styleId="1e">
    <w:name w:val="样式 (符号) 宋体 四号1"/>
    <w:qFormat/>
    <w:rsid w:val="009964C3"/>
    <w:rPr>
      <w:rFonts w:ascii="宋体" w:eastAsia="宋体"/>
      <w:color w:val="auto"/>
      <w:kern w:val="2"/>
      <w:sz w:val="28"/>
      <w:szCs w:val="24"/>
      <w:lang w:val="en-US" w:eastAsia="zh-CN" w:bidi="ar-SA"/>
    </w:rPr>
  </w:style>
  <w:style w:type="character" w:customStyle="1" w:styleId="1-1Char">
    <w:name w:val="正文1-1 Char"/>
    <w:link w:val="1-1"/>
    <w:rsid w:val="009964C3"/>
    <w:rPr>
      <w:rFonts w:eastAsia="宋体" w:hAnsi="华文仿宋"/>
      <w:kern w:val="2"/>
      <w:sz w:val="24"/>
      <w:lang w:val="en-US" w:eastAsia="zh-CN" w:bidi="ar-SA"/>
    </w:rPr>
  </w:style>
  <w:style w:type="character" w:customStyle="1" w:styleId="2Char6">
    <w:name w:val="2级标题 Char"/>
    <w:link w:val="2a"/>
    <w:qFormat/>
    <w:rsid w:val="009964C3"/>
    <w:rPr>
      <w:rFonts w:ascii="宋体" w:eastAsia="宋体" w:hAnsi="宋体"/>
      <w:b/>
      <w:bCs/>
      <w:color w:val="000000"/>
      <w:kern w:val="2"/>
      <w:sz w:val="24"/>
      <w:szCs w:val="24"/>
      <w:lang w:val="en-US" w:eastAsia="zh-CN" w:bidi="ar-SA"/>
    </w:rPr>
  </w:style>
  <w:style w:type="character" w:customStyle="1" w:styleId="1CharChar3">
    <w:name w:val="正文文字1 Char Char"/>
    <w:rsid w:val="009964C3"/>
    <w:rPr>
      <w:rFonts w:eastAsia="宋体"/>
      <w:kern w:val="2"/>
      <w:sz w:val="21"/>
      <w:szCs w:val="24"/>
      <w:lang w:val="en-US" w:eastAsia="zh-CN" w:bidi="ar-SA"/>
    </w:rPr>
  </w:style>
  <w:style w:type="character" w:customStyle="1" w:styleId="gChar0">
    <w:name w:val="g Char"/>
    <w:aliases w:val="even Char Char"/>
    <w:semiHidden/>
    <w:rsid w:val="009964C3"/>
    <w:rPr>
      <w:rFonts w:eastAsia="宋体"/>
      <w:kern w:val="2"/>
      <w:sz w:val="18"/>
      <w:lang w:val="en-US" w:eastAsia="zh-CN" w:bidi="ar-SA"/>
    </w:rPr>
  </w:style>
  <w:style w:type="character" w:customStyle="1" w:styleId="10115Char">
    <w:name w:val="样式 (中文) 华文楷体 四号 首行缩进:  1.01 厘米 行距: 1.5 倍行距 Char"/>
    <w:link w:val="10115"/>
    <w:qFormat/>
    <w:rsid w:val="009964C3"/>
    <w:rPr>
      <w:rFonts w:eastAsia="宋体"/>
      <w:kern w:val="2"/>
      <w:sz w:val="28"/>
      <w:szCs w:val="24"/>
      <w:lang w:val="en-US" w:eastAsia="zh-CN" w:bidi="ar-SA"/>
    </w:rPr>
  </w:style>
  <w:style w:type="character" w:customStyle="1" w:styleId="9Char">
    <w:name w:val="标题 9 Char"/>
    <w:link w:val="9"/>
    <w:qFormat/>
    <w:rsid w:val="009964C3"/>
    <w:rPr>
      <w:rFonts w:ascii="Arial" w:eastAsia="黑体" w:hAnsi="Arial" w:cs="宋体"/>
      <w:sz w:val="21"/>
      <w:szCs w:val="21"/>
      <w:lang w:val="en-US" w:eastAsia="zh-CN" w:bidi="ar-SA"/>
    </w:rPr>
  </w:style>
  <w:style w:type="character" w:customStyle="1" w:styleId="CharChar10">
    <w:name w:val="表格文字 Char Char1"/>
    <w:semiHidden/>
    <w:rsid w:val="009964C3"/>
    <w:rPr>
      <w:rFonts w:ascii="宋体" w:eastAsia="宋体" w:hAnsi="宋体"/>
      <w:kern w:val="2"/>
      <w:sz w:val="18"/>
      <w:szCs w:val="18"/>
      <w:lang w:val="en-US" w:eastAsia="zh-CN" w:bidi="ar-SA"/>
    </w:rPr>
  </w:style>
  <w:style w:type="character" w:customStyle="1" w:styleId="yypChar">
    <w:name w:val="yyp Char"/>
    <w:link w:val="yyp"/>
    <w:semiHidden/>
    <w:rsid w:val="009964C3"/>
    <w:rPr>
      <w:kern w:val="2"/>
      <w:sz w:val="24"/>
    </w:rPr>
  </w:style>
  <w:style w:type="character" w:customStyle="1" w:styleId="cucd-3Char1">
    <w:name w:val="cucd-3 Char1"/>
    <w:rsid w:val="009964C3"/>
    <w:rPr>
      <w:b/>
      <w:kern w:val="2"/>
      <w:sz w:val="28"/>
      <w:szCs w:val="24"/>
      <w:lang w:val="en-US" w:eastAsia="zh-CN" w:bidi="ar-SA"/>
    </w:rPr>
  </w:style>
  <w:style w:type="character" w:customStyle="1" w:styleId="ChChar1">
    <w:name w:val="Ch Char1"/>
    <w:qFormat/>
    <w:locked/>
    <w:rsid w:val="009964C3"/>
    <w:rPr>
      <w:rFonts w:ascii="方正大标宋简体" w:eastAsia="方正大标宋简体" w:hAnsi="宋体" w:cs="宋体"/>
      <w:b/>
      <w:bCs/>
      <w:kern w:val="44"/>
      <w:sz w:val="30"/>
      <w:szCs w:val="44"/>
      <w:lang w:val="en-US" w:eastAsia="zh-CN" w:bidi="ar-SA"/>
    </w:rPr>
  </w:style>
  <w:style w:type="character" w:customStyle="1" w:styleId="Char26">
    <w:name w:val="君邦正文 Char2"/>
    <w:link w:val="affff3"/>
    <w:semiHidden/>
    <w:rsid w:val="009964C3"/>
    <w:rPr>
      <w:sz w:val="24"/>
      <w:lang w:val="en-US" w:eastAsia="zh-CN" w:bidi="ar-SA"/>
    </w:rPr>
  </w:style>
  <w:style w:type="character" w:customStyle="1" w:styleId="-5Char">
    <w:name w:val="表加粗-5 Char"/>
    <w:link w:val="-5"/>
    <w:semiHidden/>
    <w:rsid w:val="009964C3"/>
    <w:rPr>
      <w:rFonts w:ascii="Arial" w:hAnsi="Arial"/>
      <w:b/>
      <w:sz w:val="21"/>
      <w:szCs w:val="18"/>
    </w:rPr>
  </w:style>
  <w:style w:type="character" w:customStyle="1" w:styleId="CharChar130">
    <w:name w:val="Char Char13"/>
    <w:semiHidden/>
    <w:rsid w:val="009964C3"/>
    <w:rPr>
      <w:rFonts w:ascii="Arial" w:eastAsia="宋体" w:hAnsi="Arial"/>
      <w:kern w:val="2"/>
      <w:sz w:val="18"/>
      <w:szCs w:val="24"/>
      <w:lang w:val="en-US" w:eastAsia="zh-CN" w:bidi="ar-SA"/>
    </w:rPr>
  </w:style>
  <w:style w:type="character" w:customStyle="1" w:styleId="affff4">
    <w:name w:val="单位"/>
    <w:rsid w:val="009964C3"/>
    <w:rPr>
      <w:rFonts w:ascii="宋体" w:eastAsia="宋体" w:hAnsi="宋体"/>
      <w:sz w:val="21"/>
    </w:rPr>
  </w:style>
  <w:style w:type="character" w:customStyle="1" w:styleId="L18CharChar">
    <w:name w:val="表格文字L18 Char Char"/>
    <w:link w:val="L18"/>
    <w:semiHidden/>
    <w:rsid w:val="009964C3"/>
    <w:rPr>
      <w:color w:val="000000"/>
      <w:kern w:val="32"/>
      <w:sz w:val="21"/>
    </w:rPr>
  </w:style>
  <w:style w:type="character" w:customStyle="1" w:styleId="content1">
    <w:name w:val="content1"/>
    <w:rsid w:val="009964C3"/>
    <w:rPr>
      <w:spacing w:val="270"/>
      <w:sz w:val="21"/>
      <w:szCs w:val="21"/>
    </w:rPr>
  </w:style>
  <w:style w:type="character" w:customStyle="1" w:styleId="1Char">
    <w:name w:val="标题 1 Char"/>
    <w:link w:val="13"/>
    <w:locked/>
    <w:rsid w:val="009964C3"/>
    <w:rPr>
      <w:rFonts w:eastAsia="黑体"/>
      <w:b/>
      <w:bCs/>
      <w:kern w:val="44"/>
      <w:sz w:val="36"/>
      <w:szCs w:val="44"/>
      <w:lang w:val="en-US" w:eastAsia="zh-CN" w:bidi="ar-SA"/>
    </w:rPr>
  </w:style>
  <w:style w:type="character" w:customStyle="1" w:styleId="2Char7">
    <w:name w:val="样式 标题 2 + Char"/>
    <w:link w:val="2b"/>
    <w:rsid w:val="009964C3"/>
    <w:rPr>
      <w:rFonts w:ascii="Arial" w:eastAsia="黑体" w:hAnsi="Arial" w:cs="宋体"/>
      <w:b/>
      <w:kern w:val="20"/>
      <w:sz w:val="30"/>
    </w:rPr>
  </w:style>
  <w:style w:type="character" w:customStyle="1" w:styleId="Charff2">
    <w:name w:val="正文缩 Char"/>
    <w:qFormat/>
    <w:rsid w:val="009964C3"/>
    <w:rPr>
      <w:rFonts w:ascii="宋体" w:eastAsia="宋体"/>
      <w:spacing w:val="6"/>
      <w:sz w:val="28"/>
      <w:lang w:val="en-US" w:eastAsia="zh-CN"/>
    </w:rPr>
  </w:style>
  <w:style w:type="character" w:customStyle="1" w:styleId="035CharChar">
    <w:name w:val="样式 表头 + 加宽量  0.35 磅 Char Char"/>
    <w:semiHidden/>
    <w:rsid w:val="009964C3"/>
    <w:rPr>
      <w:rFonts w:eastAsia="黑体"/>
      <w:iCs/>
      <w:color w:val="000000"/>
      <w:w w:val="105"/>
      <w:kern w:val="2"/>
      <w:sz w:val="24"/>
      <w:szCs w:val="24"/>
      <w:lang w:val="en-US" w:eastAsia="zh-CN" w:bidi="ar-SA"/>
    </w:rPr>
  </w:style>
  <w:style w:type="character" w:customStyle="1" w:styleId="Charff3">
    <w:name w:val="称呼 Char"/>
    <w:semiHidden/>
    <w:rsid w:val="009964C3"/>
    <w:rPr>
      <w:rFonts w:ascii="Times New Roman" w:eastAsia="宋体" w:hAnsi="Times New Roman" w:cs="Times New Roman"/>
      <w:szCs w:val="24"/>
    </w:rPr>
  </w:style>
  <w:style w:type="character" w:customStyle="1" w:styleId="CharChar15">
    <w:name w:val="段落 Char Char1"/>
    <w:qFormat/>
    <w:rsid w:val="009964C3"/>
    <w:rPr>
      <w:rFonts w:eastAsia="宋体" w:hAnsi="宋体"/>
      <w:kern w:val="24"/>
      <w:sz w:val="24"/>
      <w:szCs w:val="24"/>
      <w:lang w:val="en-US" w:eastAsia="zh-CN" w:bidi="ar-SA"/>
    </w:rPr>
  </w:style>
  <w:style w:type="character" w:customStyle="1" w:styleId="2Char8">
    <w:name w:val="样式 样式 标题2 + 小四 + 非加粗 Char"/>
    <w:link w:val="2c"/>
    <w:rsid w:val="009964C3"/>
    <w:rPr>
      <w:rFonts w:ascii="黑体" w:eastAsia="黑体"/>
      <w:kern w:val="44"/>
      <w:sz w:val="24"/>
      <w:szCs w:val="44"/>
      <w:lang w:val="en-US" w:eastAsia="zh-CN" w:bidi="ar-SA"/>
    </w:rPr>
  </w:style>
  <w:style w:type="character" w:customStyle="1" w:styleId="41CharChar">
    <w:name w:val="表4.1 Char Char"/>
    <w:link w:val="410"/>
    <w:qFormat/>
    <w:rsid w:val="009964C3"/>
    <w:rPr>
      <w:rFonts w:ascii="黑体" w:eastAsia="黑体"/>
      <w:b/>
      <w:sz w:val="24"/>
      <w:szCs w:val="26"/>
      <w:lang w:val="en-US" w:eastAsia="zh-CN" w:bidi="ar-SA"/>
    </w:rPr>
  </w:style>
  <w:style w:type="character" w:customStyle="1" w:styleId="Footer1CharChar">
    <w:name w:val="Footer1 Char Char"/>
    <w:rsid w:val="009964C3"/>
    <w:rPr>
      <w:rFonts w:eastAsia="宋体"/>
      <w:kern w:val="2"/>
      <w:sz w:val="18"/>
      <w:lang w:val="en-US" w:eastAsia="zh-CN" w:bidi="ar-SA"/>
    </w:rPr>
  </w:style>
  <w:style w:type="character" w:customStyle="1" w:styleId="CharChar26">
    <w:name w:val="Char Char26"/>
    <w:semiHidden/>
    <w:rsid w:val="009964C3"/>
    <w:rPr>
      <w:rFonts w:ascii="Arial" w:eastAsia="宋体" w:hAnsi="Arial"/>
      <w:kern w:val="2"/>
      <w:sz w:val="18"/>
      <w:szCs w:val="18"/>
      <w:lang w:val="en-US" w:eastAsia="zh-CN" w:bidi="ar-SA"/>
    </w:rPr>
  </w:style>
  <w:style w:type="character" w:customStyle="1" w:styleId="zw1">
    <w:name w:val="zw1"/>
    <w:semiHidden/>
    <w:qFormat/>
    <w:rsid w:val="009964C3"/>
    <w:rPr>
      <w:sz w:val="21"/>
      <w:szCs w:val="21"/>
    </w:rPr>
  </w:style>
  <w:style w:type="character" w:customStyle="1" w:styleId="f241">
    <w:name w:val="f241"/>
    <w:semiHidden/>
    <w:rsid w:val="009964C3"/>
    <w:rPr>
      <w:rFonts w:ascii="Arial" w:eastAsia="宋体" w:hAnsi="Arial"/>
      <w:kern w:val="2"/>
      <w:sz w:val="42"/>
      <w:szCs w:val="42"/>
      <w:lang w:val="en-US" w:eastAsia="zh-CN" w:bidi="ar-SA"/>
    </w:rPr>
  </w:style>
  <w:style w:type="character" w:customStyle="1" w:styleId="Char19">
    <w:name w:val="批注文字 Char1"/>
    <w:link w:val="affff5"/>
    <w:rsid w:val="009964C3"/>
    <w:rPr>
      <w:color w:val="000000"/>
      <w:spacing w:val="10"/>
      <w:sz w:val="18"/>
    </w:rPr>
  </w:style>
  <w:style w:type="character" w:customStyle="1" w:styleId="cucd-2Char">
    <w:name w:val="cucd-2 Char"/>
    <w:link w:val="cucd-2"/>
    <w:rsid w:val="009964C3"/>
    <w:rPr>
      <w:kern w:val="2"/>
      <w:sz w:val="24"/>
      <w:szCs w:val="24"/>
      <w:lang w:val="en-US" w:eastAsia="zh-CN" w:bidi="ar-SA"/>
    </w:rPr>
  </w:style>
  <w:style w:type="character" w:customStyle="1" w:styleId="Hilight">
    <w:name w:val="Hilight"/>
    <w:qFormat/>
    <w:rsid w:val="009964C3"/>
    <w:rPr>
      <w:rFonts w:ascii="Tahoma" w:hAnsi="Tahoma"/>
      <w:b/>
      <w:color w:val="000080"/>
    </w:rPr>
  </w:style>
  <w:style w:type="character" w:customStyle="1" w:styleId="2Char9">
    <w:name w:val="样式 正文文本 + 首行缩进:  2 字符 Char"/>
    <w:link w:val="2d"/>
    <w:qFormat/>
    <w:rsid w:val="009964C3"/>
    <w:rPr>
      <w:rFonts w:eastAsia="宋体" w:cs="宋体"/>
      <w:kern w:val="2"/>
      <w:sz w:val="24"/>
      <w:szCs w:val="24"/>
      <w:lang w:val="en-US" w:eastAsia="zh-CN" w:bidi="ar-SA"/>
    </w:rPr>
  </w:style>
  <w:style w:type="character" w:customStyle="1" w:styleId="Char1a">
    <w:name w:val="纯文本 Char1"/>
    <w:aliases w:val="文字缩进 Char1,表格 Char,Plain Text Char,普通文字 Char2,普通文字 Char Char3,纯文本 Char Char3,纯文本 Char Char Char Char Char2,纯文本 Char Char Char Char2,纯文本 Char Char Char3,普通文字 Char Char Char Char2,普通文字 Char Char Char Char Char Char Char Char Char1,纯文本2 Char1"/>
    <w:rsid w:val="009964C3"/>
    <w:rPr>
      <w:rFonts w:ascii="宋体" w:eastAsia="宋体" w:hAnsi="Courier New" w:cs="Courier New"/>
      <w:kern w:val="2"/>
      <w:sz w:val="21"/>
      <w:szCs w:val="21"/>
      <w:lang w:val="en-US" w:eastAsia="zh-CN" w:bidi="ar-SA"/>
    </w:rPr>
  </w:style>
  <w:style w:type="character" w:customStyle="1" w:styleId="googqs-tidbitgoogqs-tidbit-0">
    <w:name w:val="goog_qs-tidbit goog_qs-tidbit-0"/>
    <w:semiHidden/>
    <w:rsid w:val="009964C3"/>
    <w:rPr>
      <w:rFonts w:ascii="Arial" w:eastAsia="宋体" w:hAnsi="Arial"/>
      <w:kern w:val="2"/>
      <w:sz w:val="21"/>
      <w:lang w:val="en-US" w:eastAsia="zh-CN" w:bidi="ar-SA"/>
    </w:rPr>
  </w:style>
  <w:style w:type="character" w:customStyle="1" w:styleId="Char27">
    <w:name w:val="段落 Char2"/>
    <w:qFormat/>
    <w:rsid w:val="009964C3"/>
    <w:rPr>
      <w:rFonts w:eastAsia="宋体"/>
      <w:kern w:val="24"/>
      <w:sz w:val="24"/>
      <w:szCs w:val="24"/>
      <w:lang w:val="en-US" w:eastAsia="zh-CN" w:bidi="ar-SA"/>
    </w:rPr>
  </w:style>
  <w:style w:type="character" w:customStyle="1" w:styleId="CharChare">
    <w:name w:val="表内文字 Char Char"/>
    <w:qFormat/>
    <w:rsid w:val="009964C3"/>
    <w:rPr>
      <w:rFonts w:ascii="宋体" w:eastAsia="宋体" w:hAnsi="Courier New" w:cs="Courier New"/>
      <w:kern w:val="2"/>
      <w:sz w:val="21"/>
      <w:szCs w:val="21"/>
      <w:lang w:val="en-US" w:eastAsia="zh-CN" w:bidi="ar-SA"/>
    </w:rPr>
  </w:style>
  <w:style w:type="character" w:customStyle="1" w:styleId="Charff4">
    <w:name w:val="编号 Char"/>
    <w:link w:val="a2"/>
    <w:qFormat/>
    <w:rsid w:val="009964C3"/>
    <w:rPr>
      <w:kern w:val="2"/>
      <w:sz w:val="24"/>
    </w:rPr>
  </w:style>
  <w:style w:type="character" w:customStyle="1" w:styleId="1f">
    <w:name w:val="明显参考1"/>
    <w:qFormat/>
    <w:rsid w:val="009964C3"/>
    <w:rPr>
      <w:b/>
      <w:bCs/>
      <w:smallCaps/>
      <w:color w:val="C0504D"/>
      <w:spacing w:val="5"/>
      <w:u w:val="single"/>
    </w:rPr>
  </w:style>
  <w:style w:type="character" w:customStyle="1" w:styleId="5Char40">
    <w:name w:val="表内5 Char4"/>
    <w:qFormat/>
    <w:rsid w:val="009964C3"/>
    <w:rPr>
      <w:rFonts w:ascii="宋体" w:eastAsia="宋体"/>
      <w:kern w:val="2"/>
      <w:sz w:val="21"/>
      <w:lang w:val="en-US" w:eastAsia="zh-CN" w:bidi="ar-SA"/>
    </w:rPr>
  </w:style>
  <w:style w:type="character" w:customStyle="1" w:styleId="2Chara">
    <w:name w:val="样式 样式 首行缩进:  2 字符 + Char"/>
    <w:basedOn w:val="2Charb"/>
    <w:link w:val="2e"/>
    <w:semiHidden/>
    <w:rsid w:val="009964C3"/>
  </w:style>
  <w:style w:type="character" w:customStyle="1" w:styleId="2Charc">
    <w:name w:val="样式 四号 首行缩进:  2 字符 Char"/>
    <w:rsid w:val="009964C3"/>
    <w:rPr>
      <w:rFonts w:ascii="宋体" w:eastAsia="宋体" w:hAnsi="宋体" w:cs="宋体"/>
      <w:color w:val="000000"/>
      <w:sz w:val="28"/>
      <w:szCs w:val="28"/>
      <w:lang w:val="en-US" w:eastAsia="zh-CN" w:bidi="ar-SA"/>
    </w:rPr>
  </w:style>
  <w:style w:type="character" w:customStyle="1" w:styleId="gChar4">
    <w:name w:val="g Char4"/>
    <w:aliases w:val="even Char4,页眉，DHCC 公司页眉 Char4,ITTHEADER Char1,页眉1 Char3,页眉2 Char3,页眉 Char Char1,页眉 Char Char Char Char1,新表 Char1,无页眉 Char2,页眉R Char2,奇数页眉 Char2,En-tête client Char Char2"/>
    <w:rsid w:val="009964C3"/>
    <w:rPr>
      <w:rFonts w:eastAsia="宋体"/>
      <w:kern w:val="2"/>
      <w:sz w:val="18"/>
      <w:szCs w:val="18"/>
      <w:lang w:val="en-US" w:eastAsia="zh-CN" w:bidi="ar-SA"/>
    </w:rPr>
  </w:style>
  <w:style w:type="character" w:customStyle="1" w:styleId="Charff5">
    <w:name w:val="表标题 Char"/>
    <w:rsid w:val="009964C3"/>
    <w:rPr>
      <w:rFonts w:ascii="黑体" w:eastAsia="黑体"/>
      <w:sz w:val="28"/>
      <w:szCs w:val="28"/>
      <w:lang w:val="en-US" w:eastAsia="zh-CN" w:bidi="ar-SA"/>
    </w:rPr>
  </w:style>
  <w:style w:type="character" w:customStyle="1" w:styleId="5Char20">
    <w:name w:val="表内小5 Char2"/>
    <w:qFormat/>
    <w:rsid w:val="009964C3"/>
    <w:rPr>
      <w:rFonts w:ascii="宋体" w:eastAsia="宋体" w:hAnsi="宋体"/>
      <w:kern w:val="2"/>
      <w:sz w:val="18"/>
      <w:szCs w:val="24"/>
      <w:lang w:val="en-US" w:eastAsia="zh-CN" w:bidi="ar-SA"/>
    </w:rPr>
  </w:style>
  <w:style w:type="character" w:styleId="affff6">
    <w:name w:val="Intense Emphasis"/>
    <w:qFormat/>
    <w:rsid w:val="009964C3"/>
    <w:rPr>
      <w:rFonts w:eastAsia="宋体"/>
      <w:b/>
      <w:i/>
      <w:color w:val="4F81BD"/>
      <w:kern w:val="2"/>
      <w:sz w:val="21"/>
      <w:lang w:val="en-US" w:eastAsia="zh-CN" w:bidi="ar-SA"/>
    </w:rPr>
  </w:style>
  <w:style w:type="character" w:customStyle="1" w:styleId="thr41">
    <w:name w:val="thr41"/>
    <w:semiHidden/>
    <w:rsid w:val="009964C3"/>
    <w:rPr>
      <w:rFonts w:ascii="Tahoma" w:hAnsi="Tahoma" w:cs="Tahoma" w:hint="default"/>
      <w:b/>
      <w:bCs/>
      <w:color w:val="016A9F"/>
      <w:sz w:val="28"/>
      <w:szCs w:val="28"/>
    </w:rPr>
  </w:style>
  <w:style w:type="character" w:customStyle="1" w:styleId="cctt1">
    <w:name w:val="cctt1"/>
    <w:qFormat/>
    <w:rsid w:val="009964C3"/>
    <w:rPr>
      <w:rFonts w:ascii="宋体" w:eastAsia="宋体" w:hAnsi="宋体" w:hint="eastAsia"/>
      <w:color w:val="000000"/>
      <w:sz w:val="32"/>
      <w:szCs w:val="32"/>
      <w:u w:val="none"/>
    </w:rPr>
  </w:style>
  <w:style w:type="character" w:customStyle="1" w:styleId="Char1b">
    <w:name w:val="正文首行缩进 Char1"/>
    <w:aliases w:val="正文首行缩进 Char Char"/>
    <w:qFormat/>
    <w:rsid w:val="009964C3"/>
    <w:rPr>
      <w:rFonts w:eastAsia="宋体"/>
      <w:snapToGrid w:val="0"/>
      <w:kern w:val="28"/>
      <w:sz w:val="24"/>
      <w:szCs w:val="28"/>
      <w:lang w:val="en-US" w:eastAsia="zh-CN" w:bidi="ar-SA"/>
    </w:rPr>
  </w:style>
  <w:style w:type="character" w:customStyle="1" w:styleId="612CharChar">
    <w:name w:val="612表头 Char Char"/>
    <w:semiHidden/>
    <w:rsid w:val="009964C3"/>
    <w:rPr>
      <w:b/>
      <w:kern w:val="2"/>
      <w:sz w:val="21"/>
      <w:szCs w:val="21"/>
    </w:rPr>
  </w:style>
  <w:style w:type="character" w:customStyle="1" w:styleId="3Char0">
    <w:name w:val="标题样式3 Char"/>
    <w:link w:val="34"/>
    <w:qFormat/>
    <w:rsid w:val="009964C3"/>
    <w:rPr>
      <w:rFonts w:ascii="黑体" w:eastAsia="黑体" w:cs="黑体"/>
      <w:b/>
      <w:bCs/>
      <w:kern w:val="2"/>
      <w:sz w:val="28"/>
      <w:szCs w:val="28"/>
      <w:lang w:val="zh-CN" w:eastAsia="zh-CN" w:bidi="ar-SA"/>
    </w:rPr>
  </w:style>
  <w:style w:type="character" w:customStyle="1" w:styleId="7Char">
    <w:name w:val="标题 7 Char"/>
    <w:link w:val="7"/>
    <w:qFormat/>
    <w:rsid w:val="009964C3"/>
    <w:rPr>
      <w:rFonts w:ascii="宋体" w:eastAsia="宋体" w:hAnsi="宋体" w:cs="宋体"/>
      <w:b/>
      <w:bCs/>
      <w:sz w:val="24"/>
      <w:szCs w:val="24"/>
      <w:lang w:val="en-US" w:eastAsia="zh-CN" w:bidi="ar-SA"/>
    </w:rPr>
  </w:style>
  <w:style w:type="character" w:customStyle="1" w:styleId="C">
    <w:name w:val="缩进 C"/>
    <w:rsid w:val="009964C3"/>
    <w:rPr>
      <w:rFonts w:eastAsia="宋体"/>
      <w:kern w:val="2"/>
      <w:sz w:val="21"/>
      <w:szCs w:val="24"/>
      <w:lang w:val="en-US" w:eastAsia="zh-CN" w:bidi="ar-SA"/>
    </w:rPr>
  </w:style>
  <w:style w:type="character" w:customStyle="1" w:styleId="cucd-1Char">
    <w:name w:val="cucd-1 Char"/>
    <w:qFormat/>
    <w:rsid w:val="009964C3"/>
    <w:rPr>
      <w:rFonts w:eastAsia="黑体"/>
      <w:b/>
      <w:kern w:val="2"/>
      <w:sz w:val="36"/>
      <w:szCs w:val="24"/>
      <w:lang w:val="en-US" w:eastAsia="zh-CN" w:bidi="ar-SA"/>
    </w:rPr>
  </w:style>
  <w:style w:type="character" w:customStyle="1" w:styleId="contont-over1">
    <w:name w:val="contont-over1"/>
    <w:semiHidden/>
    <w:rsid w:val="009964C3"/>
    <w:rPr>
      <w:sz w:val="21"/>
      <w:szCs w:val="21"/>
    </w:rPr>
  </w:style>
  <w:style w:type="character" w:customStyle="1" w:styleId="CharChar16">
    <w:name w:val="Char Char16"/>
    <w:semiHidden/>
    <w:rsid w:val="009964C3"/>
    <w:rPr>
      <w:rFonts w:ascii="Arial" w:eastAsia="宋体" w:hAnsi="Arial" w:cs="Arial"/>
      <w:b/>
      <w:bCs/>
      <w:kern w:val="2"/>
      <w:sz w:val="32"/>
      <w:szCs w:val="32"/>
      <w:lang w:val="en-US" w:eastAsia="zh-CN" w:bidi="ar-SA"/>
    </w:rPr>
  </w:style>
  <w:style w:type="character" w:customStyle="1" w:styleId="CharCharf">
    <w:name w:val="表题 Char Char"/>
    <w:rsid w:val="009964C3"/>
    <w:rPr>
      <w:rFonts w:ascii="Arial" w:eastAsia="黑体" w:hAnsi="Arial" w:cs="Arial"/>
      <w:kern w:val="2"/>
      <w:lang w:val="en-US" w:eastAsia="zh-CN" w:bidi="ar-SA"/>
    </w:rPr>
  </w:style>
  <w:style w:type="character" w:customStyle="1" w:styleId="Char28">
    <w:name w:val="正文文本缩进 Char2"/>
    <w:semiHidden/>
    <w:rsid w:val="009964C3"/>
    <w:rPr>
      <w:kern w:val="2"/>
      <w:sz w:val="21"/>
      <w:szCs w:val="24"/>
    </w:rPr>
  </w:style>
  <w:style w:type="character" w:customStyle="1" w:styleId="Charff6">
    <w:name w:val="题注 Char"/>
    <w:aliases w:val="4表内容 Char1,7表内容 Char,AGT ESIA Char,Map Char,题注 Char Char Char Char,题注 Char Char Char Char Char Char Char1,题注 Char Char Char Char Char Char Char Char1,题注 Char Char Char Char Char Char1 Char Char Char,题注1 Char Char Char,实德题注 Char"/>
    <w:qFormat/>
    <w:rsid w:val="009964C3"/>
    <w:rPr>
      <w:rFonts w:ascii="Times New Roman" w:eastAsia="黑体" w:hAnsi="Times New Roman" w:cs="Times New Roman"/>
      <w:sz w:val="24"/>
      <w:szCs w:val="20"/>
    </w:rPr>
  </w:style>
  <w:style w:type="character" w:customStyle="1" w:styleId="3Char3">
    <w:name w:val="3级标题 Char"/>
    <w:link w:val="35"/>
    <w:qFormat/>
    <w:rsid w:val="009964C3"/>
    <w:rPr>
      <w:rFonts w:ascii="黑体" w:eastAsia="黑体" w:hAnsi="宋体"/>
      <w:b/>
      <w:bCs/>
      <w:color w:val="000000"/>
      <w:kern w:val="2"/>
      <w:sz w:val="24"/>
      <w:szCs w:val="32"/>
      <w:lang w:val="en-US" w:eastAsia="zh-CN" w:bidi="ar-SA"/>
    </w:rPr>
  </w:style>
  <w:style w:type="character" w:customStyle="1" w:styleId="Charff7">
    <w:name w:val="正文文本缩进 Char"/>
    <w:aliases w:val="正文文字缩进 Char"/>
    <w:qFormat/>
    <w:rsid w:val="009964C3"/>
    <w:rPr>
      <w:rFonts w:ascii="宋体" w:eastAsia="宋体" w:hAnsi="宋体"/>
      <w:sz w:val="24"/>
      <w:lang w:val="en-US" w:eastAsia="zh-CN" w:bidi="ar-SA"/>
    </w:rPr>
  </w:style>
  <w:style w:type="character" w:customStyle="1" w:styleId="GB2312Char">
    <w:name w:val="样式 楷体_GB2312 小四 红色 Char"/>
    <w:link w:val="GB23120"/>
    <w:rsid w:val="009964C3"/>
    <w:rPr>
      <w:rFonts w:ascii="楷体_GB2312" w:eastAsia="宋体"/>
      <w:color w:val="FF0000"/>
      <w:sz w:val="24"/>
      <w:szCs w:val="24"/>
      <w:lang w:val="en-US" w:eastAsia="zh-CN" w:bidi="ar-SA"/>
    </w:rPr>
  </w:style>
  <w:style w:type="character" w:customStyle="1" w:styleId="TimesNewRomanGB231226Char">
    <w:name w:val="样式 (西文) Times New Roman (中文) 仿宋_GB2312 黑色 首行缩进:  2 字符 段前: 6 ... Char"/>
    <w:link w:val="TimesNewRomanGB231226"/>
    <w:semiHidden/>
    <w:rsid w:val="009964C3"/>
    <w:rPr>
      <w:rFonts w:ascii="Arial Unicode MS" w:eastAsia="仿宋_GB2312" w:hAnsi="Arial Unicode MS" w:cs="宋体"/>
      <w:color w:val="000000"/>
      <w:sz w:val="24"/>
    </w:rPr>
  </w:style>
  <w:style w:type="character" w:customStyle="1" w:styleId="Charff8">
    <w:name w:val="文档结构图 Char"/>
    <w:link w:val="affff7"/>
    <w:rsid w:val="009964C3"/>
    <w:rPr>
      <w:rFonts w:eastAsia="宋体"/>
      <w:kern w:val="2"/>
      <w:sz w:val="21"/>
      <w:szCs w:val="24"/>
      <w:lang w:val="en-US" w:eastAsia="zh-CN" w:bidi="ar-SA"/>
    </w:rPr>
  </w:style>
  <w:style w:type="character" w:customStyle="1" w:styleId="2CharCharCharChar">
    <w:name w:val="标题 2 Char Char Char Char"/>
    <w:semiHidden/>
    <w:rsid w:val="009964C3"/>
    <w:rPr>
      <w:rFonts w:ascii="宋体" w:eastAsia="宋体" w:hAnsi="宋体" w:cs="Arial"/>
      <w:b/>
      <w:bCs/>
      <w:spacing w:val="6"/>
      <w:kern w:val="2"/>
      <w:sz w:val="30"/>
      <w:szCs w:val="30"/>
      <w:lang w:val="en-US" w:eastAsia="zh-CN" w:bidi="ar-SA"/>
    </w:rPr>
  </w:style>
  <w:style w:type="character" w:customStyle="1" w:styleId="CharChar171">
    <w:name w:val="Char Char171"/>
    <w:qFormat/>
    <w:rsid w:val="009964C3"/>
    <w:rPr>
      <w:rFonts w:eastAsia="宋体"/>
      <w:snapToGrid w:val="0"/>
      <w:kern w:val="24"/>
      <w:sz w:val="24"/>
      <w:lang w:val="en-US" w:eastAsia="zh-CN" w:bidi="ar-SA"/>
    </w:rPr>
  </w:style>
  <w:style w:type="character" w:customStyle="1" w:styleId="Charff9">
    <w:name w:val="图题 Char"/>
    <w:link w:val="affff8"/>
    <w:qFormat/>
    <w:rsid w:val="009964C3"/>
    <w:rPr>
      <w:rFonts w:ascii="方正大标宋简体" w:eastAsia="方正大标宋简体" w:hAnsi="宋体" w:cs="宋体"/>
      <w:b/>
      <w:kern w:val="2"/>
      <w:sz w:val="24"/>
      <w:szCs w:val="24"/>
      <w:lang w:val="en-US" w:eastAsia="zh-CN" w:bidi="ar-SA"/>
    </w:rPr>
  </w:style>
  <w:style w:type="character" w:customStyle="1" w:styleId="InTableChar">
    <w:name w:val="In Table Char"/>
    <w:qFormat/>
    <w:rsid w:val="009964C3"/>
    <w:rPr>
      <w:rFonts w:eastAsia="宋体"/>
      <w:bCs/>
      <w:kern w:val="2"/>
      <w:sz w:val="22"/>
      <w:szCs w:val="21"/>
      <w:lang w:val="en-US" w:eastAsia="zh-CN" w:bidi="ar-SA"/>
    </w:rPr>
  </w:style>
  <w:style w:type="character" w:customStyle="1" w:styleId="5Char5">
    <w:name w:val="样式 表内5 + (符号) 宋体 两端对齐 行距: 单倍行距 Char"/>
    <w:link w:val="5a"/>
    <w:qFormat/>
    <w:rsid w:val="009964C3"/>
    <w:rPr>
      <w:rFonts w:ascii="宋体" w:eastAsia="宋体" w:hAnsi="宋体" w:cs="宋体"/>
      <w:sz w:val="21"/>
      <w:lang w:val="en-US" w:eastAsia="zh-CN" w:bidi="ar-SA"/>
    </w:rPr>
  </w:style>
  <w:style w:type="character" w:customStyle="1" w:styleId="s422Char">
    <w:name w:val="样式 样式 样式 正文缩进s4 + 首行缩进:  2 字符 + 首行缩进:  2 字符 + Char"/>
    <w:semiHidden/>
    <w:locked/>
    <w:rsid w:val="009964C3"/>
    <w:rPr>
      <w:rFonts w:eastAsia="仿宋_GB2312" w:cs="宋体"/>
      <w:color w:val="000000"/>
      <w:kern w:val="2"/>
      <w:sz w:val="28"/>
      <w:lang w:val="en-US" w:eastAsia="zh-CN" w:bidi="ar-SA"/>
    </w:rPr>
  </w:style>
  <w:style w:type="character" w:customStyle="1" w:styleId="TimesNewRomanGB231226Char0">
    <w:name w:val="样式 样式 (西文) Times New Roman (中文) 仿宋_GB2312 黑色 首行缩进:  2 字符 段前: 6 .... Char"/>
    <w:link w:val="TimesNewRomanGB2312260"/>
    <w:semiHidden/>
    <w:rsid w:val="009964C3"/>
    <w:rPr>
      <w:rFonts w:ascii="宋体" w:hAnsi="宋体" w:cs="宋体"/>
      <w:color w:val="000000"/>
      <w:sz w:val="24"/>
    </w:rPr>
  </w:style>
  <w:style w:type="character" w:customStyle="1" w:styleId="2Chard">
    <w:name w:val="正文首行缩进 2 Char"/>
    <w:link w:val="212"/>
    <w:locked/>
    <w:rsid w:val="009964C3"/>
    <w:rPr>
      <w:rFonts w:eastAsia="宋体"/>
      <w:kern w:val="2"/>
      <w:sz w:val="21"/>
      <w:szCs w:val="24"/>
      <w:lang w:val="en-US" w:eastAsia="zh-CN" w:bidi="ar-SA"/>
    </w:rPr>
  </w:style>
  <w:style w:type="character" w:customStyle="1" w:styleId="Char50">
    <w:name w:val="正文缩进 Char5"/>
    <w:rsid w:val="009964C3"/>
    <w:rPr>
      <w:rFonts w:ascii="宋体" w:eastAsia="宋体" w:hAnsi="宋体"/>
      <w:color w:val="000000"/>
      <w:kern w:val="2"/>
      <w:sz w:val="24"/>
      <w:szCs w:val="24"/>
      <w:lang w:val="en-US" w:eastAsia="zh-CN" w:bidi="ar-SA"/>
    </w:rPr>
  </w:style>
  <w:style w:type="character" w:customStyle="1" w:styleId="Char1c">
    <w:name w:val="洋表 Char1"/>
    <w:link w:val="affff9"/>
    <w:semiHidden/>
    <w:rsid w:val="009964C3"/>
    <w:rPr>
      <w:kern w:val="2"/>
      <w:sz w:val="24"/>
    </w:rPr>
  </w:style>
  <w:style w:type="character" w:customStyle="1" w:styleId="postbody1">
    <w:name w:val="postbody1"/>
    <w:qFormat/>
    <w:rsid w:val="009964C3"/>
    <w:rPr>
      <w:sz w:val="18"/>
      <w:szCs w:val="18"/>
    </w:rPr>
  </w:style>
  <w:style w:type="character" w:customStyle="1" w:styleId="Char1d">
    <w:name w:val="正文文本 Char1"/>
    <w:semiHidden/>
    <w:rsid w:val="009964C3"/>
    <w:rPr>
      <w:color w:val="000000"/>
      <w:kern w:val="2"/>
      <w:sz w:val="24"/>
    </w:rPr>
  </w:style>
  <w:style w:type="character" w:customStyle="1" w:styleId="3Char4">
    <w:name w:val="样式3 Char"/>
    <w:semiHidden/>
    <w:qFormat/>
    <w:rsid w:val="009964C3"/>
    <w:rPr>
      <w:rFonts w:ascii="黑体" w:eastAsia="黑体" w:hAnsi="宋体" w:cs="Times New Roman"/>
      <w:kern w:val="2"/>
      <w:sz w:val="24"/>
      <w:szCs w:val="24"/>
    </w:rPr>
  </w:style>
  <w:style w:type="character" w:customStyle="1" w:styleId="CharChar61">
    <w:name w:val="Char Char61"/>
    <w:qFormat/>
    <w:rsid w:val="009964C3"/>
    <w:rPr>
      <w:rFonts w:eastAsia="宋体"/>
      <w:kern w:val="24"/>
      <w:sz w:val="16"/>
      <w:szCs w:val="16"/>
      <w:lang w:val="en-US" w:eastAsia="zh-CN" w:bidi="ar-SA"/>
    </w:rPr>
  </w:style>
  <w:style w:type="character" w:customStyle="1" w:styleId="textblack10014px1">
    <w:name w:val="text_black_100_14px1"/>
    <w:qFormat/>
    <w:rsid w:val="009964C3"/>
    <w:rPr>
      <w:rFonts w:ascii="宋体" w:eastAsia="宋体" w:hAnsi="宋体" w:hint="eastAsia"/>
      <w:color w:val="000000"/>
      <w:sz w:val="21"/>
      <w:szCs w:val="21"/>
      <w:u w:val="none"/>
    </w:rPr>
  </w:style>
  <w:style w:type="character" w:customStyle="1" w:styleId="Charffa">
    <w:name w:val="陈表格中内容 Char"/>
    <w:link w:val="affffa"/>
    <w:semiHidden/>
    <w:rsid w:val="009964C3"/>
    <w:rPr>
      <w:rFonts w:eastAsia="仿宋_GB2312"/>
      <w:kern w:val="2"/>
      <w:sz w:val="18"/>
      <w:szCs w:val="18"/>
    </w:rPr>
  </w:style>
  <w:style w:type="character" w:customStyle="1" w:styleId="612Char0">
    <w:name w:val="612表头 Char"/>
    <w:link w:val="6120"/>
    <w:semiHidden/>
    <w:rsid w:val="009964C3"/>
    <w:rPr>
      <w:rFonts w:ascii="Arial Unicode MS" w:hAnsi="Arial Unicode MS"/>
      <w:b/>
      <w:kern w:val="2"/>
      <w:sz w:val="24"/>
      <w:szCs w:val="24"/>
    </w:rPr>
  </w:style>
  <w:style w:type="character" w:customStyle="1" w:styleId="Charffb">
    <w:name w:val="样式 正文首行缩进 + 四号 Char"/>
    <w:link w:val="affffb"/>
    <w:rsid w:val="009964C3"/>
    <w:rPr>
      <w:rFonts w:ascii="宋体" w:eastAsia="宋体"/>
      <w:kern w:val="2"/>
      <w:sz w:val="28"/>
      <w:szCs w:val="24"/>
      <w:lang w:val="en-US" w:eastAsia="zh-CN" w:bidi="ar-SA"/>
    </w:rPr>
  </w:style>
  <w:style w:type="character" w:customStyle="1" w:styleId="CharCharf0">
    <w:name w:val="陈正文 Char Char"/>
    <w:qFormat/>
    <w:rsid w:val="009964C3"/>
    <w:rPr>
      <w:rFonts w:eastAsia="仿宋_GB2312"/>
      <w:kern w:val="2"/>
      <w:sz w:val="28"/>
      <w:szCs w:val="24"/>
      <w:lang w:val="zh-CN" w:eastAsia="zh-CN" w:bidi="ar-SA"/>
    </w:rPr>
  </w:style>
  <w:style w:type="character" w:customStyle="1" w:styleId="Heading2Char">
    <w:name w:val="Heading 2 Char"/>
    <w:rsid w:val="009964C3"/>
    <w:rPr>
      <w:rFonts w:eastAsia="宋体"/>
      <w:b/>
      <w:snapToGrid w:val="0"/>
      <w:kern w:val="24"/>
      <w:sz w:val="28"/>
      <w:lang w:val="en-US" w:eastAsia="zh-CN" w:bidi="ar-SA"/>
    </w:rPr>
  </w:style>
  <w:style w:type="character" w:customStyle="1" w:styleId="1Chara">
    <w:name w:val="正文1 Char"/>
    <w:link w:val="1f0"/>
    <w:rsid w:val="009964C3"/>
    <w:rPr>
      <w:rFonts w:ascii="宋体" w:hAnsi="宋体" w:cs="宋体"/>
      <w:sz w:val="24"/>
    </w:rPr>
  </w:style>
  <w:style w:type="character" w:customStyle="1" w:styleId="612Char1">
    <w:name w:val="612正文 Char"/>
    <w:link w:val="6121"/>
    <w:semiHidden/>
    <w:rsid w:val="009964C3"/>
    <w:rPr>
      <w:rFonts w:ascii="Arial Unicode MS" w:hAnsi="Arial Unicode MS"/>
      <w:kern w:val="2"/>
      <w:sz w:val="24"/>
      <w:szCs w:val="24"/>
    </w:rPr>
  </w:style>
  <w:style w:type="character" w:customStyle="1" w:styleId="Charffc">
    <w:name w:val="样式 五号 居中 行距: 单倍行距 Char"/>
    <w:link w:val="affffc"/>
    <w:qFormat/>
    <w:rsid w:val="009964C3"/>
    <w:rPr>
      <w:rFonts w:eastAsia="宋体"/>
      <w:kern w:val="2"/>
      <w:sz w:val="21"/>
      <w:lang w:val="en-US" w:eastAsia="zh-CN" w:bidi="ar-SA"/>
    </w:rPr>
  </w:style>
  <w:style w:type="character" w:customStyle="1" w:styleId="1f1">
    <w:name w:val="超链接1"/>
    <w:rsid w:val="009964C3"/>
    <w:rPr>
      <w:color w:val="0000FF"/>
      <w:u w:val="single"/>
    </w:rPr>
  </w:style>
  <w:style w:type="character" w:customStyle="1" w:styleId="Char40">
    <w:name w:val="燕山正文 Char4"/>
    <w:qFormat/>
    <w:rsid w:val="009964C3"/>
    <w:rPr>
      <w:rFonts w:ascii="宋体" w:eastAsia="宋体" w:hAnsi="宋体" w:cs="宋体"/>
      <w:color w:val="000000"/>
      <w:kern w:val="2"/>
      <w:sz w:val="28"/>
      <w:szCs w:val="28"/>
      <w:lang w:val="en-US" w:eastAsia="zh-CN" w:bidi="ar-SA"/>
    </w:rPr>
  </w:style>
  <w:style w:type="character" w:customStyle="1" w:styleId="CharCharCharCharChar2">
    <w:name w:val="Char Char Char Char Char2"/>
    <w:qFormat/>
    <w:rsid w:val="009964C3"/>
    <w:rPr>
      <w:rFonts w:ascii="Times New Roman" w:eastAsia="宋体" w:hAnsi="Times New Roman"/>
      <w:kern w:val="2"/>
      <w:sz w:val="16"/>
      <w:szCs w:val="16"/>
      <w:lang w:val="en-US" w:eastAsia="zh-CN" w:bidi="ar-SA"/>
    </w:rPr>
  </w:style>
  <w:style w:type="character" w:customStyle="1" w:styleId="320">
    <w:name w:val="标题 32"/>
    <w:qFormat/>
    <w:rsid w:val="009964C3"/>
    <w:rPr>
      <w:rFonts w:eastAsia="宋体"/>
      <w:sz w:val="28"/>
      <w:lang w:val="en-US" w:eastAsia="zh-CN" w:bidi="ar-SA"/>
    </w:rPr>
  </w:style>
  <w:style w:type="character" w:customStyle="1" w:styleId="3Char5">
    <w:name w:val="样式 样式 标题 3 + 四号 + 小四 加粗 Char"/>
    <w:link w:val="36"/>
    <w:semiHidden/>
    <w:rsid w:val="009964C3"/>
    <w:rPr>
      <w:rFonts w:eastAsia="黑体"/>
      <w:b/>
      <w:bCs/>
      <w:kern w:val="2"/>
      <w:sz w:val="24"/>
      <w:szCs w:val="28"/>
    </w:rPr>
  </w:style>
  <w:style w:type="character" w:customStyle="1" w:styleId="1Charb">
    <w:name w:val="正文文字1 Char"/>
    <w:qFormat/>
    <w:rsid w:val="009964C3"/>
    <w:rPr>
      <w:rFonts w:eastAsia="宋体"/>
      <w:kern w:val="2"/>
      <w:sz w:val="21"/>
      <w:szCs w:val="24"/>
      <w:lang w:val="en-US" w:eastAsia="zh-CN" w:bidi="ar-SA"/>
    </w:rPr>
  </w:style>
  <w:style w:type="character" w:customStyle="1" w:styleId="Charffd">
    <w:name w:val="三级目录 Char"/>
    <w:link w:val="affffd"/>
    <w:qFormat/>
    <w:rsid w:val="009964C3"/>
    <w:rPr>
      <w:rFonts w:eastAsia="宋体"/>
      <w:kern w:val="2"/>
      <w:sz w:val="24"/>
      <w:szCs w:val="28"/>
      <w:lang w:val="en-US" w:eastAsia="zh-CN" w:bidi="ar-SA"/>
    </w:rPr>
  </w:style>
  <w:style w:type="character" w:customStyle="1" w:styleId="p11">
    <w:name w:val="p11"/>
    <w:qFormat/>
    <w:rsid w:val="009964C3"/>
    <w:rPr>
      <w:color w:val="0000FF"/>
      <w:sz w:val="18"/>
      <w:szCs w:val="18"/>
    </w:rPr>
  </w:style>
  <w:style w:type="character" w:customStyle="1" w:styleId="affffe">
    <w:name w:val="样式 (中文) 黑体 小四 加粗"/>
    <w:rsid w:val="009964C3"/>
    <w:rPr>
      <w:rFonts w:eastAsia="黑体"/>
      <w:bCs/>
      <w:sz w:val="24"/>
    </w:rPr>
  </w:style>
  <w:style w:type="character" w:customStyle="1" w:styleId="22CharCharChar">
    <w:name w:val="样式 样式 小四 左 首行缩进:  2 字符 + 首行缩进:  2 字符 Char Char Char"/>
    <w:link w:val="22Char0"/>
    <w:semiHidden/>
    <w:rsid w:val="009964C3"/>
    <w:rPr>
      <w:rFonts w:cs="宋体"/>
      <w:kern w:val="2"/>
      <w:sz w:val="28"/>
    </w:rPr>
  </w:style>
  <w:style w:type="character" w:customStyle="1" w:styleId="GB23121">
    <w:name w:val="样式 仿宋_GB2312 小四"/>
    <w:semiHidden/>
    <w:rsid w:val="009964C3"/>
    <w:rPr>
      <w:rFonts w:ascii="仿宋_GB2312" w:eastAsia="宋体" w:hAnsi="仿宋_GB2312"/>
      <w:kern w:val="20"/>
      <w:sz w:val="21"/>
      <w:lang w:val="en-US" w:eastAsia="zh-CN" w:bidi="ar-SA"/>
    </w:rPr>
  </w:style>
  <w:style w:type="character" w:customStyle="1" w:styleId="1PartH1H11H12H13H111H121H14H15H16H17H18Char">
    <w:name w:val="样式 标题 1一、PartH1H11H12H13H111H121H14H15H16H17H18标题 ... Char"/>
    <w:link w:val="1PartH1H11H12H13H111H121H14H15H16H17H18"/>
    <w:qFormat/>
    <w:rsid w:val="009964C3"/>
    <w:rPr>
      <w:rFonts w:ascii="Arial" w:eastAsia="黑体" w:hAnsi="Arial" w:cs="宋体"/>
      <w:bCs/>
      <w:kern w:val="44"/>
      <w:sz w:val="24"/>
      <w:lang w:val="en-US" w:eastAsia="zh-CN" w:bidi="ar-SA"/>
    </w:rPr>
  </w:style>
  <w:style w:type="character" w:customStyle="1" w:styleId="2Char20">
    <w:name w:val="标题 2 Char2"/>
    <w:aliases w:val="节标题 1.1 Char,节 Char,H2 Char,（一） Char,Underrubrik1 Char1,prop2 Char1,Heading 2 Hidden Char,Heading 2 CCBS Char1,UNDERRUBRIK 1-2 Char,2nd level Char,h2 Char,2 Char,Header 2 Char,l2 Char,Titre2 Char,Head 2 Char1,Fab-2 Char,PIM2 Char1,HD2 Char1"/>
    <w:rsid w:val="009964C3"/>
    <w:rPr>
      <w:rFonts w:ascii="Arial" w:eastAsia="黑体" w:hAnsi="Arial"/>
      <w:b/>
      <w:color w:val="000000"/>
      <w:kern w:val="16"/>
      <w:sz w:val="28"/>
      <w:szCs w:val="28"/>
      <w:lang w:val="en-US" w:eastAsia="zh-CN" w:bidi="ar-SA"/>
    </w:rPr>
  </w:style>
  <w:style w:type="character" w:customStyle="1" w:styleId="Charffe">
    <w:name w:val="样式 表 + 宋体 Char"/>
    <w:link w:val="afffff"/>
    <w:semiHidden/>
    <w:rsid w:val="009964C3"/>
    <w:rPr>
      <w:rFonts w:ascii="Arial Unicode MS" w:hAnsi="Arial Unicode MS"/>
      <w:color w:val="000000"/>
      <w:kern w:val="21"/>
      <w:sz w:val="21"/>
      <w:szCs w:val="21"/>
    </w:rPr>
  </w:style>
  <w:style w:type="character" w:customStyle="1" w:styleId="CharCharf1">
    <w:name w:val="页眉 Char Char"/>
    <w:aliases w:val="g Char3,even Char3,页眉，DHCC 公司页眉 Char3,ITTHEADER Char,页眉1 Char1,页眉2 Char1,页眉 Char Char Char Char Char,新表 Char,无页眉 Char1,页眉R Char1,奇数页眉 Char1,En-tête client Char Char1"/>
    <w:qFormat/>
    <w:rsid w:val="009964C3"/>
    <w:rPr>
      <w:rFonts w:ascii="宋体" w:eastAsia="宋体" w:hAnsi="宋体"/>
      <w:kern w:val="2"/>
      <w:sz w:val="18"/>
      <w:szCs w:val="18"/>
      <w:lang w:val="en-US" w:eastAsia="zh-CN" w:bidi="ar-SA"/>
    </w:rPr>
  </w:style>
  <w:style w:type="character" w:customStyle="1" w:styleId="CharCharCharChar1">
    <w:name w:val="表头 Char Char Char Char"/>
    <w:link w:val="CharCharChar4"/>
    <w:semiHidden/>
    <w:rsid w:val="009964C3"/>
    <w:rPr>
      <w:rFonts w:cs="宋体"/>
      <w:b/>
      <w:bCs/>
      <w:kern w:val="2"/>
      <w:sz w:val="28"/>
      <w:szCs w:val="28"/>
    </w:rPr>
  </w:style>
  <w:style w:type="character" w:customStyle="1" w:styleId="Char1CharCharCharCharCharCharChar">
    <w:name w:val="段落 Char1 Char Char Char Char Char Char Char"/>
    <w:qFormat/>
    <w:rsid w:val="009964C3"/>
    <w:rPr>
      <w:rFonts w:eastAsia="宋体"/>
      <w:color w:val="000000"/>
      <w:kern w:val="24"/>
      <w:sz w:val="24"/>
      <w:szCs w:val="24"/>
      <w:lang w:val="en-US" w:eastAsia="zh-CN" w:bidi="ar-SA"/>
    </w:rPr>
  </w:style>
  <w:style w:type="character" w:customStyle="1" w:styleId="ENFICharChar">
    <w:name w:val="ENFI表体 Char Char"/>
    <w:link w:val="ENFI"/>
    <w:rsid w:val="009964C3"/>
    <w:rPr>
      <w:rFonts w:eastAsia="仿宋_GB2312"/>
      <w:sz w:val="24"/>
    </w:rPr>
  </w:style>
  <w:style w:type="character" w:customStyle="1" w:styleId="Char1e">
    <w:name w:val="样式 表格文字居中 Char + 五号 黑色1"/>
    <w:qFormat/>
    <w:rsid w:val="009964C3"/>
    <w:rPr>
      <w:rFonts w:ascii="宋体" w:eastAsia="宋体" w:hAnsi="宋体" w:cs="宋体"/>
      <w:color w:val="000000"/>
      <w:kern w:val="2"/>
      <w:sz w:val="24"/>
      <w:szCs w:val="24"/>
      <w:lang w:val="en-US" w:eastAsia="zh-CN"/>
    </w:rPr>
  </w:style>
  <w:style w:type="character" w:customStyle="1" w:styleId="CharCharf2">
    <w:name w:val="正文缩近 Char Char"/>
    <w:rsid w:val="009964C3"/>
    <w:rPr>
      <w:rFonts w:ascii="Arial" w:eastAsia="宋体" w:hAnsi="Arial"/>
      <w:sz w:val="28"/>
      <w:szCs w:val="24"/>
      <w:lang w:val="en-US" w:eastAsia="zh-CN" w:bidi="ar-SA"/>
    </w:rPr>
  </w:style>
  <w:style w:type="character" w:customStyle="1" w:styleId="31113CharH3H31H32H33u3Heading3SectionChar">
    <w:name w:val="样式 标题 3条标题1.1.1标题 3 CharH3H31H32H33u3Heading3Section小标... Char"/>
    <w:link w:val="31113CharH3H31H32H33u3Heading3Section"/>
    <w:semiHidden/>
    <w:rsid w:val="009964C3"/>
    <w:rPr>
      <w:b/>
      <w:bCs/>
      <w:color w:val="000000"/>
      <w:kern w:val="2"/>
      <w:sz w:val="24"/>
      <w:szCs w:val="28"/>
      <w:lang w:val="en-US" w:eastAsia="zh-CN"/>
    </w:rPr>
  </w:style>
  <w:style w:type="character" w:customStyle="1" w:styleId="afffff0">
    <w:name w:val="样式 宋体 三号"/>
    <w:semiHidden/>
    <w:rsid w:val="009964C3"/>
    <w:rPr>
      <w:rFonts w:ascii="宋体" w:eastAsia="宋体" w:hAnsi="宋体"/>
      <w:kern w:val="2"/>
      <w:sz w:val="24"/>
      <w:szCs w:val="21"/>
      <w:lang w:val="en-US" w:eastAsia="zh-CN" w:bidi="ar-SA"/>
    </w:rPr>
  </w:style>
  <w:style w:type="character" w:customStyle="1" w:styleId="2CharChar1">
    <w:name w:val="样式 四号 首行缩进:  2 字符 Char Char"/>
    <w:semiHidden/>
    <w:rsid w:val="009964C3"/>
    <w:rPr>
      <w:rFonts w:ascii="宋体" w:eastAsia="宋体" w:hAnsi="宋体" w:cs="宋体"/>
      <w:color w:val="000000"/>
      <w:sz w:val="28"/>
      <w:szCs w:val="28"/>
      <w:lang w:val="en-US" w:eastAsia="zh-CN" w:bidi="ar-SA"/>
    </w:rPr>
  </w:style>
  <w:style w:type="character" w:customStyle="1" w:styleId="21CharChar">
    <w:name w:val="表2.1 Char Char"/>
    <w:link w:val="21"/>
    <w:qFormat/>
    <w:rsid w:val="009964C3"/>
    <w:rPr>
      <w:rFonts w:ascii="黑体" w:eastAsia="黑体"/>
      <w:b/>
      <w:sz w:val="24"/>
      <w:szCs w:val="26"/>
    </w:rPr>
  </w:style>
  <w:style w:type="character" w:customStyle="1" w:styleId="msgbodytext">
    <w:name w:val="msgbodytext"/>
    <w:rsid w:val="009964C3"/>
    <w:rPr>
      <w:rFonts w:ascii="Arial" w:eastAsia="宋体" w:hAnsi="Arial"/>
      <w:kern w:val="2"/>
      <w:sz w:val="21"/>
      <w:lang w:val="en-US" w:eastAsia="zh-CN" w:bidi="ar-SA"/>
    </w:rPr>
  </w:style>
  <w:style w:type="character" w:customStyle="1" w:styleId="Charfff">
    <w:name w:val="正文（吕静） Char"/>
    <w:link w:val="afffff1"/>
    <w:semiHidden/>
    <w:rsid w:val="009964C3"/>
    <w:rPr>
      <w:rFonts w:ascii="Arial" w:hAnsi="Arial"/>
      <w:kern w:val="2"/>
      <w:sz w:val="28"/>
      <w:szCs w:val="28"/>
    </w:rPr>
  </w:style>
  <w:style w:type="character" w:customStyle="1" w:styleId="css-text3">
    <w:name w:val="css-text3"/>
    <w:basedOn w:val="af5"/>
    <w:qFormat/>
    <w:rsid w:val="009964C3"/>
  </w:style>
  <w:style w:type="character" w:customStyle="1" w:styleId="Char29">
    <w:name w:val="正文格式 Char2"/>
    <w:qFormat/>
    <w:rsid w:val="009964C3"/>
    <w:rPr>
      <w:rFonts w:ascii="宋体" w:eastAsia="宋体" w:cs="宋体"/>
      <w:kern w:val="2"/>
      <w:sz w:val="24"/>
      <w:szCs w:val="24"/>
      <w:lang w:val="en-US" w:eastAsia="zh-CN" w:bidi="ar-SA"/>
    </w:rPr>
  </w:style>
  <w:style w:type="character" w:customStyle="1" w:styleId="CCharChar">
    <w:name w:val="图(C) Char Char"/>
    <w:link w:val="C0"/>
    <w:rsid w:val="009964C3"/>
    <w:rPr>
      <w:rFonts w:ascii="Arial" w:eastAsia="黑体" w:hAnsi="Arial"/>
      <w:kern w:val="24"/>
      <w:sz w:val="24"/>
      <w:szCs w:val="24"/>
    </w:rPr>
  </w:style>
  <w:style w:type="character" w:customStyle="1" w:styleId="CharChar36">
    <w:name w:val="Char Char36"/>
    <w:semiHidden/>
    <w:rsid w:val="009964C3"/>
    <w:rPr>
      <w:rFonts w:ascii="Times New Roman" w:eastAsia="宋体" w:hAnsi="Times New Roman" w:cs="Times New Roman"/>
      <w:sz w:val="28"/>
      <w:szCs w:val="24"/>
    </w:rPr>
  </w:style>
  <w:style w:type="character" w:customStyle="1" w:styleId="Charfff0">
    <w:name w:val="图 Char"/>
    <w:aliases w:val="标题 6（修改） Char,编号正文 Char,二级项 Char1,无节 Char1,标题6，6级标题，小四中宋粗，无序号 Char1,标题8 Char1,标题1.1.1.1.1.1 Char1,二级项1 Char1,无节1 Char1,标题6，6级标题，小四中宋粗，无序号1 Char1,标题81 Char1,标题1.1.1.1.1.11 Char1,二级项2 Char1,无节2 Char1,标题6，6级标题，小四中宋粗，无序号2 Char1,标题82 Char1,二级项3 Char1"/>
    <w:qFormat/>
    <w:rsid w:val="009964C3"/>
    <w:rPr>
      <w:rFonts w:ascii="Arial" w:eastAsia="黑体" w:hAnsi="Arial"/>
      <w:b/>
      <w:kern w:val="2"/>
      <w:sz w:val="24"/>
      <w:lang w:val="en-US" w:eastAsia="zh-CN" w:bidi="ar-SA"/>
    </w:rPr>
  </w:style>
  <w:style w:type="character" w:customStyle="1" w:styleId="Charfff1">
    <w:name w:val="表头 Char"/>
    <w:link w:val="afffff2"/>
    <w:rsid w:val="009964C3"/>
    <w:rPr>
      <w:rFonts w:eastAsia="黑体"/>
      <w:sz w:val="28"/>
      <w:szCs w:val="28"/>
      <w:lang w:val="en-US" w:eastAsia="zh-CN" w:bidi="ar-SA"/>
    </w:rPr>
  </w:style>
  <w:style w:type="character" w:customStyle="1" w:styleId="Charfff2">
    <w:name w:val="明显引用 Char"/>
    <w:link w:val="1f2"/>
    <w:qFormat/>
    <w:rsid w:val="009964C3"/>
    <w:rPr>
      <w:rFonts w:eastAsia="宋体"/>
      <w:b/>
      <w:bCs/>
      <w:i/>
      <w:iCs/>
      <w:color w:val="4F81BD"/>
      <w:kern w:val="2"/>
      <w:lang w:val="en-US" w:eastAsia="zh-CN" w:bidi="ar-SA"/>
    </w:rPr>
  </w:style>
  <w:style w:type="character" w:customStyle="1" w:styleId="zwb-Char">
    <w:name w:val="zwb-正文 Char"/>
    <w:link w:val="zwb-"/>
    <w:semiHidden/>
    <w:rsid w:val="009964C3"/>
    <w:rPr>
      <w:kern w:val="2"/>
      <w:sz w:val="24"/>
      <w:szCs w:val="24"/>
    </w:rPr>
  </w:style>
  <w:style w:type="character" w:customStyle="1" w:styleId="cauc-0Char">
    <w:name w:val="cauc-0 Char"/>
    <w:link w:val="cauc-0"/>
    <w:qFormat/>
    <w:rsid w:val="009964C3"/>
    <w:rPr>
      <w:kern w:val="2"/>
      <w:sz w:val="24"/>
      <w:szCs w:val="24"/>
      <w:lang w:val="en-US" w:eastAsia="zh-CN" w:bidi="ar-SA"/>
    </w:rPr>
  </w:style>
  <w:style w:type="character" w:customStyle="1" w:styleId="style191">
    <w:name w:val="style191"/>
    <w:rsid w:val="009964C3"/>
    <w:rPr>
      <w:sz w:val="21"/>
      <w:szCs w:val="21"/>
    </w:rPr>
  </w:style>
  <w:style w:type="character" w:customStyle="1" w:styleId="2CharCharCharCharCharCharCharCharCharCharCharCharCharCharCharCharCharCharCharCharCharCharCharCharCharCharCharCharCharCharCharCharCharCharCharCharCharCharCharCharCharCharCharCharCharCharCharChar">
    <w:name w:val="标题 2 Char Char Char Char Char Char Char Char Char Char Char Char Char Char Char Char Char Char Char Char Char Char Char Char Char Char Char Char Char Char Char Char Char Char Char Char Char Char Char Char Char Char Char Char Char Char Char Char"/>
    <w:semiHidden/>
    <w:rsid w:val="009964C3"/>
    <w:rPr>
      <w:rFonts w:ascii="Arial" w:eastAsia="黑体" w:hAnsi="Arial"/>
      <w:b/>
      <w:bCs/>
      <w:kern w:val="2"/>
      <w:sz w:val="32"/>
      <w:szCs w:val="32"/>
      <w:lang w:val="en-US" w:eastAsia="zh-CN" w:bidi="ar-SA"/>
    </w:rPr>
  </w:style>
  <w:style w:type="character" w:customStyle="1" w:styleId="2Char2Char">
    <w:name w:val="标题 2 Char2 Char"/>
    <w:rsid w:val="009964C3"/>
    <w:rPr>
      <w:rFonts w:ascii="Arial" w:eastAsia="黑体" w:hAnsi="Arial"/>
      <w:b/>
      <w:bCs/>
      <w:kern w:val="2"/>
      <w:sz w:val="32"/>
      <w:szCs w:val="32"/>
      <w:lang w:val="en-US" w:eastAsia="zh-CN" w:bidi="ar-SA"/>
    </w:rPr>
  </w:style>
  <w:style w:type="character" w:customStyle="1" w:styleId="CharCharCharCharCharChar0">
    <w:name w:val="正文样式 Char Char Char Char Char Char"/>
    <w:link w:val="CharCharCharCharChar0"/>
    <w:qFormat/>
    <w:rsid w:val="009964C3"/>
    <w:rPr>
      <w:rFonts w:ascii="宋体" w:eastAsia="宋体" w:hAnsi="宋体"/>
      <w:color w:val="000000"/>
      <w:kern w:val="2"/>
      <w:sz w:val="24"/>
      <w:szCs w:val="24"/>
      <w:lang w:val="en-US" w:eastAsia="zh-CN" w:bidi="ar-SA"/>
    </w:rPr>
  </w:style>
  <w:style w:type="character" w:customStyle="1" w:styleId="151">
    <w:name w:val="15"/>
    <w:semiHidden/>
    <w:rsid w:val="009964C3"/>
    <w:rPr>
      <w:rFonts w:ascii="Times New Roman" w:eastAsia="宋体" w:hAnsi="Times New Roman" w:cs="Times New Roman" w:hint="default"/>
      <w:b/>
      <w:bCs/>
      <w:kern w:val="2"/>
      <w:sz w:val="20"/>
      <w:szCs w:val="20"/>
      <w:lang w:val="en-US" w:eastAsia="zh-CN" w:bidi="ar-SA"/>
    </w:rPr>
  </w:style>
  <w:style w:type="character" w:customStyle="1" w:styleId="CharChar67">
    <w:name w:val="Char Char67"/>
    <w:rsid w:val="009964C3"/>
    <w:rPr>
      <w:rFonts w:ascii="Arial" w:eastAsia="黑体" w:hAnsi="Arial"/>
      <w:snapToGrid w:val="0"/>
      <w:kern w:val="24"/>
      <w:sz w:val="24"/>
      <w:lang w:val="en-US" w:eastAsia="zh-CN" w:bidi="ar-SA"/>
    </w:rPr>
  </w:style>
  <w:style w:type="character" w:customStyle="1" w:styleId="CharCharf3">
    <w:name w:val="表题注 Char Char"/>
    <w:semiHidden/>
    <w:rsid w:val="009964C3"/>
    <w:rPr>
      <w:rFonts w:eastAsia="宋体" w:hAnsi="宋体"/>
      <w:b/>
      <w:kern w:val="2"/>
      <w:sz w:val="21"/>
      <w:szCs w:val="21"/>
      <w:lang w:val="en-US" w:eastAsia="zh-CN" w:bidi="ar-SA"/>
    </w:rPr>
  </w:style>
  <w:style w:type="character" w:customStyle="1" w:styleId="afffff3">
    <w:name w:val="样式 (西文) 宋体 小四"/>
    <w:semiHidden/>
    <w:qFormat/>
    <w:rsid w:val="009964C3"/>
    <w:rPr>
      <w:rFonts w:ascii="宋体" w:eastAsia="宋体" w:cs="宋体"/>
      <w:sz w:val="24"/>
      <w:szCs w:val="24"/>
    </w:rPr>
  </w:style>
  <w:style w:type="character" w:customStyle="1" w:styleId="Charfff3">
    <w:name w:val="尾注文本 Char"/>
    <w:semiHidden/>
    <w:rsid w:val="009964C3"/>
    <w:rPr>
      <w:rFonts w:ascii="Times New Roman" w:eastAsia="宋体" w:hAnsi="Times New Roman" w:cs="Times New Roman"/>
      <w:sz w:val="24"/>
      <w:szCs w:val="24"/>
    </w:rPr>
  </w:style>
  <w:style w:type="character" w:customStyle="1" w:styleId="2Char10">
    <w:name w:val="正文首行缩进 2 Char1"/>
    <w:link w:val="2f"/>
    <w:rsid w:val="009964C3"/>
    <w:rPr>
      <w:spacing w:val="-4"/>
      <w:kern w:val="2"/>
      <w:sz w:val="24"/>
      <w:szCs w:val="24"/>
    </w:rPr>
  </w:style>
  <w:style w:type="character" w:customStyle="1" w:styleId="GB2312Char0">
    <w:name w:val="样式 正文文本 + 楷体_GB2312 Char"/>
    <w:link w:val="GB23122"/>
    <w:qFormat/>
    <w:rsid w:val="009964C3"/>
    <w:rPr>
      <w:rFonts w:ascii="楷体_GB2312" w:eastAsia="宋体" w:hAnsi="楷体_GB2312"/>
      <w:kern w:val="2"/>
      <w:sz w:val="28"/>
      <w:lang w:val="en-US" w:eastAsia="zh-CN" w:bidi="ar-SA"/>
    </w:rPr>
  </w:style>
  <w:style w:type="character" w:customStyle="1" w:styleId="Charfff4">
    <w:name w:val="样式表 Char"/>
    <w:link w:val="afffff4"/>
    <w:rsid w:val="009964C3"/>
    <w:rPr>
      <w:rFonts w:ascii="黑体" w:eastAsia="黑体" w:cs="宋体"/>
      <w:color w:val="000000"/>
      <w:spacing w:val="8"/>
      <w:sz w:val="24"/>
      <w:szCs w:val="24"/>
      <w:lang w:val="en-US" w:eastAsia="zh-CN" w:bidi="ar-SA"/>
    </w:rPr>
  </w:style>
  <w:style w:type="character" w:customStyle="1" w:styleId="CharChar59">
    <w:name w:val="Char Char59"/>
    <w:rsid w:val="009964C3"/>
    <w:rPr>
      <w:rFonts w:eastAsia="宋体"/>
      <w:kern w:val="2"/>
      <w:sz w:val="24"/>
      <w:lang w:val="en-US" w:eastAsia="zh-CN" w:bidi="ar-SA"/>
    </w:rPr>
  </w:style>
  <w:style w:type="character" w:customStyle="1" w:styleId="hChar">
    <w:name w:val="h Char"/>
    <w:aliases w:val="页眉，DHCC 公司页眉 Char,ITTHEADER Char Char"/>
    <w:semiHidden/>
    <w:rsid w:val="009964C3"/>
    <w:rPr>
      <w:kern w:val="2"/>
      <w:sz w:val="18"/>
      <w:szCs w:val="18"/>
    </w:rPr>
  </w:style>
  <w:style w:type="character" w:customStyle="1" w:styleId="CharCharCharChar2">
    <w:name w:val="正文样式 Char Char Char Char"/>
    <w:link w:val="CharCharChar5"/>
    <w:qFormat/>
    <w:rsid w:val="009964C3"/>
    <w:rPr>
      <w:rFonts w:ascii="宋体" w:eastAsia="宋体" w:hAnsi="宋体"/>
      <w:color w:val="000000"/>
      <w:kern w:val="2"/>
      <w:sz w:val="24"/>
      <w:szCs w:val="24"/>
      <w:lang w:val="en-US" w:eastAsia="zh-CN" w:bidi="ar-SA"/>
    </w:rPr>
  </w:style>
  <w:style w:type="character" w:customStyle="1" w:styleId="112915Char">
    <w:name w:val="样式 (西文) 宋体 小四 首行缩进:  1 厘米 段前: 12.9 磅 行距: 1.5 倍行距 Char"/>
    <w:semiHidden/>
    <w:qFormat/>
    <w:rsid w:val="009964C3"/>
    <w:rPr>
      <w:rFonts w:ascii="Times New Roman" w:eastAsia="宋体" w:hAnsi="Times New Roman" w:cs="宋体"/>
      <w:sz w:val="24"/>
      <w:szCs w:val="24"/>
    </w:rPr>
  </w:style>
  <w:style w:type="character" w:customStyle="1" w:styleId="CharChar610">
    <w:name w:val="Char Char61"/>
    <w:rsid w:val="009964C3"/>
    <w:rPr>
      <w:rFonts w:eastAsia="宋体"/>
      <w:kern w:val="2"/>
      <w:sz w:val="24"/>
      <w:szCs w:val="24"/>
      <w:lang w:val="en-US" w:eastAsia="zh-CN" w:bidi="ar-SA"/>
    </w:rPr>
  </w:style>
  <w:style w:type="character" w:customStyle="1" w:styleId="CharCharf4">
    <w:name w:val="报告正文 Char Char"/>
    <w:rsid w:val="009964C3"/>
    <w:rPr>
      <w:rFonts w:ascii="Times New Roman" w:hAnsi="Times New Roman"/>
      <w:kern w:val="2"/>
      <w:sz w:val="24"/>
      <w:szCs w:val="24"/>
    </w:rPr>
  </w:style>
  <w:style w:type="character" w:customStyle="1" w:styleId="e011">
    <w:name w:val="e011"/>
    <w:rsid w:val="009964C3"/>
    <w:rPr>
      <w:sz w:val="21"/>
      <w:szCs w:val="21"/>
    </w:rPr>
  </w:style>
  <w:style w:type="character" w:customStyle="1" w:styleId="1Charc">
    <w:name w:val="样式1 Char"/>
    <w:qFormat/>
    <w:rsid w:val="009964C3"/>
    <w:rPr>
      <w:rFonts w:ascii="宋体" w:eastAsia="宋体" w:hAnsi="宋体" w:cs="Times New Roman"/>
      <w:snapToGrid w:val="0"/>
      <w:sz w:val="24"/>
      <w:szCs w:val="24"/>
    </w:rPr>
  </w:style>
  <w:style w:type="character" w:customStyle="1" w:styleId="Char1f">
    <w:name w:val="普通文字 Char1"/>
    <w:rsid w:val="009964C3"/>
    <w:rPr>
      <w:rFonts w:ascii="宋体" w:eastAsia="宋体" w:hAnsi="Courier New"/>
      <w:kern w:val="2"/>
      <w:sz w:val="21"/>
      <w:lang w:val="en-US" w:eastAsia="zh-CN" w:bidi="ar-SA"/>
    </w:rPr>
  </w:style>
  <w:style w:type="character" w:customStyle="1" w:styleId="zwb-Char0">
    <w:name w:val="zwb-图表标题 Char"/>
    <w:link w:val="zwb-0"/>
    <w:semiHidden/>
    <w:rsid w:val="009964C3"/>
    <w:rPr>
      <w:b/>
      <w:kern w:val="2"/>
      <w:sz w:val="24"/>
      <w:szCs w:val="24"/>
    </w:rPr>
  </w:style>
  <w:style w:type="character" w:customStyle="1" w:styleId="Char41">
    <w:name w:val="正文缩进 Char4"/>
    <w:rsid w:val="009964C3"/>
    <w:rPr>
      <w:rFonts w:ascii="宋体" w:eastAsia="宋体" w:hAnsi="宋体" w:cs="宋体"/>
      <w:color w:val="000000"/>
      <w:sz w:val="24"/>
      <w:szCs w:val="24"/>
      <w:lang w:val="en-US" w:eastAsia="zh-CN" w:bidi="ar-SA"/>
    </w:rPr>
  </w:style>
  <w:style w:type="character" w:customStyle="1" w:styleId="4Char10">
    <w:name w:val="标题4 Char1"/>
    <w:qFormat/>
    <w:rsid w:val="009964C3"/>
    <w:rPr>
      <w:rFonts w:ascii="黑体" w:eastAsia="黑体"/>
      <w:bCs/>
      <w:kern w:val="2"/>
      <w:sz w:val="24"/>
      <w:lang w:val="en-US" w:eastAsia="zh-CN" w:bidi="ar-SA"/>
    </w:rPr>
  </w:style>
  <w:style w:type="character" w:customStyle="1" w:styleId="1Chard">
    <w:name w:val="样式 标题 1 + 黑体 Char"/>
    <w:qFormat/>
    <w:rsid w:val="009964C3"/>
    <w:rPr>
      <w:rFonts w:ascii="Arial" w:eastAsia="黑体" w:hAnsi="Arial" w:cs="Arial"/>
      <w:kern w:val="44"/>
      <w:sz w:val="24"/>
      <w:lang w:val="en-US" w:eastAsia="zh-CN" w:bidi="ar-SA"/>
    </w:rPr>
  </w:style>
  <w:style w:type="character" w:customStyle="1" w:styleId="4Char11">
    <w:name w:val="标题 4 Char1"/>
    <w:aliases w:val="款标题1.1.1.1 Char1,标题 4 Char Char1,h4 Char1,H4 Char1,Fab-4 Char1,T5 Char1,PIM 4 Char1,Ref Heading 1 Char1,rh1 Char1,Heading sql Char1,sect 1.2.3.4 Char1,bullet Char1,bl Char1,bb Char1,Heading Four Char1,sect 1.2.3.41 Char1,Ref Heading 11 Char1"/>
    <w:rsid w:val="009964C3"/>
    <w:rPr>
      <w:rFonts w:ascii="Arial" w:eastAsia="黑体" w:hAnsi="Arial"/>
      <w:b/>
      <w:bCs/>
      <w:kern w:val="2"/>
      <w:sz w:val="28"/>
      <w:szCs w:val="28"/>
      <w:lang w:val="en-US" w:eastAsia="zh-CN" w:bidi="ar-SA"/>
    </w:rPr>
  </w:style>
  <w:style w:type="character" w:customStyle="1" w:styleId="3Char10">
    <w:name w:val="正文文本缩进 3 Char1"/>
    <w:link w:val="38"/>
    <w:rsid w:val="009964C3"/>
    <w:rPr>
      <w:rFonts w:eastAsia="宋体"/>
      <w:kern w:val="2"/>
      <w:sz w:val="16"/>
      <w:szCs w:val="16"/>
      <w:lang w:val="en-US" w:eastAsia="zh-CN" w:bidi="ar-SA"/>
    </w:rPr>
  </w:style>
  <w:style w:type="character" w:customStyle="1" w:styleId="111CharChar1">
    <w:name w:val="条标题1.1.1 Char Char1"/>
    <w:semiHidden/>
    <w:rsid w:val="009964C3"/>
    <w:rPr>
      <w:rFonts w:ascii="Arial" w:eastAsia="黑体" w:hAnsi="Arial"/>
      <w:kern w:val="20"/>
      <w:sz w:val="28"/>
      <w:lang w:val="en-US" w:eastAsia="zh-CN" w:bidi="ar-SA"/>
    </w:rPr>
  </w:style>
  <w:style w:type="character" w:customStyle="1" w:styleId="Charfff5">
    <w:name w:val="正文格式 Char"/>
    <w:link w:val="afffff5"/>
    <w:qFormat/>
    <w:rsid w:val="009964C3"/>
    <w:rPr>
      <w:rFonts w:ascii="宋体" w:eastAsia="宋体" w:cs="宋体"/>
      <w:kern w:val="2"/>
      <w:sz w:val="24"/>
      <w:szCs w:val="24"/>
      <w:lang w:val="en-US" w:eastAsia="zh-CN" w:bidi="ar-SA"/>
    </w:rPr>
  </w:style>
  <w:style w:type="character" w:customStyle="1" w:styleId="Charfff6">
    <w:name w:val="表文 Char"/>
    <w:link w:val="afffff6"/>
    <w:qFormat/>
    <w:locked/>
    <w:rsid w:val="009964C3"/>
    <w:rPr>
      <w:rFonts w:eastAsia="宋体" w:hAnsi="宋体"/>
      <w:position w:val="-24"/>
      <w:sz w:val="21"/>
      <w:szCs w:val="21"/>
      <w:lang w:val="en-US" w:eastAsia="zh-CN" w:bidi="ar-SA"/>
    </w:rPr>
  </w:style>
  <w:style w:type="character" w:customStyle="1" w:styleId="3Char1CharChar">
    <w:name w:val="标题 3 Char1 Char Char"/>
    <w:qFormat/>
    <w:rsid w:val="009964C3"/>
    <w:rPr>
      <w:rFonts w:ascii="方正大标宋简体" w:eastAsia="方正大标宋简体"/>
      <w:bCs/>
      <w:sz w:val="28"/>
      <w:szCs w:val="28"/>
      <w:lang w:val="en-US" w:eastAsia="zh-CN" w:bidi="ar-SA"/>
    </w:rPr>
  </w:style>
  <w:style w:type="character" w:customStyle="1" w:styleId="2f0">
    <w:name w:val="超链接2"/>
    <w:qFormat/>
    <w:rsid w:val="009964C3"/>
    <w:rPr>
      <w:color w:val="0000FF"/>
      <w:u w:val="single"/>
    </w:rPr>
  </w:style>
  <w:style w:type="character" w:customStyle="1" w:styleId="CharCharf5">
    <w:name w:val="高表单 Char Char"/>
    <w:rsid w:val="009964C3"/>
    <w:rPr>
      <w:rFonts w:ascii="Arial" w:eastAsia="宋体" w:hAnsi="Arial"/>
      <w:kern w:val="2"/>
      <w:sz w:val="21"/>
      <w:lang w:val="en-US"/>
    </w:rPr>
  </w:style>
  <w:style w:type="character" w:customStyle="1" w:styleId="Charfff7">
    <w:name w:val="表头文字 Char"/>
    <w:semiHidden/>
    <w:rsid w:val="009964C3"/>
    <w:rPr>
      <w:rFonts w:eastAsia="黑体"/>
      <w:kern w:val="2"/>
      <w:sz w:val="24"/>
      <w:szCs w:val="24"/>
      <w:lang w:val="en-US" w:eastAsia="zh-CN" w:bidi="ar-SA"/>
    </w:rPr>
  </w:style>
  <w:style w:type="character" w:customStyle="1" w:styleId="Charfff8">
    <w:name w:val="表头王 Char"/>
    <w:link w:val="afffff7"/>
    <w:qFormat/>
    <w:rsid w:val="009964C3"/>
    <w:rPr>
      <w:rFonts w:ascii="黑体" w:eastAsia="黑体" w:hAnsi="宋体"/>
      <w:b/>
      <w:color w:val="000000"/>
      <w:spacing w:val="10"/>
      <w:kern w:val="2"/>
      <w:sz w:val="24"/>
      <w:szCs w:val="24"/>
      <w:lang w:val="en-US" w:eastAsia="zh-CN" w:bidi="ar-SA"/>
    </w:rPr>
  </w:style>
  <w:style w:type="character" w:customStyle="1" w:styleId="Charfff9">
    <w:name w:val="表题注 Char"/>
    <w:link w:val="afffff8"/>
    <w:semiHidden/>
    <w:rsid w:val="009964C3"/>
    <w:rPr>
      <w:rFonts w:hAnsi="宋体"/>
      <w:b/>
      <w:kern w:val="2"/>
      <w:sz w:val="21"/>
      <w:szCs w:val="21"/>
    </w:rPr>
  </w:style>
  <w:style w:type="character" w:customStyle="1" w:styleId="dan7-1CharCharChar">
    <w:name w:val="样式 dan7-1 + 宋体 Char Char Char"/>
    <w:link w:val="dan7-1CharChar"/>
    <w:qFormat/>
    <w:rsid w:val="009964C3"/>
    <w:rPr>
      <w:rFonts w:ascii="宋体" w:eastAsia="宋体" w:hAnsi="宋体" w:cs="宋体"/>
      <w:b/>
      <w:kern w:val="2"/>
      <w:sz w:val="24"/>
      <w:szCs w:val="24"/>
      <w:lang w:val="en-US" w:eastAsia="zh-CN" w:bidi="ar-SA"/>
    </w:rPr>
  </w:style>
  <w:style w:type="character" w:customStyle="1" w:styleId="Char4CharCharChar">
    <w:name w:val="Char4 Char Char Char"/>
    <w:semiHidden/>
    <w:rsid w:val="009964C3"/>
    <w:rPr>
      <w:rFonts w:ascii="Arial" w:eastAsia="黑体" w:hAnsi="Arial"/>
      <w:bCs/>
      <w:kern w:val="2"/>
      <w:sz w:val="30"/>
      <w:szCs w:val="32"/>
      <w:lang w:val="en-US" w:eastAsia="zh-CN" w:bidi="ar-SA"/>
    </w:rPr>
  </w:style>
  <w:style w:type="character" w:customStyle="1" w:styleId="Lead-inEmphasis">
    <w:name w:val="Lead-in Emphasis"/>
    <w:rsid w:val="009964C3"/>
    <w:rPr>
      <w:rFonts w:ascii="Arial" w:hAnsi="Arial"/>
      <w:b/>
      <w:spacing w:val="-8"/>
      <w:sz w:val="18"/>
    </w:rPr>
  </w:style>
  <w:style w:type="character" w:customStyle="1" w:styleId="CharChar25">
    <w:name w:val="Char Char25"/>
    <w:semiHidden/>
    <w:rsid w:val="009964C3"/>
    <w:rPr>
      <w:rFonts w:ascii="Arial" w:eastAsia="仿宋_GB2312" w:hAnsi="Arial"/>
      <w:kern w:val="2"/>
      <w:sz w:val="16"/>
      <w:szCs w:val="16"/>
      <w:lang w:val="en-US" w:eastAsia="zh-CN" w:bidi="ar-SA"/>
    </w:rPr>
  </w:style>
  <w:style w:type="character" w:customStyle="1" w:styleId="word">
    <w:name w:val="word"/>
    <w:basedOn w:val="af5"/>
    <w:qFormat/>
    <w:rsid w:val="009964C3"/>
  </w:style>
  <w:style w:type="character" w:customStyle="1" w:styleId="headline-content2">
    <w:name w:val="headline-content2"/>
    <w:basedOn w:val="af5"/>
    <w:rsid w:val="009964C3"/>
  </w:style>
  <w:style w:type="character" w:customStyle="1" w:styleId="style81">
    <w:name w:val="style81"/>
    <w:semiHidden/>
    <w:rsid w:val="009964C3"/>
    <w:rPr>
      <w:color w:val="0046A1"/>
    </w:rPr>
  </w:style>
  <w:style w:type="character" w:customStyle="1" w:styleId="word21">
    <w:name w:val="word21"/>
    <w:qFormat/>
    <w:rsid w:val="009964C3"/>
    <w:rPr>
      <w:color w:val="555555"/>
      <w:sz w:val="18"/>
      <w:szCs w:val="18"/>
    </w:rPr>
  </w:style>
  <w:style w:type="character" w:customStyle="1" w:styleId="aChar">
    <w:name w:val="干标题(a) Char"/>
    <w:rsid w:val="009964C3"/>
    <w:rPr>
      <w:rFonts w:ascii="Cambria" w:eastAsia="宋体" w:hAnsi="Cambria"/>
      <w:kern w:val="2"/>
      <w:lang w:val="en-US" w:eastAsia="zh-CN" w:bidi="ar-SA"/>
    </w:rPr>
  </w:style>
  <w:style w:type="character" w:customStyle="1" w:styleId="161CharChar">
    <w:name w:val="表16.1 Char Char"/>
    <w:link w:val="161"/>
    <w:rsid w:val="009964C3"/>
    <w:rPr>
      <w:rFonts w:ascii="黑体" w:eastAsia="黑体"/>
      <w:b/>
      <w:sz w:val="24"/>
      <w:szCs w:val="26"/>
      <w:lang w:val="en-US" w:eastAsia="zh-CN" w:bidi="ar-SA"/>
    </w:rPr>
  </w:style>
  <w:style w:type="character" w:customStyle="1" w:styleId="Char1f0">
    <w:name w:val="朔电正文 Char1"/>
    <w:link w:val="afffff9"/>
    <w:qFormat/>
    <w:rsid w:val="009964C3"/>
    <w:rPr>
      <w:rFonts w:eastAsia="宋体"/>
      <w:color w:val="000000"/>
      <w:kern w:val="32"/>
      <w:sz w:val="24"/>
      <w:szCs w:val="24"/>
      <w:lang w:val="en-US" w:eastAsia="zh-CN" w:bidi="ar-SA"/>
    </w:rPr>
  </w:style>
  <w:style w:type="character" w:customStyle="1" w:styleId="Charfffa">
    <w:name w:val="条 Char"/>
    <w:link w:val="afffffa"/>
    <w:rsid w:val="009964C3"/>
    <w:rPr>
      <w:rFonts w:ascii="黑体" w:eastAsia="黑体"/>
      <w:bCs/>
      <w:sz w:val="28"/>
      <w:szCs w:val="28"/>
      <w:lang w:val="en-US" w:eastAsia="zh-CN" w:bidi="ar-SA"/>
    </w:rPr>
  </w:style>
  <w:style w:type="character" w:customStyle="1" w:styleId="CharCharCharCharChar1">
    <w:name w:val="Char Char Char Char Char1"/>
    <w:rsid w:val="009964C3"/>
    <w:rPr>
      <w:kern w:val="2"/>
      <w:sz w:val="24"/>
    </w:rPr>
  </w:style>
  <w:style w:type="character" w:customStyle="1" w:styleId="111Char">
    <w:name w:val="条标题1.1.1 Char"/>
    <w:aliases w:val="标题 3 Char Char,小标题 Char,H3 Char,B Head Char,BSH-3 Char,二级节名 Char,h3 Char,3rd level Char,3 Char,l3 Char,CT Char Char,标题 3(G) Char,四号宋体左齐行距1.5倍 Char,4号宋体左齐行距1.5倍 Char,CT Char,1.1.1 Char,标题03 Char,条标题1.1.1 Char Char Char,标题 3 Char Char1,u3 Ch"/>
    <w:semiHidden/>
    <w:rsid w:val="009964C3"/>
    <w:rPr>
      <w:rFonts w:ascii="华文中宋" w:eastAsia="华文中宋" w:hAnsi="华文中宋"/>
      <w:kern w:val="2"/>
      <w:sz w:val="24"/>
      <w:szCs w:val="24"/>
      <w:lang w:val="en-US" w:eastAsia="zh-CN" w:bidi="ar-SA"/>
    </w:rPr>
  </w:style>
  <w:style w:type="character" w:customStyle="1" w:styleId="dan7-1CharCharChar0">
    <w:name w:val="dan7-1 Char Char Char"/>
    <w:link w:val="dan7-1CharChar0"/>
    <w:qFormat/>
    <w:rsid w:val="009964C3"/>
    <w:rPr>
      <w:rFonts w:eastAsia="宋体" w:cs="宋体"/>
      <w:b/>
      <w:kern w:val="2"/>
      <w:sz w:val="24"/>
      <w:szCs w:val="24"/>
      <w:lang w:val="en-US" w:eastAsia="zh-CN" w:bidi="ar-SA"/>
    </w:rPr>
  </w:style>
  <w:style w:type="character" w:customStyle="1" w:styleId="2Chare">
    <w:name w:val="正文首行缩进2个字 Char"/>
    <w:link w:val="2f1"/>
    <w:qFormat/>
    <w:rsid w:val="009964C3"/>
    <w:rPr>
      <w:rFonts w:eastAsia="宋体"/>
      <w:kern w:val="2"/>
      <w:sz w:val="28"/>
      <w:szCs w:val="28"/>
      <w:lang w:val="en-US" w:eastAsia="zh-CN" w:bidi="ar-SA"/>
    </w:rPr>
  </w:style>
  <w:style w:type="character" w:customStyle="1" w:styleId="Char42">
    <w:name w:val="图题注 Char4"/>
    <w:qFormat/>
    <w:rsid w:val="009964C3"/>
    <w:rPr>
      <w:rFonts w:ascii="黑体" w:eastAsia="黑体" w:hAnsi="Arial" w:cs="宋体"/>
      <w:b/>
      <w:bCs/>
      <w:kern w:val="2"/>
      <w:sz w:val="24"/>
      <w:szCs w:val="24"/>
      <w:lang w:val="en-US" w:eastAsia="zh-CN" w:bidi="ar-SA"/>
    </w:rPr>
  </w:style>
  <w:style w:type="character" w:customStyle="1" w:styleId="111111Char2">
    <w:name w:val="标题1.1.1.1.1.1 Char2"/>
    <w:aliases w:val="标题 6（修改） Char2,图 Char2,编号正文 Char2,第五层条 Char,H6 Char1,sub-dash Char,sd Char,标题 6表内文字(小四) Char1,H61 Char,标题5 Char,二级项 Char2,无节 Char2,标题6，6级标题，小四中宋粗，无序号 Char2,标题8 Char2,二级项1 Char2,无节1 Char2,标题6，6级标题，小四中宋粗，无序号1 Char2,标题81 Char2,无节2 Char2"/>
    <w:semiHidden/>
    <w:rsid w:val="009964C3"/>
    <w:rPr>
      <w:rFonts w:ascii="Arial" w:eastAsia="宋体" w:hAnsi="Arial"/>
      <w:b/>
      <w:spacing w:val="-4"/>
      <w:kern w:val="20"/>
      <w:sz w:val="18"/>
      <w:szCs w:val="24"/>
      <w:lang w:val="en-US" w:eastAsia="zh-CN" w:bidi="ar-SA"/>
    </w:rPr>
  </w:style>
  <w:style w:type="character" w:customStyle="1" w:styleId="2TimesNewRomanChar1">
    <w:name w:val="样式 样式 首行缩进:  2 字符 + Times New Roman Char"/>
    <w:basedOn w:val="2Charb"/>
    <w:link w:val="2TimesNewRoman0"/>
    <w:semiHidden/>
    <w:rsid w:val="009964C3"/>
  </w:style>
  <w:style w:type="character" w:customStyle="1" w:styleId="CharChar17">
    <w:name w:val="Char Char17"/>
    <w:qFormat/>
    <w:rsid w:val="009964C3"/>
    <w:rPr>
      <w:rFonts w:eastAsia="宋体"/>
      <w:snapToGrid w:val="0"/>
      <w:kern w:val="24"/>
      <w:sz w:val="24"/>
      <w:lang w:val="en-US" w:eastAsia="zh-CN" w:bidi="ar-SA"/>
    </w:rPr>
  </w:style>
  <w:style w:type="character" w:customStyle="1" w:styleId="CharCharf6">
    <w:name w:val="图表标题 Char Char"/>
    <w:qFormat/>
    <w:rsid w:val="009964C3"/>
    <w:rPr>
      <w:rFonts w:ascii="宋体" w:eastAsia="宋体" w:hAnsi="宋体"/>
      <w:sz w:val="24"/>
      <w:szCs w:val="28"/>
      <w:lang w:val="en-US" w:eastAsia="zh-CN" w:bidi="ar-SA"/>
    </w:rPr>
  </w:style>
  <w:style w:type="character" w:customStyle="1" w:styleId="CharCharCharCharChar3">
    <w:name w:val="段落 Char Char Char Char Char"/>
    <w:qFormat/>
    <w:rsid w:val="009964C3"/>
    <w:rPr>
      <w:rFonts w:ascii="ˎ̥" w:eastAsia="宋体" w:hAnsi="ˎ̥"/>
      <w:kern w:val="24"/>
      <w:sz w:val="24"/>
      <w:szCs w:val="24"/>
      <w:lang w:val="en-US" w:eastAsia="zh-CN" w:bidi="ar-SA"/>
    </w:rPr>
  </w:style>
  <w:style w:type="character" w:customStyle="1" w:styleId="3Char6">
    <w:name w:val="样式 样式 标题 3 + 四号 + (中文) 宋体 小四 加粗 Char"/>
    <w:link w:val="39"/>
    <w:semiHidden/>
    <w:rsid w:val="009964C3"/>
    <w:rPr>
      <w:b/>
      <w:bCs/>
      <w:kern w:val="2"/>
      <w:sz w:val="24"/>
      <w:szCs w:val="28"/>
    </w:rPr>
  </w:style>
  <w:style w:type="character" w:customStyle="1" w:styleId="Char1f1">
    <w:name w:val="结束语 Char1"/>
    <w:link w:val="afffffb"/>
    <w:rsid w:val="009964C3"/>
    <w:rPr>
      <w:kern w:val="2"/>
      <w:sz w:val="24"/>
    </w:rPr>
  </w:style>
  <w:style w:type="character" w:customStyle="1" w:styleId="lyChar">
    <w:name w:val="ly正文 Char"/>
    <w:link w:val="ly"/>
    <w:semiHidden/>
    <w:rsid w:val="009964C3"/>
    <w:rPr>
      <w:rFonts w:cs="宋体"/>
      <w:kern w:val="2"/>
      <w:sz w:val="24"/>
      <w:szCs w:val="24"/>
    </w:rPr>
  </w:style>
  <w:style w:type="character" w:customStyle="1" w:styleId="CharChar1Char">
    <w:name w:val="段落 Char Char1 Char"/>
    <w:rsid w:val="009964C3"/>
    <w:rPr>
      <w:rFonts w:eastAsia="宋体" w:hAnsi="宋体"/>
      <w:kern w:val="24"/>
      <w:sz w:val="24"/>
      <w:szCs w:val="24"/>
      <w:lang w:val="en-US" w:eastAsia="zh-CN" w:bidi="ar-SA"/>
    </w:rPr>
  </w:style>
  <w:style w:type="character" w:customStyle="1" w:styleId="fs">
    <w:name w:val="fs"/>
    <w:basedOn w:val="af5"/>
    <w:qFormat/>
    <w:rsid w:val="009964C3"/>
  </w:style>
  <w:style w:type="character" w:customStyle="1" w:styleId="Charfffb">
    <w:name w:val="表 Char"/>
    <w:link w:val="46"/>
    <w:semiHidden/>
    <w:locked/>
    <w:rsid w:val="009964C3"/>
    <w:rPr>
      <w:rFonts w:eastAsia="仿宋_GB2312"/>
      <w:bCs/>
      <w:color w:val="000000"/>
      <w:kern w:val="21"/>
      <w:sz w:val="21"/>
      <w:szCs w:val="24"/>
    </w:rPr>
  </w:style>
  <w:style w:type="character" w:customStyle="1" w:styleId="2Charf">
    <w:name w:val="纯文本2 Char"/>
    <w:qFormat/>
    <w:rsid w:val="009964C3"/>
    <w:rPr>
      <w:rFonts w:ascii="宋体" w:eastAsia="宋体"/>
      <w:kern w:val="2"/>
      <w:sz w:val="21"/>
      <w:lang w:val="en-US" w:eastAsia="zh-CN" w:bidi="ar-SA"/>
    </w:rPr>
  </w:style>
  <w:style w:type="character" w:customStyle="1" w:styleId="32Char2">
    <w:name w:val="3号宋体居中行距2倍 Char2"/>
    <w:aliases w:val="1.1标题 2 Char2,标题 21 Char2,标题 12 Char2,三号宋体居中行距2倍 Char2,三号宋体居中行距2倍距 Char2,标题 2 Char Char Char Char Char2,3号宋体居中2倍行距 Char2,节标题 1.1 Char2,h2 Char2,l2 Char2,2nd level Char2,Titre2 Char2,2 Char2,Header 2 Char2,一级节名 Char2,标题2 Char2,H2 Char1"/>
    <w:semiHidden/>
    <w:rsid w:val="009964C3"/>
    <w:rPr>
      <w:rFonts w:ascii="Arial" w:eastAsia="黑体" w:hAnsi="Arial"/>
      <w:b/>
      <w:bCs/>
      <w:kern w:val="2"/>
      <w:sz w:val="32"/>
      <w:szCs w:val="32"/>
      <w:lang w:val="en-US" w:eastAsia="zh-CN" w:bidi="ar-SA"/>
    </w:rPr>
  </w:style>
  <w:style w:type="character" w:customStyle="1" w:styleId="CharCharf7">
    <w:name w:val="标题 Char Char"/>
    <w:semiHidden/>
    <w:rsid w:val="009964C3"/>
    <w:rPr>
      <w:rFonts w:ascii="Arial" w:eastAsia="华文新魏" w:hAnsi="Arial" w:cs="Arial"/>
      <w:b/>
      <w:bCs/>
      <w:kern w:val="2"/>
      <w:sz w:val="84"/>
      <w:szCs w:val="32"/>
      <w:lang w:val="en-US" w:eastAsia="zh-CN" w:bidi="ar-SA"/>
    </w:rPr>
  </w:style>
  <w:style w:type="character" w:customStyle="1" w:styleId="5Char21">
    <w:name w:val="样式 表内5 + (符号) 宋体 两端对齐 行距: 单倍行距 Char2"/>
    <w:qFormat/>
    <w:rsid w:val="009964C3"/>
    <w:rPr>
      <w:rFonts w:ascii="宋体" w:eastAsia="宋体" w:hAnsi="宋体" w:cs="宋体"/>
      <w:sz w:val="21"/>
      <w:lang w:val="en-US" w:eastAsia="zh-CN" w:bidi="ar-SA"/>
    </w:rPr>
  </w:style>
  <w:style w:type="character" w:customStyle="1" w:styleId="ht">
    <w:name w:val="ht"/>
    <w:semiHidden/>
    <w:rsid w:val="009964C3"/>
    <w:rPr>
      <w:rFonts w:ascii="Arial" w:eastAsia="黑体" w:hAnsi="Arial"/>
      <w:kern w:val="20"/>
      <w:sz w:val="30"/>
      <w:lang w:val="en-US" w:eastAsia="zh-CN" w:bidi="ar-SA"/>
    </w:rPr>
  </w:style>
  <w:style w:type="character" w:customStyle="1" w:styleId="Charfffc">
    <w:name w:val="表格头 Char"/>
    <w:link w:val="afffffc"/>
    <w:semiHidden/>
    <w:rsid w:val="009964C3"/>
    <w:rPr>
      <w:rFonts w:ascii="Tahoma" w:eastAsia="黑体" w:hAnsi="Tahoma"/>
      <w:b/>
      <w:snapToGrid w:val="0"/>
      <w:color w:val="000000"/>
      <w:spacing w:val="-4"/>
      <w:kern w:val="2"/>
      <w:sz w:val="24"/>
      <w:lang w:val="en-US" w:eastAsia="zh-CN" w:bidi="ar-SA"/>
    </w:rPr>
  </w:style>
  <w:style w:type="character" w:customStyle="1" w:styleId="31113CharH3H31H32H33u3Heading3Section1Char">
    <w:name w:val="样式 标题 3条标题1.1.1标题 3 CharH3H31H32H33u3Heading3Section小标...1 Char"/>
    <w:link w:val="31113CharH3H31H32H33u3Heading3Section1"/>
    <w:semiHidden/>
    <w:rsid w:val="009964C3"/>
    <w:rPr>
      <w:b/>
      <w:bCs/>
      <w:color w:val="000000"/>
      <w:kern w:val="2"/>
      <w:sz w:val="24"/>
      <w:szCs w:val="28"/>
      <w:lang w:val="en-US" w:eastAsia="zh-CN"/>
    </w:rPr>
  </w:style>
  <w:style w:type="character" w:customStyle="1" w:styleId="Charfffd">
    <w:name w:val="列表 Char"/>
    <w:link w:val="afffffd"/>
    <w:rsid w:val="009964C3"/>
    <w:rPr>
      <w:kern w:val="2"/>
      <w:sz w:val="24"/>
    </w:rPr>
  </w:style>
  <w:style w:type="character" w:customStyle="1" w:styleId="1Char12">
    <w:name w:val="正文样式1 Char1"/>
    <w:qFormat/>
    <w:rsid w:val="009964C3"/>
    <w:rPr>
      <w:rFonts w:eastAsia="宋体"/>
      <w:snapToGrid w:val="0"/>
      <w:position w:val="-12"/>
      <w:sz w:val="24"/>
      <w:szCs w:val="24"/>
      <w:lang w:val="en-US" w:eastAsia="zh-CN" w:bidi="ar-SA"/>
    </w:rPr>
  </w:style>
  <w:style w:type="character" w:customStyle="1" w:styleId="Charfffe">
    <w:name w:val="大丰申请报告正文 Char"/>
    <w:link w:val="afffffe"/>
    <w:semiHidden/>
    <w:rsid w:val="009964C3"/>
    <w:rPr>
      <w:rFonts w:ascii="Arial" w:hAnsi="Arial"/>
      <w:bCs/>
      <w:kern w:val="20"/>
      <w:sz w:val="24"/>
      <w:szCs w:val="28"/>
    </w:rPr>
  </w:style>
  <w:style w:type="character" w:customStyle="1" w:styleId="d2">
    <w:name w:val="d2"/>
    <w:semiHidden/>
    <w:rsid w:val="009964C3"/>
    <w:rPr>
      <w:rFonts w:ascii="Arial" w:eastAsia="宋体" w:hAnsi="Arial"/>
      <w:spacing w:val="300"/>
      <w:kern w:val="2"/>
      <w:sz w:val="21"/>
      <w:szCs w:val="21"/>
      <w:lang w:val="en-US" w:eastAsia="zh-CN" w:bidi="ar-SA"/>
    </w:rPr>
  </w:style>
  <w:style w:type="character" w:customStyle="1" w:styleId="2Charb">
    <w:name w:val="样式 首行缩进:  2 字符 Char"/>
    <w:link w:val="2f2"/>
    <w:rsid w:val="009964C3"/>
    <w:rPr>
      <w:rFonts w:ascii="Arial" w:eastAsia="宋体" w:hAnsi="Arial" w:cs="宋体"/>
      <w:kern w:val="2"/>
      <w:sz w:val="24"/>
      <w:lang w:val="en-US" w:eastAsia="zh-CN" w:bidi="ar-SA"/>
    </w:rPr>
  </w:style>
  <w:style w:type="character" w:customStyle="1" w:styleId="Charffff">
    <w:name w:val="标题 Char"/>
    <w:rsid w:val="009964C3"/>
    <w:rPr>
      <w:rFonts w:ascii="Arial" w:eastAsia="华文新魏" w:hAnsi="Arial" w:cs="Arial"/>
      <w:b/>
      <w:bCs/>
      <w:kern w:val="2"/>
      <w:sz w:val="84"/>
      <w:szCs w:val="32"/>
      <w:lang w:val="en-US" w:eastAsia="zh-CN" w:bidi="ar-SA"/>
    </w:rPr>
  </w:style>
  <w:style w:type="character" w:customStyle="1" w:styleId="3Char20">
    <w:name w:val="正文文本 3 Char2"/>
    <w:semiHidden/>
    <w:rsid w:val="009964C3"/>
    <w:rPr>
      <w:kern w:val="2"/>
      <w:sz w:val="16"/>
      <w:szCs w:val="16"/>
    </w:rPr>
  </w:style>
  <w:style w:type="character" w:customStyle="1" w:styleId="CharChar71">
    <w:name w:val="Char Char71"/>
    <w:rsid w:val="009964C3"/>
    <w:rPr>
      <w:rFonts w:ascii="Arial" w:eastAsia="宋体" w:hAnsi="Arial"/>
      <w:b/>
      <w:color w:val="000000"/>
      <w:kern w:val="16"/>
      <w:sz w:val="28"/>
      <w:szCs w:val="28"/>
      <w:lang w:val="en-US" w:eastAsia="zh-CN" w:bidi="ar-SA"/>
    </w:rPr>
  </w:style>
  <w:style w:type="character" w:customStyle="1" w:styleId="HTMLChar1">
    <w:name w:val="HTML 地址 Char1"/>
    <w:link w:val="HTML7"/>
    <w:rsid w:val="009964C3"/>
    <w:rPr>
      <w:i/>
      <w:iCs/>
      <w:kern w:val="2"/>
      <w:sz w:val="24"/>
    </w:rPr>
  </w:style>
  <w:style w:type="character" w:customStyle="1" w:styleId="guo3">
    <w:name w:val="guo标题3"/>
    <w:rsid w:val="009964C3"/>
    <w:rPr>
      <w:rFonts w:ascii="Arial" w:eastAsia="黑体" w:hAnsi="Arial"/>
      <w:b/>
      <w:kern w:val="2"/>
      <w:sz w:val="24"/>
      <w:vertAlign w:val="baseline"/>
      <w:lang w:val="en-US" w:eastAsia="zh-CN" w:bidi="ar-SA"/>
    </w:rPr>
  </w:style>
  <w:style w:type="character" w:customStyle="1" w:styleId="Char1f2">
    <w:name w:val="燕山正文 Char1"/>
    <w:qFormat/>
    <w:rsid w:val="009964C3"/>
    <w:rPr>
      <w:rFonts w:ascii="宋体" w:eastAsia="宋体" w:hAnsi="宋体"/>
      <w:color w:val="000000"/>
      <w:kern w:val="2"/>
      <w:sz w:val="28"/>
      <w:szCs w:val="28"/>
      <w:lang w:val="en-US" w:eastAsia="zh-CN" w:bidi="ar-SA"/>
    </w:rPr>
  </w:style>
  <w:style w:type="character" w:customStyle="1" w:styleId="Charffff0">
    <w:name w:val="脚注文本 Char"/>
    <w:rsid w:val="009964C3"/>
    <w:rPr>
      <w:rFonts w:ascii="Times New Roman" w:eastAsia="宋体" w:hAnsi="Times New Roman" w:cs="Times New Roman"/>
      <w:sz w:val="18"/>
      <w:szCs w:val="18"/>
    </w:rPr>
  </w:style>
  <w:style w:type="character" w:customStyle="1" w:styleId="Char1f3">
    <w:name w:val="文档结构图 Char1"/>
    <w:semiHidden/>
    <w:rsid w:val="009964C3"/>
    <w:rPr>
      <w:rFonts w:ascii="宋体"/>
      <w:kern w:val="2"/>
      <w:sz w:val="18"/>
      <w:szCs w:val="18"/>
    </w:rPr>
  </w:style>
  <w:style w:type="character" w:customStyle="1" w:styleId="1f3">
    <w:name w:val="明显强调1"/>
    <w:qFormat/>
    <w:rsid w:val="009964C3"/>
    <w:rPr>
      <w:b/>
      <w:bCs/>
      <w:i/>
      <w:iCs/>
      <w:color w:val="4F81BD"/>
    </w:rPr>
  </w:style>
  <w:style w:type="character" w:customStyle="1" w:styleId="wangCharChar">
    <w:name w:val="正文wang Char Char"/>
    <w:link w:val="wangChar"/>
    <w:rsid w:val="009964C3"/>
    <w:rPr>
      <w:rFonts w:eastAsia="宋体" w:cs="宋体"/>
      <w:spacing w:val="-4"/>
      <w:kern w:val="2"/>
      <w:sz w:val="24"/>
      <w:szCs w:val="24"/>
      <w:lang w:val="en-US" w:eastAsia="zh-CN" w:bidi="ar-SA"/>
    </w:rPr>
  </w:style>
  <w:style w:type="character" w:customStyle="1" w:styleId="c1">
    <w:name w:val="c1"/>
    <w:qFormat/>
    <w:rsid w:val="009964C3"/>
    <w:rPr>
      <w:rFonts w:hint="default"/>
      <w:color w:val="000000"/>
      <w:spacing w:val="320"/>
      <w:sz w:val="21"/>
      <w:szCs w:val="21"/>
      <w:u w:val="none"/>
    </w:rPr>
  </w:style>
  <w:style w:type="character" w:customStyle="1" w:styleId="2Char11">
    <w:name w:val="正文文本 2 Char1"/>
    <w:link w:val="2f3"/>
    <w:qFormat/>
    <w:rsid w:val="009964C3"/>
    <w:rPr>
      <w:rFonts w:ascii="黑体" w:eastAsia="黑体" w:hAnsi="宋体"/>
      <w:kern w:val="2"/>
      <w:sz w:val="21"/>
      <w:szCs w:val="21"/>
      <w:lang w:val="en-US" w:eastAsia="zh-CN" w:bidi="ar-SA"/>
    </w:rPr>
  </w:style>
  <w:style w:type="character" w:customStyle="1" w:styleId="3CharCharCharCharCharCharChar">
    <w:name w:val="标题 3 Char Char Char Char Char Char Char"/>
    <w:aliases w:val="条标题1.1.1 Char2,H3 Char2,H31 Char,H32 Char,H33 Char,u3 Char,Heading3 Char,Section Char,小标题 Char2,标题 4 Char Char... Char,头 Char,标题 3 Char Char Char Char1,标题 3 Char Char Char Char Char Char1,h3 Char2,level_3 Char"/>
    <w:rsid w:val="009964C3"/>
    <w:rPr>
      <w:rFonts w:eastAsia="宋体"/>
      <w:b/>
      <w:bCs/>
      <w:sz w:val="32"/>
      <w:szCs w:val="32"/>
      <w:lang w:val="en-US" w:eastAsia="zh-CN" w:bidi="ar-SA"/>
    </w:rPr>
  </w:style>
  <w:style w:type="character" w:customStyle="1" w:styleId="CharChar190">
    <w:name w:val="Char Char19"/>
    <w:semiHidden/>
    <w:rsid w:val="009964C3"/>
    <w:rPr>
      <w:rFonts w:ascii="Arial" w:eastAsia="仿宋_GB2312" w:hAnsi="Arial"/>
      <w:kern w:val="2"/>
      <w:sz w:val="18"/>
      <w:szCs w:val="18"/>
      <w:lang w:val="en-US" w:eastAsia="zh-CN" w:bidi="ar-SA"/>
    </w:rPr>
  </w:style>
  <w:style w:type="character" w:customStyle="1" w:styleId="CharCharf8">
    <w:name w:val="表头 + 带序号 Char Char"/>
    <w:link w:val="Charffff1"/>
    <w:semiHidden/>
    <w:rsid w:val="009964C3"/>
    <w:rPr>
      <w:b/>
      <w:bCs/>
      <w:kern w:val="2"/>
      <w:sz w:val="28"/>
      <w:szCs w:val="21"/>
    </w:rPr>
  </w:style>
  <w:style w:type="character" w:customStyle="1" w:styleId="CharChar23">
    <w:name w:val="Char Char23"/>
    <w:qFormat/>
    <w:rsid w:val="009964C3"/>
    <w:rPr>
      <w:kern w:val="2"/>
      <w:sz w:val="18"/>
      <w:szCs w:val="18"/>
    </w:rPr>
  </w:style>
  <w:style w:type="character" w:customStyle="1" w:styleId="2Charf0">
    <w:name w:val="标题（2） Char"/>
    <w:link w:val="2f4"/>
    <w:semiHidden/>
    <w:rsid w:val="009964C3"/>
    <w:rPr>
      <w:kern w:val="28"/>
      <w:sz w:val="28"/>
    </w:rPr>
  </w:style>
  <w:style w:type="character" w:customStyle="1" w:styleId="yqlink">
    <w:name w:val="yqlink"/>
    <w:basedOn w:val="af5"/>
    <w:qFormat/>
    <w:rsid w:val="009964C3"/>
  </w:style>
  <w:style w:type="character" w:customStyle="1" w:styleId="Char1f4">
    <w:name w:val="页眉 Char1"/>
    <w:link w:val="affffff"/>
    <w:qFormat/>
    <w:rsid w:val="009964C3"/>
    <w:rPr>
      <w:rFonts w:eastAsia="宋体"/>
      <w:kern w:val="2"/>
      <w:sz w:val="18"/>
      <w:szCs w:val="18"/>
      <w:lang w:val="en-US" w:eastAsia="zh-CN" w:bidi="ar-SA"/>
    </w:rPr>
  </w:style>
  <w:style w:type="character" w:customStyle="1" w:styleId="2CharChar10">
    <w:name w:val="正文文字缩进 2 Char Char1"/>
    <w:semiHidden/>
    <w:rsid w:val="009964C3"/>
    <w:rPr>
      <w:rFonts w:ascii="宋体" w:eastAsia="宋体" w:hAnsi="宋体"/>
      <w:kern w:val="2"/>
      <w:sz w:val="24"/>
      <w:lang w:val="en-US" w:eastAsia="zh-CN" w:bidi="ar-SA"/>
    </w:rPr>
  </w:style>
  <w:style w:type="character" w:customStyle="1" w:styleId="GB2312CharChar">
    <w:name w:val="样式 正文文本 + 楷体_GB2312 小四 Char Char"/>
    <w:link w:val="GB2312Char1"/>
    <w:qFormat/>
    <w:rsid w:val="009964C3"/>
    <w:rPr>
      <w:rFonts w:ascii="楷体_GB2312" w:eastAsia="宋体" w:hAnsi="楷体_GB2312"/>
      <w:kern w:val="2"/>
      <w:sz w:val="24"/>
      <w:lang w:val="en-US" w:eastAsia="zh-CN" w:bidi="ar-SA"/>
    </w:rPr>
  </w:style>
  <w:style w:type="character" w:customStyle="1" w:styleId="CharChar2CharCharCharCharCharChar">
    <w:name w:val="段落 Char Char2 Char Char Char Char Char Char"/>
    <w:qFormat/>
    <w:rsid w:val="009964C3"/>
    <w:rPr>
      <w:rFonts w:eastAsia="宋体"/>
      <w:kern w:val="24"/>
      <w:sz w:val="24"/>
      <w:szCs w:val="24"/>
      <w:lang w:val="en-US" w:eastAsia="zh-CN" w:bidi="ar-SA"/>
    </w:rPr>
  </w:style>
  <w:style w:type="character" w:customStyle="1" w:styleId="Charffff2">
    <w:name w:val="无间隔 Char"/>
    <w:link w:val="affffff0"/>
    <w:rsid w:val="009964C3"/>
    <w:rPr>
      <w:rFonts w:ascii="Calibri" w:hAnsi="Calibri"/>
      <w:sz w:val="22"/>
      <w:szCs w:val="22"/>
      <w:lang w:val="en-US" w:eastAsia="zh-CN" w:bidi="ar-SA"/>
    </w:rPr>
  </w:style>
  <w:style w:type="character" w:customStyle="1" w:styleId="CharCharf9">
    <w:name w:val="段落 Char Char"/>
    <w:qFormat/>
    <w:rsid w:val="009964C3"/>
    <w:rPr>
      <w:rFonts w:eastAsia="宋体"/>
      <w:kern w:val="24"/>
      <w:sz w:val="24"/>
      <w:szCs w:val="24"/>
      <w:lang w:val="en-US" w:eastAsia="zh-CN" w:bidi="ar-SA"/>
    </w:rPr>
  </w:style>
  <w:style w:type="character" w:customStyle="1" w:styleId="Char1CharChar1Char">
    <w:name w:val="Char1 Char Char1 Char"/>
    <w:link w:val="Char1CharChar1"/>
    <w:semiHidden/>
    <w:rsid w:val="009964C3"/>
    <w:rPr>
      <w:rFonts w:ascii="Arial" w:hAnsi="Arial"/>
      <w:bCs/>
      <w:kern w:val="2"/>
      <w:sz w:val="21"/>
      <w:szCs w:val="28"/>
    </w:rPr>
  </w:style>
  <w:style w:type="character" w:customStyle="1" w:styleId="BodyTextIndent2Char">
    <w:name w:val="Body Text Indent 2 Char"/>
    <w:rsid w:val="009964C3"/>
    <w:rPr>
      <w:rFonts w:eastAsia="宋体"/>
      <w:kern w:val="2"/>
      <w:sz w:val="24"/>
      <w:lang w:val="en-US" w:eastAsia="zh-CN" w:bidi="ar-SA"/>
    </w:rPr>
  </w:style>
  <w:style w:type="character" w:customStyle="1" w:styleId="3Char7">
    <w:name w:val="正文文本 3 Char"/>
    <w:aliases w:val="正文文字 3 Char"/>
    <w:qFormat/>
    <w:rsid w:val="009964C3"/>
    <w:rPr>
      <w:rFonts w:ascii="Times New Roman" w:eastAsia="宋体" w:hAnsi="Times New Roman" w:cs="Times New Roman"/>
      <w:sz w:val="16"/>
      <w:szCs w:val="16"/>
    </w:rPr>
  </w:style>
  <w:style w:type="character" w:customStyle="1" w:styleId="Charffff3">
    <w:name w:val="电子邮件签名 Char"/>
    <w:semiHidden/>
    <w:rsid w:val="009964C3"/>
    <w:rPr>
      <w:rFonts w:ascii="Times New Roman" w:eastAsia="宋体" w:hAnsi="Times New Roman" w:cs="Times New Roman"/>
      <w:szCs w:val="24"/>
    </w:rPr>
  </w:style>
  <w:style w:type="character" w:customStyle="1" w:styleId="CharCharfa">
    <w:name w:val="鑫裕表头 Char Char"/>
    <w:link w:val="affffff1"/>
    <w:rsid w:val="009964C3"/>
    <w:rPr>
      <w:rFonts w:eastAsia="黑体"/>
      <w:kern w:val="24"/>
      <w:sz w:val="24"/>
      <w:szCs w:val="24"/>
      <w:lang w:val="en-US" w:eastAsia="zh-CN"/>
    </w:rPr>
  </w:style>
  <w:style w:type="character" w:customStyle="1" w:styleId="6Char">
    <w:name w:val="标题 6 Char"/>
    <w:link w:val="6"/>
    <w:qFormat/>
    <w:rsid w:val="009964C3"/>
    <w:rPr>
      <w:rFonts w:ascii="Arial" w:eastAsia="黑体" w:hAnsi="Arial" w:cs="宋体"/>
      <w:b/>
      <w:bCs/>
      <w:sz w:val="24"/>
      <w:szCs w:val="24"/>
      <w:lang w:val="en-US" w:eastAsia="zh-CN" w:bidi="ar-SA"/>
    </w:rPr>
  </w:style>
  <w:style w:type="character" w:customStyle="1" w:styleId="41111Char">
    <w:name w:val="样式 标题 4条款款标题1.1.1.1 + 黑色 Char"/>
    <w:link w:val="41111"/>
    <w:rsid w:val="009964C3"/>
    <w:rPr>
      <w:rFonts w:ascii="Arial" w:eastAsia="黑体" w:hAnsi="Arial"/>
      <w:b/>
      <w:bCs/>
      <w:color w:val="000000"/>
      <w:kern w:val="2"/>
      <w:sz w:val="24"/>
      <w:szCs w:val="28"/>
      <w:lang w:val="en-US" w:eastAsia="zh-CN" w:bidi="ar-SA"/>
    </w:rPr>
  </w:style>
  <w:style w:type="character" w:customStyle="1" w:styleId="grame">
    <w:name w:val="grame"/>
    <w:basedOn w:val="af5"/>
    <w:qFormat/>
    <w:rsid w:val="009964C3"/>
  </w:style>
  <w:style w:type="character" w:customStyle="1" w:styleId="Charffff4">
    <w:name w:val="陈正文 Char"/>
    <w:rsid w:val="009964C3"/>
    <w:rPr>
      <w:rFonts w:eastAsia="仿宋_GB2312"/>
      <w:kern w:val="2"/>
      <w:sz w:val="28"/>
      <w:szCs w:val="24"/>
      <w:lang w:val="zh-CN" w:eastAsia="zh-CN" w:bidi="ar-SA"/>
    </w:rPr>
  </w:style>
  <w:style w:type="character" w:customStyle="1" w:styleId="fonttxt1">
    <w:name w:val="fonttxt1"/>
    <w:qFormat/>
    <w:rsid w:val="009964C3"/>
    <w:rPr>
      <w:color w:val="333333"/>
      <w:sz w:val="18"/>
      <w:szCs w:val="18"/>
      <w:u w:val="none"/>
    </w:rPr>
  </w:style>
  <w:style w:type="character" w:customStyle="1" w:styleId="8Char">
    <w:name w:val="标题 8 Char"/>
    <w:link w:val="8"/>
    <w:qFormat/>
    <w:rsid w:val="009964C3"/>
    <w:rPr>
      <w:rFonts w:ascii="Arial" w:eastAsia="黑体" w:hAnsi="Arial" w:cs="宋体"/>
      <w:sz w:val="24"/>
      <w:szCs w:val="24"/>
      <w:lang w:val="en-US" w:eastAsia="zh-CN" w:bidi="ar-SA"/>
    </w:rPr>
  </w:style>
  <w:style w:type="character" w:customStyle="1" w:styleId="Char2a">
    <w:name w:val="页眉 Char2"/>
    <w:semiHidden/>
    <w:rsid w:val="009964C3"/>
    <w:rPr>
      <w:kern w:val="2"/>
      <w:sz w:val="18"/>
      <w:szCs w:val="18"/>
    </w:rPr>
  </w:style>
  <w:style w:type="character" w:customStyle="1" w:styleId="Char1f5">
    <w:name w:val="脚注文本 Char1"/>
    <w:link w:val="affffff2"/>
    <w:qFormat/>
    <w:rsid w:val="009964C3"/>
    <w:rPr>
      <w:rFonts w:eastAsia="宋体"/>
      <w:kern w:val="2"/>
      <w:sz w:val="18"/>
      <w:szCs w:val="18"/>
      <w:lang w:val="en-US" w:eastAsia="zh-CN" w:bidi="ar-SA"/>
    </w:rPr>
  </w:style>
  <w:style w:type="character" w:customStyle="1" w:styleId="CharChar65">
    <w:name w:val="Char Char65"/>
    <w:rsid w:val="009964C3"/>
    <w:rPr>
      <w:rFonts w:ascii="Arial" w:eastAsia="黑体" w:hAnsi="Arial"/>
      <w:snapToGrid w:val="0"/>
      <w:kern w:val="24"/>
      <w:sz w:val="24"/>
      <w:lang w:val="en-US" w:eastAsia="zh-CN" w:bidi="ar-SA"/>
    </w:rPr>
  </w:style>
  <w:style w:type="character" w:customStyle="1" w:styleId="6CharCharChar">
    <w:name w:val="标题 6 Char Char Char"/>
    <w:qFormat/>
    <w:rsid w:val="009964C3"/>
    <w:rPr>
      <w:rFonts w:ascii="Arial" w:eastAsia="黑体" w:hAnsi="Arial"/>
      <w:b/>
      <w:bCs/>
      <w:sz w:val="24"/>
      <w:szCs w:val="24"/>
      <w:lang w:val="en-US" w:eastAsia="zh-CN" w:bidi="ar-SA"/>
    </w:rPr>
  </w:style>
  <w:style w:type="character" w:customStyle="1" w:styleId="2CharCharCharCharChar">
    <w:name w:val="样式 首行缩进:  2 字符 Char Char Char Char Char"/>
    <w:link w:val="2CharCharCharChar0"/>
    <w:qFormat/>
    <w:rsid w:val="009964C3"/>
    <w:rPr>
      <w:rFonts w:ascii="Arial" w:eastAsia="宋体" w:hAnsi="Arial"/>
      <w:kern w:val="2"/>
      <w:sz w:val="24"/>
      <w:lang w:val="en-US" w:eastAsia="zh-CN" w:bidi="ar-SA"/>
    </w:rPr>
  </w:style>
  <w:style w:type="character" w:customStyle="1" w:styleId="CharCharfb">
    <w:name w:val="页脚 Char Char"/>
    <w:qFormat/>
    <w:rsid w:val="009964C3"/>
    <w:rPr>
      <w:rFonts w:ascii="宋体" w:eastAsia="宋体" w:hAnsi="宋体"/>
      <w:kern w:val="2"/>
      <w:sz w:val="18"/>
      <w:szCs w:val="18"/>
      <w:lang w:val="en-US" w:eastAsia="zh-CN" w:bidi="ar-SA"/>
    </w:rPr>
  </w:style>
  <w:style w:type="character" w:customStyle="1" w:styleId="111Char3">
    <w:name w:val="条标题1.1.1 Char3"/>
    <w:aliases w:val="H3 Char3,H31 Char2,H32 Char2,H33 Char2,u3 Char2,Heading3 Char1,Section Char1,小标题 Char3,标题 4 Char Char... Char1,头 Char1,标题 3 Char Char Char Char2,标题 3 Char Char Char Char Char Char Char1,标题 3 Char Char Char Char Char Char2,h3 Char3,一 Char"/>
    <w:rsid w:val="009964C3"/>
    <w:rPr>
      <w:rFonts w:ascii="Arial" w:eastAsia="宋体" w:hAnsi="Arial"/>
      <w:kern w:val="2"/>
      <w:sz w:val="28"/>
      <w:szCs w:val="28"/>
      <w:lang w:val="en-US" w:eastAsia="zh-CN" w:bidi="ar-SA"/>
    </w:rPr>
  </w:style>
  <w:style w:type="character" w:customStyle="1" w:styleId="Charffff5">
    <w:name w:val="福建正文缩进 Char"/>
    <w:link w:val="affffff3"/>
    <w:qFormat/>
    <w:rsid w:val="009964C3"/>
    <w:rPr>
      <w:rFonts w:ascii="宋体" w:eastAsia="宋体"/>
      <w:b/>
      <w:kern w:val="2"/>
      <w:sz w:val="24"/>
      <w:szCs w:val="24"/>
      <w:lang w:val="en-US" w:eastAsia="zh-CN" w:bidi="ar-SA"/>
    </w:rPr>
  </w:style>
  <w:style w:type="character" w:customStyle="1" w:styleId="CharCharfc">
    <w:name w:val="样式 正文首行缩进正文首行缩进 Char + 黑色 Char"/>
    <w:rsid w:val="009964C3"/>
    <w:rPr>
      <w:rFonts w:eastAsia="宋体"/>
      <w:snapToGrid w:val="0"/>
      <w:color w:val="000000"/>
      <w:kern w:val="28"/>
      <w:sz w:val="28"/>
      <w:szCs w:val="28"/>
      <w:lang w:val="en-US" w:eastAsia="zh-CN"/>
    </w:rPr>
  </w:style>
  <w:style w:type="character" w:customStyle="1" w:styleId="hx11">
    <w:name w:val="hx11"/>
    <w:semiHidden/>
    <w:rsid w:val="009964C3"/>
    <w:rPr>
      <w:rFonts w:ascii="Arial" w:eastAsia="宋体" w:hAnsi="Arial"/>
      <w:kern w:val="2"/>
      <w:sz w:val="18"/>
      <w:szCs w:val="18"/>
      <w:lang w:val="en-US" w:eastAsia="zh-CN" w:bidi="ar-SA"/>
    </w:rPr>
  </w:style>
  <w:style w:type="character" w:customStyle="1" w:styleId="1CharChar1CharCharCharCharChar">
    <w:name w:val="正文样式1 Char Char1 Char Char Char Char Char"/>
    <w:qFormat/>
    <w:rsid w:val="009964C3"/>
    <w:rPr>
      <w:rFonts w:eastAsia="宋体"/>
      <w:snapToGrid w:val="0"/>
      <w:kern w:val="2"/>
      <w:position w:val="-12"/>
      <w:sz w:val="24"/>
      <w:szCs w:val="24"/>
      <w:lang w:val="en-US" w:eastAsia="zh-CN" w:bidi="ar-SA"/>
    </w:rPr>
  </w:style>
  <w:style w:type="character" w:customStyle="1" w:styleId="gChar2">
    <w:name w:val="g Char2"/>
    <w:aliases w:val="even Char2,页眉，DHCC 公司页眉 Char2,ITTHEADER Char Char2"/>
    <w:semiHidden/>
    <w:rsid w:val="009964C3"/>
    <w:rPr>
      <w:rFonts w:eastAsia="宋体"/>
      <w:kern w:val="2"/>
      <w:sz w:val="18"/>
      <w:lang w:val="en-US" w:eastAsia="zh-CN" w:bidi="ar-SA"/>
    </w:rPr>
  </w:style>
  <w:style w:type="character" w:customStyle="1" w:styleId="fontb1">
    <w:name w:val="fontb1"/>
    <w:qFormat/>
    <w:rsid w:val="009964C3"/>
    <w:rPr>
      <w:rFonts w:ascii="Arial" w:hAnsi="Arial" w:cs="Arial" w:hint="default"/>
      <w:spacing w:val="432"/>
      <w:sz w:val="18"/>
      <w:szCs w:val="18"/>
    </w:rPr>
  </w:style>
  <w:style w:type="character" w:customStyle="1" w:styleId="CharChar57">
    <w:name w:val="Char Char57"/>
    <w:semiHidden/>
    <w:rsid w:val="009964C3"/>
    <w:rPr>
      <w:rFonts w:eastAsia="黑体"/>
      <w:b/>
      <w:kern w:val="2"/>
      <w:sz w:val="32"/>
      <w:szCs w:val="32"/>
      <w:lang w:val="en-US" w:eastAsia="zh-CN" w:bidi="ar-SA"/>
    </w:rPr>
  </w:style>
  <w:style w:type="character" w:customStyle="1" w:styleId="2CharCharCharChar2">
    <w:name w:val="标题 2 Char Char Char Char2"/>
    <w:aliases w:val="标题 2 Char Char Char Char Char Char1,标题 2 Char Char Char Char Char Char Char"/>
    <w:rsid w:val="009964C3"/>
    <w:rPr>
      <w:rFonts w:ascii="Arial" w:eastAsia="黑体" w:hAnsi="Arial"/>
      <w:b/>
      <w:bCs/>
      <w:kern w:val="2"/>
      <w:sz w:val="32"/>
      <w:szCs w:val="32"/>
      <w:lang w:val="en-US" w:eastAsia="zh-CN" w:bidi="ar-SA"/>
    </w:rPr>
  </w:style>
  <w:style w:type="character" w:customStyle="1" w:styleId="large1">
    <w:name w:val="large1"/>
    <w:semiHidden/>
    <w:rsid w:val="009964C3"/>
    <w:rPr>
      <w:rFonts w:ascii="宋体" w:eastAsia="宋体" w:hAnsi="宋体" w:hint="eastAsia"/>
      <w:kern w:val="2"/>
      <w:sz w:val="22"/>
      <w:szCs w:val="22"/>
      <w:lang w:val="en-US" w:eastAsia="zh-CN" w:bidi="ar-SA"/>
    </w:rPr>
  </w:style>
  <w:style w:type="character" w:customStyle="1" w:styleId="2Char21">
    <w:name w:val="正文文本缩进 2 Char2"/>
    <w:semiHidden/>
    <w:rsid w:val="009964C3"/>
    <w:rPr>
      <w:kern w:val="2"/>
      <w:sz w:val="21"/>
      <w:szCs w:val="24"/>
    </w:rPr>
  </w:style>
  <w:style w:type="character" w:customStyle="1" w:styleId="px141">
    <w:name w:val="px141"/>
    <w:qFormat/>
    <w:rsid w:val="009964C3"/>
    <w:rPr>
      <w:spacing w:val="300"/>
      <w:sz w:val="21"/>
      <w:szCs w:val="21"/>
    </w:rPr>
  </w:style>
  <w:style w:type="character" w:customStyle="1" w:styleId="1f4">
    <w:name w:val="书籍标题1"/>
    <w:qFormat/>
    <w:rsid w:val="009964C3"/>
    <w:rPr>
      <w:b/>
      <w:bCs/>
      <w:smallCaps/>
      <w:spacing w:val="5"/>
    </w:rPr>
  </w:style>
  <w:style w:type="character" w:customStyle="1" w:styleId="Footer1CharChar1">
    <w:name w:val="Footer1 Char Char1"/>
    <w:rsid w:val="009964C3"/>
    <w:rPr>
      <w:rFonts w:eastAsia="宋体"/>
      <w:kern w:val="2"/>
      <w:sz w:val="18"/>
      <w:szCs w:val="18"/>
      <w:lang w:val="en-US" w:eastAsia="zh-CN" w:bidi="ar-SA"/>
    </w:rPr>
  </w:style>
  <w:style w:type="character" w:customStyle="1" w:styleId="CharChar24">
    <w:name w:val="Char Char24"/>
    <w:rsid w:val="009964C3"/>
    <w:rPr>
      <w:kern w:val="2"/>
      <w:sz w:val="18"/>
      <w:szCs w:val="18"/>
    </w:rPr>
  </w:style>
  <w:style w:type="character" w:customStyle="1" w:styleId="tiny">
    <w:name w:val="tiny"/>
    <w:rsid w:val="009964C3"/>
    <w:rPr>
      <w:rFonts w:ascii="Arial" w:eastAsia="宋体" w:hAnsi="Arial"/>
      <w:kern w:val="2"/>
      <w:sz w:val="21"/>
      <w:lang w:val="en-US" w:eastAsia="zh-CN" w:bidi="ar-SA"/>
    </w:rPr>
  </w:style>
  <w:style w:type="character" w:customStyle="1" w:styleId="CharChar260">
    <w:name w:val="Char Char26"/>
    <w:rsid w:val="009964C3"/>
    <w:rPr>
      <w:rFonts w:eastAsia="仿宋_GB2312"/>
      <w:sz w:val="28"/>
    </w:rPr>
  </w:style>
  <w:style w:type="character" w:customStyle="1" w:styleId="affffff4">
    <w:name w:val="个人答复风格"/>
    <w:semiHidden/>
    <w:rsid w:val="009964C3"/>
    <w:rPr>
      <w:rFonts w:ascii="Arial" w:eastAsia="宋体" w:hAnsi="Arial" w:cs="Arial"/>
      <w:color w:val="auto"/>
      <w:kern w:val="2"/>
      <w:sz w:val="20"/>
      <w:szCs w:val="21"/>
      <w:lang w:val="en-US" w:eastAsia="zh-CN" w:bidi="ar-SA"/>
    </w:rPr>
  </w:style>
  <w:style w:type="character" w:customStyle="1" w:styleId="GB23121Char">
    <w:name w:val="样式 楷体_GB2312 小四1 Char"/>
    <w:link w:val="GB231210"/>
    <w:rsid w:val="009964C3"/>
    <w:rPr>
      <w:rFonts w:ascii="楷体_GB2312" w:eastAsia="宋体"/>
      <w:sz w:val="24"/>
      <w:szCs w:val="24"/>
      <w:lang w:val="en-US" w:eastAsia="zh-CN" w:bidi="ar-SA"/>
    </w:rPr>
  </w:style>
  <w:style w:type="character" w:customStyle="1" w:styleId="Charffff6">
    <w:name w:val="注释 Char"/>
    <w:link w:val="affffff5"/>
    <w:qFormat/>
    <w:rsid w:val="009964C3"/>
    <w:rPr>
      <w:rFonts w:eastAsia="楷体_GB2312"/>
      <w:snapToGrid w:val="0"/>
      <w:kern w:val="24"/>
      <w:position w:val="6"/>
      <w:sz w:val="21"/>
      <w:lang w:val="en-US" w:eastAsia="zh-CN" w:bidi="ar-SA"/>
    </w:rPr>
  </w:style>
  <w:style w:type="character" w:customStyle="1" w:styleId="cucd-TB-HeadCharChar1">
    <w:name w:val="cucd-TB-Head Char Char1"/>
    <w:link w:val="cucd-TB-HeadChar"/>
    <w:qFormat/>
    <w:locked/>
    <w:rsid w:val="009964C3"/>
    <w:rPr>
      <w:rFonts w:eastAsia="黑体" w:hAnsi="宋体"/>
      <w:kern w:val="2"/>
      <w:sz w:val="24"/>
      <w:szCs w:val="21"/>
      <w:lang w:bidi="ar-SA"/>
    </w:rPr>
  </w:style>
  <w:style w:type="character" w:customStyle="1" w:styleId="CharChar240">
    <w:name w:val="Char Char24"/>
    <w:semiHidden/>
    <w:rsid w:val="009964C3"/>
    <w:rPr>
      <w:rFonts w:ascii="Times New Roman" w:eastAsia="仿宋_GB2312" w:hAnsi="Times New Roman"/>
      <w:kern w:val="2"/>
      <w:sz w:val="28"/>
      <w:szCs w:val="21"/>
      <w:lang w:val="en-US" w:eastAsia="zh-CN" w:bidi="ar-SA"/>
    </w:rPr>
  </w:style>
  <w:style w:type="character" w:customStyle="1" w:styleId="HTMLChar">
    <w:name w:val="HTML 预设格式 Char"/>
    <w:semiHidden/>
    <w:rsid w:val="009964C3"/>
    <w:rPr>
      <w:rFonts w:ascii="Courier New" w:eastAsia="宋体" w:hAnsi="Courier New" w:cs="Courier New"/>
      <w:sz w:val="20"/>
      <w:szCs w:val="20"/>
    </w:rPr>
  </w:style>
  <w:style w:type="character" w:customStyle="1" w:styleId="3GCharChar">
    <w:name w:val="标题 3(G) Char Char"/>
    <w:semiHidden/>
    <w:rsid w:val="009964C3"/>
    <w:rPr>
      <w:rFonts w:ascii="Times New Roman" w:eastAsia="黑体" w:hAnsi="Times New Roman"/>
      <w:kern w:val="2"/>
      <w:sz w:val="28"/>
      <w:szCs w:val="28"/>
      <w:lang w:val="en-US" w:eastAsia="zh-CN" w:bidi="ar-SA"/>
    </w:rPr>
  </w:style>
  <w:style w:type="character" w:customStyle="1" w:styleId="Char1f6">
    <w:name w:val="信息标题 Char1"/>
    <w:link w:val="affffff6"/>
    <w:rsid w:val="009964C3"/>
    <w:rPr>
      <w:rFonts w:ascii="Arial" w:hAnsi="Arial" w:cs="Arial"/>
      <w:kern w:val="2"/>
      <w:sz w:val="24"/>
      <w:szCs w:val="24"/>
      <w:shd w:val="pct20" w:color="auto" w:fill="auto"/>
    </w:rPr>
  </w:style>
  <w:style w:type="character" w:customStyle="1" w:styleId="Charffff7">
    <w:name w:val="正文修改 Char"/>
    <w:link w:val="affffff7"/>
    <w:rsid w:val="009964C3"/>
    <w:rPr>
      <w:rFonts w:ascii="宋体" w:hAnsi="宋体"/>
      <w:color w:val="000000"/>
      <w:kern w:val="2"/>
      <w:sz w:val="24"/>
      <w:szCs w:val="24"/>
    </w:rPr>
  </w:style>
  <w:style w:type="character" w:customStyle="1" w:styleId="Char1f7">
    <w:name w:val="宏文本 Char1"/>
    <w:link w:val="affffff8"/>
    <w:semiHidden/>
    <w:rsid w:val="009964C3"/>
    <w:rPr>
      <w:rFonts w:ascii="Courier New" w:hAnsi="Courier New" w:cs="Courier New"/>
      <w:kern w:val="2"/>
      <w:sz w:val="24"/>
      <w:szCs w:val="24"/>
      <w:lang w:val="en-US" w:eastAsia="zh-CN" w:bidi="ar-SA"/>
    </w:rPr>
  </w:style>
  <w:style w:type="character" w:customStyle="1" w:styleId="CharChar46">
    <w:name w:val="Char Char46"/>
    <w:semiHidden/>
    <w:rsid w:val="009964C3"/>
    <w:rPr>
      <w:rFonts w:eastAsia="仿宋_GB2312"/>
      <w:i/>
      <w:iCs/>
      <w:kern w:val="2"/>
      <w:sz w:val="28"/>
      <w:lang w:val="en-US" w:eastAsia="zh-CN" w:bidi="ar-SA"/>
    </w:rPr>
  </w:style>
  <w:style w:type="character" w:customStyle="1" w:styleId="googqs-tidbitgoogqs-tidbit-1">
    <w:name w:val="goog_qs-tidbit goog_qs-tidbit-1"/>
    <w:basedOn w:val="af5"/>
    <w:rsid w:val="009964C3"/>
  </w:style>
  <w:style w:type="character" w:customStyle="1" w:styleId="cucd-2Char1">
    <w:name w:val="cucd-2 Char1"/>
    <w:rsid w:val="009964C3"/>
    <w:rPr>
      <w:rFonts w:ascii="Arial" w:eastAsia="黑体" w:hAnsi="Arial"/>
      <w:b/>
      <w:kern w:val="2"/>
      <w:sz w:val="30"/>
      <w:szCs w:val="24"/>
      <w:lang w:val="en-US" w:eastAsia="zh-CN" w:bidi="ar-SA"/>
    </w:rPr>
  </w:style>
  <w:style w:type="character" w:customStyle="1" w:styleId="CharChar122">
    <w:name w:val="Char Char122"/>
    <w:qFormat/>
    <w:rsid w:val="009964C3"/>
    <w:rPr>
      <w:rFonts w:eastAsia="宋体"/>
      <w:color w:val="000000"/>
      <w:kern w:val="2"/>
      <w:position w:val="4"/>
      <w:sz w:val="24"/>
      <w:szCs w:val="24"/>
      <w:lang w:val="en-US" w:eastAsia="zh-CN" w:bidi="ar-SA"/>
    </w:rPr>
  </w:style>
  <w:style w:type="character" w:customStyle="1" w:styleId="7Char0">
    <w:name w:val="样式7 Char"/>
    <w:link w:val="70"/>
    <w:rsid w:val="009964C3"/>
    <w:rPr>
      <w:rFonts w:cs="宋体"/>
      <w:color w:val="000000"/>
      <w:kern w:val="2"/>
      <w:sz w:val="24"/>
      <w:szCs w:val="24"/>
    </w:rPr>
  </w:style>
  <w:style w:type="character" w:customStyle="1" w:styleId="Char1f8">
    <w:name w:val="批注主题 Char1"/>
    <w:link w:val="affffff9"/>
    <w:semiHidden/>
    <w:rsid w:val="009964C3"/>
    <w:rPr>
      <w:b/>
      <w:bCs/>
      <w:color w:val="000000"/>
      <w:spacing w:val="10"/>
      <w:kern w:val="2"/>
      <w:sz w:val="24"/>
      <w:szCs w:val="24"/>
    </w:rPr>
  </w:style>
  <w:style w:type="character" w:customStyle="1" w:styleId="SChar">
    <w:name w:val="表头S Char"/>
    <w:link w:val="S"/>
    <w:semiHidden/>
    <w:rsid w:val="009964C3"/>
    <w:rPr>
      <w:rFonts w:ascii="Arial" w:eastAsia="黑体" w:hAnsi="Arial"/>
      <w:b/>
      <w:snapToGrid w:val="0"/>
      <w:kern w:val="2"/>
      <w:sz w:val="21"/>
    </w:rPr>
  </w:style>
  <w:style w:type="character" w:customStyle="1" w:styleId="Char2b">
    <w:name w:val="页脚 Char2"/>
    <w:semiHidden/>
    <w:rsid w:val="009964C3"/>
    <w:rPr>
      <w:kern w:val="2"/>
      <w:sz w:val="18"/>
      <w:szCs w:val="18"/>
    </w:rPr>
  </w:style>
  <w:style w:type="character" w:customStyle="1" w:styleId="Char2c">
    <w:name w:val="正文首行缩进 Char2"/>
    <w:aliases w:val="正文首行缩进 Char Char1"/>
    <w:basedOn w:val="Char2d"/>
    <w:semiHidden/>
    <w:rsid w:val="009964C3"/>
  </w:style>
  <w:style w:type="character" w:customStyle="1" w:styleId="Char2d">
    <w:name w:val="正文文本 Char2"/>
    <w:rsid w:val="009964C3"/>
    <w:rPr>
      <w:kern w:val="2"/>
      <w:sz w:val="21"/>
      <w:szCs w:val="24"/>
    </w:rPr>
  </w:style>
  <w:style w:type="character" w:customStyle="1" w:styleId="1Char20">
    <w:name w:val="页眉1 Char2"/>
    <w:qFormat/>
    <w:rsid w:val="009964C3"/>
    <w:rPr>
      <w:rFonts w:eastAsia="宋体"/>
      <w:kern w:val="2"/>
      <w:sz w:val="18"/>
      <w:szCs w:val="18"/>
      <w:lang w:val="en-US" w:eastAsia="zh-CN" w:bidi="ar-SA"/>
    </w:rPr>
  </w:style>
  <w:style w:type="character" w:customStyle="1" w:styleId="Char1f9">
    <w:name w:val="尾注文本 Char1"/>
    <w:link w:val="affffffa"/>
    <w:semiHidden/>
    <w:rsid w:val="009964C3"/>
    <w:rPr>
      <w:kern w:val="2"/>
      <w:sz w:val="24"/>
    </w:rPr>
  </w:style>
  <w:style w:type="character" w:customStyle="1" w:styleId="4CharCharChar">
    <w:name w:val="标题 4 Char Char Char"/>
    <w:aliases w:val="4号仿宋左空1格行距1倍 Char,四号仿宋左空1格行距1倍 Char,标题 a Char"/>
    <w:qFormat/>
    <w:rsid w:val="009964C3"/>
    <w:rPr>
      <w:rFonts w:eastAsia="宋体"/>
      <w:snapToGrid w:val="0"/>
      <w:kern w:val="24"/>
      <w:sz w:val="24"/>
      <w:szCs w:val="24"/>
      <w:lang w:val="en-US" w:eastAsia="zh-CN" w:bidi="ar-SA"/>
    </w:rPr>
  </w:style>
  <w:style w:type="character" w:customStyle="1" w:styleId="Char1fa">
    <w:name w:val="批注框文本 Char1"/>
    <w:semiHidden/>
    <w:rsid w:val="009964C3"/>
    <w:rPr>
      <w:kern w:val="2"/>
      <w:sz w:val="18"/>
      <w:szCs w:val="18"/>
    </w:rPr>
  </w:style>
  <w:style w:type="character" w:customStyle="1" w:styleId="Charffff8">
    <w:name w:val="表粗 Char"/>
    <w:link w:val="affffffb"/>
    <w:semiHidden/>
    <w:rsid w:val="009964C3"/>
    <w:rPr>
      <w:rFonts w:ascii="Arial Unicode MS" w:hAnsi="Arial Unicode MS"/>
      <w:b/>
      <w:sz w:val="21"/>
      <w:szCs w:val="21"/>
    </w:rPr>
  </w:style>
  <w:style w:type="character" w:customStyle="1" w:styleId="00000000000000Char">
    <w:name w:val="00000000000000 Char"/>
    <w:link w:val="00000000000000"/>
    <w:semiHidden/>
    <w:rsid w:val="009964C3"/>
    <w:rPr>
      <w:rFonts w:ascii="宋体" w:hAnsi="宋体"/>
      <w:kern w:val="18"/>
      <w:sz w:val="24"/>
      <w:szCs w:val="21"/>
    </w:rPr>
  </w:style>
  <w:style w:type="character" w:customStyle="1" w:styleId="Char60">
    <w:name w:val="图题 Char6"/>
    <w:rsid w:val="009964C3"/>
    <w:rPr>
      <w:rFonts w:ascii="黑体" w:eastAsia="黑体" w:hAnsi="宋体" w:cs="宋体"/>
      <w:snapToGrid w:val="0"/>
      <w:color w:val="000000"/>
      <w:kern w:val="2"/>
      <w:sz w:val="24"/>
      <w:szCs w:val="24"/>
      <w:lang w:val="en-US" w:eastAsia="zh-CN" w:bidi="ar-SA"/>
    </w:rPr>
  </w:style>
  <w:style w:type="character" w:customStyle="1" w:styleId="Char31">
    <w:name w:val="页脚 Char3"/>
    <w:rsid w:val="009964C3"/>
    <w:rPr>
      <w:rFonts w:eastAsia="宋体"/>
      <w:kern w:val="2"/>
      <w:sz w:val="18"/>
      <w:szCs w:val="18"/>
      <w:lang w:val="en-US" w:eastAsia="zh-CN" w:bidi="ar-SA"/>
    </w:rPr>
  </w:style>
  <w:style w:type="character" w:customStyle="1" w:styleId="Charffff9">
    <w:name w:val="表头（桑） Char"/>
    <w:link w:val="affffffc"/>
    <w:rsid w:val="009964C3"/>
    <w:rPr>
      <w:rFonts w:ascii="黑体" w:eastAsia="黑体" w:hAnsi="宋体" w:cs="宋体"/>
      <w:kern w:val="20"/>
      <w:sz w:val="24"/>
    </w:rPr>
  </w:style>
  <w:style w:type="character" w:customStyle="1" w:styleId="2Charf1">
    <w:name w:val="正文（桑2） Char"/>
    <w:link w:val="2f5"/>
    <w:rsid w:val="009964C3"/>
    <w:rPr>
      <w:rFonts w:ascii="Arial" w:hAnsi="Arial"/>
      <w:kern w:val="2"/>
      <w:sz w:val="24"/>
      <w:szCs w:val="24"/>
    </w:rPr>
  </w:style>
  <w:style w:type="character" w:customStyle="1" w:styleId="CharCharfd">
    <w:name w:val="表文 Char Char"/>
    <w:rsid w:val="009964C3"/>
    <w:rPr>
      <w:rFonts w:eastAsia="宋体"/>
      <w:color w:val="FF0000"/>
      <w:kern w:val="10"/>
      <w:sz w:val="18"/>
      <w:szCs w:val="18"/>
      <w:lang w:val="en-US" w:eastAsia="zh-CN" w:bidi="ar-SA"/>
    </w:rPr>
  </w:style>
  <w:style w:type="character" w:customStyle="1" w:styleId="CR-Char1">
    <w:name w:val="CR-图表标题 Char"/>
    <w:link w:val="CR-1"/>
    <w:semiHidden/>
    <w:rsid w:val="009964C3"/>
    <w:rPr>
      <w:rFonts w:ascii="Calibri" w:eastAsia="黑体" w:hAnsi="Calibri"/>
      <w:kern w:val="2"/>
      <w:sz w:val="24"/>
      <w:szCs w:val="22"/>
    </w:rPr>
  </w:style>
  <w:style w:type="character" w:customStyle="1" w:styleId="CharChar38">
    <w:name w:val="Char Char38"/>
    <w:semiHidden/>
    <w:rsid w:val="009964C3"/>
    <w:rPr>
      <w:rFonts w:ascii="Times New Roman" w:eastAsia="宋体" w:hAnsi="Times New Roman" w:cs="Times New Roman"/>
      <w:sz w:val="18"/>
      <w:szCs w:val="18"/>
    </w:rPr>
  </w:style>
  <w:style w:type="character" w:customStyle="1" w:styleId="Charffffa">
    <w:name w:val="表中正文 Char"/>
    <w:semiHidden/>
    <w:rsid w:val="009964C3"/>
    <w:rPr>
      <w:rFonts w:ascii="宋体" w:eastAsia="宋体" w:hAnsi="Arial"/>
      <w:kern w:val="2"/>
      <w:sz w:val="21"/>
      <w:szCs w:val="21"/>
      <w:lang w:val="en-US" w:eastAsia="zh-CN" w:bidi="ar-SA"/>
    </w:rPr>
  </w:style>
  <w:style w:type="character" w:customStyle="1" w:styleId="Char1fb">
    <w:name w:val="题注 Char1"/>
    <w:rsid w:val="009964C3"/>
    <w:rPr>
      <w:rFonts w:eastAsia="黑体"/>
      <w:kern w:val="2"/>
      <w:sz w:val="24"/>
    </w:rPr>
  </w:style>
  <w:style w:type="character" w:customStyle="1" w:styleId="411">
    <w:name w:val="标题 411"/>
    <w:aliases w:val=" Char1 Char2, Char1 Char Char"/>
    <w:semiHidden/>
    <w:rsid w:val="009964C3"/>
    <w:rPr>
      <w:rFonts w:ascii="Arial" w:eastAsia="宋体" w:hAnsi="Arial"/>
      <w:b/>
      <w:bCs/>
      <w:kern w:val="2"/>
      <w:sz w:val="21"/>
      <w:szCs w:val="28"/>
      <w:lang w:val="en-US" w:eastAsia="zh-CN" w:bidi="ar-SA"/>
    </w:rPr>
  </w:style>
  <w:style w:type="character" w:customStyle="1" w:styleId="Char43">
    <w:name w:val="正文格式 Char4"/>
    <w:rsid w:val="009964C3"/>
    <w:rPr>
      <w:rFonts w:ascii="宋体" w:eastAsia="宋体" w:cs="宋体"/>
      <w:kern w:val="2"/>
      <w:sz w:val="24"/>
      <w:szCs w:val="24"/>
      <w:lang w:val="en-US" w:eastAsia="zh-CN" w:bidi="ar-SA"/>
    </w:rPr>
  </w:style>
  <w:style w:type="character" w:customStyle="1" w:styleId="ft">
    <w:name w:val="ft"/>
    <w:semiHidden/>
    <w:rsid w:val="009964C3"/>
    <w:rPr>
      <w:rFonts w:ascii="Arial" w:eastAsia="宋体" w:hAnsi="Arial"/>
      <w:kern w:val="2"/>
      <w:sz w:val="21"/>
      <w:szCs w:val="21"/>
      <w:lang w:val="en-US" w:eastAsia="zh-CN" w:bidi="ar-SA"/>
    </w:rPr>
  </w:style>
  <w:style w:type="character" w:customStyle="1" w:styleId="2858D7CFB-ED40-4347-BF05-701D383B685F">
    <w:name w:val="标题 2[858D7CFB-ED40-4347-BF05-701D383B685F]"/>
    <w:rsid w:val="009964C3"/>
    <w:rPr>
      <w:rFonts w:ascii="Arial" w:eastAsia="黑体" w:hAnsi="Arial"/>
      <w:b/>
      <w:bCs/>
      <w:sz w:val="32"/>
      <w:szCs w:val="32"/>
    </w:rPr>
  </w:style>
  <w:style w:type="character" w:customStyle="1" w:styleId="01Char">
    <w:name w:val="正文01 Char"/>
    <w:link w:val="01"/>
    <w:rsid w:val="009964C3"/>
    <w:rPr>
      <w:kern w:val="2"/>
      <w:sz w:val="28"/>
      <w:szCs w:val="24"/>
    </w:rPr>
  </w:style>
  <w:style w:type="character" w:customStyle="1" w:styleId="1CharChar4">
    <w:name w:val="正文缩进1 Char Char"/>
    <w:qFormat/>
    <w:rsid w:val="009964C3"/>
    <w:rPr>
      <w:rFonts w:eastAsia="宋体"/>
      <w:kern w:val="24"/>
      <w:sz w:val="24"/>
      <w:szCs w:val="24"/>
      <w:lang w:val="en-US" w:eastAsia="zh-CN" w:bidi="ar-SA"/>
    </w:rPr>
  </w:style>
  <w:style w:type="character" w:customStyle="1" w:styleId="7421TimesNewRomanChar">
    <w:name w:val="样式 样式 标题 74号黑体左空2格行距1倍 + Times New Roman + Char"/>
    <w:semiHidden/>
    <w:rsid w:val="009964C3"/>
    <w:rPr>
      <w:rFonts w:ascii="Arial" w:eastAsia="宋体" w:hAnsi="Arial"/>
      <w:b/>
      <w:kern w:val="2"/>
      <w:sz w:val="28"/>
      <w:szCs w:val="28"/>
      <w:lang w:val="en-US" w:eastAsia="zh-CN" w:bidi="ar-SA"/>
    </w:rPr>
  </w:style>
  <w:style w:type="character" w:customStyle="1" w:styleId="Char1fc">
    <w:name w:val="标题 Char1"/>
    <w:link w:val="affffffd"/>
    <w:rsid w:val="009964C3"/>
    <w:rPr>
      <w:rFonts w:ascii="Arial" w:hAnsi="Arial"/>
      <w:b/>
      <w:sz w:val="30"/>
    </w:rPr>
  </w:style>
  <w:style w:type="character" w:customStyle="1" w:styleId="Charffffb">
    <w:name w:val="表体（吕静） Char"/>
    <w:link w:val="affffffe"/>
    <w:semiHidden/>
    <w:rsid w:val="009964C3"/>
    <w:rPr>
      <w:rFonts w:ascii="Arial" w:eastAsia="仿宋_GB2312" w:hAnsi="Arial"/>
      <w:kern w:val="20"/>
      <w:sz w:val="21"/>
      <w:szCs w:val="21"/>
    </w:rPr>
  </w:style>
  <w:style w:type="character" w:customStyle="1" w:styleId="CharChar210">
    <w:name w:val="Char Char21"/>
    <w:semiHidden/>
    <w:rsid w:val="009964C3"/>
    <w:rPr>
      <w:rFonts w:ascii="Arial" w:eastAsia="仿宋_GB2312" w:hAnsi="Arial"/>
      <w:kern w:val="2"/>
      <w:sz w:val="28"/>
      <w:szCs w:val="21"/>
      <w:lang w:val="en-US" w:eastAsia="zh-CN" w:bidi="ar-SA"/>
    </w:rPr>
  </w:style>
  <w:style w:type="character" w:customStyle="1" w:styleId="Charffffc">
    <w:name w:val="表文电化 Char"/>
    <w:link w:val="afffffff"/>
    <w:semiHidden/>
    <w:rsid w:val="009964C3"/>
    <w:rPr>
      <w:rFonts w:ascii="Arial" w:hAnsi="Arial" w:cs="宋体"/>
      <w:kern w:val="2"/>
      <w:sz w:val="21"/>
    </w:rPr>
  </w:style>
  <w:style w:type="character" w:customStyle="1" w:styleId="Char1fd">
    <w:name w:val="注释标题 Char1"/>
    <w:link w:val="afffffff0"/>
    <w:rsid w:val="009964C3"/>
    <w:rPr>
      <w:kern w:val="2"/>
      <w:sz w:val="24"/>
    </w:rPr>
  </w:style>
  <w:style w:type="character" w:customStyle="1" w:styleId="035Char">
    <w:name w:val="样式 表头 + 加宽量  0.35 磅 Char"/>
    <w:qFormat/>
    <w:rsid w:val="009964C3"/>
    <w:rPr>
      <w:rFonts w:eastAsia="黑体"/>
      <w:iCs/>
      <w:color w:val="000000"/>
      <w:w w:val="105"/>
      <w:kern w:val="2"/>
      <w:sz w:val="24"/>
      <w:szCs w:val="24"/>
      <w:lang w:val="en-US" w:eastAsia="zh-CN" w:bidi="ar-SA"/>
    </w:rPr>
  </w:style>
  <w:style w:type="character" w:customStyle="1" w:styleId="apple-style-span">
    <w:name w:val="apple-style-span"/>
    <w:semiHidden/>
    <w:rsid w:val="009964C3"/>
  </w:style>
  <w:style w:type="character" w:customStyle="1" w:styleId="dxjChar">
    <w:name w:val="dxj表头 Char"/>
    <w:link w:val="dxj"/>
    <w:semiHidden/>
    <w:rsid w:val="009964C3"/>
    <w:rPr>
      <w:rFonts w:eastAsia="黑体"/>
      <w:kern w:val="2"/>
      <w:sz w:val="21"/>
      <w:szCs w:val="21"/>
    </w:rPr>
  </w:style>
  <w:style w:type="character" w:customStyle="1" w:styleId="2CharCharChar1">
    <w:name w:val="标题 2 Char Char Char1"/>
    <w:aliases w:val="节标题 1.1 Char Char Char Char"/>
    <w:semiHidden/>
    <w:rsid w:val="009964C3"/>
    <w:rPr>
      <w:rFonts w:ascii="Arial" w:eastAsia="宋体" w:hAnsi="Arial"/>
      <w:b/>
      <w:bCs/>
      <w:kern w:val="2"/>
      <w:sz w:val="30"/>
      <w:szCs w:val="30"/>
      <w:lang w:val="en-US" w:eastAsia="zh-CN" w:bidi="ar-SA"/>
    </w:rPr>
  </w:style>
  <w:style w:type="character" w:customStyle="1" w:styleId="Charffffd">
    <w:name w:val="图名 Char"/>
    <w:link w:val="afffffff1"/>
    <w:rsid w:val="009964C3"/>
    <w:rPr>
      <w:rFonts w:ascii="Arial" w:eastAsia="楷体_GB2312" w:hAnsi="Arial"/>
      <w:b/>
      <w:bCs/>
      <w:kern w:val="2"/>
      <w:sz w:val="24"/>
      <w:szCs w:val="24"/>
    </w:rPr>
  </w:style>
  <w:style w:type="character" w:customStyle="1" w:styleId="2Charf2">
    <w:name w:val="云龙样式 正文首行缩进 + 首行缩进:  2 字符 Char"/>
    <w:link w:val="2f6"/>
    <w:semiHidden/>
    <w:rsid w:val="009964C3"/>
    <w:rPr>
      <w:rFonts w:ascii="Arial" w:hAnsi="Arial" w:cs="宋体"/>
      <w:kern w:val="2"/>
      <w:sz w:val="24"/>
    </w:rPr>
  </w:style>
  <w:style w:type="character" w:customStyle="1" w:styleId="21121122Char1Heading22111CharChar">
    <w:name w:val="样式 标题 21.1标题 21.1标题2标题 2 Char1节_Heading 2标2二级标题1.1标题一...1 Char Char"/>
    <w:link w:val="21121122Char1Heading22111"/>
    <w:rsid w:val="009964C3"/>
    <w:rPr>
      <w:rFonts w:ascii="Arial" w:eastAsia="黑体" w:hAnsi="Arial"/>
      <w:b/>
      <w:bCs/>
      <w:color w:val="000000"/>
      <w:kern w:val="2"/>
      <w:sz w:val="24"/>
      <w:szCs w:val="24"/>
      <w:lang w:val="en-US" w:eastAsia="zh-CN" w:bidi="ar-SA"/>
    </w:rPr>
  </w:style>
  <w:style w:type="character" w:customStyle="1" w:styleId="NormalChar">
    <w:name w:val="Normal Char"/>
    <w:link w:val="3a"/>
    <w:semiHidden/>
    <w:rsid w:val="009964C3"/>
    <w:rPr>
      <w:rFonts w:ascii="宋体"/>
      <w:sz w:val="34"/>
      <w:lang w:val="en-US" w:eastAsia="zh-CN" w:bidi="ar-SA"/>
    </w:rPr>
  </w:style>
  <w:style w:type="character" w:customStyle="1" w:styleId="CharCharfe">
    <w:name w:val="电化 Char Char"/>
    <w:rsid w:val="009964C3"/>
    <w:rPr>
      <w:b/>
    </w:rPr>
  </w:style>
  <w:style w:type="character" w:customStyle="1" w:styleId="bc">
    <w:name w:val="bc"/>
    <w:semiHidden/>
    <w:rsid w:val="009964C3"/>
    <w:rPr>
      <w:rFonts w:ascii="Arial" w:eastAsia="宋体" w:hAnsi="Arial"/>
      <w:kern w:val="2"/>
      <w:sz w:val="21"/>
      <w:szCs w:val="21"/>
      <w:lang w:val="en-US" w:eastAsia="zh-CN" w:bidi="ar-SA"/>
    </w:rPr>
  </w:style>
  <w:style w:type="character" w:customStyle="1" w:styleId="1Chare">
    <w:name w:val="表1 Char"/>
    <w:link w:val="1f5"/>
    <w:semiHidden/>
    <w:rsid w:val="009964C3"/>
    <w:rPr>
      <w:rFonts w:ascii="Arial Unicode MS" w:hAnsi="Arial Unicode MS" w:cs="Arial"/>
      <w:color w:val="000000"/>
      <w:sz w:val="21"/>
      <w:szCs w:val="21"/>
    </w:rPr>
  </w:style>
  <w:style w:type="character" w:customStyle="1" w:styleId="hangju">
    <w:name w:val="hangju"/>
    <w:semiHidden/>
    <w:rsid w:val="009964C3"/>
    <w:rPr>
      <w:rFonts w:ascii="Arial" w:eastAsia="宋体" w:hAnsi="Arial"/>
      <w:kern w:val="2"/>
      <w:sz w:val="21"/>
      <w:szCs w:val="21"/>
      <w:lang w:val="en-US" w:eastAsia="zh-CN" w:bidi="ar-SA"/>
    </w:rPr>
  </w:style>
  <w:style w:type="character" w:customStyle="1" w:styleId="Char1fe">
    <w:name w:val="正文样式 Char1"/>
    <w:link w:val="afffffff2"/>
    <w:rsid w:val="009964C3"/>
    <w:rPr>
      <w:rFonts w:ascii="宋体" w:hAnsi="宋体"/>
      <w:color w:val="000000"/>
      <w:kern w:val="2"/>
      <w:sz w:val="24"/>
      <w:szCs w:val="24"/>
    </w:rPr>
  </w:style>
  <w:style w:type="character" w:customStyle="1" w:styleId="4GCharChar0">
    <w:name w:val="标题4(G) Char Char"/>
    <w:link w:val="4G"/>
    <w:semiHidden/>
    <w:rsid w:val="009964C3"/>
    <w:rPr>
      <w:rFonts w:ascii="楷体" w:eastAsia="黑体" w:hAnsi="楷体"/>
      <w:kern w:val="2"/>
      <w:sz w:val="24"/>
      <w:szCs w:val="24"/>
    </w:rPr>
  </w:style>
  <w:style w:type="character" w:customStyle="1" w:styleId="112915Char0">
    <w:name w:val="样式 样式 (西文) 宋体 小四 首行缩进:  1 厘米 段前: 12.9 磅 行距: 1.5 倍行距 + (符号) 宋体 Char"/>
    <w:basedOn w:val="112915Char"/>
    <w:semiHidden/>
    <w:qFormat/>
    <w:rsid w:val="009964C3"/>
  </w:style>
  <w:style w:type="character" w:customStyle="1" w:styleId="1Charf">
    <w:name w:val="正缩1 Char"/>
    <w:link w:val="1f6"/>
    <w:semiHidden/>
    <w:rsid w:val="009964C3"/>
    <w:rPr>
      <w:rFonts w:ascii="仿宋_GB2312" w:eastAsia="仿宋_GB2312" w:hAnsi="Arial"/>
      <w:snapToGrid w:val="0"/>
      <w:color w:val="000000"/>
      <w:kern w:val="20"/>
      <w:sz w:val="28"/>
    </w:rPr>
  </w:style>
  <w:style w:type="character" w:customStyle="1" w:styleId="31Char">
    <w:name w:val="样式 标题 3 +1 Char"/>
    <w:link w:val="310"/>
    <w:semiHidden/>
    <w:rsid w:val="009964C3"/>
    <w:rPr>
      <w:rFonts w:ascii="宋体" w:eastAsia="黑体"/>
      <w:bCs/>
      <w:kern w:val="2"/>
      <w:sz w:val="28"/>
      <w:szCs w:val="32"/>
    </w:rPr>
  </w:style>
  <w:style w:type="character" w:customStyle="1" w:styleId="CharChar44">
    <w:name w:val="Char Char44"/>
    <w:semiHidden/>
    <w:rsid w:val="009964C3"/>
    <w:rPr>
      <w:rFonts w:ascii="Courier New" w:eastAsia="宋体" w:hAnsi="Courier New" w:cs="Courier New"/>
      <w:kern w:val="2"/>
      <w:sz w:val="24"/>
      <w:szCs w:val="24"/>
      <w:lang w:val="en-US" w:eastAsia="zh-CN" w:bidi="ar-SA"/>
    </w:rPr>
  </w:style>
  <w:style w:type="character" w:customStyle="1" w:styleId="Charffffe">
    <w:name w:val="正文王 Char"/>
    <w:link w:val="afffffff3"/>
    <w:rsid w:val="009964C3"/>
    <w:rPr>
      <w:rFonts w:ascii="宋体" w:eastAsia="宋体" w:hAnsi="宋体"/>
      <w:bCs/>
      <w:kern w:val="2"/>
      <w:sz w:val="24"/>
      <w:szCs w:val="28"/>
      <w:lang w:val="en-US" w:eastAsia="zh-CN" w:bidi="ar-SA"/>
    </w:rPr>
  </w:style>
  <w:style w:type="character" w:customStyle="1" w:styleId="dxjChar0">
    <w:name w:val="dxj正文 Char"/>
    <w:link w:val="dxj0"/>
    <w:semiHidden/>
    <w:rsid w:val="009964C3"/>
    <w:rPr>
      <w:kern w:val="2"/>
      <w:sz w:val="24"/>
      <w:szCs w:val="24"/>
    </w:rPr>
  </w:style>
  <w:style w:type="character" w:customStyle="1" w:styleId="aceeChar">
    <w:name w:val="acee正文 Char"/>
    <w:link w:val="acee"/>
    <w:qFormat/>
    <w:rsid w:val="009964C3"/>
    <w:rPr>
      <w:rFonts w:ascii="仿宋_GB2312" w:eastAsia="仿宋_GB2312" w:hAnsi="宋体"/>
      <w:kern w:val="2"/>
      <w:sz w:val="32"/>
      <w:szCs w:val="24"/>
      <w:lang w:val="en-US" w:eastAsia="zh-CN" w:bidi="ar-SA"/>
    </w:rPr>
  </w:style>
  <w:style w:type="character" w:customStyle="1" w:styleId="javascript1">
    <w:name w:val="javascript1"/>
    <w:semiHidden/>
    <w:rsid w:val="009964C3"/>
    <w:rPr>
      <w:rFonts w:ascii="Tahoma" w:eastAsia="宋体" w:hAnsi="Tahoma" w:cs="Tahoma" w:hint="default"/>
      <w:kern w:val="2"/>
      <w:sz w:val="18"/>
      <w:szCs w:val="18"/>
      <w:lang w:val="en-US" w:eastAsia="zh-CN" w:bidi="ar-SA"/>
    </w:rPr>
  </w:style>
  <w:style w:type="character" w:customStyle="1" w:styleId="4Char3">
    <w:name w:val="标题 4 Char3"/>
    <w:qFormat/>
    <w:rsid w:val="009964C3"/>
    <w:rPr>
      <w:rFonts w:ascii="黑体" w:eastAsia="黑体" w:hAnsi="Arial"/>
      <w:bCs/>
      <w:sz w:val="24"/>
      <w:szCs w:val="24"/>
      <w:lang w:val="en-US" w:eastAsia="zh-CN" w:bidi="ar-SA"/>
    </w:rPr>
  </w:style>
  <w:style w:type="character" w:customStyle="1" w:styleId="CharChar43">
    <w:name w:val="Char Char43"/>
    <w:semiHidden/>
    <w:rsid w:val="009964C3"/>
    <w:rPr>
      <w:rFonts w:eastAsia="宋体"/>
      <w:kern w:val="2"/>
      <w:sz w:val="21"/>
      <w:szCs w:val="24"/>
      <w:lang w:val="en-US" w:eastAsia="zh-CN" w:bidi="ar-SA"/>
    </w:rPr>
  </w:style>
  <w:style w:type="character" w:customStyle="1" w:styleId="Char1ff">
    <w:name w:val="正文文本缩进 Char1"/>
    <w:link w:val="afffffff4"/>
    <w:qFormat/>
    <w:rsid w:val="009964C3"/>
    <w:rPr>
      <w:rFonts w:ascii="宋体" w:eastAsia="宋体" w:hAnsi="宋体" w:cs="宋体"/>
      <w:color w:val="000000"/>
      <w:kern w:val="2"/>
      <w:sz w:val="24"/>
      <w:szCs w:val="24"/>
      <w:lang w:val="en-US" w:eastAsia="zh-CN" w:bidi="ar-SA"/>
    </w:rPr>
  </w:style>
  <w:style w:type="character" w:customStyle="1" w:styleId="2CharCharChar">
    <w:name w:val="标题 2 Char Char Char"/>
    <w:semiHidden/>
    <w:rsid w:val="009964C3"/>
    <w:rPr>
      <w:rFonts w:ascii="宋体" w:eastAsia="宋体" w:hAnsi="宋体" w:cs="Arial"/>
      <w:b/>
      <w:bCs/>
      <w:spacing w:val="6"/>
      <w:kern w:val="2"/>
      <w:sz w:val="30"/>
      <w:szCs w:val="30"/>
      <w:lang w:val="en-US" w:eastAsia="zh-CN" w:bidi="ar-SA"/>
    </w:rPr>
  </w:style>
  <w:style w:type="character" w:customStyle="1" w:styleId="Charfffff">
    <w:name w:val="信息标题 Char"/>
    <w:semiHidden/>
    <w:rsid w:val="009964C3"/>
    <w:rPr>
      <w:rFonts w:ascii="Arial" w:eastAsia="宋体" w:hAnsi="Arial" w:cs="Arial"/>
      <w:szCs w:val="24"/>
      <w:shd w:val="pct20" w:color="auto" w:fill="auto"/>
    </w:rPr>
  </w:style>
  <w:style w:type="character" w:customStyle="1" w:styleId="CharCharff">
    <w:name w:val="环 内容 Char Char"/>
    <w:link w:val="afffffff5"/>
    <w:semiHidden/>
    <w:rsid w:val="009964C3"/>
    <w:rPr>
      <w:rFonts w:ascii="宋体" w:hAnsi="宋体"/>
      <w:snapToGrid w:val="0"/>
      <w:kern w:val="2"/>
      <w:sz w:val="24"/>
      <w:szCs w:val="24"/>
    </w:rPr>
  </w:style>
  <w:style w:type="character" w:customStyle="1" w:styleId="Char2e">
    <w:name w:val="表头 Char2"/>
    <w:qFormat/>
    <w:rsid w:val="009964C3"/>
    <w:rPr>
      <w:rFonts w:eastAsia="宋体"/>
      <w:b/>
      <w:color w:val="000000"/>
      <w:kern w:val="2"/>
      <w:sz w:val="24"/>
      <w:szCs w:val="24"/>
      <w:lang w:val="en-US" w:eastAsia="zh-CN" w:bidi="ar-SA"/>
    </w:rPr>
  </w:style>
  <w:style w:type="character" w:customStyle="1" w:styleId="cucd-4Char">
    <w:name w:val="cucd-4 Char"/>
    <w:link w:val="cucd-4"/>
    <w:semiHidden/>
    <w:rsid w:val="009964C3"/>
    <w:rPr>
      <w:b/>
      <w:kern w:val="2"/>
      <w:sz w:val="24"/>
      <w:szCs w:val="24"/>
      <w:lang w:val="en-AU" w:eastAsia="zh-CN" w:bidi="ar-SA"/>
    </w:rPr>
  </w:style>
  <w:style w:type="character" w:customStyle="1" w:styleId="zhenwen141">
    <w:name w:val="zhenwen141"/>
    <w:rsid w:val="009964C3"/>
    <w:rPr>
      <w:rFonts w:ascii="ˎ̥" w:hAnsi="ˎ̥" w:hint="default"/>
      <w:sz w:val="21"/>
      <w:szCs w:val="21"/>
    </w:rPr>
  </w:style>
  <w:style w:type="character" w:customStyle="1" w:styleId="2Charf3">
    <w:name w:val="正文文本 2 Char"/>
    <w:rsid w:val="009964C3"/>
    <w:rPr>
      <w:rFonts w:ascii="Arial" w:eastAsia="宋体" w:hAnsi="Arial"/>
      <w:sz w:val="24"/>
      <w:szCs w:val="24"/>
      <w:lang w:val="en-US" w:eastAsia="zh-CN" w:bidi="ar-SA"/>
    </w:rPr>
  </w:style>
  <w:style w:type="character" w:customStyle="1" w:styleId="41111411114Char1111Char41113Char">
    <w:name w:val="样式 标题 41.1.1.1标题 4.1.1.1.1标题 4 Char款1.1.1.1 Char标4段1.1.1...3 Char"/>
    <w:link w:val="41111411114Char1111Char41113"/>
    <w:qFormat/>
    <w:rsid w:val="009964C3"/>
    <w:rPr>
      <w:rFonts w:eastAsia="黑体"/>
      <w:b/>
      <w:bCs/>
      <w:color w:val="000000"/>
      <w:kern w:val="2"/>
      <w:sz w:val="24"/>
      <w:szCs w:val="24"/>
    </w:rPr>
  </w:style>
  <w:style w:type="character" w:customStyle="1" w:styleId="11123CharChar">
    <w:name w:val="1.1.123级 Char Char"/>
    <w:link w:val="11123"/>
    <w:semiHidden/>
    <w:rsid w:val="009964C3"/>
    <w:rPr>
      <w:rFonts w:ascii="楷体_GB2312" w:eastAsia="楷体_GB2312" w:hAnsi="宋体"/>
      <w:b/>
      <w:bCs/>
      <w:kern w:val="2"/>
      <w:sz w:val="28"/>
      <w:szCs w:val="28"/>
    </w:rPr>
  </w:style>
  <w:style w:type="character" w:customStyle="1" w:styleId="150505Char">
    <w:name w:val="样式 首行缩进:  1.5 字符 段前: 0.5 行 段后: 0.5 行 Char"/>
    <w:link w:val="150505"/>
    <w:semiHidden/>
    <w:rsid w:val="009964C3"/>
    <w:rPr>
      <w:rFonts w:cs="宋体"/>
      <w:kern w:val="28"/>
      <w:sz w:val="24"/>
      <w:szCs w:val="24"/>
    </w:rPr>
  </w:style>
  <w:style w:type="character" w:customStyle="1" w:styleId="CharChar300">
    <w:name w:val="Char Char30"/>
    <w:semiHidden/>
    <w:rsid w:val="009964C3"/>
    <w:rPr>
      <w:rFonts w:ascii="Arial" w:eastAsia="仿宋_GB2312" w:hAnsi="Arial"/>
      <w:kern w:val="2"/>
      <w:sz w:val="28"/>
      <w:szCs w:val="21"/>
      <w:lang w:val="en-US" w:eastAsia="zh-CN" w:bidi="ar-SA"/>
    </w:rPr>
  </w:style>
  <w:style w:type="character" w:customStyle="1" w:styleId="main1">
    <w:name w:val="main1"/>
    <w:qFormat/>
    <w:rsid w:val="009964C3"/>
    <w:rPr>
      <w:color w:val="333333"/>
      <w:sz w:val="15"/>
      <w:szCs w:val="15"/>
    </w:rPr>
  </w:style>
  <w:style w:type="character" w:customStyle="1" w:styleId="HTMLChar10">
    <w:name w:val="HTML 预设格式 Char1"/>
    <w:link w:val="HTML8"/>
    <w:rsid w:val="009964C3"/>
    <w:rPr>
      <w:rFonts w:ascii="Courier New" w:hAnsi="Courier New" w:cs="Courier New"/>
      <w:kern w:val="2"/>
    </w:rPr>
  </w:style>
  <w:style w:type="character" w:customStyle="1" w:styleId="Char1ff0">
    <w:name w:val="签名 Char1"/>
    <w:link w:val="afffffff6"/>
    <w:rsid w:val="009964C3"/>
    <w:rPr>
      <w:kern w:val="2"/>
      <w:sz w:val="24"/>
    </w:rPr>
  </w:style>
  <w:style w:type="character" w:customStyle="1" w:styleId="show1">
    <w:name w:val="show1"/>
    <w:semiHidden/>
    <w:rsid w:val="009964C3"/>
    <w:rPr>
      <w:rFonts w:eastAsia="宋体"/>
      <w:kern w:val="2"/>
      <w:sz w:val="21"/>
      <w:szCs w:val="21"/>
      <w:lang w:val="en-US" w:eastAsia="zh-CN" w:bidi="ar-SA"/>
    </w:rPr>
  </w:style>
  <w:style w:type="character" w:customStyle="1" w:styleId="2CharChar2">
    <w:name w:val="正文文字缩进 2 Char Char2"/>
    <w:semiHidden/>
    <w:rsid w:val="009964C3"/>
    <w:rPr>
      <w:rFonts w:ascii="宋体" w:eastAsia="宋体" w:hAnsi="宋体"/>
      <w:kern w:val="2"/>
      <w:sz w:val="24"/>
      <w:lang w:val="en-US" w:eastAsia="zh-CN" w:bidi="ar-SA"/>
    </w:rPr>
  </w:style>
  <w:style w:type="character" w:customStyle="1" w:styleId="Char2f">
    <w:name w:val="脚注文本 Char2"/>
    <w:semiHidden/>
    <w:rsid w:val="009964C3"/>
    <w:rPr>
      <w:kern w:val="2"/>
      <w:sz w:val="18"/>
      <w:szCs w:val="18"/>
    </w:rPr>
  </w:style>
  <w:style w:type="character" w:customStyle="1" w:styleId="CharChar63">
    <w:name w:val="Char Char63"/>
    <w:rsid w:val="009964C3"/>
    <w:rPr>
      <w:rFonts w:ascii="仿宋_GB2312" w:eastAsia="仿宋_GB2312"/>
      <w:kern w:val="2"/>
      <w:sz w:val="28"/>
      <w:szCs w:val="24"/>
      <w:lang w:val="en-US" w:eastAsia="zh-CN" w:bidi="ar-SA"/>
    </w:rPr>
  </w:style>
  <w:style w:type="character" w:customStyle="1" w:styleId="BBBBBBBBBBChar">
    <w:name w:val="BBBBBBBBBB Char"/>
    <w:link w:val="BBBBBBBBBB"/>
    <w:semiHidden/>
    <w:rsid w:val="009964C3"/>
    <w:rPr>
      <w:rFonts w:ascii="Arial" w:hAnsi="宋体"/>
      <w:b/>
      <w:kern w:val="2"/>
      <w:sz w:val="21"/>
      <w:szCs w:val="21"/>
    </w:rPr>
  </w:style>
  <w:style w:type="character" w:customStyle="1" w:styleId="16Char">
    <w:name w:val="样式 标题 1 + 黑体 三号 加粗 居中 段前: 6 磅 Char"/>
    <w:semiHidden/>
    <w:qFormat/>
    <w:rsid w:val="009964C3"/>
    <w:rPr>
      <w:rFonts w:ascii="Times New Roman" w:eastAsia="黑体" w:hAnsi="Times New Roman" w:cs="宋体"/>
      <w:bCs/>
      <w:snapToGrid w:val="0"/>
      <w:kern w:val="44"/>
      <w:sz w:val="24"/>
      <w:szCs w:val="30"/>
      <w:lang w:val="en-US" w:eastAsia="zh-CN" w:bidi="ar-SA"/>
    </w:rPr>
  </w:style>
  <w:style w:type="character" w:customStyle="1" w:styleId="GChar1">
    <w:name w:val="表头(G) Char"/>
    <w:link w:val="G0"/>
    <w:semiHidden/>
    <w:rsid w:val="009964C3"/>
    <w:rPr>
      <w:rFonts w:ascii="Arial" w:eastAsia="黑体" w:hAnsi="Arial"/>
      <w:b/>
      <w:color w:val="000000"/>
      <w:kern w:val="24"/>
      <w:sz w:val="24"/>
      <w:szCs w:val="24"/>
      <w:lang w:val="en-US" w:eastAsia="zh-CN"/>
    </w:rPr>
  </w:style>
  <w:style w:type="character" w:customStyle="1" w:styleId="CharCharff0">
    <w:name w:val="正文（首行缩进） Char Char"/>
    <w:link w:val="Charfffff0"/>
    <w:qFormat/>
    <w:rsid w:val="009964C3"/>
    <w:rPr>
      <w:rFonts w:eastAsia="宋体"/>
      <w:snapToGrid w:val="0"/>
      <w:sz w:val="24"/>
      <w:szCs w:val="24"/>
      <w:lang w:val="en-US" w:eastAsia="zh-CN" w:bidi="ar-SA"/>
    </w:rPr>
  </w:style>
  <w:style w:type="character" w:customStyle="1" w:styleId="afffffff7">
    <w:name w:val="样式 宋体 小四"/>
    <w:rsid w:val="009964C3"/>
    <w:rPr>
      <w:rFonts w:ascii="Arial" w:eastAsia="宋体" w:hAnsi="Arial"/>
      <w:kern w:val="0"/>
      <w:sz w:val="24"/>
    </w:rPr>
  </w:style>
  <w:style w:type="character" w:customStyle="1" w:styleId="f141">
    <w:name w:val="f141"/>
    <w:qFormat/>
    <w:rsid w:val="009964C3"/>
    <w:rPr>
      <w:color w:val="222222"/>
      <w:sz w:val="19"/>
      <w:szCs w:val="19"/>
    </w:rPr>
  </w:style>
  <w:style w:type="character" w:customStyle="1" w:styleId="a4GCharChar">
    <w:name w:val="a标题4(G) Char Char"/>
    <w:link w:val="a4G"/>
    <w:semiHidden/>
    <w:rsid w:val="009964C3"/>
    <w:rPr>
      <w:rFonts w:ascii="楷体" w:eastAsia="黑体" w:hAnsi="楷体"/>
      <w:kern w:val="2"/>
      <w:sz w:val="24"/>
      <w:szCs w:val="24"/>
      <w:lang w:val="en-US" w:eastAsia="zh-CN"/>
    </w:rPr>
  </w:style>
  <w:style w:type="character" w:customStyle="1" w:styleId="3Char8">
    <w:name w:val="标题 3 Char"/>
    <w:aliases w:val="标题 3（桑1） Char"/>
    <w:qFormat/>
    <w:rsid w:val="009964C3"/>
    <w:rPr>
      <w:rFonts w:ascii="Arial" w:eastAsia="黑体"/>
      <w:sz w:val="24"/>
      <w:lang w:val="en-US" w:eastAsia="zh-CN" w:bidi="ar-SA"/>
    </w:rPr>
  </w:style>
  <w:style w:type="character" w:customStyle="1" w:styleId="ENFIChar">
    <w:name w:val="ENFI图表标题 Char"/>
    <w:link w:val="ENFI0"/>
    <w:rsid w:val="009964C3"/>
    <w:rPr>
      <w:rFonts w:eastAsia="仿宋_GB2312"/>
      <w:b/>
      <w:sz w:val="28"/>
    </w:rPr>
  </w:style>
  <w:style w:type="character" w:customStyle="1" w:styleId="2CharCharCharChar3">
    <w:name w:val="标题 2 Char Char Char Char3"/>
    <w:aliases w:val="标题 2 Char Char Char Char Char1,标题 2 Char Char Char Char Char Char2,标题 2 Char Char Char Char4"/>
    <w:rsid w:val="009964C3"/>
    <w:rPr>
      <w:rFonts w:ascii="Arial" w:eastAsia="黑体" w:hAnsi="Arial"/>
      <w:b/>
      <w:bCs/>
      <w:kern w:val="2"/>
      <w:sz w:val="32"/>
      <w:szCs w:val="32"/>
      <w:lang w:val="en-US" w:eastAsia="zh-CN" w:bidi="ar-SA"/>
    </w:rPr>
  </w:style>
  <w:style w:type="character" w:customStyle="1" w:styleId="4Char4">
    <w:name w:val="样式4(正文) Char"/>
    <w:link w:val="47"/>
    <w:semiHidden/>
    <w:rsid w:val="009964C3"/>
    <w:rPr>
      <w:kern w:val="2"/>
      <w:sz w:val="28"/>
      <w:szCs w:val="28"/>
    </w:rPr>
  </w:style>
  <w:style w:type="character" w:customStyle="1" w:styleId="1PartH1H11H12H13H111H121H14H15H16H17H18Char0">
    <w:name w:val="样式 样式 标题 1一、PartH1H11H12H13H111H121H14H15H16H17H18标题 ... + 加粗 Char"/>
    <w:link w:val="1PartH1H11H12H13H111H121H14H15H16H17H180"/>
    <w:qFormat/>
    <w:rsid w:val="009964C3"/>
    <w:rPr>
      <w:rFonts w:ascii="Arial" w:eastAsia="黑体" w:hAnsi="Arial" w:cs="宋体"/>
      <w:b/>
      <w:bCs/>
      <w:kern w:val="44"/>
      <w:sz w:val="24"/>
      <w:lang w:val="en-US" w:eastAsia="zh-CN" w:bidi="ar-SA"/>
    </w:rPr>
  </w:style>
  <w:style w:type="character" w:customStyle="1" w:styleId="6Char0">
    <w:name w:val="样式 标题 6 + Char"/>
    <w:link w:val="60"/>
    <w:semiHidden/>
    <w:rsid w:val="009964C3"/>
    <w:rPr>
      <w:rFonts w:ascii="Arial" w:eastAsia="黑体" w:hAnsi="Arial"/>
      <w:b/>
      <w:bCs/>
      <w:snapToGrid w:val="0"/>
      <w:kern w:val="24"/>
      <w:sz w:val="28"/>
      <w:szCs w:val="24"/>
    </w:rPr>
  </w:style>
  <w:style w:type="character" w:customStyle="1" w:styleId="1CharCharCharCharCharCharCharCharCharChar">
    <w:name w:val="正文标题1 Char Char Char Char Char Char Char Char Char Char"/>
    <w:rsid w:val="009964C3"/>
    <w:rPr>
      <w:rFonts w:ascii="Arial Narrow" w:eastAsia="仿宋_GB2312" w:hAnsi="Arial Narrow"/>
      <w:b/>
      <w:color w:val="000000"/>
      <w:kern w:val="10"/>
      <w:sz w:val="28"/>
      <w:lang w:val="en-US" w:eastAsia="zh-CN" w:bidi="ar-SA"/>
    </w:rPr>
  </w:style>
  <w:style w:type="character" w:customStyle="1" w:styleId="Char110">
    <w:name w:val="图题 Char11"/>
    <w:qFormat/>
    <w:rsid w:val="009964C3"/>
    <w:rPr>
      <w:rFonts w:ascii="方正大标宋简体" w:eastAsia="方正大标宋简体" w:hAnsi="宋体" w:cs="宋体"/>
      <w:kern w:val="2"/>
      <w:sz w:val="24"/>
      <w:szCs w:val="24"/>
      <w:lang w:val="en-US" w:eastAsia="zh-CN" w:bidi="ar-SA"/>
    </w:rPr>
  </w:style>
  <w:style w:type="character" w:customStyle="1" w:styleId="Char1Char0">
    <w:name w:val="表头 Char1 Char"/>
    <w:link w:val="Char1ff1"/>
    <w:qFormat/>
    <w:locked/>
    <w:rsid w:val="009964C3"/>
    <w:rPr>
      <w:rFonts w:eastAsia="黑体"/>
      <w:color w:val="000000"/>
      <w:kern w:val="24"/>
      <w:sz w:val="24"/>
      <w:szCs w:val="24"/>
      <w:lang w:val="zh-CN" w:eastAsia="zh-CN" w:bidi="ar-SA"/>
    </w:rPr>
  </w:style>
  <w:style w:type="character" w:customStyle="1" w:styleId="CharChar55">
    <w:name w:val="Char Char55"/>
    <w:semiHidden/>
    <w:rsid w:val="009964C3"/>
    <w:rPr>
      <w:rFonts w:eastAsia="黑体"/>
      <w:kern w:val="2"/>
      <w:sz w:val="24"/>
      <w:szCs w:val="24"/>
      <w:lang w:val="en-US" w:eastAsia="zh-CN"/>
    </w:rPr>
  </w:style>
  <w:style w:type="character" w:customStyle="1" w:styleId="5Char22">
    <w:name w:val="表内5 Char2"/>
    <w:qFormat/>
    <w:rsid w:val="009964C3"/>
    <w:rPr>
      <w:rFonts w:ascii="宋体" w:eastAsia="宋体" w:hAnsi="宋体" w:cs="宋体"/>
      <w:kern w:val="2"/>
      <w:sz w:val="21"/>
      <w:lang w:val="en-US" w:eastAsia="zh-CN" w:bidi="ar-SA"/>
    </w:rPr>
  </w:style>
  <w:style w:type="character" w:customStyle="1" w:styleId="41Char">
    <w:name w:val="标题41 Char"/>
    <w:link w:val="412"/>
    <w:rsid w:val="009964C3"/>
    <w:rPr>
      <w:rFonts w:ascii="黑体" w:eastAsia="黑体" w:hAnsi="宋体" w:cs="宋体"/>
      <w:bCs/>
      <w:kern w:val="2"/>
      <w:sz w:val="24"/>
    </w:rPr>
  </w:style>
  <w:style w:type="character" w:customStyle="1" w:styleId="Char1ff2">
    <w:name w:val="图题 Char1"/>
    <w:qFormat/>
    <w:rsid w:val="009964C3"/>
    <w:rPr>
      <w:rFonts w:ascii="方正大标宋简体" w:eastAsia="方正大标宋简体" w:hAnsi="宋体" w:cs="宋体"/>
      <w:kern w:val="2"/>
      <w:sz w:val="24"/>
      <w:szCs w:val="24"/>
      <w:lang w:val="en-US" w:eastAsia="zh-CN" w:bidi="ar-SA"/>
    </w:rPr>
  </w:style>
  <w:style w:type="character" w:customStyle="1" w:styleId="1f7">
    <w:name w:val="不明显参考1"/>
    <w:qFormat/>
    <w:rsid w:val="009964C3"/>
    <w:rPr>
      <w:smallCaps/>
      <w:color w:val="C0504D"/>
      <w:u w:val="single"/>
    </w:rPr>
  </w:style>
  <w:style w:type="character" w:customStyle="1" w:styleId="aChar1">
    <w:name w:val="干标题(a) Char1"/>
    <w:aliases w:val="H9 Char,table Char,干标题(a)1 Char1,干标题(a)2 Char1,干标题(a)3 Char1,干标题(a)4 Char1,干标题(a)5 Char1,干标题(a)6 Char1,干标题(a)7 Char1,干标题(a)8 Char1,干标题(a)11 Char1,干标题(a)21 Char1,干标题(a)31 Char1,干标题(a)41 Char1,干标题(a)51 Char1,干标题(a)61 Char1,干标题(a)71 Char1"/>
    <w:semiHidden/>
    <w:rsid w:val="009964C3"/>
    <w:rPr>
      <w:rFonts w:ascii="Arial" w:eastAsia="黑体" w:hAnsi="Arial"/>
      <w:kern w:val="2"/>
      <w:sz w:val="21"/>
      <w:szCs w:val="21"/>
      <w:lang w:val="en-US" w:eastAsia="zh-CN" w:bidi="ar-SA"/>
    </w:rPr>
  </w:style>
  <w:style w:type="character" w:customStyle="1" w:styleId="CharChar150">
    <w:name w:val="Char Char15"/>
    <w:semiHidden/>
    <w:rsid w:val="009964C3"/>
    <w:rPr>
      <w:rFonts w:ascii="Arial" w:eastAsia="宋体" w:hAnsi="Arial"/>
      <w:kern w:val="2"/>
      <w:sz w:val="21"/>
      <w:szCs w:val="24"/>
      <w:lang w:val="en-US" w:eastAsia="zh-CN" w:bidi="ar-SA"/>
    </w:rPr>
  </w:style>
  <w:style w:type="character" w:customStyle="1" w:styleId="Char2f0">
    <w:name w:val="日期 Char2"/>
    <w:semiHidden/>
    <w:rsid w:val="009964C3"/>
    <w:rPr>
      <w:kern w:val="2"/>
      <w:sz w:val="21"/>
      <w:szCs w:val="24"/>
    </w:rPr>
  </w:style>
  <w:style w:type="character" w:customStyle="1" w:styleId="CharChar18">
    <w:name w:val="正文文字缩进 Char Char1"/>
    <w:semiHidden/>
    <w:rsid w:val="009964C3"/>
    <w:rPr>
      <w:rFonts w:ascii="Arial" w:eastAsia="宋体" w:hAnsi="Arial"/>
      <w:kern w:val="2"/>
      <w:sz w:val="21"/>
      <w:lang w:val="en-US" w:eastAsia="zh-CN" w:bidi="ar-SA"/>
    </w:rPr>
  </w:style>
  <w:style w:type="character" w:customStyle="1" w:styleId="2Charf4">
    <w:name w:val="编号2 Char"/>
    <w:basedOn w:val="Charff4"/>
    <w:link w:val="2f7"/>
    <w:rsid w:val="009964C3"/>
  </w:style>
  <w:style w:type="character" w:customStyle="1" w:styleId="CharCharff1">
    <w:name w:val="编号 Char Char"/>
    <w:semiHidden/>
    <w:rsid w:val="009964C3"/>
    <w:rPr>
      <w:rFonts w:ascii="Arial" w:eastAsia="宋体" w:hAnsi="Arial"/>
      <w:kern w:val="2"/>
      <w:sz w:val="21"/>
      <w:lang w:val="en-US" w:eastAsia="zh-CN" w:bidi="ar-SA"/>
    </w:rPr>
  </w:style>
  <w:style w:type="character" w:customStyle="1" w:styleId="afffffff8">
    <w:name w:val="样式 黑体 小二 黑色"/>
    <w:qFormat/>
    <w:rsid w:val="009964C3"/>
    <w:rPr>
      <w:rFonts w:ascii="黑体" w:eastAsia="黑体" w:hAnsi="黑体"/>
      <w:color w:val="000000"/>
      <w:sz w:val="36"/>
    </w:rPr>
  </w:style>
  <w:style w:type="character" w:customStyle="1" w:styleId="Char1ff3">
    <w:name w:val="段落 Char1"/>
    <w:qFormat/>
    <w:rsid w:val="009964C3"/>
    <w:rPr>
      <w:rFonts w:eastAsia="宋体" w:hAnsi="宋体"/>
      <w:snapToGrid w:val="0"/>
      <w:kern w:val="24"/>
      <w:sz w:val="24"/>
      <w:szCs w:val="24"/>
      <w:lang w:val="en-US" w:eastAsia="zh-CN" w:bidi="ar-SA"/>
    </w:rPr>
  </w:style>
  <w:style w:type="character" w:customStyle="1" w:styleId="2Charf5">
    <w:name w:val="标题样式2 Char"/>
    <w:link w:val="2f8"/>
    <w:qFormat/>
    <w:rsid w:val="009964C3"/>
    <w:rPr>
      <w:rFonts w:ascii="黑体" w:eastAsia="黑体" w:hAnsi="Arial"/>
      <w:b/>
      <w:bCs/>
      <w:kern w:val="2"/>
      <w:sz w:val="28"/>
      <w:szCs w:val="28"/>
      <w:lang w:val="en-US" w:eastAsia="zh-CN" w:bidi="ar-SA"/>
    </w:rPr>
  </w:style>
  <w:style w:type="character" w:customStyle="1" w:styleId="CharChar151">
    <w:name w:val="Char Char15"/>
    <w:qFormat/>
    <w:rsid w:val="009964C3"/>
    <w:rPr>
      <w:rFonts w:ascii="Arial" w:eastAsia="黑体" w:hAnsi="Arial" w:cs="宋体"/>
      <w:sz w:val="24"/>
      <w:szCs w:val="24"/>
      <w:lang w:val="en-US" w:eastAsia="zh-CN" w:bidi="ar-SA"/>
    </w:rPr>
  </w:style>
  <w:style w:type="character" w:customStyle="1" w:styleId="4CharChar">
    <w:name w:val="标题 4 Char Char"/>
    <w:aliases w:val="款标题1.1.1.1 Char,h4 Char,H4 Char,Fab-4 Char,T5 Char,PIM 4 Char,Ref Heading 1 Char,rh1 Char,Heading sql Char,sect 1.2.3.4 Char,bullet Char,bl Char,bb Char,Heading Four Char,sect 1.2.3.41 Char,Ref Heading 11 Char,rh11 Char,sect 1.2.3.42 Char"/>
    <w:rsid w:val="009964C3"/>
    <w:rPr>
      <w:rFonts w:ascii="Arial" w:eastAsia="黑体" w:hAnsi="Arial"/>
      <w:b/>
      <w:bCs/>
      <w:kern w:val="2"/>
      <w:sz w:val="24"/>
      <w:szCs w:val="28"/>
      <w:lang w:val="en-US" w:eastAsia="zh-CN" w:bidi="ar-SA"/>
    </w:rPr>
  </w:style>
  <w:style w:type="character" w:customStyle="1" w:styleId="GChar3">
    <w:name w:val="表文(G) Char"/>
    <w:link w:val="G1"/>
    <w:semiHidden/>
    <w:rsid w:val="009964C3"/>
    <w:rPr>
      <w:rFonts w:hAnsi="宋体"/>
      <w:position w:val="-24"/>
      <w:sz w:val="21"/>
      <w:szCs w:val="21"/>
    </w:rPr>
  </w:style>
  <w:style w:type="character" w:customStyle="1" w:styleId="CharCharCharCharCharCharCharCh2Char">
    <w:name w:val="样式 纯文本表内文字普通文字 Char普通文字 Char Char Char普通文字 Char Char Char Ch...2 Char"/>
    <w:link w:val="CharCharCharCharCharCharCharCh2"/>
    <w:qFormat/>
    <w:rsid w:val="009964C3"/>
    <w:rPr>
      <w:rFonts w:ascii="楷体_GB2312" w:eastAsia="宋体" w:hAnsi="楷体_GB2312"/>
      <w:kern w:val="2"/>
      <w:sz w:val="24"/>
      <w:szCs w:val="18"/>
      <w:lang w:val="en-US" w:eastAsia="zh-CN" w:bidi="ar-SA"/>
    </w:rPr>
  </w:style>
  <w:style w:type="character" w:customStyle="1" w:styleId="9Char0">
    <w:name w:val="样式9 Char"/>
    <w:link w:val="90"/>
    <w:rsid w:val="009964C3"/>
    <w:rPr>
      <w:kern w:val="2"/>
      <w:sz w:val="28"/>
      <w:szCs w:val="24"/>
    </w:rPr>
  </w:style>
  <w:style w:type="character" w:customStyle="1" w:styleId="1Charf0">
    <w:name w:val="目标题 1) Char"/>
    <w:aliases w:val="标题 8--表题 Char,标题8--表题 Char,无节款 Char,注 Char Char,注 Char,注1 Char,无节款1 Char,目标题 1)1 Char,注2 Char,无节款2 Char,目标题 1)2 Char,注3 Char,无节款3 Char,目标题 1)3 Char,注4 Char,无节款4 Char,目标题 1)4 Char,注5 Char,无节款5 Char,目标题 1)5 Char,注6 Char,无节款6 Char,目标题 1)6 Char"/>
    <w:rsid w:val="009964C3"/>
    <w:rPr>
      <w:rFonts w:ascii="Cambria" w:eastAsia="宋体" w:hAnsi="Cambria"/>
      <w:kern w:val="2"/>
      <w:sz w:val="24"/>
      <w:szCs w:val="24"/>
      <w:lang w:val="en-US" w:eastAsia="zh-CN" w:bidi="ar-SA"/>
    </w:rPr>
  </w:style>
  <w:style w:type="character" w:customStyle="1" w:styleId="Charfffff1">
    <w:name w:val="图中文 Char"/>
    <w:link w:val="afffffff9"/>
    <w:semiHidden/>
    <w:rsid w:val="009964C3"/>
    <w:rPr>
      <w:rFonts w:ascii="Arial" w:hAnsi="Arial" w:cs="Arial"/>
      <w:color w:val="000000"/>
      <w:sz w:val="24"/>
      <w:szCs w:val="24"/>
    </w:rPr>
  </w:style>
  <w:style w:type="character" w:customStyle="1" w:styleId="CharCharff2">
    <w:name w:val="表尾 Char Char"/>
    <w:qFormat/>
    <w:rsid w:val="009964C3"/>
    <w:rPr>
      <w:rFonts w:eastAsia="宋体"/>
      <w:kern w:val="2"/>
      <w:sz w:val="10"/>
      <w:lang w:val="en-US" w:eastAsia="zh-CN" w:bidi="ar-SA"/>
    </w:rPr>
  </w:style>
  <w:style w:type="character" w:customStyle="1" w:styleId="CharChar56">
    <w:name w:val="Char Char56"/>
    <w:semiHidden/>
    <w:rsid w:val="009964C3"/>
    <w:rPr>
      <w:rFonts w:eastAsia="黑体"/>
      <w:b/>
      <w:color w:val="000000"/>
      <w:kern w:val="16"/>
      <w:sz w:val="28"/>
      <w:szCs w:val="28"/>
      <w:lang w:val="en-US" w:eastAsia="zh-CN" w:bidi="ar-SA"/>
    </w:rPr>
  </w:style>
  <w:style w:type="character" w:customStyle="1" w:styleId="Charfffff2">
    <w:name w:val="表格编号 Char"/>
    <w:link w:val="afffffffa"/>
    <w:rsid w:val="009964C3"/>
    <w:rPr>
      <w:rFonts w:eastAsia="宋体"/>
      <w:kern w:val="2"/>
      <w:sz w:val="24"/>
      <w:lang w:val="en-US" w:eastAsia="zh-CN" w:bidi="ar-SA"/>
    </w:rPr>
  </w:style>
  <w:style w:type="character" w:customStyle="1" w:styleId="4Char5">
    <w:name w:val="样式 标题4 + 五号 Char"/>
    <w:link w:val="48"/>
    <w:semiHidden/>
    <w:rsid w:val="009964C3"/>
    <w:rPr>
      <w:b/>
      <w:bCs/>
      <w:kern w:val="2"/>
      <w:sz w:val="21"/>
      <w:szCs w:val="32"/>
    </w:rPr>
  </w:style>
  <w:style w:type="character" w:customStyle="1" w:styleId="Charfffff3">
    <w:name w:val="批注框文本 Char"/>
    <w:link w:val="afffffffb"/>
    <w:qFormat/>
    <w:rsid w:val="009964C3"/>
    <w:rPr>
      <w:rFonts w:ascii="宋体" w:eastAsia="宋体" w:hAnsi="宋体" w:cs="宋体"/>
      <w:sz w:val="18"/>
      <w:szCs w:val="18"/>
      <w:lang w:val="en-US" w:eastAsia="zh-CN" w:bidi="ar-SA"/>
    </w:rPr>
  </w:style>
  <w:style w:type="character" w:customStyle="1" w:styleId="Charfffff4">
    <w:name w:val="样式 题注 + (西文) 宋体 Char"/>
    <w:link w:val="afffffffc"/>
    <w:qFormat/>
    <w:locked/>
    <w:rsid w:val="009964C3"/>
    <w:rPr>
      <w:rFonts w:ascii="宋体" w:eastAsia="宋体" w:hAnsi="宋体" w:cs="宋体"/>
      <w:color w:val="000000"/>
      <w:sz w:val="28"/>
      <w:szCs w:val="28"/>
      <w:lang w:val="zh-CN" w:eastAsia="zh-CN" w:bidi="ar-SA"/>
    </w:rPr>
  </w:style>
  <w:style w:type="character" w:customStyle="1" w:styleId="CharChar80">
    <w:name w:val="Char Char8"/>
    <w:rsid w:val="009964C3"/>
    <w:rPr>
      <w:rFonts w:ascii="宋体" w:eastAsia="宋体" w:hAnsi="宋体" w:cs="宋体"/>
      <w:kern w:val="2"/>
      <w:sz w:val="21"/>
      <w:lang w:val="en-US" w:eastAsia="zh-CN" w:bidi="ar-SA"/>
    </w:rPr>
  </w:style>
  <w:style w:type="character" w:customStyle="1" w:styleId="Char2f1">
    <w:name w:val="无级项 Char2"/>
    <w:aliases w:val="项标题(1) Char2,标题 7表内5号 Char2,H7 Char1,H71 Char1,标题 7 表 Char2,无节条 Char2,标题 7表内5号1 Char2,标题 7表内5号2 Char2,标题 7表内5号11 Char2,标题 7表内5号3 Char2,标题 7表内5号12 Char2,标题 7表内5号4 Char2,标题 7表内5号13 Char2,标题 7表内5号5 Char2,标题 7表内5号14 Char2,标题 7表内5号6 Char2"/>
    <w:rsid w:val="009964C3"/>
    <w:rPr>
      <w:rFonts w:eastAsia="仿宋_GB2312"/>
      <w:bCs/>
      <w:kern w:val="2"/>
      <w:sz w:val="28"/>
      <w:szCs w:val="24"/>
      <w:lang w:val="en-US" w:eastAsia="zh-CN" w:bidi="ar-SA"/>
    </w:rPr>
  </w:style>
  <w:style w:type="character" w:customStyle="1" w:styleId="ChChar">
    <w:name w:val="Ch Char"/>
    <w:qFormat/>
    <w:locked/>
    <w:rsid w:val="009964C3"/>
    <w:rPr>
      <w:rFonts w:ascii="方正大标宋简体" w:eastAsia="方正大标宋简体" w:hAnsi="宋体" w:cs="宋体"/>
      <w:b/>
      <w:bCs/>
      <w:kern w:val="44"/>
      <w:sz w:val="30"/>
      <w:szCs w:val="44"/>
      <w:lang w:val="en-US" w:eastAsia="zh-CN" w:bidi="ar-SA"/>
    </w:rPr>
  </w:style>
  <w:style w:type="character" w:customStyle="1" w:styleId="CharChar100">
    <w:name w:val="Char Char10"/>
    <w:qFormat/>
    <w:rsid w:val="009964C3"/>
    <w:rPr>
      <w:rFonts w:eastAsia="宋体"/>
      <w:kern w:val="2"/>
      <w:sz w:val="18"/>
      <w:szCs w:val="18"/>
      <w:lang w:val="en-US" w:eastAsia="zh-CN" w:bidi="ar-SA"/>
    </w:rPr>
  </w:style>
  <w:style w:type="character" w:customStyle="1" w:styleId="CharChar50">
    <w:name w:val="Char Char50"/>
    <w:semiHidden/>
    <w:rsid w:val="009964C3"/>
    <w:rPr>
      <w:rFonts w:ascii="黑体" w:eastAsia="黑体" w:hAnsi="Arial"/>
      <w:sz w:val="24"/>
      <w:lang w:val="en-US" w:eastAsia="zh-CN" w:bidi="ar-SA"/>
    </w:rPr>
  </w:style>
  <w:style w:type="character" w:customStyle="1" w:styleId="unnamed11">
    <w:name w:val="unnamed11"/>
    <w:qFormat/>
    <w:rsid w:val="009964C3"/>
    <w:rPr>
      <w:spacing w:val="420"/>
      <w:sz w:val="23"/>
      <w:szCs w:val="23"/>
    </w:rPr>
  </w:style>
  <w:style w:type="character" w:customStyle="1" w:styleId="CharChar160">
    <w:name w:val="Char Char16"/>
    <w:qFormat/>
    <w:rsid w:val="009964C3"/>
    <w:rPr>
      <w:rFonts w:ascii="宋体" w:eastAsia="宋体" w:hAnsi="宋体" w:cs="宋体"/>
      <w:b/>
      <w:bCs/>
      <w:sz w:val="24"/>
      <w:szCs w:val="24"/>
      <w:lang w:val="en-US" w:eastAsia="zh-CN" w:bidi="ar-SA"/>
    </w:rPr>
  </w:style>
  <w:style w:type="character" w:customStyle="1" w:styleId="Char2f2">
    <w:name w:val="图题 Char2"/>
    <w:qFormat/>
    <w:rsid w:val="009964C3"/>
    <w:rPr>
      <w:rFonts w:ascii="方正大标宋简体" w:eastAsia="方正大标宋简体" w:hAnsi="宋体" w:cs="宋体"/>
      <w:kern w:val="2"/>
      <w:sz w:val="24"/>
      <w:szCs w:val="24"/>
      <w:lang w:val="en-US" w:eastAsia="zh-CN" w:bidi="ar-SA"/>
    </w:rPr>
  </w:style>
  <w:style w:type="character" w:customStyle="1" w:styleId="8Char0">
    <w:name w:val="样式8 Char"/>
    <w:link w:val="80"/>
    <w:qFormat/>
    <w:rsid w:val="009964C3"/>
    <w:rPr>
      <w:rFonts w:ascii="Arial" w:eastAsia="黑体" w:hAnsi="Arial" w:cs="Arial"/>
      <w:spacing w:val="4"/>
      <w:sz w:val="24"/>
      <w:szCs w:val="21"/>
      <w:lang w:val="en-US" w:eastAsia="zh-CN" w:bidi="ar-SA"/>
    </w:rPr>
  </w:style>
  <w:style w:type="character" w:customStyle="1" w:styleId="24Char">
    <w:name w:val="表标题2.4 Char"/>
    <w:link w:val="240"/>
    <w:qFormat/>
    <w:rsid w:val="009964C3"/>
    <w:rPr>
      <w:rFonts w:ascii="黑体" w:eastAsia="黑体"/>
      <w:b/>
      <w:spacing w:val="6"/>
      <w:sz w:val="24"/>
      <w:szCs w:val="24"/>
      <w:lang w:val="en-US" w:eastAsia="zh-CN" w:bidi="ar-SA"/>
    </w:rPr>
  </w:style>
  <w:style w:type="character" w:customStyle="1" w:styleId="Charfffff5">
    <w:name w:val="批注主题 Char"/>
    <w:qFormat/>
    <w:rsid w:val="009964C3"/>
    <w:rPr>
      <w:rFonts w:ascii="Times New Roman" w:eastAsia="宋体" w:hAnsi="Times New Roman" w:cs="Times New Roman"/>
      <w:b/>
      <w:bCs/>
      <w:sz w:val="24"/>
      <w:szCs w:val="24"/>
    </w:rPr>
  </w:style>
  <w:style w:type="character" w:customStyle="1" w:styleId="4Char1Char">
    <w:name w:val="标题 4 Char1 Char"/>
    <w:qFormat/>
    <w:rsid w:val="009964C3"/>
    <w:rPr>
      <w:rFonts w:ascii="Arial" w:eastAsia="黑体" w:hAnsi="Arial"/>
      <w:b/>
      <w:bCs/>
      <w:sz w:val="28"/>
      <w:szCs w:val="28"/>
      <w:lang w:val="en-US" w:eastAsia="zh-CN" w:bidi="ar-SA"/>
    </w:rPr>
  </w:style>
  <w:style w:type="character" w:customStyle="1" w:styleId="Charfffff6">
    <w:name w:val="表格中的文字 Char"/>
    <w:link w:val="afffffffd"/>
    <w:rsid w:val="009964C3"/>
    <w:rPr>
      <w:rFonts w:ascii="宋体" w:eastAsia="宋体" w:hAnsi="宋体" w:cs="宋体"/>
      <w:sz w:val="21"/>
      <w:lang w:val="en-US" w:eastAsia="zh-CN" w:bidi="ar-SA"/>
    </w:rPr>
  </w:style>
  <w:style w:type="character" w:customStyle="1" w:styleId="Charfffff7">
    <w:name w:val="中文报告书 Char"/>
    <w:link w:val="afffffffe"/>
    <w:semiHidden/>
    <w:rsid w:val="009964C3"/>
    <w:rPr>
      <w:kern w:val="24"/>
      <w:sz w:val="24"/>
    </w:rPr>
  </w:style>
  <w:style w:type="character" w:customStyle="1" w:styleId="38-1Char">
    <w:name w:val="表3.8-1 Char"/>
    <w:basedOn w:val="241Char"/>
    <w:link w:val="38-1"/>
    <w:rsid w:val="009964C3"/>
  </w:style>
  <w:style w:type="character" w:customStyle="1" w:styleId="6Char1">
    <w:name w:val="样式6(表内) Char"/>
    <w:link w:val="61"/>
    <w:semiHidden/>
    <w:rsid w:val="009964C3"/>
    <w:rPr>
      <w:rFonts w:cs="宋体"/>
      <w:color w:val="000000"/>
      <w:kern w:val="2"/>
      <w:sz w:val="21"/>
      <w:szCs w:val="21"/>
    </w:rPr>
  </w:style>
  <w:style w:type="character" w:customStyle="1" w:styleId="Char2f3">
    <w:name w:val="洋图 Char2"/>
    <w:link w:val="affffffff"/>
    <w:semiHidden/>
    <w:rsid w:val="009964C3"/>
    <w:rPr>
      <w:kern w:val="2"/>
      <w:sz w:val="24"/>
    </w:rPr>
  </w:style>
  <w:style w:type="character" w:customStyle="1" w:styleId="222Char">
    <w:name w:val="样式 正文首行缩进 2 + 左侧:  2 字符 首行缩进:  2 字符 Char"/>
    <w:link w:val="222"/>
    <w:semiHidden/>
    <w:rsid w:val="009964C3"/>
    <w:rPr>
      <w:rFonts w:ascii="宋体" w:cs="宋体"/>
      <w:kern w:val="2"/>
      <w:sz w:val="24"/>
      <w:szCs w:val="24"/>
    </w:rPr>
  </w:style>
  <w:style w:type="character" w:customStyle="1" w:styleId="AGTESIAChar1">
    <w:name w:val="AGT ESIA Char1"/>
    <w:aliases w:val="Map Char1,表题注 Char1,题注 Char Char Char Char1,题注 Char Char Char Char Char Char Char2,题注 Char Char Char Char Char Char Char Char2,题注 Char Char Char Char Char Char1 Char Char Char1,题注 Char Char Char Char Char Char Char Char Char1"/>
    <w:rsid w:val="009964C3"/>
    <w:rPr>
      <w:rFonts w:ascii="Arial" w:eastAsia="黑体" w:hAnsi="Arial"/>
      <w:b/>
      <w:spacing w:val="6"/>
      <w:kern w:val="20"/>
      <w:sz w:val="21"/>
      <w:lang w:val="en-US" w:eastAsia="zh-CN" w:bidi="ar-SA"/>
    </w:rPr>
  </w:style>
  <w:style w:type="character" w:customStyle="1" w:styleId="5Char23">
    <w:name w:val="样式 表内小5 + 黑体 加粗 倾斜 下划线 Char2"/>
    <w:qFormat/>
    <w:rsid w:val="009964C3"/>
    <w:rPr>
      <w:rFonts w:ascii="黑体" w:eastAsia="黑体" w:hAnsi="黑体"/>
      <w:b/>
      <w:bCs/>
      <w:i/>
      <w:iCs/>
      <w:kern w:val="2"/>
      <w:sz w:val="18"/>
      <w:szCs w:val="24"/>
      <w:u w:val="single"/>
      <w:lang w:val="en-US" w:eastAsia="zh-CN" w:bidi="ar-SA"/>
    </w:rPr>
  </w:style>
  <w:style w:type="character" w:customStyle="1" w:styleId="16931CharChar">
    <w:name w:val="16.9.3.1 Char Char"/>
    <w:basedOn w:val="16911CharChar"/>
    <w:link w:val="16931"/>
    <w:qFormat/>
    <w:rsid w:val="009964C3"/>
  </w:style>
  <w:style w:type="character" w:customStyle="1" w:styleId="CharCharChar20">
    <w:name w:val="正文（首行缩进两字） Char Char Char2"/>
    <w:aliases w:val="图表标题 Char1,正文缩进 Char Char Char Char2,正文 1 Char1,正文缩进 Char Char1,正文缩进1 Char3,表正文 Char3,正文非缩进 Char3,特点 Char3,文本条款 Char2,正文不缩进 Char2,s4 Char1,ind:txt Char1,标题4 + 宋体 Char1,段1 Char2,Body Text(ch) Char1,ALT+Z Char1,四号 Char1,缩 Char"/>
    <w:rsid w:val="009964C3"/>
    <w:rPr>
      <w:rFonts w:ascii="Arial" w:eastAsia="宋体" w:hAnsi="Arial"/>
      <w:kern w:val="2"/>
      <w:sz w:val="24"/>
      <w:lang w:val="en-US" w:eastAsia="zh-CN" w:bidi="ar-SA"/>
    </w:rPr>
  </w:style>
  <w:style w:type="character" w:customStyle="1" w:styleId="CharCharff3">
    <w:name w:val="正文(首行缩进)宋旭峰 Char Char"/>
    <w:link w:val="affffffff0"/>
    <w:semiHidden/>
    <w:rsid w:val="009964C3"/>
    <w:rPr>
      <w:rFonts w:ascii="Arial" w:hAnsi="Arial"/>
      <w:snapToGrid w:val="0"/>
      <w:kern w:val="20"/>
      <w:sz w:val="24"/>
      <w:szCs w:val="24"/>
    </w:rPr>
  </w:style>
  <w:style w:type="character" w:customStyle="1" w:styleId="Charfffff8">
    <w:name w:val="正文(首行缩进) Char"/>
    <w:link w:val="affffffff1"/>
    <w:qFormat/>
    <w:rsid w:val="009964C3"/>
    <w:rPr>
      <w:rFonts w:eastAsia="宋体"/>
      <w:snapToGrid w:val="0"/>
      <w:sz w:val="24"/>
      <w:szCs w:val="24"/>
      <w:lang w:val="en-US" w:eastAsia="zh-CN" w:bidi="ar-SA"/>
    </w:rPr>
  </w:style>
  <w:style w:type="character" w:customStyle="1" w:styleId="Charfffff9">
    <w:name w:val="正文（首行缩进两字） Char"/>
    <w:aliases w:val="正文缩进 Char Char Char1,正文缩进 Char Char Char Char Char,正文缩进 Char Char Char Char1,正文（首缩进两字） Char,正文缩进1 Char,identication Char,图表 Char,表正文 Char,正文非缩进 Char,Paragraph2 Char,Paragraph3 Char,Paragraph4 Char,Paragraph5 Char,Paragraph6 Char,特点 Char"/>
    <w:qFormat/>
    <w:rsid w:val="009964C3"/>
    <w:rPr>
      <w:rFonts w:eastAsia="宋体"/>
      <w:lang w:val="en-US" w:eastAsia="zh-CN" w:bidi="ar-SA"/>
    </w:rPr>
  </w:style>
  <w:style w:type="character" w:customStyle="1" w:styleId="Char1ff4">
    <w:name w:val="中文报告书样式 Char1"/>
    <w:link w:val="affffffff2"/>
    <w:rsid w:val="009964C3"/>
    <w:rPr>
      <w:rFonts w:ascii="宋体" w:hAnsi="宋体"/>
      <w:kern w:val="24"/>
      <w:sz w:val="24"/>
    </w:rPr>
  </w:style>
  <w:style w:type="character" w:customStyle="1" w:styleId="content011">
    <w:name w:val="content011"/>
    <w:semiHidden/>
    <w:rsid w:val="009964C3"/>
    <w:rPr>
      <w:rFonts w:ascii="Arial" w:eastAsia="宋体" w:hAnsi="Arial"/>
      <w:strike w:val="0"/>
      <w:dstrike w:val="0"/>
      <w:color w:val="000000"/>
      <w:kern w:val="2"/>
      <w:sz w:val="18"/>
      <w:szCs w:val="18"/>
      <w:u w:val="none"/>
      <w:lang w:val="en-US" w:eastAsia="zh-CN" w:bidi="ar-SA"/>
    </w:rPr>
  </w:style>
  <w:style w:type="character" w:customStyle="1" w:styleId="CharChar34">
    <w:name w:val="Char Char34"/>
    <w:semiHidden/>
    <w:rsid w:val="009964C3"/>
    <w:rPr>
      <w:rFonts w:ascii="Times New Roman" w:eastAsia="宋体" w:hAnsi="Times New Roman" w:cs="Times New Roman"/>
      <w:szCs w:val="24"/>
    </w:rPr>
  </w:style>
  <w:style w:type="character" w:customStyle="1" w:styleId="1CharCharChar2">
    <w:name w:val="标题 1 Char Char Char2"/>
    <w:aliases w:val="标题 1 Char Char Char Char1,标题 1 Char Char Char Char Char Char1"/>
    <w:rsid w:val="009964C3"/>
    <w:rPr>
      <w:rFonts w:eastAsia="宋体"/>
      <w:b/>
      <w:bCs/>
      <w:kern w:val="44"/>
      <w:sz w:val="44"/>
      <w:szCs w:val="44"/>
      <w:lang w:val="en-US" w:eastAsia="zh-CN" w:bidi="ar-SA"/>
    </w:rPr>
  </w:style>
  <w:style w:type="character" w:customStyle="1" w:styleId="3Char21">
    <w:name w:val="标题 3 Char2"/>
    <w:aliases w:val="标题 3 Char1 Char,小节 Char,小节名 Char"/>
    <w:semiHidden/>
    <w:rsid w:val="009964C3"/>
    <w:rPr>
      <w:rFonts w:ascii="Arial" w:eastAsia="宋体" w:hAnsi="Arial"/>
      <w:kern w:val="2"/>
      <w:sz w:val="21"/>
      <w:lang w:val="en-US" w:eastAsia="zh-CN" w:bidi="ar-SA"/>
    </w:rPr>
  </w:style>
  <w:style w:type="character" w:customStyle="1" w:styleId="Char2f4">
    <w:name w:val="洋正 Char2"/>
    <w:link w:val="affffffff3"/>
    <w:semiHidden/>
    <w:rsid w:val="009964C3"/>
    <w:rPr>
      <w:kern w:val="2"/>
      <w:sz w:val="24"/>
    </w:rPr>
  </w:style>
  <w:style w:type="character" w:customStyle="1" w:styleId="CharChar22">
    <w:name w:val="Char Char22"/>
    <w:semiHidden/>
    <w:rsid w:val="009964C3"/>
    <w:rPr>
      <w:rFonts w:ascii="Arial" w:eastAsia="仿宋_GB2312" w:hAnsi="Arial"/>
      <w:kern w:val="2"/>
      <w:sz w:val="28"/>
      <w:szCs w:val="21"/>
      <w:lang w:val="en-US" w:eastAsia="zh-CN" w:bidi="ar-SA"/>
    </w:rPr>
  </w:style>
  <w:style w:type="character" w:customStyle="1" w:styleId="texthe1">
    <w:name w:val="text_he1"/>
    <w:qFormat/>
    <w:rsid w:val="009964C3"/>
    <w:rPr>
      <w:sz w:val="24"/>
      <w:szCs w:val="24"/>
    </w:rPr>
  </w:style>
  <w:style w:type="character" w:customStyle="1" w:styleId="CharChar53">
    <w:name w:val="Char Char53"/>
    <w:semiHidden/>
    <w:rsid w:val="009964C3"/>
    <w:rPr>
      <w:rFonts w:ascii="宋体" w:eastAsia="宋体"/>
      <w:bCs/>
      <w:sz w:val="32"/>
      <w:szCs w:val="28"/>
      <w:lang w:val="en-US" w:eastAsia="zh-CN" w:bidi="ar-SA"/>
    </w:rPr>
  </w:style>
  <w:style w:type="character" w:customStyle="1" w:styleId="dan7-1Char">
    <w:name w:val="dan7-1 Char"/>
    <w:link w:val="dan7-1"/>
    <w:rsid w:val="009964C3"/>
    <w:rPr>
      <w:rFonts w:eastAsia="宋体"/>
      <w:kern w:val="2"/>
      <w:sz w:val="24"/>
      <w:szCs w:val="24"/>
      <w:lang w:val="en-US" w:eastAsia="zh-CN" w:bidi="ar-SA"/>
    </w:rPr>
  </w:style>
  <w:style w:type="character" w:customStyle="1" w:styleId="CharChar180">
    <w:name w:val="Char Char18"/>
    <w:qFormat/>
    <w:rsid w:val="009964C3"/>
    <w:rPr>
      <w:sz w:val="18"/>
      <w:szCs w:val="18"/>
    </w:rPr>
  </w:style>
  <w:style w:type="character" w:customStyle="1" w:styleId="2CharChar3">
    <w:name w:val="标题样式2 Char Char"/>
    <w:qFormat/>
    <w:rsid w:val="009964C3"/>
    <w:rPr>
      <w:rFonts w:ascii="黑体" w:eastAsia="黑体" w:hAnsi="Arial"/>
      <w:b/>
      <w:bCs/>
      <w:kern w:val="2"/>
      <w:sz w:val="28"/>
      <w:szCs w:val="28"/>
      <w:lang w:val="en-US" w:eastAsia="zh-CN" w:bidi="ar-SA"/>
    </w:rPr>
  </w:style>
  <w:style w:type="character" w:customStyle="1" w:styleId="GB23123">
    <w:name w:val="样式 楷体_GB2312 黑色"/>
    <w:qFormat/>
    <w:rsid w:val="009964C3"/>
    <w:rPr>
      <w:rFonts w:ascii="楷体_GB2312" w:eastAsia="宋体" w:hAnsi="楷体_GB2312"/>
      <w:color w:val="000000"/>
      <w:sz w:val="24"/>
    </w:rPr>
  </w:style>
  <w:style w:type="character" w:customStyle="1" w:styleId="apple-converted-space">
    <w:name w:val="apple-converted-space"/>
    <w:rsid w:val="009964C3"/>
    <w:rPr>
      <w:rFonts w:ascii="Arial" w:eastAsia="黑体" w:hAnsi="Arial"/>
      <w:kern w:val="20"/>
      <w:sz w:val="30"/>
      <w:lang w:val="en-US" w:eastAsia="zh-CN" w:bidi="ar-SA"/>
    </w:rPr>
  </w:style>
  <w:style w:type="character" w:customStyle="1" w:styleId="bbc1">
    <w:name w:val="bbc1"/>
    <w:semiHidden/>
    <w:rsid w:val="009964C3"/>
    <w:rPr>
      <w:b/>
      <w:bCs/>
      <w:strike w:val="0"/>
      <w:dstrike w:val="0"/>
      <w:color w:val="000000"/>
      <w:sz w:val="23"/>
      <w:szCs w:val="23"/>
      <w:u w:val="none"/>
    </w:rPr>
  </w:style>
  <w:style w:type="character" w:customStyle="1" w:styleId="2CharChar4">
    <w:name w:val="样式 样式 标题2 + 小四 + 非加粗 Char Char"/>
    <w:rsid w:val="009964C3"/>
    <w:rPr>
      <w:rFonts w:ascii="黑体" w:eastAsia="黑体"/>
      <w:kern w:val="44"/>
      <w:sz w:val="24"/>
      <w:szCs w:val="44"/>
      <w:lang w:val="en-US" w:eastAsia="zh-CN" w:bidi="ar-SA"/>
    </w:rPr>
  </w:style>
  <w:style w:type="character" w:customStyle="1" w:styleId="CharCharff4">
    <w:name w:val="表格中的文字 Char Char"/>
    <w:rsid w:val="009964C3"/>
    <w:rPr>
      <w:rFonts w:ascii="宋体" w:eastAsia="宋体" w:hAnsi="宋体" w:cs="宋体"/>
      <w:sz w:val="21"/>
      <w:lang w:val="en-US" w:eastAsia="zh-CN" w:bidi="ar-SA"/>
    </w:rPr>
  </w:style>
  <w:style w:type="character" w:customStyle="1" w:styleId="4Char20">
    <w:name w:val="标题4 Char2"/>
    <w:qFormat/>
    <w:rsid w:val="009964C3"/>
    <w:rPr>
      <w:rFonts w:ascii="黑体" w:eastAsia="黑体" w:hAnsi="宋体" w:cs="宋体"/>
      <w:kern w:val="2"/>
      <w:sz w:val="24"/>
      <w:szCs w:val="24"/>
      <w:lang w:val="en-US" w:eastAsia="zh-CN" w:bidi="ar-SA"/>
    </w:rPr>
  </w:style>
  <w:style w:type="character" w:customStyle="1" w:styleId="11p1">
    <w:name w:val="11p1"/>
    <w:qFormat/>
    <w:rsid w:val="009964C3"/>
    <w:rPr>
      <w:sz w:val="19"/>
      <w:szCs w:val="19"/>
    </w:rPr>
  </w:style>
  <w:style w:type="character" w:customStyle="1" w:styleId="T3CharChar">
    <w:name w:val="T3 Char Char"/>
    <w:link w:val="T3"/>
    <w:qFormat/>
    <w:rsid w:val="009964C3"/>
    <w:rPr>
      <w:rFonts w:ascii="宋体" w:eastAsia="宋体" w:hAnsi="宋体"/>
      <w:color w:val="000000"/>
      <w:sz w:val="24"/>
      <w:szCs w:val="24"/>
      <w:lang w:val="en-US" w:eastAsia="zh-CN" w:bidi="ar-SA"/>
    </w:rPr>
  </w:style>
  <w:style w:type="character" w:customStyle="1" w:styleId="4Char7">
    <w:name w:val="标题4 Char"/>
    <w:link w:val="4a"/>
    <w:qFormat/>
    <w:rsid w:val="009964C3"/>
    <w:rPr>
      <w:rFonts w:ascii="Arial" w:eastAsia="宋体" w:hAnsi="Arial"/>
      <w:b/>
      <w:bCs/>
      <w:kern w:val="2"/>
      <w:sz w:val="24"/>
      <w:szCs w:val="28"/>
      <w:lang w:val="en-US" w:eastAsia="zh-CN" w:bidi="ar-SA"/>
    </w:rPr>
  </w:style>
  <w:style w:type="character" w:customStyle="1" w:styleId="p31">
    <w:name w:val="p31"/>
    <w:qFormat/>
    <w:rsid w:val="009964C3"/>
    <w:rPr>
      <w:rFonts w:ascii="文鼎粗行楷简" w:eastAsia="文鼎粗行楷简" w:hint="eastAsia"/>
      <w:color w:val="FF0000"/>
      <w:sz w:val="30"/>
      <w:szCs w:val="30"/>
    </w:rPr>
  </w:style>
  <w:style w:type="character" w:customStyle="1" w:styleId="zi1">
    <w:name w:val="zi1"/>
    <w:semiHidden/>
    <w:rsid w:val="009964C3"/>
    <w:rPr>
      <w:rFonts w:ascii="Arial" w:eastAsia="宋体" w:hAnsi="Arial"/>
      <w:strike w:val="0"/>
      <w:dstrike w:val="0"/>
      <w:color w:val="000000"/>
      <w:kern w:val="2"/>
      <w:sz w:val="20"/>
      <w:szCs w:val="20"/>
      <w:u w:val="none"/>
      <w:lang w:val="en-US" w:eastAsia="zh-CN" w:bidi="ar-SA"/>
    </w:rPr>
  </w:style>
  <w:style w:type="character" w:customStyle="1" w:styleId="6Char2">
    <w:name w:val="样式6 Char"/>
    <w:link w:val="62"/>
    <w:qFormat/>
    <w:rsid w:val="009964C3"/>
    <w:rPr>
      <w:rFonts w:eastAsia="黑体"/>
      <w:b/>
      <w:bCs/>
      <w:kern w:val="2"/>
      <w:sz w:val="24"/>
      <w:szCs w:val="24"/>
      <w:lang w:val="en-US" w:eastAsia="zh-CN" w:bidi="ar-SA"/>
    </w:rPr>
  </w:style>
  <w:style w:type="character" w:customStyle="1" w:styleId="Charfffffa">
    <w:name w:val="正文表标题 Char"/>
    <w:qFormat/>
    <w:rsid w:val="009964C3"/>
    <w:rPr>
      <w:rFonts w:ascii="黑体" w:eastAsia="黑体"/>
      <w:sz w:val="21"/>
      <w:lang w:val="en-US" w:eastAsia="zh-CN" w:bidi="ar-SA"/>
    </w:rPr>
  </w:style>
  <w:style w:type="character" w:customStyle="1" w:styleId="Charfffffb">
    <w:name w:val="正文文字 Char"/>
    <w:rsid w:val="009964C3"/>
    <w:rPr>
      <w:rFonts w:eastAsia="宋体"/>
      <w:sz w:val="24"/>
      <w:szCs w:val="24"/>
      <w:lang w:val="en-US" w:eastAsia="zh-CN" w:bidi="ar-SA"/>
    </w:rPr>
  </w:style>
  <w:style w:type="character" w:customStyle="1" w:styleId="CUCD-0Char0">
    <w:name w:val="CUCD-0 Char"/>
    <w:link w:val="CUCD-00"/>
    <w:semiHidden/>
    <w:rsid w:val="009964C3"/>
    <w:rPr>
      <w:rFonts w:ascii="Arial" w:eastAsia="黑体" w:hAnsi="Arial"/>
      <w:kern w:val="2"/>
      <w:sz w:val="24"/>
      <w:szCs w:val="22"/>
    </w:rPr>
  </w:style>
  <w:style w:type="character" w:customStyle="1" w:styleId="CharChar1Char0">
    <w:name w:val="表头 Char Char1 Char"/>
    <w:qFormat/>
    <w:rsid w:val="009964C3"/>
    <w:rPr>
      <w:rFonts w:eastAsia="黑体"/>
      <w:color w:val="000000"/>
      <w:kern w:val="24"/>
      <w:sz w:val="24"/>
      <w:szCs w:val="24"/>
      <w:lang w:val="en-US" w:eastAsia="zh-CN" w:bidi="ar-SA"/>
    </w:rPr>
  </w:style>
  <w:style w:type="character" w:customStyle="1" w:styleId="5Char10">
    <w:name w:val="表内5 Char1"/>
    <w:rsid w:val="009964C3"/>
    <w:rPr>
      <w:rFonts w:ascii="宋体" w:eastAsia="宋体"/>
      <w:color w:val="000000"/>
      <w:sz w:val="21"/>
      <w:szCs w:val="21"/>
      <w:lang w:val="en-US" w:eastAsia="zh-CN" w:bidi="ar-SA"/>
    </w:rPr>
  </w:style>
  <w:style w:type="character" w:customStyle="1" w:styleId="text121">
    <w:name w:val="text121"/>
    <w:qFormat/>
    <w:rsid w:val="009964C3"/>
    <w:rPr>
      <w:color w:val="000000"/>
      <w:sz w:val="15"/>
      <w:szCs w:val="15"/>
      <w:u w:val="none"/>
    </w:rPr>
  </w:style>
  <w:style w:type="character" w:customStyle="1" w:styleId="title">
    <w:name w:val="title"/>
    <w:qFormat/>
    <w:rsid w:val="009964C3"/>
    <w:rPr>
      <w:rFonts w:ascii="黑体" w:eastAsia="黑体"/>
      <w:kern w:val="2"/>
      <w:sz w:val="24"/>
      <w:szCs w:val="24"/>
      <w:lang w:val="en-US" w:eastAsia="zh-CN" w:bidi="ar-SA"/>
    </w:rPr>
  </w:style>
  <w:style w:type="character" w:customStyle="1" w:styleId="5Char11">
    <w:name w:val="标题 5 Char1"/>
    <w:qFormat/>
    <w:rsid w:val="009964C3"/>
    <w:rPr>
      <w:rFonts w:ascii="Arial" w:eastAsia="宋体" w:hAnsi="Arial" w:cs="Arial"/>
      <w:kern w:val="2"/>
      <w:sz w:val="28"/>
      <w:szCs w:val="28"/>
      <w:lang w:val="en-US" w:eastAsia="zh-CN"/>
    </w:rPr>
  </w:style>
  <w:style w:type="character" w:customStyle="1" w:styleId="2Charf6">
    <w:name w:val="正文，缩进2字符 Char"/>
    <w:qFormat/>
    <w:rsid w:val="009964C3"/>
    <w:rPr>
      <w:rFonts w:ascii="宋体" w:eastAsia="宋体"/>
      <w:sz w:val="24"/>
      <w:lang w:val="en-US" w:eastAsia="zh-CN" w:bidi="ar-SA"/>
    </w:rPr>
  </w:style>
  <w:style w:type="character" w:customStyle="1" w:styleId="CharChar69">
    <w:name w:val="Char Char69"/>
    <w:rsid w:val="009964C3"/>
    <w:rPr>
      <w:rFonts w:ascii="楷体" w:eastAsia="楷体" w:hAnsi="楷体"/>
      <w:kern w:val="2"/>
      <w:sz w:val="24"/>
      <w:szCs w:val="24"/>
      <w:lang w:val="en-US" w:eastAsia="zh-CN" w:bidi="ar-SA"/>
    </w:rPr>
  </w:style>
  <w:style w:type="character" w:customStyle="1" w:styleId="CharChar68">
    <w:name w:val="Char Char6"/>
    <w:qFormat/>
    <w:rsid w:val="009964C3"/>
    <w:rPr>
      <w:rFonts w:eastAsia="宋体"/>
      <w:kern w:val="24"/>
      <w:sz w:val="16"/>
      <w:szCs w:val="16"/>
      <w:lang w:val="en-US" w:eastAsia="zh-CN" w:bidi="ar-SA"/>
    </w:rPr>
  </w:style>
  <w:style w:type="character" w:customStyle="1" w:styleId="05">
    <w:name w:val="样式 边框:: (单实线 自动设置  0.5 磅 行宽)"/>
    <w:qFormat/>
    <w:rsid w:val="009964C3"/>
    <w:rPr>
      <w:rFonts w:eastAsia="黑体"/>
      <w:bdr w:val="single" w:sz="4" w:space="0" w:color="auto"/>
    </w:rPr>
  </w:style>
  <w:style w:type="character" w:customStyle="1" w:styleId="affffffff4">
    <w:name w:val="第一章"/>
    <w:semiHidden/>
    <w:rsid w:val="009964C3"/>
    <w:rPr>
      <w:rFonts w:ascii="Times New Roman" w:eastAsia="黑体" w:hAnsi="Times New Roman"/>
      <w:kern w:val="2"/>
      <w:sz w:val="28"/>
      <w:szCs w:val="28"/>
      <w:lang w:val="en-US" w:eastAsia="zh-CN" w:bidi="ar-SA"/>
    </w:rPr>
  </w:style>
  <w:style w:type="character" w:customStyle="1" w:styleId="zwb1CharChar">
    <w:name w:val="zwb_标题1 Char Char"/>
    <w:semiHidden/>
    <w:rsid w:val="009964C3"/>
    <w:rPr>
      <w:rFonts w:eastAsia="宋体"/>
      <w:b/>
      <w:bCs/>
      <w:kern w:val="44"/>
      <w:sz w:val="32"/>
      <w:szCs w:val="44"/>
      <w:lang w:val="en-US" w:eastAsia="zh-CN" w:bidi="ar-SA"/>
    </w:rPr>
  </w:style>
  <w:style w:type="character" w:customStyle="1" w:styleId="Charfffffc">
    <w:name w:val="结束语 Char"/>
    <w:semiHidden/>
    <w:qFormat/>
    <w:rsid w:val="009964C3"/>
    <w:rPr>
      <w:rFonts w:ascii="Times New Roman" w:eastAsia="宋体" w:hAnsi="Times New Roman" w:cs="Times New Roman"/>
      <w:szCs w:val="24"/>
    </w:rPr>
  </w:style>
  <w:style w:type="character" w:customStyle="1" w:styleId="CharChar1a">
    <w:name w:val="表尾 Char Char1"/>
    <w:qFormat/>
    <w:rsid w:val="009964C3"/>
    <w:rPr>
      <w:rFonts w:eastAsia="宋体"/>
      <w:kern w:val="2"/>
      <w:sz w:val="10"/>
      <w:lang w:val="en-US" w:eastAsia="zh-CN" w:bidi="ar-SA"/>
    </w:rPr>
  </w:style>
  <w:style w:type="character" w:customStyle="1" w:styleId="1ArialChar">
    <w:name w:val="样式 标题 1 + (西文) Arial (中文) 黑体 Char"/>
    <w:qFormat/>
    <w:rsid w:val="009964C3"/>
    <w:rPr>
      <w:rFonts w:ascii="Arial" w:eastAsia="黑体" w:hAnsi="Arial" w:cs="Arial"/>
      <w:kern w:val="44"/>
      <w:sz w:val="24"/>
      <w:lang w:val="en-US" w:eastAsia="zh-CN" w:bidi="ar-SA"/>
    </w:rPr>
  </w:style>
  <w:style w:type="character" w:customStyle="1" w:styleId="Char32">
    <w:name w:val="燕山正文 Char3"/>
    <w:qFormat/>
    <w:rsid w:val="009964C3"/>
    <w:rPr>
      <w:rFonts w:ascii="宋体" w:eastAsia="宋体" w:hAnsi="宋体"/>
      <w:color w:val="000000"/>
      <w:kern w:val="2"/>
      <w:sz w:val="24"/>
      <w:szCs w:val="24"/>
      <w:lang w:val="en-US" w:eastAsia="zh-CN" w:bidi="ar-SA"/>
    </w:rPr>
  </w:style>
  <w:style w:type="character" w:customStyle="1" w:styleId="CharChar1b">
    <w:name w:val="纯文本 Char Char1"/>
    <w:qFormat/>
    <w:rsid w:val="009964C3"/>
    <w:rPr>
      <w:rFonts w:ascii="宋体" w:eastAsia="宋体" w:hAnsi="Courier New" w:cs="Courier New"/>
      <w:kern w:val="2"/>
      <w:sz w:val="21"/>
      <w:szCs w:val="21"/>
      <w:lang w:val="en-US" w:eastAsia="zh-CN" w:bidi="ar-SA"/>
    </w:rPr>
  </w:style>
  <w:style w:type="character" w:customStyle="1" w:styleId="CharChar90">
    <w:name w:val="Char Char9"/>
    <w:qFormat/>
    <w:rsid w:val="009964C3"/>
    <w:rPr>
      <w:rFonts w:ascii="宋体" w:eastAsia="宋体" w:hAnsi="宋体" w:cs="宋体"/>
      <w:sz w:val="18"/>
      <w:szCs w:val="18"/>
      <w:lang w:val="en-US" w:eastAsia="zh-CN" w:bidi="ar-SA"/>
    </w:rPr>
  </w:style>
  <w:style w:type="character" w:customStyle="1" w:styleId="GB2312Char2">
    <w:name w:val="正文 + (中文) 仿宋_GB2312 Char"/>
    <w:aliases w:val="小四 Char,全部大写 Char"/>
    <w:link w:val="GB23124"/>
    <w:semiHidden/>
    <w:rsid w:val="009964C3"/>
    <w:rPr>
      <w:rFonts w:ascii="Arial" w:eastAsia="仿宋_GB2312" w:hAnsi="Arial"/>
      <w:caps/>
      <w:kern w:val="2"/>
      <w:sz w:val="24"/>
      <w:szCs w:val="24"/>
    </w:rPr>
  </w:style>
  <w:style w:type="character" w:customStyle="1" w:styleId="1GChar">
    <w:name w:val="标题 1(G) Char"/>
    <w:aliases w:val="小2号宋体居中行距2倍 Char,章 Char,章标题 1 Char,b1 Char,章节标题 Char,H1 Char,标题 11 Char,-*+ Char,h1 Char,1st level Char,Section Head Char,l1 Char,1 Char,my标题1 Char,标题 1 Char Char,PAGE HEADING Char,Document Header1 Char,标题 1小2号宋体居中行距2倍 Char,1.1标题 1 Char"/>
    <w:semiHidden/>
    <w:rsid w:val="009964C3"/>
    <w:rPr>
      <w:rFonts w:ascii="Arial" w:eastAsia="黑体" w:hAnsi="Arial"/>
      <w:b/>
      <w:kern w:val="2"/>
      <w:sz w:val="32"/>
      <w:szCs w:val="32"/>
      <w:lang w:val="en-US" w:eastAsia="zh-CN" w:bidi="ar-SA"/>
    </w:rPr>
  </w:style>
  <w:style w:type="character" w:customStyle="1" w:styleId="Char1ff5">
    <w:name w:val="日期 Char1"/>
    <w:link w:val="affffffff5"/>
    <w:qFormat/>
    <w:rsid w:val="009964C3"/>
    <w:rPr>
      <w:rFonts w:ascii="宋体" w:eastAsia="宋体" w:hAnsi="宋体" w:cs="宋体"/>
      <w:kern w:val="2"/>
      <w:sz w:val="21"/>
      <w:lang w:val="en-US" w:eastAsia="zh-CN" w:bidi="ar-SA"/>
    </w:rPr>
  </w:style>
  <w:style w:type="character" w:customStyle="1" w:styleId="3CharChar0">
    <w:name w:val="正文文字 3 Char Char"/>
    <w:semiHidden/>
    <w:rsid w:val="009964C3"/>
    <w:rPr>
      <w:rFonts w:eastAsia="宋体"/>
      <w:kern w:val="2"/>
      <w:sz w:val="16"/>
      <w:szCs w:val="16"/>
      <w:lang w:val="en-US" w:eastAsia="zh-CN" w:bidi="ar-SA"/>
    </w:rPr>
  </w:style>
  <w:style w:type="character" w:customStyle="1" w:styleId="Charfffffd">
    <w:name w:val="页眉 Char"/>
    <w:qFormat/>
    <w:rsid w:val="009964C3"/>
    <w:rPr>
      <w:rFonts w:ascii="宋体" w:eastAsia="宋体"/>
      <w:snapToGrid w:val="0"/>
      <w:color w:val="000000"/>
      <w:sz w:val="18"/>
      <w:szCs w:val="18"/>
      <w:lang w:val="en-US" w:eastAsia="zh-CN" w:bidi="ar-SA"/>
    </w:rPr>
  </w:style>
  <w:style w:type="character" w:customStyle="1" w:styleId="z-Char">
    <w:name w:val="z-窗体顶端 Char"/>
    <w:link w:val="z-"/>
    <w:semiHidden/>
    <w:rsid w:val="009964C3"/>
    <w:rPr>
      <w:rFonts w:ascii="Arial" w:hAnsi="Arial" w:cs="Arial"/>
      <w:vanish/>
      <w:kern w:val="2"/>
      <w:sz w:val="16"/>
      <w:szCs w:val="16"/>
    </w:rPr>
  </w:style>
  <w:style w:type="character" w:customStyle="1" w:styleId="zwb2CharChar">
    <w:name w:val="zwb_标题2 Char Char"/>
    <w:rsid w:val="009964C3"/>
    <w:rPr>
      <w:rFonts w:ascii="Arial" w:eastAsia="黑体" w:hAnsi="Arial"/>
      <w:b/>
      <w:bCs/>
      <w:kern w:val="20"/>
      <w:sz w:val="32"/>
      <w:szCs w:val="32"/>
      <w:lang w:val="en-US" w:eastAsia="zh-CN" w:bidi="ar-SA"/>
    </w:rPr>
  </w:style>
  <w:style w:type="character" w:customStyle="1" w:styleId="3Char9">
    <w:name w:val="章鸿3 Char"/>
    <w:link w:val="3b"/>
    <w:semiHidden/>
    <w:rsid w:val="009964C3"/>
    <w:rPr>
      <w:rFonts w:ascii="Arial" w:hAnsi="Arial"/>
      <w:b/>
      <w:kern w:val="20"/>
      <w:sz w:val="24"/>
      <w:szCs w:val="21"/>
    </w:rPr>
  </w:style>
  <w:style w:type="character" w:customStyle="1" w:styleId="1f8">
    <w:name w:val="占位符文本1"/>
    <w:semiHidden/>
    <w:rsid w:val="009964C3"/>
    <w:rPr>
      <w:color w:val="808080"/>
    </w:rPr>
  </w:style>
  <w:style w:type="character" w:customStyle="1" w:styleId="Charfffffe">
    <w:name w:val="图表标题 Char"/>
    <w:link w:val="affffffff6"/>
    <w:qFormat/>
    <w:rsid w:val="009964C3"/>
    <w:rPr>
      <w:rFonts w:ascii="黑体" w:eastAsia="黑体"/>
      <w:b/>
      <w:color w:val="000000"/>
      <w:kern w:val="2"/>
      <w:sz w:val="24"/>
      <w:szCs w:val="21"/>
      <w:lang w:val="en-US" w:eastAsia="zh-CN" w:bidi="ar-SA"/>
    </w:rPr>
  </w:style>
  <w:style w:type="character" w:customStyle="1" w:styleId="Charffffff">
    <w:name w:val="段落 Char"/>
    <w:link w:val="affffffff7"/>
    <w:qFormat/>
    <w:rsid w:val="009964C3"/>
    <w:rPr>
      <w:rFonts w:ascii="Arial" w:eastAsia="宋体" w:hAnsi="宋体" w:cs="Arial"/>
      <w:color w:val="000000"/>
      <w:kern w:val="24"/>
      <w:sz w:val="24"/>
      <w:szCs w:val="24"/>
      <w:lang w:val="en-US" w:eastAsia="zh-CN" w:bidi="ar-SA"/>
    </w:rPr>
  </w:style>
  <w:style w:type="character" w:customStyle="1" w:styleId="CharChar680">
    <w:name w:val="Char Char68"/>
    <w:rsid w:val="009964C3"/>
    <w:rPr>
      <w:rFonts w:ascii="Arial" w:eastAsia="黑体" w:hAnsi="Arial"/>
      <w:snapToGrid w:val="0"/>
      <w:kern w:val="24"/>
      <w:sz w:val="28"/>
      <w:lang w:val="en-US" w:eastAsia="zh-CN" w:bidi="ar-SA"/>
    </w:rPr>
  </w:style>
  <w:style w:type="character" w:customStyle="1" w:styleId="41111CharChar">
    <w:name w:val="样式 标题 4条款款标题1.1.1.1 + 黑色 Char Char"/>
    <w:semiHidden/>
    <w:rsid w:val="009964C3"/>
    <w:rPr>
      <w:rFonts w:ascii="Arial" w:eastAsia="黑体" w:hAnsi="Arial"/>
      <w:b/>
      <w:bCs/>
      <w:color w:val="000000"/>
      <w:kern w:val="2"/>
      <w:sz w:val="24"/>
      <w:szCs w:val="28"/>
      <w:lang w:bidi="ar-SA"/>
    </w:rPr>
  </w:style>
  <w:style w:type="character" w:customStyle="1" w:styleId="CharCharff5">
    <w:name w:val="表格标题 Char Char"/>
    <w:qFormat/>
    <w:rsid w:val="009964C3"/>
    <w:rPr>
      <w:rFonts w:eastAsia="宋体"/>
      <w:kern w:val="2"/>
      <w:sz w:val="21"/>
      <w:lang w:val="en-US" w:eastAsia="zh-CN" w:bidi="ar-SA"/>
    </w:rPr>
  </w:style>
  <w:style w:type="character" w:customStyle="1" w:styleId="1Charf1">
    <w:name w:val="正文样式1 Char"/>
    <w:qFormat/>
    <w:rsid w:val="009964C3"/>
    <w:rPr>
      <w:rFonts w:ascii="宋体" w:eastAsia="宋体" w:hAnsi="Courier New" w:cs="Courier New"/>
      <w:sz w:val="24"/>
      <w:szCs w:val="21"/>
      <w:lang w:val="en-US" w:eastAsia="zh-CN" w:bidi="ar-SA"/>
    </w:rPr>
  </w:style>
  <w:style w:type="character" w:customStyle="1" w:styleId="CharChar51">
    <w:name w:val="Char Char51"/>
    <w:semiHidden/>
    <w:rsid w:val="009964C3"/>
    <w:rPr>
      <w:rFonts w:ascii="黑体" w:eastAsia="黑体"/>
      <w:bCs/>
      <w:sz w:val="28"/>
      <w:lang w:val="en-US" w:eastAsia="zh-CN" w:bidi="ar-SA"/>
    </w:rPr>
  </w:style>
  <w:style w:type="character" w:customStyle="1" w:styleId="Char1ff6">
    <w:name w:val="表文字 Char1"/>
    <w:semiHidden/>
    <w:rsid w:val="009964C3"/>
    <w:rPr>
      <w:rFonts w:eastAsia="宋体"/>
      <w:sz w:val="24"/>
      <w:lang w:val="en-US" w:eastAsia="zh-CN" w:bidi="ar-SA"/>
    </w:rPr>
  </w:style>
  <w:style w:type="character" w:customStyle="1" w:styleId="Charffffff0">
    <w:name w:val="表文（桑） Char"/>
    <w:link w:val="affffffff8"/>
    <w:rsid w:val="009964C3"/>
    <w:rPr>
      <w:rFonts w:hAnsi="宋体" w:cs="宋体"/>
      <w:sz w:val="21"/>
    </w:rPr>
  </w:style>
  <w:style w:type="character" w:customStyle="1" w:styleId="Charffffff1">
    <w:name w:val="海南化工城正文 Char"/>
    <w:link w:val="affffffff9"/>
    <w:qFormat/>
    <w:rsid w:val="009964C3"/>
    <w:rPr>
      <w:rFonts w:ascii="宋体" w:eastAsia="宋体" w:hAnsi="宋体" w:cs="宋体"/>
      <w:kern w:val="2"/>
      <w:sz w:val="24"/>
      <w:szCs w:val="24"/>
      <w:lang w:val="en-US" w:eastAsia="zh-CN" w:bidi="ar-SA"/>
    </w:rPr>
  </w:style>
  <w:style w:type="character" w:customStyle="1" w:styleId="421CharChar1">
    <w:name w:val="4号黑体左空2格行距1倍 Char Char1"/>
    <w:semiHidden/>
    <w:rsid w:val="009964C3"/>
    <w:rPr>
      <w:rFonts w:ascii="黑体" w:eastAsia="黑体" w:hAnsi="Times New Roman" w:cs="Times New Roman"/>
      <w:bCs/>
      <w:kern w:val="0"/>
      <w:sz w:val="28"/>
      <w:szCs w:val="20"/>
    </w:rPr>
  </w:style>
  <w:style w:type="character" w:customStyle="1" w:styleId="2CharChar11">
    <w:name w:val="标题 2 Char Char1"/>
    <w:semiHidden/>
    <w:rsid w:val="009964C3"/>
    <w:rPr>
      <w:rFonts w:ascii="Arial" w:eastAsia="宋体" w:hAnsi="Arial"/>
      <w:kern w:val="2"/>
      <w:sz w:val="28"/>
      <w:szCs w:val="28"/>
      <w:lang w:val="en-US" w:eastAsia="zh-CN" w:bidi="ar-SA"/>
    </w:rPr>
  </w:style>
  <w:style w:type="character" w:customStyle="1" w:styleId="SChar0">
    <w:name w:val="图号S Char"/>
    <w:link w:val="S0"/>
    <w:semiHidden/>
    <w:rsid w:val="009964C3"/>
    <w:rPr>
      <w:rFonts w:ascii="Arial" w:eastAsia="仿宋_GB2312" w:hAnsi="Arial"/>
      <w:b/>
      <w:kern w:val="2"/>
      <w:sz w:val="24"/>
    </w:rPr>
  </w:style>
  <w:style w:type="character" w:customStyle="1" w:styleId="2CharChar5">
    <w:name w:val="样式2 Char Char"/>
    <w:link w:val="2f9"/>
    <w:qFormat/>
    <w:rsid w:val="009964C3"/>
    <w:rPr>
      <w:rFonts w:eastAsia="宋体"/>
      <w:sz w:val="24"/>
      <w:lang w:val="en-US" w:eastAsia="zh-CN" w:bidi="ar-SA"/>
    </w:rPr>
  </w:style>
  <w:style w:type="character" w:customStyle="1" w:styleId="CharChar111">
    <w:name w:val="Char Char111"/>
    <w:qFormat/>
    <w:rsid w:val="009964C3"/>
    <w:rPr>
      <w:rFonts w:eastAsia="宋体"/>
      <w:kern w:val="2"/>
      <w:sz w:val="18"/>
      <w:szCs w:val="18"/>
      <w:lang w:val="en-US" w:eastAsia="zh-CN" w:bidi="ar-SA"/>
    </w:rPr>
  </w:style>
  <w:style w:type="character" w:customStyle="1" w:styleId="Charffffff2">
    <w:name w:val="特点标题 Char"/>
    <w:aliases w:val="正文文字缩进 Char Char,正文文字缩进 Char1,正文文字 21 Char,正文文字缩进 31 Char,紧缩文字 Char,正文文字( 首段缩进两字） Char,正文（首行缩进两字） Char Char Char Char Char Char Char Char Char Char Char Char Char Char Char Char Char Char Char Char Char Char Char Char,正文不 Char,Body Text1 Char"/>
    <w:semiHidden/>
    <w:rsid w:val="009964C3"/>
    <w:rPr>
      <w:rFonts w:ascii="Arial" w:eastAsia="宋体" w:hAnsi="Arial"/>
      <w:kern w:val="2"/>
      <w:sz w:val="21"/>
      <w:szCs w:val="24"/>
      <w:lang w:val="en-US" w:eastAsia="zh-CN" w:bidi="ar-SA"/>
    </w:rPr>
  </w:style>
  <w:style w:type="character" w:customStyle="1" w:styleId="Char1ff7">
    <w:name w:val="正文缩进 Char1"/>
    <w:aliases w:val="正文（首行缩进两字） Char1,文本条款 Char1,正文（首行缩进两字） Char Char Char Char Char Char Char Char1,正文缩进1 Char2,表正文 Char2,正文非缩进 Char2,特点 Char2,正文（首行缩进两字） Char Char Char Char Char Char Char1,s4 Char,正文不缩进 Char,标题4 Char Char Char Char1,正文缩进 Char Char2,段1 Char"/>
    <w:qFormat/>
    <w:rsid w:val="009964C3"/>
    <w:rPr>
      <w:rFonts w:ascii="宋体" w:eastAsia="宋体" w:hAnsi="宋体"/>
      <w:b/>
      <w:color w:val="0000FF"/>
      <w:sz w:val="24"/>
      <w:szCs w:val="24"/>
      <w:lang w:val="en-US" w:eastAsia="zh-CN" w:bidi="ar-SA"/>
    </w:rPr>
  </w:style>
  <w:style w:type="character" w:customStyle="1" w:styleId="CharChar29">
    <w:name w:val="编号 Char Char2"/>
    <w:rsid w:val="009964C3"/>
    <w:rPr>
      <w:rFonts w:ascii="Arial" w:eastAsia="宋体" w:hAnsi="Arial"/>
      <w:kern w:val="2"/>
      <w:sz w:val="21"/>
      <w:lang w:val="en-US" w:eastAsia="zh-CN" w:bidi="ar-SA"/>
    </w:rPr>
  </w:style>
  <w:style w:type="character" w:customStyle="1" w:styleId="CharChar2a">
    <w:name w:val="正文文字缩进 Char Char2"/>
    <w:rsid w:val="009964C3"/>
    <w:rPr>
      <w:rFonts w:ascii="Arial" w:eastAsia="宋体" w:hAnsi="Arial"/>
      <w:kern w:val="2"/>
      <w:sz w:val="21"/>
      <w:lang w:val="en-US" w:eastAsia="zh-CN" w:bidi="ar-SA"/>
    </w:rPr>
  </w:style>
  <w:style w:type="character" w:customStyle="1" w:styleId="CharChar280">
    <w:name w:val="Char Char28"/>
    <w:basedOn w:val="af5"/>
    <w:qFormat/>
    <w:rsid w:val="009964C3"/>
  </w:style>
  <w:style w:type="character" w:customStyle="1" w:styleId="4Char110">
    <w:name w:val="标题 4 Char11"/>
    <w:aliases w:val="无效格式 Char2,无效格式1 Char2,河石管道4 Char12,H4 Char12,H41 Char12,小小节 Char12,河石管道41 Char12,H42 Char12,H411 Char12,小小节1 Char12,河石管道42 Char12,H43 Char12,H412 Char12,小小节2 Char12,段 Char12,1.1.1.1 Char12,段标题 Char12,流林 Char12,四级标题 Char12,四级标题 4 Char12"/>
    <w:semiHidden/>
    <w:rsid w:val="009964C3"/>
    <w:rPr>
      <w:rFonts w:ascii="黑体" w:eastAsia="黑体" w:hAnsi="Arial"/>
      <w:b/>
      <w:bCs/>
      <w:kern w:val="2"/>
      <w:sz w:val="24"/>
      <w:szCs w:val="24"/>
    </w:rPr>
  </w:style>
  <w:style w:type="character" w:customStyle="1" w:styleId="f14b1">
    <w:name w:val="f14b1"/>
    <w:qFormat/>
    <w:rsid w:val="009964C3"/>
    <w:rPr>
      <w:b/>
      <w:bCs/>
      <w:spacing w:val="240"/>
      <w:sz w:val="21"/>
      <w:szCs w:val="21"/>
    </w:rPr>
  </w:style>
  <w:style w:type="character" w:customStyle="1" w:styleId="4Char40">
    <w:name w:val="标题 4 Char4"/>
    <w:qFormat/>
    <w:rsid w:val="009964C3"/>
    <w:rPr>
      <w:rFonts w:ascii="黑体" w:eastAsia="黑体" w:hAnsi="Arial" w:cs="宋体"/>
      <w:bCs/>
      <w:sz w:val="24"/>
      <w:szCs w:val="24"/>
      <w:lang w:val="en-US" w:eastAsia="zh-CN" w:bidi="ar-SA"/>
    </w:rPr>
  </w:style>
  <w:style w:type="character" w:customStyle="1" w:styleId="3Char1">
    <w:name w:val="标题 3 Char1"/>
    <w:link w:val="31"/>
    <w:qFormat/>
    <w:rsid w:val="009964C3"/>
    <w:rPr>
      <w:rFonts w:eastAsia="宋体"/>
      <w:b/>
      <w:bCs/>
      <w:kern w:val="2"/>
      <w:sz w:val="32"/>
      <w:szCs w:val="32"/>
      <w:lang w:val="en-US" w:eastAsia="zh-CN" w:bidi="ar-SA"/>
    </w:rPr>
  </w:style>
  <w:style w:type="character" w:customStyle="1" w:styleId="GB23125">
    <w:name w:val="样式 仿宋_GB2312 (符号) 宋体"/>
    <w:semiHidden/>
    <w:rsid w:val="009964C3"/>
    <w:rPr>
      <w:rFonts w:ascii="仿宋_GB2312" w:eastAsia="宋体" w:hAnsi="仿宋_GB2312"/>
      <w:kern w:val="20"/>
      <w:sz w:val="21"/>
      <w:lang w:val="en-US" w:eastAsia="zh-CN" w:bidi="ar-SA"/>
    </w:rPr>
  </w:style>
  <w:style w:type="character" w:customStyle="1" w:styleId="affffffffa">
    <w:name w:val="样式 宋体 三号 红色"/>
    <w:semiHidden/>
    <w:rsid w:val="009964C3"/>
    <w:rPr>
      <w:rFonts w:ascii="宋体" w:eastAsia="宋体" w:hAnsi="宋体"/>
      <w:color w:val="FF0000"/>
      <w:kern w:val="2"/>
      <w:sz w:val="24"/>
      <w:szCs w:val="21"/>
      <w:lang w:val="en-US" w:eastAsia="zh-CN" w:bidi="ar-SA"/>
    </w:rPr>
  </w:style>
  <w:style w:type="character" w:customStyle="1" w:styleId="CharChar33">
    <w:name w:val="Char Char33"/>
    <w:semiHidden/>
    <w:rsid w:val="009964C3"/>
    <w:rPr>
      <w:rFonts w:ascii="Times New Roman" w:eastAsia="宋体" w:hAnsi="Times New Roman" w:cs="Times New Roman"/>
      <w:szCs w:val="24"/>
    </w:rPr>
  </w:style>
  <w:style w:type="character" w:customStyle="1" w:styleId="px14">
    <w:name w:val="px14"/>
    <w:rsid w:val="009964C3"/>
    <w:rPr>
      <w:rFonts w:ascii="Arial" w:eastAsia="宋体" w:hAnsi="Arial"/>
      <w:kern w:val="2"/>
      <w:sz w:val="21"/>
      <w:lang w:val="en-US" w:eastAsia="zh-CN" w:bidi="ar-SA"/>
    </w:rPr>
  </w:style>
  <w:style w:type="character" w:customStyle="1" w:styleId="Char2f5">
    <w:name w:val="燕山正文 Char2"/>
    <w:link w:val="affffffffb"/>
    <w:qFormat/>
    <w:rsid w:val="009964C3"/>
    <w:rPr>
      <w:rFonts w:ascii="宋体" w:eastAsia="宋体" w:hAnsi="宋体" w:cs="宋体"/>
      <w:bCs/>
      <w:color w:val="000000"/>
      <w:kern w:val="2"/>
      <w:sz w:val="24"/>
      <w:szCs w:val="24"/>
      <w:lang w:val="en-US" w:eastAsia="zh-CN" w:bidi="ar-SA"/>
    </w:rPr>
  </w:style>
  <w:style w:type="character" w:customStyle="1" w:styleId="CharChar49">
    <w:name w:val="Char Char49"/>
    <w:semiHidden/>
    <w:rsid w:val="009964C3"/>
    <w:rPr>
      <w:rFonts w:ascii="宋体" w:eastAsia="宋体" w:hAnsi="Arial"/>
      <w:kern w:val="2"/>
      <w:sz w:val="21"/>
      <w:szCs w:val="21"/>
      <w:lang w:val="en-US" w:eastAsia="zh-CN" w:bidi="ar-SA"/>
    </w:rPr>
  </w:style>
  <w:style w:type="character" w:customStyle="1" w:styleId="2Charf7">
    <w:name w:val="样式2 Char"/>
    <w:rsid w:val="009964C3"/>
    <w:rPr>
      <w:rFonts w:ascii="宋体" w:eastAsia="宋体" w:hAnsi="宋体"/>
      <w:kern w:val="2"/>
      <w:sz w:val="24"/>
      <w:lang w:val="en-US" w:eastAsia="zh-CN" w:bidi="ar-SA"/>
    </w:rPr>
  </w:style>
  <w:style w:type="character" w:customStyle="1" w:styleId="style11">
    <w:name w:val="style11"/>
    <w:qFormat/>
    <w:rsid w:val="009964C3"/>
    <w:rPr>
      <w:rFonts w:eastAsia="宋体"/>
      <w:color w:val="000000"/>
      <w:kern w:val="2"/>
      <w:sz w:val="21"/>
      <w:szCs w:val="24"/>
      <w:lang w:val="en-US" w:eastAsia="zh-CN" w:bidi="ar-SA"/>
    </w:rPr>
  </w:style>
  <w:style w:type="character" w:customStyle="1" w:styleId="Charffffff3">
    <w:name w:val="副标题 Char"/>
    <w:link w:val="affffffffc"/>
    <w:rsid w:val="009964C3"/>
    <w:rPr>
      <w:rFonts w:ascii="Arial" w:hAnsi="Arial" w:cs="Arial"/>
      <w:b/>
      <w:bCs/>
      <w:kern w:val="28"/>
      <w:sz w:val="32"/>
      <w:szCs w:val="32"/>
    </w:rPr>
  </w:style>
  <w:style w:type="character" w:customStyle="1" w:styleId="Char2f6">
    <w:name w:val="福建正文缩进 Char2"/>
    <w:qFormat/>
    <w:rsid w:val="009964C3"/>
    <w:rPr>
      <w:rFonts w:ascii="宋体" w:eastAsia="宋体"/>
      <w:sz w:val="24"/>
      <w:szCs w:val="24"/>
      <w:lang w:val="en-US" w:eastAsia="zh-CN" w:bidi="ar-SA"/>
    </w:rPr>
  </w:style>
  <w:style w:type="character" w:customStyle="1" w:styleId="CharChar31">
    <w:name w:val="Char Char31"/>
    <w:semiHidden/>
    <w:rsid w:val="009964C3"/>
    <w:rPr>
      <w:rFonts w:ascii="Arial" w:eastAsia="黑体" w:hAnsi="Arial" w:cs="Times New Roman"/>
      <w:b/>
      <w:bCs/>
      <w:kern w:val="2"/>
      <w:sz w:val="24"/>
      <w:szCs w:val="24"/>
      <w:lang w:val="en-US" w:eastAsia="zh-CN" w:bidi="ar-SA"/>
    </w:rPr>
  </w:style>
  <w:style w:type="character" w:customStyle="1" w:styleId="highlight1">
    <w:name w:val="highlight1"/>
    <w:semiHidden/>
    <w:rsid w:val="009964C3"/>
    <w:rPr>
      <w:rFonts w:ascii="Arial" w:eastAsia="宋体" w:hAnsi="Arial"/>
      <w:kern w:val="2"/>
      <w:sz w:val="21"/>
      <w:szCs w:val="21"/>
      <w:lang w:val="en-US" w:eastAsia="zh-CN" w:bidi="ar-SA"/>
    </w:rPr>
  </w:style>
  <w:style w:type="character" w:customStyle="1" w:styleId="Char33">
    <w:name w:val="正文首行缩进 Char3"/>
    <w:aliases w:val="正文首行缩进 Char Char Char Char Char Char Char Char Char Char Char Char Char Char Char Char Char Char Char Char Char Char Char Char1,正文首行缩进 Char Char Char Char1"/>
    <w:rsid w:val="009964C3"/>
    <w:rPr>
      <w:rFonts w:ascii="Arial" w:eastAsia="宋体" w:hAnsi="Arial"/>
      <w:kern w:val="2"/>
      <w:sz w:val="24"/>
      <w:lang w:val="en-US" w:eastAsia="zh-CN" w:bidi="ar-SA"/>
    </w:rPr>
  </w:style>
  <w:style w:type="character" w:customStyle="1" w:styleId="affffffffd">
    <w:name w:val="三级"/>
    <w:rsid w:val="009964C3"/>
    <w:rPr>
      <w:rFonts w:eastAsia="黑体"/>
      <w:b/>
      <w:bCs/>
      <w:sz w:val="28"/>
    </w:rPr>
  </w:style>
  <w:style w:type="character" w:customStyle="1" w:styleId="CharCharCharCharChar4">
    <w:name w:val="普通文字 Char Char Char Char Char"/>
    <w:rsid w:val="009964C3"/>
    <w:rPr>
      <w:rFonts w:ascii="宋体" w:eastAsia="宋体" w:hAnsi="Courier New" w:cs="Courier New"/>
      <w:kern w:val="2"/>
      <w:sz w:val="21"/>
      <w:szCs w:val="21"/>
      <w:lang w:val="en-US" w:eastAsia="zh-CN" w:bidi="ar-SA"/>
    </w:rPr>
  </w:style>
  <w:style w:type="character" w:customStyle="1" w:styleId="CharChar32">
    <w:name w:val="Char Char32"/>
    <w:semiHidden/>
    <w:rsid w:val="009964C3"/>
    <w:rPr>
      <w:rFonts w:ascii="Arial" w:eastAsia="宋体" w:hAnsi="Arial"/>
      <w:kern w:val="2"/>
      <w:sz w:val="28"/>
      <w:szCs w:val="21"/>
      <w:lang w:val="en-US" w:eastAsia="zh-CN" w:bidi="ar-SA"/>
    </w:rPr>
  </w:style>
  <w:style w:type="character" w:customStyle="1" w:styleId="w">
    <w:name w:val="w"/>
    <w:basedOn w:val="af5"/>
    <w:qFormat/>
    <w:rsid w:val="009964C3"/>
  </w:style>
  <w:style w:type="character" w:customStyle="1" w:styleId="aChar2">
    <w:name w:val="干标题(a) Char2"/>
    <w:aliases w:val="H9 Char1,table Char1,干标题(a)1 Char2,干标题(a)2 Char2,干标题(a)3 Char2,干标题(a)4 Char2,干标题(a)5 Char2,干标题(a)6 Char2,干标题(a)7 Char2,干标题(a)8 Char2,干标题(a)11 Char2,干标题(a)21 Char2,干标题(a)31 Char2,干标题(a)41 Char2,干标题(a)51 Char2,干标题(a)61 Char2,干标题(a)71 Char2"/>
    <w:rsid w:val="009964C3"/>
    <w:rPr>
      <w:rFonts w:ascii="Arial" w:eastAsia="黑体" w:hAnsi="Arial"/>
      <w:kern w:val="2"/>
      <w:sz w:val="21"/>
      <w:szCs w:val="21"/>
      <w:lang w:val="en-US" w:eastAsia="zh-CN" w:bidi="ar-SA"/>
    </w:rPr>
  </w:style>
  <w:style w:type="character" w:customStyle="1" w:styleId="z-Char0">
    <w:name w:val="z-窗体底端 Char"/>
    <w:link w:val="z-0"/>
    <w:rsid w:val="009964C3"/>
    <w:rPr>
      <w:rFonts w:ascii="Arial" w:hAnsi="Arial" w:cs="Arial"/>
      <w:vanish/>
      <w:sz w:val="16"/>
      <w:szCs w:val="16"/>
    </w:rPr>
  </w:style>
  <w:style w:type="character" w:customStyle="1" w:styleId="2CharCharChar0">
    <w:name w:val="样式 标题 2 + (西文) 宋体 四号 非加粗 Char Char Char"/>
    <w:link w:val="2CharChar6"/>
    <w:rsid w:val="009964C3"/>
    <w:rPr>
      <w:rFonts w:ascii="Arial" w:eastAsia="黑体" w:hAnsi="Arial"/>
      <w:b/>
      <w:bCs/>
      <w:kern w:val="2"/>
      <w:sz w:val="28"/>
      <w:szCs w:val="32"/>
      <w:lang w:val="en-US" w:eastAsia="zh-CN" w:bidi="ar-SA"/>
    </w:rPr>
  </w:style>
  <w:style w:type="character" w:customStyle="1" w:styleId="CharCharff6">
    <w:name w:val="正文样式 Char Char"/>
    <w:link w:val="Charffffff4"/>
    <w:qFormat/>
    <w:rsid w:val="009964C3"/>
    <w:rPr>
      <w:rFonts w:ascii="宋体" w:eastAsia="宋体" w:hAnsi="宋体"/>
      <w:color w:val="000000"/>
      <w:kern w:val="2"/>
      <w:sz w:val="24"/>
      <w:szCs w:val="24"/>
      <w:lang w:val="en-US" w:eastAsia="zh-CN" w:bidi="ar-SA"/>
    </w:rPr>
  </w:style>
  <w:style w:type="character" w:customStyle="1" w:styleId="1CharChar5">
    <w:name w:val="正文样式1 Char Char"/>
    <w:qFormat/>
    <w:rsid w:val="009964C3"/>
    <w:rPr>
      <w:rFonts w:eastAsia="宋体"/>
      <w:snapToGrid w:val="0"/>
      <w:position w:val="-12"/>
      <w:sz w:val="24"/>
      <w:szCs w:val="24"/>
      <w:lang w:val="en-US" w:eastAsia="zh-CN" w:bidi="ar-SA"/>
    </w:rPr>
  </w:style>
  <w:style w:type="character" w:customStyle="1" w:styleId="Charffffff5">
    <w:name w:val="图表目录 Char"/>
    <w:link w:val="affffffffe"/>
    <w:semiHidden/>
    <w:rsid w:val="009964C3"/>
    <w:rPr>
      <w:rFonts w:ascii="宋体" w:hAnsi="宋体" w:cs="宋体"/>
      <w:sz w:val="24"/>
      <w:szCs w:val="24"/>
    </w:rPr>
  </w:style>
  <w:style w:type="character" w:customStyle="1" w:styleId="Charffffff6">
    <w:name w:val="样式 (中文) 黑体 五号 加粗 居中 行距: 单倍行距 Char"/>
    <w:link w:val="afffffffff"/>
    <w:qFormat/>
    <w:rsid w:val="009964C3"/>
    <w:rPr>
      <w:rFonts w:eastAsia="黑体"/>
      <w:b/>
      <w:bCs/>
      <w:kern w:val="2"/>
      <w:sz w:val="21"/>
      <w:lang w:val="en-US" w:eastAsia="zh-CN" w:bidi="ar-SA"/>
    </w:rPr>
  </w:style>
  <w:style w:type="character" w:customStyle="1" w:styleId="2Char12">
    <w:name w:val="正文文本缩进 2 Char1"/>
    <w:link w:val="2fa"/>
    <w:qFormat/>
    <w:rsid w:val="009964C3"/>
    <w:rPr>
      <w:rFonts w:eastAsia="宋体"/>
      <w:kern w:val="2"/>
      <w:sz w:val="21"/>
      <w:szCs w:val="24"/>
      <w:lang w:val="en-US" w:eastAsia="zh-CN" w:bidi="ar-SA"/>
    </w:rPr>
  </w:style>
  <w:style w:type="character" w:customStyle="1" w:styleId="Char1ff8">
    <w:name w:val="正文格式 Char1"/>
    <w:qFormat/>
    <w:rsid w:val="009964C3"/>
    <w:rPr>
      <w:rFonts w:ascii="宋体" w:eastAsia="宋体" w:cs="宋体"/>
      <w:kern w:val="2"/>
      <w:sz w:val="24"/>
      <w:szCs w:val="24"/>
      <w:lang w:val="en-US" w:eastAsia="zh-CN" w:bidi="ar-SA"/>
    </w:rPr>
  </w:style>
  <w:style w:type="character" w:customStyle="1" w:styleId="2Char13">
    <w:name w:val="标题 2 Char1"/>
    <w:rsid w:val="009964C3"/>
    <w:rPr>
      <w:rFonts w:ascii="黑体" w:eastAsia="黑体" w:cs="宋体"/>
      <w:bCs/>
      <w:kern w:val="2"/>
      <w:sz w:val="30"/>
      <w:szCs w:val="30"/>
      <w:lang w:val="en-US" w:eastAsia="zh-CN" w:bidi="ar-SA"/>
    </w:rPr>
  </w:style>
  <w:style w:type="character" w:customStyle="1" w:styleId="CharChar37">
    <w:name w:val="Char Char37"/>
    <w:semiHidden/>
    <w:rsid w:val="009964C3"/>
    <w:rPr>
      <w:rFonts w:ascii="Times New Roman" w:eastAsia="宋体" w:hAnsi="Times New Roman" w:cs="Times New Roman"/>
      <w:szCs w:val="24"/>
      <w:shd w:val="clear" w:color="auto" w:fill="000080"/>
    </w:rPr>
  </w:style>
  <w:style w:type="character" w:customStyle="1" w:styleId="gCharChar0">
    <w:name w:val="g Char Char"/>
    <w:semiHidden/>
    <w:rsid w:val="009964C3"/>
    <w:rPr>
      <w:rFonts w:eastAsia="宋体"/>
      <w:kern w:val="2"/>
      <w:sz w:val="18"/>
      <w:szCs w:val="18"/>
      <w:lang w:val="en-US" w:eastAsia="zh-CN" w:bidi="ar-SA"/>
    </w:rPr>
  </w:style>
  <w:style w:type="character" w:customStyle="1" w:styleId="2Charf8">
    <w:name w:val="样式 （正文） + 首行缩进:  2 字符 Char"/>
    <w:link w:val="2fb"/>
    <w:semiHidden/>
    <w:rsid w:val="009964C3"/>
    <w:rPr>
      <w:rFonts w:ascii="Arial" w:hAnsi="Arial" w:cs="宋体"/>
      <w:kern w:val="2"/>
      <w:sz w:val="24"/>
      <w:szCs w:val="21"/>
    </w:rPr>
  </w:style>
  <w:style w:type="character" w:customStyle="1" w:styleId="ef21">
    <w:name w:val="ef21"/>
    <w:semiHidden/>
    <w:rsid w:val="009964C3"/>
    <w:rPr>
      <w:rFonts w:ascii="Verdana" w:eastAsia="宋体" w:hAnsi="Verdana" w:hint="default"/>
      <w:kern w:val="2"/>
      <w:sz w:val="18"/>
      <w:szCs w:val="18"/>
      <w:lang w:val="en-US" w:eastAsia="zh-CN" w:bidi="ar-SA"/>
    </w:rPr>
  </w:style>
  <w:style w:type="character" w:customStyle="1" w:styleId="CharChar170">
    <w:name w:val="Char Char17"/>
    <w:semiHidden/>
    <w:rsid w:val="009964C3"/>
    <w:rPr>
      <w:rFonts w:ascii="Arial" w:eastAsia="宋体" w:hAnsi="Arial"/>
      <w:kern w:val="2"/>
      <w:sz w:val="18"/>
      <w:szCs w:val="18"/>
      <w:lang w:val="en-US" w:eastAsia="zh-CN" w:bidi="ar-SA"/>
    </w:rPr>
  </w:style>
  <w:style w:type="character" w:customStyle="1" w:styleId="cucd-TBChar">
    <w:name w:val="cucd-TB Char"/>
    <w:link w:val="cucd-TB"/>
    <w:rsid w:val="009964C3"/>
    <w:rPr>
      <w:kern w:val="2"/>
      <w:sz w:val="21"/>
      <w:szCs w:val="24"/>
      <w:lang w:val="en-US" w:eastAsia="zh-CN" w:bidi="ar-SA"/>
    </w:rPr>
  </w:style>
  <w:style w:type="character" w:customStyle="1" w:styleId="Charffffff7">
    <w:name w:val="段 Char"/>
    <w:aliases w:val="标题 3 Char Char2,条标题1.1.1 Char1,小标题 Char1,H3 Char1,二级节名 Char1,h3 Char1,3rd level Char1,b3 Char,H31 Char1,H32 Char1,H33 Char1,u3 Char1,H311 Char,H321 Char,H34 Char,H35 Char,H36 Char,H37 Char,H38 Char,H39 Char"/>
    <w:qFormat/>
    <w:rsid w:val="009964C3"/>
    <w:rPr>
      <w:rFonts w:ascii="Arial" w:eastAsia="黑体" w:hAnsi="Arial" w:cs="宋体"/>
      <w:b/>
      <w:bCs/>
      <w:kern w:val="2"/>
      <w:sz w:val="24"/>
      <w:szCs w:val="24"/>
      <w:lang w:val="en-US" w:eastAsia="zh-CN" w:bidi="ar-SA"/>
    </w:rPr>
  </w:style>
  <w:style w:type="character" w:customStyle="1" w:styleId="CharChar290">
    <w:name w:val="Char Char29"/>
    <w:semiHidden/>
    <w:rsid w:val="009964C3"/>
    <w:rPr>
      <w:rFonts w:ascii="Arial" w:eastAsia="仿宋_GB2312" w:hAnsi="Arial"/>
      <w:kern w:val="2"/>
      <w:sz w:val="18"/>
      <w:szCs w:val="18"/>
      <w:lang w:val="en-US" w:eastAsia="zh-CN" w:bidi="ar-SA"/>
    </w:rPr>
  </w:style>
  <w:style w:type="character" w:customStyle="1" w:styleId="cucd-3Char">
    <w:name w:val="cucd-3 Char"/>
    <w:link w:val="cucd-3"/>
    <w:rsid w:val="009964C3"/>
    <w:rPr>
      <w:rFonts w:hAnsi="宋体"/>
      <w:kern w:val="2"/>
      <w:sz w:val="24"/>
      <w:szCs w:val="24"/>
      <w:lang w:val="en-US" w:eastAsia="zh-CN" w:bidi="ar-SA"/>
    </w:rPr>
  </w:style>
  <w:style w:type="character" w:customStyle="1" w:styleId="GCharChar1">
    <w:name w:val="段落(G) Char Char"/>
    <w:rsid w:val="009964C3"/>
    <w:rPr>
      <w:rFonts w:eastAsia="宋体"/>
      <w:color w:val="000000"/>
      <w:kern w:val="24"/>
      <w:sz w:val="24"/>
      <w:szCs w:val="24"/>
      <w:lang w:val="zh-CN" w:eastAsia="zh-CN" w:bidi="ar-SA"/>
    </w:rPr>
  </w:style>
  <w:style w:type="character" w:customStyle="1" w:styleId="lyChar0">
    <w:name w:val="ly正常段落 Char"/>
    <w:link w:val="ly0"/>
    <w:semiHidden/>
    <w:rsid w:val="009964C3"/>
    <w:rPr>
      <w:kern w:val="24"/>
      <w:sz w:val="24"/>
      <w:szCs w:val="24"/>
    </w:rPr>
  </w:style>
  <w:style w:type="character" w:customStyle="1" w:styleId="bhChar">
    <w:name w:val="bh Char"/>
    <w:semiHidden/>
    <w:rsid w:val="009964C3"/>
    <w:rPr>
      <w:rFonts w:ascii="宋体" w:eastAsia="宋体" w:hAnsi="宋体"/>
      <w:b/>
      <w:bCs/>
      <w:kern w:val="2"/>
      <w:sz w:val="28"/>
      <w:szCs w:val="28"/>
      <w:lang w:val="en-US" w:eastAsia="zh-CN" w:bidi="ar-SA"/>
    </w:rPr>
  </w:style>
  <w:style w:type="character" w:customStyle="1" w:styleId="hxtj3">
    <w:name w:val="hxtj3"/>
    <w:rsid w:val="009964C3"/>
    <w:rPr>
      <w:color w:val="000000"/>
      <w:sz w:val="18"/>
      <w:szCs w:val="18"/>
      <w:u w:val="none"/>
    </w:rPr>
  </w:style>
  <w:style w:type="character" w:customStyle="1" w:styleId="afffffffff0">
    <w:name w:val="样式 宋体 小五"/>
    <w:qFormat/>
    <w:rsid w:val="009964C3"/>
    <w:rPr>
      <w:rFonts w:ascii="宋体" w:eastAsia="宋体" w:hAnsi="宋体"/>
      <w:spacing w:val="0"/>
      <w:kern w:val="0"/>
      <w:position w:val="6"/>
      <w:sz w:val="18"/>
    </w:rPr>
  </w:style>
  <w:style w:type="character" w:customStyle="1" w:styleId="GCharChar2">
    <w:name w:val="鑫裕段落(G) Char Char"/>
    <w:link w:val="G2"/>
    <w:rsid w:val="009964C3"/>
    <w:rPr>
      <w:color w:val="000000"/>
      <w:kern w:val="24"/>
      <w:sz w:val="24"/>
      <w:szCs w:val="24"/>
      <w:lang w:val="zh-CN" w:eastAsia="zh-CN"/>
    </w:rPr>
  </w:style>
  <w:style w:type="character" w:customStyle="1" w:styleId="111111Char3">
    <w:name w:val="标题1.1.1.1.1.1 Char3"/>
    <w:aliases w:val="标题 6（修改） Char3,图 Char3,编号正文 Char3,第五层条 Char1,H6 Char2,sub-dash Char1,sd Char1,标题 6表内文字(小四) Char2,H61 Char1,标题5 Char1,二级项 Char3,无节 Char3,标题6，6级标题，小四中宋粗，无序号 Char3,标题8 Char3,二级项1 Char3,无节1 Char3,标题6，6级标题，小四中宋粗，无序号1 Char3,标题81 Char3"/>
    <w:rsid w:val="009964C3"/>
    <w:rPr>
      <w:rFonts w:ascii="Arial" w:eastAsia="宋体" w:hAnsi="Arial"/>
      <w:b/>
      <w:spacing w:val="-4"/>
      <w:kern w:val="20"/>
      <w:sz w:val="18"/>
      <w:szCs w:val="24"/>
      <w:lang w:val="en-US" w:eastAsia="zh-CN" w:bidi="ar-SA"/>
    </w:rPr>
  </w:style>
  <w:style w:type="character" w:customStyle="1" w:styleId="3CharChar2">
    <w:name w:val="正文文字 3 Char Char2"/>
    <w:semiHidden/>
    <w:rsid w:val="009964C3"/>
    <w:rPr>
      <w:rFonts w:eastAsia="宋体"/>
      <w:kern w:val="2"/>
      <w:sz w:val="16"/>
      <w:szCs w:val="16"/>
      <w:lang w:val="en-US" w:eastAsia="zh-CN" w:bidi="ar-SA"/>
    </w:rPr>
  </w:style>
  <w:style w:type="character" w:customStyle="1" w:styleId="33333333333333333333Char">
    <w:name w:val="33333333333333333333 Char"/>
    <w:link w:val="33333333333333333333"/>
    <w:qFormat/>
    <w:rsid w:val="009964C3"/>
    <w:rPr>
      <w:rFonts w:eastAsia="宋体"/>
      <w:sz w:val="21"/>
      <w:szCs w:val="21"/>
      <w:shd w:val="clear" w:color="auto" w:fill="FFFFFF"/>
      <w:lang w:val="en-US" w:eastAsia="zh-CN" w:bidi="ar-SA"/>
    </w:rPr>
  </w:style>
  <w:style w:type="character" w:customStyle="1" w:styleId="font21">
    <w:name w:val="font21"/>
    <w:rsid w:val="009964C3"/>
    <w:rPr>
      <w:rFonts w:eastAsia="宋体"/>
      <w:color w:val="5F5F5F"/>
      <w:spacing w:val="20"/>
      <w:kern w:val="2"/>
      <w:sz w:val="19"/>
      <w:lang w:val="en-US" w:eastAsia="zh-CN" w:bidi="ar-SA"/>
    </w:rPr>
  </w:style>
  <w:style w:type="character" w:customStyle="1" w:styleId="style51">
    <w:name w:val="style51"/>
    <w:semiHidden/>
    <w:rsid w:val="009964C3"/>
    <w:rPr>
      <w:rFonts w:ascii="Arial" w:eastAsia="宋体" w:hAnsi="Arial"/>
      <w:kern w:val="2"/>
      <w:sz w:val="22"/>
      <w:szCs w:val="22"/>
      <w:lang w:val="en-US" w:eastAsia="zh-CN" w:bidi="ar-SA"/>
    </w:rPr>
  </w:style>
  <w:style w:type="character" w:customStyle="1" w:styleId="CR-Char2">
    <w:name w:val="CR-表头 Char"/>
    <w:link w:val="CR-2"/>
    <w:semiHidden/>
    <w:rsid w:val="009964C3"/>
    <w:rPr>
      <w:rFonts w:ascii="Calibri" w:eastAsia="黑体" w:hAnsi="Calibri"/>
      <w:kern w:val="2"/>
      <w:sz w:val="24"/>
      <w:szCs w:val="22"/>
    </w:rPr>
  </w:style>
  <w:style w:type="character" w:customStyle="1" w:styleId="CharChar58">
    <w:name w:val="Char Char58"/>
    <w:semiHidden/>
    <w:rsid w:val="009964C3"/>
    <w:rPr>
      <w:rFonts w:eastAsia="宋体"/>
      <w:kern w:val="2"/>
      <w:sz w:val="18"/>
      <w:szCs w:val="18"/>
      <w:lang w:val="en-US" w:eastAsia="zh-CN" w:bidi="ar-SA"/>
    </w:rPr>
  </w:style>
  <w:style w:type="character" w:customStyle="1" w:styleId="CharChar230">
    <w:name w:val="Char Char23"/>
    <w:semiHidden/>
    <w:rsid w:val="009964C3"/>
    <w:rPr>
      <w:rFonts w:ascii="Arial" w:eastAsia="仿宋_GB2312" w:hAnsi="Arial"/>
      <w:kern w:val="2"/>
      <w:sz w:val="28"/>
      <w:szCs w:val="21"/>
      <w:lang w:val="en-US" w:eastAsia="zh-CN" w:bidi="ar-SA"/>
    </w:rPr>
  </w:style>
  <w:style w:type="character" w:customStyle="1" w:styleId="style181">
    <w:name w:val="style181"/>
    <w:qFormat/>
    <w:rsid w:val="009964C3"/>
    <w:rPr>
      <w:sz w:val="24"/>
      <w:szCs w:val="24"/>
    </w:rPr>
  </w:style>
  <w:style w:type="character" w:customStyle="1" w:styleId="CharCharCharCharCharCharChar">
    <w:name w:val="样式 题注 + 居中 Char Char Char Char Char Char Char"/>
    <w:qFormat/>
    <w:rsid w:val="009964C3"/>
    <w:rPr>
      <w:rFonts w:ascii="Arial" w:eastAsia="黑体" w:hAnsi="Arial" w:cs="宋体"/>
      <w:kern w:val="2"/>
      <w:sz w:val="24"/>
      <w:szCs w:val="24"/>
      <w:lang w:val="en-US" w:eastAsia="zh-CN" w:bidi="ar-SA"/>
    </w:rPr>
  </w:style>
  <w:style w:type="character" w:customStyle="1" w:styleId="1f9">
    <w:name w:val="不明显强调1"/>
    <w:qFormat/>
    <w:rsid w:val="009964C3"/>
    <w:rPr>
      <w:i/>
      <w:iCs/>
      <w:color w:val="808080"/>
    </w:rPr>
  </w:style>
  <w:style w:type="character" w:customStyle="1" w:styleId="2CharCharCharCharCharCharCharChar">
    <w:name w:val="正文首行缩进 2 Char Char Char Char Char Char Char Char"/>
    <w:semiHidden/>
    <w:rsid w:val="009964C3"/>
    <w:rPr>
      <w:rFonts w:ascii="Arial" w:eastAsia="楷体_GB2312" w:hAnsi="Arial"/>
      <w:kern w:val="2"/>
      <w:sz w:val="28"/>
      <w:szCs w:val="24"/>
      <w:lang w:val="en-US" w:eastAsia="zh-CN" w:bidi="ar-SA"/>
    </w:rPr>
  </w:style>
  <w:style w:type="character" w:customStyle="1" w:styleId="Charffffff8">
    <w:name w:val="（正文） Char"/>
    <w:link w:val="afffffffff1"/>
    <w:semiHidden/>
    <w:rsid w:val="009964C3"/>
    <w:rPr>
      <w:rFonts w:ascii="Arial" w:hAnsi="Arial"/>
      <w:kern w:val="2"/>
      <w:sz w:val="24"/>
      <w:szCs w:val="21"/>
    </w:rPr>
  </w:style>
  <w:style w:type="character" w:customStyle="1" w:styleId="Charffffff9">
    <w:name w:val="表格文字居中 Char"/>
    <w:qFormat/>
    <w:rsid w:val="009964C3"/>
    <w:rPr>
      <w:rFonts w:ascii="宋体" w:eastAsia="宋体" w:hAnsi="宋体" w:cs="宋体"/>
      <w:kern w:val="2"/>
      <w:sz w:val="24"/>
      <w:szCs w:val="24"/>
      <w:lang w:val="en-US" w:eastAsia="zh-CN"/>
    </w:rPr>
  </w:style>
  <w:style w:type="character" w:customStyle="1" w:styleId="4Char">
    <w:name w:val="标题 4 Char"/>
    <w:link w:val="43"/>
    <w:qFormat/>
    <w:rsid w:val="009964C3"/>
    <w:rPr>
      <w:rFonts w:ascii="Arial" w:eastAsia="黑体" w:hAnsi="Arial"/>
      <w:b/>
      <w:bCs/>
      <w:kern w:val="2"/>
      <w:sz w:val="28"/>
      <w:szCs w:val="28"/>
      <w:lang w:val="en-US" w:eastAsia="zh-CN" w:bidi="ar-SA"/>
    </w:rPr>
  </w:style>
  <w:style w:type="character" w:customStyle="1" w:styleId="5Char30">
    <w:name w:val="表内5 Char3"/>
    <w:rsid w:val="009964C3"/>
    <w:rPr>
      <w:rFonts w:ascii="宋体" w:eastAsia="宋体"/>
      <w:color w:val="000000"/>
      <w:kern w:val="2"/>
      <w:sz w:val="21"/>
      <w:szCs w:val="21"/>
      <w:lang w:val="en-US" w:eastAsia="zh-CN" w:bidi="ar-SA"/>
    </w:rPr>
  </w:style>
  <w:style w:type="character" w:customStyle="1" w:styleId="2CharChar30">
    <w:name w:val="正文文字缩进 2 Char Char3"/>
    <w:rsid w:val="009964C3"/>
    <w:rPr>
      <w:rFonts w:ascii="宋体" w:eastAsia="宋体" w:hAnsi="宋体"/>
      <w:kern w:val="2"/>
      <w:sz w:val="24"/>
      <w:lang w:val="en-US" w:eastAsia="zh-CN" w:bidi="ar-SA"/>
    </w:rPr>
  </w:style>
  <w:style w:type="character" w:customStyle="1" w:styleId="2Charf9">
    <w:name w:val="正文2 Char"/>
    <w:link w:val="2fc"/>
    <w:qFormat/>
    <w:rsid w:val="009964C3"/>
    <w:rPr>
      <w:spacing w:val="18"/>
      <w:sz w:val="32"/>
      <w:lang w:val="en-US" w:eastAsia="zh-CN" w:bidi="ar-SA"/>
    </w:rPr>
  </w:style>
  <w:style w:type="character" w:customStyle="1" w:styleId="3Char11">
    <w:name w:val="正文文本 3 Char1"/>
    <w:link w:val="3c"/>
    <w:qFormat/>
    <w:rsid w:val="009964C3"/>
    <w:rPr>
      <w:rFonts w:eastAsia="宋体"/>
      <w:kern w:val="2"/>
      <w:sz w:val="16"/>
      <w:szCs w:val="16"/>
      <w:lang w:val="en-US" w:eastAsia="zh-CN" w:bidi="ar-SA"/>
    </w:rPr>
  </w:style>
  <w:style w:type="character" w:customStyle="1" w:styleId="Footer1CharChar2">
    <w:name w:val="Footer1 Char Char2"/>
    <w:rsid w:val="009964C3"/>
    <w:rPr>
      <w:rFonts w:eastAsia="宋体"/>
      <w:kern w:val="2"/>
      <w:sz w:val="18"/>
      <w:szCs w:val="18"/>
      <w:lang w:val="en-US" w:eastAsia="zh-CN" w:bidi="ar-SA"/>
    </w:rPr>
  </w:style>
  <w:style w:type="character" w:customStyle="1" w:styleId="Charffffffa">
    <w:name w:val="纯文本 Char"/>
    <w:link w:val="afffffffff2"/>
    <w:qFormat/>
    <w:rsid w:val="009964C3"/>
    <w:rPr>
      <w:rFonts w:ascii="宋体" w:eastAsia="宋体" w:hAnsi="Courier New" w:cs="Courier New"/>
      <w:kern w:val="2"/>
      <w:sz w:val="21"/>
      <w:szCs w:val="21"/>
      <w:lang w:val="en-US" w:eastAsia="zh-CN" w:bidi="ar-SA"/>
    </w:rPr>
  </w:style>
  <w:style w:type="character" w:customStyle="1" w:styleId="Job">
    <w:name w:val="Job"/>
    <w:basedOn w:val="af5"/>
    <w:rsid w:val="009964C3"/>
  </w:style>
  <w:style w:type="character" w:customStyle="1" w:styleId="ENFICharChar0">
    <w:name w:val="ENFI正文 Char Char"/>
    <w:link w:val="ENFI1"/>
    <w:rsid w:val="009964C3"/>
    <w:rPr>
      <w:rFonts w:eastAsia="仿宋_GB2312"/>
      <w:snapToGrid w:val="0"/>
      <w:color w:val="000000"/>
      <w:sz w:val="28"/>
    </w:rPr>
  </w:style>
  <w:style w:type="character" w:customStyle="1" w:styleId="CharChar1c">
    <w:name w:val="Char Char1"/>
    <w:locked/>
    <w:rsid w:val="009964C3"/>
    <w:rPr>
      <w:rFonts w:eastAsia="宋体"/>
      <w:bCs/>
      <w:spacing w:val="34"/>
      <w:kern w:val="2"/>
      <w:sz w:val="24"/>
      <w:szCs w:val="28"/>
      <w:lang w:val="en-US" w:eastAsia="zh-CN" w:bidi="ar-SA"/>
    </w:rPr>
  </w:style>
  <w:style w:type="character" w:customStyle="1" w:styleId="CharCharCharCharCharCharCharCharCharChar">
    <w:name w:val="Char Char Char Char Char Char Char Char Char Char"/>
    <w:semiHidden/>
    <w:rsid w:val="009964C3"/>
    <w:rPr>
      <w:rFonts w:ascii="宋体" w:eastAsia="宋体" w:hAnsi="Courier New" w:cs="Courier New"/>
      <w:kern w:val="2"/>
      <w:sz w:val="21"/>
      <w:szCs w:val="21"/>
      <w:lang w:val="en-US" w:eastAsia="zh-CN" w:bidi="ar-SA"/>
    </w:rPr>
  </w:style>
  <w:style w:type="character" w:customStyle="1" w:styleId="HTMLChar0">
    <w:name w:val="HTML 地址 Char"/>
    <w:semiHidden/>
    <w:qFormat/>
    <w:rsid w:val="009964C3"/>
    <w:rPr>
      <w:rFonts w:ascii="Times New Roman" w:eastAsia="宋体" w:hAnsi="Times New Roman" w:cs="Times New Roman"/>
      <w:i/>
      <w:iCs/>
      <w:szCs w:val="24"/>
    </w:rPr>
  </w:style>
  <w:style w:type="character" w:customStyle="1" w:styleId="Charffffffb">
    <w:name w:val="表格文字 Char"/>
    <w:locked/>
    <w:rsid w:val="009964C3"/>
    <w:rPr>
      <w:rFonts w:ascii="宋体" w:eastAsia="宋体" w:hAnsi="Courier New" w:cs="Courier New"/>
      <w:kern w:val="2"/>
      <w:sz w:val="21"/>
      <w:szCs w:val="21"/>
      <w:lang w:val="en-US" w:eastAsia="zh-CN" w:bidi="ar-SA"/>
    </w:rPr>
  </w:style>
  <w:style w:type="character" w:customStyle="1" w:styleId="CharCharff7">
    <w:name w:val="表标题 Char Char"/>
    <w:rsid w:val="009964C3"/>
    <w:rPr>
      <w:rFonts w:eastAsia="宋体-18030"/>
      <w:b/>
      <w:kern w:val="2"/>
      <w:sz w:val="28"/>
      <w:szCs w:val="28"/>
      <w:lang w:val="en-US" w:eastAsia="zh-CN" w:bidi="ar-SA"/>
    </w:rPr>
  </w:style>
  <w:style w:type="character" w:customStyle="1" w:styleId="GB23126">
    <w:name w:val="样式 楷体_GB2312 小四"/>
    <w:qFormat/>
    <w:rsid w:val="009964C3"/>
    <w:rPr>
      <w:rFonts w:ascii="楷体_GB2312" w:eastAsia="宋体" w:hAnsi="楷体_GB2312"/>
      <w:sz w:val="24"/>
    </w:rPr>
  </w:style>
  <w:style w:type="character" w:customStyle="1" w:styleId="Char05Char">
    <w:name w:val="样式 表格文字 Char + 段前: 0.5 行 Char"/>
    <w:link w:val="Char05"/>
    <w:semiHidden/>
    <w:rsid w:val="009964C3"/>
    <w:rPr>
      <w:kern w:val="2"/>
      <w:sz w:val="24"/>
    </w:rPr>
  </w:style>
  <w:style w:type="character" w:customStyle="1" w:styleId="2TimesNewRomanChar2">
    <w:name w:val="样式 标题 2 + Times New Roman Char"/>
    <w:link w:val="2TimesNewRoman1"/>
    <w:semiHidden/>
    <w:rsid w:val="009964C3"/>
    <w:rPr>
      <w:rFonts w:eastAsia="黑体"/>
      <w:bCs/>
      <w:kern w:val="2"/>
      <w:sz w:val="28"/>
      <w:szCs w:val="32"/>
    </w:rPr>
  </w:style>
  <w:style w:type="character" w:customStyle="1" w:styleId="Charffffffc">
    <w:name w:val="表格内容 Char"/>
    <w:aliases w:val="普通文字 Char Char Char1,纯文本 Char Char Char Char Char1,纯文本 Char Char Char Char Char Char,纯文本1 Char,普通文字 Char Char2,普通文字 Char Char Char2,纯文本 Char1 Char"/>
    <w:qFormat/>
    <w:rsid w:val="009964C3"/>
    <w:rPr>
      <w:rFonts w:ascii="Arial" w:eastAsia="仿宋_GB2312" w:hAnsi="Arial"/>
      <w:sz w:val="24"/>
      <w:lang w:bidi="ar-SA"/>
    </w:rPr>
  </w:style>
  <w:style w:type="character" w:customStyle="1" w:styleId="Charffffffd">
    <w:name w:val="表格标题 Char"/>
    <w:aliases w:val="文本条款 Char,标题4 Char Char Char Char,Plain Text Char1 Char,Plain Text Char Char Char,Plain Text Char Char1,Plain Text Char2 Char1,Plain Text Char2 Char Char,Plain Text Char1 Char Char Char,正文（首行缩进两字） Char Char Char Char Char Char Char Char,s4 Cha"/>
    <w:link w:val="afffffffff3"/>
    <w:rsid w:val="009964C3"/>
    <w:rPr>
      <w:rFonts w:ascii="宋体" w:eastAsia="宋体" w:hAnsi="Arial" w:cs="Arial"/>
      <w:bCs/>
      <w:sz w:val="28"/>
      <w:lang w:val="en-US" w:eastAsia="zh-CN" w:bidi="ar-SA"/>
    </w:rPr>
  </w:style>
  <w:style w:type="character" w:customStyle="1" w:styleId="CharCharChar6">
    <w:name w:val="正文（首行缩进两字） Char Char Char"/>
    <w:aliases w:val="标题四 Char1,表正文 Char1,正文非缩进 Char1,段1 Char1,正文缩进1 Char1,特点 Char1,正文不缩进 Char1"/>
    <w:qFormat/>
    <w:rsid w:val="009964C3"/>
    <w:rPr>
      <w:rFonts w:eastAsia="宋体"/>
      <w:kern w:val="2"/>
      <w:sz w:val="21"/>
      <w:lang w:val="en-US" w:eastAsia="zh-CN" w:bidi="ar-SA"/>
    </w:rPr>
  </w:style>
  <w:style w:type="character" w:customStyle="1" w:styleId="1CharChar6">
    <w:name w:val="正缩1 Char Char"/>
    <w:rsid w:val="009964C3"/>
    <w:rPr>
      <w:rFonts w:eastAsia="仿宋_GB2312"/>
      <w:snapToGrid w:val="0"/>
      <w:color w:val="000000"/>
      <w:kern w:val="2"/>
      <w:sz w:val="28"/>
      <w:lang w:val="en-US" w:eastAsia="zh-CN" w:bidi="ar-SA"/>
    </w:rPr>
  </w:style>
  <w:style w:type="character" w:customStyle="1" w:styleId="p9">
    <w:name w:val="p9"/>
    <w:basedOn w:val="af5"/>
    <w:semiHidden/>
    <w:qFormat/>
    <w:rsid w:val="009964C3"/>
  </w:style>
  <w:style w:type="character" w:customStyle="1" w:styleId="Charffffffe">
    <w:name w:val="签名 Char"/>
    <w:semiHidden/>
    <w:qFormat/>
    <w:rsid w:val="009964C3"/>
    <w:rPr>
      <w:rFonts w:ascii="Times New Roman" w:eastAsia="宋体" w:hAnsi="Times New Roman" w:cs="Times New Roman"/>
      <w:szCs w:val="24"/>
    </w:rPr>
  </w:style>
  <w:style w:type="character" w:customStyle="1" w:styleId="CharChar250">
    <w:name w:val="Char Char25"/>
    <w:rsid w:val="009964C3"/>
    <w:rPr>
      <w:rFonts w:eastAsia="仿宋_GB2312"/>
      <w:kern w:val="2"/>
      <w:sz w:val="28"/>
    </w:rPr>
  </w:style>
  <w:style w:type="character" w:customStyle="1" w:styleId="3CharChar1">
    <w:name w:val="正文文字 3 Char Char1"/>
    <w:semiHidden/>
    <w:rsid w:val="009964C3"/>
    <w:rPr>
      <w:rFonts w:eastAsia="宋体"/>
      <w:kern w:val="2"/>
      <w:sz w:val="16"/>
      <w:szCs w:val="16"/>
      <w:lang w:val="en-US" w:eastAsia="zh-CN" w:bidi="ar-SA"/>
    </w:rPr>
  </w:style>
  <w:style w:type="character" w:customStyle="1" w:styleId="CharCharff8">
    <w:name w:val="表格 Char Char"/>
    <w:semiHidden/>
    <w:rsid w:val="009964C3"/>
    <w:rPr>
      <w:rFonts w:ascii="Arial Unicode MS" w:eastAsia="宋体" w:hAnsi="Arial Unicode MS"/>
      <w:kern w:val="2"/>
      <w:sz w:val="21"/>
      <w:szCs w:val="21"/>
      <w:lang w:val="en-US" w:eastAsia="zh-CN" w:bidi="ar-SA"/>
    </w:rPr>
  </w:style>
  <w:style w:type="character" w:customStyle="1" w:styleId="gChar10">
    <w:name w:val="g Char1"/>
    <w:aliases w:val="even Char1,页眉，DHCC 公司页眉 Char1,ITTHEADER Char Char1"/>
    <w:semiHidden/>
    <w:rsid w:val="009964C3"/>
    <w:rPr>
      <w:rFonts w:eastAsia="宋体"/>
      <w:kern w:val="2"/>
      <w:sz w:val="18"/>
      <w:lang w:val="en-US" w:eastAsia="zh-CN" w:bidi="ar-SA"/>
    </w:rPr>
  </w:style>
  <w:style w:type="paragraph" w:styleId="afffffffff4">
    <w:name w:val="envelope address"/>
    <w:basedOn w:val="af3"/>
    <w:rsid w:val="009964C3"/>
    <w:pPr>
      <w:framePr w:w="7920" w:h="1980" w:hRule="exact" w:hSpace="180" w:wrap="around" w:hAnchor="page" w:xAlign="center" w:yAlign="bottom"/>
      <w:snapToGrid w:val="0"/>
      <w:ind w:leftChars="1400" w:left="100"/>
    </w:pPr>
    <w:rPr>
      <w:rFonts w:ascii="Arial" w:hAnsi="Arial" w:cs="Arial"/>
      <w:sz w:val="24"/>
    </w:rPr>
  </w:style>
  <w:style w:type="paragraph" w:styleId="40">
    <w:name w:val="List Bullet 4"/>
    <w:basedOn w:val="af3"/>
    <w:rsid w:val="009964C3"/>
    <w:pPr>
      <w:numPr>
        <w:numId w:val="1"/>
      </w:numPr>
      <w:tabs>
        <w:tab w:val="left" w:pos="1620"/>
      </w:tabs>
    </w:pPr>
    <w:rPr>
      <w:sz w:val="24"/>
      <w:szCs w:val="20"/>
    </w:rPr>
  </w:style>
  <w:style w:type="paragraph" w:styleId="2">
    <w:name w:val="List Number 2"/>
    <w:basedOn w:val="af3"/>
    <w:rsid w:val="009964C3"/>
    <w:pPr>
      <w:numPr>
        <w:numId w:val="2"/>
      </w:numPr>
      <w:tabs>
        <w:tab w:val="left" w:pos="780"/>
      </w:tabs>
    </w:pPr>
    <w:rPr>
      <w:sz w:val="24"/>
      <w:szCs w:val="20"/>
    </w:rPr>
  </w:style>
  <w:style w:type="paragraph" w:styleId="3d">
    <w:name w:val="List 3"/>
    <w:basedOn w:val="af3"/>
    <w:qFormat/>
    <w:rsid w:val="009964C3"/>
    <w:pPr>
      <w:ind w:leftChars="400" w:left="100" w:hangingChars="200" w:hanging="200"/>
    </w:pPr>
    <w:rPr>
      <w:sz w:val="24"/>
      <w:szCs w:val="20"/>
    </w:rPr>
  </w:style>
  <w:style w:type="paragraph" w:styleId="af4">
    <w:name w:val="Normal Indent"/>
    <w:basedOn w:val="af3"/>
    <w:link w:val="Char6"/>
    <w:qFormat/>
    <w:rsid w:val="009964C3"/>
    <w:pPr>
      <w:ind w:firstLineChars="200" w:firstLine="420"/>
    </w:pPr>
    <w:rPr>
      <w:szCs w:val="21"/>
    </w:rPr>
  </w:style>
  <w:style w:type="paragraph" w:styleId="afffffffff5">
    <w:name w:val="toa heading"/>
    <w:basedOn w:val="af3"/>
    <w:next w:val="af3"/>
    <w:semiHidden/>
    <w:qFormat/>
    <w:rsid w:val="009964C3"/>
    <w:pPr>
      <w:spacing w:before="120"/>
    </w:pPr>
    <w:rPr>
      <w:rFonts w:ascii="Arial" w:hAnsi="Arial" w:cs="Arial"/>
      <w:sz w:val="24"/>
    </w:rPr>
  </w:style>
  <w:style w:type="paragraph" w:styleId="5b">
    <w:name w:val="index 5"/>
    <w:basedOn w:val="af3"/>
    <w:next w:val="af3"/>
    <w:semiHidden/>
    <w:rsid w:val="009964C3"/>
    <w:pPr>
      <w:ind w:leftChars="800" w:left="800"/>
    </w:pPr>
    <w:rPr>
      <w:sz w:val="24"/>
      <w:szCs w:val="20"/>
    </w:rPr>
  </w:style>
  <w:style w:type="paragraph" w:styleId="afffc">
    <w:name w:val="E-mail Signature"/>
    <w:basedOn w:val="af3"/>
    <w:link w:val="Char15"/>
    <w:rsid w:val="009964C3"/>
    <w:rPr>
      <w:sz w:val="24"/>
      <w:szCs w:val="20"/>
    </w:rPr>
  </w:style>
  <w:style w:type="paragraph" w:styleId="affffff8">
    <w:name w:val="macro"/>
    <w:link w:val="Char1f7"/>
    <w:semiHidden/>
    <w:rsid w:val="009964C3"/>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71">
    <w:name w:val="toc 7"/>
    <w:basedOn w:val="af3"/>
    <w:next w:val="af3"/>
    <w:uiPriority w:val="39"/>
    <w:rsid w:val="009964C3"/>
    <w:pPr>
      <w:ind w:left="1260"/>
      <w:jc w:val="left"/>
    </w:pPr>
    <w:rPr>
      <w:sz w:val="18"/>
      <w:szCs w:val="18"/>
    </w:rPr>
  </w:style>
  <w:style w:type="paragraph" w:styleId="affff7">
    <w:name w:val="Document Map"/>
    <w:basedOn w:val="af3"/>
    <w:link w:val="Charff8"/>
    <w:semiHidden/>
    <w:rsid w:val="009964C3"/>
    <w:pPr>
      <w:shd w:val="clear" w:color="auto" w:fill="000080"/>
    </w:pPr>
  </w:style>
  <w:style w:type="paragraph" w:styleId="afff2">
    <w:name w:val="caption"/>
    <w:basedOn w:val="af3"/>
    <w:next w:val="af3"/>
    <w:link w:val="Char23"/>
    <w:qFormat/>
    <w:rsid w:val="009964C3"/>
    <w:rPr>
      <w:rFonts w:ascii="Arial" w:eastAsia="黑体" w:hAnsi="Arial" w:cs="Arial"/>
      <w:sz w:val="20"/>
      <w:szCs w:val="20"/>
    </w:rPr>
  </w:style>
  <w:style w:type="paragraph" w:styleId="81">
    <w:name w:val="index 8"/>
    <w:basedOn w:val="af3"/>
    <w:next w:val="af3"/>
    <w:semiHidden/>
    <w:rsid w:val="009964C3"/>
    <w:pPr>
      <w:ind w:leftChars="1400" w:left="1400"/>
    </w:pPr>
    <w:rPr>
      <w:sz w:val="24"/>
      <w:szCs w:val="20"/>
    </w:rPr>
  </w:style>
  <w:style w:type="paragraph" w:styleId="afffffffff6">
    <w:name w:val="table of authorities"/>
    <w:basedOn w:val="af3"/>
    <w:next w:val="af3"/>
    <w:semiHidden/>
    <w:rsid w:val="009964C3"/>
    <w:pPr>
      <w:ind w:leftChars="200" w:left="420"/>
    </w:pPr>
    <w:rPr>
      <w:sz w:val="24"/>
      <w:szCs w:val="20"/>
    </w:rPr>
  </w:style>
  <w:style w:type="paragraph" w:styleId="affffff9">
    <w:name w:val="annotation subject"/>
    <w:basedOn w:val="affff5"/>
    <w:next w:val="affff5"/>
    <w:link w:val="Char1f8"/>
    <w:semiHidden/>
    <w:rsid w:val="009964C3"/>
    <w:pPr>
      <w:widowControl w:val="0"/>
      <w:adjustRightInd/>
      <w:snapToGrid/>
      <w:spacing w:line="312" w:lineRule="auto"/>
      <w:ind w:firstLine="573"/>
      <w:jc w:val="left"/>
    </w:pPr>
    <w:rPr>
      <w:b/>
      <w:bCs/>
      <w:kern w:val="2"/>
      <w:sz w:val="24"/>
      <w:szCs w:val="24"/>
    </w:rPr>
  </w:style>
  <w:style w:type="paragraph" w:styleId="a0">
    <w:name w:val="List Bullet"/>
    <w:basedOn w:val="af3"/>
    <w:rsid w:val="009964C3"/>
    <w:pPr>
      <w:numPr>
        <w:numId w:val="3"/>
      </w:numPr>
      <w:tabs>
        <w:tab w:val="left" w:pos="360"/>
      </w:tabs>
    </w:pPr>
    <w:rPr>
      <w:sz w:val="24"/>
      <w:szCs w:val="20"/>
    </w:rPr>
  </w:style>
  <w:style w:type="paragraph" w:styleId="a">
    <w:name w:val="List Number"/>
    <w:basedOn w:val="af3"/>
    <w:rsid w:val="009964C3"/>
    <w:pPr>
      <w:numPr>
        <w:numId w:val="4"/>
      </w:numPr>
      <w:tabs>
        <w:tab w:val="left" w:pos="360"/>
      </w:tabs>
    </w:pPr>
    <w:rPr>
      <w:sz w:val="24"/>
      <w:szCs w:val="20"/>
    </w:rPr>
  </w:style>
  <w:style w:type="paragraph" w:styleId="afffffff0">
    <w:name w:val="Note Heading"/>
    <w:basedOn w:val="af3"/>
    <w:next w:val="af3"/>
    <w:link w:val="Char1fd"/>
    <w:qFormat/>
    <w:rsid w:val="009964C3"/>
    <w:pPr>
      <w:jc w:val="center"/>
    </w:pPr>
    <w:rPr>
      <w:sz w:val="24"/>
      <w:szCs w:val="20"/>
    </w:rPr>
  </w:style>
  <w:style w:type="paragraph" w:styleId="aff7">
    <w:name w:val="Body Text First Indent"/>
    <w:basedOn w:val="af3"/>
    <w:link w:val="Char7"/>
    <w:qFormat/>
    <w:rsid w:val="009964C3"/>
    <w:pPr>
      <w:overflowPunct w:val="0"/>
      <w:autoSpaceDE w:val="0"/>
      <w:autoSpaceDN w:val="0"/>
      <w:adjustRightInd w:val="0"/>
      <w:spacing w:line="360" w:lineRule="auto"/>
      <w:ind w:firstLine="539"/>
      <w:textAlignment w:val="baseline"/>
    </w:pPr>
    <w:rPr>
      <w:sz w:val="28"/>
      <w:szCs w:val="28"/>
    </w:rPr>
  </w:style>
  <w:style w:type="paragraph" w:customStyle="1" w:styleId="1fa">
    <w:name w:val="图号1"/>
    <w:basedOn w:val="af3"/>
    <w:rsid w:val="009964C3"/>
    <w:pPr>
      <w:jc w:val="center"/>
    </w:pPr>
    <w:rPr>
      <w:rFonts w:ascii="黑体" w:eastAsia="黑体"/>
      <w:sz w:val="24"/>
    </w:rPr>
  </w:style>
  <w:style w:type="paragraph" w:customStyle="1" w:styleId="3525">
    <w:name w:val="样式 燕山正文 + 首行缩进:  3.5 字符25"/>
    <w:basedOn w:val="af3"/>
    <w:rsid w:val="009964C3"/>
    <w:pPr>
      <w:tabs>
        <w:tab w:val="left" w:pos="4680"/>
      </w:tabs>
      <w:adjustRightInd w:val="0"/>
      <w:snapToGrid w:val="0"/>
      <w:spacing w:line="360" w:lineRule="auto"/>
      <w:ind w:firstLineChars="200" w:firstLine="200"/>
    </w:pPr>
    <w:rPr>
      <w:rFonts w:ascii="宋体" w:hAnsi="宋体" w:cs="宋体"/>
      <w:color w:val="000000"/>
      <w:sz w:val="28"/>
      <w:szCs w:val="20"/>
    </w:rPr>
  </w:style>
  <w:style w:type="paragraph" w:customStyle="1" w:styleId="1fb">
    <w:name w:val="正文文本缩进1"/>
    <w:basedOn w:val="af3"/>
    <w:rsid w:val="009964C3"/>
    <w:pPr>
      <w:widowControl/>
      <w:spacing w:after="120"/>
      <w:ind w:left="420"/>
      <w:jc w:val="center"/>
    </w:pPr>
    <w:rPr>
      <w:b/>
      <w:kern w:val="0"/>
      <w:szCs w:val="21"/>
    </w:rPr>
  </w:style>
  <w:style w:type="paragraph" w:customStyle="1" w:styleId="101">
    <w:name w:val="样式 首行缩进:  1.01 厘米"/>
    <w:basedOn w:val="af3"/>
    <w:rsid w:val="009964C3"/>
    <w:pPr>
      <w:spacing w:line="500" w:lineRule="exact"/>
      <w:ind w:firstLine="573"/>
    </w:pPr>
    <w:rPr>
      <w:rFonts w:cs="宋体"/>
      <w:sz w:val="24"/>
      <w:szCs w:val="20"/>
    </w:rPr>
  </w:style>
  <w:style w:type="paragraph" w:customStyle="1" w:styleId="5c">
    <w:name w:val="表内文字大5"/>
    <w:basedOn w:val="af3"/>
    <w:rsid w:val="009964C3"/>
    <w:pPr>
      <w:adjustRightInd w:val="0"/>
      <w:snapToGrid w:val="0"/>
      <w:jc w:val="center"/>
    </w:pPr>
    <w:rPr>
      <w:rFonts w:ascii="宋体" w:hAnsi="Times"/>
      <w:sz w:val="24"/>
      <w:szCs w:val="20"/>
    </w:rPr>
  </w:style>
  <w:style w:type="paragraph" w:customStyle="1" w:styleId="afffffffff7">
    <w:name w:val="正文（首行不缩进）"/>
    <w:basedOn w:val="23"/>
    <w:rsid w:val="009964C3"/>
    <w:pPr>
      <w:spacing w:afterLines="0"/>
    </w:pPr>
  </w:style>
  <w:style w:type="paragraph" w:styleId="affff5">
    <w:name w:val="annotation text"/>
    <w:basedOn w:val="af3"/>
    <w:link w:val="Char19"/>
    <w:rsid w:val="009964C3"/>
    <w:pPr>
      <w:widowControl/>
      <w:adjustRightInd w:val="0"/>
      <w:snapToGrid w:val="0"/>
      <w:spacing w:line="360" w:lineRule="auto"/>
      <w:ind w:firstLine="425"/>
    </w:pPr>
    <w:rPr>
      <w:color w:val="000000"/>
      <w:spacing w:val="10"/>
      <w:kern w:val="0"/>
      <w:sz w:val="18"/>
      <w:szCs w:val="20"/>
    </w:rPr>
  </w:style>
  <w:style w:type="paragraph" w:customStyle="1" w:styleId="443">
    <w:name w:val="标题443"/>
    <w:basedOn w:val="af3"/>
    <w:rsid w:val="009964C3"/>
    <w:pPr>
      <w:adjustRightInd w:val="0"/>
      <w:snapToGrid w:val="0"/>
      <w:spacing w:line="300" w:lineRule="auto"/>
      <w:jc w:val="left"/>
    </w:pPr>
    <w:rPr>
      <w:rFonts w:ascii="黑体" w:eastAsia="黑体"/>
      <w:bCs/>
      <w:color w:val="000000"/>
      <w:sz w:val="24"/>
    </w:rPr>
  </w:style>
  <w:style w:type="paragraph" w:styleId="1fc">
    <w:name w:val="toc 1"/>
    <w:basedOn w:val="af3"/>
    <w:next w:val="af3"/>
    <w:uiPriority w:val="39"/>
    <w:qFormat/>
    <w:rsid w:val="009964C3"/>
    <w:pPr>
      <w:spacing w:before="120" w:after="120"/>
      <w:jc w:val="left"/>
    </w:pPr>
    <w:rPr>
      <w:b/>
      <w:bCs/>
      <w:caps/>
      <w:sz w:val="20"/>
      <w:szCs w:val="20"/>
    </w:rPr>
  </w:style>
  <w:style w:type="paragraph" w:customStyle="1" w:styleId="afffffffff8">
    <w:name w:val="正文居中"/>
    <w:basedOn w:val="af3"/>
    <w:rsid w:val="009964C3"/>
    <w:pPr>
      <w:adjustRightInd w:val="0"/>
      <w:snapToGrid w:val="0"/>
      <w:spacing w:line="480" w:lineRule="atLeast"/>
      <w:jc w:val="center"/>
    </w:pPr>
    <w:rPr>
      <w:rFonts w:ascii="宋体"/>
      <w:snapToGrid w:val="0"/>
      <w:spacing w:val="6"/>
      <w:kern w:val="0"/>
      <w:sz w:val="28"/>
    </w:rPr>
  </w:style>
  <w:style w:type="paragraph" w:customStyle="1" w:styleId="xl81">
    <w:name w:val="xl81"/>
    <w:basedOn w:val="af3"/>
    <w:rsid w:val="009964C3"/>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afffffffff9">
    <w:name w:val="a"/>
    <w:basedOn w:val="af3"/>
    <w:rsid w:val="009964C3"/>
    <w:pPr>
      <w:widowControl/>
      <w:spacing w:before="100" w:beforeAutospacing="1" w:after="100" w:afterAutospacing="1"/>
      <w:jc w:val="left"/>
    </w:pPr>
    <w:rPr>
      <w:rFonts w:ascii="宋体" w:hAnsi="宋体" w:cs="宋体"/>
      <w:kern w:val="0"/>
      <w:sz w:val="24"/>
    </w:rPr>
  </w:style>
  <w:style w:type="paragraph" w:styleId="afffffffffa">
    <w:name w:val="envelope return"/>
    <w:basedOn w:val="af3"/>
    <w:qFormat/>
    <w:rsid w:val="009964C3"/>
    <w:pPr>
      <w:snapToGrid w:val="0"/>
    </w:pPr>
    <w:rPr>
      <w:rFonts w:ascii="Arial" w:hAnsi="Arial" w:cs="Arial"/>
      <w:sz w:val="24"/>
      <w:szCs w:val="20"/>
    </w:rPr>
  </w:style>
  <w:style w:type="paragraph" w:customStyle="1" w:styleId="0">
    <w:name w:val="样式 正文首行缩进 + 首行缩进:  0 厘米"/>
    <w:basedOn w:val="aff7"/>
    <w:rsid w:val="009964C3"/>
    <w:pPr>
      <w:overflowPunct/>
      <w:autoSpaceDE/>
      <w:autoSpaceDN/>
      <w:snapToGrid w:val="0"/>
      <w:spacing w:line="300" w:lineRule="auto"/>
      <w:ind w:firstLine="0"/>
      <w:jc w:val="center"/>
      <w:textAlignment w:val="auto"/>
    </w:pPr>
    <w:rPr>
      <w:sz w:val="24"/>
      <w:szCs w:val="20"/>
    </w:rPr>
  </w:style>
  <w:style w:type="paragraph" w:customStyle="1" w:styleId="221">
    <w:name w:val="表内文字小22"/>
    <w:basedOn w:val="af3"/>
    <w:rsid w:val="009964C3"/>
    <w:pPr>
      <w:adjustRightInd w:val="0"/>
      <w:snapToGrid w:val="0"/>
      <w:jc w:val="center"/>
    </w:pPr>
    <w:rPr>
      <w:rFonts w:ascii="宋体" w:hAnsi="Times"/>
      <w:bCs/>
      <w:color w:val="003366"/>
      <w:szCs w:val="20"/>
    </w:rPr>
  </w:style>
  <w:style w:type="paragraph" w:styleId="2fd">
    <w:name w:val="index 2"/>
    <w:basedOn w:val="af3"/>
    <w:next w:val="af3"/>
    <w:semiHidden/>
    <w:qFormat/>
    <w:rsid w:val="009964C3"/>
    <w:pPr>
      <w:ind w:leftChars="200" w:left="200"/>
    </w:pPr>
    <w:rPr>
      <w:sz w:val="24"/>
      <w:szCs w:val="20"/>
    </w:rPr>
  </w:style>
  <w:style w:type="paragraph" w:customStyle="1" w:styleId="xl132">
    <w:name w:val="xl132"/>
    <w:basedOn w:val="af3"/>
    <w:semiHidden/>
    <w:rsid w:val="009964C3"/>
    <w:pPr>
      <w:widowControl/>
      <w:pBdr>
        <w:top w:val="single" w:sz="12" w:space="0" w:color="auto"/>
        <w:bottom w:val="single" w:sz="4" w:space="0" w:color="auto"/>
      </w:pBdr>
      <w:spacing w:before="100" w:beforeAutospacing="1" w:after="100" w:afterAutospacing="1"/>
      <w:jc w:val="center"/>
    </w:pPr>
    <w:rPr>
      <w:rFonts w:ascii="宋体" w:hAnsi="宋体" w:cs="宋体"/>
      <w:kern w:val="0"/>
      <w:sz w:val="28"/>
      <w:szCs w:val="28"/>
    </w:rPr>
  </w:style>
  <w:style w:type="paragraph" w:customStyle="1" w:styleId="afffffffffb">
    <w:name w:val="电镀表"/>
    <w:basedOn w:val="af3"/>
    <w:semiHidden/>
    <w:rsid w:val="009964C3"/>
    <w:pPr>
      <w:autoSpaceDE w:val="0"/>
      <w:autoSpaceDN w:val="0"/>
      <w:adjustRightInd w:val="0"/>
      <w:spacing w:line="0" w:lineRule="atLeast"/>
      <w:jc w:val="center"/>
      <w:textAlignment w:val="center"/>
    </w:pPr>
    <w:rPr>
      <w:rFonts w:ascii="宋体" w:hAnsi="宋体" w:cs="Arial Unicode MS"/>
      <w:color w:val="000000"/>
      <w:kern w:val="0"/>
      <w:szCs w:val="21"/>
    </w:rPr>
  </w:style>
  <w:style w:type="paragraph" w:styleId="affffffa">
    <w:name w:val="endnote text"/>
    <w:basedOn w:val="af3"/>
    <w:link w:val="Char1f9"/>
    <w:semiHidden/>
    <w:qFormat/>
    <w:rsid w:val="009964C3"/>
    <w:pPr>
      <w:snapToGrid w:val="0"/>
      <w:jc w:val="left"/>
    </w:pPr>
    <w:rPr>
      <w:sz w:val="24"/>
      <w:szCs w:val="20"/>
    </w:rPr>
  </w:style>
  <w:style w:type="paragraph" w:customStyle="1" w:styleId="22CharChar2Char15">
    <w:name w:val="样式 标题 2章标题 2 Char Char标题 2 Char + 行距: 1.5 倍行距"/>
    <w:basedOn w:val="22"/>
    <w:semiHidden/>
    <w:rsid w:val="009964C3"/>
    <w:pPr>
      <w:spacing w:before="0" w:after="0" w:line="360" w:lineRule="auto"/>
      <w:ind w:firstLineChars="200" w:firstLine="480"/>
    </w:pPr>
    <w:rPr>
      <w:b w:val="0"/>
      <w:bCs w:val="0"/>
      <w:sz w:val="24"/>
      <w:szCs w:val="28"/>
    </w:rPr>
  </w:style>
  <w:style w:type="paragraph" w:customStyle="1" w:styleId="553">
    <w:name w:val="表内宋5中53"/>
    <w:basedOn w:val="af3"/>
    <w:rsid w:val="009964C3"/>
    <w:pPr>
      <w:adjustRightInd w:val="0"/>
      <w:snapToGrid w:val="0"/>
      <w:spacing w:line="360" w:lineRule="auto"/>
      <w:textAlignment w:val="baseline"/>
    </w:pPr>
    <w:rPr>
      <w:rFonts w:ascii="宋体" w:hAnsi="宋体"/>
      <w:kern w:val="0"/>
      <w:szCs w:val="21"/>
    </w:rPr>
  </w:style>
  <w:style w:type="paragraph" w:customStyle="1" w:styleId="84">
    <w:name w:val="表题8"/>
    <w:basedOn w:val="afffffff4"/>
    <w:rsid w:val="009964C3"/>
    <w:pPr>
      <w:spacing w:line="240" w:lineRule="auto"/>
      <w:ind w:firstLine="0"/>
      <w:jc w:val="center"/>
    </w:pPr>
    <w:rPr>
      <w:rFonts w:ascii="黑体" w:eastAsia="黑体" w:cs="Times New Roman"/>
      <w:color w:val="auto"/>
      <w:szCs w:val="20"/>
    </w:rPr>
  </w:style>
  <w:style w:type="paragraph" w:styleId="HTML8">
    <w:name w:val="HTML Preformatted"/>
    <w:basedOn w:val="af3"/>
    <w:link w:val="HTMLChar10"/>
    <w:qFormat/>
    <w:rsid w:val="009964C3"/>
    <w:rPr>
      <w:rFonts w:ascii="Courier New" w:hAnsi="Courier New"/>
      <w:sz w:val="20"/>
      <w:szCs w:val="20"/>
    </w:rPr>
  </w:style>
  <w:style w:type="paragraph" w:customStyle="1" w:styleId="5d">
    <w:name w:val="样式 标题 5 + 宋体"/>
    <w:basedOn w:val="51"/>
    <w:rsid w:val="009964C3"/>
    <w:pPr>
      <w:keepNext/>
      <w:keepLines/>
      <w:tabs>
        <w:tab w:val="left" w:pos="567"/>
      </w:tabs>
      <w:spacing w:line="500" w:lineRule="exact"/>
      <w:jc w:val="both"/>
    </w:pPr>
    <w:rPr>
      <w:rFonts w:ascii="宋体" w:eastAsia="宋体" w:hAnsi="宋体"/>
      <w:color w:val="auto"/>
      <w:spacing w:val="0"/>
      <w:position w:val="0"/>
      <w:szCs w:val="28"/>
    </w:rPr>
  </w:style>
  <w:style w:type="paragraph" w:styleId="85">
    <w:name w:val="toc 8"/>
    <w:basedOn w:val="af3"/>
    <w:next w:val="af3"/>
    <w:uiPriority w:val="39"/>
    <w:qFormat/>
    <w:rsid w:val="009964C3"/>
    <w:pPr>
      <w:ind w:left="1470"/>
      <w:jc w:val="left"/>
    </w:pPr>
    <w:rPr>
      <w:sz w:val="18"/>
      <w:szCs w:val="18"/>
    </w:rPr>
  </w:style>
  <w:style w:type="paragraph" w:customStyle="1" w:styleId="afffffffffc">
    <w:name w:val="页眉竖排"/>
    <w:basedOn w:val="affffff"/>
    <w:rsid w:val="009964C3"/>
    <w:pPr>
      <w:pBdr>
        <w:bottom w:val="double" w:sz="4" w:space="1" w:color="auto"/>
      </w:pBdr>
      <w:tabs>
        <w:tab w:val="clear" w:pos="4153"/>
        <w:tab w:val="clear" w:pos="8306"/>
        <w:tab w:val="right" w:pos="8640"/>
      </w:tabs>
      <w:jc w:val="both"/>
    </w:pPr>
    <w:rPr>
      <w:sz w:val="21"/>
      <w:szCs w:val="20"/>
    </w:rPr>
  </w:style>
  <w:style w:type="paragraph" w:styleId="2f3">
    <w:name w:val="Body Text 2"/>
    <w:basedOn w:val="af3"/>
    <w:link w:val="2Char11"/>
    <w:qFormat/>
    <w:rsid w:val="009964C3"/>
    <w:pPr>
      <w:adjustRightInd w:val="0"/>
      <w:snapToGrid w:val="0"/>
      <w:spacing w:line="300" w:lineRule="auto"/>
      <w:ind w:leftChars="-202" w:left="-424"/>
      <w:jc w:val="center"/>
    </w:pPr>
    <w:rPr>
      <w:rFonts w:ascii="黑体" w:eastAsia="黑体" w:hAnsi="宋体"/>
      <w:szCs w:val="21"/>
    </w:rPr>
  </w:style>
  <w:style w:type="paragraph" w:customStyle="1" w:styleId="470">
    <w:name w:val="标题47"/>
    <w:basedOn w:val="af3"/>
    <w:rsid w:val="009964C3"/>
    <w:pPr>
      <w:adjustRightInd w:val="0"/>
      <w:snapToGrid w:val="0"/>
      <w:spacing w:line="300" w:lineRule="auto"/>
    </w:pPr>
    <w:rPr>
      <w:rFonts w:ascii="黑体" w:eastAsia="黑体"/>
      <w:sz w:val="24"/>
      <w:szCs w:val="20"/>
    </w:rPr>
  </w:style>
  <w:style w:type="paragraph" w:customStyle="1" w:styleId="1f0">
    <w:name w:val="正文1"/>
    <w:basedOn w:val="af3"/>
    <w:link w:val="1Chara"/>
    <w:rsid w:val="009964C3"/>
    <w:pPr>
      <w:adjustRightInd w:val="0"/>
      <w:spacing w:after="120" w:line="360" w:lineRule="atLeast"/>
      <w:jc w:val="center"/>
      <w:textAlignment w:val="baseline"/>
    </w:pPr>
    <w:rPr>
      <w:rFonts w:ascii="宋体" w:hAnsi="宋体"/>
      <w:kern w:val="0"/>
      <w:sz w:val="24"/>
      <w:szCs w:val="20"/>
    </w:rPr>
  </w:style>
  <w:style w:type="paragraph" w:styleId="3e">
    <w:name w:val="toc 3"/>
    <w:basedOn w:val="af3"/>
    <w:next w:val="af3"/>
    <w:uiPriority w:val="39"/>
    <w:qFormat/>
    <w:rsid w:val="009964C3"/>
    <w:pPr>
      <w:ind w:left="1" w:firstLineChars="4" w:firstLine="8"/>
      <w:jc w:val="center"/>
    </w:pPr>
    <w:rPr>
      <w:rFonts w:ascii="宋体" w:hAnsi="宋体"/>
      <w:iCs/>
      <w:szCs w:val="21"/>
    </w:rPr>
  </w:style>
  <w:style w:type="paragraph" w:customStyle="1" w:styleId="afffffffffd">
    <w:name w:val="附录章标题"/>
    <w:next w:val="43"/>
    <w:rsid w:val="009964C3"/>
    <w:pPr>
      <w:tabs>
        <w:tab w:val="left" w:pos="1200"/>
      </w:tabs>
      <w:spacing w:before="100" w:after="100" w:line="440" w:lineRule="exact"/>
      <w:ind w:leftChars="400" w:left="1200" w:hangingChars="200" w:hanging="360"/>
    </w:pPr>
    <w:rPr>
      <w:rFonts w:ascii="黑体" w:eastAsia="黑体"/>
      <w:sz w:val="24"/>
    </w:rPr>
  </w:style>
  <w:style w:type="paragraph" w:customStyle="1" w:styleId="ST2039">
    <w:name w:val="ST20_39"/>
    <w:basedOn w:val="ST205"/>
    <w:next w:val="af3"/>
    <w:rsid w:val="009964C3"/>
    <w:pPr>
      <w:spacing w:after="240"/>
    </w:pPr>
  </w:style>
  <w:style w:type="paragraph" w:customStyle="1" w:styleId="afffffffffe">
    <w:name w:val="等核实"/>
    <w:basedOn w:val="afffffff4"/>
    <w:qFormat/>
    <w:rsid w:val="009964C3"/>
    <w:pPr>
      <w:tabs>
        <w:tab w:val="clear" w:pos="4305"/>
        <w:tab w:val="left" w:pos="3825"/>
      </w:tabs>
      <w:spacing w:line="300" w:lineRule="auto"/>
      <w:ind w:firstLineChars="200" w:firstLine="480"/>
    </w:pPr>
    <w:rPr>
      <w:rFonts w:ascii="Times New Roman" w:hAnsi="Times New Roman" w:cs="Times New Roman"/>
    </w:rPr>
  </w:style>
  <w:style w:type="paragraph" w:customStyle="1" w:styleId="888888888">
    <w:name w:val="目录888888888"/>
    <w:basedOn w:val="af3"/>
    <w:rsid w:val="009964C3"/>
    <w:pPr>
      <w:keepNext/>
      <w:keepLines/>
      <w:spacing w:before="120" w:after="120" w:line="480" w:lineRule="exact"/>
      <w:outlineLvl w:val="1"/>
    </w:pPr>
    <w:rPr>
      <w:rFonts w:ascii="宋体" w:hAnsi="宋体"/>
      <w:b/>
      <w:bCs/>
      <w:sz w:val="30"/>
      <w:szCs w:val="30"/>
    </w:rPr>
  </w:style>
  <w:style w:type="paragraph" w:styleId="91">
    <w:name w:val="index 9"/>
    <w:basedOn w:val="af3"/>
    <w:next w:val="af3"/>
    <w:semiHidden/>
    <w:qFormat/>
    <w:rsid w:val="009964C3"/>
    <w:pPr>
      <w:ind w:leftChars="1600" w:left="1600"/>
    </w:pPr>
    <w:rPr>
      <w:sz w:val="24"/>
      <w:szCs w:val="20"/>
    </w:rPr>
  </w:style>
  <w:style w:type="paragraph" w:customStyle="1" w:styleId="Char210">
    <w:name w:val="样式 正文首行缩进正文首行缩进 Char + 首行缩进:  2 字符1"/>
    <w:basedOn w:val="aff7"/>
    <w:semiHidden/>
    <w:rsid w:val="009964C3"/>
    <w:pPr>
      <w:overflowPunct/>
      <w:autoSpaceDE/>
      <w:autoSpaceDN/>
      <w:adjustRightInd/>
      <w:ind w:firstLineChars="200" w:firstLine="480"/>
      <w:textAlignment w:val="auto"/>
    </w:pPr>
    <w:rPr>
      <w:rFonts w:ascii="Arial" w:eastAsia="Times New Roman" w:hAnsi="Arial" w:cs="宋体"/>
      <w:sz w:val="24"/>
      <w:szCs w:val="20"/>
    </w:rPr>
  </w:style>
  <w:style w:type="paragraph" w:styleId="20">
    <w:name w:val="List Bullet 2"/>
    <w:basedOn w:val="af3"/>
    <w:qFormat/>
    <w:rsid w:val="009964C3"/>
    <w:pPr>
      <w:numPr>
        <w:numId w:val="5"/>
      </w:numPr>
      <w:tabs>
        <w:tab w:val="left" w:pos="780"/>
      </w:tabs>
    </w:pPr>
    <w:rPr>
      <w:sz w:val="24"/>
      <w:szCs w:val="20"/>
    </w:rPr>
  </w:style>
  <w:style w:type="paragraph" w:customStyle="1" w:styleId="00">
    <w:name w:val="样式 正文缩进 + 首行缩进:  0 字符"/>
    <w:basedOn w:val="af4"/>
    <w:rsid w:val="009964C3"/>
    <w:pPr>
      <w:snapToGrid w:val="0"/>
      <w:spacing w:line="520" w:lineRule="exact"/>
      <w:ind w:firstLineChars="0" w:firstLine="0"/>
      <w:jc w:val="center"/>
    </w:pPr>
    <w:rPr>
      <w:rFonts w:cs="宋体"/>
      <w:sz w:val="24"/>
      <w:szCs w:val="24"/>
    </w:rPr>
  </w:style>
  <w:style w:type="paragraph" w:customStyle="1" w:styleId="3f">
    <w:name w:val="标题 3 样式"/>
    <w:basedOn w:val="31"/>
    <w:rsid w:val="009964C3"/>
    <w:pPr>
      <w:tabs>
        <w:tab w:val="left" w:pos="148"/>
      </w:tabs>
      <w:spacing w:beforeLines="30" w:after="0" w:line="480" w:lineRule="exact"/>
      <w:ind w:left="56" w:right="280" w:hanging="56"/>
    </w:pPr>
    <w:rPr>
      <w:bCs w:val="0"/>
      <w:snapToGrid w:val="0"/>
      <w:color w:val="000000"/>
      <w:sz w:val="28"/>
      <w:szCs w:val="20"/>
    </w:rPr>
  </w:style>
  <w:style w:type="paragraph" w:customStyle="1" w:styleId="490">
    <w:name w:val="表内小49"/>
    <w:basedOn w:val="affffffffff"/>
    <w:rsid w:val="009964C3"/>
    <w:pPr>
      <w:ind w:left="240" w:hanging="240"/>
      <w:jc w:val="both"/>
    </w:pPr>
    <w:rPr>
      <w:rFonts w:cs="Times New Roman"/>
    </w:rPr>
  </w:style>
  <w:style w:type="paragraph" w:customStyle="1" w:styleId="43Char3Char23Char1Char3CharCharChar">
    <w:name w:val="样式 标题4标题 3 Char标题 3 Char2标题 3 Char1 Char标题 3 Char Char Char..."/>
    <w:basedOn w:val="43"/>
    <w:semiHidden/>
    <w:rsid w:val="009964C3"/>
    <w:pPr>
      <w:keepNext w:val="0"/>
      <w:keepLines w:val="0"/>
      <w:tabs>
        <w:tab w:val="left" w:pos="720"/>
      </w:tabs>
      <w:overflowPunct w:val="0"/>
      <w:autoSpaceDE w:val="0"/>
      <w:autoSpaceDN w:val="0"/>
      <w:adjustRightInd w:val="0"/>
      <w:spacing w:before="0" w:after="0" w:line="360" w:lineRule="auto"/>
      <w:textAlignment w:val="baseline"/>
    </w:pPr>
    <w:rPr>
      <w:rFonts w:ascii="Times New Roman" w:eastAsia="仿宋_GB2312" w:hAnsi="Times New Roman"/>
      <w:b w:val="0"/>
      <w:snapToGrid w:val="0"/>
      <w:spacing w:val="-6"/>
      <w:kern w:val="0"/>
      <w:sz w:val="24"/>
      <w:szCs w:val="20"/>
    </w:rPr>
  </w:style>
  <w:style w:type="paragraph" w:styleId="63">
    <w:name w:val="toc 6"/>
    <w:basedOn w:val="af3"/>
    <w:next w:val="af3"/>
    <w:uiPriority w:val="39"/>
    <w:qFormat/>
    <w:rsid w:val="009964C3"/>
    <w:pPr>
      <w:ind w:left="1050"/>
      <w:jc w:val="left"/>
    </w:pPr>
    <w:rPr>
      <w:sz w:val="18"/>
      <w:szCs w:val="18"/>
    </w:rPr>
  </w:style>
  <w:style w:type="paragraph" w:customStyle="1" w:styleId="2CharChar7">
    <w:name w:val="样式 首行缩进:  2 字符 Char Char"/>
    <w:basedOn w:val="af3"/>
    <w:rsid w:val="009964C3"/>
    <w:pPr>
      <w:spacing w:line="480" w:lineRule="exact"/>
      <w:ind w:firstLineChars="200" w:firstLine="480"/>
    </w:pPr>
    <w:rPr>
      <w:rFonts w:ascii="Arial" w:hAnsi="Arial"/>
      <w:sz w:val="24"/>
    </w:rPr>
  </w:style>
  <w:style w:type="paragraph" w:styleId="3">
    <w:name w:val="List Number 3"/>
    <w:basedOn w:val="af3"/>
    <w:qFormat/>
    <w:rsid w:val="009964C3"/>
    <w:pPr>
      <w:numPr>
        <w:numId w:val="6"/>
      </w:numPr>
      <w:tabs>
        <w:tab w:val="left" w:pos="1200"/>
      </w:tabs>
    </w:pPr>
    <w:rPr>
      <w:sz w:val="24"/>
      <w:szCs w:val="20"/>
    </w:rPr>
  </w:style>
  <w:style w:type="paragraph" w:customStyle="1" w:styleId="413">
    <w:name w:val="等核实41"/>
    <w:basedOn w:val="afffffff4"/>
    <w:rsid w:val="009964C3"/>
    <w:pPr>
      <w:spacing w:line="300" w:lineRule="auto"/>
      <w:ind w:firstLine="567"/>
    </w:pPr>
    <w:rPr>
      <w:rFonts w:cs="Times New Roman"/>
      <w:color w:val="0000FF"/>
      <w:sz w:val="28"/>
      <w:szCs w:val="20"/>
    </w:rPr>
  </w:style>
  <w:style w:type="paragraph" w:styleId="affffffffc">
    <w:name w:val="Subtitle"/>
    <w:basedOn w:val="af3"/>
    <w:link w:val="Charffffff3"/>
    <w:qFormat/>
    <w:rsid w:val="009964C3"/>
    <w:pPr>
      <w:spacing w:before="240" w:after="60" w:line="312" w:lineRule="auto"/>
      <w:jc w:val="center"/>
      <w:outlineLvl w:val="1"/>
    </w:pPr>
    <w:rPr>
      <w:rFonts w:ascii="Arial" w:hAnsi="Arial"/>
      <w:b/>
      <w:bCs/>
      <w:kern w:val="28"/>
      <w:sz w:val="32"/>
      <w:szCs w:val="32"/>
    </w:rPr>
  </w:style>
  <w:style w:type="paragraph" w:customStyle="1" w:styleId="41111411114Char1111Char41112">
    <w:name w:val="样式 标题 41.1.1.1标题 4.1.1.1.1标题 4 Char款1.1.1.1 Char标4段1.1.1...2"/>
    <w:basedOn w:val="43"/>
    <w:rsid w:val="009964C3"/>
    <w:pPr>
      <w:keepNext w:val="0"/>
      <w:keepLines w:val="0"/>
      <w:numPr>
        <w:ilvl w:val="3"/>
        <w:numId w:val="7"/>
      </w:numPr>
      <w:tabs>
        <w:tab w:val="left" w:pos="4582"/>
      </w:tabs>
      <w:spacing w:before="100" w:after="100" w:line="302" w:lineRule="auto"/>
    </w:pPr>
    <w:rPr>
      <w:color w:val="000000"/>
      <w:sz w:val="24"/>
      <w:szCs w:val="24"/>
    </w:rPr>
  </w:style>
  <w:style w:type="paragraph" w:customStyle="1" w:styleId="affffffffff0">
    <w:name w:val="基准页眉样式"/>
    <w:basedOn w:val="af3"/>
    <w:rsid w:val="009964C3"/>
    <w:pPr>
      <w:jc w:val="center"/>
    </w:pPr>
    <w:rPr>
      <w:bCs/>
      <w:sz w:val="18"/>
    </w:rPr>
  </w:style>
  <w:style w:type="paragraph" w:styleId="afffffb">
    <w:name w:val="Closing"/>
    <w:basedOn w:val="af3"/>
    <w:link w:val="Char1f1"/>
    <w:qFormat/>
    <w:rsid w:val="009964C3"/>
    <w:pPr>
      <w:ind w:leftChars="2100" w:left="100"/>
    </w:pPr>
    <w:rPr>
      <w:sz w:val="24"/>
      <w:szCs w:val="20"/>
    </w:rPr>
  </w:style>
  <w:style w:type="paragraph" w:customStyle="1" w:styleId="Web">
    <w:name w:val="普通 (Web)"/>
    <w:basedOn w:val="af3"/>
    <w:semiHidden/>
    <w:rsid w:val="009964C3"/>
    <w:pPr>
      <w:widowControl/>
      <w:spacing w:before="100" w:beforeAutospacing="1" w:after="100" w:afterAutospacing="1"/>
      <w:jc w:val="left"/>
    </w:pPr>
    <w:rPr>
      <w:rFonts w:ascii="Arial Unicode MS" w:eastAsia="Arial Unicode MS" w:hAnsi="Arial Unicode MS" w:cs="Arial Unicode MS"/>
      <w:kern w:val="0"/>
      <w:sz w:val="24"/>
    </w:rPr>
  </w:style>
  <w:style w:type="paragraph" w:customStyle="1" w:styleId="132">
    <w:name w:val="表题132"/>
    <w:basedOn w:val="afffffff4"/>
    <w:rsid w:val="009964C3"/>
    <w:pPr>
      <w:spacing w:line="240" w:lineRule="auto"/>
      <w:ind w:firstLineChars="200" w:firstLine="480"/>
      <w:jc w:val="center"/>
    </w:pPr>
    <w:rPr>
      <w:rFonts w:ascii="黑体" w:eastAsia="黑体" w:cs="Times New Roman"/>
      <w:color w:val="auto"/>
      <w:szCs w:val="20"/>
    </w:rPr>
  </w:style>
  <w:style w:type="paragraph" w:customStyle="1" w:styleId="affffffffff1">
    <w:name w:val="本文正文"/>
    <w:basedOn w:val="af3"/>
    <w:rsid w:val="009964C3"/>
    <w:pPr>
      <w:autoSpaceDE w:val="0"/>
      <w:autoSpaceDN w:val="0"/>
      <w:adjustRightInd w:val="0"/>
      <w:spacing w:line="300" w:lineRule="auto"/>
      <w:ind w:firstLineChars="200" w:firstLine="560"/>
      <w:textAlignment w:val="baseline"/>
    </w:pPr>
    <w:rPr>
      <w:sz w:val="28"/>
      <w:szCs w:val="20"/>
    </w:rPr>
  </w:style>
  <w:style w:type="paragraph" w:customStyle="1" w:styleId="1050">
    <w:name w:val="表题105"/>
    <w:basedOn w:val="af4"/>
    <w:rsid w:val="009964C3"/>
    <w:pPr>
      <w:ind w:firstLineChars="0" w:firstLine="0"/>
      <w:jc w:val="center"/>
    </w:pPr>
    <w:rPr>
      <w:rFonts w:ascii="黑体" w:eastAsia="黑体"/>
      <w:sz w:val="24"/>
      <w:szCs w:val="24"/>
    </w:rPr>
  </w:style>
  <w:style w:type="paragraph" w:styleId="64">
    <w:name w:val="index 6"/>
    <w:basedOn w:val="af3"/>
    <w:next w:val="af3"/>
    <w:semiHidden/>
    <w:qFormat/>
    <w:rsid w:val="009964C3"/>
    <w:pPr>
      <w:ind w:leftChars="1000" w:left="1000"/>
    </w:pPr>
    <w:rPr>
      <w:sz w:val="24"/>
      <w:szCs w:val="20"/>
    </w:rPr>
  </w:style>
  <w:style w:type="paragraph" w:customStyle="1" w:styleId="affffffffff2">
    <w:name w:val="正文缩"/>
    <w:basedOn w:val="af3"/>
    <w:rsid w:val="009964C3"/>
    <w:pPr>
      <w:adjustRightInd w:val="0"/>
      <w:snapToGrid w:val="0"/>
      <w:spacing w:line="480" w:lineRule="atLeast"/>
      <w:ind w:firstLine="567"/>
      <w:textAlignment w:val="baseline"/>
    </w:pPr>
    <w:rPr>
      <w:rFonts w:ascii="宋体"/>
      <w:color w:val="000080"/>
      <w:spacing w:val="6"/>
      <w:kern w:val="0"/>
      <w:sz w:val="28"/>
      <w:szCs w:val="20"/>
    </w:rPr>
  </w:style>
  <w:style w:type="paragraph" w:styleId="4b">
    <w:name w:val="List Continue 4"/>
    <w:basedOn w:val="af3"/>
    <w:qFormat/>
    <w:rsid w:val="009964C3"/>
    <w:pPr>
      <w:spacing w:after="120"/>
      <w:ind w:leftChars="800" w:left="1680"/>
    </w:pPr>
    <w:rPr>
      <w:sz w:val="24"/>
      <w:szCs w:val="20"/>
    </w:rPr>
  </w:style>
  <w:style w:type="paragraph" w:customStyle="1" w:styleId="351">
    <w:name w:val="样式 燕山正文 + 首行缩进:  3.5 字符1"/>
    <w:basedOn w:val="af3"/>
    <w:rsid w:val="009964C3"/>
    <w:pPr>
      <w:tabs>
        <w:tab w:val="left" w:pos="4680"/>
      </w:tabs>
      <w:adjustRightInd w:val="0"/>
      <w:snapToGrid w:val="0"/>
      <w:spacing w:line="360" w:lineRule="auto"/>
      <w:ind w:firstLineChars="200" w:firstLine="200"/>
    </w:pPr>
    <w:rPr>
      <w:rFonts w:ascii="宋体" w:hAnsi="宋体" w:cs="宋体"/>
      <w:color w:val="000000"/>
      <w:sz w:val="28"/>
      <w:szCs w:val="20"/>
    </w:rPr>
  </w:style>
  <w:style w:type="paragraph" w:customStyle="1" w:styleId="414">
    <w:name w:val="表内文字小41"/>
    <w:basedOn w:val="af3"/>
    <w:rsid w:val="009964C3"/>
    <w:pPr>
      <w:adjustRightInd w:val="0"/>
      <w:snapToGrid w:val="0"/>
      <w:jc w:val="center"/>
    </w:pPr>
    <w:rPr>
      <w:rFonts w:ascii="宋体" w:hAnsi="Times"/>
      <w:szCs w:val="20"/>
    </w:rPr>
  </w:style>
  <w:style w:type="paragraph" w:customStyle="1" w:styleId="511">
    <w:name w:val="表内5中1"/>
    <w:basedOn w:val="affffffffff3"/>
    <w:rsid w:val="009964C3"/>
    <w:pPr>
      <w:widowControl/>
    </w:pPr>
    <w:rPr>
      <w:kern w:val="0"/>
      <w:sz w:val="21"/>
      <w:szCs w:val="21"/>
    </w:rPr>
  </w:style>
  <w:style w:type="paragraph" w:customStyle="1" w:styleId="422">
    <w:name w:val="标题422"/>
    <w:basedOn w:val="af3"/>
    <w:rsid w:val="009964C3"/>
    <w:pPr>
      <w:adjustRightInd w:val="0"/>
      <w:snapToGrid w:val="0"/>
      <w:spacing w:line="300" w:lineRule="auto"/>
      <w:jc w:val="left"/>
    </w:pPr>
    <w:rPr>
      <w:rFonts w:ascii="宋体" w:hAnsi="宋体"/>
      <w:sz w:val="24"/>
      <w:szCs w:val="20"/>
    </w:rPr>
  </w:style>
  <w:style w:type="paragraph" w:styleId="2f">
    <w:name w:val="Body Text First Indent 2"/>
    <w:basedOn w:val="afffffff4"/>
    <w:link w:val="2Char10"/>
    <w:qFormat/>
    <w:rsid w:val="009964C3"/>
    <w:pPr>
      <w:tabs>
        <w:tab w:val="clear" w:pos="4305"/>
        <w:tab w:val="left" w:pos="4532"/>
      </w:tabs>
      <w:spacing w:line="240" w:lineRule="auto"/>
      <w:ind w:firstLineChars="200" w:firstLine="464"/>
      <w:jc w:val="center"/>
    </w:pPr>
    <w:rPr>
      <w:rFonts w:ascii="Times New Roman" w:hAnsi="Times New Roman" w:cs="Times New Roman"/>
      <w:color w:val="auto"/>
      <w:spacing w:val="-4"/>
    </w:rPr>
  </w:style>
  <w:style w:type="paragraph" w:customStyle="1" w:styleId="affffffffff4">
    <w:name w:val="流程图"/>
    <w:basedOn w:val="af3"/>
    <w:rsid w:val="009964C3"/>
    <w:pPr>
      <w:tabs>
        <w:tab w:val="left" w:pos="0"/>
      </w:tabs>
      <w:autoSpaceDE w:val="0"/>
      <w:autoSpaceDN w:val="0"/>
      <w:adjustRightInd w:val="0"/>
      <w:spacing w:line="240" w:lineRule="atLeast"/>
      <w:jc w:val="center"/>
      <w:textAlignment w:val="bottom"/>
    </w:pPr>
    <w:rPr>
      <w:rFonts w:ascii="宋体"/>
      <w:szCs w:val="20"/>
    </w:rPr>
  </w:style>
  <w:style w:type="paragraph" w:styleId="affffffd">
    <w:name w:val="Title"/>
    <w:basedOn w:val="af3"/>
    <w:link w:val="Char1fc"/>
    <w:qFormat/>
    <w:rsid w:val="009964C3"/>
    <w:pPr>
      <w:keepNext/>
      <w:widowControl/>
      <w:adjustRightInd w:val="0"/>
      <w:snapToGrid w:val="0"/>
      <w:spacing w:before="240" w:after="60" w:line="360" w:lineRule="auto"/>
      <w:ind w:firstLine="425"/>
      <w:jc w:val="center"/>
      <w:outlineLvl w:val="0"/>
    </w:pPr>
    <w:rPr>
      <w:rFonts w:ascii="Arial" w:hAnsi="Arial"/>
      <w:b/>
      <w:kern w:val="0"/>
      <w:sz w:val="30"/>
      <w:szCs w:val="20"/>
    </w:rPr>
  </w:style>
  <w:style w:type="paragraph" w:customStyle="1" w:styleId="5160">
    <w:name w:val="表内516"/>
    <w:basedOn w:val="af3"/>
    <w:rsid w:val="009964C3"/>
    <w:pPr>
      <w:adjustRightInd w:val="0"/>
      <w:snapToGrid w:val="0"/>
      <w:spacing w:line="300" w:lineRule="auto"/>
      <w:jc w:val="center"/>
    </w:pPr>
    <w:rPr>
      <w:rFonts w:ascii="宋体" w:hAnsi="宋体" w:cs="宋体"/>
      <w:szCs w:val="20"/>
    </w:rPr>
  </w:style>
  <w:style w:type="paragraph" w:customStyle="1" w:styleId="xl63">
    <w:name w:val="xl63"/>
    <w:basedOn w:val="af3"/>
    <w:rsid w:val="009964C3"/>
    <w:pPr>
      <w:widowControl/>
      <w:spacing w:before="100" w:after="100"/>
      <w:jc w:val="center"/>
      <w:textAlignment w:val="center"/>
    </w:pPr>
    <w:rPr>
      <w:rFonts w:ascii="黑体" w:eastAsia="黑体" w:hAnsi="宋体" w:hint="eastAsia"/>
      <w:kern w:val="0"/>
      <w:sz w:val="24"/>
      <w:szCs w:val="20"/>
    </w:rPr>
  </w:style>
  <w:style w:type="paragraph" w:styleId="5e">
    <w:name w:val="List Continue 5"/>
    <w:basedOn w:val="af3"/>
    <w:qFormat/>
    <w:rsid w:val="009964C3"/>
    <w:pPr>
      <w:spacing w:after="120"/>
      <w:ind w:leftChars="1000" w:left="2100"/>
    </w:pPr>
    <w:rPr>
      <w:sz w:val="24"/>
      <w:szCs w:val="20"/>
    </w:rPr>
  </w:style>
  <w:style w:type="paragraph" w:customStyle="1" w:styleId="3f0">
    <w:name w:val="样式 标题 3 + 字距调整二号"/>
    <w:basedOn w:val="31"/>
    <w:semiHidden/>
    <w:rsid w:val="009964C3"/>
    <w:pPr>
      <w:tabs>
        <w:tab w:val="left" w:pos="708"/>
      </w:tabs>
      <w:adjustRightInd w:val="0"/>
      <w:snapToGrid w:val="0"/>
      <w:spacing w:beforeLines="50" w:after="0" w:line="360" w:lineRule="auto"/>
      <w:ind w:left="708" w:hanging="709"/>
    </w:pPr>
    <w:rPr>
      <w:rFonts w:ascii="黑体"/>
      <w:b w:val="0"/>
      <w:sz w:val="24"/>
      <w:szCs w:val="20"/>
    </w:rPr>
  </w:style>
  <w:style w:type="paragraph" w:customStyle="1" w:styleId="521">
    <w:name w:val="表内521"/>
    <w:basedOn w:val="af3"/>
    <w:rsid w:val="009964C3"/>
    <w:pPr>
      <w:adjustRightInd w:val="0"/>
      <w:snapToGrid w:val="0"/>
      <w:ind w:right="32"/>
      <w:jc w:val="center"/>
    </w:pPr>
    <w:rPr>
      <w:rFonts w:ascii="宋体"/>
      <w:color w:val="000000"/>
      <w:kern w:val="0"/>
      <w:szCs w:val="21"/>
    </w:rPr>
  </w:style>
  <w:style w:type="paragraph" w:styleId="affffffffff5">
    <w:name w:val="Normal (Web)"/>
    <w:basedOn w:val="af3"/>
    <w:qFormat/>
    <w:rsid w:val="009964C3"/>
    <w:pPr>
      <w:widowControl/>
      <w:jc w:val="left"/>
    </w:pPr>
    <w:rPr>
      <w:rFonts w:ascii="宋体" w:hAnsi="宋体" w:cs="宋体"/>
      <w:kern w:val="0"/>
      <w:sz w:val="24"/>
    </w:rPr>
  </w:style>
  <w:style w:type="paragraph" w:customStyle="1" w:styleId="133214">
    <w:name w:val="13.3.2.1标题4"/>
    <w:basedOn w:val="af3"/>
    <w:qFormat/>
    <w:rsid w:val="009964C3"/>
    <w:pPr>
      <w:keepNext/>
      <w:keepLines/>
      <w:tabs>
        <w:tab w:val="left" w:pos="2414"/>
      </w:tabs>
      <w:spacing w:line="360" w:lineRule="auto"/>
      <w:ind w:left="1133" w:firstLine="997"/>
      <w:outlineLvl w:val="3"/>
    </w:pPr>
    <w:rPr>
      <w:rFonts w:eastAsia="黑体"/>
      <w:b/>
      <w:bCs/>
      <w:color w:val="FF0000"/>
      <w:sz w:val="24"/>
      <w:szCs w:val="20"/>
    </w:rPr>
  </w:style>
  <w:style w:type="paragraph" w:customStyle="1" w:styleId="230">
    <w:name w:val="页眉中23"/>
    <w:basedOn w:val="af3"/>
    <w:rsid w:val="009964C3"/>
    <w:pPr>
      <w:adjustRightInd w:val="0"/>
      <w:snapToGrid w:val="0"/>
      <w:jc w:val="center"/>
    </w:pPr>
    <w:rPr>
      <w:rFonts w:ascii="黑体" w:eastAsia="黑体"/>
      <w:bCs/>
      <w:szCs w:val="20"/>
    </w:rPr>
  </w:style>
  <w:style w:type="paragraph" w:styleId="3f1">
    <w:name w:val="index 3"/>
    <w:basedOn w:val="af3"/>
    <w:next w:val="af3"/>
    <w:semiHidden/>
    <w:qFormat/>
    <w:rsid w:val="009964C3"/>
    <w:pPr>
      <w:ind w:leftChars="400" w:left="400"/>
    </w:pPr>
    <w:rPr>
      <w:sz w:val="24"/>
      <w:szCs w:val="20"/>
    </w:rPr>
  </w:style>
  <w:style w:type="paragraph" w:customStyle="1" w:styleId="357">
    <w:name w:val="样式 燕山正文 + 首行缩进:  3.5 字符7"/>
    <w:basedOn w:val="affffffffb"/>
    <w:rsid w:val="009964C3"/>
    <w:pPr>
      <w:ind w:firstLine="560"/>
    </w:pPr>
    <w:rPr>
      <w:bCs w:val="0"/>
      <w:sz w:val="28"/>
      <w:szCs w:val="20"/>
    </w:rPr>
  </w:style>
  <w:style w:type="paragraph" w:customStyle="1" w:styleId="4220">
    <w:name w:val="表内小422"/>
    <w:basedOn w:val="affffffffff"/>
    <w:rsid w:val="009964C3"/>
    <w:pPr>
      <w:ind w:left="240" w:hanging="240"/>
      <w:jc w:val="both"/>
    </w:pPr>
  </w:style>
  <w:style w:type="paragraph" w:styleId="4c">
    <w:name w:val="List 4"/>
    <w:basedOn w:val="af3"/>
    <w:qFormat/>
    <w:rsid w:val="009964C3"/>
    <w:pPr>
      <w:ind w:leftChars="600" w:left="100" w:hangingChars="200" w:hanging="200"/>
    </w:pPr>
    <w:rPr>
      <w:sz w:val="24"/>
      <w:szCs w:val="20"/>
    </w:rPr>
  </w:style>
  <w:style w:type="paragraph" w:customStyle="1" w:styleId="5f">
    <w:name w:val="表内宋5"/>
    <w:basedOn w:val="affffffffff5"/>
    <w:qFormat/>
    <w:rsid w:val="009964C3"/>
    <w:pPr>
      <w:adjustRightInd w:val="0"/>
      <w:snapToGrid w:val="0"/>
      <w:jc w:val="both"/>
    </w:pPr>
    <w:rPr>
      <w:color w:val="000000"/>
      <w:sz w:val="21"/>
    </w:rPr>
  </w:style>
  <w:style w:type="paragraph" w:customStyle="1" w:styleId="Address">
    <w:name w:val="Address"/>
    <w:basedOn w:val="af3"/>
    <w:rsid w:val="009964C3"/>
    <w:pPr>
      <w:widowControl/>
      <w:tabs>
        <w:tab w:val="center" w:pos="4153"/>
        <w:tab w:val="right" w:pos="8306"/>
      </w:tabs>
      <w:jc w:val="left"/>
    </w:pPr>
    <w:rPr>
      <w:rFonts w:ascii="Arial" w:hAnsi="Arial" w:cs="Arial"/>
      <w:kern w:val="0"/>
      <w:sz w:val="22"/>
      <w:szCs w:val="20"/>
      <w:lang w:val="en-GB" w:eastAsia="en-US"/>
    </w:rPr>
  </w:style>
  <w:style w:type="paragraph" w:styleId="afffffffff2">
    <w:name w:val="Plain Text"/>
    <w:basedOn w:val="af3"/>
    <w:link w:val="Charffffffa"/>
    <w:rsid w:val="009964C3"/>
    <w:rPr>
      <w:rFonts w:ascii="宋体" w:hAnsi="Courier New" w:cs="Courier New"/>
      <w:szCs w:val="21"/>
    </w:rPr>
  </w:style>
  <w:style w:type="paragraph" w:customStyle="1" w:styleId="250">
    <w:name w:val="福建正文缩进25"/>
    <w:basedOn w:val="af3"/>
    <w:qFormat/>
    <w:rsid w:val="009964C3"/>
    <w:pPr>
      <w:tabs>
        <w:tab w:val="left" w:pos="4305"/>
      </w:tabs>
      <w:adjustRightInd w:val="0"/>
      <w:snapToGrid w:val="0"/>
      <w:spacing w:line="360" w:lineRule="auto"/>
      <w:ind w:firstLine="567"/>
    </w:pPr>
    <w:rPr>
      <w:rFonts w:ascii="宋体" w:hAnsi="宋体"/>
      <w:color w:val="000000"/>
      <w:sz w:val="24"/>
    </w:rPr>
  </w:style>
  <w:style w:type="paragraph" w:styleId="affffffffe">
    <w:name w:val="table of figures"/>
    <w:basedOn w:val="af3"/>
    <w:next w:val="af3"/>
    <w:link w:val="Charffffff5"/>
    <w:semiHidden/>
    <w:qFormat/>
    <w:rsid w:val="009964C3"/>
    <w:pPr>
      <w:widowControl/>
      <w:ind w:leftChars="200" w:left="200" w:hangingChars="200" w:hanging="200"/>
      <w:jc w:val="left"/>
    </w:pPr>
    <w:rPr>
      <w:rFonts w:ascii="宋体" w:hAnsi="宋体"/>
      <w:kern w:val="0"/>
      <w:sz w:val="24"/>
    </w:rPr>
  </w:style>
  <w:style w:type="paragraph" w:customStyle="1" w:styleId="Charfffffff">
    <w:name w:val="表题 Char"/>
    <w:basedOn w:val="af3"/>
    <w:rsid w:val="009964C3"/>
    <w:pPr>
      <w:spacing w:line="360" w:lineRule="auto"/>
      <w:jc w:val="center"/>
    </w:pPr>
    <w:rPr>
      <w:rFonts w:ascii="黑体" w:eastAsia="黑体"/>
      <w:bCs/>
      <w:sz w:val="28"/>
      <w:szCs w:val="28"/>
    </w:rPr>
  </w:style>
  <w:style w:type="paragraph" w:styleId="HTML7">
    <w:name w:val="HTML Address"/>
    <w:basedOn w:val="af3"/>
    <w:link w:val="HTMLChar1"/>
    <w:qFormat/>
    <w:rsid w:val="009964C3"/>
    <w:rPr>
      <w:i/>
      <w:iCs/>
      <w:sz w:val="24"/>
      <w:szCs w:val="20"/>
    </w:rPr>
  </w:style>
  <w:style w:type="paragraph" w:customStyle="1" w:styleId="ST2015">
    <w:name w:val="ST20_15"/>
    <w:basedOn w:val="ST204"/>
    <w:rsid w:val="009964C3"/>
    <w:pPr>
      <w:spacing w:after="120"/>
    </w:pPr>
  </w:style>
  <w:style w:type="paragraph" w:styleId="5f0">
    <w:name w:val="List 5"/>
    <w:basedOn w:val="af3"/>
    <w:qFormat/>
    <w:rsid w:val="009964C3"/>
    <w:pPr>
      <w:ind w:leftChars="800" w:left="100" w:hangingChars="200" w:hanging="200"/>
    </w:pPr>
    <w:rPr>
      <w:sz w:val="24"/>
      <w:szCs w:val="20"/>
    </w:rPr>
  </w:style>
  <w:style w:type="paragraph" w:customStyle="1" w:styleId="92">
    <w:name w:val="图题9"/>
    <w:basedOn w:val="af4"/>
    <w:rsid w:val="009964C3"/>
    <w:pPr>
      <w:adjustRightInd w:val="0"/>
      <w:snapToGrid w:val="0"/>
      <w:ind w:firstLineChars="0" w:firstLine="0"/>
      <w:jc w:val="center"/>
    </w:pPr>
    <w:rPr>
      <w:rFonts w:ascii="方正大标宋简体" w:eastAsia="方正大标宋简体"/>
      <w:sz w:val="24"/>
      <w:szCs w:val="24"/>
    </w:rPr>
  </w:style>
  <w:style w:type="paragraph" w:styleId="2fe">
    <w:name w:val="List 2"/>
    <w:basedOn w:val="af3"/>
    <w:qFormat/>
    <w:rsid w:val="009964C3"/>
    <w:pPr>
      <w:ind w:leftChars="200" w:left="100" w:hangingChars="200" w:hanging="200"/>
    </w:pPr>
    <w:rPr>
      <w:sz w:val="24"/>
      <w:szCs w:val="20"/>
    </w:rPr>
  </w:style>
  <w:style w:type="paragraph" w:customStyle="1" w:styleId="500984">
    <w:name w:val="样式 表内小5 + 左侧:  0 厘米 悬挂缩进: 0.98 字符4"/>
    <w:basedOn w:val="af3"/>
    <w:rsid w:val="009964C3"/>
    <w:pPr>
      <w:adjustRightInd w:val="0"/>
      <w:snapToGrid w:val="0"/>
      <w:spacing w:line="300" w:lineRule="auto"/>
      <w:ind w:leftChars="-200" w:left="289" w:hanging="769"/>
    </w:pPr>
    <w:rPr>
      <w:rFonts w:ascii="宋体" w:hAnsi="宋体" w:cs="宋体"/>
      <w:sz w:val="18"/>
      <w:szCs w:val="20"/>
    </w:rPr>
  </w:style>
  <w:style w:type="paragraph" w:customStyle="1" w:styleId="Char6CharCharCharCharCharCharCharCharChar1">
    <w:name w:val="Char6 Char Char Char Char Char Char Char Char Char1"/>
    <w:basedOn w:val="af3"/>
    <w:rsid w:val="009964C3"/>
    <w:pPr>
      <w:spacing w:line="360" w:lineRule="auto"/>
      <w:ind w:firstLineChars="200" w:firstLine="200"/>
    </w:pPr>
    <w:rPr>
      <w:szCs w:val="20"/>
    </w:rPr>
  </w:style>
  <w:style w:type="paragraph" w:customStyle="1" w:styleId="afffe">
    <w:name w:val="样式 表头 江 + 宋体"/>
    <w:basedOn w:val="affff"/>
    <w:link w:val="Charfe"/>
    <w:semiHidden/>
    <w:rsid w:val="009964C3"/>
    <w:pPr>
      <w:tabs>
        <w:tab w:val="left" w:pos="-6055"/>
      </w:tabs>
      <w:ind w:left="-6055" w:hanging="425"/>
    </w:pPr>
  </w:style>
  <w:style w:type="paragraph" w:styleId="5">
    <w:name w:val="List Number 5"/>
    <w:basedOn w:val="af3"/>
    <w:qFormat/>
    <w:rsid w:val="009964C3"/>
    <w:pPr>
      <w:numPr>
        <w:numId w:val="8"/>
      </w:numPr>
      <w:tabs>
        <w:tab w:val="left" w:pos="2412"/>
      </w:tabs>
    </w:pPr>
    <w:rPr>
      <w:sz w:val="24"/>
      <w:szCs w:val="20"/>
    </w:rPr>
  </w:style>
  <w:style w:type="paragraph" w:customStyle="1" w:styleId="545">
    <w:name w:val="表内宋5中45"/>
    <w:basedOn w:val="af3"/>
    <w:rsid w:val="009964C3"/>
    <w:pPr>
      <w:adjustRightInd w:val="0"/>
      <w:snapToGrid w:val="0"/>
      <w:jc w:val="center"/>
      <w:textAlignment w:val="baseline"/>
    </w:pPr>
    <w:rPr>
      <w:rFonts w:ascii="宋体" w:hAnsi="宋体"/>
      <w:kern w:val="0"/>
      <w:szCs w:val="20"/>
    </w:rPr>
  </w:style>
  <w:style w:type="paragraph" w:styleId="30">
    <w:name w:val="List Bullet 3"/>
    <w:basedOn w:val="af3"/>
    <w:qFormat/>
    <w:rsid w:val="009964C3"/>
    <w:pPr>
      <w:numPr>
        <w:numId w:val="9"/>
      </w:numPr>
      <w:tabs>
        <w:tab w:val="left" w:pos="1200"/>
      </w:tabs>
    </w:pPr>
    <w:rPr>
      <w:sz w:val="24"/>
      <w:szCs w:val="20"/>
    </w:rPr>
  </w:style>
  <w:style w:type="paragraph" w:customStyle="1" w:styleId="517">
    <w:name w:val="表内宋5中17"/>
    <w:basedOn w:val="af3"/>
    <w:rsid w:val="009964C3"/>
    <w:pPr>
      <w:adjustRightInd w:val="0"/>
      <w:snapToGrid w:val="0"/>
      <w:jc w:val="center"/>
      <w:textAlignment w:val="baseline"/>
    </w:pPr>
    <w:rPr>
      <w:rFonts w:ascii="宋体" w:hAnsi="宋体" w:cs="宋体"/>
      <w:kern w:val="0"/>
      <w:szCs w:val="20"/>
    </w:rPr>
  </w:style>
  <w:style w:type="paragraph" w:customStyle="1" w:styleId="38-1">
    <w:name w:val="表3.8-1"/>
    <w:basedOn w:val="2410"/>
    <w:link w:val="38-1Char"/>
    <w:rsid w:val="009964C3"/>
    <w:pPr>
      <w:numPr>
        <w:numId w:val="10"/>
      </w:numPr>
      <w:tabs>
        <w:tab w:val="clear" w:pos="4060"/>
        <w:tab w:val="clear" w:pos="8261"/>
        <w:tab w:val="left" w:pos="360"/>
        <w:tab w:val="left" w:pos="420"/>
        <w:tab w:val="left" w:pos="2040"/>
      </w:tabs>
      <w:ind w:leftChars="800" w:left="2040" w:hangingChars="200" w:hanging="360"/>
    </w:pPr>
  </w:style>
  <w:style w:type="paragraph" w:customStyle="1" w:styleId="2ff">
    <w:name w:val="样式 报告书正文 + 首行缩进:  2 字符"/>
    <w:basedOn w:val="af3"/>
    <w:rsid w:val="009964C3"/>
    <w:pPr>
      <w:spacing w:line="360" w:lineRule="auto"/>
      <w:ind w:firstLineChars="200" w:firstLine="560"/>
    </w:pPr>
    <w:rPr>
      <w:color w:val="000000"/>
      <w:sz w:val="28"/>
      <w:szCs w:val="28"/>
    </w:rPr>
  </w:style>
  <w:style w:type="paragraph" w:customStyle="1" w:styleId="xl71">
    <w:name w:val="xl71"/>
    <w:basedOn w:val="af3"/>
    <w:rsid w:val="009964C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styleId="afffd">
    <w:name w:val="Salutation"/>
    <w:basedOn w:val="af3"/>
    <w:next w:val="af3"/>
    <w:link w:val="Char16"/>
    <w:qFormat/>
    <w:rsid w:val="009964C3"/>
    <w:rPr>
      <w:sz w:val="24"/>
      <w:szCs w:val="20"/>
    </w:rPr>
  </w:style>
  <w:style w:type="paragraph" w:styleId="4d">
    <w:name w:val="toc 4"/>
    <w:basedOn w:val="af3"/>
    <w:next w:val="af3"/>
    <w:uiPriority w:val="39"/>
    <w:qFormat/>
    <w:rsid w:val="009964C3"/>
    <w:pPr>
      <w:ind w:left="630"/>
      <w:jc w:val="left"/>
    </w:pPr>
    <w:rPr>
      <w:sz w:val="18"/>
      <w:szCs w:val="18"/>
    </w:rPr>
  </w:style>
  <w:style w:type="paragraph" w:customStyle="1" w:styleId="120">
    <w:name w:val="待定小12"/>
    <w:basedOn w:val="afffffffffe"/>
    <w:rsid w:val="009964C3"/>
    <w:pPr>
      <w:spacing w:line="240" w:lineRule="auto"/>
      <w:ind w:firstLine="0"/>
    </w:pPr>
    <w:rPr>
      <w:color w:val="0000FF"/>
      <w:sz w:val="21"/>
      <w:szCs w:val="20"/>
    </w:rPr>
  </w:style>
  <w:style w:type="paragraph" w:customStyle="1" w:styleId="5110">
    <w:name w:val="表内宋5中11"/>
    <w:basedOn w:val="af3"/>
    <w:rsid w:val="009964C3"/>
    <w:pPr>
      <w:adjustRightInd w:val="0"/>
      <w:snapToGrid w:val="0"/>
      <w:jc w:val="center"/>
      <w:textAlignment w:val="baseline"/>
    </w:pPr>
    <w:rPr>
      <w:rFonts w:ascii="宋体" w:hAnsi="宋体" w:cs="宋体"/>
      <w:kern w:val="0"/>
      <w:szCs w:val="20"/>
    </w:rPr>
  </w:style>
  <w:style w:type="paragraph" w:customStyle="1" w:styleId="540">
    <w:name w:val="表内小54"/>
    <w:basedOn w:val="af3"/>
    <w:rsid w:val="009964C3"/>
    <w:pPr>
      <w:adjustRightInd w:val="0"/>
      <w:snapToGrid w:val="0"/>
      <w:spacing w:line="300" w:lineRule="auto"/>
    </w:pPr>
    <w:rPr>
      <w:rFonts w:ascii="宋体" w:hAnsi="宋体"/>
      <w:sz w:val="18"/>
    </w:rPr>
  </w:style>
  <w:style w:type="paragraph" w:customStyle="1" w:styleId="2ff0">
    <w:name w:val="副标题2"/>
    <w:basedOn w:val="af3"/>
    <w:rsid w:val="009964C3"/>
    <w:pPr>
      <w:adjustRightInd w:val="0"/>
      <w:snapToGrid w:val="0"/>
      <w:spacing w:line="480" w:lineRule="exact"/>
    </w:pPr>
    <w:rPr>
      <w:rFonts w:ascii="幼圆" w:eastAsia="幼圆" w:hAnsi="宋体"/>
      <w:b/>
      <w:color w:val="000092"/>
      <w:spacing w:val="10"/>
      <w:sz w:val="24"/>
      <w:szCs w:val="20"/>
    </w:rPr>
  </w:style>
  <w:style w:type="paragraph" w:customStyle="1" w:styleId="affffffffff6">
    <w:name w:val="自定义表头文字"/>
    <w:basedOn w:val="af3"/>
    <w:next w:val="af3"/>
    <w:rsid w:val="009964C3"/>
    <w:pPr>
      <w:adjustRightInd w:val="0"/>
      <w:snapToGrid w:val="0"/>
      <w:spacing w:line="360" w:lineRule="auto"/>
    </w:pPr>
    <w:rPr>
      <w:rFonts w:ascii="黑体" w:eastAsia="黑体" w:hAnsi="宋体" w:cs="黑体"/>
      <w:sz w:val="24"/>
    </w:rPr>
  </w:style>
  <w:style w:type="paragraph" w:customStyle="1" w:styleId="xl133">
    <w:name w:val="xl133"/>
    <w:basedOn w:val="af3"/>
    <w:semiHidden/>
    <w:rsid w:val="009964C3"/>
    <w:pPr>
      <w:widowControl/>
      <w:pBdr>
        <w:top w:val="single" w:sz="12"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paragraph" w:customStyle="1" w:styleId="550">
    <w:name w:val="表标题5.5"/>
    <w:basedOn w:val="af3"/>
    <w:rsid w:val="009964C3"/>
    <w:pPr>
      <w:tabs>
        <w:tab w:val="left" w:pos="2460"/>
      </w:tabs>
      <w:spacing w:beforeLines="100" w:line="0" w:lineRule="atLeast"/>
    </w:pPr>
    <w:rPr>
      <w:rFonts w:eastAsia="黑体"/>
      <w:b/>
      <w:sz w:val="24"/>
    </w:rPr>
  </w:style>
  <w:style w:type="paragraph" w:styleId="affffff">
    <w:name w:val="header"/>
    <w:basedOn w:val="af3"/>
    <w:link w:val="Char1f4"/>
    <w:rsid w:val="009964C3"/>
    <w:pPr>
      <w:pBdr>
        <w:bottom w:val="single" w:sz="6" w:space="1" w:color="auto"/>
      </w:pBdr>
      <w:tabs>
        <w:tab w:val="center" w:pos="4153"/>
        <w:tab w:val="right" w:pos="8306"/>
      </w:tabs>
      <w:snapToGrid w:val="0"/>
      <w:jc w:val="center"/>
    </w:pPr>
    <w:rPr>
      <w:sz w:val="18"/>
      <w:szCs w:val="18"/>
    </w:rPr>
  </w:style>
  <w:style w:type="paragraph" w:customStyle="1" w:styleId="affffffffff7">
    <w:name w:val="表内字"/>
    <w:rsid w:val="009964C3"/>
    <w:pPr>
      <w:spacing w:line="312" w:lineRule="auto"/>
      <w:jc w:val="center"/>
    </w:pPr>
    <w:rPr>
      <w:color w:val="000000"/>
      <w:sz w:val="21"/>
    </w:rPr>
  </w:style>
  <w:style w:type="paragraph" w:customStyle="1" w:styleId="4210">
    <w:name w:val="表内小421"/>
    <w:basedOn w:val="affffffffff"/>
    <w:rsid w:val="009964C3"/>
    <w:pPr>
      <w:ind w:left="240" w:hanging="240"/>
      <w:jc w:val="both"/>
    </w:pPr>
  </w:style>
  <w:style w:type="paragraph" w:customStyle="1" w:styleId="145">
    <w:name w:val="页眉中145"/>
    <w:basedOn w:val="af3"/>
    <w:rsid w:val="009964C3"/>
    <w:pPr>
      <w:adjustRightInd w:val="0"/>
      <w:snapToGrid w:val="0"/>
      <w:spacing w:line="300" w:lineRule="auto"/>
      <w:jc w:val="left"/>
    </w:pPr>
    <w:rPr>
      <w:rFonts w:ascii="黑体" w:eastAsia="黑体"/>
      <w:bCs/>
      <w:sz w:val="24"/>
      <w:szCs w:val="20"/>
    </w:rPr>
  </w:style>
  <w:style w:type="paragraph" w:customStyle="1" w:styleId="452">
    <w:name w:val="标题452"/>
    <w:basedOn w:val="af3"/>
    <w:rsid w:val="009964C3"/>
    <w:pPr>
      <w:adjustRightInd w:val="0"/>
      <w:snapToGrid w:val="0"/>
      <w:spacing w:line="360" w:lineRule="auto"/>
      <w:jc w:val="left"/>
    </w:pPr>
    <w:rPr>
      <w:rFonts w:ascii="黑体" w:eastAsia="黑体"/>
      <w:bCs/>
      <w:sz w:val="24"/>
    </w:rPr>
  </w:style>
  <w:style w:type="paragraph" w:customStyle="1" w:styleId="321">
    <w:name w:val="表内文字小32"/>
    <w:basedOn w:val="af3"/>
    <w:rsid w:val="009964C3"/>
    <w:pPr>
      <w:adjustRightInd w:val="0"/>
      <w:snapToGrid w:val="0"/>
      <w:jc w:val="center"/>
    </w:pPr>
    <w:rPr>
      <w:rFonts w:ascii="宋体" w:hAnsi="Times" w:cs="宋体"/>
      <w:bCs/>
      <w:color w:val="003366"/>
      <w:szCs w:val="20"/>
    </w:rPr>
  </w:style>
  <w:style w:type="paragraph" w:styleId="afffffffb">
    <w:name w:val="Balloon Text"/>
    <w:basedOn w:val="af3"/>
    <w:link w:val="Charfffff3"/>
    <w:semiHidden/>
    <w:qFormat/>
    <w:rsid w:val="009964C3"/>
    <w:pPr>
      <w:widowControl/>
      <w:jc w:val="left"/>
    </w:pPr>
    <w:rPr>
      <w:rFonts w:ascii="宋体" w:hAnsi="宋体" w:cs="宋体"/>
      <w:kern w:val="0"/>
      <w:sz w:val="18"/>
      <w:szCs w:val="18"/>
    </w:rPr>
  </w:style>
  <w:style w:type="paragraph" w:customStyle="1" w:styleId="5117">
    <w:name w:val="表内5117"/>
    <w:basedOn w:val="af3"/>
    <w:qFormat/>
    <w:rsid w:val="009964C3"/>
    <w:pPr>
      <w:adjustRightInd w:val="0"/>
      <w:snapToGrid w:val="0"/>
      <w:spacing w:line="300" w:lineRule="auto"/>
      <w:jc w:val="left"/>
    </w:pPr>
    <w:rPr>
      <w:rFonts w:ascii="宋体"/>
      <w:szCs w:val="20"/>
    </w:rPr>
  </w:style>
  <w:style w:type="paragraph" w:styleId="3f2">
    <w:name w:val="List Continue 3"/>
    <w:basedOn w:val="af3"/>
    <w:qFormat/>
    <w:rsid w:val="009964C3"/>
    <w:pPr>
      <w:spacing w:after="120"/>
      <w:ind w:leftChars="600" w:left="1260"/>
    </w:pPr>
    <w:rPr>
      <w:sz w:val="24"/>
      <w:szCs w:val="20"/>
    </w:rPr>
  </w:style>
  <w:style w:type="paragraph" w:customStyle="1" w:styleId="5f1">
    <w:name w:val="样式 表内宋5中 + 五号"/>
    <w:basedOn w:val="af3"/>
    <w:rsid w:val="009964C3"/>
    <w:pPr>
      <w:adjustRightInd w:val="0"/>
      <w:snapToGrid w:val="0"/>
      <w:jc w:val="center"/>
      <w:textAlignment w:val="baseline"/>
    </w:pPr>
    <w:rPr>
      <w:rFonts w:ascii="宋体" w:hAnsi="宋体"/>
      <w:kern w:val="0"/>
      <w:szCs w:val="20"/>
    </w:rPr>
  </w:style>
  <w:style w:type="paragraph" w:styleId="affffffff5">
    <w:name w:val="Date"/>
    <w:basedOn w:val="af3"/>
    <w:next w:val="af3"/>
    <w:link w:val="Char1ff5"/>
    <w:qFormat/>
    <w:rsid w:val="009964C3"/>
    <w:pPr>
      <w:adjustRightInd w:val="0"/>
      <w:snapToGrid w:val="0"/>
      <w:spacing w:line="300" w:lineRule="auto"/>
      <w:jc w:val="center"/>
    </w:pPr>
    <w:rPr>
      <w:rFonts w:ascii="宋体" w:hAnsi="宋体" w:cs="宋体"/>
      <w:szCs w:val="20"/>
    </w:rPr>
  </w:style>
  <w:style w:type="paragraph" w:customStyle="1" w:styleId="affffffffff8">
    <w:name w:val="题注+"/>
    <w:basedOn w:val="afff2"/>
    <w:next w:val="af3"/>
    <w:rsid w:val="009964C3"/>
    <w:pPr>
      <w:widowControl/>
      <w:spacing w:line="360" w:lineRule="auto"/>
      <w:jc w:val="center"/>
    </w:pPr>
    <w:rPr>
      <w:rFonts w:eastAsia="宋体"/>
      <w:b/>
      <w:kern w:val="0"/>
      <w:sz w:val="24"/>
    </w:rPr>
  </w:style>
  <w:style w:type="paragraph" w:customStyle="1" w:styleId="affffffffff9">
    <w:name w:val="平正文"/>
    <w:basedOn w:val="af3"/>
    <w:rsid w:val="009964C3"/>
    <w:pPr>
      <w:spacing w:line="520" w:lineRule="exact"/>
      <w:ind w:firstLineChars="200" w:firstLine="560"/>
    </w:pPr>
    <w:rPr>
      <w:sz w:val="28"/>
      <w:szCs w:val="28"/>
    </w:rPr>
  </w:style>
  <w:style w:type="paragraph" w:customStyle="1" w:styleId="ST2043">
    <w:name w:val="ST20_43"/>
    <w:basedOn w:val="ST2021"/>
    <w:next w:val="af3"/>
    <w:rsid w:val="009964C3"/>
    <w:pPr>
      <w:spacing w:after="240"/>
    </w:pPr>
  </w:style>
  <w:style w:type="paragraph" w:customStyle="1" w:styleId="Charfffffff0">
    <w:name w:val="居中表内文 Char"/>
    <w:basedOn w:val="af3"/>
    <w:semiHidden/>
    <w:rsid w:val="009964C3"/>
    <w:pPr>
      <w:spacing w:line="240" w:lineRule="exact"/>
      <w:jc w:val="center"/>
    </w:pPr>
    <w:rPr>
      <w:rFonts w:cs="宋体"/>
      <w:sz w:val="18"/>
      <w:szCs w:val="20"/>
    </w:rPr>
  </w:style>
  <w:style w:type="paragraph" w:customStyle="1" w:styleId="affffffffffa">
    <w:name w:val="附录四级条标题"/>
    <w:basedOn w:val="af3"/>
    <w:next w:val="43"/>
    <w:qFormat/>
    <w:rsid w:val="009964C3"/>
    <w:pPr>
      <w:widowControl/>
      <w:wordWrap w:val="0"/>
      <w:overflowPunct w:val="0"/>
      <w:autoSpaceDE w:val="0"/>
      <w:autoSpaceDN w:val="0"/>
      <w:textAlignment w:val="baseline"/>
      <w:outlineLvl w:val="5"/>
    </w:pPr>
    <w:rPr>
      <w:rFonts w:ascii="黑体" w:eastAsia="黑体"/>
      <w:kern w:val="21"/>
      <w:szCs w:val="20"/>
    </w:rPr>
  </w:style>
  <w:style w:type="paragraph" w:styleId="2ff1">
    <w:name w:val="List Continue 2"/>
    <w:basedOn w:val="af3"/>
    <w:qFormat/>
    <w:rsid w:val="009964C3"/>
    <w:pPr>
      <w:spacing w:after="120"/>
      <w:ind w:leftChars="400" w:left="840"/>
    </w:pPr>
    <w:rPr>
      <w:sz w:val="24"/>
      <w:szCs w:val="20"/>
    </w:rPr>
  </w:style>
  <w:style w:type="paragraph" w:customStyle="1" w:styleId="guo">
    <w:name w:val="guo正文"/>
    <w:basedOn w:val="af3"/>
    <w:rsid w:val="009964C3"/>
    <w:pPr>
      <w:adjustRightInd w:val="0"/>
      <w:snapToGrid w:val="0"/>
      <w:spacing w:line="360" w:lineRule="auto"/>
      <w:jc w:val="center"/>
    </w:pPr>
    <w:rPr>
      <w:rFonts w:ascii="宋体"/>
      <w:b/>
      <w:bCs/>
      <w:sz w:val="24"/>
      <w:szCs w:val="20"/>
    </w:rPr>
  </w:style>
  <w:style w:type="paragraph" w:customStyle="1" w:styleId="515">
    <w:name w:val="样式 表内5 + (符号) 宋体 两端对齐 行距: 单倍行距15"/>
    <w:basedOn w:val="af3"/>
    <w:rsid w:val="009964C3"/>
    <w:pPr>
      <w:adjustRightInd w:val="0"/>
      <w:snapToGrid w:val="0"/>
      <w:jc w:val="center"/>
    </w:pPr>
    <w:rPr>
      <w:rFonts w:ascii="宋体" w:hAnsi="宋体" w:cs="宋体"/>
      <w:kern w:val="0"/>
      <w:szCs w:val="20"/>
    </w:rPr>
  </w:style>
  <w:style w:type="paragraph" w:styleId="50">
    <w:name w:val="List Bullet 5"/>
    <w:basedOn w:val="af3"/>
    <w:qFormat/>
    <w:rsid w:val="009964C3"/>
    <w:pPr>
      <w:numPr>
        <w:numId w:val="11"/>
      </w:numPr>
      <w:tabs>
        <w:tab w:val="left" w:pos="2040"/>
      </w:tabs>
    </w:pPr>
    <w:rPr>
      <w:sz w:val="24"/>
      <w:szCs w:val="20"/>
    </w:rPr>
  </w:style>
  <w:style w:type="paragraph" w:customStyle="1" w:styleId="CharCharChar11">
    <w:name w:val="Char Char Char1"/>
    <w:basedOn w:val="af3"/>
    <w:next w:val="af3"/>
    <w:rsid w:val="009964C3"/>
    <w:pPr>
      <w:keepNext/>
      <w:keepLines/>
      <w:widowControl/>
      <w:adjustRightInd w:val="0"/>
      <w:spacing w:before="40" w:after="40" w:line="360" w:lineRule="auto"/>
      <w:ind w:firstLineChars="200" w:firstLine="200"/>
      <w:outlineLvl w:val="3"/>
    </w:pPr>
    <w:rPr>
      <w:rFonts w:eastAsia="仿宋_GB2312" w:cs="宋体"/>
      <w:b/>
      <w:kern w:val="0"/>
      <w:sz w:val="24"/>
      <w:szCs w:val="28"/>
    </w:rPr>
  </w:style>
  <w:style w:type="paragraph" w:customStyle="1" w:styleId="5111">
    <w:name w:val="表内5中11"/>
    <w:basedOn w:val="affffffffff3"/>
    <w:rsid w:val="009964C3"/>
    <w:pPr>
      <w:widowControl/>
    </w:pPr>
    <w:rPr>
      <w:kern w:val="0"/>
      <w:sz w:val="21"/>
      <w:szCs w:val="21"/>
    </w:rPr>
  </w:style>
  <w:style w:type="paragraph" w:customStyle="1" w:styleId="afffffffff">
    <w:name w:val="样式 (中文) 黑体 五号 加粗 居中 行距: 单倍行距"/>
    <w:basedOn w:val="af3"/>
    <w:link w:val="Charffffff6"/>
    <w:rsid w:val="009964C3"/>
    <w:pPr>
      <w:adjustRightInd w:val="0"/>
      <w:snapToGrid w:val="0"/>
      <w:jc w:val="center"/>
    </w:pPr>
    <w:rPr>
      <w:rFonts w:eastAsia="黑体"/>
      <w:b/>
      <w:bCs/>
      <w:szCs w:val="20"/>
    </w:rPr>
  </w:style>
  <w:style w:type="paragraph" w:styleId="affffffffffb">
    <w:name w:val="List Paragraph"/>
    <w:basedOn w:val="af3"/>
    <w:qFormat/>
    <w:rsid w:val="009964C3"/>
    <w:pPr>
      <w:ind w:firstLineChars="200" w:firstLine="420"/>
    </w:pPr>
    <w:rPr>
      <w:rFonts w:ascii="Arial" w:hAnsi="Arial"/>
      <w:szCs w:val="21"/>
    </w:rPr>
  </w:style>
  <w:style w:type="paragraph" w:styleId="2ff2">
    <w:name w:val="toc 2"/>
    <w:basedOn w:val="af3"/>
    <w:next w:val="af3"/>
    <w:uiPriority w:val="39"/>
    <w:qFormat/>
    <w:rsid w:val="009964C3"/>
    <w:pPr>
      <w:tabs>
        <w:tab w:val="right" w:leader="dot" w:pos="8296"/>
      </w:tabs>
      <w:spacing w:line="312" w:lineRule="auto"/>
      <w:ind w:left="210" w:firstLineChars="200" w:firstLine="480"/>
      <w:jc w:val="center"/>
    </w:pPr>
    <w:rPr>
      <w:rFonts w:eastAsia="黑体"/>
      <w:b/>
      <w:smallCaps/>
      <w:sz w:val="38"/>
      <w:szCs w:val="38"/>
    </w:rPr>
  </w:style>
  <w:style w:type="paragraph" w:styleId="4e">
    <w:name w:val="index 4"/>
    <w:basedOn w:val="af3"/>
    <w:next w:val="af3"/>
    <w:semiHidden/>
    <w:qFormat/>
    <w:rsid w:val="009964C3"/>
    <w:pPr>
      <w:ind w:leftChars="600" w:left="600"/>
    </w:pPr>
    <w:rPr>
      <w:sz w:val="24"/>
      <w:szCs w:val="20"/>
    </w:rPr>
  </w:style>
  <w:style w:type="paragraph" w:styleId="38">
    <w:name w:val="Body Text Indent 3"/>
    <w:basedOn w:val="af3"/>
    <w:link w:val="3Char10"/>
    <w:qFormat/>
    <w:rsid w:val="009964C3"/>
    <w:pPr>
      <w:spacing w:after="120"/>
      <w:ind w:leftChars="200" w:left="420"/>
    </w:pPr>
    <w:rPr>
      <w:sz w:val="16"/>
      <w:szCs w:val="16"/>
    </w:rPr>
  </w:style>
  <w:style w:type="paragraph" w:customStyle="1" w:styleId="3042042">
    <w:name w:val="样式 标题 3 + 左侧:  0.42 厘米 右侧:  0.42 厘米"/>
    <w:basedOn w:val="31"/>
    <w:semiHidden/>
    <w:rsid w:val="009964C3"/>
    <w:pPr>
      <w:tabs>
        <w:tab w:val="left" w:pos="708"/>
      </w:tabs>
      <w:adjustRightInd w:val="0"/>
      <w:snapToGrid w:val="0"/>
      <w:spacing w:beforeLines="50" w:after="0" w:line="240" w:lineRule="auto"/>
      <w:ind w:left="708" w:hanging="709"/>
    </w:pPr>
    <w:rPr>
      <w:rFonts w:cs="宋体"/>
      <w:sz w:val="21"/>
      <w:szCs w:val="20"/>
    </w:rPr>
  </w:style>
  <w:style w:type="paragraph" w:customStyle="1" w:styleId="350">
    <w:name w:val="燕山正文35"/>
    <w:basedOn w:val="af3"/>
    <w:rsid w:val="009964C3"/>
    <w:pPr>
      <w:tabs>
        <w:tab w:val="left" w:pos="4680"/>
      </w:tabs>
      <w:adjustRightInd w:val="0"/>
      <w:snapToGrid w:val="0"/>
      <w:spacing w:line="360" w:lineRule="auto"/>
      <w:ind w:firstLineChars="200" w:firstLine="560"/>
    </w:pPr>
    <w:rPr>
      <w:rFonts w:ascii="宋体" w:hAnsi="宋体"/>
      <w:color w:val="000000"/>
      <w:sz w:val="28"/>
      <w:szCs w:val="28"/>
    </w:rPr>
  </w:style>
  <w:style w:type="paragraph" w:styleId="affffffffffc">
    <w:name w:val="List Continue"/>
    <w:basedOn w:val="af3"/>
    <w:qFormat/>
    <w:rsid w:val="009964C3"/>
    <w:pPr>
      <w:spacing w:after="120"/>
      <w:ind w:leftChars="200" w:left="420"/>
    </w:pPr>
    <w:rPr>
      <w:sz w:val="24"/>
      <w:szCs w:val="20"/>
    </w:rPr>
  </w:style>
  <w:style w:type="paragraph" w:customStyle="1" w:styleId="54">
    <w:name w:val="表内5"/>
    <w:basedOn w:val="af3"/>
    <w:link w:val="5Char1"/>
    <w:rsid w:val="009964C3"/>
    <w:pPr>
      <w:adjustRightInd w:val="0"/>
      <w:snapToGrid w:val="0"/>
      <w:spacing w:line="300" w:lineRule="auto"/>
      <w:jc w:val="center"/>
    </w:pPr>
    <w:rPr>
      <w:rFonts w:ascii="宋体" w:hAnsi="宋体" w:cs="宋体"/>
      <w:szCs w:val="20"/>
    </w:rPr>
  </w:style>
  <w:style w:type="paragraph" w:customStyle="1" w:styleId="Char1CharChar1">
    <w:name w:val="Char1 Char Char1"/>
    <w:basedOn w:val="af3"/>
    <w:next w:val="af3"/>
    <w:link w:val="Char1CharChar1Char"/>
    <w:semiHidden/>
    <w:rsid w:val="009964C3"/>
    <w:pPr>
      <w:keepNext/>
      <w:keepLines/>
      <w:tabs>
        <w:tab w:val="left" w:pos="-63"/>
        <w:tab w:val="left" w:pos="900"/>
      </w:tabs>
      <w:ind w:left="-63" w:firstLine="538"/>
      <w:outlineLvl w:val="3"/>
    </w:pPr>
    <w:rPr>
      <w:rFonts w:ascii="Arial" w:hAnsi="Arial"/>
      <w:bCs/>
      <w:szCs w:val="28"/>
    </w:rPr>
  </w:style>
  <w:style w:type="paragraph" w:styleId="afffffd">
    <w:name w:val="List"/>
    <w:basedOn w:val="af3"/>
    <w:link w:val="Charfffd"/>
    <w:qFormat/>
    <w:rsid w:val="009964C3"/>
    <w:pPr>
      <w:ind w:left="200" w:hangingChars="200" w:hanging="200"/>
    </w:pPr>
    <w:rPr>
      <w:sz w:val="24"/>
      <w:szCs w:val="20"/>
    </w:rPr>
  </w:style>
  <w:style w:type="paragraph" w:customStyle="1" w:styleId="551">
    <w:name w:val="表内551"/>
    <w:basedOn w:val="5f2"/>
    <w:rsid w:val="009964C3"/>
    <w:pPr>
      <w:jc w:val="both"/>
    </w:pPr>
    <w:rPr>
      <w:color w:val="000000"/>
    </w:rPr>
  </w:style>
  <w:style w:type="paragraph" w:styleId="afff">
    <w:name w:val="Body Text"/>
    <w:basedOn w:val="af3"/>
    <w:link w:val="Charf2"/>
    <w:qFormat/>
    <w:rsid w:val="009964C3"/>
    <w:pPr>
      <w:spacing w:after="120"/>
    </w:pPr>
  </w:style>
  <w:style w:type="paragraph" w:customStyle="1" w:styleId="710">
    <w:name w:val="表内文字小71"/>
    <w:basedOn w:val="af3"/>
    <w:rsid w:val="009964C3"/>
    <w:pPr>
      <w:adjustRightInd w:val="0"/>
      <w:snapToGrid w:val="0"/>
      <w:jc w:val="center"/>
    </w:pPr>
    <w:rPr>
      <w:rFonts w:ascii="宋体" w:hAnsi="Times"/>
      <w:szCs w:val="20"/>
    </w:rPr>
  </w:style>
  <w:style w:type="paragraph" w:customStyle="1" w:styleId="400">
    <w:name w:val="样式 标题 4 + 左侧:  0 厘米 首行缩进:  0 厘米"/>
    <w:basedOn w:val="43"/>
    <w:link w:val="400Char"/>
    <w:rsid w:val="009964C3"/>
    <w:pPr>
      <w:adjustRightInd w:val="0"/>
      <w:snapToGrid w:val="0"/>
      <w:spacing w:before="0" w:after="0" w:line="360" w:lineRule="auto"/>
    </w:pPr>
    <w:rPr>
      <w:rFonts w:ascii="Times New Roman" w:eastAsia="宋体" w:hAnsi="Times New Roman"/>
      <w:b w:val="0"/>
      <w:bCs w:val="0"/>
      <w:sz w:val="24"/>
      <w:szCs w:val="20"/>
    </w:rPr>
  </w:style>
  <w:style w:type="paragraph" w:customStyle="1" w:styleId="3f3">
    <w:name w:val="图题注3"/>
    <w:basedOn w:val="afff2"/>
    <w:rsid w:val="009964C3"/>
    <w:pPr>
      <w:jc w:val="center"/>
    </w:pPr>
    <w:rPr>
      <w:rFonts w:ascii="黑体" w:cs="宋体"/>
      <w:b/>
      <w:bCs/>
      <w:sz w:val="24"/>
      <w:szCs w:val="24"/>
    </w:rPr>
  </w:style>
  <w:style w:type="paragraph" w:styleId="3c">
    <w:name w:val="Body Text 3"/>
    <w:basedOn w:val="af3"/>
    <w:link w:val="3Char11"/>
    <w:qFormat/>
    <w:rsid w:val="009964C3"/>
    <w:pPr>
      <w:spacing w:after="120"/>
    </w:pPr>
    <w:rPr>
      <w:sz w:val="16"/>
      <w:szCs w:val="16"/>
    </w:rPr>
  </w:style>
  <w:style w:type="paragraph" w:customStyle="1" w:styleId="512">
    <w:name w:val="表内宋5中1"/>
    <w:basedOn w:val="af3"/>
    <w:rsid w:val="009964C3"/>
    <w:pPr>
      <w:adjustRightInd w:val="0"/>
      <w:snapToGrid w:val="0"/>
      <w:jc w:val="center"/>
      <w:textAlignment w:val="baseline"/>
    </w:pPr>
    <w:rPr>
      <w:rFonts w:ascii="宋体" w:hAnsi="宋体" w:cs="宋体"/>
      <w:kern w:val="0"/>
      <w:szCs w:val="20"/>
    </w:rPr>
  </w:style>
  <w:style w:type="paragraph" w:styleId="affffffffffd">
    <w:name w:val="index heading"/>
    <w:basedOn w:val="af3"/>
    <w:next w:val="1fd"/>
    <w:semiHidden/>
    <w:qFormat/>
    <w:rsid w:val="009964C3"/>
    <w:rPr>
      <w:rFonts w:ascii="Arial" w:hAnsi="Arial" w:cs="Arial"/>
      <w:b/>
      <w:bCs/>
      <w:sz w:val="24"/>
      <w:szCs w:val="20"/>
    </w:rPr>
  </w:style>
  <w:style w:type="paragraph" w:customStyle="1" w:styleId="2100">
    <w:name w:val="页眉中210"/>
    <w:basedOn w:val="af3"/>
    <w:rsid w:val="009964C3"/>
    <w:pPr>
      <w:adjustRightInd w:val="0"/>
      <w:snapToGrid w:val="0"/>
      <w:jc w:val="center"/>
    </w:pPr>
    <w:rPr>
      <w:rFonts w:ascii="黑体" w:eastAsia="黑体"/>
      <w:bCs/>
      <w:szCs w:val="20"/>
    </w:rPr>
  </w:style>
  <w:style w:type="paragraph" w:customStyle="1" w:styleId="340">
    <w:name w:val="燕山正文34"/>
    <w:basedOn w:val="af3"/>
    <w:rsid w:val="009964C3"/>
    <w:pPr>
      <w:tabs>
        <w:tab w:val="left" w:pos="4680"/>
      </w:tabs>
      <w:adjustRightInd w:val="0"/>
      <w:snapToGrid w:val="0"/>
      <w:spacing w:line="360" w:lineRule="auto"/>
      <w:ind w:firstLineChars="200" w:firstLine="560"/>
    </w:pPr>
    <w:rPr>
      <w:rFonts w:ascii="宋体" w:hAnsi="宋体"/>
      <w:color w:val="000000"/>
      <w:sz w:val="28"/>
      <w:szCs w:val="28"/>
    </w:rPr>
  </w:style>
  <w:style w:type="paragraph" w:customStyle="1" w:styleId="543">
    <w:name w:val="表内543"/>
    <w:basedOn w:val="af3"/>
    <w:rsid w:val="009964C3"/>
    <w:pPr>
      <w:adjustRightInd w:val="0"/>
      <w:snapToGrid w:val="0"/>
      <w:spacing w:line="300" w:lineRule="auto"/>
      <w:jc w:val="center"/>
    </w:pPr>
    <w:rPr>
      <w:rFonts w:ascii="宋体" w:hAnsi="宋体" w:cs="宋体"/>
      <w:szCs w:val="20"/>
    </w:rPr>
  </w:style>
  <w:style w:type="paragraph" w:customStyle="1" w:styleId="125">
    <w:name w:val="样式125"/>
    <w:basedOn w:val="4a"/>
    <w:rsid w:val="009964C3"/>
    <w:pPr>
      <w:snapToGrid w:val="0"/>
      <w:spacing w:line="300" w:lineRule="auto"/>
      <w:ind w:firstLineChars="200" w:firstLine="560"/>
      <w:jc w:val="both"/>
      <w:textAlignment w:val="auto"/>
    </w:pPr>
    <w:rPr>
      <w:rFonts w:ascii="宋体" w:hAnsi="宋体"/>
      <w:sz w:val="28"/>
    </w:rPr>
  </w:style>
  <w:style w:type="paragraph" w:styleId="affffffffffe">
    <w:name w:val="Revision"/>
    <w:rsid w:val="009964C3"/>
    <w:rPr>
      <w:kern w:val="2"/>
      <w:sz w:val="21"/>
    </w:rPr>
  </w:style>
  <w:style w:type="paragraph" w:styleId="afffffff6">
    <w:name w:val="Signature"/>
    <w:basedOn w:val="af3"/>
    <w:link w:val="Char1ff0"/>
    <w:qFormat/>
    <w:rsid w:val="009964C3"/>
    <w:pPr>
      <w:ind w:leftChars="2100" w:left="100"/>
    </w:pPr>
    <w:rPr>
      <w:sz w:val="24"/>
      <w:szCs w:val="20"/>
    </w:rPr>
  </w:style>
  <w:style w:type="paragraph" w:customStyle="1" w:styleId="520">
    <w:name w:val="样式 表内小5 + 黑体 加粗 倾斜 下划线2"/>
    <w:basedOn w:val="af3"/>
    <w:rsid w:val="009964C3"/>
    <w:pPr>
      <w:adjustRightInd w:val="0"/>
      <w:snapToGrid w:val="0"/>
      <w:spacing w:line="300" w:lineRule="auto"/>
    </w:pPr>
    <w:rPr>
      <w:rFonts w:ascii="黑体" w:eastAsia="黑体" w:hAnsi="黑体"/>
      <w:b/>
      <w:bCs/>
      <w:i/>
      <w:iCs/>
      <w:sz w:val="18"/>
      <w:u w:val="single"/>
    </w:rPr>
  </w:style>
  <w:style w:type="paragraph" w:customStyle="1" w:styleId="115">
    <w:name w:val="正文115"/>
    <w:basedOn w:val="af3"/>
    <w:rsid w:val="009964C3"/>
    <w:pPr>
      <w:adjustRightInd w:val="0"/>
      <w:snapToGrid w:val="0"/>
      <w:spacing w:after="120"/>
      <w:jc w:val="center"/>
      <w:textAlignment w:val="baseline"/>
    </w:pPr>
    <w:rPr>
      <w:kern w:val="0"/>
      <w:sz w:val="18"/>
      <w:szCs w:val="20"/>
    </w:rPr>
  </w:style>
  <w:style w:type="paragraph" w:customStyle="1" w:styleId="5f3">
    <w:name w:val="等核实5"/>
    <w:basedOn w:val="afffffff4"/>
    <w:rsid w:val="009964C3"/>
    <w:pPr>
      <w:ind w:firstLine="567"/>
    </w:pPr>
    <w:rPr>
      <w:rFonts w:cs="Times New Roman"/>
      <w:color w:val="0000FF"/>
      <w:szCs w:val="20"/>
    </w:rPr>
  </w:style>
  <w:style w:type="paragraph" w:customStyle="1" w:styleId="afffffffffff">
    <w:name w:val="表头及表尾"/>
    <w:qFormat/>
    <w:rsid w:val="009964C3"/>
    <w:pPr>
      <w:tabs>
        <w:tab w:val="center" w:pos="4200"/>
        <w:tab w:val="right" w:pos="8400"/>
      </w:tabs>
      <w:adjustRightInd w:val="0"/>
      <w:snapToGrid w:val="0"/>
    </w:pPr>
    <w:rPr>
      <w:b/>
      <w:snapToGrid w:val="0"/>
      <w:sz w:val="21"/>
      <w:szCs w:val="21"/>
    </w:rPr>
  </w:style>
  <w:style w:type="paragraph" w:customStyle="1" w:styleId="415">
    <w:name w:val="表内小41"/>
    <w:basedOn w:val="affffffffff"/>
    <w:rsid w:val="009964C3"/>
    <w:pPr>
      <w:ind w:left="240" w:hanging="240"/>
      <w:jc w:val="both"/>
    </w:pPr>
    <w:rPr>
      <w:rFonts w:cs="Times New Roman"/>
    </w:rPr>
  </w:style>
  <w:style w:type="paragraph" w:customStyle="1" w:styleId="416">
    <w:name w:val="页眉中41"/>
    <w:basedOn w:val="4a"/>
    <w:rsid w:val="009964C3"/>
    <w:pPr>
      <w:snapToGrid w:val="0"/>
      <w:spacing w:line="300" w:lineRule="auto"/>
      <w:textAlignment w:val="auto"/>
    </w:pPr>
    <w:rPr>
      <w:rFonts w:ascii="黑体" w:eastAsia="黑体" w:hAnsi="宋体" w:cs="宋体"/>
      <w:szCs w:val="24"/>
    </w:rPr>
  </w:style>
  <w:style w:type="paragraph" w:styleId="affe">
    <w:name w:val="footer"/>
    <w:basedOn w:val="af3"/>
    <w:link w:val="Char12"/>
    <w:qFormat/>
    <w:rsid w:val="009964C3"/>
    <w:pPr>
      <w:widowControl/>
      <w:tabs>
        <w:tab w:val="center" w:pos="4153"/>
        <w:tab w:val="right" w:pos="8306"/>
      </w:tabs>
      <w:snapToGrid w:val="0"/>
      <w:jc w:val="left"/>
    </w:pPr>
    <w:rPr>
      <w:rFonts w:ascii="宋体" w:hAnsi="宋体" w:cs="宋体"/>
      <w:kern w:val="0"/>
      <w:sz w:val="18"/>
      <w:szCs w:val="18"/>
    </w:rPr>
  </w:style>
  <w:style w:type="paragraph" w:customStyle="1" w:styleId="4f">
    <w:name w:val="正文格式4"/>
    <w:basedOn w:val="af3"/>
    <w:rsid w:val="009964C3"/>
    <w:pPr>
      <w:adjustRightInd w:val="0"/>
      <w:snapToGrid w:val="0"/>
      <w:spacing w:line="360" w:lineRule="auto"/>
      <w:ind w:firstLineChars="200" w:firstLine="480"/>
    </w:pPr>
    <w:rPr>
      <w:rFonts w:ascii="宋体" w:cs="宋体"/>
      <w:sz w:val="24"/>
    </w:rPr>
  </w:style>
  <w:style w:type="paragraph" w:styleId="1fd">
    <w:name w:val="index 1"/>
    <w:basedOn w:val="af3"/>
    <w:next w:val="af3"/>
    <w:semiHidden/>
    <w:qFormat/>
    <w:rsid w:val="009964C3"/>
    <w:rPr>
      <w:sz w:val="24"/>
      <w:szCs w:val="20"/>
    </w:rPr>
  </w:style>
  <w:style w:type="paragraph" w:customStyle="1" w:styleId="100">
    <w:name w:val="表内文字小10"/>
    <w:basedOn w:val="af3"/>
    <w:rsid w:val="009964C3"/>
    <w:pPr>
      <w:adjustRightInd w:val="0"/>
      <w:snapToGrid w:val="0"/>
      <w:jc w:val="center"/>
    </w:pPr>
    <w:rPr>
      <w:rFonts w:ascii="宋体" w:hAnsi="Times" w:cs="宋体"/>
      <w:bCs/>
      <w:color w:val="003366"/>
      <w:szCs w:val="20"/>
    </w:rPr>
  </w:style>
  <w:style w:type="paragraph" w:customStyle="1" w:styleId="4410">
    <w:name w:val="标题441"/>
    <w:basedOn w:val="af3"/>
    <w:rsid w:val="009964C3"/>
    <w:pPr>
      <w:adjustRightInd w:val="0"/>
      <w:snapToGrid w:val="0"/>
      <w:spacing w:line="300" w:lineRule="auto"/>
      <w:jc w:val="left"/>
    </w:pPr>
    <w:rPr>
      <w:rFonts w:ascii="黑体" w:eastAsia="黑体"/>
      <w:bCs/>
      <w:color w:val="000000"/>
      <w:sz w:val="24"/>
    </w:rPr>
  </w:style>
  <w:style w:type="paragraph" w:styleId="2fa">
    <w:name w:val="Body Text Indent 2"/>
    <w:basedOn w:val="af3"/>
    <w:link w:val="2Char12"/>
    <w:rsid w:val="009964C3"/>
    <w:pPr>
      <w:spacing w:after="120" w:line="480" w:lineRule="auto"/>
      <w:ind w:leftChars="200" w:left="420"/>
    </w:pPr>
  </w:style>
  <w:style w:type="paragraph" w:customStyle="1" w:styleId="223">
    <w:name w:val="表内文字大22"/>
    <w:basedOn w:val="af3"/>
    <w:rsid w:val="009964C3"/>
    <w:pPr>
      <w:adjustRightInd w:val="0"/>
      <w:snapToGrid w:val="0"/>
      <w:jc w:val="center"/>
    </w:pPr>
    <w:rPr>
      <w:rFonts w:ascii="宋体" w:hAnsi="Times" w:cs="宋体"/>
      <w:sz w:val="24"/>
      <w:szCs w:val="20"/>
    </w:rPr>
  </w:style>
  <w:style w:type="paragraph" w:styleId="affffff6">
    <w:name w:val="Message Header"/>
    <w:basedOn w:val="af3"/>
    <w:link w:val="Char1f6"/>
    <w:qFormat/>
    <w:rsid w:val="009964C3"/>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rPr>
  </w:style>
  <w:style w:type="paragraph" w:customStyle="1" w:styleId="16521">
    <w:name w:val="16.5.2.1"/>
    <w:basedOn w:val="16911"/>
    <w:rsid w:val="009964C3"/>
    <w:pPr>
      <w:numPr>
        <w:ilvl w:val="0"/>
        <w:numId w:val="0"/>
      </w:numPr>
      <w:tabs>
        <w:tab w:val="left" w:pos="425"/>
        <w:tab w:val="left" w:pos="3147"/>
      </w:tabs>
      <w:spacing w:after="0"/>
      <w:ind w:left="3147" w:hanging="420"/>
    </w:pPr>
    <w:rPr>
      <w:b w:val="0"/>
    </w:rPr>
  </w:style>
  <w:style w:type="paragraph" w:styleId="4">
    <w:name w:val="List Number 4"/>
    <w:basedOn w:val="af3"/>
    <w:qFormat/>
    <w:rsid w:val="009964C3"/>
    <w:pPr>
      <w:numPr>
        <w:numId w:val="12"/>
      </w:numPr>
      <w:tabs>
        <w:tab w:val="left" w:pos="1620"/>
      </w:tabs>
    </w:pPr>
    <w:rPr>
      <w:sz w:val="24"/>
      <w:szCs w:val="20"/>
    </w:rPr>
  </w:style>
  <w:style w:type="paragraph" w:customStyle="1" w:styleId="afffffffffff0">
    <w:name w:val="说明书节标题"/>
    <w:basedOn w:val="22"/>
    <w:next w:val="afffffffffff1"/>
    <w:rsid w:val="009964C3"/>
    <w:pPr>
      <w:spacing w:before="0" w:after="0" w:line="560" w:lineRule="exact"/>
    </w:pPr>
    <w:rPr>
      <w:rFonts w:ascii="幼圆" w:eastAsia="华文中宋" w:hAnsi="宋体"/>
      <w:sz w:val="30"/>
      <w:szCs w:val="30"/>
    </w:rPr>
  </w:style>
  <w:style w:type="paragraph" w:customStyle="1" w:styleId="dandan6-13">
    <w:name w:val="dandan6-13正文"/>
    <w:basedOn w:val="af3"/>
    <w:next w:val="af3"/>
    <w:rsid w:val="009964C3"/>
    <w:pPr>
      <w:keepNext/>
      <w:keepLines/>
      <w:widowControl/>
      <w:adjustRightInd w:val="0"/>
      <w:spacing w:before="40" w:after="40" w:line="360" w:lineRule="auto"/>
      <w:ind w:firstLineChars="200" w:firstLine="200"/>
    </w:pPr>
    <w:rPr>
      <w:rFonts w:cs="宋体"/>
      <w:kern w:val="0"/>
      <w:sz w:val="24"/>
      <w:szCs w:val="28"/>
    </w:rPr>
  </w:style>
  <w:style w:type="paragraph" w:customStyle="1" w:styleId="86">
    <w:name w:val="图题8"/>
    <w:basedOn w:val="31"/>
    <w:rsid w:val="009964C3"/>
    <w:pPr>
      <w:keepNext w:val="0"/>
      <w:keepLines w:val="0"/>
      <w:adjustRightInd w:val="0"/>
      <w:snapToGrid w:val="0"/>
      <w:spacing w:before="120" w:after="0" w:line="360" w:lineRule="auto"/>
      <w:jc w:val="center"/>
    </w:pPr>
    <w:rPr>
      <w:rFonts w:ascii="黑体" w:eastAsia="黑体" w:hAnsi="宋体" w:cs="宋体"/>
      <w:b w:val="0"/>
      <w:sz w:val="28"/>
      <w:szCs w:val="28"/>
    </w:rPr>
  </w:style>
  <w:style w:type="paragraph" w:styleId="93">
    <w:name w:val="toc 9"/>
    <w:basedOn w:val="af3"/>
    <w:next w:val="af3"/>
    <w:uiPriority w:val="39"/>
    <w:qFormat/>
    <w:rsid w:val="009964C3"/>
    <w:pPr>
      <w:ind w:left="1680"/>
      <w:jc w:val="left"/>
    </w:pPr>
    <w:rPr>
      <w:sz w:val="18"/>
      <w:szCs w:val="18"/>
    </w:rPr>
  </w:style>
  <w:style w:type="paragraph" w:customStyle="1" w:styleId="417">
    <w:name w:val="标题 41"/>
    <w:basedOn w:val="af3"/>
    <w:next w:val="af3"/>
    <w:rsid w:val="009964C3"/>
    <w:pPr>
      <w:adjustRightInd w:val="0"/>
      <w:spacing w:line="440" w:lineRule="atLeast"/>
      <w:ind w:left="198" w:firstLine="567"/>
      <w:textAlignment w:val="baseline"/>
    </w:pPr>
    <w:rPr>
      <w:rFonts w:hAnsi="宋体" w:hint="eastAsia"/>
      <w:kern w:val="28"/>
      <w:sz w:val="24"/>
      <w:szCs w:val="20"/>
    </w:rPr>
  </w:style>
  <w:style w:type="paragraph" w:styleId="5f4">
    <w:name w:val="toc 5"/>
    <w:basedOn w:val="af3"/>
    <w:next w:val="af3"/>
    <w:uiPriority w:val="39"/>
    <w:qFormat/>
    <w:rsid w:val="009964C3"/>
    <w:pPr>
      <w:ind w:left="840"/>
      <w:jc w:val="left"/>
    </w:pPr>
    <w:rPr>
      <w:sz w:val="18"/>
      <w:szCs w:val="18"/>
    </w:rPr>
  </w:style>
  <w:style w:type="paragraph" w:customStyle="1" w:styleId="533">
    <w:name w:val="表内533"/>
    <w:basedOn w:val="af3"/>
    <w:rsid w:val="009964C3"/>
    <w:pPr>
      <w:adjustRightInd w:val="0"/>
      <w:snapToGrid w:val="0"/>
      <w:spacing w:line="300" w:lineRule="auto"/>
      <w:jc w:val="left"/>
    </w:pPr>
    <w:rPr>
      <w:rFonts w:ascii="宋体"/>
      <w:szCs w:val="20"/>
    </w:rPr>
  </w:style>
  <w:style w:type="paragraph" w:styleId="73">
    <w:name w:val="index 7"/>
    <w:basedOn w:val="af3"/>
    <w:next w:val="af3"/>
    <w:semiHidden/>
    <w:qFormat/>
    <w:rsid w:val="009964C3"/>
    <w:pPr>
      <w:ind w:leftChars="1200" w:left="1200"/>
    </w:pPr>
    <w:rPr>
      <w:sz w:val="24"/>
      <w:szCs w:val="20"/>
    </w:rPr>
  </w:style>
  <w:style w:type="paragraph" w:customStyle="1" w:styleId="152">
    <w:name w:val="页眉中15"/>
    <w:basedOn w:val="4a"/>
    <w:rsid w:val="009964C3"/>
    <w:pPr>
      <w:snapToGrid w:val="0"/>
      <w:spacing w:line="300" w:lineRule="auto"/>
      <w:textAlignment w:val="auto"/>
    </w:pPr>
    <w:rPr>
      <w:rFonts w:ascii="黑体" w:eastAsia="黑体" w:hAnsi="宋体" w:cs="宋体"/>
    </w:rPr>
  </w:style>
  <w:style w:type="paragraph" w:customStyle="1" w:styleId="513">
    <w:name w:val="表内宋5中13"/>
    <w:basedOn w:val="af3"/>
    <w:rsid w:val="009964C3"/>
    <w:pPr>
      <w:adjustRightInd w:val="0"/>
      <w:snapToGrid w:val="0"/>
      <w:jc w:val="center"/>
      <w:textAlignment w:val="baseline"/>
    </w:pPr>
    <w:rPr>
      <w:rFonts w:ascii="宋体" w:hAnsi="宋体" w:cs="宋体"/>
      <w:kern w:val="0"/>
      <w:szCs w:val="20"/>
    </w:rPr>
  </w:style>
  <w:style w:type="paragraph" w:styleId="afffffffffff2">
    <w:name w:val="Block Text"/>
    <w:basedOn w:val="af3"/>
    <w:qFormat/>
    <w:rsid w:val="009964C3"/>
    <w:pPr>
      <w:spacing w:after="120"/>
      <w:ind w:leftChars="700" w:left="1440" w:rightChars="700" w:right="1440"/>
    </w:pPr>
    <w:rPr>
      <w:sz w:val="24"/>
      <w:szCs w:val="20"/>
    </w:rPr>
  </w:style>
  <w:style w:type="paragraph" w:customStyle="1" w:styleId="170">
    <w:name w:val="福建正文缩进17"/>
    <w:basedOn w:val="af4"/>
    <w:rsid w:val="009964C3"/>
    <w:pPr>
      <w:autoSpaceDE w:val="0"/>
      <w:autoSpaceDN w:val="0"/>
      <w:adjustRightInd w:val="0"/>
      <w:snapToGrid w:val="0"/>
      <w:spacing w:line="360" w:lineRule="auto"/>
      <w:ind w:firstLineChars="0" w:firstLine="539"/>
    </w:pPr>
    <w:rPr>
      <w:rFonts w:ascii="宋体" w:hAnsi="宋体"/>
      <w:sz w:val="24"/>
      <w:szCs w:val="24"/>
    </w:rPr>
  </w:style>
  <w:style w:type="paragraph" w:customStyle="1" w:styleId="711">
    <w:name w:val="页眉中71"/>
    <w:basedOn w:val="af3"/>
    <w:rsid w:val="009964C3"/>
    <w:pPr>
      <w:adjustRightInd w:val="0"/>
      <w:snapToGrid w:val="0"/>
      <w:spacing w:line="300" w:lineRule="auto"/>
      <w:jc w:val="left"/>
    </w:pPr>
    <w:rPr>
      <w:rFonts w:ascii="黑体" w:eastAsia="黑体"/>
      <w:bCs/>
      <w:sz w:val="24"/>
      <w:szCs w:val="20"/>
    </w:rPr>
  </w:style>
  <w:style w:type="paragraph" w:customStyle="1" w:styleId="2CharChar6">
    <w:name w:val="样式 标题 2 + (西文) 宋体 四号 非加粗 Char Char"/>
    <w:basedOn w:val="22"/>
    <w:link w:val="2CharCharChar0"/>
    <w:rsid w:val="009964C3"/>
    <w:pPr>
      <w:spacing w:line="480" w:lineRule="exact"/>
    </w:pPr>
    <w:rPr>
      <w:sz w:val="28"/>
    </w:rPr>
  </w:style>
  <w:style w:type="paragraph" w:customStyle="1" w:styleId="xx">
    <w:name w:val="页眉xx"/>
    <w:basedOn w:val="affffff"/>
    <w:rsid w:val="009964C3"/>
    <w:pPr>
      <w:framePr w:wrap="around" w:vAnchor="text" w:hAnchor="text" w:y="1"/>
      <w:pBdr>
        <w:bottom w:val="single" w:sz="2" w:space="1" w:color="auto"/>
      </w:pBdr>
      <w:tabs>
        <w:tab w:val="clear" w:pos="4153"/>
      </w:tabs>
      <w:adjustRightInd w:val="0"/>
    </w:pPr>
    <w:rPr>
      <w:rFonts w:ascii="宋体" w:hAnsi="宋体"/>
      <w:sz w:val="21"/>
      <w:szCs w:val="20"/>
    </w:rPr>
  </w:style>
  <w:style w:type="paragraph" w:customStyle="1" w:styleId="242CharCharCharChar">
    <w:name w:val="样式 标题 2项目标题4标题 2 Char Char Char Char + 黑色"/>
    <w:basedOn w:val="22"/>
    <w:next w:val="2f"/>
    <w:rsid w:val="009964C3"/>
    <w:pPr>
      <w:keepNext w:val="0"/>
      <w:keepLines w:val="0"/>
      <w:overflowPunct w:val="0"/>
      <w:autoSpaceDE w:val="0"/>
      <w:autoSpaceDN w:val="0"/>
      <w:adjustRightInd w:val="0"/>
      <w:snapToGrid w:val="0"/>
      <w:spacing w:before="120" w:after="120" w:line="360" w:lineRule="auto"/>
      <w:textAlignment w:val="baseline"/>
    </w:pPr>
    <w:rPr>
      <w:b w:val="0"/>
      <w:bCs w:val="0"/>
      <w:color w:val="000000"/>
      <w:w w:val="105"/>
      <w:kern w:val="20"/>
    </w:rPr>
  </w:style>
  <w:style w:type="paragraph" w:styleId="affffff2">
    <w:name w:val="footnote text"/>
    <w:basedOn w:val="af3"/>
    <w:link w:val="Char1f5"/>
    <w:semiHidden/>
    <w:qFormat/>
    <w:rsid w:val="009964C3"/>
    <w:pPr>
      <w:snapToGrid w:val="0"/>
      <w:jc w:val="left"/>
    </w:pPr>
    <w:rPr>
      <w:sz w:val="18"/>
      <w:szCs w:val="18"/>
    </w:rPr>
  </w:style>
  <w:style w:type="paragraph" w:customStyle="1" w:styleId="4120">
    <w:name w:val="标题412"/>
    <w:basedOn w:val="af3"/>
    <w:rsid w:val="009964C3"/>
    <w:pPr>
      <w:adjustRightInd w:val="0"/>
      <w:snapToGrid w:val="0"/>
      <w:spacing w:line="300" w:lineRule="auto"/>
      <w:jc w:val="left"/>
    </w:pPr>
    <w:rPr>
      <w:rFonts w:ascii="黑体" w:eastAsia="黑体" w:hAnsi="宋体" w:cs="宋体"/>
      <w:bCs/>
      <w:sz w:val="24"/>
      <w:szCs w:val="20"/>
    </w:rPr>
  </w:style>
  <w:style w:type="paragraph" w:styleId="afffffff4">
    <w:name w:val="Body Text Indent"/>
    <w:basedOn w:val="af3"/>
    <w:link w:val="Char1ff"/>
    <w:qFormat/>
    <w:rsid w:val="009964C3"/>
    <w:pPr>
      <w:tabs>
        <w:tab w:val="left" w:pos="4305"/>
      </w:tabs>
      <w:adjustRightInd w:val="0"/>
      <w:snapToGrid w:val="0"/>
      <w:spacing w:line="360" w:lineRule="auto"/>
      <w:ind w:firstLine="561"/>
    </w:pPr>
    <w:rPr>
      <w:rFonts w:ascii="宋体" w:hAnsi="宋体" w:cs="宋体"/>
      <w:color w:val="000000"/>
      <w:sz w:val="24"/>
    </w:rPr>
  </w:style>
  <w:style w:type="paragraph" w:customStyle="1" w:styleId="CharChar0">
    <w:name w:val="正文规定 Char Char"/>
    <w:basedOn w:val="af4"/>
    <w:link w:val="CharCharChar0"/>
    <w:rsid w:val="009964C3"/>
    <w:pPr>
      <w:spacing w:line="0" w:lineRule="atLeast"/>
      <w:ind w:firstLineChars="0" w:firstLine="0"/>
      <w:jc w:val="center"/>
    </w:pPr>
    <w:rPr>
      <w:rFonts w:ascii="宋体" w:hAnsi="宋体" w:cs="宋体"/>
      <w:b/>
      <w:sz w:val="24"/>
      <w:szCs w:val="24"/>
    </w:rPr>
  </w:style>
  <w:style w:type="paragraph" w:customStyle="1" w:styleId="610">
    <w:name w:val="图题61"/>
    <w:basedOn w:val="af3"/>
    <w:rsid w:val="009964C3"/>
    <w:pPr>
      <w:jc w:val="center"/>
    </w:pPr>
    <w:rPr>
      <w:rFonts w:ascii="黑体" w:eastAsia="黑体"/>
      <w:sz w:val="24"/>
    </w:rPr>
  </w:style>
  <w:style w:type="paragraph" w:customStyle="1" w:styleId="2ff3">
    <w:name w:val="条文2"/>
    <w:basedOn w:val="43"/>
    <w:rsid w:val="009964C3"/>
    <w:pPr>
      <w:keepNext w:val="0"/>
      <w:keepLines w:val="0"/>
      <w:adjustRightInd w:val="0"/>
      <w:spacing w:before="0" w:after="0" w:line="460" w:lineRule="exact"/>
      <w:ind w:left="1151" w:hanging="425"/>
      <w:jc w:val="left"/>
      <w:textAlignment w:val="baseline"/>
      <w:outlineLvl w:val="9"/>
    </w:pPr>
    <w:rPr>
      <w:rFonts w:ascii="宋体" w:eastAsia="宋体"/>
      <w:b w:val="0"/>
      <w:bCs w:val="0"/>
      <w:spacing w:val="3"/>
      <w:kern w:val="24"/>
      <w:sz w:val="24"/>
      <w:szCs w:val="20"/>
    </w:rPr>
  </w:style>
  <w:style w:type="paragraph" w:customStyle="1" w:styleId="Sun">
    <w:name w:val="Sun"/>
    <w:basedOn w:val="af3"/>
    <w:rsid w:val="009964C3"/>
    <w:pPr>
      <w:adjustRightInd w:val="0"/>
      <w:spacing w:line="360" w:lineRule="auto"/>
      <w:ind w:firstLine="567"/>
      <w:textAlignment w:val="baseline"/>
    </w:pPr>
    <w:rPr>
      <w:kern w:val="28"/>
      <w:sz w:val="28"/>
      <w:szCs w:val="20"/>
    </w:rPr>
  </w:style>
  <w:style w:type="paragraph" w:customStyle="1" w:styleId="111">
    <w:name w:val="样式111"/>
    <w:basedOn w:val="af3"/>
    <w:qFormat/>
    <w:rsid w:val="009964C3"/>
    <w:pPr>
      <w:adjustRightInd w:val="0"/>
      <w:snapToGrid w:val="0"/>
      <w:spacing w:line="300" w:lineRule="auto"/>
      <w:jc w:val="center"/>
      <w:textAlignment w:val="baseline"/>
    </w:pPr>
    <w:rPr>
      <w:rFonts w:ascii="仿宋_GB2312" w:eastAsia="仿宋_GB2312" w:hAnsi="Courier New"/>
      <w:b/>
      <w:kern w:val="0"/>
      <w:sz w:val="28"/>
      <w:szCs w:val="20"/>
    </w:rPr>
  </w:style>
  <w:style w:type="paragraph" w:customStyle="1" w:styleId="CharChar1CharCharCharCharCharCharChar1">
    <w:name w:val="Char Char1 Char Char Char Char Char Char Char1"/>
    <w:basedOn w:val="af3"/>
    <w:rsid w:val="009964C3"/>
  </w:style>
  <w:style w:type="paragraph" w:customStyle="1" w:styleId="PSPSPSPS">
    <w:name w:val="PSPSPSPS"/>
    <w:basedOn w:val="af3"/>
    <w:rsid w:val="009964C3"/>
    <w:pPr>
      <w:adjustRightInd w:val="0"/>
      <w:spacing w:line="600" w:lineRule="atLeast"/>
      <w:textAlignment w:val="baseline"/>
    </w:pPr>
    <w:rPr>
      <w:kern w:val="0"/>
      <w:sz w:val="28"/>
      <w:szCs w:val="20"/>
    </w:rPr>
  </w:style>
  <w:style w:type="paragraph" w:customStyle="1" w:styleId="ST2024">
    <w:name w:val="ST20_24"/>
    <w:basedOn w:val="ST202"/>
    <w:rsid w:val="009964C3"/>
    <w:pPr>
      <w:keepLines/>
      <w:ind w:left="360" w:hanging="360"/>
    </w:pPr>
    <w:rPr>
      <w:szCs w:val="28"/>
    </w:rPr>
  </w:style>
  <w:style w:type="paragraph" w:customStyle="1" w:styleId="180">
    <w:name w:val="图题18"/>
    <w:basedOn w:val="af3"/>
    <w:rsid w:val="009964C3"/>
    <w:pPr>
      <w:adjustRightInd w:val="0"/>
      <w:snapToGrid w:val="0"/>
      <w:ind w:firstLineChars="222" w:firstLine="533"/>
      <w:jc w:val="center"/>
    </w:pPr>
    <w:rPr>
      <w:rFonts w:ascii="黑体" w:eastAsia="黑体" w:hAnsi="宋体"/>
      <w:snapToGrid w:val="0"/>
      <w:kern w:val="0"/>
      <w:sz w:val="24"/>
    </w:rPr>
  </w:style>
  <w:style w:type="paragraph" w:customStyle="1" w:styleId="Char1CharCharCharCharCharChar">
    <w:name w:val="段落 Char1 Char Char Char Char Char Char"/>
    <w:basedOn w:val="af3"/>
    <w:rsid w:val="009964C3"/>
    <w:pPr>
      <w:tabs>
        <w:tab w:val="left" w:pos="1021"/>
      </w:tabs>
      <w:adjustRightInd w:val="0"/>
      <w:snapToGrid w:val="0"/>
      <w:spacing w:line="326" w:lineRule="auto"/>
      <w:ind w:firstLineChars="200" w:firstLine="528"/>
    </w:pPr>
    <w:rPr>
      <w:color w:val="000000"/>
      <w:w w:val="110"/>
      <w:kern w:val="24"/>
      <w:sz w:val="24"/>
    </w:rPr>
  </w:style>
  <w:style w:type="paragraph" w:customStyle="1" w:styleId="133">
    <w:name w:val="表内文字大13"/>
    <w:basedOn w:val="af3"/>
    <w:rsid w:val="009964C3"/>
    <w:pPr>
      <w:adjustRightInd w:val="0"/>
      <w:snapToGrid w:val="0"/>
      <w:jc w:val="center"/>
    </w:pPr>
    <w:rPr>
      <w:rFonts w:ascii="宋体" w:hAnsi="Times"/>
      <w:sz w:val="24"/>
      <w:szCs w:val="20"/>
    </w:rPr>
  </w:style>
  <w:style w:type="paragraph" w:customStyle="1" w:styleId="4f0">
    <w:name w:val="正文居中4"/>
    <w:basedOn w:val="af3"/>
    <w:rsid w:val="009964C3"/>
    <w:pPr>
      <w:adjustRightInd w:val="0"/>
      <w:snapToGrid w:val="0"/>
      <w:spacing w:line="480" w:lineRule="atLeast"/>
      <w:jc w:val="center"/>
    </w:pPr>
    <w:rPr>
      <w:rFonts w:ascii="宋体"/>
      <w:snapToGrid w:val="0"/>
      <w:spacing w:val="6"/>
      <w:kern w:val="0"/>
      <w:sz w:val="28"/>
    </w:rPr>
  </w:style>
  <w:style w:type="paragraph" w:customStyle="1" w:styleId="afffffffffff3">
    <w:name w:val="中联表文"/>
    <w:basedOn w:val="af3"/>
    <w:semiHidden/>
    <w:rsid w:val="009964C3"/>
    <w:pPr>
      <w:tabs>
        <w:tab w:val="left" w:pos="1021"/>
      </w:tabs>
      <w:jc w:val="center"/>
    </w:pPr>
    <w:rPr>
      <w:kern w:val="0"/>
    </w:rPr>
  </w:style>
  <w:style w:type="paragraph" w:customStyle="1" w:styleId="5450">
    <w:name w:val="表内545"/>
    <w:basedOn w:val="af3"/>
    <w:rsid w:val="009964C3"/>
    <w:pPr>
      <w:adjustRightInd w:val="0"/>
      <w:snapToGrid w:val="0"/>
      <w:spacing w:line="300" w:lineRule="auto"/>
      <w:jc w:val="center"/>
    </w:pPr>
    <w:rPr>
      <w:rFonts w:ascii="宋体" w:hAnsi="宋体" w:cs="宋体"/>
      <w:szCs w:val="20"/>
    </w:rPr>
  </w:style>
  <w:style w:type="paragraph" w:customStyle="1" w:styleId="140">
    <w:name w:val="燕山正文14"/>
    <w:basedOn w:val="af3"/>
    <w:rsid w:val="009964C3"/>
    <w:pPr>
      <w:tabs>
        <w:tab w:val="left" w:pos="4680"/>
      </w:tabs>
      <w:adjustRightInd w:val="0"/>
      <w:snapToGrid w:val="0"/>
      <w:spacing w:line="360" w:lineRule="auto"/>
      <w:ind w:firstLineChars="200" w:firstLine="480"/>
    </w:pPr>
    <w:rPr>
      <w:rFonts w:ascii="宋体" w:hAnsi="宋体" w:cs="宋体"/>
      <w:bCs/>
      <w:color w:val="000000"/>
      <w:sz w:val="24"/>
    </w:rPr>
  </w:style>
  <w:style w:type="paragraph" w:customStyle="1" w:styleId="050">
    <w:name w:val="样式 表格标题新 + 段前: 0.5 行"/>
    <w:basedOn w:val="af3"/>
    <w:rsid w:val="009964C3"/>
    <w:pPr>
      <w:tabs>
        <w:tab w:val="left" w:pos="0"/>
      </w:tabs>
      <w:snapToGrid w:val="0"/>
      <w:spacing w:beforeLines="50"/>
      <w:ind w:firstLine="562"/>
      <w:jc w:val="center"/>
    </w:pPr>
    <w:rPr>
      <w:rFonts w:ascii="仿宋_GB2312" w:eastAsia="黑体"/>
      <w:b/>
      <w:bCs/>
      <w:snapToGrid w:val="0"/>
      <w:kern w:val="0"/>
    </w:rPr>
  </w:style>
  <w:style w:type="paragraph" w:customStyle="1" w:styleId="450">
    <w:name w:val="表标题4.5"/>
    <w:basedOn w:val="af3"/>
    <w:rsid w:val="009964C3"/>
    <w:pPr>
      <w:tabs>
        <w:tab w:val="center" w:pos="4060"/>
        <w:tab w:val="right" w:pos="8261"/>
      </w:tabs>
      <w:suppressAutoHyphens/>
      <w:adjustRightInd w:val="0"/>
      <w:spacing w:before="240" w:line="0" w:lineRule="atLeast"/>
    </w:pPr>
    <w:rPr>
      <w:rFonts w:ascii="黑体" w:eastAsia="黑体"/>
      <w:b/>
      <w:spacing w:val="6"/>
      <w:kern w:val="0"/>
      <w:sz w:val="26"/>
      <w:szCs w:val="26"/>
    </w:rPr>
  </w:style>
  <w:style w:type="paragraph" w:customStyle="1" w:styleId="afffffffffff4">
    <w:name w:val="表标题"/>
    <w:basedOn w:val="afffffffffff5"/>
    <w:rsid w:val="009964C3"/>
    <w:pPr>
      <w:spacing w:before="100"/>
    </w:pPr>
    <w:rPr>
      <w:szCs w:val="24"/>
    </w:rPr>
  </w:style>
  <w:style w:type="paragraph" w:customStyle="1" w:styleId="3f4">
    <w:name w:val="3标题(治)"/>
    <w:basedOn w:val="31"/>
    <w:semiHidden/>
    <w:rsid w:val="009964C3"/>
    <w:pPr>
      <w:keepNext w:val="0"/>
      <w:keepLines w:val="0"/>
      <w:numPr>
        <w:ilvl w:val="2"/>
      </w:numPr>
      <w:tabs>
        <w:tab w:val="left" w:pos="720"/>
      </w:tabs>
      <w:adjustRightInd w:val="0"/>
      <w:spacing w:before="0" w:after="0" w:line="360" w:lineRule="auto"/>
      <w:ind w:left="720" w:hanging="720"/>
      <w:textAlignment w:val="baseline"/>
    </w:pPr>
    <w:rPr>
      <w:rFonts w:eastAsia="黑体"/>
      <w:b w:val="0"/>
      <w:kern w:val="0"/>
      <w:sz w:val="28"/>
      <w:szCs w:val="20"/>
    </w:rPr>
  </w:style>
  <w:style w:type="paragraph" w:customStyle="1" w:styleId="ST2029">
    <w:name w:val="ST20_29"/>
    <w:basedOn w:val="ST2027"/>
    <w:next w:val="ST2030"/>
    <w:rsid w:val="009964C3"/>
    <w:pPr>
      <w:spacing w:after="160"/>
    </w:pPr>
  </w:style>
  <w:style w:type="paragraph" w:customStyle="1" w:styleId="CharCharCharCharChar0">
    <w:name w:val="正文样式 Char Char Char Char Char"/>
    <w:basedOn w:val="af3"/>
    <w:link w:val="CharCharCharCharCharChar0"/>
    <w:rsid w:val="009964C3"/>
    <w:pPr>
      <w:spacing w:line="360" w:lineRule="auto"/>
      <w:ind w:firstLineChars="200" w:firstLine="480"/>
    </w:pPr>
    <w:rPr>
      <w:rFonts w:ascii="宋体" w:hAnsi="宋体"/>
      <w:color w:val="000000"/>
      <w:sz w:val="24"/>
    </w:rPr>
  </w:style>
  <w:style w:type="paragraph" w:customStyle="1" w:styleId="afffff4">
    <w:name w:val="样式表"/>
    <w:basedOn w:val="afff2"/>
    <w:link w:val="Charfff4"/>
    <w:rsid w:val="009964C3"/>
    <w:pPr>
      <w:widowControl/>
      <w:spacing w:line="480" w:lineRule="exact"/>
      <w:jc w:val="center"/>
    </w:pPr>
    <w:rPr>
      <w:rFonts w:ascii="黑体" w:hAnsi="Times New Roman" w:cs="宋体"/>
      <w:color w:val="000000"/>
      <w:spacing w:val="8"/>
      <w:kern w:val="0"/>
      <w:sz w:val="24"/>
      <w:szCs w:val="24"/>
    </w:rPr>
  </w:style>
  <w:style w:type="paragraph" w:customStyle="1" w:styleId="Qzy3">
    <w:name w:val="Qzy样式3"/>
    <w:basedOn w:val="31"/>
    <w:link w:val="Qzy3Char"/>
    <w:semiHidden/>
    <w:rsid w:val="009964C3"/>
    <w:pPr>
      <w:keepNext w:val="0"/>
      <w:keepLines w:val="0"/>
      <w:spacing w:before="0" w:after="0" w:line="240" w:lineRule="auto"/>
      <w:outlineLvl w:val="9"/>
    </w:pPr>
    <w:rPr>
      <w:b w:val="0"/>
      <w:bCs w:val="0"/>
      <w:sz w:val="28"/>
      <w:szCs w:val="20"/>
    </w:rPr>
  </w:style>
  <w:style w:type="paragraph" w:customStyle="1" w:styleId="5f5">
    <w:name w:val="正文缩5"/>
    <w:basedOn w:val="af3"/>
    <w:rsid w:val="009964C3"/>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1250">
    <w:name w:val="页眉中125"/>
    <w:basedOn w:val="af3"/>
    <w:rsid w:val="009964C3"/>
    <w:pPr>
      <w:adjustRightInd w:val="0"/>
      <w:snapToGrid w:val="0"/>
      <w:spacing w:line="300" w:lineRule="auto"/>
      <w:jc w:val="left"/>
    </w:pPr>
    <w:rPr>
      <w:rFonts w:ascii="黑体" w:eastAsia="黑体"/>
      <w:bCs/>
      <w:sz w:val="24"/>
      <w:szCs w:val="20"/>
    </w:rPr>
  </w:style>
  <w:style w:type="paragraph" w:customStyle="1" w:styleId="5f6">
    <w:name w:val="首缩5"/>
    <w:basedOn w:val="af3"/>
    <w:rsid w:val="009964C3"/>
    <w:pPr>
      <w:adjustRightInd w:val="0"/>
      <w:snapToGrid w:val="0"/>
      <w:spacing w:line="500" w:lineRule="exact"/>
      <w:ind w:firstLineChars="200" w:firstLine="200"/>
    </w:pPr>
    <w:rPr>
      <w:rFonts w:eastAsia="仿宋_GB2312"/>
      <w:snapToGrid w:val="0"/>
      <w:kern w:val="0"/>
      <w:sz w:val="28"/>
      <w:szCs w:val="20"/>
    </w:rPr>
  </w:style>
  <w:style w:type="paragraph" w:customStyle="1" w:styleId="Char180">
    <w:name w:val="Char18"/>
    <w:basedOn w:val="af3"/>
    <w:rsid w:val="009964C3"/>
    <w:pPr>
      <w:widowControl/>
      <w:spacing w:after="160" w:line="240" w:lineRule="exact"/>
      <w:jc w:val="left"/>
    </w:pPr>
    <w:rPr>
      <w:rFonts w:ascii="Verdana" w:eastAsia="仿宋_GB2312" w:hAnsi="Verdana" w:cs="”“Times New Roman”“"/>
      <w:kern w:val="0"/>
      <w:sz w:val="24"/>
      <w:szCs w:val="20"/>
      <w:lang w:eastAsia="en-US"/>
    </w:rPr>
  </w:style>
  <w:style w:type="paragraph" w:customStyle="1" w:styleId="153">
    <w:name w:val="表内文字大15"/>
    <w:basedOn w:val="af3"/>
    <w:rsid w:val="009964C3"/>
    <w:pPr>
      <w:adjustRightInd w:val="0"/>
      <w:snapToGrid w:val="0"/>
      <w:jc w:val="center"/>
    </w:pPr>
    <w:rPr>
      <w:rFonts w:ascii="宋体" w:hAnsi="Times"/>
      <w:sz w:val="24"/>
      <w:szCs w:val="20"/>
    </w:rPr>
  </w:style>
  <w:style w:type="paragraph" w:customStyle="1" w:styleId="431">
    <w:name w:val="图题43"/>
    <w:basedOn w:val="af4"/>
    <w:rsid w:val="009964C3"/>
    <w:pPr>
      <w:tabs>
        <w:tab w:val="left" w:pos="5837"/>
      </w:tabs>
      <w:adjustRightInd w:val="0"/>
      <w:snapToGrid w:val="0"/>
      <w:ind w:firstLineChars="0" w:firstLine="0"/>
      <w:jc w:val="center"/>
    </w:pPr>
    <w:rPr>
      <w:rFonts w:ascii="方正大标宋简体" w:eastAsia="方正大标宋简体" w:hAnsi="宋体" w:cs="宋体"/>
      <w:sz w:val="24"/>
      <w:szCs w:val="24"/>
    </w:rPr>
  </w:style>
  <w:style w:type="paragraph" w:customStyle="1" w:styleId="afffffffffff6">
    <w:name w:val="修改"/>
    <w:basedOn w:val="af3"/>
    <w:semiHidden/>
    <w:rsid w:val="009964C3"/>
    <w:pPr>
      <w:autoSpaceDE w:val="0"/>
      <w:autoSpaceDN w:val="0"/>
      <w:adjustRightInd w:val="0"/>
      <w:snapToGrid w:val="0"/>
      <w:spacing w:before="156" w:line="540" w:lineRule="atLeast"/>
      <w:ind w:firstLineChars="200" w:firstLine="480"/>
    </w:pPr>
    <w:rPr>
      <w:rFonts w:ascii="宋体" w:hAnsi="宋体"/>
      <w:color w:val="FF00FF"/>
      <w:sz w:val="24"/>
      <w:szCs w:val="20"/>
      <w:u w:val="wavyDouble"/>
    </w:rPr>
  </w:style>
  <w:style w:type="paragraph" w:customStyle="1" w:styleId="G2">
    <w:name w:val="鑫裕段落(G)"/>
    <w:basedOn w:val="af3"/>
    <w:link w:val="GCharChar2"/>
    <w:rsid w:val="009964C3"/>
    <w:pPr>
      <w:tabs>
        <w:tab w:val="left" w:pos="1021"/>
        <w:tab w:val="left" w:pos="1320"/>
      </w:tabs>
      <w:spacing w:line="360" w:lineRule="auto"/>
      <w:ind w:firstLineChars="200" w:firstLine="480"/>
    </w:pPr>
    <w:rPr>
      <w:color w:val="000000"/>
      <w:kern w:val="24"/>
      <w:sz w:val="24"/>
      <w:lang w:val="zh-CN"/>
    </w:rPr>
  </w:style>
  <w:style w:type="paragraph" w:customStyle="1" w:styleId="513-1">
    <w:name w:val="表5.13-1"/>
    <w:basedOn w:val="af3"/>
    <w:rsid w:val="009964C3"/>
    <w:pPr>
      <w:spacing w:beforeLines="100" w:line="0" w:lineRule="atLeast"/>
    </w:pPr>
    <w:rPr>
      <w:sz w:val="24"/>
    </w:rPr>
  </w:style>
  <w:style w:type="paragraph" w:customStyle="1" w:styleId="3H3BHead3Char111H31H32H33u3H311H321H3">
    <w:name w:val="样式 标题 3H3B Head标题 3 Char条标题1.1.1H31H32H33u3H311H321H3..."/>
    <w:basedOn w:val="31"/>
    <w:next w:val="2f"/>
    <w:rsid w:val="009964C3"/>
    <w:pPr>
      <w:widowControl/>
      <w:spacing w:before="240" w:after="240" w:line="360" w:lineRule="auto"/>
      <w:jc w:val="left"/>
    </w:pPr>
    <w:rPr>
      <w:rFonts w:eastAsia="黑体"/>
      <w:bCs w:val="0"/>
      <w:color w:val="000000"/>
      <w:w w:val="105"/>
      <w:sz w:val="24"/>
      <w:szCs w:val="24"/>
    </w:rPr>
  </w:style>
  <w:style w:type="paragraph" w:customStyle="1" w:styleId="2TimesNewRoman2">
    <w:name w:val="正文首行缩进 2 + Times New Roman"/>
    <w:basedOn w:val="af3"/>
    <w:rsid w:val="009964C3"/>
    <w:pPr>
      <w:tabs>
        <w:tab w:val="left" w:pos="0"/>
        <w:tab w:val="left" w:pos="870"/>
        <w:tab w:val="left" w:pos="3150"/>
      </w:tabs>
      <w:autoSpaceDE w:val="0"/>
      <w:autoSpaceDN w:val="0"/>
      <w:spacing w:line="360" w:lineRule="auto"/>
      <w:ind w:firstLineChars="200" w:firstLine="480"/>
    </w:pPr>
    <w:rPr>
      <w:color w:val="000000"/>
      <w:kern w:val="0"/>
      <w:sz w:val="24"/>
    </w:rPr>
  </w:style>
  <w:style w:type="paragraph" w:customStyle="1" w:styleId="Char130">
    <w:name w:val="Char13"/>
    <w:basedOn w:val="af3"/>
    <w:rsid w:val="009964C3"/>
    <w:pPr>
      <w:ind w:left="-48"/>
    </w:pPr>
  </w:style>
  <w:style w:type="paragraph" w:customStyle="1" w:styleId="afffffffffff7">
    <w:name w:val="环境影响报告书"/>
    <w:basedOn w:val="af3"/>
    <w:rsid w:val="009964C3"/>
    <w:pPr>
      <w:spacing w:line="360" w:lineRule="auto"/>
      <w:jc w:val="center"/>
    </w:pPr>
    <w:rPr>
      <w:rFonts w:eastAsia="黑体" w:cs="宋体"/>
      <w:sz w:val="52"/>
      <w:szCs w:val="20"/>
    </w:rPr>
  </w:style>
  <w:style w:type="paragraph" w:customStyle="1" w:styleId="CharCharChar1CharCharCharCharCharCharCharCharCharCharCharChar1CharCharCharCharCharCharCharCharCharChar2">
    <w:name w:val="Char Char Char1 Char Char Char Char Char Char Char Char Char Char Char Char1 Char Char Char Char Char Char Char Char Char Char2"/>
    <w:basedOn w:val="af3"/>
    <w:rsid w:val="009964C3"/>
  </w:style>
  <w:style w:type="paragraph" w:customStyle="1" w:styleId="Char44">
    <w:name w:val="表题 Char4"/>
    <w:basedOn w:val="af3"/>
    <w:rsid w:val="009964C3"/>
    <w:pPr>
      <w:spacing w:line="360" w:lineRule="auto"/>
      <w:jc w:val="center"/>
    </w:pPr>
    <w:rPr>
      <w:rFonts w:ascii="黑体" w:eastAsia="黑体"/>
      <w:bCs/>
      <w:sz w:val="28"/>
      <w:szCs w:val="28"/>
    </w:rPr>
  </w:style>
  <w:style w:type="paragraph" w:customStyle="1" w:styleId="3f5">
    <w:name w:val="待核实小3"/>
    <w:basedOn w:val="affffffffff"/>
    <w:rsid w:val="009964C3"/>
    <w:rPr>
      <w:rFonts w:cs="Times New Roman"/>
      <w:color w:val="000080"/>
      <w:sz w:val="21"/>
    </w:rPr>
  </w:style>
  <w:style w:type="paragraph" w:customStyle="1" w:styleId="2f8">
    <w:name w:val="标题样式2"/>
    <w:basedOn w:val="22"/>
    <w:link w:val="2Charf5"/>
    <w:rsid w:val="009964C3"/>
    <w:pPr>
      <w:spacing w:before="0" w:after="0" w:line="360" w:lineRule="auto"/>
    </w:pPr>
    <w:rPr>
      <w:rFonts w:ascii="黑体"/>
      <w:sz w:val="28"/>
      <w:szCs w:val="28"/>
    </w:rPr>
  </w:style>
  <w:style w:type="paragraph" w:customStyle="1" w:styleId="085">
    <w:name w:val="样式 首行缩进:  0.85 厘米"/>
    <w:basedOn w:val="af3"/>
    <w:semiHidden/>
    <w:rsid w:val="009964C3"/>
    <w:pPr>
      <w:spacing w:line="400" w:lineRule="exact"/>
      <w:ind w:firstLineChars="200" w:firstLine="561"/>
    </w:pPr>
    <w:rPr>
      <w:bCs/>
      <w:sz w:val="24"/>
    </w:rPr>
  </w:style>
  <w:style w:type="paragraph" w:customStyle="1" w:styleId="afff7">
    <w:name w:val="表文字"/>
    <w:basedOn w:val="af3"/>
    <w:link w:val="Charf9"/>
    <w:rsid w:val="009964C3"/>
    <w:pPr>
      <w:overflowPunct w:val="0"/>
      <w:autoSpaceDE w:val="0"/>
      <w:autoSpaceDN w:val="0"/>
      <w:adjustRightInd w:val="0"/>
      <w:spacing w:line="240" w:lineRule="atLeast"/>
      <w:jc w:val="center"/>
      <w:textAlignment w:val="baseline"/>
    </w:pPr>
    <w:rPr>
      <w:kern w:val="0"/>
      <w:sz w:val="24"/>
    </w:rPr>
  </w:style>
  <w:style w:type="paragraph" w:customStyle="1" w:styleId="afffffffffff8">
    <w:name w:val="章标题"/>
    <w:next w:val="af3"/>
    <w:rsid w:val="009964C3"/>
    <w:pPr>
      <w:spacing w:before="50" w:after="50"/>
      <w:jc w:val="both"/>
      <w:outlineLvl w:val="1"/>
    </w:pPr>
    <w:rPr>
      <w:rFonts w:ascii="黑体" w:eastAsia="黑体"/>
      <w:sz w:val="21"/>
    </w:rPr>
  </w:style>
  <w:style w:type="paragraph" w:customStyle="1" w:styleId="xl95">
    <w:name w:val="xl95"/>
    <w:basedOn w:val="af3"/>
    <w:rsid w:val="009964C3"/>
    <w:pPr>
      <w:widowControl/>
      <w:pBdr>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CM10">
    <w:name w:val="CM10"/>
    <w:basedOn w:val="Default"/>
    <w:next w:val="Default"/>
    <w:semiHidden/>
    <w:rsid w:val="009964C3"/>
    <w:pPr>
      <w:spacing w:line="546" w:lineRule="atLeast"/>
    </w:pPr>
    <w:rPr>
      <w:rFonts w:ascii="仿宋_GB2312" w:eastAsia="仿宋_GB2312" w:hAnsi="Calibri" w:cs="Times New Roman"/>
      <w:color w:val="auto"/>
    </w:rPr>
  </w:style>
  <w:style w:type="paragraph" w:customStyle="1" w:styleId="531">
    <w:name w:val="样式 表标题5.3 + 居中 段前: 1 行"/>
    <w:basedOn w:val="53"/>
    <w:rsid w:val="009964C3"/>
    <w:pPr>
      <w:numPr>
        <w:numId w:val="0"/>
      </w:numPr>
      <w:tabs>
        <w:tab w:val="left" w:pos="420"/>
        <w:tab w:val="left" w:pos="2100"/>
      </w:tabs>
      <w:spacing w:before="240"/>
      <w:ind w:left="2100" w:hanging="420"/>
      <w:jc w:val="center"/>
    </w:pPr>
    <w:rPr>
      <w:rFonts w:cs="宋体"/>
      <w:bCs/>
      <w:szCs w:val="20"/>
    </w:rPr>
  </w:style>
  <w:style w:type="paragraph" w:customStyle="1" w:styleId="352">
    <w:name w:val="等核实35"/>
    <w:basedOn w:val="afffffff4"/>
    <w:rsid w:val="009964C3"/>
    <w:pPr>
      <w:ind w:firstLineChars="200" w:firstLine="480"/>
    </w:pPr>
    <w:rPr>
      <w:rFonts w:cs="Times New Roman"/>
      <w:color w:val="0000FF"/>
      <w:szCs w:val="20"/>
    </w:rPr>
  </w:style>
  <w:style w:type="paragraph" w:customStyle="1" w:styleId="2ff4">
    <w:name w:val="首行缩进:2 字符"/>
    <w:basedOn w:val="af3"/>
    <w:rsid w:val="009964C3"/>
    <w:pPr>
      <w:spacing w:line="440" w:lineRule="exact"/>
      <w:ind w:firstLineChars="200" w:firstLine="200"/>
    </w:pPr>
    <w:rPr>
      <w:rFonts w:cs="宋体"/>
      <w:sz w:val="24"/>
      <w:szCs w:val="20"/>
    </w:rPr>
  </w:style>
  <w:style w:type="paragraph" w:customStyle="1" w:styleId="41111411114Char1111Char4111">
    <w:name w:val="样式 标题 41.1.1.1标题 4.1.1.1.1标题 4 Char款1.1.1.1 Char标4段1.1.1..."/>
    <w:basedOn w:val="43"/>
    <w:rsid w:val="009964C3"/>
    <w:pPr>
      <w:keepNext w:val="0"/>
      <w:keepLines w:val="0"/>
      <w:tabs>
        <w:tab w:val="left" w:pos="1800"/>
      </w:tabs>
      <w:spacing w:before="100" w:after="100" w:line="302" w:lineRule="auto"/>
      <w:ind w:left="851" w:hanging="851"/>
    </w:pPr>
    <w:rPr>
      <w:rFonts w:cs="宋体"/>
      <w:sz w:val="24"/>
      <w:szCs w:val="20"/>
    </w:rPr>
  </w:style>
  <w:style w:type="paragraph" w:customStyle="1" w:styleId="40505">
    <w:name w:val="样式 标题 4 + 段前: 0.5 行 段后: 0.5 行"/>
    <w:basedOn w:val="43"/>
    <w:rsid w:val="009964C3"/>
    <w:pPr>
      <w:keepNext w:val="0"/>
      <w:keepLines w:val="0"/>
      <w:overflowPunct w:val="0"/>
      <w:autoSpaceDE w:val="0"/>
      <w:autoSpaceDN w:val="0"/>
      <w:adjustRightInd w:val="0"/>
      <w:spacing w:before="0" w:after="0" w:line="360" w:lineRule="auto"/>
      <w:ind w:left="482"/>
      <w:textAlignment w:val="baseline"/>
    </w:pPr>
    <w:rPr>
      <w:rFonts w:ascii="Times New Roman" w:eastAsia="宋体" w:hAnsi="Times New Roman" w:cs="宋体"/>
      <w:bCs w:val="0"/>
      <w:kern w:val="20"/>
      <w:sz w:val="24"/>
      <w:szCs w:val="20"/>
    </w:rPr>
  </w:style>
  <w:style w:type="paragraph" w:customStyle="1" w:styleId="1fe">
    <w:name w:val="日期1"/>
    <w:basedOn w:val="af3"/>
    <w:next w:val="af3"/>
    <w:rsid w:val="009964C3"/>
    <w:pPr>
      <w:tabs>
        <w:tab w:val="left" w:pos="510"/>
      </w:tabs>
      <w:adjustRightInd w:val="0"/>
      <w:spacing w:line="430" w:lineRule="atLeast"/>
      <w:jc w:val="right"/>
      <w:textAlignment w:val="baseline"/>
    </w:pPr>
    <w:rPr>
      <w:spacing w:val="16"/>
      <w:kern w:val="0"/>
      <w:sz w:val="24"/>
      <w:szCs w:val="20"/>
    </w:rPr>
  </w:style>
  <w:style w:type="paragraph" w:customStyle="1" w:styleId="4f1">
    <w:name w:val="待定小4"/>
    <w:basedOn w:val="afffffffffe"/>
    <w:rsid w:val="009964C3"/>
    <w:pPr>
      <w:spacing w:line="240" w:lineRule="auto"/>
      <w:ind w:firstLine="0"/>
    </w:pPr>
    <w:rPr>
      <w:color w:val="0000FF"/>
      <w:sz w:val="21"/>
      <w:szCs w:val="20"/>
    </w:rPr>
  </w:style>
  <w:style w:type="paragraph" w:customStyle="1" w:styleId="126">
    <w:name w:val="页眉中126"/>
    <w:basedOn w:val="af3"/>
    <w:rsid w:val="009964C3"/>
    <w:pPr>
      <w:adjustRightInd w:val="0"/>
      <w:snapToGrid w:val="0"/>
      <w:spacing w:line="300" w:lineRule="auto"/>
      <w:jc w:val="left"/>
    </w:pPr>
    <w:rPr>
      <w:rFonts w:ascii="黑体" w:eastAsia="黑体"/>
      <w:bCs/>
      <w:sz w:val="24"/>
      <w:szCs w:val="20"/>
    </w:rPr>
  </w:style>
  <w:style w:type="paragraph" w:customStyle="1" w:styleId="afffffffffff9">
    <w:name w:val="表格一"/>
    <w:basedOn w:val="af3"/>
    <w:semiHidden/>
    <w:rsid w:val="009964C3"/>
    <w:pPr>
      <w:jc w:val="center"/>
    </w:pPr>
    <w:rPr>
      <w:sz w:val="24"/>
      <w:szCs w:val="20"/>
    </w:rPr>
  </w:style>
  <w:style w:type="paragraph" w:customStyle="1" w:styleId="211105">
    <w:name w:val="样式 样式 样式 标题 2 + + 段前: 1 行 段后: 1 行 + 段前: 1 行 段后: 0.5 行"/>
    <w:basedOn w:val="af3"/>
    <w:rsid w:val="009964C3"/>
    <w:pPr>
      <w:overflowPunct w:val="0"/>
      <w:autoSpaceDE w:val="0"/>
      <w:autoSpaceDN w:val="0"/>
      <w:adjustRightInd w:val="0"/>
      <w:spacing w:beforeLines="50" w:afterLines="50"/>
      <w:jc w:val="left"/>
      <w:textAlignment w:val="baseline"/>
      <w:outlineLvl w:val="1"/>
    </w:pPr>
    <w:rPr>
      <w:rFonts w:ascii="Arial" w:eastAsia="黑体" w:hAnsi="Arial" w:cs="宋体"/>
      <w:kern w:val="20"/>
      <w:sz w:val="30"/>
      <w:szCs w:val="20"/>
    </w:rPr>
  </w:style>
  <w:style w:type="paragraph" w:customStyle="1" w:styleId="Table-">
    <w:name w:val="Table-"/>
    <w:basedOn w:val="InTable"/>
    <w:rsid w:val="009964C3"/>
    <w:pPr>
      <w:widowControl/>
      <w:tabs>
        <w:tab w:val="clear" w:pos="2200"/>
        <w:tab w:val="clear" w:pos="3960"/>
        <w:tab w:val="clear" w:pos="5280"/>
      </w:tabs>
      <w:spacing w:before="0" w:after="0" w:line="240" w:lineRule="auto"/>
      <w:jc w:val="both"/>
    </w:pPr>
    <w:rPr>
      <w:rFonts w:ascii="Arial" w:eastAsia="宋体" w:hAnsi="Arial" w:cs="Arial"/>
      <w:kern w:val="0"/>
      <w:szCs w:val="21"/>
    </w:rPr>
  </w:style>
  <w:style w:type="paragraph" w:customStyle="1" w:styleId="afffffffffffa">
    <w:name w:val="样式 题注"/>
    <w:basedOn w:val="afff2"/>
    <w:next w:val="af3"/>
    <w:rsid w:val="009964C3"/>
    <w:pPr>
      <w:spacing w:before="120" w:after="120"/>
    </w:pPr>
    <w:rPr>
      <w:rFonts w:ascii="Times New Roman" w:hAnsi="Times New Roman" w:cs="宋体"/>
      <w:sz w:val="24"/>
      <w:szCs w:val="24"/>
    </w:rPr>
  </w:style>
  <w:style w:type="paragraph" w:customStyle="1" w:styleId="GB2312Char1">
    <w:name w:val="样式 正文文本 + 楷体_GB2312 小四 Char"/>
    <w:basedOn w:val="afff"/>
    <w:next w:val="af3"/>
    <w:link w:val="GB2312CharChar"/>
    <w:qFormat/>
    <w:rsid w:val="009964C3"/>
    <w:pPr>
      <w:widowControl/>
      <w:spacing w:after="0" w:line="360" w:lineRule="auto"/>
      <w:ind w:firstLineChars="191" w:firstLine="458"/>
    </w:pPr>
    <w:rPr>
      <w:rFonts w:ascii="楷体_GB2312" w:hAnsi="楷体_GB2312"/>
      <w:sz w:val="24"/>
      <w:szCs w:val="20"/>
    </w:rPr>
  </w:style>
  <w:style w:type="paragraph" w:customStyle="1" w:styleId="CharChar1Char2">
    <w:name w:val="Char Char1 Char2"/>
    <w:basedOn w:val="af3"/>
    <w:rsid w:val="009964C3"/>
    <w:pPr>
      <w:widowControl/>
      <w:spacing w:after="160" w:line="240" w:lineRule="exact"/>
      <w:jc w:val="left"/>
    </w:pPr>
    <w:rPr>
      <w:rFonts w:ascii="Verdana" w:hAnsi="Verdana"/>
      <w:kern w:val="0"/>
      <w:sz w:val="20"/>
      <w:szCs w:val="20"/>
      <w:lang w:eastAsia="en-US"/>
    </w:rPr>
  </w:style>
  <w:style w:type="paragraph" w:customStyle="1" w:styleId="CharChar1CharCharCharChar2">
    <w:name w:val="Char Char1 Char Char Char Char2"/>
    <w:basedOn w:val="af3"/>
    <w:rsid w:val="009964C3"/>
  </w:style>
  <w:style w:type="paragraph" w:customStyle="1" w:styleId="xl78">
    <w:name w:val="xl78"/>
    <w:basedOn w:val="af3"/>
    <w:rsid w:val="009964C3"/>
    <w:pPr>
      <w:widowControl/>
      <w:pBdr>
        <w:top w:val="single" w:sz="8" w:space="0" w:color="auto"/>
        <w:bottom w:val="single" w:sz="8" w:space="0" w:color="auto"/>
        <w:right w:val="single" w:sz="8" w:space="0" w:color="auto"/>
      </w:pBdr>
      <w:spacing w:before="100" w:beforeAutospacing="1" w:after="100" w:afterAutospacing="1"/>
      <w:jc w:val="center"/>
    </w:pPr>
    <w:rPr>
      <w:color w:val="000000"/>
      <w:kern w:val="0"/>
      <w:sz w:val="18"/>
      <w:szCs w:val="18"/>
    </w:rPr>
  </w:style>
  <w:style w:type="paragraph" w:customStyle="1" w:styleId="33Char1Char3CharChar1Char3Char13Cha">
    <w:name w:val="样式 标题 3标题 3 Char1 Char标题 3 Char Char1 Char标题 3 Char1标题 3 Cha..."/>
    <w:basedOn w:val="af3"/>
    <w:semiHidden/>
    <w:rsid w:val="009964C3"/>
    <w:pPr>
      <w:spacing w:line="360" w:lineRule="auto"/>
    </w:pPr>
    <w:rPr>
      <w:sz w:val="24"/>
    </w:rPr>
  </w:style>
  <w:style w:type="paragraph" w:customStyle="1" w:styleId="ST2057">
    <w:name w:val="ST20_57"/>
    <w:basedOn w:val="ST2021"/>
    <w:rsid w:val="009964C3"/>
    <w:pPr>
      <w:ind w:left="2160"/>
    </w:pPr>
  </w:style>
  <w:style w:type="paragraph" w:customStyle="1" w:styleId="83">
    <w:name w:val="表标题8.3"/>
    <w:basedOn w:val="afffffffffff4"/>
    <w:rsid w:val="009964C3"/>
    <w:pPr>
      <w:numPr>
        <w:numId w:val="13"/>
      </w:numPr>
      <w:tabs>
        <w:tab w:val="left" w:pos="360"/>
        <w:tab w:val="left" w:pos="726"/>
      </w:tabs>
      <w:spacing w:before="312"/>
      <w:ind w:left="0" w:firstLine="0"/>
    </w:pPr>
    <w:rPr>
      <w:szCs w:val="20"/>
    </w:rPr>
  </w:style>
  <w:style w:type="paragraph" w:customStyle="1" w:styleId="117">
    <w:name w:val="页眉中117"/>
    <w:basedOn w:val="af3"/>
    <w:rsid w:val="009964C3"/>
    <w:pPr>
      <w:adjustRightInd w:val="0"/>
      <w:snapToGrid w:val="0"/>
      <w:spacing w:line="300" w:lineRule="auto"/>
      <w:jc w:val="left"/>
    </w:pPr>
    <w:rPr>
      <w:rFonts w:ascii="黑体" w:eastAsia="黑体" w:hAnsi="宋体"/>
      <w:sz w:val="24"/>
    </w:rPr>
  </w:style>
  <w:style w:type="paragraph" w:customStyle="1" w:styleId="Char1ff9">
    <w:name w:val="Char1"/>
    <w:basedOn w:val="af3"/>
    <w:semiHidden/>
    <w:rsid w:val="009964C3"/>
    <w:rPr>
      <w:rFonts w:ascii="宋体" w:hAnsi="宋体" w:cs="Courier New"/>
      <w:sz w:val="32"/>
      <w:szCs w:val="32"/>
    </w:rPr>
  </w:style>
  <w:style w:type="paragraph" w:customStyle="1" w:styleId="xl44">
    <w:name w:val="xl44"/>
    <w:basedOn w:val="af3"/>
    <w:rsid w:val="009964C3"/>
    <w:pPr>
      <w:widowControl/>
      <w:pBdr>
        <w:left w:val="single" w:sz="12" w:space="0" w:color="auto"/>
        <w:bottom w:val="single" w:sz="12" w:space="0" w:color="auto"/>
        <w:right w:val="single" w:sz="8" w:space="0" w:color="auto"/>
      </w:pBdr>
      <w:spacing w:before="100" w:beforeAutospacing="1" w:after="100" w:afterAutospacing="1"/>
      <w:jc w:val="center"/>
    </w:pPr>
    <w:rPr>
      <w:kern w:val="0"/>
      <w:szCs w:val="21"/>
    </w:rPr>
  </w:style>
  <w:style w:type="paragraph" w:customStyle="1" w:styleId="2212">
    <w:name w:val="样式 样式 标题 2 + 左侧:  2 字符1 + 左侧:  2 字符"/>
    <w:basedOn w:val="af3"/>
    <w:rsid w:val="009964C3"/>
    <w:pPr>
      <w:keepNext/>
      <w:keepLines/>
      <w:numPr>
        <w:ilvl w:val="1"/>
        <w:numId w:val="14"/>
      </w:numPr>
      <w:tabs>
        <w:tab w:val="left" w:pos="576"/>
      </w:tabs>
      <w:spacing w:beforeLines="50" w:afterLines="50"/>
      <w:ind w:left="210" w:rightChars="100" w:right="210" w:firstLine="0"/>
      <w:outlineLvl w:val="1"/>
    </w:pPr>
    <w:rPr>
      <w:rFonts w:ascii="黑体" w:eastAsia="黑体" w:hAnsi="Arial"/>
      <w:sz w:val="52"/>
      <w:szCs w:val="20"/>
    </w:rPr>
  </w:style>
  <w:style w:type="paragraph" w:customStyle="1" w:styleId="2e">
    <w:name w:val="样式 样式 首行缩进:  2 字符 +"/>
    <w:basedOn w:val="2f2"/>
    <w:link w:val="2Chara"/>
    <w:semiHidden/>
    <w:rsid w:val="009964C3"/>
    <w:pPr>
      <w:adjustRightInd w:val="0"/>
      <w:snapToGrid w:val="0"/>
    </w:pPr>
    <w:rPr>
      <w:rFonts w:ascii="Times New Roman" w:hAnsi="Times New Roman" w:cs="Times New Roman"/>
    </w:rPr>
  </w:style>
  <w:style w:type="paragraph" w:customStyle="1" w:styleId="611">
    <w:name w:val="标题 61"/>
    <w:basedOn w:val="af3"/>
    <w:next w:val="af3"/>
    <w:rsid w:val="009964C3"/>
    <w:pPr>
      <w:adjustRightInd w:val="0"/>
      <w:snapToGrid w:val="0"/>
      <w:spacing w:line="480" w:lineRule="atLeast"/>
      <w:ind w:left="3" w:firstLine="567"/>
      <w:textAlignment w:val="baseline"/>
    </w:pPr>
    <w:rPr>
      <w:rFonts w:ascii="Arial" w:hAnsi="Arial" w:hint="eastAsia"/>
      <w:kern w:val="0"/>
      <w:sz w:val="24"/>
      <w:szCs w:val="20"/>
    </w:rPr>
  </w:style>
  <w:style w:type="paragraph" w:customStyle="1" w:styleId="65">
    <w:name w:val="页眉中65"/>
    <w:basedOn w:val="4a"/>
    <w:rsid w:val="009964C3"/>
    <w:pPr>
      <w:snapToGrid w:val="0"/>
      <w:spacing w:line="360" w:lineRule="auto"/>
      <w:textAlignment w:val="auto"/>
    </w:pPr>
    <w:rPr>
      <w:rFonts w:ascii="宋体" w:hAnsi="宋体"/>
      <w:szCs w:val="24"/>
    </w:rPr>
  </w:style>
  <w:style w:type="paragraph" w:customStyle="1" w:styleId="4430">
    <w:name w:val="表内小443"/>
    <w:basedOn w:val="affffffffff"/>
    <w:rsid w:val="009964C3"/>
    <w:pPr>
      <w:ind w:left="240" w:hanging="240"/>
      <w:jc w:val="both"/>
    </w:pPr>
    <w:rPr>
      <w:rFonts w:cs="Times New Roman"/>
    </w:rPr>
  </w:style>
  <w:style w:type="paragraph" w:customStyle="1" w:styleId="1ff">
    <w:name w:val="标题1新"/>
    <w:basedOn w:val="13"/>
    <w:semiHidden/>
    <w:rsid w:val="009964C3"/>
    <w:pPr>
      <w:tabs>
        <w:tab w:val="left" w:pos="852"/>
        <w:tab w:val="left" w:pos="1440"/>
      </w:tabs>
      <w:spacing w:line="576" w:lineRule="auto"/>
      <w:ind w:left="852" w:hanging="288"/>
    </w:pPr>
    <w:rPr>
      <w:rFonts w:ascii="Calibri" w:eastAsia="宋体" w:hAnsi="Calibri"/>
      <w:sz w:val="44"/>
    </w:rPr>
  </w:style>
  <w:style w:type="paragraph" w:customStyle="1" w:styleId="191">
    <w:name w:val="图题19"/>
    <w:basedOn w:val="af3"/>
    <w:rsid w:val="009964C3"/>
    <w:pPr>
      <w:jc w:val="center"/>
    </w:pPr>
    <w:rPr>
      <w:rFonts w:ascii="方正大标宋简体" w:eastAsia="方正大标宋简体"/>
      <w:sz w:val="24"/>
    </w:rPr>
  </w:style>
  <w:style w:type="paragraph" w:customStyle="1" w:styleId="ST2011">
    <w:name w:val="ST20_11"/>
    <w:basedOn w:val="ST202"/>
    <w:rsid w:val="009964C3"/>
    <w:pPr>
      <w:keepLines/>
      <w:spacing w:after="0"/>
      <w:ind w:right="4320"/>
    </w:pPr>
    <w:rPr>
      <w:szCs w:val="28"/>
    </w:rPr>
  </w:style>
  <w:style w:type="paragraph" w:customStyle="1" w:styleId="6120">
    <w:name w:val="612表头"/>
    <w:basedOn w:val="af3"/>
    <w:link w:val="612Char0"/>
    <w:semiHidden/>
    <w:rsid w:val="009964C3"/>
    <w:pPr>
      <w:tabs>
        <w:tab w:val="left" w:pos="4320"/>
        <w:tab w:val="left" w:pos="4980"/>
        <w:tab w:val="center" w:pos="6980"/>
      </w:tabs>
      <w:spacing w:before="120" w:line="360" w:lineRule="exact"/>
      <w:jc w:val="center"/>
    </w:pPr>
    <w:rPr>
      <w:rFonts w:ascii="Arial Unicode MS" w:hAnsi="Arial Unicode MS"/>
      <w:b/>
      <w:sz w:val="24"/>
    </w:rPr>
  </w:style>
  <w:style w:type="paragraph" w:customStyle="1" w:styleId="4f2">
    <w:name w:val="表头4"/>
    <w:basedOn w:val="afffffff4"/>
    <w:rsid w:val="009964C3"/>
    <w:pPr>
      <w:tabs>
        <w:tab w:val="clear" w:pos="4305"/>
      </w:tabs>
      <w:spacing w:line="240" w:lineRule="auto"/>
      <w:ind w:firstLine="0"/>
      <w:jc w:val="center"/>
    </w:pPr>
    <w:rPr>
      <w:rFonts w:ascii="黑体" w:eastAsia="黑体" w:hAnsi="Times" w:cs="Times New Roman"/>
    </w:rPr>
  </w:style>
  <w:style w:type="paragraph" w:customStyle="1" w:styleId="Charfffffff1">
    <w:name w:val="表尾 Char"/>
    <w:basedOn w:val="af3"/>
    <w:rsid w:val="009964C3"/>
    <w:pPr>
      <w:tabs>
        <w:tab w:val="left" w:pos="1021"/>
      </w:tabs>
      <w:spacing w:line="200" w:lineRule="exact"/>
    </w:pPr>
    <w:rPr>
      <w:sz w:val="10"/>
      <w:szCs w:val="20"/>
    </w:rPr>
  </w:style>
  <w:style w:type="paragraph" w:customStyle="1" w:styleId="1150">
    <w:name w:val="样式 标题 1 + 居中 行距: 1.5 倍行距"/>
    <w:basedOn w:val="13"/>
    <w:rsid w:val="009964C3"/>
    <w:pPr>
      <w:keepLines w:val="0"/>
      <w:widowControl/>
      <w:spacing w:before="360" w:after="480" w:line="360" w:lineRule="auto"/>
      <w:jc w:val="left"/>
    </w:pPr>
    <w:rPr>
      <w:kern w:val="0"/>
      <w:szCs w:val="36"/>
    </w:rPr>
  </w:style>
  <w:style w:type="paragraph" w:customStyle="1" w:styleId="31113CharChar3Char3111111-1">
    <w:name w:val="样式 标题 31.1.1条标题 3 Char Char标题 3 Char标3§1.1.1.. (1.1.1)- ...1"/>
    <w:basedOn w:val="31"/>
    <w:rsid w:val="009964C3"/>
    <w:pPr>
      <w:keepNext w:val="0"/>
      <w:keepLines w:val="0"/>
      <w:tabs>
        <w:tab w:val="left" w:pos="-437"/>
      </w:tabs>
      <w:spacing w:before="120" w:after="120" w:line="240" w:lineRule="auto"/>
    </w:pPr>
    <w:rPr>
      <w:rFonts w:eastAsia="黑体" w:cs="宋体"/>
      <w:sz w:val="24"/>
      <w:szCs w:val="20"/>
    </w:rPr>
  </w:style>
  <w:style w:type="paragraph" w:customStyle="1" w:styleId="afffffffffffb">
    <w:name w:val="文档标签"/>
    <w:basedOn w:val="afffffffffffc"/>
    <w:rsid w:val="009964C3"/>
    <w:pPr>
      <w:keepNext/>
      <w:keepLines/>
      <w:widowControl/>
      <w:spacing w:before="400" w:after="120" w:line="240" w:lineRule="atLeast"/>
      <w:ind w:left="-840"/>
      <w:jc w:val="left"/>
    </w:pPr>
    <w:rPr>
      <w:rFonts w:ascii="Arial Black" w:eastAsia="黑体" w:hAnsi="Arial Black"/>
      <w:kern w:val="28"/>
      <w:sz w:val="44"/>
      <w:szCs w:val="44"/>
    </w:rPr>
  </w:style>
  <w:style w:type="paragraph" w:customStyle="1" w:styleId="a5">
    <w:name w:val="表中居中文字"/>
    <w:basedOn w:val="af3"/>
    <w:rsid w:val="009964C3"/>
    <w:pPr>
      <w:numPr>
        <w:ilvl w:val="3"/>
        <w:numId w:val="15"/>
      </w:numPr>
      <w:tabs>
        <w:tab w:val="left" w:pos="2249"/>
      </w:tabs>
      <w:ind w:left="0" w:firstLine="0"/>
    </w:pPr>
    <w:rPr>
      <w:rFonts w:ascii="宋体" w:hAnsi="宋体" w:cs="Arial"/>
      <w:bCs/>
      <w:color w:val="FF0000"/>
      <w:sz w:val="24"/>
      <w:szCs w:val="18"/>
    </w:rPr>
  </w:style>
  <w:style w:type="paragraph" w:customStyle="1" w:styleId="afffffffffffd">
    <w:name w:val="电化正文"/>
    <w:basedOn w:val="2fa"/>
    <w:rsid w:val="009964C3"/>
    <w:pPr>
      <w:spacing w:after="0" w:line="360" w:lineRule="auto"/>
      <w:ind w:leftChars="0" w:left="0" w:firstLineChars="200" w:firstLine="480"/>
      <w:jc w:val="left"/>
    </w:pPr>
    <w:rPr>
      <w:rFonts w:cs="宋体"/>
      <w:sz w:val="24"/>
      <w:szCs w:val="20"/>
    </w:rPr>
  </w:style>
  <w:style w:type="paragraph" w:customStyle="1" w:styleId="2220">
    <w:name w:val="样式 小四 行距: 固定值 22 磅 首行缩进:  2 字符"/>
    <w:basedOn w:val="af3"/>
    <w:rsid w:val="009964C3"/>
    <w:pPr>
      <w:spacing w:line="440" w:lineRule="exact"/>
      <w:ind w:firstLineChars="200" w:firstLine="480"/>
    </w:pPr>
    <w:rPr>
      <w:sz w:val="24"/>
      <w:szCs w:val="20"/>
    </w:rPr>
  </w:style>
  <w:style w:type="paragraph" w:customStyle="1" w:styleId="xl90">
    <w:name w:val="xl90"/>
    <w:basedOn w:val="af3"/>
    <w:rsid w:val="009964C3"/>
    <w:pPr>
      <w:widowControl/>
      <w:pBdr>
        <w:top w:val="single" w:sz="4" w:space="0" w:color="auto"/>
        <w:left w:val="single" w:sz="4" w:space="0" w:color="auto"/>
      </w:pBdr>
      <w:spacing w:before="100" w:beforeAutospacing="1" w:after="100" w:afterAutospacing="1"/>
      <w:jc w:val="center"/>
    </w:pPr>
    <w:rPr>
      <w:rFonts w:ascii="宋体" w:hAnsi="宋体" w:cs="宋体"/>
      <w:kern w:val="0"/>
      <w:sz w:val="24"/>
    </w:rPr>
  </w:style>
  <w:style w:type="paragraph" w:customStyle="1" w:styleId="500983">
    <w:name w:val="样式 表内小5 + 左侧:  0 厘米 悬挂缩进: 0.98 字符3"/>
    <w:basedOn w:val="af3"/>
    <w:rsid w:val="009964C3"/>
    <w:pPr>
      <w:adjustRightInd w:val="0"/>
      <w:snapToGrid w:val="0"/>
      <w:spacing w:line="300" w:lineRule="auto"/>
      <w:ind w:leftChars="-200" w:left="289" w:hanging="769"/>
    </w:pPr>
    <w:rPr>
      <w:rFonts w:ascii="宋体" w:hAnsi="宋体" w:cs="宋体"/>
      <w:sz w:val="18"/>
      <w:szCs w:val="20"/>
    </w:rPr>
  </w:style>
  <w:style w:type="paragraph" w:customStyle="1" w:styleId="afffffffffffe">
    <w:name w:val="表格内容格式"/>
    <w:basedOn w:val="af3"/>
    <w:semiHidden/>
    <w:rsid w:val="009964C3"/>
    <w:pPr>
      <w:adjustRightInd w:val="0"/>
      <w:snapToGrid w:val="0"/>
      <w:jc w:val="center"/>
      <w:textAlignment w:val="baseline"/>
    </w:pPr>
    <w:rPr>
      <w:snapToGrid w:val="0"/>
      <w:kern w:val="0"/>
      <w:szCs w:val="21"/>
    </w:rPr>
  </w:style>
  <w:style w:type="paragraph" w:customStyle="1" w:styleId="570">
    <w:name w:val="样式 表内5 + (符号) 宋体 两端对齐 行距: 单倍行距7"/>
    <w:basedOn w:val="af3"/>
    <w:rsid w:val="009964C3"/>
    <w:pPr>
      <w:adjustRightInd w:val="0"/>
      <w:snapToGrid w:val="0"/>
      <w:jc w:val="center"/>
    </w:pPr>
    <w:rPr>
      <w:rFonts w:ascii="宋体" w:hAnsi="宋体" w:cs="宋体"/>
      <w:kern w:val="0"/>
      <w:szCs w:val="20"/>
    </w:rPr>
  </w:style>
  <w:style w:type="paragraph" w:customStyle="1" w:styleId="574">
    <w:name w:val="表内574"/>
    <w:basedOn w:val="5f2"/>
    <w:rsid w:val="009964C3"/>
    <w:pPr>
      <w:jc w:val="both"/>
    </w:pPr>
    <w:rPr>
      <w:szCs w:val="24"/>
    </w:rPr>
  </w:style>
  <w:style w:type="paragraph" w:customStyle="1" w:styleId="242">
    <w:name w:val="表内文字大24"/>
    <w:basedOn w:val="af3"/>
    <w:rsid w:val="009964C3"/>
    <w:pPr>
      <w:adjustRightInd w:val="0"/>
      <w:snapToGrid w:val="0"/>
      <w:jc w:val="center"/>
    </w:pPr>
    <w:rPr>
      <w:rFonts w:ascii="宋体" w:hAnsi="Times" w:cs="宋体"/>
      <w:sz w:val="24"/>
      <w:szCs w:val="20"/>
    </w:rPr>
  </w:style>
  <w:style w:type="paragraph" w:customStyle="1" w:styleId="1ff0">
    <w:name w:val="正文首行缩进1"/>
    <w:basedOn w:val="af4"/>
    <w:rsid w:val="009964C3"/>
    <w:pPr>
      <w:tabs>
        <w:tab w:val="left" w:pos="0"/>
      </w:tabs>
      <w:overflowPunct w:val="0"/>
      <w:autoSpaceDE w:val="0"/>
      <w:autoSpaceDN w:val="0"/>
      <w:adjustRightInd w:val="0"/>
      <w:spacing w:before="120" w:line="360" w:lineRule="auto"/>
      <w:ind w:firstLineChars="0" w:firstLine="567"/>
    </w:pPr>
    <w:rPr>
      <w:rFonts w:ascii="宋体" w:hAnsi="Garamond" w:hint="eastAsia"/>
      <w:sz w:val="28"/>
      <w:szCs w:val="20"/>
    </w:rPr>
  </w:style>
  <w:style w:type="paragraph" w:customStyle="1" w:styleId="affffffff0">
    <w:name w:val="正文(首行缩进)宋旭峰"/>
    <w:basedOn w:val="af4"/>
    <w:link w:val="CharCharff3"/>
    <w:semiHidden/>
    <w:rsid w:val="009964C3"/>
    <w:pPr>
      <w:spacing w:line="360" w:lineRule="auto"/>
      <w:ind w:firstLine="480"/>
    </w:pPr>
    <w:rPr>
      <w:rFonts w:ascii="Arial" w:hAnsi="Arial"/>
      <w:snapToGrid w:val="0"/>
      <w:kern w:val="20"/>
      <w:sz w:val="24"/>
      <w:szCs w:val="24"/>
    </w:rPr>
  </w:style>
  <w:style w:type="paragraph" w:customStyle="1" w:styleId="CharCharChar1CharCharCharCharCharCharCharCharCharCharCharChar1CharCharCharCharCharCharCharCharCharCharCharCharCharCharCharCharCharCharCharCharCharCharCharChar">
    <w:name w:val="Char Char Char1 Char Char Char Char Char Char Char Char Char Char Char Char1 Char Char Char Char Char Char Char Char Char Char Char Char Char Char Char Char Char Char Char Char Char Char Char Char"/>
    <w:basedOn w:val="af3"/>
    <w:rsid w:val="009964C3"/>
  </w:style>
  <w:style w:type="paragraph" w:customStyle="1" w:styleId="565">
    <w:name w:val="表内565"/>
    <w:basedOn w:val="af3"/>
    <w:rsid w:val="009964C3"/>
    <w:pPr>
      <w:adjustRightInd w:val="0"/>
      <w:snapToGrid w:val="0"/>
      <w:spacing w:line="300" w:lineRule="auto"/>
      <w:jc w:val="left"/>
    </w:pPr>
    <w:rPr>
      <w:rFonts w:ascii="宋体"/>
      <w:szCs w:val="20"/>
    </w:rPr>
  </w:style>
  <w:style w:type="paragraph" w:customStyle="1" w:styleId="pic-info">
    <w:name w:val="pic-info"/>
    <w:basedOn w:val="af3"/>
    <w:rsid w:val="009964C3"/>
    <w:pPr>
      <w:widowControl/>
      <w:spacing w:before="100" w:beforeAutospacing="1" w:after="100" w:afterAutospacing="1"/>
      <w:jc w:val="left"/>
    </w:pPr>
    <w:rPr>
      <w:rFonts w:ascii="宋体" w:hAnsi="宋体" w:cs="宋体"/>
      <w:kern w:val="0"/>
      <w:sz w:val="24"/>
    </w:rPr>
  </w:style>
  <w:style w:type="paragraph" w:customStyle="1" w:styleId="3H3BHead3Char111H31H32H33u3H311H321H31">
    <w:name w:val="样式 标题 3H3B Head标题 3 Char条标题1.1.1H31H32H33u3H311H321H3...1"/>
    <w:basedOn w:val="31"/>
    <w:rsid w:val="009964C3"/>
    <w:pPr>
      <w:keepNext w:val="0"/>
      <w:keepLines w:val="0"/>
      <w:overflowPunct w:val="0"/>
      <w:autoSpaceDE w:val="0"/>
      <w:autoSpaceDN w:val="0"/>
      <w:adjustRightInd w:val="0"/>
      <w:spacing w:before="20" w:after="20" w:line="384" w:lineRule="auto"/>
      <w:textAlignment w:val="baseline"/>
    </w:pPr>
    <w:rPr>
      <w:rFonts w:ascii="Arial" w:hAnsi="Arial" w:cs="宋体"/>
      <w:b w:val="0"/>
      <w:kern w:val="20"/>
      <w:sz w:val="28"/>
      <w:szCs w:val="20"/>
    </w:rPr>
  </w:style>
  <w:style w:type="paragraph" w:customStyle="1" w:styleId="341">
    <w:name w:val="样式34"/>
    <w:basedOn w:val="afff"/>
    <w:rsid w:val="009964C3"/>
    <w:pPr>
      <w:widowControl/>
      <w:overflowPunct w:val="0"/>
      <w:autoSpaceDE w:val="0"/>
      <w:autoSpaceDN w:val="0"/>
      <w:adjustRightInd w:val="0"/>
      <w:snapToGrid w:val="0"/>
      <w:spacing w:after="0" w:line="360" w:lineRule="auto"/>
      <w:ind w:firstLine="567"/>
      <w:textAlignment w:val="baseline"/>
    </w:pPr>
    <w:rPr>
      <w:rFonts w:ascii="宋体"/>
      <w:spacing w:val="20"/>
      <w:kern w:val="0"/>
      <w:sz w:val="24"/>
      <w:szCs w:val="20"/>
    </w:rPr>
  </w:style>
  <w:style w:type="paragraph" w:customStyle="1" w:styleId="380">
    <w:name w:val="页眉中38"/>
    <w:basedOn w:val="af3"/>
    <w:rsid w:val="009964C3"/>
    <w:pPr>
      <w:adjustRightInd w:val="0"/>
      <w:snapToGrid w:val="0"/>
      <w:spacing w:line="300" w:lineRule="auto"/>
      <w:jc w:val="left"/>
    </w:pPr>
    <w:rPr>
      <w:rFonts w:ascii="黑体" w:eastAsia="黑体" w:hAnsi="宋体"/>
      <w:sz w:val="24"/>
    </w:rPr>
  </w:style>
  <w:style w:type="paragraph" w:customStyle="1" w:styleId="6122">
    <w:name w:val="612二级表态哦"/>
    <w:basedOn w:val="22"/>
    <w:semiHidden/>
    <w:rsid w:val="009964C3"/>
    <w:pPr>
      <w:snapToGrid w:val="0"/>
      <w:spacing w:before="120" w:after="120" w:line="360" w:lineRule="exact"/>
      <w:jc w:val="left"/>
    </w:pPr>
    <w:rPr>
      <w:b w:val="0"/>
      <w:bCs w:val="0"/>
      <w:sz w:val="28"/>
      <w:szCs w:val="28"/>
    </w:rPr>
  </w:style>
  <w:style w:type="paragraph" w:customStyle="1" w:styleId="affffffffffff">
    <w:name w:val="图"/>
    <w:basedOn w:val="afff"/>
    <w:semiHidden/>
    <w:rsid w:val="009964C3"/>
    <w:pPr>
      <w:adjustRightInd w:val="0"/>
      <w:snapToGrid w:val="0"/>
      <w:spacing w:after="0" w:line="288" w:lineRule="auto"/>
      <w:jc w:val="center"/>
      <w:textAlignment w:val="baseline"/>
    </w:pPr>
    <w:rPr>
      <w:rFonts w:ascii="黑体" w:eastAsia="黑体" w:hAnsi="Arial"/>
      <w:b/>
      <w:szCs w:val="20"/>
    </w:rPr>
  </w:style>
  <w:style w:type="paragraph" w:customStyle="1" w:styleId="1205">
    <w:name w:val="样式 样式1 + 首行缩进:  2 字符 段前: 0.5 行"/>
    <w:basedOn w:val="10"/>
    <w:semiHidden/>
    <w:rsid w:val="009964C3"/>
    <w:pPr>
      <w:numPr>
        <w:numId w:val="0"/>
      </w:numPr>
      <w:tabs>
        <w:tab w:val="left" w:pos="432"/>
      </w:tabs>
      <w:adjustRightInd/>
      <w:spacing w:line="240" w:lineRule="auto"/>
      <w:textAlignment w:val="auto"/>
    </w:pPr>
    <w:rPr>
      <w:rFonts w:ascii="Times New Roman" w:hAnsi="Times New Roman"/>
      <w:kern w:val="2"/>
      <w:sz w:val="28"/>
    </w:rPr>
  </w:style>
  <w:style w:type="paragraph" w:customStyle="1" w:styleId="331113CharChar3Char">
    <w:name w:val="样式 标题 3标31.1.1条标题 3 Char Char标题 3 Char + 黑色"/>
    <w:basedOn w:val="31"/>
    <w:rsid w:val="009964C3"/>
    <w:pPr>
      <w:keepNext w:val="0"/>
      <w:keepLines w:val="0"/>
      <w:widowControl/>
      <w:tabs>
        <w:tab w:val="left" w:pos="1820"/>
      </w:tabs>
      <w:spacing w:before="0" w:after="0" w:line="336" w:lineRule="auto"/>
      <w:ind w:left="1820" w:hanging="420"/>
      <w:jc w:val="left"/>
    </w:pPr>
    <w:rPr>
      <w:rFonts w:hAnsi="宋体"/>
      <w:b w:val="0"/>
      <w:bCs w:val="0"/>
      <w:color w:val="000000"/>
      <w:kern w:val="0"/>
      <w:sz w:val="24"/>
      <w:szCs w:val="20"/>
    </w:rPr>
  </w:style>
  <w:style w:type="paragraph" w:customStyle="1" w:styleId="affffffffffff0">
    <w:name w:val="文本框"/>
    <w:basedOn w:val="af3"/>
    <w:rsid w:val="009964C3"/>
    <w:pPr>
      <w:adjustRightInd w:val="0"/>
      <w:snapToGrid w:val="0"/>
      <w:spacing w:after="6"/>
      <w:jc w:val="center"/>
    </w:pPr>
    <w:rPr>
      <w:rFonts w:eastAsia="仿宋_GB2312"/>
      <w:szCs w:val="20"/>
    </w:rPr>
  </w:style>
  <w:style w:type="paragraph" w:customStyle="1" w:styleId="541">
    <w:name w:val="表内小5中4"/>
    <w:basedOn w:val="af3"/>
    <w:rsid w:val="009964C3"/>
    <w:pPr>
      <w:adjustRightInd w:val="0"/>
      <w:snapToGrid w:val="0"/>
      <w:jc w:val="center"/>
    </w:pPr>
    <w:rPr>
      <w:rFonts w:ascii="宋体" w:hAnsi="宋体"/>
      <w:sz w:val="18"/>
      <w:szCs w:val="20"/>
    </w:rPr>
  </w:style>
  <w:style w:type="paragraph" w:customStyle="1" w:styleId="S2">
    <w:name w:val="四级标题S"/>
    <w:basedOn w:val="43"/>
    <w:next w:val="S3"/>
    <w:semiHidden/>
    <w:rsid w:val="009964C3"/>
    <w:pPr>
      <w:numPr>
        <w:ilvl w:val="3"/>
      </w:numPr>
      <w:tabs>
        <w:tab w:val="left" w:pos="864"/>
        <w:tab w:val="left" w:pos="1021"/>
      </w:tabs>
      <w:spacing w:beforeLines="50" w:afterLines="50" w:line="240" w:lineRule="auto"/>
      <w:ind w:left="864" w:hanging="864"/>
      <w:jc w:val="left"/>
    </w:pPr>
    <w:rPr>
      <w:rFonts w:ascii="Times New Roman" w:eastAsia="楷体" w:hAnsi="Times New Roman"/>
      <w:b w:val="0"/>
      <w:sz w:val="24"/>
      <w:szCs w:val="20"/>
    </w:rPr>
  </w:style>
  <w:style w:type="paragraph" w:customStyle="1" w:styleId="WJ">
    <w:name w:val="WJ三级"/>
    <w:basedOn w:val="31"/>
    <w:next w:val="af3"/>
    <w:rsid w:val="009964C3"/>
    <w:pPr>
      <w:widowControl/>
      <w:spacing w:line="415" w:lineRule="auto"/>
      <w:jc w:val="center"/>
    </w:pPr>
    <w:rPr>
      <w:kern w:val="0"/>
      <w:sz w:val="24"/>
      <w:szCs w:val="24"/>
    </w:rPr>
  </w:style>
  <w:style w:type="paragraph" w:customStyle="1" w:styleId="251">
    <w:name w:val="表内文字大25"/>
    <w:basedOn w:val="af3"/>
    <w:rsid w:val="009964C3"/>
    <w:pPr>
      <w:adjustRightInd w:val="0"/>
      <w:snapToGrid w:val="0"/>
      <w:jc w:val="center"/>
    </w:pPr>
    <w:rPr>
      <w:rFonts w:ascii="宋体" w:hAnsi="Times" w:cs="宋体"/>
      <w:sz w:val="24"/>
      <w:szCs w:val="20"/>
    </w:rPr>
  </w:style>
  <w:style w:type="paragraph" w:customStyle="1" w:styleId="ParaCharCharChar1CharCharCharChar">
    <w:name w:val="默认段落字体 Para Char Char Char1 Char Char Char Char"/>
    <w:basedOn w:val="af3"/>
    <w:semiHidden/>
    <w:rsid w:val="009964C3"/>
    <w:rPr>
      <w:sz w:val="24"/>
    </w:rPr>
  </w:style>
  <w:style w:type="paragraph" w:customStyle="1" w:styleId="affffffffffff1">
    <w:name w:val="表内小"/>
    <w:basedOn w:val="af3"/>
    <w:rsid w:val="009964C3"/>
    <w:pPr>
      <w:adjustRightInd w:val="0"/>
      <w:textAlignment w:val="baseline"/>
    </w:pPr>
    <w:rPr>
      <w:rFonts w:ascii="宋体" w:hAnsi="宋体"/>
      <w:sz w:val="28"/>
      <w:szCs w:val="20"/>
    </w:rPr>
  </w:style>
  <w:style w:type="paragraph" w:customStyle="1" w:styleId="527">
    <w:name w:val="表内527"/>
    <w:basedOn w:val="af3"/>
    <w:rsid w:val="009964C3"/>
    <w:pPr>
      <w:adjustRightInd w:val="0"/>
      <w:snapToGrid w:val="0"/>
      <w:spacing w:line="300" w:lineRule="auto"/>
      <w:jc w:val="left"/>
    </w:pPr>
    <w:rPr>
      <w:rFonts w:ascii="宋体"/>
      <w:szCs w:val="20"/>
    </w:rPr>
  </w:style>
  <w:style w:type="paragraph" w:customStyle="1" w:styleId="yyp">
    <w:name w:val="yyp"/>
    <w:basedOn w:val="af3"/>
    <w:next w:val="af3"/>
    <w:link w:val="yypChar"/>
    <w:semiHidden/>
    <w:rsid w:val="009964C3"/>
    <w:pPr>
      <w:spacing w:after="120" w:line="360" w:lineRule="auto"/>
      <w:ind w:firstLineChars="200" w:firstLine="480"/>
    </w:pPr>
    <w:rPr>
      <w:sz w:val="24"/>
      <w:szCs w:val="20"/>
    </w:rPr>
  </w:style>
  <w:style w:type="paragraph" w:customStyle="1" w:styleId="573">
    <w:name w:val="表内573"/>
    <w:basedOn w:val="5f2"/>
    <w:rsid w:val="009964C3"/>
    <w:pPr>
      <w:jc w:val="both"/>
    </w:pPr>
    <w:rPr>
      <w:szCs w:val="24"/>
    </w:rPr>
  </w:style>
  <w:style w:type="paragraph" w:customStyle="1" w:styleId="181">
    <w:name w:val="页眉中18"/>
    <w:basedOn w:val="4a"/>
    <w:rsid w:val="009964C3"/>
    <w:pPr>
      <w:snapToGrid w:val="0"/>
      <w:spacing w:line="300" w:lineRule="auto"/>
      <w:textAlignment w:val="auto"/>
    </w:pPr>
    <w:rPr>
      <w:rFonts w:ascii="黑体" w:eastAsia="黑体" w:hAnsi="宋体"/>
    </w:rPr>
  </w:style>
  <w:style w:type="paragraph" w:customStyle="1" w:styleId="ly0">
    <w:name w:val="ly正常段落"/>
    <w:basedOn w:val="af3"/>
    <w:link w:val="lyChar0"/>
    <w:semiHidden/>
    <w:rsid w:val="009964C3"/>
    <w:pPr>
      <w:adjustRightInd w:val="0"/>
      <w:spacing w:line="360" w:lineRule="auto"/>
      <w:ind w:firstLine="482"/>
      <w:textAlignment w:val="baseline"/>
    </w:pPr>
    <w:rPr>
      <w:kern w:val="24"/>
      <w:sz w:val="24"/>
    </w:rPr>
  </w:style>
  <w:style w:type="paragraph" w:customStyle="1" w:styleId="102">
    <w:name w:val="等核实10"/>
    <w:basedOn w:val="afffffff4"/>
    <w:rsid w:val="009964C3"/>
    <w:pPr>
      <w:spacing w:line="300" w:lineRule="auto"/>
      <w:ind w:firstLine="567"/>
    </w:pPr>
    <w:rPr>
      <w:rFonts w:cs="Times New Roman"/>
      <w:color w:val="0000FF"/>
      <w:sz w:val="28"/>
      <w:szCs w:val="20"/>
    </w:rPr>
  </w:style>
  <w:style w:type="paragraph" w:customStyle="1" w:styleId="464">
    <w:name w:val="标题464"/>
    <w:basedOn w:val="af3"/>
    <w:rsid w:val="009964C3"/>
    <w:pPr>
      <w:adjustRightInd w:val="0"/>
      <w:snapToGrid w:val="0"/>
      <w:spacing w:line="360" w:lineRule="auto"/>
      <w:jc w:val="left"/>
    </w:pPr>
    <w:rPr>
      <w:rFonts w:ascii="黑体" w:eastAsia="黑体"/>
      <w:bCs/>
      <w:sz w:val="24"/>
    </w:rPr>
  </w:style>
  <w:style w:type="paragraph" w:customStyle="1" w:styleId="S3">
    <w:name w:val="正文段落S"/>
    <w:basedOn w:val="af3"/>
    <w:semiHidden/>
    <w:rsid w:val="009964C3"/>
    <w:pPr>
      <w:spacing w:line="360" w:lineRule="auto"/>
      <w:ind w:firstLineChars="200" w:firstLine="420"/>
    </w:pPr>
    <w:rPr>
      <w:rFonts w:eastAsia="仿宋_GB2312"/>
      <w:snapToGrid w:val="0"/>
      <w:kern w:val="0"/>
      <w:sz w:val="24"/>
      <w:szCs w:val="20"/>
    </w:rPr>
  </w:style>
  <w:style w:type="paragraph" w:customStyle="1" w:styleId="572">
    <w:name w:val="表内572"/>
    <w:basedOn w:val="5f2"/>
    <w:rsid w:val="009964C3"/>
    <w:pPr>
      <w:jc w:val="both"/>
    </w:pPr>
    <w:rPr>
      <w:szCs w:val="24"/>
    </w:rPr>
  </w:style>
  <w:style w:type="paragraph" w:customStyle="1" w:styleId="2ff5">
    <w:name w:val="等核实2"/>
    <w:basedOn w:val="afffffff4"/>
    <w:rsid w:val="009964C3"/>
  </w:style>
  <w:style w:type="paragraph" w:customStyle="1" w:styleId="432">
    <w:name w:val="表内文字小43"/>
    <w:basedOn w:val="af3"/>
    <w:rsid w:val="009964C3"/>
    <w:pPr>
      <w:adjustRightInd w:val="0"/>
      <w:snapToGrid w:val="0"/>
      <w:jc w:val="center"/>
    </w:pPr>
    <w:rPr>
      <w:rFonts w:ascii="宋体" w:hAnsi="Times"/>
      <w:szCs w:val="20"/>
    </w:rPr>
  </w:style>
  <w:style w:type="paragraph" w:customStyle="1" w:styleId="affffffffffff2">
    <w:name w:val="项目名称"/>
    <w:basedOn w:val="af3"/>
    <w:rsid w:val="009964C3"/>
    <w:pPr>
      <w:overflowPunct w:val="0"/>
      <w:adjustRightInd w:val="0"/>
      <w:snapToGrid w:val="0"/>
      <w:spacing w:before="240" w:line="300" w:lineRule="auto"/>
      <w:jc w:val="center"/>
    </w:pPr>
    <w:rPr>
      <w:rFonts w:ascii="宋体" w:eastAsia="黑体" w:hAnsi="Arial"/>
      <w:b/>
      <w:spacing w:val="20"/>
      <w:kern w:val="0"/>
      <w:sz w:val="44"/>
      <w:szCs w:val="20"/>
    </w:rPr>
  </w:style>
  <w:style w:type="paragraph" w:customStyle="1" w:styleId="affffffffffff3">
    <w:name w:val="四级条"/>
    <w:basedOn w:val="affffffffffff4"/>
    <w:next w:val="af3"/>
    <w:rsid w:val="009964C3"/>
    <w:pPr>
      <w:ind w:left="0"/>
    </w:pPr>
  </w:style>
  <w:style w:type="paragraph" w:customStyle="1" w:styleId="3f6">
    <w:name w:val="题图3"/>
    <w:basedOn w:val="af3"/>
    <w:qFormat/>
    <w:rsid w:val="009964C3"/>
    <w:pPr>
      <w:adjustRightInd w:val="0"/>
      <w:snapToGrid w:val="0"/>
      <w:jc w:val="center"/>
    </w:pPr>
    <w:rPr>
      <w:rFonts w:ascii="宋体" w:hAnsi="宋体" w:cs="宋体"/>
      <w:sz w:val="28"/>
    </w:rPr>
  </w:style>
  <w:style w:type="paragraph" w:customStyle="1" w:styleId="552">
    <w:name w:val="表题55"/>
    <w:basedOn w:val="afffffff4"/>
    <w:rsid w:val="009964C3"/>
    <w:pPr>
      <w:spacing w:line="240" w:lineRule="auto"/>
      <w:ind w:firstLine="0"/>
      <w:jc w:val="center"/>
    </w:pPr>
    <w:rPr>
      <w:rFonts w:ascii="黑体" w:eastAsia="黑体" w:cs="Times New Roman"/>
      <w:szCs w:val="20"/>
    </w:rPr>
  </w:style>
  <w:style w:type="paragraph" w:customStyle="1" w:styleId="affffffffffff5">
    <w:name w:val="表格文字左"/>
    <w:basedOn w:val="af3"/>
    <w:rsid w:val="009964C3"/>
    <w:pPr>
      <w:adjustRightInd w:val="0"/>
      <w:ind w:firstLineChars="100" w:firstLine="240"/>
      <w:jc w:val="left"/>
    </w:pPr>
    <w:rPr>
      <w:rFonts w:ascii="宋体" w:hAnsi="宋体"/>
      <w:color w:val="000000"/>
      <w:sz w:val="24"/>
    </w:rPr>
  </w:style>
  <w:style w:type="paragraph" w:customStyle="1" w:styleId="2056">
    <w:name w:val="样式 标题 2 + 段后: 0.5 行6"/>
    <w:basedOn w:val="22"/>
    <w:rsid w:val="009964C3"/>
    <w:pPr>
      <w:widowControl/>
      <w:autoSpaceDN w:val="0"/>
      <w:adjustRightInd w:val="0"/>
      <w:snapToGrid w:val="0"/>
      <w:spacing w:before="120" w:after="0" w:line="360" w:lineRule="auto"/>
      <w:jc w:val="left"/>
      <w:textAlignment w:val="baseline"/>
    </w:pPr>
    <w:rPr>
      <w:rFonts w:ascii="黑体" w:cs="宋体"/>
      <w:b w:val="0"/>
      <w:bCs w:val="0"/>
      <w:kern w:val="0"/>
      <w:sz w:val="30"/>
      <w:szCs w:val="30"/>
    </w:rPr>
  </w:style>
  <w:style w:type="paragraph" w:customStyle="1" w:styleId="Char70">
    <w:name w:val="Char7"/>
    <w:basedOn w:val="af3"/>
    <w:rsid w:val="009964C3"/>
    <w:pPr>
      <w:ind w:left="-48"/>
    </w:pPr>
  </w:style>
  <w:style w:type="paragraph" w:customStyle="1" w:styleId="affffffff">
    <w:name w:val="洋图"/>
    <w:basedOn w:val="af3"/>
    <w:next w:val="affffffff3"/>
    <w:link w:val="Char2f3"/>
    <w:semiHidden/>
    <w:rsid w:val="009964C3"/>
    <w:pPr>
      <w:snapToGrid w:val="0"/>
      <w:spacing w:line="360" w:lineRule="auto"/>
      <w:jc w:val="center"/>
    </w:pPr>
    <w:rPr>
      <w:sz w:val="24"/>
      <w:szCs w:val="20"/>
    </w:rPr>
  </w:style>
  <w:style w:type="paragraph" w:customStyle="1" w:styleId="5f2">
    <w:name w:val="表内5中"/>
    <w:basedOn w:val="affffffffff3"/>
    <w:rsid w:val="009964C3"/>
    <w:rPr>
      <w:sz w:val="21"/>
      <w:szCs w:val="21"/>
    </w:rPr>
  </w:style>
  <w:style w:type="paragraph" w:customStyle="1" w:styleId="45">
    <w:name w:val="样式 表标题4.5 + 居中"/>
    <w:basedOn w:val="450"/>
    <w:rsid w:val="009964C3"/>
    <w:pPr>
      <w:numPr>
        <w:numId w:val="16"/>
      </w:numPr>
      <w:tabs>
        <w:tab w:val="clear" w:pos="4060"/>
        <w:tab w:val="clear" w:pos="8261"/>
        <w:tab w:val="left" w:pos="2444"/>
      </w:tabs>
      <w:jc w:val="center"/>
    </w:pPr>
    <w:rPr>
      <w:rFonts w:cs="宋体"/>
      <w:bCs/>
      <w:szCs w:val="20"/>
    </w:rPr>
  </w:style>
  <w:style w:type="paragraph" w:customStyle="1" w:styleId="66">
    <w:name w:val="正文格式6"/>
    <w:basedOn w:val="af3"/>
    <w:rsid w:val="009964C3"/>
    <w:pPr>
      <w:adjustRightInd w:val="0"/>
      <w:snapToGrid w:val="0"/>
      <w:spacing w:line="360" w:lineRule="auto"/>
      <w:ind w:firstLineChars="200" w:firstLine="480"/>
    </w:pPr>
    <w:rPr>
      <w:rFonts w:ascii="宋体" w:cs="宋体"/>
      <w:sz w:val="24"/>
    </w:rPr>
  </w:style>
  <w:style w:type="paragraph" w:customStyle="1" w:styleId="affffffffff3">
    <w:name w:val="表题"/>
    <w:basedOn w:val="afffffff4"/>
    <w:rsid w:val="009964C3"/>
    <w:pPr>
      <w:ind w:firstLine="0"/>
      <w:jc w:val="center"/>
    </w:pPr>
    <w:rPr>
      <w:rFonts w:cs="Times New Roman"/>
      <w:bCs/>
      <w:color w:val="auto"/>
      <w:spacing w:val="-4"/>
    </w:rPr>
  </w:style>
  <w:style w:type="paragraph" w:customStyle="1" w:styleId="09915">
    <w:name w:val="样式 宋体 首行缩进:  0.99 厘米 行距: 1.5 倍行距"/>
    <w:basedOn w:val="af3"/>
    <w:semiHidden/>
    <w:rsid w:val="009964C3"/>
    <w:pPr>
      <w:widowControl/>
      <w:spacing w:line="360" w:lineRule="auto"/>
      <w:ind w:firstLine="560"/>
      <w:jc w:val="left"/>
    </w:pPr>
    <w:rPr>
      <w:rFonts w:hAnsi="宋体"/>
      <w:color w:val="000000"/>
      <w:kern w:val="0"/>
      <w:sz w:val="24"/>
      <w:szCs w:val="20"/>
    </w:rPr>
  </w:style>
  <w:style w:type="paragraph" w:customStyle="1" w:styleId="xl109">
    <w:name w:val="xl109"/>
    <w:basedOn w:val="af3"/>
    <w:rsid w:val="009964C3"/>
    <w:pPr>
      <w:widowControl/>
      <w:pBdr>
        <w:top w:val="single" w:sz="4" w:space="0" w:color="auto"/>
        <w:left w:val="single" w:sz="4" w:space="0" w:color="auto"/>
        <w:bottom w:val="single" w:sz="4" w:space="0" w:color="auto"/>
        <w:right w:val="single" w:sz="4" w:space="0" w:color="auto"/>
      </w:pBdr>
      <w:spacing w:before="100" w:after="100"/>
      <w:jc w:val="right"/>
      <w:textAlignment w:val="center"/>
    </w:pPr>
    <w:rPr>
      <w:rFonts w:ascii="宋体" w:hAnsi="宋体"/>
      <w:kern w:val="0"/>
      <w:sz w:val="20"/>
      <w:szCs w:val="20"/>
    </w:rPr>
  </w:style>
  <w:style w:type="paragraph" w:customStyle="1" w:styleId="2ff6">
    <w:name w:val="样式 标题 2 + 小四 字距调整二号"/>
    <w:basedOn w:val="22"/>
    <w:semiHidden/>
    <w:rsid w:val="009964C3"/>
    <w:pPr>
      <w:tabs>
        <w:tab w:val="left" w:pos="959"/>
      </w:tabs>
      <w:adjustRightInd w:val="0"/>
      <w:snapToGrid w:val="0"/>
      <w:spacing w:before="120" w:after="0" w:line="360" w:lineRule="auto"/>
      <w:ind w:left="576"/>
    </w:pPr>
    <w:rPr>
      <w:rFonts w:ascii="黑体" w:hAnsi="Times New Roman"/>
      <w:b w:val="0"/>
      <w:kern w:val="44"/>
      <w:sz w:val="24"/>
      <w:szCs w:val="20"/>
    </w:rPr>
  </w:style>
  <w:style w:type="paragraph" w:customStyle="1" w:styleId="CM23">
    <w:name w:val="CM23"/>
    <w:basedOn w:val="af3"/>
    <w:next w:val="af3"/>
    <w:semiHidden/>
    <w:rsid w:val="009964C3"/>
    <w:pPr>
      <w:autoSpaceDE w:val="0"/>
      <w:autoSpaceDN w:val="0"/>
      <w:adjustRightInd w:val="0"/>
      <w:spacing w:line="456" w:lineRule="atLeast"/>
      <w:jc w:val="left"/>
    </w:pPr>
    <w:rPr>
      <w:rFonts w:ascii="宋体" w:cs="宋体"/>
      <w:kern w:val="0"/>
      <w:sz w:val="24"/>
    </w:rPr>
  </w:style>
  <w:style w:type="paragraph" w:customStyle="1" w:styleId="31113CharChar3C3">
    <w:name w:val="样式 标题 31.1.1条标题 3 Char Char标题 3 C标题3"/>
    <w:basedOn w:val="31"/>
    <w:rsid w:val="009964C3"/>
    <w:pPr>
      <w:keepNext w:val="0"/>
      <w:keepLines w:val="0"/>
      <w:spacing w:beforeLines="50" w:afterLines="50" w:line="312" w:lineRule="auto"/>
    </w:pPr>
    <w:rPr>
      <w:rFonts w:ascii="宋体" w:hAnsi="宋体" w:cs="宋体"/>
      <w:b w:val="0"/>
      <w:sz w:val="24"/>
      <w:szCs w:val="24"/>
    </w:rPr>
  </w:style>
  <w:style w:type="paragraph" w:customStyle="1" w:styleId="311">
    <w:name w:val="样式 标题 3 + 字距调整二号1"/>
    <w:basedOn w:val="31"/>
    <w:semiHidden/>
    <w:rsid w:val="009964C3"/>
    <w:pPr>
      <w:tabs>
        <w:tab w:val="left" w:pos="708"/>
      </w:tabs>
      <w:adjustRightInd w:val="0"/>
      <w:snapToGrid w:val="0"/>
      <w:spacing w:beforeLines="50" w:after="0" w:line="360" w:lineRule="auto"/>
      <w:ind w:left="708" w:hanging="709"/>
    </w:pPr>
    <w:rPr>
      <w:rFonts w:ascii="黑体"/>
      <w:b w:val="0"/>
      <w:sz w:val="24"/>
      <w:szCs w:val="20"/>
    </w:rPr>
  </w:style>
  <w:style w:type="paragraph" w:customStyle="1" w:styleId="afffff5">
    <w:name w:val="正文格式"/>
    <w:basedOn w:val="af3"/>
    <w:link w:val="Charfff5"/>
    <w:rsid w:val="009964C3"/>
    <w:pPr>
      <w:adjustRightInd w:val="0"/>
      <w:snapToGrid w:val="0"/>
      <w:spacing w:line="360" w:lineRule="auto"/>
      <w:ind w:firstLineChars="200" w:firstLine="480"/>
    </w:pPr>
    <w:rPr>
      <w:rFonts w:ascii="宋体" w:cs="宋体"/>
      <w:sz w:val="24"/>
    </w:rPr>
  </w:style>
  <w:style w:type="paragraph" w:customStyle="1" w:styleId="355">
    <w:name w:val="样式 燕山正文 + 首行缩进:  3.5 字符5"/>
    <w:basedOn w:val="affffffffb"/>
    <w:rsid w:val="009964C3"/>
    <w:pPr>
      <w:ind w:firstLine="560"/>
    </w:pPr>
    <w:rPr>
      <w:bCs w:val="0"/>
      <w:sz w:val="28"/>
      <w:szCs w:val="20"/>
    </w:rPr>
  </w:style>
  <w:style w:type="paragraph" w:customStyle="1" w:styleId="260">
    <w:name w:val="页眉中26"/>
    <w:basedOn w:val="af3"/>
    <w:rsid w:val="009964C3"/>
    <w:pPr>
      <w:adjustRightInd w:val="0"/>
      <w:snapToGrid w:val="0"/>
      <w:spacing w:line="300" w:lineRule="auto"/>
      <w:jc w:val="left"/>
    </w:pPr>
    <w:rPr>
      <w:rFonts w:ascii="黑体" w:eastAsia="黑体"/>
      <w:bCs/>
      <w:sz w:val="24"/>
      <w:szCs w:val="20"/>
    </w:rPr>
  </w:style>
  <w:style w:type="paragraph" w:customStyle="1" w:styleId="CM30">
    <w:name w:val="CM30"/>
    <w:basedOn w:val="Default"/>
    <w:next w:val="Default"/>
    <w:semiHidden/>
    <w:rsid w:val="009964C3"/>
    <w:rPr>
      <w:rFonts w:cs="Times New Roman"/>
      <w:color w:val="auto"/>
    </w:rPr>
  </w:style>
  <w:style w:type="paragraph" w:customStyle="1" w:styleId="afffffc">
    <w:name w:val="表格头"/>
    <w:link w:val="Charfffc"/>
    <w:semiHidden/>
    <w:rsid w:val="009964C3"/>
    <w:pPr>
      <w:spacing w:beforeLines="100" w:afterLines="50"/>
      <w:ind w:left="238" w:right="238"/>
      <w:jc w:val="center"/>
    </w:pPr>
    <w:rPr>
      <w:rFonts w:ascii="Tahoma" w:eastAsia="黑体" w:hAnsi="Tahoma"/>
      <w:b/>
      <w:snapToGrid w:val="0"/>
      <w:color w:val="000000"/>
      <w:spacing w:val="-4"/>
      <w:kern w:val="2"/>
      <w:sz w:val="24"/>
    </w:rPr>
  </w:style>
  <w:style w:type="paragraph" w:customStyle="1" w:styleId="affffffffffff6">
    <w:name w:val="报告 小四"/>
    <w:rsid w:val="009964C3"/>
    <w:pPr>
      <w:spacing w:line="360" w:lineRule="auto"/>
      <w:ind w:firstLineChars="200" w:firstLine="512"/>
    </w:pPr>
    <w:rPr>
      <w:rFonts w:cs="宋体"/>
      <w:spacing w:val="8"/>
      <w:kern w:val="2"/>
      <w:sz w:val="24"/>
    </w:rPr>
  </w:style>
  <w:style w:type="paragraph" w:customStyle="1" w:styleId="424">
    <w:name w:val="表内小424"/>
    <w:basedOn w:val="affffffffff"/>
    <w:rsid w:val="009964C3"/>
    <w:pPr>
      <w:ind w:left="240" w:hanging="240"/>
      <w:jc w:val="both"/>
    </w:pPr>
  </w:style>
  <w:style w:type="paragraph" w:customStyle="1" w:styleId="ST202">
    <w:name w:val="ST20_2"/>
    <w:basedOn w:val="af3"/>
    <w:rsid w:val="009964C3"/>
    <w:pPr>
      <w:autoSpaceDE w:val="0"/>
      <w:autoSpaceDN w:val="0"/>
      <w:adjustRightInd w:val="0"/>
      <w:spacing w:after="160" w:line="360" w:lineRule="atLeast"/>
      <w:jc w:val="left"/>
      <w:textAlignment w:val="baseline"/>
    </w:pPr>
    <w:rPr>
      <w:rFonts w:ascii="宋体" w:hAnsi="Tms Rmn"/>
      <w:kern w:val="0"/>
      <w:sz w:val="28"/>
      <w:szCs w:val="20"/>
    </w:rPr>
  </w:style>
  <w:style w:type="paragraph" w:customStyle="1" w:styleId="af1">
    <w:name w:val="_四级标题"/>
    <w:qFormat/>
    <w:rsid w:val="009964C3"/>
    <w:pPr>
      <w:numPr>
        <w:ilvl w:val="6"/>
        <w:numId w:val="17"/>
      </w:numPr>
      <w:jc w:val="both"/>
    </w:pPr>
    <w:rPr>
      <w:rFonts w:ascii="宋体" w:hAnsi="宋体" w:cs="宋体"/>
      <w:color w:val="000000"/>
      <w:sz w:val="24"/>
      <w:szCs w:val="24"/>
      <w:lang w:val="zh-CN"/>
    </w:rPr>
  </w:style>
  <w:style w:type="paragraph" w:customStyle="1" w:styleId="103">
    <w:name w:val="表内文字大10"/>
    <w:basedOn w:val="af3"/>
    <w:rsid w:val="009964C3"/>
    <w:pPr>
      <w:adjustRightInd w:val="0"/>
      <w:snapToGrid w:val="0"/>
      <w:jc w:val="center"/>
    </w:pPr>
    <w:rPr>
      <w:rFonts w:ascii="宋体" w:hAnsi="Times"/>
      <w:sz w:val="24"/>
      <w:szCs w:val="20"/>
    </w:rPr>
  </w:style>
  <w:style w:type="paragraph" w:customStyle="1" w:styleId="affffffffff">
    <w:name w:val="表内文字大"/>
    <w:basedOn w:val="af3"/>
    <w:rsid w:val="009964C3"/>
    <w:pPr>
      <w:adjustRightInd w:val="0"/>
      <w:snapToGrid w:val="0"/>
      <w:jc w:val="center"/>
    </w:pPr>
    <w:rPr>
      <w:rFonts w:ascii="宋体" w:hAnsi="Times" w:cs="宋体"/>
      <w:sz w:val="24"/>
      <w:szCs w:val="20"/>
    </w:rPr>
  </w:style>
  <w:style w:type="paragraph" w:customStyle="1" w:styleId="4100">
    <w:name w:val="表内小410"/>
    <w:basedOn w:val="affffffffff"/>
    <w:rsid w:val="009964C3"/>
    <w:pPr>
      <w:ind w:left="240" w:hanging="240"/>
      <w:jc w:val="both"/>
    </w:pPr>
    <w:rPr>
      <w:rFonts w:cs="Times New Roman"/>
    </w:rPr>
  </w:style>
  <w:style w:type="paragraph" w:customStyle="1" w:styleId="afffff6">
    <w:name w:val="表文"/>
    <w:basedOn w:val="af3"/>
    <w:link w:val="Charfff6"/>
    <w:rsid w:val="009964C3"/>
    <w:pPr>
      <w:tabs>
        <w:tab w:val="left" w:pos="1021"/>
      </w:tabs>
      <w:snapToGrid w:val="0"/>
      <w:spacing w:before="20" w:after="20"/>
      <w:jc w:val="center"/>
    </w:pPr>
    <w:rPr>
      <w:rFonts w:hAnsi="宋体"/>
      <w:kern w:val="0"/>
      <w:position w:val="-24"/>
      <w:szCs w:val="21"/>
    </w:rPr>
  </w:style>
  <w:style w:type="paragraph" w:customStyle="1" w:styleId="5100">
    <w:name w:val="表内宋5中10"/>
    <w:basedOn w:val="af3"/>
    <w:rsid w:val="009964C3"/>
    <w:pPr>
      <w:adjustRightInd w:val="0"/>
      <w:snapToGrid w:val="0"/>
      <w:jc w:val="center"/>
      <w:textAlignment w:val="baseline"/>
    </w:pPr>
    <w:rPr>
      <w:rFonts w:ascii="宋体" w:hAnsi="宋体"/>
      <w:kern w:val="0"/>
      <w:szCs w:val="20"/>
    </w:rPr>
  </w:style>
  <w:style w:type="paragraph" w:customStyle="1" w:styleId="affffffffffff7">
    <w:name w:val="附录三级条标题"/>
    <w:basedOn w:val="affffffffffff8"/>
    <w:next w:val="af3"/>
    <w:semiHidden/>
    <w:rsid w:val="009964C3"/>
    <w:pPr>
      <w:numPr>
        <w:ilvl w:val="6"/>
      </w:numPr>
      <w:ind w:hanging="420"/>
      <w:outlineLvl w:val="4"/>
    </w:pPr>
  </w:style>
  <w:style w:type="paragraph" w:customStyle="1" w:styleId="542">
    <w:name w:val="标题54"/>
    <w:basedOn w:val="af3"/>
    <w:rsid w:val="009964C3"/>
    <w:pPr>
      <w:keepNext/>
      <w:keepLines/>
      <w:widowControl/>
      <w:adjustRightInd w:val="0"/>
      <w:snapToGrid w:val="0"/>
      <w:spacing w:line="360" w:lineRule="auto"/>
      <w:outlineLvl w:val="2"/>
    </w:pPr>
    <w:rPr>
      <w:b/>
      <w:snapToGrid w:val="0"/>
      <w:color w:val="000000"/>
      <w:kern w:val="0"/>
      <w:sz w:val="18"/>
      <w:szCs w:val="20"/>
    </w:rPr>
  </w:style>
  <w:style w:type="paragraph" w:customStyle="1" w:styleId="affffffffffff9">
    <w:name w:val="页眉中"/>
    <w:basedOn w:val="4a"/>
    <w:qFormat/>
    <w:rsid w:val="009964C3"/>
    <w:pPr>
      <w:snapToGrid w:val="0"/>
      <w:spacing w:line="300" w:lineRule="auto"/>
      <w:textAlignment w:val="auto"/>
    </w:pPr>
    <w:rPr>
      <w:rFonts w:ascii="黑体" w:eastAsia="黑体" w:hAnsi="宋体" w:cs="宋体"/>
      <w:szCs w:val="24"/>
    </w:rPr>
  </w:style>
  <w:style w:type="paragraph" w:customStyle="1" w:styleId="94">
    <w:name w:val="福建正文缩进9"/>
    <w:basedOn w:val="af4"/>
    <w:rsid w:val="009964C3"/>
    <w:pPr>
      <w:autoSpaceDE w:val="0"/>
      <w:autoSpaceDN w:val="0"/>
      <w:adjustRightInd w:val="0"/>
      <w:snapToGrid w:val="0"/>
      <w:spacing w:line="360" w:lineRule="auto"/>
      <w:ind w:firstLineChars="0" w:firstLine="539"/>
    </w:pPr>
    <w:rPr>
      <w:rFonts w:ascii="宋体" w:hAnsi="宋体"/>
      <w:sz w:val="24"/>
      <w:szCs w:val="24"/>
    </w:rPr>
  </w:style>
  <w:style w:type="paragraph" w:customStyle="1" w:styleId="205">
    <w:name w:val="样式 标题 2 + 段前: 0.5 行"/>
    <w:basedOn w:val="22"/>
    <w:rsid w:val="009964C3"/>
    <w:pPr>
      <w:tabs>
        <w:tab w:val="left" w:pos="959"/>
      </w:tabs>
      <w:adjustRightInd w:val="0"/>
      <w:snapToGrid w:val="0"/>
      <w:spacing w:before="120" w:after="0" w:line="360" w:lineRule="auto"/>
      <w:ind w:left="576"/>
    </w:pPr>
    <w:rPr>
      <w:rFonts w:ascii="Times New Roman" w:hAnsi="Times New Roman"/>
      <w:b w:val="0"/>
      <w:sz w:val="24"/>
      <w:szCs w:val="20"/>
    </w:rPr>
  </w:style>
  <w:style w:type="paragraph" w:customStyle="1" w:styleId="312">
    <w:name w:val="标题 31"/>
    <w:basedOn w:val="af3"/>
    <w:next w:val="af3"/>
    <w:rsid w:val="009964C3"/>
    <w:pPr>
      <w:adjustRightInd w:val="0"/>
      <w:spacing w:line="480" w:lineRule="exact"/>
      <w:textAlignment w:val="baseline"/>
    </w:pPr>
    <w:rPr>
      <w:rFonts w:hAnsi="Arial" w:hint="eastAsia"/>
      <w:color w:val="000000"/>
      <w:kern w:val="0"/>
      <w:sz w:val="24"/>
      <w:szCs w:val="20"/>
    </w:rPr>
  </w:style>
  <w:style w:type="paragraph" w:customStyle="1" w:styleId="1ff1">
    <w:name w:val="（1）"/>
    <w:basedOn w:val="af3"/>
    <w:next w:val="af3"/>
    <w:semiHidden/>
    <w:rsid w:val="009964C3"/>
    <w:pPr>
      <w:tabs>
        <w:tab w:val="left" w:pos="420"/>
      </w:tabs>
      <w:spacing w:beforeLines="100" w:line="360" w:lineRule="auto"/>
      <w:ind w:left="420" w:hanging="420"/>
      <w:outlineLvl w:val="0"/>
    </w:pPr>
    <w:rPr>
      <w:sz w:val="30"/>
      <w:szCs w:val="20"/>
    </w:rPr>
  </w:style>
  <w:style w:type="paragraph" w:customStyle="1" w:styleId="pa-1">
    <w:name w:val="pa-1"/>
    <w:basedOn w:val="af3"/>
    <w:semiHidden/>
    <w:rsid w:val="009964C3"/>
    <w:pPr>
      <w:widowControl/>
      <w:spacing w:before="100" w:beforeAutospacing="1" w:after="100" w:afterAutospacing="1"/>
      <w:jc w:val="left"/>
    </w:pPr>
    <w:rPr>
      <w:rFonts w:ascii="宋体" w:hAnsi="宋体" w:cs="宋体"/>
      <w:kern w:val="0"/>
      <w:sz w:val="24"/>
    </w:rPr>
  </w:style>
  <w:style w:type="paragraph" w:customStyle="1" w:styleId="113">
    <w:name w:val="表题113"/>
    <w:basedOn w:val="af3"/>
    <w:rsid w:val="009964C3"/>
    <w:pPr>
      <w:adjustRightInd w:val="0"/>
      <w:snapToGrid w:val="0"/>
      <w:jc w:val="center"/>
      <w:textAlignment w:val="baseline"/>
    </w:pPr>
    <w:rPr>
      <w:rFonts w:ascii="黑体" w:eastAsia="黑体" w:hAnsi="宋体"/>
      <w:kern w:val="0"/>
      <w:sz w:val="24"/>
    </w:rPr>
  </w:style>
  <w:style w:type="paragraph" w:customStyle="1" w:styleId="526">
    <w:name w:val="表内526"/>
    <w:basedOn w:val="af3"/>
    <w:rsid w:val="009964C3"/>
    <w:pPr>
      <w:adjustRightInd w:val="0"/>
      <w:snapToGrid w:val="0"/>
      <w:ind w:right="32"/>
      <w:jc w:val="center"/>
    </w:pPr>
    <w:rPr>
      <w:rFonts w:ascii="宋体"/>
      <w:color w:val="000000"/>
      <w:kern w:val="0"/>
      <w:szCs w:val="21"/>
    </w:rPr>
  </w:style>
  <w:style w:type="paragraph" w:customStyle="1" w:styleId="ST2030">
    <w:name w:val="ST20_30"/>
    <w:basedOn w:val="af3"/>
    <w:next w:val="ST2031"/>
    <w:rsid w:val="009964C3"/>
    <w:pPr>
      <w:keepNext/>
      <w:keepLines/>
      <w:tabs>
        <w:tab w:val="left" w:pos="360"/>
      </w:tabs>
      <w:autoSpaceDE w:val="0"/>
      <w:autoSpaceDN w:val="0"/>
      <w:adjustRightInd w:val="0"/>
      <w:spacing w:line="360" w:lineRule="atLeast"/>
      <w:ind w:left="360" w:hanging="360"/>
      <w:jc w:val="left"/>
      <w:textAlignment w:val="baseline"/>
    </w:pPr>
    <w:rPr>
      <w:rFonts w:ascii="宋体" w:hAnsi="Tms Rmn"/>
      <w:kern w:val="0"/>
      <w:sz w:val="28"/>
      <w:szCs w:val="28"/>
    </w:rPr>
  </w:style>
  <w:style w:type="paragraph" w:customStyle="1" w:styleId="420">
    <w:name w:val="表题42"/>
    <w:basedOn w:val="afffffff4"/>
    <w:rsid w:val="009964C3"/>
    <w:pPr>
      <w:spacing w:line="240" w:lineRule="auto"/>
      <w:ind w:firstLine="0"/>
      <w:jc w:val="center"/>
    </w:pPr>
    <w:rPr>
      <w:rFonts w:ascii="黑体" w:eastAsia="黑体"/>
    </w:rPr>
  </w:style>
  <w:style w:type="paragraph" w:customStyle="1" w:styleId="6TimesNewRoman">
    <w:name w:val="样式 标题 6 + Times New Roman 四号"/>
    <w:basedOn w:val="6"/>
    <w:link w:val="6TimesNewRomanChar"/>
    <w:semiHidden/>
    <w:rsid w:val="009964C3"/>
    <w:pPr>
      <w:widowControl w:val="0"/>
      <w:numPr>
        <w:ilvl w:val="5"/>
      </w:numPr>
      <w:spacing w:line="320" w:lineRule="atLeast"/>
      <w:ind w:firstLineChars="200" w:firstLine="561"/>
      <w:jc w:val="both"/>
    </w:pPr>
    <w:rPr>
      <w:rFonts w:cs="Times New Roman"/>
      <w:snapToGrid w:val="0"/>
      <w:kern w:val="24"/>
      <w:sz w:val="28"/>
    </w:rPr>
  </w:style>
  <w:style w:type="paragraph" w:customStyle="1" w:styleId="5106">
    <w:name w:val="表内5106"/>
    <w:basedOn w:val="5f2"/>
    <w:rsid w:val="009964C3"/>
    <w:pPr>
      <w:jc w:val="both"/>
    </w:pPr>
    <w:rPr>
      <w:szCs w:val="24"/>
    </w:rPr>
  </w:style>
  <w:style w:type="paragraph" w:customStyle="1" w:styleId="02">
    <w:name w:val="0图名"/>
    <w:basedOn w:val="afffffff1"/>
    <w:semiHidden/>
    <w:rsid w:val="009964C3"/>
    <w:pPr>
      <w:spacing w:beforeLines="0" w:afterLines="0" w:line="480" w:lineRule="exact"/>
      <w:ind w:firstLineChars="0" w:firstLine="561"/>
    </w:pPr>
    <w:rPr>
      <w:rFonts w:ascii="Times New Roman" w:eastAsia="宋体" w:hAnsi="Times New Roman"/>
      <w:bCs w:val="0"/>
      <w:sz w:val="28"/>
      <w:szCs w:val="20"/>
    </w:rPr>
  </w:style>
  <w:style w:type="paragraph" w:customStyle="1" w:styleId="3f7">
    <w:name w:val="表内文字边3"/>
    <w:basedOn w:val="affffffffffffa"/>
    <w:rsid w:val="009964C3"/>
    <w:pPr>
      <w:adjustRightInd w:val="0"/>
      <w:snapToGrid w:val="0"/>
      <w:jc w:val="both"/>
    </w:pPr>
  </w:style>
  <w:style w:type="paragraph" w:customStyle="1" w:styleId="830">
    <w:name w:val="页眉中83"/>
    <w:basedOn w:val="4a"/>
    <w:rsid w:val="009964C3"/>
    <w:pPr>
      <w:snapToGrid w:val="0"/>
      <w:spacing w:line="360" w:lineRule="auto"/>
      <w:textAlignment w:val="auto"/>
    </w:pPr>
    <w:rPr>
      <w:rFonts w:ascii="黑体" w:eastAsia="黑体"/>
      <w:szCs w:val="24"/>
    </w:rPr>
  </w:style>
  <w:style w:type="paragraph" w:customStyle="1" w:styleId="2210">
    <w:name w:val="样式 正文首行缩进 2 + 首行缩进:  2 字符1"/>
    <w:basedOn w:val="2f"/>
    <w:next w:val="2f"/>
    <w:rsid w:val="009964C3"/>
    <w:pPr>
      <w:adjustRightInd/>
      <w:snapToGrid/>
      <w:spacing w:line="440" w:lineRule="exact"/>
      <w:ind w:firstLine="200"/>
    </w:pPr>
    <w:rPr>
      <w:rFonts w:cs="宋体"/>
      <w:color w:val="000000"/>
    </w:rPr>
  </w:style>
  <w:style w:type="paragraph" w:customStyle="1" w:styleId="affffffffffffb">
    <w:name w:val="样式 (西文) 宋体 五号 居中"/>
    <w:basedOn w:val="af3"/>
    <w:rsid w:val="009964C3"/>
    <w:pPr>
      <w:jc w:val="center"/>
    </w:pPr>
    <w:rPr>
      <w:rFonts w:ascii="宋体" w:hAnsi="宋体" w:cs="宋体"/>
      <w:kern w:val="0"/>
      <w:szCs w:val="20"/>
    </w:rPr>
  </w:style>
  <w:style w:type="paragraph" w:customStyle="1" w:styleId="2050">
    <w:name w:val="样式 正文首行缩进 + 首行缩进:  2 字符 段前: 0.5 行"/>
    <w:basedOn w:val="aff7"/>
    <w:rsid w:val="009964C3"/>
    <w:pPr>
      <w:overflowPunct/>
      <w:autoSpaceDE/>
      <w:autoSpaceDN/>
      <w:ind w:firstLineChars="200" w:firstLine="480"/>
    </w:pPr>
    <w:rPr>
      <w:rFonts w:ascii="Arial" w:hAnsi="Arial"/>
      <w:kern w:val="0"/>
      <w:sz w:val="24"/>
      <w:szCs w:val="20"/>
    </w:rPr>
  </w:style>
  <w:style w:type="paragraph" w:customStyle="1" w:styleId="TimesNewRoman">
    <w:name w:val="样式 样式 中文报告书 + 宋体 + Times New Roman"/>
    <w:basedOn w:val="af3"/>
    <w:semiHidden/>
    <w:rsid w:val="009964C3"/>
    <w:pPr>
      <w:adjustRightInd w:val="0"/>
      <w:spacing w:line="360" w:lineRule="auto"/>
      <w:ind w:firstLineChars="200" w:firstLine="480"/>
      <w:jc w:val="left"/>
      <w:textAlignment w:val="baseline"/>
    </w:pPr>
    <w:rPr>
      <w:kern w:val="0"/>
      <w:sz w:val="24"/>
      <w:szCs w:val="20"/>
    </w:rPr>
  </w:style>
  <w:style w:type="paragraph" w:customStyle="1" w:styleId="144">
    <w:name w:val="页眉中144"/>
    <w:basedOn w:val="af3"/>
    <w:rsid w:val="009964C3"/>
    <w:pPr>
      <w:adjustRightInd w:val="0"/>
      <w:snapToGrid w:val="0"/>
      <w:spacing w:line="300" w:lineRule="auto"/>
      <w:jc w:val="left"/>
    </w:pPr>
    <w:rPr>
      <w:rFonts w:ascii="黑体" w:eastAsia="黑体"/>
      <w:bCs/>
      <w:sz w:val="24"/>
      <w:szCs w:val="20"/>
    </w:rPr>
  </w:style>
  <w:style w:type="paragraph" w:customStyle="1" w:styleId="3f8">
    <w:name w:val="样式 标题 3"/>
    <w:basedOn w:val="31"/>
    <w:next w:val="af3"/>
    <w:qFormat/>
    <w:rsid w:val="009964C3"/>
    <w:pPr>
      <w:spacing w:before="163" w:after="163" w:line="0" w:lineRule="atLeast"/>
      <w:jc w:val="left"/>
    </w:pPr>
    <w:rPr>
      <w:rFonts w:eastAsia="黑体" w:cs="宋体"/>
      <w:color w:val="000000"/>
      <w:sz w:val="24"/>
      <w:szCs w:val="24"/>
    </w:rPr>
  </w:style>
  <w:style w:type="paragraph" w:customStyle="1" w:styleId="affffffffffffc">
    <w:name w:val="条(四级)"/>
    <w:basedOn w:val="affffffffffffd"/>
    <w:next w:val="43"/>
    <w:rsid w:val="009964C3"/>
    <w:pPr>
      <w:tabs>
        <w:tab w:val="left" w:pos="1246"/>
      </w:tabs>
      <w:jc w:val="both"/>
    </w:pPr>
    <w:rPr>
      <w:rFonts w:hAnsi="Times New Roman" w:cs="Times New Roman"/>
      <w:spacing w:val="0"/>
      <w:kern w:val="0"/>
      <w:sz w:val="26"/>
    </w:rPr>
  </w:style>
  <w:style w:type="paragraph" w:customStyle="1" w:styleId="CharCharCharCharCharCharChar0">
    <w:name w:val="Char Char Char Char Char Char Char"/>
    <w:basedOn w:val="af3"/>
    <w:next w:val="af3"/>
    <w:rsid w:val="009964C3"/>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231">
    <w:name w:val="福建正文缩进23"/>
    <w:basedOn w:val="af3"/>
    <w:rsid w:val="009964C3"/>
    <w:pPr>
      <w:tabs>
        <w:tab w:val="left" w:pos="4305"/>
      </w:tabs>
      <w:adjustRightInd w:val="0"/>
      <w:snapToGrid w:val="0"/>
      <w:spacing w:line="360" w:lineRule="auto"/>
      <w:ind w:firstLine="567"/>
    </w:pPr>
    <w:rPr>
      <w:rFonts w:ascii="宋体" w:hAnsi="宋体"/>
      <w:color w:val="000000"/>
      <w:sz w:val="24"/>
    </w:rPr>
  </w:style>
  <w:style w:type="paragraph" w:customStyle="1" w:styleId="112">
    <w:name w:val="样式112"/>
    <w:basedOn w:val="af3"/>
    <w:rsid w:val="009964C3"/>
    <w:pPr>
      <w:adjustRightInd w:val="0"/>
      <w:snapToGrid w:val="0"/>
      <w:spacing w:line="300" w:lineRule="auto"/>
      <w:jc w:val="center"/>
      <w:textAlignment w:val="baseline"/>
    </w:pPr>
    <w:rPr>
      <w:rFonts w:ascii="仿宋_GB2312" w:eastAsia="仿宋_GB2312" w:hAnsi="Courier New"/>
      <w:b/>
      <w:kern w:val="0"/>
      <w:sz w:val="28"/>
      <w:szCs w:val="20"/>
    </w:rPr>
  </w:style>
  <w:style w:type="paragraph" w:customStyle="1" w:styleId="1ff2">
    <w:name w:val="样式 正文缩进 + 小四1"/>
    <w:basedOn w:val="af4"/>
    <w:qFormat/>
    <w:rsid w:val="009964C3"/>
    <w:pPr>
      <w:keepNext/>
      <w:tabs>
        <w:tab w:val="left" w:pos="1727"/>
        <w:tab w:val="left" w:pos="1884"/>
      </w:tabs>
      <w:spacing w:line="360" w:lineRule="auto"/>
      <w:ind w:firstLineChars="0" w:firstLine="480"/>
      <w:jc w:val="left"/>
      <w:outlineLvl w:val="0"/>
    </w:pPr>
    <w:rPr>
      <w:rFonts w:ascii="宋体" w:hAnsi="宋体" w:cs="宋体"/>
      <w:snapToGrid w:val="0"/>
      <w:color w:val="000000"/>
      <w:sz w:val="28"/>
      <w:szCs w:val="20"/>
    </w:rPr>
  </w:style>
  <w:style w:type="paragraph" w:customStyle="1" w:styleId="522">
    <w:name w:val="表内52"/>
    <w:basedOn w:val="af3"/>
    <w:rsid w:val="009964C3"/>
    <w:pPr>
      <w:adjustRightInd w:val="0"/>
      <w:snapToGrid w:val="0"/>
      <w:ind w:right="32"/>
      <w:jc w:val="center"/>
    </w:pPr>
    <w:rPr>
      <w:rFonts w:ascii="宋体"/>
      <w:color w:val="000000"/>
      <w:kern w:val="0"/>
      <w:szCs w:val="21"/>
    </w:rPr>
  </w:style>
  <w:style w:type="paragraph" w:customStyle="1" w:styleId="49">
    <w:name w:val="样式 表标题4.9 + 居中"/>
    <w:basedOn w:val="491"/>
    <w:rsid w:val="009964C3"/>
    <w:pPr>
      <w:numPr>
        <w:numId w:val="18"/>
      </w:numPr>
      <w:tabs>
        <w:tab w:val="left" w:pos="2444"/>
      </w:tabs>
      <w:jc w:val="center"/>
    </w:pPr>
    <w:rPr>
      <w:rFonts w:cs="宋体"/>
      <w:bCs/>
      <w:szCs w:val="20"/>
    </w:rPr>
  </w:style>
  <w:style w:type="paragraph" w:customStyle="1" w:styleId="015">
    <w:name w:val="样式 中文报告书 + 段后: 0 磅 行距: 1.5 倍行距"/>
    <w:basedOn w:val="af3"/>
    <w:semiHidden/>
    <w:rsid w:val="009964C3"/>
    <w:pPr>
      <w:adjustRightInd w:val="0"/>
      <w:spacing w:line="360" w:lineRule="auto"/>
      <w:ind w:firstLineChars="200" w:firstLine="480"/>
      <w:jc w:val="left"/>
      <w:textAlignment w:val="baseline"/>
    </w:pPr>
    <w:rPr>
      <w:rFonts w:cs="宋体"/>
      <w:kern w:val="0"/>
      <w:sz w:val="24"/>
      <w:szCs w:val="20"/>
    </w:rPr>
  </w:style>
  <w:style w:type="paragraph" w:customStyle="1" w:styleId="2ff7">
    <w:name w:val="正文文字2"/>
    <w:basedOn w:val="af3"/>
    <w:rsid w:val="009964C3"/>
    <w:pPr>
      <w:autoSpaceDE w:val="0"/>
      <w:autoSpaceDN w:val="0"/>
      <w:adjustRightInd w:val="0"/>
      <w:snapToGrid w:val="0"/>
      <w:ind w:right="-137"/>
      <w:jc w:val="center"/>
    </w:pPr>
    <w:rPr>
      <w:rFonts w:ascii="宋体"/>
      <w:sz w:val="18"/>
      <w:szCs w:val="20"/>
    </w:rPr>
  </w:style>
  <w:style w:type="paragraph" w:customStyle="1" w:styleId="5a">
    <w:name w:val="样式 表内5 + (符号) 宋体 两端对齐 行距: 单倍行距"/>
    <w:basedOn w:val="54"/>
    <w:link w:val="5Char5"/>
    <w:rsid w:val="009964C3"/>
    <w:pPr>
      <w:spacing w:line="240" w:lineRule="auto"/>
    </w:pPr>
    <w:rPr>
      <w:kern w:val="0"/>
    </w:rPr>
  </w:style>
  <w:style w:type="paragraph" w:customStyle="1" w:styleId="affffffffffffe">
    <w:name w:val="节直"/>
    <w:basedOn w:val="af3"/>
    <w:rsid w:val="009964C3"/>
    <w:pPr>
      <w:widowControl/>
      <w:adjustRightInd w:val="0"/>
      <w:spacing w:before="120" w:line="480" w:lineRule="exact"/>
      <w:ind w:firstLine="567"/>
      <w:jc w:val="center"/>
    </w:pPr>
    <w:rPr>
      <w:b/>
      <w:kern w:val="0"/>
      <w:sz w:val="28"/>
      <w:szCs w:val="20"/>
    </w:rPr>
  </w:style>
  <w:style w:type="paragraph" w:customStyle="1" w:styleId="xl52">
    <w:name w:val="xl52"/>
    <w:basedOn w:val="af3"/>
    <w:rsid w:val="009964C3"/>
    <w:pPr>
      <w:widowControl/>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jc w:val="center"/>
    </w:pPr>
    <w:rPr>
      <w:rFonts w:ascii="宋体" w:hAnsi="宋体" w:cs="宋体"/>
      <w:b/>
      <w:bCs/>
      <w:kern w:val="0"/>
      <w:sz w:val="18"/>
      <w:szCs w:val="18"/>
    </w:rPr>
  </w:style>
  <w:style w:type="paragraph" w:customStyle="1" w:styleId="213">
    <w:name w:val="样式 我要的文章主体 + 首行缩进:  2 字符1"/>
    <w:basedOn w:val="afffffffffffff"/>
    <w:semiHidden/>
    <w:locked/>
    <w:rsid w:val="009964C3"/>
    <w:pPr>
      <w:spacing w:before="100" w:beforeAutospacing="1" w:after="100" w:afterAutospacing="1" w:line="360" w:lineRule="auto"/>
    </w:pPr>
    <w:rPr>
      <w:rFonts w:cs="宋体"/>
      <w:szCs w:val="20"/>
    </w:rPr>
  </w:style>
  <w:style w:type="paragraph" w:customStyle="1" w:styleId="CharCharCharCharCharChar1Char2">
    <w:name w:val="Char Char Char Char Char Char1 Char2"/>
    <w:basedOn w:val="af3"/>
    <w:rsid w:val="009964C3"/>
    <w:pPr>
      <w:widowControl/>
      <w:spacing w:after="160" w:line="240" w:lineRule="exact"/>
      <w:jc w:val="left"/>
    </w:pPr>
    <w:rPr>
      <w:rFonts w:ascii="Arial" w:eastAsia="Times New Roman" w:hAnsi="Arial" w:cs="Verdana"/>
      <w:b/>
      <w:kern w:val="0"/>
      <w:sz w:val="24"/>
      <w:szCs w:val="20"/>
      <w:lang w:eastAsia="en-US"/>
    </w:rPr>
  </w:style>
  <w:style w:type="paragraph" w:customStyle="1" w:styleId="Char100">
    <w:name w:val="Char10"/>
    <w:basedOn w:val="af3"/>
    <w:rsid w:val="009964C3"/>
    <w:pPr>
      <w:ind w:left="-48"/>
    </w:pPr>
  </w:style>
  <w:style w:type="paragraph" w:customStyle="1" w:styleId="571">
    <w:name w:val="表内宋5中7"/>
    <w:basedOn w:val="af3"/>
    <w:rsid w:val="009964C3"/>
    <w:pPr>
      <w:adjustRightInd w:val="0"/>
      <w:snapToGrid w:val="0"/>
      <w:jc w:val="center"/>
      <w:textAlignment w:val="baseline"/>
    </w:pPr>
    <w:rPr>
      <w:rFonts w:ascii="宋体" w:hAnsi="宋体"/>
      <w:kern w:val="0"/>
      <w:szCs w:val="20"/>
    </w:rPr>
  </w:style>
  <w:style w:type="paragraph" w:customStyle="1" w:styleId="Char310">
    <w:name w:val="Char31"/>
    <w:basedOn w:val="af3"/>
    <w:rsid w:val="009964C3"/>
  </w:style>
  <w:style w:type="paragraph" w:customStyle="1" w:styleId="2ff8">
    <w:name w:val="正文，缩进2字符"/>
    <w:basedOn w:val="af3"/>
    <w:rsid w:val="009964C3"/>
    <w:pPr>
      <w:adjustRightInd w:val="0"/>
      <w:spacing w:line="360" w:lineRule="auto"/>
      <w:ind w:firstLineChars="200" w:firstLine="200"/>
      <w:jc w:val="left"/>
      <w:textAlignment w:val="baseline"/>
    </w:pPr>
    <w:rPr>
      <w:rFonts w:ascii="宋体"/>
      <w:kern w:val="0"/>
      <w:sz w:val="24"/>
      <w:szCs w:val="20"/>
    </w:rPr>
  </w:style>
  <w:style w:type="paragraph" w:customStyle="1" w:styleId="ST2041">
    <w:name w:val="ST20_41"/>
    <w:basedOn w:val="ST2020"/>
    <w:next w:val="af3"/>
    <w:rsid w:val="009964C3"/>
    <w:pPr>
      <w:spacing w:after="240"/>
    </w:pPr>
  </w:style>
  <w:style w:type="paragraph" w:customStyle="1" w:styleId="353">
    <w:name w:val="表内文字大35"/>
    <w:basedOn w:val="af3"/>
    <w:rsid w:val="009964C3"/>
    <w:pPr>
      <w:adjustRightInd w:val="0"/>
      <w:snapToGrid w:val="0"/>
      <w:jc w:val="center"/>
    </w:pPr>
    <w:rPr>
      <w:rFonts w:ascii="宋体" w:hAnsi="Times"/>
      <w:sz w:val="24"/>
      <w:szCs w:val="20"/>
    </w:rPr>
  </w:style>
  <w:style w:type="paragraph" w:customStyle="1" w:styleId="95">
    <w:name w:val="表题95"/>
    <w:basedOn w:val="afffffffff2"/>
    <w:rsid w:val="009964C3"/>
    <w:pPr>
      <w:adjustRightInd w:val="0"/>
      <w:snapToGrid w:val="0"/>
      <w:spacing w:line="300" w:lineRule="auto"/>
      <w:jc w:val="center"/>
    </w:pPr>
    <w:rPr>
      <w:rFonts w:ascii="黑体" w:eastAsia="黑体" w:cs="Times New Roman"/>
      <w:sz w:val="24"/>
      <w:szCs w:val="20"/>
    </w:rPr>
  </w:style>
  <w:style w:type="paragraph" w:customStyle="1" w:styleId="afffffffffff5">
    <w:name w:val="样式"/>
    <w:basedOn w:val="240"/>
    <w:rsid w:val="009964C3"/>
    <w:pPr>
      <w:spacing w:before="240"/>
      <w:jc w:val="center"/>
    </w:pPr>
    <w:rPr>
      <w:rFonts w:cs="宋体"/>
      <w:bCs/>
      <w:szCs w:val="20"/>
    </w:rPr>
  </w:style>
  <w:style w:type="paragraph" w:customStyle="1" w:styleId="451">
    <w:name w:val="图题45"/>
    <w:basedOn w:val="af4"/>
    <w:rsid w:val="009964C3"/>
    <w:pPr>
      <w:tabs>
        <w:tab w:val="left" w:pos="5837"/>
      </w:tabs>
      <w:adjustRightInd w:val="0"/>
      <w:snapToGrid w:val="0"/>
      <w:ind w:firstLineChars="0" w:firstLine="0"/>
      <w:jc w:val="center"/>
    </w:pPr>
    <w:rPr>
      <w:rFonts w:ascii="方正大标宋简体" w:eastAsia="方正大标宋简体" w:hAnsi="宋体" w:cs="宋体"/>
      <w:sz w:val="24"/>
      <w:szCs w:val="24"/>
    </w:rPr>
  </w:style>
  <w:style w:type="paragraph" w:customStyle="1" w:styleId="af">
    <w:name w:val="_二级标题"/>
    <w:qFormat/>
    <w:rsid w:val="009964C3"/>
    <w:pPr>
      <w:numPr>
        <w:ilvl w:val="4"/>
        <w:numId w:val="17"/>
      </w:numPr>
      <w:snapToGrid w:val="0"/>
      <w:spacing w:beforeLines="50" w:line="360" w:lineRule="auto"/>
      <w:jc w:val="both"/>
    </w:pPr>
    <w:rPr>
      <w:rFonts w:ascii="宋体" w:hAnsi="宋体" w:cs="宋体"/>
      <w:color w:val="000000"/>
      <w:sz w:val="28"/>
      <w:szCs w:val="28"/>
      <w:lang w:val="zh-CN"/>
    </w:rPr>
  </w:style>
  <w:style w:type="paragraph" w:customStyle="1" w:styleId="240">
    <w:name w:val="表标题2.4"/>
    <w:basedOn w:val="af3"/>
    <w:link w:val="24Char"/>
    <w:rsid w:val="009964C3"/>
    <w:pPr>
      <w:tabs>
        <w:tab w:val="center" w:pos="4060"/>
        <w:tab w:val="right" w:pos="8261"/>
      </w:tabs>
      <w:suppressAutoHyphens/>
      <w:adjustRightInd w:val="0"/>
      <w:spacing w:beforeLines="100" w:line="0" w:lineRule="atLeast"/>
    </w:pPr>
    <w:rPr>
      <w:rFonts w:ascii="黑体" w:eastAsia="黑体"/>
      <w:b/>
      <w:spacing w:val="6"/>
      <w:kern w:val="0"/>
      <w:sz w:val="24"/>
    </w:rPr>
  </w:style>
  <w:style w:type="paragraph" w:customStyle="1" w:styleId="2ff9">
    <w:name w:val="字元 字元2"/>
    <w:basedOn w:val="af3"/>
    <w:rsid w:val="009964C3"/>
  </w:style>
  <w:style w:type="paragraph" w:customStyle="1" w:styleId="xl107">
    <w:name w:val="xl107"/>
    <w:basedOn w:val="af3"/>
    <w:rsid w:val="009964C3"/>
    <w:pPr>
      <w:widowControl/>
      <w:pBdr>
        <w:bottom w:val="single" w:sz="8" w:space="0" w:color="auto"/>
        <w:right w:val="single" w:sz="4" w:space="0" w:color="auto"/>
      </w:pBdr>
      <w:spacing w:before="100" w:after="100"/>
      <w:jc w:val="center"/>
      <w:textAlignment w:val="center"/>
    </w:pPr>
    <w:rPr>
      <w:rFonts w:ascii="Arial" w:hAnsi="Arial"/>
      <w:kern w:val="0"/>
      <w:sz w:val="20"/>
      <w:szCs w:val="20"/>
    </w:rPr>
  </w:style>
  <w:style w:type="paragraph" w:customStyle="1" w:styleId="530">
    <w:name w:val="表题53"/>
    <w:basedOn w:val="afffffff4"/>
    <w:rsid w:val="009964C3"/>
    <w:pPr>
      <w:spacing w:line="240" w:lineRule="auto"/>
      <w:ind w:firstLine="0"/>
      <w:jc w:val="center"/>
    </w:pPr>
    <w:rPr>
      <w:rFonts w:ascii="黑体" w:eastAsia="黑体" w:cs="Times New Roman"/>
      <w:szCs w:val="20"/>
    </w:rPr>
  </w:style>
  <w:style w:type="paragraph" w:customStyle="1" w:styleId="433">
    <w:name w:val="表内小433"/>
    <w:basedOn w:val="affffffffff"/>
    <w:rsid w:val="009964C3"/>
    <w:pPr>
      <w:ind w:left="240" w:hanging="240"/>
      <w:jc w:val="both"/>
    </w:pPr>
    <w:rPr>
      <w:rFonts w:cs="Times New Roman"/>
    </w:rPr>
  </w:style>
  <w:style w:type="paragraph" w:customStyle="1" w:styleId="110">
    <w:name w:val="样式 样式 标题 1 + 段后: 1 行 +"/>
    <w:basedOn w:val="af3"/>
    <w:rsid w:val="009964C3"/>
    <w:pPr>
      <w:keepLines/>
      <w:widowControl/>
      <w:spacing w:afterLines="100"/>
      <w:jc w:val="left"/>
      <w:outlineLvl w:val="0"/>
    </w:pPr>
    <w:rPr>
      <w:rFonts w:eastAsia="黑体" w:cs="宋体"/>
      <w:b/>
      <w:bCs/>
      <w:snapToGrid w:val="0"/>
      <w:kern w:val="28"/>
      <w:sz w:val="36"/>
      <w:szCs w:val="20"/>
    </w:rPr>
  </w:style>
  <w:style w:type="paragraph" w:customStyle="1" w:styleId="xl53">
    <w:name w:val="xl53"/>
    <w:basedOn w:val="af3"/>
    <w:rsid w:val="009964C3"/>
    <w:pPr>
      <w:widowControl/>
      <w:spacing w:before="100" w:beforeAutospacing="1" w:after="100" w:afterAutospacing="1"/>
      <w:jc w:val="left"/>
    </w:pPr>
    <w:rPr>
      <w:rFonts w:ascii="宋体" w:hAnsi="宋体" w:cs="宋体"/>
      <w:kern w:val="0"/>
      <w:sz w:val="20"/>
      <w:szCs w:val="20"/>
    </w:rPr>
  </w:style>
  <w:style w:type="paragraph" w:customStyle="1" w:styleId="table">
    <w:name w:val="table"/>
    <w:basedOn w:val="af3"/>
    <w:next w:val="af3"/>
    <w:semiHidden/>
    <w:rsid w:val="009964C3"/>
    <w:pPr>
      <w:adjustRightInd w:val="0"/>
      <w:snapToGrid w:val="0"/>
      <w:jc w:val="center"/>
    </w:pPr>
    <w:rPr>
      <w:color w:val="000000"/>
      <w:szCs w:val="28"/>
    </w:rPr>
  </w:style>
  <w:style w:type="paragraph" w:customStyle="1" w:styleId="4150">
    <w:name w:val="表内小415"/>
    <w:basedOn w:val="affffffffff"/>
    <w:rsid w:val="009964C3"/>
    <w:pPr>
      <w:ind w:left="240" w:hanging="240"/>
      <w:jc w:val="both"/>
    </w:pPr>
    <w:rPr>
      <w:rFonts w:cs="Times New Roman"/>
    </w:rPr>
  </w:style>
  <w:style w:type="paragraph" w:customStyle="1" w:styleId="2222">
    <w:name w:val="2222"/>
    <w:basedOn w:val="22"/>
    <w:rsid w:val="009964C3"/>
    <w:pPr>
      <w:widowControl/>
      <w:adjustRightInd w:val="0"/>
      <w:snapToGrid w:val="0"/>
      <w:spacing w:before="120" w:after="120" w:line="480" w:lineRule="exact"/>
      <w:ind w:left="240"/>
      <w:jc w:val="left"/>
    </w:pPr>
    <w:rPr>
      <w:rFonts w:ascii="方正大标宋简体" w:eastAsia="宋体" w:cs="宋体"/>
      <w:kern w:val="0"/>
      <w:sz w:val="28"/>
    </w:rPr>
  </w:style>
  <w:style w:type="paragraph" w:customStyle="1" w:styleId="afffffffffffff0">
    <w:name w:val="目次"/>
    <w:rsid w:val="009964C3"/>
    <w:pPr>
      <w:spacing w:beforeLines="200" w:afterLines="100" w:line="440" w:lineRule="exact"/>
      <w:jc w:val="center"/>
    </w:pPr>
    <w:rPr>
      <w:rFonts w:ascii="黑体" w:eastAsia="黑体"/>
      <w:sz w:val="24"/>
    </w:rPr>
  </w:style>
  <w:style w:type="paragraph" w:customStyle="1" w:styleId="afffffffffffc">
    <w:name w:val="基准标题"/>
    <w:basedOn w:val="afff"/>
    <w:next w:val="afff"/>
    <w:rsid w:val="009964C3"/>
    <w:pPr>
      <w:spacing w:before="80" w:after="80"/>
    </w:pPr>
    <w:rPr>
      <w:szCs w:val="20"/>
    </w:rPr>
  </w:style>
  <w:style w:type="paragraph" w:customStyle="1" w:styleId="96">
    <w:name w:val="表内文字大9"/>
    <w:basedOn w:val="af3"/>
    <w:rsid w:val="009964C3"/>
    <w:pPr>
      <w:adjustRightInd w:val="0"/>
      <w:snapToGrid w:val="0"/>
      <w:jc w:val="center"/>
    </w:pPr>
    <w:rPr>
      <w:rFonts w:ascii="宋体" w:hAnsi="Times"/>
      <w:sz w:val="24"/>
      <w:szCs w:val="20"/>
    </w:rPr>
  </w:style>
  <w:style w:type="paragraph" w:customStyle="1" w:styleId="1PartH1H11H12H13H111H121H14H15H16H17H180">
    <w:name w:val="样式 样式 标题 1一、PartH1H11H12H13H111H121H14H15H16H17H18标题 ... + 加粗"/>
    <w:basedOn w:val="1PartH1H11H12H13H111H121H14H15H16H17H18"/>
    <w:link w:val="1PartH1H11H12H13H111H121H14H15H16H17H18Char0"/>
    <w:qFormat/>
    <w:rsid w:val="009964C3"/>
    <w:pPr>
      <w:tabs>
        <w:tab w:val="clear" w:pos="2040"/>
      </w:tabs>
      <w:ind w:leftChars="0" w:left="0" w:firstLineChars="0" w:firstLine="0"/>
    </w:pPr>
    <w:rPr>
      <w:b/>
    </w:rPr>
  </w:style>
  <w:style w:type="paragraph" w:customStyle="1" w:styleId="afffffffffffff1">
    <w:name w:val="标准条文"/>
    <w:semiHidden/>
    <w:rsid w:val="009964C3"/>
    <w:pPr>
      <w:spacing w:beforeLines="20" w:afterLines="20"/>
      <w:ind w:firstLineChars="200" w:firstLine="200"/>
    </w:pPr>
    <w:rPr>
      <w:bCs/>
      <w:kern w:val="2"/>
      <w:sz w:val="21"/>
      <w:szCs w:val="24"/>
    </w:rPr>
  </w:style>
  <w:style w:type="paragraph" w:customStyle="1" w:styleId="10500">
    <w:name w:val="样式 样式 标题 1 + 段前: 0.5 行 + 首行缩进:  0 字符"/>
    <w:basedOn w:val="1051"/>
    <w:semiHidden/>
    <w:rsid w:val="009964C3"/>
  </w:style>
  <w:style w:type="paragraph" w:customStyle="1" w:styleId="012">
    <w:name w:val="样式 小四 首行缩进:  0 厘米 行距: 最小值 12 磅"/>
    <w:basedOn w:val="af3"/>
    <w:qFormat/>
    <w:rsid w:val="009964C3"/>
    <w:pPr>
      <w:adjustRightInd w:val="0"/>
      <w:spacing w:line="240" w:lineRule="atLeast"/>
      <w:textAlignment w:val="baseline"/>
    </w:pPr>
    <w:rPr>
      <w:kern w:val="0"/>
      <w:sz w:val="24"/>
      <w:szCs w:val="20"/>
    </w:rPr>
  </w:style>
  <w:style w:type="paragraph" w:customStyle="1" w:styleId="33">
    <w:name w:val="表3.3"/>
    <w:basedOn w:val="af3"/>
    <w:rsid w:val="009964C3"/>
    <w:pPr>
      <w:numPr>
        <w:numId w:val="19"/>
      </w:numPr>
      <w:tabs>
        <w:tab w:val="left" w:pos="720"/>
        <w:tab w:val="center" w:pos="4060"/>
        <w:tab w:val="right" w:pos="8261"/>
      </w:tabs>
      <w:suppressAutoHyphens/>
      <w:adjustRightInd w:val="0"/>
      <w:spacing w:before="240" w:line="0" w:lineRule="atLeast"/>
    </w:pPr>
    <w:rPr>
      <w:rFonts w:ascii="黑体" w:eastAsia="黑体"/>
      <w:b/>
      <w:spacing w:val="6"/>
      <w:kern w:val="0"/>
      <w:sz w:val="26"/>
      <w:szCs w:val="26"/>
    </w:rPr>
  </w:style>
  <w:style w:type="paragraph" w:customStyle="1" w:styleId="wl">
    <w:name w:val="wl"/>
    <w:basedOn w:val="af3"/>
    <w:semiHidden/>
    <w:rsid w:val="009964C3"/>
    <w:pPr>
      <w:spacing w:before="50" w:line="293" w:lineRule="auto"/>
      <w:jc w:val="center"/>
    </w:pPr>
    <w:rPr>
      <w:rFonts w:ascii="宋体" w:hAnsi="宋体"/>
      <w:szCs w:val="22"/>
    </w:rPr>
  </w:style>
  <w:style w:type="paragraph" w:customStyle="1" w:styleId="5f7">
    <w:name w:val="表中文字中修改5"/>
    <w:basedOn w:val="affffffffffffa"/>
    <w:rsid w:val="009964C3"/>
    <w:pPr>
      <w:adjustRightInd w:val="0"/>
    </w:pPr>
    <w:rPr>
      <w:color w:val="000000"/>
    </w:rPr>
  </w:style>
  <w:style w:type="paragraph" w:customStyle="1" w:styleId="330">
    <w:name w:val="等核实33"/>
    <w:basedOn w:val="afffffff4"/>
    <w:rsid w:val="009964C3"/>
    <w:pPr>
      <w:ind w:firstLineChars="200" w:firstLine="480"/>
    </w:pPr>
    <w:rPr>
      <w:rFonts w:cs="Times New Roman"/>
      <w:color w:val="0000FF"/>
      <w:szCs w:val="20"/>
    </w:rPr>
  </w:style>
  <w:style w:type="paragraph" w:customStyle="1" w:styleId="afffffffffffff2">
    <w:name w:val="对象文字"/>
    <w:basedOn w:val="afff"/>
    <w:next w:val="af3"/>
    <w:semiHidden/>
    <w:rsid w:val="009964C3"/>
    <w:pPr>
      <w:spacing w:after="0"/>
    </w:pPr>
    <w:rPr>
      <w:b/>
      <w:bCs/>
      <w:sz w:val="10"/>
      <w:szCs w:val="18"/>
    </w:rPr>
  </w:style>
  <w:style w:type="paragraph" w:customStyle="1" w:styleId="20022">
    <w:name w:val="样式 标题 2 + 黑体 小四 非加粗 段前: 0 磅 段后: 0 磅 行距: 固定值 22 磅"/>
    <w:basedOn w:val="22"/>
    <w:rsid w:val="009964C3"/>
    <w:pPr>
      <w:spacing w:beforeLines="50" w:afterLines="50" w:line="440" w:lineRule="exact"/>
    </w:pPr>
    <w:rPr>
      <w:rFonts w:ascii="黑体" w:cs="宋体"/>
      <w:b w:val="0"/>
      <w:bCs w:val="0"/>
      <w:sz w:val="28"/>
      <w:szCs w:val="28"/>
    </w:rPr>
  </w:style>
  <w:style w:type="paragraph" w:customStyle="1" w:styleId="5116">
    <w:name w:val="表内5116"/>
    <w:basedOn w:val="af3"/>
    <w:rsid w:val="009964C3"/>
    <w:pPr>
      <w:adjustRightInd w:val="0"/>
      <w:snapToGrid w:val="0"/>
      <w:spacing w:line="300" w:lineRule="auto"/>
      <w:jc w:val="left"/>
    </w:pPr>
    <w:rPr>
      <w:rFonts w:ascii="宋体" w:hAnsi="宋体" w:cs="宋体"/>
      <w:szCs w:val="20"/>
    </w:rPr>
  </w:style>
  <w:style w:type="paragraph" w:customStyle="1" w:styleId="1310">
    <w:name w:val="标标题13.1"/>
    <w:basedOn w:val="af3"/>
    <w:rsid w:val="009964C3"/>
    <w:pPr>
      <w:tabs>
        <w:tab w:val="left" w:pos="1200"/>
        <w:tab w:val="center" w:pos="4060"/>
        <w:tab w:val="right" w:pos="8261"/>
      </w:tabs>
      <w:suppressAutoHyphens/>
      <w:adjustRightInd w:val="0"/>
      <w:spacing w:before="240" w:line="0" w:lineRule="atLeast"/>
      <w:ind w:left="476" w:firstLine="4"/>
      <w:jc w:val="center"/>
    </w:pPr>
    <w:rPr>
      <w:rFonts w:ascii="黑体" w:eastAsia="黑体"/>
      <w:b/>
      <w:spacing w:val="6"/>
      <w:kern w:val="0"/>
      <w:sz w:val="24"/>
    </w:rPr>
  </w:style>
  <w:style w:type="paragraph" w:customStyle="1" w:styleId="afffffffffffff3">
    <w:name w:val="文章主体"/>
    <w:basedOn w:val="af3"/>
    <w:semiHidden/>
    <w:locked/>
    <w:rsid w:val="009964C3"/>
    <w:pPr>
      <w:adjustRightInd w:val="0"/>
      <w:spacing w:before="60" w:line="360" w:lineRule="exact"/>
      <w:ind w:firstLineChars="200" w:firstLine="200"/>
      <w:textAlignment w:val="baseline"/>
    </w:pPr>
    <w:rPr>
      <w:rFonts w:ascii="Arial Unicode MS" w:hAnsi="Arial Unicode MS"/>
      <w:sz w:val="24"/>
    </w:rPr>
  </w:style>
  <w:style w:type="paragraph" w:customStyle="1" w:styleId="1PartH1H11H12H13H111H121H14H15H16H17H18">
    <w:name w:val="样式 标题 1一、PartH1H11H12H13H111H121H14H15H16H17H18标题 ..."/>
    <w:basedOn w:val="13"/>
    <w:link w:val="1PartH1H11H12H13H111H121H14H15H16H17H18Char"/>
    <w:rsid w:val="009964C3"/>
    <w:pPr>
      <w:tabs>
        <w:tab w:val="left" w:pos="2040"/>
      </w:tabs>
      <w:spacing w:before="0" w:after="0" w:line="360" w:lineRule="auto"/>
      <w:ind w:leftChars="800" w:left="2040" w:hangingChars="200" w:hanging="360"/>
    </w:pPr>
    <w:rPr>
      <w:rFonts w:ascii="Arial" w:hAnsi="Arial" w:cs="宋体"/>
      <w:b w:val="0"/>
      <w:sz w:val="24"/>
      <w:szCs w:val="20"/>
    </w:rPr>
  </w:style>
  <w:style w:type="paragraph" w:customStyle="1" w:styleId="xl93">
    <w:name w:val="xl93"/>
    <w:basedOn w:val="af3"/>
    <w:rsid w:val="009964C3"/>
    <w:pPr>
      <w:widowControl/>
      <w:pBdr>
        <w:right w:val="single" w:sz="4" w:space="0" w:color="auto"/>
      </w:pBdr>
      <w:spacing w:before="100" w:beforeAutospacing="1" w:after="100" w:afterAutospacing="1"/>
      <w:jc w:val="center"/>
    </w:pPr>
    <w:rPr>
      <w:rFonts w:ascii="宋体" w:hAnsi="宋体" w:cs="宋体"/>
      <w:kern w:val="0"/>
      <w:sz w:val="24"/>
    </w:rPr>
  </w:style>
  <w:style w:type="paragraph" w:customStyle="1" w:styleId="532">
    <w:name w:val="表内小53"/>
    <w:basedOn w:val="af3"/>
    <w:rsid w:val="009964C3"/>
    <w:pPr>
      <w:adjustRightInd w:val="0"/>
      <w:snapToGrid w:val="0"/>
      <w:spacing w:line="300" w:lineRule="auto"/>
    </w:pPr>
    <w:rPr>
      <w:rFonts w:ascii="宋体" w:hAnsi="宋体"/>
      <w:sz w:val="18"/>
    </w:rPr>
  </w:style>
  <w:style w:type="paragraph" w:customStyle="1" w:styleId="ST2010">
    <w:name w:val="ST20_10"/>
    <w:basedOn w:val="ST2011"/>
    <w:rsid w:val="009964C3"/>
  </w:style>
  <w:style w:type="paragraph" w:customStyle="1" w:styleId="-2">
    <w:name w:val="表-2"/>
    <w:basedOn w:val="afffffffff2"/>
    <w:semiHidden/>
    <w:rsid w:val="009964C3"/>
    <w:pPr>
      <w:keepNext/>
      <w:keepLines/>
      <w:tabs>
        <w:tab w:val="left" w:leader="dot" w:pos="48"/>
      </w:tabs>
      <w:kinsoku w:val="0"/>
      <w:overflowPunct w:val="0"/>
      <w:spacing w:line="360" w:lineRule="exact"/>
      <w:textAlignment w:val="baseline"/>
    </w:pPr>
    <w:rPr>
      <w:rFonts w:ascii="Arial" w:hAnsi="Arial" w:cs="Times New Roman"/>
      <w:kern w:val="18"/>
      <w:lang w:val="zh-CN"/>
    </w:rPr>
  </w:style>
  <w:style w:type="paragraph" w:customStyle="1" w:styleId="CharCharCharCharCharCharCharCharCharCharCharCharCharCharCharCharCharCharChar">
    <w:name w:val="Char Char Char Char Char Char Char Char Char Char Char Char Char Char Char Char Char Char Char"/>
    <w:basedOn w:val="af3"/>
    <w:rsid w:val="009964C3"/>
  </w:style>
  <w:style w:type="paragraph" w:customStyle="1" w:styleId="afffffffffffff4">
    <w:name w:val="表格间距"/>
    <w:basedOn w:val="af3"/>
    <w:semiHidden/>
    <w:rsid w:val="009964C3"/>
    <w:pPr>
      <w:spacing w:line="280" w:lineRule="exact"/>
      <w:ind w:firstLineChars="200" w:firstLine="420"/>
    </w:pPr>
  </w:style>
  <w:style w:type="paragraph" w:customStyle="1" w:styleId="5f8">
    <w:name w:val="表内序号5"/>
    <w:basedOn w:val="af3"/>
    <w:rsid w:val="009964C3"/>
    <w:pPr>
      <w:widowControl/>
      <w:adjustRightInd w:val="0"/>
      <w:snapToGrid w:val="0"/>
      <w:spacing w:line="360" w:lineRule="auto"/>
      <w:ind w:firstLine="288"/>
    </w:pPr>
    <w:rPr>
      <w:kern w:val="0"/>
      <w:sz w:val="18"/>
      <w:szCs w:val="20"/>
    </w:rPr>
  </w:style>
  <w:style w:type="paragraph" w:customStyle="1" w:styleId="afffffffffffff5">
    <w:name w:val="审查文字"/>
    <w:basedOn w:val="afff"/>
    <w:semiHidden/>
    <w:rsid w:val="009964C3"/>
    <w:pPr>
      <w:spacing w:beforeLines="100" w:afterLines="50"/>
      <w:ind w:leftChars="500" w:left="500"/>
      <w:jc w:val="left"/>
    </w:pPr>
    <w:rPr>
      <w:b/>
      <w:bCs/>
      <w:sz w:val="20"/>
      <w:szCs w:val="20"/>
    </w:rPr>
  </w:style>
  <w:style w:type="paragraph" w:customStyle="1" w:styleId="123">
    <w:name w:val="表题123"/>
    <w:basedOn w:val="afffffff4"/>
    <w:rsid w:val="009964C3"/>
    <w:pPr>
      <w:tabs>
        <w:tab w:val="clear" w:pos="4305"/>
      </w:tabs>
      <w:spacing w:line="240" w:lineRule="auto"/>
      <w:ind w:firstLine="0"/>
      <w:jc w:val="center"/>
    </w:pPr>
    <w:rPr>
      <w:rFonts w:ascii="黑体" w:eastAsia="黑体" w:hAnsi="Times" w:cs="Times New Roman"/>
    </w:rPr>
  </w:style>
  <w:style w:type="paragraph" w:customStyle="1" w:styleId="Char71">
    <w:name w:val="Char71"/>
    <w:basedOn w:val="af3"/>
    <w:rsid w:val="009964C3"/>
    <w:pPr>
      <w:ind w:left="-48"/>
    </w:pPr>
  </w:style>
  <w:style w:type="paragraph" w:customStyle="1" w:styleId="Char111">
    <w:name w:val="Char11"/>
    <w:basedOn w:val="af3"/>
    <w:rsid w:val="009964C3"/>
    <w:pPr>
      <w:ind w:left="-48"/>
    </w:pPr>
  </w:style>
  <w:style w:type="paragraph" w:customStyle="1" w:styleId="ST2026">
    <w:name w:val="ST20_26"/>
    <w:basedOn w:val="ST2027"/>
    <w:next w:val="ST2028"/>
    <w:rsid w:val="009964C3"/>
    <w:pPr>
      <w:keepLines/>
      <w:spacing w:after="160"/>
    </w:pPr>
    <w:rPr>
      <w:b/>
      <w:bCs/>
    </w:rPr>
  </w:style>
  <w:style w:type="paragraph" w:customStyle="1" w:styleId="154">
    <w:name w:val="福建正文缩进15"/>
    <w:basedOn w:val="af4"/>
    <w:rsid w:val="009964C3"/>
    <w:pPr>
      <w:autoSpaceDE w:val="0"/>
      <w:autoSpaceDN w:val="0"/>
      <w:adjustRightInd w:val="0"/>
      <w:snapToGrid w:val="0"/>
      <w:spacing w:line="360" w:lineRule="auto"/>
      <w:ind w:firstLineChars="0" w:firstLine="539"/>
    </w:pPr>
    <w:rPr>
      <w:rFonts w:ascii="宋体" w:hAnsi="宋体"/>
      <w:sz w:val="24"/>
      <w:szCs w:val="24"/>
    </w:rPr>
  </w:style>
  <w:style w:type="paragraph" w:customStyle="1" w:styleId="214">
    <w:name w:val="正文文本缩进 21"/>
    <w:basedOn w:val="af3"/>
    <w:semiHidden/>
    <w:rsid w:val="009964C3"/>
    <w:pPr>
      <w:adjustRightInd w:val="0"/>
      <w:spacing w:line="312" w:lineRule="auto"/>
      <w:ind w:firstLine="570"/>
      <w:textAlignment w:val="baseline"/>
    </w:pPr>
    <w:rPr>
      <w:sz w:val="28"/>
      <w:szCs w:val="20"/>
    </w:rPr>
  </w:style>
  <w:style w:type="paragraph" w:customStyle="1" w:styleId="620">
    <w:name w:val="表内文字小62"/>
    <w:basedOn w:val="af3"/>
    <w:rsid w:val="009964C3"/>
    <w:pPr>
      <w:adjustRightInd w:val="0"/>
      <w:snapToGrid w:val="0"/>
      <w:jc w:val="center"/>
    </w:pPr>
    <w:rPr>
      <w:rFonts w:ascii="宋体" w:hAnsi="Times"/>
      <w:szCs w:val="20"/>
    </w:rPr>
  </w:style>
  <w:style w:type="paragraph" w:customStyle="1" w:styleId="155">
    <w:name w:val="样式 宋体 左 行距: 1.5 倍行距"/>
    <w:basedOn w:val="af3"/>
    <w:semiHidden/>
    <w:rsid w:val="009964C3"/>
    <w:pPr>
      <w:spacing w:line="360" w:lineRule="auto"/>
      <w:ind w:firstLineChars="200" w:firstLine="480"/>
      <w:jc w:val="left"/>
    </w:pPr>
    <w:rPr>
      <w:rFonts w:ascii="宋体" w:hAnsi="宋体"/>
      <w:sz w:val="24"/>
      <w:szCs w:val="20"/>
    </w:rPr>
  </w:style>
  <w:style w:type="paragraph" w:customStyle="1" w:styleId="Char90">
    <w:name w:val="Char9"/>
    <w:basedOn w:val="af3"/>
    <w:rsid w:val="009964C3"/>
    <w:pPr>
      <w:ind w:left="-48"/>
    </w:pPr>
  </w:style>
  <w:style w:type="paragraph" w:customStyle="1" w:styleId="4170">
    <w:name w:val="标题417"/>
    <w:basedOn w:val="af3"/>
    <w:rsid w:val="009964C3"/>
    <w:pPr>
      <w:adjustRightInd w:val="0"/>
      <w:snapToGrid w:val="0"/>
      <w:spacing w:line="300" w:lineRule="auto"/>
      <w:jc w:val="left"/>
    </w:pPr>
    <w:rPr>
      <w:rFonts w:ascii="黑体" w:eastAsia="黑体"/>
      <w:bCs/>
      <w:sz w:val="24"/>
    </w:rPr>
  </w:style>
  <w:style w:type="paragraph" w:customStyle="1" w:styleId="CM17">
    <w:name w:val="CM17"/>
    <w:basedOn w:val="Default"/>
    <w:next w:val="Default"/>
    <w:semiHidden/>
    <w:rsid w:val="009964C3"/>
    <w:pPr>
      <w:spacing w:line="546" w:lineRule="atLeast"/>
    </w:pPr>
    <w:rPr>
      <w:rFonts w:ascii="仿宋_GB2312" w:eastAsia="仿宋_GB2312" w:hAnsi="Calibri" w:cs="Times New Roman"/>
      <w:color w:val="auto"/>
    </w:rPr>
  </w:style>
  <w:style w:type="paragraph" w:customStyle="1" w:styleId="556">
    <w:name w:val="表内5中56"/>
    <w:basedOn w:val="af3"/>
    <w:rsid w:val="009964C3"/>
    <w:pPr>
      <w:adjustRightInd w:val="0"/>
      <w:snapToGrid w:val="0"/>
      <w:jc w:val="center"/>
    </w:pPr>
    <w:rPr>
      <w:rFonts w:ascii="宋体"/>
    </w:rPr>
  </w:style>
  <w:style w:type="paragraph" w:customStyle="1" w:styleId="xl75">
    <w:name w:val="xl75"/>
    <w:basedOn w:val="af3"/>
    <w:rsid w:val="009964C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afffffffffffff6">
    <w:name w:val="表左"/>
    <w:basedOn w:val="af3"/>
    <w:next w:val="af3"/>
    <w:rsid w:val="009964C3"/>
    <w:pPr>
      <w:spacing w:line="280" w:lineRule="exact"/>
    </w:pPr>
    <w:rPr>
      <w:snapToGrid w:val="0"/>
      <w:color w:val="000000"/>
      <w:sz w:val="18"/>
      <w:szCs w:val="20"/>
    </w:rPr>
  </w:style>
  <w:style w:type="paragraph" w:customStyle="1" w:styleId="afffffffffffff7">
    <w:name w:val="简单回函地址"/>
    <w:basedOn w:val="af3"/>
    <w:rsid w:val="009964C3"/>
    <w:rPr>
      <w:szCs w:val="20"/>
    </w:rPr>
  </w:style>
  <w:style w:type="paragraph" w:customStyle="1" w:styleId="T">
    <w:name w:val="T正文"/>
    <w:rsid w:val="009964C3"/>
    <w:pPr>
      <w:widowControl w:val="0"/>
      <w:adjustRightInd w:val="0"/>
      <w:snapToGrid w:val="0"/>
      <w:spacing w:line="360" w:lineRule="auto"/>
      <w:ind w:firstLineChars="200" w:firstLine="200"/>
      <w:jc w:val="both"/>
    </w:pPr>
    <w:rPr>
      <w:rFonts w:eastAsia="仿宋_GB2312"/>
      <w:sz w:val="28"/>
    </w:rPr>
  </w:style>
  <w:style w:type="paragraph" w:customStyle="1" w:styleId="GB231220">
    <w:name w:val="样式 正文文本 + 楷体_GB2312 小四 左2"/>
    <w:basedOn w:val="afff"/>
    <w:rsid w:val="009964C3"/>
    <w:pPr>
      <w:widowControl/>
      <w:spacing w:after="0" w:line="360" w:lineRule="auto"/>
      <w:ind w:rightChars="25" w:right="25" w:firstLineChars="200" w:firstLine="200"/>
      <w:jc w:val="left"/>
    </w:pPr>
    <w:rPr>
      <w:rFonts w:ascii="楷体_GB2312" w:cs="宋体"/>
      <w:kern w:val="0"/>
      <w:sz w:val="24"/>
      <w:szCs w:val="20"/>
    </w:rPr>
  </w:style>
  <w:style w:type="paragraph" w:customStyle="1" w:styleId="zwb-">
    <w:name w:val="zwb-正文"/>
    <w:basedOn w:val="af3"/>
    <w:link w:val="zwb-Char"/>
    <w:semiHidden/>
    <w:rsid w:val="009964C3"/>
    <w:pPr>
      <w:spacing w:line="360" w:lineRule="auto"/>
      <w:ind w:firstLineChars="200" w:firstLine="480"/>
    </w:pPr>
    <w:rPr>
      <w:sz w:val="24"/>
    </w:rPr>
  </w:style>
  <w:style w:type="paragraph" w:customStyle="1" w:styleId="4f3">
    <w:name w:val="页眉中4"/>
    <w:basedOn w:val="4a"/>
    <w:rsid w:val="009964C3"/>
    <w:pPr>
      <w:snapToGrid w:val="0"/>
      <w:spacing w:line="300" w:lineRule="auto"/>
      <w:textAlignment w:val="auto"/>
    </w:pPr>
    <w:rPr>
      <w:rFonts w:ascii="黑体" w:eastAsia="黑体" w:hAnsi="宋体" w:cs="宋体"/>
      <w:szCs w:val="24"/>
    </w:rPr>
  </w:style>
  <w:style w:type="paragraph" w:customStyle="1" w:styleId="afffffffffffff8">
    <w:name w:val="粗表"/>
    <w:basedOn w:val="afffffffff2"/>
    <w:semiHidden/>
    <w:rsid w:val="009964C3"/>
    <w:pPr>
      <w:tabs>
        <w:tab w:val="left" w:leader="dot" w:pos="48"/>
      </w:tabs>
      <w:autoSpaceDE w:val="0"/>
      <w:autoSpaceDN w:val="0"/>
      <w:adjustRightInd w:val="0"/>
      <w:spacing w:line="360" w:lineRule="exact"/>
      <w:jc w:val="center"/>
      <w:outlineLvl w:val="5"/>
    </w:pPr>
    <w:rPr>
      <w:rFonts w:ascii="Arial" w:hAnsi="Arial" w:cs="Times New Roman"/>
      <w:b/>
      <w:kern w:val="0"/>
    </w:rPr>
  </w:style>
  <w:style w:type="paragraph" w:customStyle="1" w:styleId="afffffffffffff9">
    <w:name w:val="正文+行距"/>
    <w:basedOn w:val="af3"/>
    <w:rsid w:val="009964C3"/>
    <w:rPr>
      <w:szCs w:val="20"/>
    </w:rPr>
  </w:style>
  <w:style w:type="paragraph" w:customStyle="1" w:styleId="p15">
    <w:name w:val="p15"/>
    <w:basedOn w:val="af3"/>
    <w:rsid w:val="009964C3"/>
    <w:pPr>
      <w:widowControl/>
      <w:spacing w:before="100" w:beforeAutospacing="1" w:after="100" w:afterAutospacing="1"/>
      <w:jc w:val="left"/>
    </w:pPr>
    <w:rPr>
      <w:rFonts w:ascii="宋体" w:hAnsi="宋体" w:cs="宋体"/>
      <w:kern w:val="0"/>
      <w:sz w:val="24"/>
    </w:rPr>
  </w:style>
  <w:style w:type="paragraph" w:customStyle="1" w:styleId="Objective">
    <w:name w:val="Objective"/>
    <w:basedOn w:val="af3"/>
    <w:next w:val="afff"/>
    <w:rsid w:val="009964C3"/>
    <w:pPr>
      <w:widowControl/>
      <w:spacing w:before="220" w:after="220" w:line="220" w:lineRule="atLeast"/>
      <w:jc w:val="left"/>
    </w:pPr>
    <w:rPr>
      <w:kern w:val="0"/>
      <w:sz w:val="24"/>
    </w:rPr>
  </w:style>
  <w:style w:type="paragraph" w:customStyle="1" w:styleId="afffffffffffffa">
    <w:name w:val="标题１"/>
    <w:basedOn w:val="af3"/>
    <w:semiHidden/>
    <w:rsid w:val="009964C3"/>
    <w:rPr>
      <w:rFonts w:eastAsia="黑体"/>
      <w:sz w:val="30"/>
      <w:szCs w:val="20"/>
    </w:rPr>
  </w:style>
  <w:style w:type="paragraph" w:customStyle="1" w:styleId="Char141">
    <w:name w:val="Char141"/>
    <w:basedOn w:val="af3"/>
    <w:rsid w:val="009964C3"/>
    <w:pPr>
      <w:ind w:left="-48"/>
    </w:pPr>
  </w:style>
  <w:style w:type="paragraph" w:customStyle="1" w:styleId="580">
    <w:name w:val="表内宋58"/>
    <w:basedOn w:val="5f9"/>
    <w:rsid w:val="009964C3"/>
    <w:pPr>
      <w:jc w:val="both"/>
    </w:pPr>
  </w:style>
  <w:style w:type="paragraph" w:customStyle="1" w:styleId="CharCharCharCharCharCharCharCharCharCharCharCharChar1">
    <w:name w:val="Char Char Char Char Char Char Char Char Char Char Char Char Char1"/>
    <w:basedOn w:val="af3"/>
    <w:rsid w:val="009964C3"/>
  </w:style>
  <w:style w:type="paragraph" w:customStyle="1" w:styleId="afffffffffffffb">
    <w:name w:val="我的样式（正文）"/>
    <w:basedOn w:val="af3"/>
    <w:rsid w:val="009964C3"/>
    <w:pPr>
      <w:spacing w:line="440" w:lineRule="exact"/>
      <w:ind w:firstLineChars="200" w:firstLine="480"/>
    </w:pPr>
    <w:rPr>
      <w:rFonts w:ascii="宋体"/>
      <w:sz w:val="28"/>
      <w:szCs w:val="28"/>
    </w:rPr>
  </w:style>
  <w:style w:type="paragraph" w:customStyle="1" w:styleId="afffffffffffffc">
    <w:name w:val="样式表格"/>
    <w:basedOn w:val="af3"/>
    <w:rsid w:val="009964C3"/>
    <w:pPr>
      <w:widowControl/>
      <w:jc w:val="center"/>
    </w:pPr>
    <w:rPr>
      <w:color w:val="000000"/>
      <w:kern w:val="0"/>
      <w:szCs w:val="21"/>
    </w:rPr>
  </w:style>
  <w:style w:type="paragraph" w:customStyle="1" w:styleId="13221">
    <w:name w:val="13.2.2.1"/>
    <w:basedOn w:val="43"/>
    <w:rsid w:val="009964C3"/>
    <w:pPr>
      <w:keepNext w:val="0"/>
      <w:keepLines w:val="0"/>
      <w:numPr>
        <w:ilvl w:val="3"/>
        <w:numId w:val="20"/>
      </w:numPr>
      <w:spacing w:before="100" w:after="100" w:line="302" w:lineRule="auto"/>
    </w:pPr>
    <w:rPr>
      <w:sz w:val="24"/>
      <w:szCs w:val="24"/>
    </w:rPr>
  </w:style>
  <w:style w:type="paragraph" w:customStyle="1" w:styleId="CharCharCharCharCharCharCharCharCharCharCharCharCharCharCharCharCharCharChar2">
    <w:name w:val="Char Char Char Char Char Char Char Char Char Char Char Char Char Char Char Char Char Char Char2"/>
    <w:basedOn w:val="af3"/>
    <w:qFormat/>
    <w:rsid w:val="009964C3"/>
  </w:style>
  <w:style w:type="paragraph" w:customStyle="1" w:styleId="afffffffffffffd">
    <w:name w:val="题栏"/>
    <w:basedOn w:val="affffff"/>
    <w:rsid w:val="009964C3"/>
    <w:pPr>
      <w:pBdr>
        <w:bottom w:val="none" w:sz="0" w:space="0" w:color="auto"/>
      </w:pBdr>
      <w:spacing w:line="360" w:lineRule="auto"/>
    </w:pPr>
    <w:rPr>
      <w:sz w:val="21"/>
      <w:szCs w:val="20"/>
    </w:rPr>
  </w:style>
  <w:style w:type="paragraph" w:customStyle="1" w:styleId="CharChar1d">
    <w:name w:val="字元 字元 Char Char 字元 字元1"/>
    <w:basedOn w:val="af3"/>
    <w:rsid w:val="009964C3"/>
    <w:rPr>
      <w:sz w:val="24"/>
    </w:rPr>
  </w:style>
  <w:style w:type="paragraph" w:customStyle="1" w:styleId="afffffffffffffe">
    <w:name w:val="表格后样式"/>
    <w:basedOn w:val="1000"/>
    <w:rsid w:val="009964C3"/>
    <w:pPr>
      <w:spacing w:line="240" w:lineRule="auto"/>
    </w:pPr>
  </w:style>
  <w:style w:type="paragraph" w:customStyle="1" w:styleId="1ff3">
    <w:name w:val="待定小1"/>
    <w:basedOn w:val="afffffffffe"/>
    <w:qFormat/>
    <w:rsid w:val="009964C3"/>
    <w:pPr>
      <w:spacing w:line="240" w:lineRule="auto"/>
      <w:ind w:firstLine="0"/>
    </w:pPr>
    <w:rPr>
      <w:color w:val="0000FF"/>
      <w:sz w:val="21"/>
      <w:szCs w:val="20"/>
    </w:rPr>
  </w:style>
  <w:style w:type="paragraph" w:customStyle="1" w:styleId="xl59">
    <w:name w:val="xl59"/>
    <w:basedOn w:val="af3"/>
    <w:rsid w:val="009964C3"/>
    <w:pPr>
      <w:widowControl/>
      <w:pBdr>
        <w:top w:val="single" w:sz="4" w:space="0" w:color="auto"/>
        <w:left w:val="single" w:sz="4" w:space="0" w:color="auto"/>
        <w:bottom w:val="single" w:sz="4" w:space="0" w:color="auto"/>
      </w:pBdr>
      <w:spacing w:before="100" w:after="100"/>
      <w:jc w:val="left"/>
    </w:pPr>
    <w:rPr>
      <w:kern w:val="0"/>
      <w:sz w:val="24"/>
      <w:szCs w:val="20"/>
    </w:rPr>
  </w:style>
  <w:style w:type="paragraph" w:customStyle="1" w:styleId="5fa">
    <w:name w:val="表题5"/>
    <w:basedOn w:val="afffffff4"/>
    <w:rsid w:val="009964C3"/>
    <w:pPr>
      <w:spacing w:line="240" w:lineRule="auto"/>
      <w:ind w:firstLine="0"/>
      <w:jc w:val="center"/>
    </w:pPr>
    <w:rPr>
      <w:rFonts w:ascii="黑体" w:eastAsia="黑体" w:cs="Times New Roman"/>
      <w:szCs w:val="20"/>
    </w:rPr>
  </w:style>
  <w:style w:type="paragraph" w:customStyle="1" w:styleId="ST2028">
    <w:name w:val="ST20_28"/>
    <w:basedOn w:val="ST2027"/>
    <w:next w:val="ST2029"/>
    <w:rsid w:val="009964C3"/>
    <w:pPr>
      <w:spacing w:before="720"/>
    </w:pPr>
  </w:style>
  <w:style w:type="paragraph" w:customStyle="1" w:styleId="2002">
    <w:name w:val="正文2002"/>
    <w:basedOn w:val="af3"/>
    <w:semiHidden/>
    <w:rsid w:val="009964C3"/>
    <w:pPr>
      <w:spacing w:line="240" w:lineRule="atLeast"/>
      <w:jc w:val="center"/>
    </w:pPr>
  </w:style>
  <w:style w:type="paragraph" w:customStyle="1" w:styleId="525">
    <w:name w:val="表内宋5中25"/>
    <w:basedOn w:val="af3"/>
    <w:rsid w:val="009964C3"/>
    <w:pPr>
      <w:adjustRightInd w:val="0"/>
      <w:snapToGrid w:val="0"/>
      <w:jc w:val="center"/>
      <w:textAlignment w:val="baseline"/>
    </w:pPr>
    <w:rPr>
      <w:rFonts w:ascii="宋体" w:hAnsi="宋体"/>
      <w:kern w:val="0"/>
      <w:szCs w:val="20"/>
    </w:rPr>
  </w:style>
  <w:style w:type="paragraph" w:customStyle="1" w:styleId="1ff4">
    <w:name w:val="样式 样式 题注 + (西文) 宋体 + 段后: 1 行"/>
    <w:basedOn w:val="af3"/>
    <w:rsid w:val="009964C3"/>
    <w:pPr>
      <w:keepNext/>
      <w:spacing w:line="360" w:lineRule="auto"/>
      <w:ind w:firstLineChars="200" w:firstLine="200"/>
      <w:jc w:val="left"/>
    </w:pPr>
    <w:rPr>
      <w:rFonts w:ascii="宋体" w:hAnsi="宋体" w:cs="宋体"/>
      <w:color w:val="000000"/>
      <w:sz w:val="28"/>
      <w:szCs w:val="20"/>
    </w:rPr>
  </w:style>
  <w:style w:type="paragraph" w:customStyle="1" w:styleId="Char4CharCharChar0">
    <w:name w:val="Char4 Char Char Char"/>
    <w:basedOn w:val="af3"/>
    <w:rsid w:val="009964C3"/>
  </w:style>
  <w:style w:type="paragraph" w:customStyle="1" w:styleId="001">
    <w:name w:val="表格001"/>
    <w:basedOn w:val="af3"/>
    <w:semiHidden/>
    <w:rsid w:val="009964C3"/>
    <w:pPr>
      <w:spacing w:line="360" w:lineRule="exact"/>
      <w:jc w:val="center"/>
    </w:pPr>
    <w:rPr>
      <w:rFonts w:ascii="Arial" w:hAnsi="Arial"/>
      <w:sz w:val="24"/>
    </w:rPr>
  </w:style>
  <w:style w:type="paragraph" w:customStyle="1" w:styleId="75">
    <w:name w:val="表题75"/>
    <w:basedOn w:val="afffffff4"/>
    <w:qFormat/>
    <w:rsid w:val="009964C3"/>
    <w:pPr>
      <w:spacing w:line="240" w:lineRule="auto"/>
      <w:ind w:firstLine="0"/>
      <w:jc w:val="center"/>
    </w:pPr>
    <w:rPr>
      <w:rFonts w:ascii="黑体" w:eastAsia="黑体" w:cs="Times New Roman"/>
      <w:color w:val="auto"/>
    </w:rPr>
  </w:style>
  <w:style w:type="paragraph" w:customStyle="1" w:styleId="2ffa">
    <w:name w:val="样式 标题 2节 + 宋体 加粗 左"/>
    <w:basedOn w:val="22"/>
    <w:rsid w:val="009964C3"/>
    <w:pPr>
      <w:spacing w:before="0" w:after="0" w:line="360" w:lineRule="auto"/>
      <w:jc w:val="left"/>
    </w:pPr>
    <w:rPr>
      <w:rFonts w:ascii="宋体" w:eastAsia="宋体" w:hAnsi="宋体"/>
      <w:b w:val="0"/>
      <w:sz w:val="24"/>
      <w:szCs w:val="20"/>
    </w:rPr>
  </w:style>
  <w:style w:type="paragraph" w:customStyle="1" w:styleId="535">
    <w:name w:val="表内宋5中35"/>
    <w:basedOn w:val="af3"/>
    <w:rsid w:val="009964C3"/>
    <w:pPr>
      <w:adjustRightInd w:val="0"/>
      <w:snapToGrid w:val="0"/>
      <w:spacing w:line="360" w:lineRule="auto"/>
      <w:jc w:val="center"/>
      <w:textAlignment w:val="baseline"/>
    </w:pPr>
    <w:rPr>
      <w:rFonts w:ascii="宋体" w:hAnsi="宋体"/>
      <w:kern w:val="0"/>
      <w:szCs w:val="21"/>
    </w:rPr>
  </w:style>
  <w:style w:type="paragraph" w:customStyle="1" w:styleId="313">
    <w:name w:val="燕山正文31"/>
    <w:basedOn w:val="af3"/>
    <w:rsid w:val="009964C3"/>
    <w:pPr>
      <w:tabs>
        <w:tab w:val="left" w:pos="4680"/>
      </w:tabs>
      <w:adjustRightInd w:val="0"/>
      <w:snapToGrid w:val="0"/>
      <w:spacing w:line="360" w:lineRule="auto"/>
      <w:ind w:firstLineChars="200" w:firstLine="560"/>
    </w:pPr>
    <w:rPr>
      <w:rFonts w:ascii="宋体" w:hAnsi="宋体"/>
      <w:color w:val="000000"/>
      <w:sz w:val="28"/>
      <w:szCs w:val="28"/>
    </w:rPr>
  </w:style>
  <w:style w:type="paragraph" w:customStyle="1" w:styleId="Char80">
    <w:name w:val="Char8"/>
    <w:basedOn w:val="af3"/>
    <w:rsid w:val="009964C3"/>
    <w:pPr>
      <w:ind w:left="-48"/>
    </w:pPr>
  </w:style>
  <w:style w:type="paragraph" w:customStyle="1" w:styleId="5103">
    <w:name w:val="表内5103"/>
    <w:basedOn w:val="5f2"/>
    <w:rsid w:val="009964C3"/>
    <w:pPr>
      <w:jc w:val="both"/>
    </w:pPr>
    <w:rPr>
      <w:szCs w:val="24"/>
    </w:rPr>
  </w:style>
  <w:style w:type="paragraph" w:customStyle="1" w:styleId="192">
    <w:name w:val="表内文字小19"/>
    <w:basedOn w:val="af3"/>
    <w:rsid w:val="009964C3"/>
    <w:pPr>
      <w:adjustRightInd w:val="0"/>
      <w:snapToGrid w:val="0"/>
      <w:jc w:val="center"/>
    </w:pPr>
    <w:rPr>
      <w:rFonts w:ascii="宋体" w:hAnsi="Times"/>
      <w:szCs w:val="20"/>
    </w:rPr>
  </w:style>
  <w:style w:type="paragraph" w:customStyle="1" w:styleId="xl68">
    <w:name w:val="xl68"/>
    <w:basedOn w:val="af3"/>
    <w:rsid w:val="009964C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243">
    <w:name w:val="样式 小四 行距: 固定值 24 磅"/>
    <w:basedOn w:val="af3"/>
    <w:qFormat/>
    <w:rsid w:val="009964C3"/>
    <w:pPr>
      <w:spacing w:line="480" w:lineRule="exact"/>
    </w:pPr>
    <w:rPr>
      <w:rFonts w:cs="宋体"/>
      <w:sz w:val="24"/>
      <w:szCs w:val="20"/>
    </w:rPr>
  </w:style>
  <w:style w:type="paragraph" w:customStyle="1" w:styleId="1ff5">
    <w:name w:val="题图1"/>
    <w:basedOn w:val="af3"/>
    <w:rsid w:val="009964C3"/>
    <w:pPr>
      <w:adjustRightInd w:val="0"/>
      <w:snapToGrid w:val="0"/>
      <w:jc w:val="center"/>
    </w:pPr>
    <w:rPr>
      <w:rFonts w:ascii="宋体" w:hAnsi="宋体" w:cs="宋体"/>
      <w:sz w:val="28"/>
    </w:rPr>
  </w:style>
  <w:style w:type="paragraph" w:customStyle="1" w:styleId="xl67">
    <w:name w:val="xl67"/>
    <w:basedOn w:val="af3"/>
    <w:rsid w:val="009964C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5430">
    <w:name w:val="表内5中43"/>
    <w:basedOn w:val="54"/>
    <w:rsid w:val="009964C3"/>
    <w:pPr>
      <w:spacing w:line="240" w:lineRule="auto"/>
    </w:pPr>
    <w:rPr>
      <w:rFonts w:hAnsi="Times New Roman" w:cs="Times New Roman"/>
      <w:bCs/>
    </w:rPr>
  </w:style>
  <w:style w:type="paragraph" w:customStyle="1" w:styleId="3f9">
    <w:name w:val="表中文字中修改3"/>
    <w:basedOn w:val="affffffffffffa"/>
    <w:rsid w:val="009964C3"/>
    <w:pPr>
      <w:adjustRightInd w:val="0"/>
    </w:pPr>
    <w:rPr>
      <w:color w:val="000000"/>
    </w:rPr>
  </w:style>
  <w:style w:type="paragraph" w:customStyle="1" w:styleId="affffffffffffff">
    <w:name w:val="表前文字"/>
    <w:basedOn w:val="af3"/>
    <w:rsid w:val="009964C3"/>
    <w:pPr>
      <w:jc w:val="center"/>
    </w:pPr>
    <w:rPr>
      <w:rFonts w:ascii="宋体" w:hAnsi="宋体"/>
      <w:bCs/>
      <w:color w:val="000000"/>
      <w:sz w:val="28"/>
    </w:rPr>
  </w:style>
  <w:style w:type="paragraph" w:customStyle="1" w:styleId="5fb">
    <w:name w:val="表5号字"/>
    <w:rsid w:val="009964C3"/>
    <w:pPr>
      <w:keepNext/>
      <w:widowControl w:val="0"/>
      <w:adjustRightInd w:val="0"/>
      <w:spacing w:before="120" w:line="60" w:lineRule="atLeast"/>
      <w:jc w:val="center"/>
    </w:pPr>
    <w:rPr>
      <w:sz w:val="21"/>
    </w:rPr>
  </w:style>
  <w:style w:type="paragraph" w:customStyle="1" w:styleId="16">
    <w:name w:val="引用1"/>
    <w:basedOn w:val="af3"/>
    <w:next w:val="af3"/>
    <w:link w:val="Charf4"/>
    <w:qFormat/>
    <w:rsid w:val="009964C3"/>
    <w:rPr>
      <w:i/>
      <w:iCs/>
      <w:color w:val="000000"/>
      <w:sz w:val="20"/>
      <w:szCs w:val="20"/>
    </w:rPr>
  </w:style>
  <w:style w:type="paragraph" w:customStyle="1" w:styleId="-5">
    <w:name w:val="表加粗-5"/>
    <w:basedOn w:val="afffffffff2"/>
    <w:link w:val="-5Char"/>
    <w:semiHidden/>
    <w:rsid w:val="009964C3"/>
    <w:pPr>
      <w:tabs>
        <w:tab w:val="left" w:leader="dot" w:pos="48"/>
      </w:tabs>
      <w:autoSpaceDE w:val="0"/>
      <w:autoSpaceDN w:val="0"/>
      <w:adjustRightInd w:val="0"/>
      <w:spacing w:line="360" w:lineRule="exact"/>
      <w:jc w:val="center"/>
      <w:textAlignment w:val="baseline"/>
      <w:outlineLvl w:val="5"/>
    </w:pPr>
    <w:rPr>
      <w:rFonts w:ascii="Arial" w:hAnsi="Arial" w:cs="Times New Roman"/>
      <w:b/>
      <w:kern w:val="0"/>
      <w:szCs w:val="18"/>
    </w:rPr>
  </w:style>
  <w:style w:type="paragraph" w:customStyle="1" w:styleId="3fa">
    <w:name w:val="中文报告书样式3"/>
    <w:basedOn w:val="af3"/>
    <w:rsid w:val="009964C3"/>
    <w:pPr>
      <w:adjustRightInd w:val="0"/>
      <w:spacing w:line="480" w:lineRule="atLeast"/>
      <w:ind w:firstLine="482"/>
      <w:textAlignment w:val="baseline"/>
    </w:pPr>
    <w:rPr>
      <w:rFonts w:ascii="宋体" w:hAnsi="宋体"/>
      <w:kern w:val="24"/>
      <w:sz w:val="24"/>
      <w:szCs w:val="20"/>
    </w:rPr>
  </w:style>
  <w:style w:type="paragraph" w:customStyle="1" w:styleId="Char51">
    <w:name w:val="Char51"/>
    <w:basedOn w:val="af3"/>
    <w:rsid w:val="009964C3"/>
    <w:pPr>
      <w:ind w:left="-48"/>
    </w:pPr>
  </w:style>
  <w:style w:type="paragraph" w:customStyle="1" w:styleId="5250">
    <w:name w:val="表内5中25"/>
    <w:basedOn w:val="af3"/>
    <w:rsid w:val="009964C3"/>
    <w:pPr>
      <w:adjustRightInd w:val="0"/>
      <w:snapToGrid w:val="0"/>
      <w:jc w:val="center"/>
    </w:pPr>
    <w:rPr>
      <w:rFonts w:ascii="宋体"/>
      <w:color w:val="000000"/>
      <w:szCs w:val="21"/>
    </w:rPr>
  </w:style>
  <w:style w:type="paragraph" w:customStyle="1" w:styleId="534">
    <w:name w:val="页眉中53"/>
    <w:basedOn w:val="af3"/>
    <w:qFormat/>
    <w:rsid w:val="009964C3"/>
    <w:pPr>
      <w:adjustRightInd w:val="0"/>
      <w:snapToGrid w:val="0"/>
      <w:spacing w:line="300" w:lineRule="auto"/>
      <w:jc w:val="center"/>
    </w:pPr>
    <w:rPr>
      <w:rFonts w:ascii="黑体" w:eastAsia="黑体"/>
      <w:bCs/>
      <w:sz w:val="24"/>
      <w:szCs w:val="20"/>
    </w:rPr>
  </w:style>
  <w:style w:type="paragraph" w:customStyle="1" w:styleId="CharCharCharCharCharChar1">
    <w:name w:val="文本框 Char Char Char Char Char Char"/>
    <w:basedOn w:val="af3"/>
    <w:rsid w:val="009964C3"/>
    <w:pPr>
      <w:adjustRightInd w:val="0"/>
      <w:snapToGrid w:val="0"/>
      <w:spacing w:line="300" w:lineRule="exact"/>
      <w:jc w:val="center"/>
    </w:pPr>
    <w:rPr>
      <w:sz w:val="24"/>
    </w:rPr>
  </w:style>
  <w:style w:type="paragraph" w:customStyle="1" w:styleId="136">
    <w:name w:val="页眉中136"/>
    <w:basedOn w:val="af3"/>
    <w:rsid w:val="009964C3"/>
    <w:pPr>
      <w:adjustRightInd w:val="0"/>
      <w:snapToGrid w:val="0"/>
      <w:spacing w:line="300" w:lineRule="auto"/>
      <w:jc w:val="left"/>
    </w:pPr>
    <w:rPr>
      <w:rFonts w:ascii="黑体" w:eastAsia="黑体"/>
      <w:bCs/>
      <w:sz w:val="24"/>
      <w:szCs w:val="20"/>
    </w:rPr>
  </w:style>
  <w:style w:type="paragraph" w:customStyle="1" w:styleId="1ff6">
    <w:name w:val="新标题1"/>
    <w:rsid w:val="009964C3"/>
    <w:pPr>
      <w:tabs>
        <w:tab w:val="left" w:pos="840"/>
        <w:tab w:val="left" w:pos="900"/>
      </w:tabs>
      <w:spacing w:line="500" w:lineRule="atLeast"/>
      <w:ind w:left="900" w:right="284" w:hanging="420"/>
    </w:pPr>
    <w:rPr>
      <w:rFonts w:ascii="Arial" w:hAnsi="Arial"/>
      <w:b/>
      <w:bCs/>
      <w:sz w:val="24"/>
      <w:u w:val="single"/>
    </w:rPr>
  </w:style>
  <w:style w:type="paragraph" w:customStyle="1" w:styleId="87">
    <w:name w:val="等核实8"/>
    <w:basedOn w:val="afffffff4"/>
    <w:rsid w:val="009964C3"/>
    <w:pPr>
      <w:ind w:firstLineChars="200" w:firstLine="480"/>
    </w:pPr>
    <w:rPr>
      <w:rFonts w:cs="Times New Roman"/>
      <w:color w:val="0000FF"/>
      <w:szCs w:val="20"/>
    </w:rPr>
  </w:style>
  <w:style w:type="paragraph" w:customStyle="1" w:styleId="3fb">
    <w:name w:val="正文格式3"/>
    <w:basedOn w:val="af3"/>
    <w:rsid w:val="009964C3"/>
    <w:pPr>
      <w:adjustRightInd w:val="0"/>
      <w:snapToGrid w:val="0"/>
      <w:spacing w:line="360" w:lineRule="auto"/>
      <w:ind w:firstLineChars="200" w:firstLine="480"/>
    </w:pPr>
    <w:rPr>
      <w:rFonts w:ascii="宋体" w:cs="宋体"/>
      <w:sz w:val="24"/>
    </w:rPr>
  </w:style>
  <w:style w:type="paragraph" w:customStyle="1" w:styleId="xl131">
    <w:name w:val="xl131"/>
    <w:basedOn w:val="af3"/>
    <w:semiHidden/>
    <w:rsid w:val="009964C3"/>
    <w:pPr>
      <w:widowControl/>
      <w:pBdr>
        <w:top w:val="single" w:sz="12" w:space="0" w:color="auto"/>
        <w:left w:val="single" w:sz="4" w:space="0" w:color="auto"/>
        <w:bottom w:val="single" w:sz="4" w:space="0" w:color="auto"/>
      </w:pBdr>
      <w:spacing w:before="100" w:beforeAutospacing="1" w:after="100" w:afterAutospacing="1"/>
      <w:jc w:val="center"/>
    </w:pPr>
    <w:rPr>
      <w:rFonts w:ascii="宋体" w:hAnsi="宋体" w:cs="宋体"/>
      <w:kern w:val="0"/>
      <w:sz w:val="28"/>
      <w:szCs w:val="28"/>
    </w:rPr>
  </w:style>
  <w:style w:type="paragraph" w:customStyle="1" w:styleId="ST2021">
    <w:name w:val="ST20_21"/>
    <w:basedOn w:val="ST2019"/>
    <w:rsid w:val="009964C3"/>
    <w:pPr>
      <w:tabs>
        <w:tab w:val="clear" w:pos="720"/>
      </w:tabs>
      <w:spacing w:after="160"/>
    </w:pPr>
  </w:style>
  <w:style w:type="paragraph" w:customStyle="1" w:styleId="2ffb">
    <w:name w:val="样式 正文首行缩进 + 四号 首行缩进:  2 字符"/>
    <w:basedOn w:val="aff7"/>
    <w:rsid w:val="009964C3"/>
    <w:pPr>
      <w:tabs>
        <w:tab w:val="left" w:pos="628"/>
        <w:tab w:val="left" w:pos="1727"/>
        <w:tab w:val="left" w:pos="1884"/>
        <w:tab w:val="left" w:pos="4900"/>
      </w:tabs>
      <w:overflowPunct/>
      <w:snapToGrid w:val="0"/>
      <w:ind w:firstLine="0"/>
      <w:jc w:val="left"/>
      <w:textAlignment w:val="auto"/>
    </w:pPr>
    <w:rPr>
      <w:rFonts w:ascii="宋体" w:cs="宋体"/>
      <w:color w:val="000000"/>
      <w:lang w:val="zh-CN"/>
    </w:rPr>
  </w:style>
  <w:style w:type="paragraph" w:customStyle="1" w:styleId="160">
    <w:name w:val="正文16"/>
    <w:basedOn w:val="af3"/>
    <w:rsid w:val="009964C3"/>
    <w:pPr>
      <w:adjustRightInd w:val="0"/>
      <w:spacing w:after="120" w:line="360" w:lineRule="atLeast"/>
      <w:jc w:val="center"/>
      <w:textAlignment w:val="baseline"/>
    </w:pPr>
    <w:rPr>
      <w:rFonts w:ascii="宋体" w:hAnsi="宋体" w:cs="宋体"/>
      <w:kern w:val="0"/>
      <w:sz w:val="24"/>
      <w:szCs w:val="20"/>
    </w:rPr>
  </w:style>
  <w:style w:type="paragraph" w:customStyle="1" w:styleId="ST2019">
    <w:name w:val="ST20_19"/>
    <w:basedOn w:val="ST202"/>
    <w:rsid w:val="009964C3"/>
    <w:pPr>
      <w:tabs>
        <w:tab w:val="left" w:pos="720"/>
      </w:tabs>
      <w:spacing w:after="80"/>
      <w:ind w:left="720" w:hanging="360"/>
    </w:pPr>
    <w:rPr>
      <w:szCs w:val="28"/>
    </w:rPr>
  </w:style>
  <w:style w:type="paragraph" w:customStyle="1" w:styleId="6123">
    <w:name w:val="612图片"/>
    <w:basedOn w:val="af3"/>
    <w:semiHidden/>
    <w:rsid w:val="009964C3"/>
    <w:pPr>
      <w:spacing w:line="240" w:lineRule="atLeast"/>
    </w:pPr>
    <w:rPr>
      <w:rFonts w:ascii="仿宋_GB2312" w:eastAsia="仿宋_GB2312" w:hAnsi="Arial Unicode MS"/>
      <w:sz w:val="24"/>
    </w:rPr>
  </w:style>
  <w:style w:type="paragraph" w:customStyle="1" w:styleId="121">
    <w:name w:val="标题 12"/>
    <w:basedOn w:val="af3"/>
    <w:next w:val="22"/>
    <w:rsid w:val="009964C3"/>
    <w:pPr>
      <w:adjustRightInd w:val="0"/>
      <w:spacing w:before="120" w:line="440" w:lineRule="exact"/>
    </w:pPr>
    <w:rPr>
      <w:rFonts w:ascii="Arial" w:eastAsia="黑体" w:hAnsi="Arial"/>
      <w:b/>
      <w:color w:val="000000"/>
      <w:kern w:val="44"/>
      <w:sz w:val="30"/>
      <w:szCs w:val="20"/>
    </w:rPr>
  </w:style>
  <w:style w:type="paragraph" w:customStyle="1" w:styleId="16911">
    <w:name w:val="16.9.1.1"/>
    <w:basedOn w:val="43"/>
    <w:link w:val="16911CharChar"/>
    <w:qFormat/>
    <w:rsid w:val="009964C3"/>
    <w:pPr>
      <w:keepNext w:val="0"/>
      <w:keepLines w:val="0"/>
      <w:numPr>
        <w:ilvl w:val="3"/>
        <w:numId w:val="21"/>
      </w:numPr>
      <w:tabs>
        <w:tab w:val="left" w:pos="360"/>
        <w:tab w:val="left" w:pos="1800"/>
      </w:tabs>
      <w:spacing w:before="120" w:after="120" w:line="312" w:lineRule="auto"/>
      <w:ind w:left="0" w:firstLine="0"/>
    </w:pPr>
    <w:rPr>
      <w:sz w:val="24"/>
      <w:szCs w:val="24"/>
    </w:rPr>
  </w:style>
  <w:style w:type="paragraph" w:customStyle="1" w:styleId="ParaCharCharCharCharCharCharCharCharCharCharCharCharChar">
    <w:name w:val="默认段落字体 Para Char Char Char Char Char Char Char Char Char Char Char Char Char"/>
    <w:basedOn w:val="af3"/>
    <w:rsid w:val="009964C3"/>
  </w:style>
  <w:style w:type="paragraph" w:customStyle="1" w:styleId="1ff7">
    <w:name w:val="环标1"/>
    <w:basedOn w:val="13"/>
    <w:qFormat/>
    <w:rsid w:val="009964C3"/>
    <w:pPr>
      <w:keepNext w:val="0"/>
      <w:keepLines w:val="0"/>
      <w:pageBreakBefore/>
      <w:tabs>
        <w:tab w:val="left" w:pos="432"/>
      </w:tabs>
      <w:adjustRightInd w:val="0"/>
      <w:spacing w:before="0" w:after="120" w:line="312" w:lineRule="atLeast"/>
      <w:ind w:left="432" w:hanging="432"/>
      <w:jc w:val="left"/>
      <w:textAlignment w:val="baseline"/>
    </w:pPr>
    <w:rPr>
      <w:rFonts w:ascii="黑体" w:hAnsi="Courier New"/>
      <w:kern w:val="2"/>
      <w:sz w:val="32"/>
      <w:szCs w:val="20"/>
    </w:rPr>
  </w:style>
  <w:style w:type="paragraph" w:customStyle="1" w:styleId="zxz5">
    <w:name w:val="zxz5"/>
    <w:next w:val="af3"/>
    <w:semiHidden/>
    <w:rsid w:val="009964C3"/>
    <w:pPr>
      <w:tabs>
        <w:tab w:val="left" w:pos="0"/>
      </w:tabs>
      <w:jc w:val="center"/>
    </w:pPr>
  </w:style>
  <w:style w:type="paragraph" w:customStyle="1" w:styleId="CM69">
    <w:name w:val="CM69"/>
    <w:basedOn w:val="Default"/>
    <w:next w:val="Default"/>
    <w:semiHidden/>
    <w:rsid w:val="009964C3"/>
    <w:rPr>
      <w:rFonts w:ascii="黑体" w:eastAsia="黑体" w:hAnsi="Calibri" w:cs="Times New Roman"/>
      <w:color w:val="auto"/>
    </w:rPr>
  </w:style>
  <w:style w:type="paragraph" w:customStyle="1" w:styleId="pa-16">
    <w:name w:val="pa-16"/>
    <w:basedOn w:val="af3"/>
    <w:rsid w:val="009964C3"/>
    <w:pPr>
      <w:widowControl/>
      <w:spacing w:line="360" w:lineRule="atLeast"/>
      <w:jc w:val="center"/>
    </w:pPr>
    <w:rPr>
      <w:rFonts w:ascii="宋体" w:hAnsi="宋体" w:cs="宋体"/>
      <w:kern w:val="0"/>
      <w:sz w:val="24"/>
    </w:rPr>
  </w:style>
  <w:style w:type="paragraph" w:customStyle="1" w:styleId="162">
    <w:name w:val="图题16"/>
    <w:basedOn w:val="af3"/>
    <w:rsid w:val="009964C3"/>
    <w:pPr>
      <w:jc w:val="center"/>
    </w:pPr>
    <w:rPr>
      <w:rFonts w:ascii="黑体" w:eastAsia="黑体"/>
      <w:sz w:val="24"/>
    </w:rPr>
  </w:style>
  <w:style w:type="paragraph" w:customStyle="1" w:styleId="1330">
    <w:name w:val="表题133"/>
    <w:basedOn w:val="afffffff4"/>
    <w:rsid w:val="009964C3"/>
    <w:pPr>
      <w:spacing w:line="240" w:lineRule="auto"/>
      <w:ind w:firstLineChars="200" w:firstLine="480"/>
      <w:jc w:val="center"/>
    </w:pPr>
    <w:rPr>
      <w:rFonts w:ascii="黑体" w:eastAsia="黑体" w:cs="Times New Roman"/>
      <w:color w:val="auto"/>
      <w:szCs w:val="20"/>
    </w:rPr>
  </w:style>
  <w:style w:type="paragraph" w:customStyle="1" w:styleId="2120">
    <w:name w:val="样式 表体 + 五号 两端对齐 首行缩进:  2 字符 行距: 最小值 12 磅"/>
    <w:basedOn w:val="af3"/>
    <w:semiHidden/>
    <w:rsid w:val="009964C3"/>
    <w:rPr>
      <w:rFonts w:ascii="宋体" w:hAnsi="宋体"/>
      <w:color w:val="000000"/>
      <w:szCs w:val="21"/>
    </w:rPr>
  </w:style>
  <w:style w:type="paragraph" w:customStyle="1" w:styleId="gliederutext">
    <w:name w:val="gliederutext"/>
    <w:basedOn w:val="af3"/>
    <w:rsid w:val="009964C3"/>
    <w:pPr>
      <w:widowControl/>
      <w:spacing w:after="170"/>
      <w:ind w:left="850"/>
    </w:pPr>
    <w:rPr>
      <w:rFonts w:ascii="Helv" w:hAnsi="Helv"/>
      <w:color w:val="000000"/>
      <w:kern w:val="0"/>
      <w:sz w:val="22"/>
      <w:szCs w:val="22"/>
    </w:rPr>
  </w:style>
  <w:style w:type="paragraph" w:customStyle="1" w:styleId="41111411114Char1111Char41111">
    <w:name w:val="样式 标题 41.1.1.1标题 4.1.1.1.1标题 4 Char款1.1.1.1 Char标4段1.1.1...1"/>
    <w:basedOn w:val="43"/>
    <w:link w:val="41111411114Char1111Char41111Char"/>
    <w:rsid w:val="009964C3"/>
    <w:pPr>
      <w:keepNext w:val="0"/>
      <w:keepLines w:val="0"/>
      <w:spacing w:before="100" w:after="100" w:line="302" w:lineRule="auto"/>
      <w:ind w:left="709" w:hanging="709"/>
    </w:pPr>
    <w:rPr>
      <w:rFonts w:ascii="Times New Roman" w:hAnsi="Times New Roman"/>
      <w:color w:val="000000"/>
      <w:sz w:val="24"/>
      <w:szCs w:val="24"/>
    </w:rPr>
  </w:style>
  <w:style w:type="paragraph" w:customStyle="1" w:styleId="xl33">
    <w:name w:val="xl33"/>
    <w:basedOn w:val="af3"/>
    <w:rsid w:val="009964C3"/>
    <w:pPr>
      <w:widowControl/>
      <w:pBdr>
        <w:top w:val="single" w:sz="8" w:space="0" w:color="auto"/>
        <w:bottom w:val="single" w:sz="12" w:space="0" w:color="auto"/>
        <w:right w:val="single" w:sz="8" w:space="0" w:color="auto"/>
      </w:pBdr>
      <w:spacing w:before="100" w:beforeAutospacing="1" w:after="100" w:afterAutospacing="1"/>
      <w:jc w:val="center"/>
    </w:pPr>
    <w:rPr>
      <w:rFonts w:ascii="仿宋_GB2312" w:eastAsia="仿宋_GB2312" w:hAnsi="宋体" w:cs="宋体"/>
      <w:kern w:val="0"/>
      <w:szCs w:val="21"/>
    </w:rPr>
  </w:style>
  <w:style w:type="paragraph" w:customStyle="1" w:styleId="afffff1">
    <w:name w:val="正文（吕静）"/>
    <w:basedOn w:val="af3"/>
    <w:link w:val="Charfff"/>
    <w:semiHidden/>
    <w:rsid w:val="009964C3"/>
    <w:pPr>
      <w:snapToGrid w:val="0"/>
      <w:spacing w:line="600" w:lineRule="exact"/>
      <w:ind w:firstLineChars="200" w:firstLine="200"/>
      <w:jc w:val="left"/>
    </w:pPr>
    <w:rPr>
      <w:rFonts w:ascii="Arial" w:hAnsi="Arial"/>
      <w:sz w:val="28"/>
      <w:szCs w:val="28"/>
    </w:rPr>
  </w:style>
  <w:style w:type="paragraph" w:customStyle="1" w:styleId="T2">
    <w:name w:val="样式 T正文 + 首行缩进:  2 字符"/>
    <w:basedOn w:val="af3"/>
    <w:rsid w:val="009964C3"/>
    <w:pPr>
      <w:adjustRightInd w:val="0"/>
      <w:spacing w:line="312" w:lineRule="auto"/>
      <w:ind w:firstLineChars="200" w:firstLine="480"/>
      <w:textAlignment w:val="baseline"/>
    </w:pPr>
    <w:rPr>
      <w:rFonts w:ascii="宋体" w:hAnsi="宋体" w:cs="宋体"/>
      <w:kern w:val="0"/>
      <w:sz w:val="24"/>
      <w:szCs w:val="20"/>
    </w:rPr>
  </w:style>
  <w:style w:type="paragraph" w:customStyle="1" w:styleId="1ff8">
    <w:name w:val="表头样式1"/>
    <w:basedOn w:val="af3"/>
    <w:rsid w:val="009964C3"/>
    <w:pPr>
      <w:spacing w:after="80" w:line="480" w:lineRule="atLeast"/>
      <w:jc w:val="center"/>
    </w:pPr>
    <w:rPr>
      <w:rFonts w:eastAsia="黑体"/>
      <w:b/>
      <w:sz w:val="24"/>
    </w:rPr>
  </w:style>
  <w:style w:type="paragraph" w:customStyle="1" w:styleId="124">
    <w:name w:val="表题124"/>
    <w:basedOn w:val="afffffff4"/>
    <w:rsid w:val="009964C3"/>
    <w:pPr>
      <w:tabs>
        <w:tab w:val="clear" w:pos="4305"/>
      </w:tabs>
      <w:spacing w:line="240" w:lineRule="auto"/>
      <w:ind w:firstLine="0"/>
      <w:jc w:val="center"/>
    </w:pPr>
    <w:rPr>
      <w:rFonts w:ascii="黑体" w:eastAsia="黑体" w:hAnsi="Times" w:cs="Times New Roman"/>
    </w:rPr>
  </w:style>
  <w:style w:type="paragraph" w:customStyle="1" w:styleId="3fc">
    <w:name w:val="环评正文3"/>
    <w:rsid w:val="009964C3"/>
    <w:pPr>
      <w:spacing w:line="360" w:lineRule="exact"/>
      <w:ind w:firstLineChars="200" w:firstLine="200"/>
    </w:pPr>
    <w:rPr>
      <w:color w:val="000000"/>
      <w:kern w:val="21"/>
      <w:sz w:val="24"/>
      <w:szCs w:val="24"/>
    </w:rPr>
  </w:style>
  <w:style w:type="paragraph" w:customStyle="1" w:styleId="402021">
    <w:name w:val="样式 标题 4 + 段前: 0.2 行 段后: 0.2 行1"/>
    <w:basedOn w:val="43"/>
    <w:rsid w:val="009964C3"/>
    <w:pPr>
      <w:keepNext w:val="0"/>
      <w:keepLines w:val="0"/>
      <w:overflowPunct w:val="0"/>
      <w:autoSpaceDE w:val="0"/>
      <w:autoSpaceDN w:val="0"/>
      <w:adjustRightInd w:val="0"/>
      <w:spacing w:before="0" w:after="0" w:line="360" w:lineRule="auto"/>
      <w:ind w:left="454"/>
      <w:textAlignment w:val="baseline"/>
    </w:pPr>
    <w:rPr>
      <w:rFonts w:ascii="Times New Roman" w:eastAsia="宋体" w:hAnsi="Times New Roman" w:cs="宋体"/>
      <w:kern w:val="20"/>
      <w:sz w:val="24"/>
      <w:szCs w:val="20"/>
    </w:rPr>
  </w:style>
  <w:style w:type="paragraph" w:customStyle="1" w:styleId="6121">
    <w:name w:val="612正文"/>
    <w:basedOn w:val="af3"/>
    <w:link w:val="612Char1"/>
    <w:semiHidden/>
    <w:rsid w:val="009964C3"/>
    <w:pPr>
      <w:spacing w:before="120" w:after="120" w:line="360" w:lineRule="auto"/>
      <w:ind w:firstLineChars="200" w:firstLine="420"/>
    </w:pPr>
    <w:rPr>
      <w:rFonts w:ascii="Arial Unicode MS" w:hAnsi="Arial Unicode MS"/>
      <w:sz w:val="24"/>
    </w:rPr>
  </w:style>
  <w:style w:type="paragraph" w:customStyle="1" w:styleId="560">
    <w:name w:val="表内宋56"/>
    <w:basedOn w:val="affffffffff5"/>
    <w:rsid w:val="009964C3"/>
    <w:pPr>
      <w:adjustRightInd w:val="0"/>
      <w:snapToGrid w:val="0"/>
      <w:spacing w:before="100" w:beforeAutospacing="1" w:after="100" w:afterAutospacing="1"/>
      <w:jc w:val="both"/>
    </w:pPr>
    <w:rPr>
      <w:rFonts w:cs="Times New Roman"/>
      <w:color w:val="000000"/>
      <w:sz w:val="21"/>
    </w:rPr>
  </w:style>
  <w:style w:type="paragraph" w:customStyle="1" w:styleId="affffffffffffff0">
    <w:name w:val="样式 报告正文 +"/>
    <w:basedOn w:val="af3"/>
    <w:rsid w:val="009964C3"/>
    <w:pPr>
      <w:keepNext/>
      <w:spacing w:line="360" w:lineRule="auto"/>
      <w:ind w:firstLineChars="200" w:firstLine="200"/>
    </w:pPr>
    <w:rPr>
      <w:rFonts w:ascii="宋体" w:cs="宋体"/>
      <w:sz w:val="24"/>
      <w:szCs w:val="20"/>
    </w:rPr>
  </w:style>
  <w:style w:type="paragraph" w:customStyle="1" w:styleId="163">
    <w:name w:val="表内文字大16"/>
    <w:basedOn w:val="af3"/>
    <w:qFormat/>
    <w:rsid w:val="009964C3"/>
    <w:pPr>
      <w:adjustRightInd w:val="0"/>
      <w:snapToGrid w:val="0"/>
      <w:jc w:val="center"/>
    </w:pPr>
    <w:rPr>
      <w:rFonts w:ascii="宋体" w:hAnsi="Times"/>
      <w:sz w:val="24"/>
      <w:szCs w:val="20"/>
    </w:rPr>
  </w:style>
  <w:style w:type="paragraph" w:customStyle="1" w:styleId="831">
    <w:name w:val="表题83"/>
    <w:basedOn w:val="afffffff4"/>
    <w:rsid w:val="009964C3"/>
    <w:pPr>
      <w:spacing w:line="240" w:lineRule="auto"/>
      <w:ind w:firstLine="0"/>
      <w:jc w:val="center"/>
    </w:pPr>
    <w:rPr>
      <w:rFonts w:ascii="黑体" w:eastAsia="黑体" w:cs="Times New Roman"/>
      <w:color w:val="auto"/>
      <w:szCs w:val="20"/>
    </w:rPr>
  </w:style>
  <w:style w:type="paragraph" w:customStyle="1" w:styleId="305015">
    <w:name w:val="样式 标题 3 + (中文) 宋体 段前: 0.5 行 段后: 0 磅 行距: 1.5 倍行距"/>
    <w:basedOn w:val="31"/>
    <w:semiHidden/>
    <w:rsid w:val="009964C3"/>
    <w:pPr>
      <w:keepNext w:val="0"/>
      <w:keepLines w:val="0"/>
      <w:tabs>
        <w:tab w:val="left" w:pos="708"/>
      </w:tabs>
      <w:adjustRightInd w:val="0"/>
      <w:snapToGrid w:val="0"/>
      <w:spacing w:beforeLines="50" w:after="0" w:line="360" w:lineRule="auto"/>
      <w:ind w:left="708" w:hanging="709"/>
    </w:pPr>
    <w:rPr>
      <w:rFonts w:cs="宋体"/>
      <w:sz w:val="24"/>
      <w:szCs w:val="20"/>
    </w:rPr>
  </w:style>
  <w:style w:type="paragraph" w:customStyle="1" w:styleId="ParaCharCharCharCharCharCharCharCharCharCharCharCharChar1Char">
    <w:name w:val="默认段落字体 Para Char Char Char Char Char Char Char Char Char Char Char Char Char1 Char"/>
    <w:basedOn w:val="affff7"/>
    <w:semiHidden/>
    <w:locked/>
    <w:rsid w:val="009964C3"/>
    <w:pPr>
      <w:adjustRightInd w:val="0"/>
      <w:snapToGrid w:val="0"/>
      <w:spacing w:after="120" w:line="360" w:lineRule="auto"/>
      <w:ind w:firstLineChars="200" w:firstLine="200"/>
    </w:pPr>
    <w:rPr>
      <w:rFonts w:ascii="Tahoma" w:eastAsia="仿宋_GB2312" w:hAnsi="Tahoma"/>
      <w:sz w:val="28"/>
      <w:szCs w:val="20"/>
    </w:rPr>
  </w:style>
  <w:style w:type="paragraph" w:customStyle="1" w:styleId="940">
    <w:name w:val="表题94"/>
    <w:basedOn w:val="afffffffff2"/>
    <w:rsid w:val="009964C3"/>
    <w:pPr>
      <w:adjustRightInd w:val="0"/>
      <w:snapToGrid w:val="0"/>
      <w:spacing w:line="300" w:lineRule="auto"/>
      <w:jc w:val="center"/>
    </w:pPr>
    <w:rPr>
      <w:rFonts w:ascii="黑体" w:eastAsia="黑体" w:cs="Times New Roman"/>
      <w:sz w:val="24"/>
      <w:szCs w:val="20"/>
    </w:rPr>
  </w:style>
  <w:style w:type="paragraph" w:customStyle="1" w:styleId="affffffffffffff1">
    <w:name w:val="自定义缩进"/>
    <w:basedOn w:val="af3"/>
    <w:rsid w:val="009964C3"/>
    <w:pPr>
      <w:keepNext/>
      <w:spacing w:line="336" w:lineRule="auto"/>
      <w:ind w:firstLineChars="200" w:firstLine="480"/>
      <w:jc w:val="left"/>
    </w:pPr>
    <w:rPr>
      <w:rFonts w:ascii="宋体" w:hAnsi="宋体"/>
      <w:kern w:val="0"/>
      <w:sz w:val="24"/>
    </w:rPr>
  </w:style>
  <w:style w:type="paragraph" w:customStyle="1" w:styleId="HeaderBlock1">
    <w:name w:val="Header Block 1"/>
    <w:basedOn w:val="af3"/>
    <w:rsid w:val="009964C3"/>
    <w:pPr>
      <w:wordWrap w:val="0"/>
      <w:jc w:val="center"/>
    </w:pPr>
    <w:rPr>
      <w:rFonts w:ascii="Arial" w:hAnsi="Arial"/>
      <w:b/>
      <w:spacing w:val="60"/>
      <w:sz w:val="24"/>
      <w:szCs w:val="20"/>
    </w:rPr>
  </w:style>
  <w:style w:type="paragraph" w:customStyle="1" w:styleId="1CharChar10">
    <w:name w:val="字元 字元1 Char Char 字元 字元1"/>
    <w:basedOn w:val="af3"/>
    <w:rsid w:val="009964C3"/>
  </w:style>
  <w:style w:type="paragraph" w:customStyle="1" w:styleId="HB-3">
    <w:name w:val="HB-3级标题"/>
    <w:basedOn w:val="af3"/>
    <w:rsid w:val="009964C3"/>
    <w:pPr>
      <w:tabs>
        <w:tab w:val="left" w:pos="360"/>
        <w:tab w:val="left" w:pos="720"/>
      </w:tabs>
      <w:spacing w:line="400" w:lineRule="exact"/>
    </w:pPr>
    <w:rPr>
      <w:rFonts w:ascii="黑体" w:eastAsia="黑体" w:cs="黑体"/>
      <w:sz w:val="24"/>
    </w:rPr>
  </w:style>
  <w:style w:type="paragraph" w:customStyle="1" w:styleId="afffffff2">
    <w:name w:val="正文样式"/>
    <w:basedOn w:val="af3"/>
    <w:link w:val="Char1fe"/>
    <w:rsid w:val="009964C3"/>
    <w:pPr>
      <w:spacing w:line="360" w:lineRule="auto"/>
      <w:ind w:firstLineChars="200" w:firstLine="480"/>
    </w:pPr>
    <w:rPr>
      <w:rFonts w:ascii="宋体" w:hAnsi="宋体"/>
      <w:color w:val="000000"/>
      <w:sz w:val="24"/>
    </w:rPr>
  </w:style>
  <w:style w:type="paragraph" w:customStyle="1" w:styleId="affffffffffffff2">
    <w:name w:val="左对齐表格"/>
    <w:basedOn w:val="af3"/>
    <w:semiHidden/>
    <w:rsid w:val="009964C3"/>
    <w:pPr>
      <w:autoSpaceDE w:val="0"/>
      <w:autoSpaceDN w:val="0"/>
      <w:snapToGrid w:val="0"/>
      <w:spacing w:line="0" w:lineRule="atLeast"/>
      <w:jc w:val="center"/>
      <w:textAlignment w:val="center"/>
    </w:pPr>
    <w:rPr>
      <w:rFonts w:ascii="宋体" w:hAnsi="宋体"/>
      <w:w w:val="80"/>
    </w:rPr>
  </w:style>
  <w:style w:type="paragraph" w:customStyle="1" w:styleId="xl50">
    <w:name w:val="xl50"/>
    <w:basedOn w:val="af3"/>
    <w:rsid w:val="009964C3"/>
    <w:pPr>
      <w:widowControl/>
      <w:pBdr>
        <w:top w:val="dashed" w:sz="4" w:space="0" w:color="auto"/>
        <w:left w:val="dashed" w:sz="4" w:space="0" w:color="auto"/>
        <w:bottom w:val="dashed" w:sz="4" w:space="0" w:color="auto"/>
        <w:right w:val="dashed" w:sz="4" w:space="0" w:color="auto"/>
      </w:pBdr>
      <w:spacing w:before="100" w:beforeAutospacing="1" w:after="100" w:afterAutospacing="1"/>
      <w:jc w:val="right"/>
    </w:pPr>
    <w:rPr>
      <w:rFonts w:ascii="Arial" w:eastAsia="Arial Unicode MS" w:hAnsi="Arial" w:cs="Arial"/>
      <w:kern w:val="0"/>
      <w:sz w:val="20"/>
      <w:szCs w:val="20"/>
    </w:rPr>
  </w:style>
  <w:style w:type="paragraph" w:customStyle="1" w:styleId="affffffffffffff3">
    <w:name w:val="链接"/>
    <w:semiHidden/>
    <w:rsid w:val="009964C3"/>
    <w:pPr>
      <w:widowControl w:val="0"/>
      <w:autoSpaceDE w:val="0"/>
      <w:autoSpaceDN w:val="0"/>
      <w:adjustRightInd w:val="0"/>
      <w:ind w:left="720"/>
    </w:pPr>
    <w:rPr>
      <w:color w:val="0000FF"/>
      <w:sz w:val="21"/>
      <w:szCs w:val="21"/>
      <w:u w:val="single"/>
      <w:lang w:val="zh-CN"/>
    </w:rPr>
  </w:style>
  <w:style w:type="paragraph" w:customStyle="1" w:styleId="121521">
    <w:name w:val="样式 样式 样式 样式 样式 首行缩进:  1 字符 + 首行缩进:  2 字符 行距: 1.5 倍行距 + 首行缩进:  2 ...1"/>
    <w:basedOn w:val="af3"/>
    <w:semiHidden/>
    <w:rsid w:val="009964C3"/>
    <w:pPr>
      <w:adjustRightInd w:val="0"/>
      <w:snapToGrid w:val="0"/>
      <w:spacing w:line="360" w:lineRule="auto"/>
      <w:ind w:firstLineChars="200" w:firstLine="200"/>
      <w:jc w:val="left"/>
    </w:pPr>
    <w:rPr>
      <w:rFonts w:ascii="宋体" w:cs="宋体"/>
      <w:kern w:val="0"/>
      <w:sz w:val="24"/>
      <w:szCs w:val="20"/>
    </w:rPr>
  </w:style>
  <w:style w:type="paragraph" w:customStyle="1" w:styleId="CM140">
    <w:name w:val="CM140"/>
    <w:basedOn w:val="Default"/>
    <w:next w:val="Default"/>
    <w:rsid w:val="009964C3"/>
    <w:pPr>
      <w:spacing w:after="312"/>
    </w:pPr>
    <w:rPr>
      <w:color w:val="auto"/>
    </w:rPr>
  </w:style>
  <w:style w:type="paragraph" w:customStyle="1" w:styleId="244">
    <w:name w:val="页眉中24"/>
    <w:basedOn w:val="4a"/>
    <w:rsid w:val="009964C3"/>
    <w:pPr>
      <w:snapToGrid w:val="0"/>
      <w:spacing w:line="360" w:lineRule="auto"/>
      <w:textAlignment w:val="auto"/>
    </w:pPr>
    <w:rPr>
      <w:rFonts w:ascii="黑体" w:eastAsia="黑体"/>
      <w:szCs w:val="24"/>
    </w:rPr>
  </w:style>
  <w:style w:type="paragraph" w:customStyle="1" w:styleId="CM40">
    <w:name w:val="CM40"/>
    <w:basedOn w:val="Default"/>
    <w:next w:val="Default"/>
    <w:semiHidden/>
    <w:rsid w:val="009964C3"/>
    <w:rPr>
      <w:rFonts w:ascii="黑体" w:eastAsia="黑体" w:hAnsi="Calibri" w:cs="Times New Roman"/>
      <w:color w:val="auto"/>
    </w:rPr>
  </w:style>
  <w:style w:type="paragraph" w:customStyle="1" w:styleId="2-23196">
    <w:name w:val="样式 标题 2 + (中文) 宋体 加粗 左  -2.3 字符 首行缩进:  1.96 字符"/>
    <w:basedOn w:val="22"/>
    <w:rsid w:val="009964C3"/>
    <w:pPr>
      <w:spacing w:before="0" w:after="0" w:line="360" w:lineRule="auto"/>
      <w:ind w:left="1318" w:firstLine="482"/>
      <w:jc w:val="left"/>
    </w:pPr>
    <w:rPr>
      <w:rFonts w:eastAsia="宋体" w:cs="宋体"/>
      <w:b w:val="0"/>
      <w:sz w:val="24"/>
      <w:szCs w:val="20"/>
    </w:rPr>
  </w:style>
  <w:style w:type="paragraph" w:customStyle="1" w:styleId="afff3">
    <w:name w:val="内容"/>
    <w:basedOn w:val="2f"/>
    <w:link w:val="Charf5"/>
    <w:semiHidden/>
    <w:rsid w:val="009964C3"/>
    <w:pPr>
      <w:tabs>
        <w:tab w:val="clear" w:pos="4532"/>
      </w:tabs>
      <w:adjustRightInd/>
      <w:snapToGrid/>
      <w:spacing w:line="360" w:lineRule="auto"/>
      <w:ind w:firstLine="200"/>
      <w:jc w:val="both"/>
    </w:pPr>
    <w:rPr>
      <w:spacing w:val="0"/>
      <w:szCs w:val="20"/>
    </w:rPr>
  </w:style>
  <w:style w:type="paragraph" w:customStyle="1" w:styleId="30501505">
    <w:name w:val="样式 样式 标题 3 + (中文) 宋体 段前: 0.5 行 段后: 0 磅 行距: 1.5 倍行距 + 段前: 0.5 行"/>
    <w:basedOn w:val="305015"/>
    <w:semiHidden/>
    <w:rsid w:val="009964C3"/>
    <w:pPr>
      <w:spacing w:before="120"/>
    </w:pPr>
    <w:rPr>
      <w:szCs w:val="24"/>
    </w:rPr>
  </w:style>
  <w:style w:type="paragraph" w:customStyle="1" w:styleId="afff0">
    <w:name w:val="表格文字"/>
    <w:basedOn w:val="af3"/>
    <w:link w:val="CharChar9"/>
    <w:qFormat/>
    <w:rsid w:val="009964C3"/>
    <w:pPr>
      <w:adjustRightInd w:val="0"/>
      <w:snapToGrid w:val="0"/>
      <w:spacing w:line="360" w:lineRule="exact"/>
      <w:jc w:val="center"/>
    </w:pPr>
    <w:rPr>
      <w:color w:val="000000"/>
      <w:szCs w:val="21"/>
    </w:rPr>
  </w:style>
  <w:style w:type="paragraph" w:customStyle="1" w:styleId="5120">
    <w:name w:val="表标题5.12"/>
    <w:basedOn w:val="af3"/>
    <w:rsid w:val="009964C3"/>
    <w:pPr>
      <w:tabs>
        <w:tab w:val="center" w:pos="4060"/>
        <w:tab w:val="right" w:pos="8261"/>
      </w:tabs>
      <w:suppressAutoHyphens/>
      <w:adjustRightInd w:val="0"/>
      <w:spacing w:beforeLines="100" w:line="0" w:lineRule="atLeast"/>
    </w:pPr>
    <w:rPr>
      <w:rFonts w:ascii="黑体" w:eastAsia="黑体"/>
      <w:b/>
      <w:spacing w:val="6"/>
      <w:kern w:val="0"/>
      <w:sz w:val="24"/>
      <w:szCs w:val="26"/>
    </w:rPr>
  </w:style>
  <w:style w:type="paragraph" w:customStyle="1" w:styleId="74">
    <w:name w:val="福建正文缩进7"/>
    <w:basedOn w:val="af4"/>
    <w:rsid w:val="009964C3"/>
    <w:pPr>
      <w:adjustRightInd w:val="0"/>
      <w:snapToGrid w:val="0"/>
      <w:spacing w:line="360" w:lineRule="auto"/>
      <w:ind w:firstLineChars="0" w:firstLine="539"/>
    </w:pPr>
    <w:rPr>
      <w:rFonts w:ascii="宋体"/>
      <w:sz w:val="24"/>
      <w:szCs w:val="24"/>
    </w:rPr>
  </w:style>
  <w:style w:type="paragraph" w:customStyle="1" w:styleId="4f4">
    <w:name w:val="图号4"/>
    <w:basedOn w:val="af3"/>
    <w:rsid w:val="009964C3"/>
    <w:pPr>
      <w:jc w:val="center"/>
    </w:pPr>
    <w:rPr>
      <w:rFonts w:ascii="黑体" w:eastAsia="黑体"/>
      <w:sz w:val="24"/>
    </w:rPr>
  </w:style>
  <w:style w:type="paragraph" w:customStyle="1" w:styleId="33333333333333333333">
    <w:name w:val="33333333333333333333"/>
    <w:basedOn w:val="af3"/>
    <w:link w:val="33333333333333333333Char"/>
    <w:rsid w:val="009964C3"/>
    <w:pPr>
      <w:adjustRightInd w:val="0"/>
      <w:jc w:val="center"/>
      <w:textAlignment w:val="baseline"/>
    </w:pPr>
    <w:rPr>
      <w:kern w:val="0"/>
      <w:szCs w:val="21"/>
      <w:shd w:val="clear" w:color="auto" w:fill="FFFFFF"/>
    </w:rPr>
  </w:style>
  <w:style w:type="paragraph" w:customStyle="1" w:styleId="261">
    <w:name w:val="表内文字小26"/>
    <w:basedOn w:val="af3"/>
    <w:qFormat/>
    <w:rsid w:val="009964C3"/>
    <w:pPr>
      <w:adjustRightInd w:val="0"/>
      <w:snapToGrid w:val="0"/>
      <w:jc w:val="center"/>
    </w:pPr>
    <w:rPr>
      <w:rFonts w:ascii="宋体" w:hAnsi="Times"/>
      <w:bCs/>
      <w:color w:val="003366"/>
      <w:szCs w:val="20"/>
    </w:rPr>
  </w:style>
  <w:style w:type="paragraph" w:customStyle="1" w:styleId="Char82">
    <w:name w:val="Char82"/>
    <w:basedOn w:val="af3"/>
    <w:rsid w:val="009964C3"/>
    <w:pPr>
      <w:ind w:left="-48"/>
    </w:pPr>
  </w:style>
  <w:style w:type="paragraph" w:customStyle="1" w:styleId="6615">
    <w:name w:val="样式 四号 加粗 段前: 6 磅 段后: 6 磅 行距: 最小值 15 磅"/>
    <w:basedOn w:val="af3"/>
    <w:semiHidden/>
    <w:rsid w:val="009964C3"/>
    <w:pPr>
      <w:numPr>
        <w:numId w:val="22"/>
      </w:numPr>
      <w:tabs>
        <w:tab w:val="left" w:pos="432"/>
      </w:tabs>
      <w:adjustRightInd w:val="0"/>
      <w:spacing w:before="120" w:after="120" w:line="300" w:lineRule="atLeast"/>
      <w:jc w:val="left"/>
      <w:textAlignment w:val="baseline"/>
    </w:pPr>
    <w:rPr>
      <w:rFonts w:cs="宋体"/>
      <w:b/>
      <w:bCs/>
      <w:kern w:val="0"/>
      <w:sz w:val="28"/>
      <w:szCs w:val="20"/>
    </w:rPr>
  </w:style>
  <w:style w:type="paragraph" w:customStyle="1" w:styleId="xl79">
    <w:name w:val="xl79"/>
    <w:basedOn w:val="af3"/>
    <w:rsid w:val="009964C3"/>
    <w:pPr>
      <w:widowControl/>
      <w:pBdr>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affffffffffffff4">
    <w:name w:val="正文文体"/>
    <w:basedOn w:val="af3"/>
    <w:semiHidden/>
    <w:rsid w:val="009964C3"/>
    <w:pPr>
      <w:autoSpaceDE w:val="0"/>
      <w:autoSpaceDN w:val="0"/>
      <w:adjustRightInd w:val="0"/>
      <w:spacing w:before="120" w:after="120" w:line="360" w:lineRule="exact"/>
      <w:ind w:firstLine="482"/>
    </w:pPr>
    <w:rPr>
      <w:rFonts w:eastAsia="仿宋_GB2312"/>
      <w:kern w:val="0"/>
      <w:sz w:val="24"/>
      <w:szCs w:val="20"/>
    </w:rPr>
  </w:style>
  <w:style w:type="paragraph" w:customStyle="1" w:styleId="affffffffffffff5">
    <w:name w:val="注×："/>
    <w:rsid w:val="009964C3"/>
    <w:pPr>
      <w:widowControl w:val="0"/>
      <w:tabs>
        <w:tab w:val="left" w:pos="630"/>
      </w:tabs>
      <w:autoSpaceDE w:val="0"/>
      <w:autoSpaceDN w:val="0"/>
      <w:jc w:val="both"/>
    </w:pPr>
    <w:rPr>
      <w:rFonts w:ascii="宋体"/>
      <w:sz w:val="18"/>
    </w:rPr>
  </w:style>
  <w:style w:type="paragraph" w:customStyle="1" w:styleId="CM1">
    <w:name w:val="CM1"/>
    <w:basedOn w:val="Default"/>
    <w:next w:val="Default"/>
    <w:rsid w:val="009964C3"/>
    <w:rPr>
      <w:color w:val="auto"/>
    </w:rPr>
  </w:style>
  <w:style w:type="paragraph" w:customStyle="1" w:styleId="CharCharff9">
    <w:name w:val="文本匡小五号 Char Char"/>
    <w:semiHidden/>
    <w:rsid w:val="009964C3"/>
    <w:pPr>
      <w:spacing w:line="288" w:lineRule="auto"/>
      <w:jc w:val="center"/>
    </w:pPr>
    <w:rPr>
      <w:rFonts w:eastAsia="仿宋_GB2312"/>
      <w:sz w:val="18"/>
      <w:szCs w:val="24"/>
    </w:rPr>
  </w:style>
  <w:style w:type="paragraph" w:customStyle="1" w:styleId="519">
    <w:name w:val="表内宋51"/>
    <w:basedOn w:val="affffffffff5"/>
    <w:rsid w:val="009964C3"/>
    <w:pPr>
      <w:adjustRightInd w:val="0"/>
      <w:snapToGrid w:val="0"/>
      <w:jc w:val="both"/>
    </w:pPr>
    <w:rPr>
      <w:color w:val="000000"/>
      <w:sz w:val="21"/>
    </w:rPr>
  </w:style>
  <w:style w:type="paragraph" w:customStyle="1" w:styleId="48">
    <w:name w:val="样式 标题4 + 五号"/>
    <w:basedOn w:val="4a"/>
    <w:link w:val="4Char5"/>
    <w:semiHidden/>
    <w:rsid w:val="009964C3"/>
    <w:pPr>
      <w:keepNext/>
      <w:keepLines/>
      <w:adjustRightInd/>
      <w:spacing w:before="20" w:after="20" w:line="413" w:lineRule="auto"/>
      <w:jc w:val="both"/>
      <w:textAlignment w:val="auto"/>
      <w:outlineLvl w:val="2"/>
    </w:pPr>
    <w:rPr>
      <w:rFonts w:ascii="Times New Roman" w:hAnsi="Times New Roman"/>
      <w:sz w:val="21"/>
      <w:szCs w:val="32"/>
    </w:rPr>
  </w:style>
  <w:style w:type="paragraph" w:customStyle="1" w:styleId="Default">
    <w:name w:val="Default"/>
    <w:rsid w:val="009964C3"/>
    <w:pPr>
      <w:widowControl w:val="0"/>
      <w:autoSpaceDE w:val="0"/>
      <w:autoSpaceDN w:val="0"/>
      <w:adjustRightInd w:val="0"/>
    </w:pPr>
    <w:rPr>
      <w:rFonts w:ascii="宋体" w:cs="宋体"/>
      <w:color w:val="000000"/>
      <w:sz w:val="24"/>
      <w:szCs w:val="24"/>
    </w:rPr>
  </w:style>
  <w:style w:type="paragraph" w:customStyle="1" w:styleId="CharCharChar1CharCharCharCharCharCharCharCharCharCharCharChar1CharCharCharChar">
    <w:name w:val="Char Char Char1 Char Char Char Char Char Char Char Char Char Char Char Char1 Char Char Char Char"/>
    <w:basedOn w:val="af3"/>
    <w:rsid w:val="009964C3"/>
  </w:style>
  <w:style w:type="paragraph" w:customStyle="1" w:styleId="360">
    <w:name w:val="表题36"/>
    <w:basedOn w:val="afffffff4"/>
    <w:qFormat/>
    <w:rsid w:val="009964C3"/>
    <w:pPr>
      <w:spacing w:line="240" w:lineRule="auto"/>
      <w:ind w:firstLine="0"/>
      <w:jc w:val="center"/>
    </w:pPr>
    <w:rPr>
      <w:rFonts w:cs="Times New Roman"/>
      <w:color w:val="auto"/>
      <w:szCs w:val="20"/>
    </w:rPr>
  </w:style>
  <w:style w:type="paragraph" w:customStyle="1" w:styleId="CharChar1CharCharCharChar">
    <w:name w:val="Char Char1 Char Char Char Char"/>
    <w:basedOn w:val="af3"/>
    <w:rsid w:val="009964C3"/>
    <w:pPr>
      <w:spacing w:line="360" w:lineRule="auto"/>
      <w:ind w:firstLineChars="200" w:firstLine="200"/>
    </w:pPr>
    <w:rPr>
      <w:rFonts w:ascii="Tahoma" w:hAnsi="Tahoma"/>
      <w:sz w:val="24"/>
      <w:szCs w:val="20"/>
    </w:rPr>
  </w:style>
  <w:style w:type="paragraph" w:customStyle="1" w:styleId="2ffc">
    <w:name w:val="样式 四号 黑色 首行缩进:  2 字符"/>
    <w:basedOn w:val="af3"/>
    <w:rsid w:val="009964C3"/>
    <w:pPr>
      <w:spacing w:line="480" w:lineRule="atLeast"/>
      <w:ind w:firstLineChars="200" w:firstLine="200"/>
    </w:pPr>
    <w:rPr>
      <w:color w:val="000000"/>
      <w:sz w:val="24"/>
    </w:rPr>
  </w:style>
  <w:style w:type="paragraph" w:customStyle="1" w:styleId="4f5">
    <w:name w:val="等核实4"/>
    <w:basedOn w:val="afffffff4"/>
    <w:rsid w:val="009964C3"/>
    <w:pPr>
      <w:spacing w:line="300" w:lineRule="auto"/>
      <w:ind w:firstLine="567"/>
    </w:pPr>
    <w:rPr>
      <w:rFonts w:cs="Times New Roman"/>
      <w:color w:val="0000FF"/>
      <w:sz w:val="28"/>
      <w:szCs w:val="20"/>
    </w:rPr>
  </w:style>
  <w:style w:type="paragraph" w:customStyle="1" w:styleId="xl65">
    <w:name w:val="xl65"/>
    <w:basedOn w:val="af3"/>
    <w:rsid w:val="009964C3"/>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5161">
    <w:name w:val="表内5中16"/>
    <w:basedOn w:val="54"/>
    <w:rsid w:val="009964C3"/>
    <w:pPr>
      <w:spacing w:line="240" w:lineRule="auto"/>
    </w:pPr>
    <w:rPr>
      <w:rFonts w:hAnsi="Times New Roman" w:cs="Times New Roman"/>
      <w:bCs/>
    </w:rPr>
  </w:style>
  <w:style w:type="paragraph" w:customStyle="1" w:styleId="5140">
    <w:name w:val="表内宋5中14"/>
    <w:basedOn w:val="af3"/>
    <w:rsid w:val="009964C3"/>
    <w:pPr>
      <w:adjustRightInd w:val="0"/>
      <w:snapToGrid w:val="0"/>
      <w:jc w:val="center"/>
      <w:textAlignment w:val="baseline"/>
    </w:pPr>
    <w:rPr>
      <w:rFonts w:ascii="宋体" w:hAnsi="宋体" w:cs="宋体"/>
      <w:kern w:val="0"/>
      <w:szCs w:val="20"/>
    </w:rPr>
  </w:style>
  <w:style w:type="paragraph" w:customStyle="1" w:styleId="51a">
    <w:name w:val="标题 51"/>
    <w:basedOn w:val="af3"/>
    <w:next w:val="af3"/>
    <w:rsid w:val="009964C3"/>
    <w:pPr>
      <w:adjustRightInd w:val="0"/>
      <w:snapToGrid w:val="0"/>
      <w:spacing w:line="440" w:lineRule="atLeast"/>
      <w:ind w:firstLine="567"/>
      <w:textAlignment w:val="baseline"/>
    </w:pPr>
    <w:rPr>
      <w:rFonts w:hint="eastAsia"/>
      <w:kern w:val="0"/>
      <w:sz w:val="24"/>
      <w:szCs w:val="20"/>
    </w:rPr>
  </w:style>
  <w:style w:type="paragraph" w:customStyle="1" w:styleId="affffffffffffff6">
    <w:name w:val="样式 正文缩进 + 黑色 下划线"/>
    <w:rsid w:val="009964C3"/>
    <w:rPr>
      <w:color w:val="000000"/>
      <w:kern w:val="2"/>
      <w:sz w:val="24"/>
      <w:szCs w:val="24"/>
      <w:u w:val="single"/>
    </w:rPr>
  </w:style>
  <w:style w:type="paragraph" w:customStyle="1" w:styleId="5350">
    <w:name w:val="表内535"/>
    <w:basedOn w:val="af3"/>
    <w:rsid w:val="009964C3"/>
    <w:pPr>
      <w:adjustRightInd w:val="0"/>
      <w:snapToGrid w:val="0"/>
      <w:spacing w:line="300" w:lineRule="auto"/>
      <w:jc w:val="left"/>
    </w:pPr>
    <w:rPr>
      <w:rFonts w:ascii="宋体"/>
      <w:szCs w:val="20"/>
    </w:rPr>
  </w:style>
  <w:style w:type="paragraph" w:customStyle="1" w:styleId="CharCharChar1CharCharChar1">
    <w:name w:val="Char Char Char1 Char Char Char1"/>
    <w:basedOn w:val="af3"/>
    <w:rsid w:val="009964C3"/>
  </w:style>
  <w:style w:type="paragraph" w:customStyle="1" w:styleId="CharCharCharCharCharCharCharCharChar1CharCharCharChar">
    <w:name w:val="Char Char Char Char Char Char Char Char Char1 Char Char Char Char"/>
    <w:basedOn w:val="af3"/>
    <w:semiHidden/>
    <w:rsid w:val="009964C3"/>
    <w:rPr>
      <w:sz w:val="24"/>
    </w:rPr>
  </w:style>
  <w:style w:type="paragraph" w:customStyle="1" w:styleId="224">
    <w:name w:val="样式 正文首行缩进 2 + 首行缩进:  2 字符"/>
    <w:basedOn w:val="2f"/>
    <w:next w:val="2f"/>
    <w:rsid w:val="009964C3"/>
    <w:pPr>
      <w:adjustRightInd/>
      <w:snapToGrid/>
      <w:spacing w:line="440" w:lineRule="exact"/>
      <w:ind w:firstLine="200"/>
    </w:pPr>
    <w:rPr>
      <w:rFonts w:cs="宋体"/>
      <w:color w:val="000000"/>
    </w:rPr>
  </w:style>
  <w:style w:type="paragraph" w:customStyle="1" w:styleId="5330">
    <w:name w:val="表内宋5中33"/>
    <w:basedOn w:val="af3"/>
    <w:rsid w:val="009964C3"/>
    <w:pPr>
      <w:adjustRightInd w:val="0"/>
      <w:snapToGrid w:val="0"/>
      <w:spacing w:line="360" w:lineRule="auto"/>
      <w:jc w:val="center"/>
      <w:textAlignment w:val="baseline"/>
    </w:pPr>
    <w:rPr>
      <w:rFonts w:ascii="宋体" w:hAnsi="宋体"/>
      <w:kern w:val="0"/>
      <w:szCs w:val="21"/>
    </w:rPr>
  </w:style>
  <w:style w:type="paragraph" w:customStyle="1" w:styleId="156">
    <w:name w:val="样式15"/>
    <w:basedOn w:val="afffffff4"/>
    <w:rsid w:val="009964C3"/>
    <w:pPr>
      <w:tabs>
        <w:tab w:val="clear" w:pos="4305"/>
      </w:tabs>
      <w:spacing w:line="240" w:lineRule="auto"/>
      <w:ind w:firstLine="0"/>
    </w:pPr>
    <w:rPr>
      <w:rFonts w:ascii="方正大标宋简体" w:eastAsia="方正大标宋简体"/>
      <w:color w:val="0000FF"/>
    </w:rPr>
  </w:style>
  <w:style w:type="paragraph" w:customStyle="1" w:styleId="affffffffffffff7">
    <w:name w:val="样式 宋体 小四 黑色"/>
    <w:basedOn w:val="af3"/>
    <w:rsid w:val="009964C3"/>
    <w:pPr>
      <w:spacing w:line="360" w:lineRule="auto"/>
      <w:ind w:firstLineChars="200" w:firstLine="480"/>
    </w:pPr>
    <w:rPr>
      <w:rFonts w:ascii="宋体" w:hAnsi="宋体" w:cs="宋体"/>
      <w:color w:val="000000"/>
      <w:sz w:val="24"/>
      <w:szCs w:val="20"/>
    </w:rPr>
  </w:style>
  <w:style w:type="paragraph" w:customStyle="1" w:styleId="Char1CharCharChar">
    <w:name w:val="Char1 Char Char Char"/>
    <w:basedOn w:val="af3"/>
    <w:semiHidden/>
    <w:rsid w:val="009964C3"/>
  </w:style>
  <w:style w:type="paragraph" w:customStyle="1" w:styleId="affffffffffffff8">
    <w:name w:val="表格标题新"/>
    <w:basedOn w:val="affffffffffffff9"/>
    <w:rsid w:val="009964C3"/>
    <w:pPr>
      <w:spacing w:beforeLines="50"/>
      <w:ind w:firstLine="562"/>
    </w:pPr>
    <w:rPr>
      <w:rFonts w:eastAsia="黑体"/>
      <w:b/>
      <w:snapToGrid w:val="0"/>
      <w:w w:val="100"/>
      <w:kern w:val="0"/>
    </w:rPr>
  </w:style>
  <w:style w:type="paragraph" w:customStyle="1" w:styleId="affffffffffffffa">
    <w:name w:val="a)"/>
    <w:basedOn w:val="af3"/>
    <w:rsid w:val="009964C3"/>
    <w:pPr>
      <w:adjustRightInd w:val="0"/>
      <w:spacing w:line="360" w:lineRule="auto"/>
      <w:ind w:firstLine="567"/>
      <w:textAlignment w:val="baseline"/>
    </w:pPr>
    <w:rPr>
      <w:kern w:val="0"/>
      <w:sz w:val="28"/>
      <w:szCs w:val="20"/>
    </w:rPr>
  </w:style>
  <w:style w:type="paragraph" w:customStyle="1" w:styleId="5104">
    <w:name w:val="表内5104"/>
    <w:basedOn w:val="5f2"/>
    <w:rsid w:val="009964C3"/>
    <w:pPr>
      <w:jc w:val="both"/>
    </w:pPr>
    <w:rPr>
      <w:szCs w:val="24"/>
    </w:rPr>
  </w:style>
  <w:style w:type="paragraph" w:customStyle="1" w:styleId="88">
    <w:name w:val="表内文字大8"/>
    <w:basedOn w:val="af3"/>
    <w:rsid w:val="009964C3"/>
    <w:pPr>
      <w:adjustRightInd w:val="0"/>
      <w:snapToGrid w:val="0"/>
      <w:jc w:val="center"/>
    </w:pPr>
    <w:rPr>
      <w:rFonts w:ascii="宋体" w:hAnsi="Times"/>
      <w:sz w:val="24"/>
      <w:szCs w:val="20"/>
    </w:rPr>
  </w:style>
  <w:style w:type="paragraph" w:customStyle="1" w:styleId="5fc">
    <w:name w:val="条(三级)5"/>
    <w:basedOn w:val="af3"/>
    <w:next w:val="af3"/>
    <w:rsid w:val="009964C3"/>
    <w:pPr>
      <w:keepNext/>
      <w:keepLines/>
      <w:adjustRightInd w:val="0"/>
      <w:snapToGrid w:val="0"/>
      <w:spacing w:line="460" w:lineRule="exact"/>
      <w:textAlignment w:val="baseline"/>
    </w:pPr>
    <w:rPr>
      <w:rFonts w:hAnsi="Arial"/>
      <w:spacing w:val="3"/>
      <w:kern w:val="24"/>
      <w:sz w:val="18"/>
      <w:szCs w:val="20"/>
    </w:rPr>
  </w:style>
  <w:style w:type="paragraph" w:customStyle="1" w:styleId="88888888888">
    <w:name w:val="样式88888888888"/>
    <w:basedOn w:val="af3"/>
    <w:link w:val="88888888888Char"/>
    <w:rsid w:val="009964C3"/>
    <w:pPr>
      <w:adjustRightInd w:val="0"/>
      <w:jc w:val="center"/>
      <w:textAlignment w:val="baseline"/>
    </w:pPr>
    <w:rPr>
      <w:rFonts w:ascii="宋体" w:hAnsi="宋体"/>
      <w:bCs/>
      <w:kern w:val="0"/>
      <w:szCs w:val="21"/>
    </w:rPr>
  </w:style>
  <w:style w:type="paragraph" w:customStyle="1" w:styleId="712">
    <w:name w:val="标题 71"/>
    <w:basedOn w:val="af3"/>
    <w:next w:val="af3"/>
    <w:rsid w:val="009964C3"/>
    <w:pPr>
      <w:keepNext/>
      <w:keepLines/>
      <w:adjustRightInd w:val="0"/>
      <w:spacing w:line="480" w:lineRule="exact"/>
      <w:ind w:firstLine="851"/>
      <w:textAlignment w:val="baseline"/>
    </w:pPr>
    <w:rPr>
      <w:rFonts w:hint="eastAsia"/>
      <w:kern w:val="0"/>
      <w:sz w:val="24"/>
      <w:szCs w:val="20"/>
    </w:rPr>
  </w:style>
  <w:style w:type="paragraph" w:customStyle="1" w:styleId="affffffffffffffb">
    <w:name w:val="章(一级)"/>
    <w:basedOn w:val="13"/>
    <w:next w:val="af3"/>
    <w:rsid w:val="009964C3"/>
    <w:pPr>
      <w:keepNext w:val="0"/>
      <w:keepLines w:val="0"/>
      <w:widowControl/>
      <w:spacing w:before="0" w:after="0" w:line="400" w:lineRule="exact"/>
      <w:ind w:firstLine="240"/>
      <w:jc w:val="left"/>
    </w:pPr>
    <w:rPr>
      <w:rFonts w:ascii="黑体"/>
      <w:bCs w:val="0"/>
      <w:kern w:val="0"/>
      <w:sz w:val="24"/>
      <w:szCs w:val="20"/>
    </w:rPr>
  </w:style>
  <w:style w:type="paragraph" w:customStyle="1" w:styleId="dan7-1CharChar">
    <w:name w:val="样式 dan7-1 + 宋体 Char Char"/>
    <w:basedOn w:val="dan7-1"/>
    <w:link w:val="dan7-1CharCharChar"/>
    <w:rsid w:val="009964C3"/>
    <w:rPr>
      <w:rFonts w:ascii="宋体" w:hAnsi="宋体" w:cs="宋体"/>
      <w:b/>
    </w:rPr>
  </w:style>
  <w:style w:type="paragraph" w:customStyle="1" w:styleId="CharCharCharChar3">
    <w:name w:val="Char Char Char Char"/>
    <w:basedOn w:val="af3"/>
    <w:rsid w:val="009964C3"/>
  </w:style>
  <w:style w:type="paragraph" w:customStyle="1" w:styleId="afffffff3">
    <w:name w:val="正文王"/>
    <w:basedOn w:val="af3"/>
    <w:link w:val="Charffffe"/>
    <w:rsid w:val="009964C3"/>
    <w:pPr>
      <w:widowControl/>
      <w:tabs>
        <w:tab w:val="left" w:pos="7080"/>
      </w:tabs>
      <w:adjustRightInd w:val="0"/>
      <w:snapToGrid w:val="0"/>
      <w:spacing w:line="300" w:lineRule="auto"/>
      <w:ind w:firstLineChars="200" w:firstLine="480"/>
    </w:pPr>
    <w:rPr>
      <w:rFonts w:ascii="宋体" w:hAnsi="宋体"/>
      <w:bCs/>
      <w:sz w:val="24"/>
      <w:szCs w:val="28"/>
    </w:rPr>
  </w:style>
  <w:style w:type="paragraph" w:customStyle="1" w:styleId="Char132">
    <w:name w:val="Char132"/>
    <w:basedOn w:val="af3"/>
    <w:rsid w:val="009964C3"/>
    <w:pPr>
      <w:ind w:left="-48"/>
    </w:pPr>
  </w:style>
  <w:style w:type="paragraph" w:customStyle="1" w:styleId="dan7-1">
    <w:name w:val="dan7-1"/>
    <w:basedOn w:val="af3"/>
    <w:link w:val="dan7-1Char"/>
    <w:rsid w:val="009964C3"/>
    <w:pPr>
      <w:spacing w:before="40" w:after="40" w:line="360" w:lineRule="auto"/>
      <w:ind w:firstLineChars="200" w:firstLine="200"/>
    </w:pPr>
    <w:rPr>
      <w:sz w:val="24"/>
    </w:rPr>
  </w:style>
  <w:style w:type="paragraph" w:customStyle="1" w:styleId="164">
    <w:name w:val="燕山正文16"/>
    <w:basedOn w:val="af3"/>
    <w:rsid w:val="009964C3"/>
    <w:pPr>
      <w:tabs>
        <w:tab w:val="left" w:pos="4680"/>
      </w:tabs>
      <w:adjustRightInd w:val="0"/>
      <w:snapToGrid w:val="0"/>
      <w:spacing w:line="360" w:lineRule="auto"/>
      <w:ind w:firstLineChars="200" w:firstLine="480"/>
    </w:pPr>
    <w:rPr>
      <w:rFonts w:ascii="宋体" w:hAnsi="宋体" w:cs="宋体"/>
      <w:bCs/>
      <w:color w:val="000000"/>
      <w:sz w:val="24"/>
    </w:rPr>
  </w:style>
  <w:style w:type="paragraph" w:customStyle="1" w:styleId="640">
    <w:name w:val="表内文字小64"/>
    <w:basedOn w:val="af3"/>
    <w:rsid w:val="009964C3"/>
    <w:pPr>
      <w:adjustRightInd w:val="0"/>
      <w:snapToGrid w:val="0"/>
      <w:jc w:val="center"/>
    </w:pPr>
    <w:rPr>
      <w:rFonts w:ascii="宋体" w:hAnsi="Times"/>
      <w:szCs w:val="20"/>
    </w:rPr>
  </w:style>
  <w:style w:type="paragraph" w:customStyle="1" w:styleId="114">
    <w:name w:val="样式 标题 1 + 黑体1"/>
    <w:basedOn w:val="13"/>
    <w:rsid w:val="009964C3"/>
    <w:pPr>
      <w:spacing w:before="120" w:line="360" w:lineRule="auto"/>
      <w:jc w:val="left"/>
    </w:pPr>
    <w:rPr>
      <w:rFonts w:ascii="Arial" w:hAnsi="Arial" w:cs="Arial"/>
      <w:b w:val="0"/>
      <w:bCs w:val="0"/>
      <w:color w:val="000000"/>
      <w:sz w:val="24"/>
      <w:szCs w:val="20"/>
    </w:rPr>
  </w:style>
  <w:style w:type="paragraph" w:customStyle="1" w:styleId="270">
    <w:name w:val="表内文字小27"/>
    <w:basedOn w:val="af3"/>
    <w:rsid w:val="009964C3"/>
    <w:pPr>
      <w:adjustRightInd w:val="0"/>
      <w:snapToGrid w:val="0"/>
      <w:jc w:val="center"/>
    </w:pPr>
    <w:rPr>
      <w:rFonts w:ascii="宋体" w:hAnsi="Times"/>
      <w:szCs w:val="20"/>
    </w:rPr>
  </w:style>
  <w:style w:type="paragraph" w:customStyle="1" w:styleId="554">
    <w:name w:val="表内宋5中54"/>
    <w:basedOn w:val="af3"/>
    <w:rsid w:val="009964C3"/>
    <w:pPr>
      <w:adjustRightInd w:val="0"/>
      <w:snapToGrid w:val="0"/>
      <w:spacing w:line="360" w:lineRule="auto"/>
      <w:textAlignment w:val="baseline"/>
    </w:pPr>
    <w:rPr>
      <w:rFonts w:ascii="宋体" w:hAnsi="宋体"/>
      <w:kern w:val="0"/>
      <w:szCs w:val="21"/>
    </w:rPr>
  </w:style>
  <w:style w:type="paragraph" w:customStyle="1" w:styleId="xl138">
    <w:name w:val="xl138"/>
    <w:basedOn w:val="af3"/>
    <w:semiHidden/>
    <w:rsid w:val="009964C3"/>
    <w:pPr>
      <w:widowControl/>
      <w:pBdr>
        <w:top w:val="single" w:sz="12" w:space="0" w:color="auto"/>
        <w:left w:val="single" w:sz="4" w:space="0" w:color="auto"/>
        <w:bottom w:val="single" w:sz="4" w:space="0" w:color="auto"/>
      </w:pBdr>
      <w:spacing w:before="100" w:beforeAutospacing="1" w:after="100" w:afterAutospacing="1"/>
      <w:jc w:val="center"/>
    </w:pPr>
    <w:rPr>
      <w:rFonts w:ascii="宋体" w:hAnsi="宋体" w:cs="宋体"/>
      <w:kern w:val="0"/>
      <w:sz w:val="24"/>
    </w:rPr>
  </w:style>
  <w:style w:type="paragraph" w:customStyle="1" w:styleId="affffffffffffffc">
    <w:name w:val="表格文字样式"/>
    <w:basedOn w:val="af3"/>
    <w:rsid w:val="009964C3"/>
    <w:pPr>
      <w:tabs>
        <w:tab w:val="left" w:pos="567"/>
      </w:tabs>
      <w:jc w:val="center"/>
    </w:pPr>
    <w:rPr>
      <w:rFonts w:eastAsia="华文中宋"/>
      <w:spacing w:val="20"/>
      <w:sz w:val="24"/>
    </w:rPr>
  </w:style>
  <w:style w:type="paragraph" w:customStyle="1" w:styleId="104">
    <w:name w:val="福建正文缩进10"/>
    <w:basedOn w:val="af3"/>
    <w:rsid w:val="009964C3"/>
    <w:pPr>
      <w:tabs>
        <w:tab w:val="left" w:pos="4305"/>
      </w:tabs>
      <w:adjustRightInd w:val="0"/>
      <w:snapToGrid w:val="0"/>
      <w:spacing w:line="360" w:lineRule="auto"/>
      <w:ind w:firstLine="567"/>
    </w:pPr>
    <w:rPr>
      <w:rFonts w:ascii="宋体" w:hAnsi="宋体"/>
      <w:color w:val="000000"/>
      <w:sz w:val="24"/>
    </w:rPr>
  </w:style>
  <w:style w:type="paragraph" w:customStyle="1" w:styleId="5fd">
    <w:name w:val="正文格式5"/>
    <w:basedOn w:val="af3"/>
    <w:rsid w:val="009964C3"/>
    <w:pPr>
      <w:adjustRightInd w:val="0"/>
      <w:snapToGrid w:val="0"/>
      <w:spacing w:line="360" w:lineRule="auto"/>
      <w:ind w:firstLineChars="200" w:firstLine="480"/>
    </w:pPr>
    <w:rPr>
      <w:rFonts w:ascii="宋体" w:cs="宋体"/>
      <w:sz w:val="24"/>
    </w:rPr>
  </w:style>
  <w:style w:type="paragraph" w:customStyle="1" w:styleId="tt">
    <w:name w:val="tt"/>
    <w:basedOn w:val="af3"/>
    <w:rsid w:val="009964C3"/>
    <w:pPr>
      <w:spacing w:line="460" w:lineRule="exact"/>
      <w:ind w:firstLineChars="200" w:firstLine="200"/>
    </w:pPr>
    <w:rPr>
      <w:rFonts w:ascii="Arial" w:hAnsi="Arial"/>
      <w:sz w:val="24"/>
    </w:rPr>
  </w:style>
  <w:style w:type="paragraph" w:customStyle="1" w:styleId="1130">
    <w:name w:val="正文113"/>
    <w:basedOn w:val="af3"/>
    <w:rsid w:val="009964C3"/>
    <w:pPr>
      <w:adjustRightInd w:val="0"/>
      <w:snapToGrid w:val="0"/>
      <w:spacing w:after="120"/>
      <w:jc w:val="center"/>
      <w:textAlignment w:val="baseline"/>
    </w:pPr>
    <w:rPr>
      <w:kern w:val="0"/>
      <w:sz w:val="18"/>
      <w:szCs w:val="20"/>
    </w:rPr>
  </w:style>
  <w:style w:type="paragraph" w:customStyle="1" w:styleId="CharCharCharCharCharCharChar2">
    <w:name w:val="Char Char Char Char Char Char Char2"/>
    <w:basedOn w:val="af3"/>
    <w:next w:val="af3"/>
    <w:rsid w:val="009964C3"/>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CharCharCharCharCharChar1Char1">
    <w:name w:val="Char Char Char Char Char Char1 Char1"/>
    <w:basedOn w:val="af3"/>
    <w:rsid w:val="009964C3"/>
    <w:pPr>
      <w:widowControl/>
      <w:spacing w:after="160" w:line="240" w:lineRule="exact"/>
      <w:jc w:val="left"/>
    </w:pPr>
    <w:rPr>
      <w:rFonts w:ascii="Arial" w:eastAsia="Times New Roman" w:hAnsi="Arial" w:cs="Verdana"/>
      <w:b/>
      <w:kern w:val="0"/>
      <w:sz w:val="24"/>
      <w:szCs w:val="20"/>
      <w:lang w:eastAsia="en-US"/>
    </w:rPr>
  </w:style>
  <w:style w:type="paragraph" w:customStyle="1" w:styleId="1110">
    <w:name w:val="页眉中1110"/>
    <w:basedOn w:val="af3"/>
    <w:rsid w:val="009964C3"/>
    <w:pPr>
      <w:adjustRightInd w:val="0"/>
      <w:snapToGrid w:val="0"/>
      <w:spacing w:line="300" w:lineRule="auto"/>
      <w:jc w:val="left"/>
    </w:pPr>
    <w:rPr>
      <w:rFonts w:ascii="黑体" w:eastAsia="黑体" w:hAnsi="宋体"/>
      <w:sz w:val="24"/>
    </w:rPr>
  </w:style>
  <w:style w:type="paragraph" w:customStyle="1" w:styleId="5530">
    <w:name w:val="表内5中53"/>
    <w:basedOn w:val="af3"/>
    <w:rsid w:val="009964C3"/>
    <w:pPr>
      <w:adjustRightInd w:val="0"/>
      <w:snapToGrid w:val="0"/>
      <w:jc w:val="center"/>
    </w:pPr>
    <w:rPr>
      <w:rFonts w:ascii="宋体"/>
    </w:rPr>
  </w:style>
  <w:style w:type="paragraph" w:customStyle="1" w:styleId="1Arial2">
    <w:name w:val="样式 标题 1 + (西文) Arial (中文) 黑体 三号 段后: 2 磅"/>
    <w:basedOn w:val="13"/>
    <w:rsid w:val="009964C3"/>
    <w:pPr>
      <w:pageBreakBefore/>
      <w:tabs>
        <w:tab w:val="left" w:pos="360"/>
        <w:tab w:val="left" w:pos="1474"/>
      </w:tabs>
      <w:adjustRightInd w:val="0"/>
      <w:snapToGrid w:val="0"/>
      <w:spacing w:before="240" w:after="40" w:line="480" w:lineRule="exact"/>
      <w:ind w:left="360" w:hangingChars="200" w:hanging="360"/>
      <w:jc w:val="center"/>
      <w:textAlignment w:val="baseline"/>
    </w:pPr>
    <w:rPr>
      <w:rFonts w:hAnsi="Arial"/>
      <w:b w:val="0"/>
      <w:bCs w:val="0"/>
      <w:i/>
      <w:color w:val="FF0000"/>
      <w:kern w:val="2"/>
      <w:sz w:val="32"/>
      <w:szCs w:val="20"/>
    </w:rPr>
  </w:style>
  <w:style w:type="paragraph" w:customStyle="1" w:styleId="08515">
    <w:name w:val="样式 (西文) 宋体 首行缩进:  0.85 厘米 行距: 1.5 倍行距"/>
    <w:basedOn w:val="af3"/>
    <w:qFormat/>
    <w:rsid w:val="009964C3"/>
    <w:pPr>
      <w:adjustRightInd w:val="0"/>
      <w:snapToGrid w:val="0"/>
      <w:spacing w:line="360" w:lineRule="auto"/>
      <w:ind w:firstLineChars="200" w:firstLine="480"/>
      <w:jc w:val="left"/>
    </w:pPr>
    <w:rPr>
      <w:rFonts w:ascii="宋体" w:hAnsi="宋体"/>
      <w:color w:val="000000"/>
      <w:sz w:val="24"/>
    </w:rPr>
  </w:style>
  <w:style w:type="paragraph" w:customStyle="1" w:styleId="Listing">
    <w:name w:val="Listing"/>
    <w:basedOn w:val="af3"/>
    <w:rsid w:val="009964C3"/>
    <w:pPr>
      <w:widowControl/>
      <w:overflowPunct w:val="0"/>
      <w:autoSpaceDE w:val="0"/>
      <w:autoSpaceDN w:val="0"/>
      <w:adjustRightInd w:val="0"/>
      <w:jc w:val="left"/>
    </w:pPr>
    <w:rPr>
      <w:rFonts w:ascii="Arial" w:hAnsi="Arial"/>
      <w:kern w:val="0"/>
      <w:sz w:val="22"/>
      <w:szCs w:val="20"/>
      <w:lang w:val="en-GB"/>
    </w:rPr>
  </w:style>
  <w:style w:type="paragraph" w:customStyle="1" w:styleId="1012">
    <w:name w:val="样式 标题 1 + 黑体 小二 居中 首行缩进:  0 厘米 段前: 12 磅"/>
    <w:basedOn w:val="13"/>
    <w:rsid w:val="009964C3"/>
    <w:pPr>
      <w:keepLines w:val="0"/>
      <w:spacing w:before="0" w:after="0" w:line="240" w:lineRule="auto"/>
      <w:jc w:val="center"/>
    </w:pPr>
    <w:rPr>
      <w:rFonts w:ascii="黑体" w:hAnsi="Arial"/>
      <w:b w:val="0"/>
      <w:bCs w:val="0"/>
      <w:kern w:val="2"/>
      <w:szCs w:val="20"/>
    </w:rPr>
  </w:style>
  <w:style w:type="paragraph" w:customStyle="1" w:styleId="4f6">
    <w:name w:val="表内小4"/>
    <w:basedOn w:val="affffffffff"/>
    <w:rsid w:val="009964C3"/>
    <w:pPr>
      <w:ind w:left="240" w:hanging="240"/>
      <w:jc w:val="both"/>
    </w:pPr>
  </w:style>
  <w:style w:type="paragraph" w:customStyle="1" w:styleId="135">
    <w:name w:val="表题135"/>
    <w:basedOn w:val="afffffff4"/>
    <w:rsid w:val="009964C3"/>
    <w:pPr>
      <w:spacing w:line="240" w:lineRule="auto"/>
      <w:ind w:firstLineChars="200" w:firstLine="480"/>
      <w:jc w:val="center"/>
    </w:pPr>
    <w:rPr>
      <w:rFonts w:ascii="黑体" w:eastAsia="黑体" w:cs="Times New Roman"/>
      <w:color w:val="auto"/>
      <w:szCs w:val="20"/>
    </w:rPr>
  </w:style>
  <w:style w:type="paragraph" w:customStyle="1" w:styleId="4f7">
    <w:name w:val="题图4"/>
    <w:basedOn w:val="af3"/>
    <w:rsid w:val="009964C3"/>
    <w:pPr>
      <w:adjustRightInd w:val="0"/>
      <w:snapToGrid w:val="0"/>
      <w:jc w:val="center"/>
    </w:pPr>
    <w:rPr>
      <w:rFonts w:ascii="宋体" w:hAnsi="宋体" w:cs="宋体"/>
      <w:sz w:val="28"/>
    </w:rPr>
  </w:style>
  <w:style w:type="paragraph" w:customStyle="1" w:styleId="262">
    <w:name w:val="表内文字26"/>
    <w:basedOn w:val="af3"/>
    <w:rsid w:val="009964C3"/>
    <w:pPr>
      <w:widowControl/>
      <w:adjustRightInd w:val="0"/>
      <w:snapToGrid w:val="0"/>
      <w:jc w:val="center"/>
    </w:pPr>
    <w:rPr>
      <w:kern w:val="0"/>
      <w:szCs w:val="21"/>
    </w:rPr>
  </w:style>
  <w:style w:type="paragraph" w:customStyle="1" w:styleId="730">
    <w:name w:val="页眉中73"/>
    <w:basedOn w:val="af3"/>
    <w:rsid w:val="009964C3"/>
    <w:pPr>
      <w:adjustRightInd w:val="0"/>
      <w:snapToGrid w:val="0"/>
      <w:spacing w:line="300" w:lineRule="auto"/>
      <w:jc w:val="left"/>
    </w:pPr>
    <w:rPr>
      <w:rFonts w:ascii="黑体" w:eastAsia="黑体"/>
      <w:bCs/>
      <w:sz w:val="24"/>
      <w:szCs w:val="20"/>
    </w:rPr>
  </w:style>
  <w:style w:type="paragraph" w:customStyle="1" w:styleId="format1">
    <w:name w:val="format1"/>
    <w:basedOn w:val="af3"/>
    <w:rsid w:val="009964C3"/>
    <w:pPr>
      <w:adjustRightInd w:val="0"/>
      <w:spacing w:line="360" w:lineRule="auto"/>
      <w:jc w:val="center"/>
      <w:textAlignment w:val="baseline"/>
    </w:pPr>
    <w:rPr>
      <w:rFonts w:ascii="宋体" w:hAnsi="宋体"/>
      <w:b/>
      <w:color w:val="000000"/>
      <w:sz w:val="28"/>
      <w:szCs w:val="20"/>
    </w:rPr>
  </w:style>
  <w:style w:type="paragraph" w:customStyle="1" w:styleId="font1">
    <w:name w:val="font1"/>
    <w:basedOn w:val="af3"/>
    <w:rsid w:val="009964C3"/>
    <w:pPr>
      <w:widowControl/>
      <w:spacing w:before="100" w:beforeAutospacing="1" w:after="100" w:afterAutospacing="1"/>
      <w:jc w:val="left"/>
    </w:pPr>
    <w:rPr>
      <w:b/>
      <w:bCs/>
      <w:kern w:val="0"/>
      <w:sz w:val="24"/>
    </w:rPr>
  </w:style>
  <w:style w:type="paragraph" w:customStyle="1" w:styleId="435">
    <w:name w:val="标题435"/>
    <w:basedOn w:val="af3"/>
    <w:rsid w:val="009964C3"/>
    <w:pPr>
      <w:adjustRightInd w:val="0"/>
      <w:snapToGrid w:val="0"/>
      <w:spacing w:line="300" w:lineRule="auto"/>
      <w:jc w:val="left"/>
    </w:pPr>
    <w:rPr>
      <w:rFonts w:ascii="黑体" w:eastAsia="黑体" w:hAnsi="宋体" w:cs="宋体"/>
      <w:sz w:val="24"/>
    </w:rPr>
  </w:style>
  <w:style w:type="paragraph" w:customStyle="1" w:styleId="affffffffffffffd">
    <w:name w:val="正文（用）"/>
    <w:basedOn w:val="af3"/>
    <w:rsid w:val="009964C3"/>
    <w:pPr>
      <w:spacing w:line="360" w:lineRule="auto"/>
      <w:ind w:firstLineChars="200" w:firstLine="480"/>
      <w:jc w:val="left"/>
    </w:pPr>
    <w:rPr>
      <w:rFonts w:ascii="宋体" w:hAnsi="宋体" w:cs="宋体"/>
      <w:sz w:val="24"/>
      <w:szCs w:val="20"/>
    </w:rPr>
  </w:style>
  <w:style w:type="paragraph" w:customStyle="1" w:styleId="1251">
    <w:name w:val="表题125"/>
    <w:basedOn w:val="afffffff4"/>
    <w:rsid w:val="009964C3"/>
    <w:pPr>
      <w:tabs>
        <w:tab w:val="clear" w:pos="4305"/>
      </w:tabs>
      <w:spacing w:line="240" w:lineRule="auto"/>
      <w:ind w:firstLine="0"/>
      <w:jc w:val="center"/>
    </w:pPr>
    <w:rPr>
      <w:rFonts w:ascii="黑体" w:eastAsia="黑体" w:hAnsi="Times" w:cs="Times New Roman"/>
    </w:rPr>
  </w:style>
  <w:style w:type="paragraph" w:customStyle="1" w:styleId="xl24">
    <w:name w:val="xl24"/>
    <w:basedOn w:val="af3"/>
    <w:rsid w:val="009964C3"/>
    <w:pPr>
      <w:widowControl/>
      <w:spacing w:before="100" w:beforeAutospacing="1" w:after="100" w:afterAutospacing="1"/>
      <w:jc w:val="left"/>
    </w:pPr>
    <w:rPr>
      <w:rFonts w:eastAsia="Arial Unicode MS"/>
      <w:kern w:val="0"/>
      <w:sz w:val="24"/>
    </w:rPr>
  </w:style>
  <w:style w:type="paragraph" w:customStyle="1" w:styleId="434">
    <w:name w:val="表内文字大43"/>
    <w:basedOn w:val="af3"/>
    <w:rsid w:val="009964C3"/>
    <w:pPr>
      <w:adjustRightInd w:val="0"/>
      <w:snapToGrid w:val="0"/>
      <w:jc w:val="center"/>
    </w:pPr>
    <w:rPr>
      <w:rFonts w:ascii="宋体" w:hAnsi="Times"/>
      <w:sz w:val="24"/>
      <w:szCs w:val="20"/>
    </w:rPr>
  </w:style>
  <w:style w:type="paragraph" w:customStyle="1" w:styleId="acee">
    <w:name w:val="acee正文"/>
    <w:basedOn w:val="af3"/>
    <w:link w:val="aceeChar"/>
    <w:qFormat/>
    <w:rsid w:val="009964C3"/>
    <w:pPr>
      <w:adjustRightInd w:val="0"/>
      <w:snapToGrid w:val="0"/>
      <w:spacing w:line="480" w:lineRule="exact"/>
      <w:ind w:firstLineChars="200" w:firstLine="640"/>
    </w:pPr>
    <w:rPr>
      <w:rFonts w:ascii="仿宋_GB2312" w:eastAsia="仿宋_GB2312" w:hAnsi="宋体"/>
      <w:sz w:val="32"/>
    </w:rPr>
  </w:style>
  <w:style w:type="paragraph" w:customStyle="1" w:styleId="419">
    <w:name w:val="标题419"/>
    <w:basedOn w:val="af3"/>
    <w:rsid w:val="009964C3"/>
    <w:pPr>
      <w:adjustRightInd w:val="0"/>
      <w:snapToGrid w:val="0"/>
      <w:spacing w:line="360" w:lineRule="auto"/>
      <w:jc w:val="left"/>
    </w:pPr>
    <w:rPr>
      <w:rFonts w:ascii="黑体" w:eastAsia="黑体"/>
      <w:bCs/>
      <w:sz w:val="24"/>
    </w:rPr>
  </w:style>
  <w:style w:type="paragraph" w:customStyle="1" w:styleId="3TimesNewRoman12153">
    <w:name w:val="样式 标题 3 + (符号) Times New Roman 四号 两端对齐 段前: 12 磅 行距: 1.5 倍行距3"/>
    <w:basedOn w:val="31"/>
    <w:rsid w:val="009964C3"/>
    <w:pPr>
      <w:keepNext w:val="0"/>
      <w:keepLines w:val="0"/>
      <w:adjustRightInd w:val="0"/>
      <w:snapToGrid w:val="0"/>
      <w:spacing w:before="120" w:afterLines="50" w:line="360" w:lineRule="auto"/>
    </w:pPr>
    <w:rPr>
      <w:rFonts w:ascii="黑体" w:eastAsia="黑体" w:cs="宋体"/>
      <w:bCs w:val="0"/>
      <w:sz w:val="28"/>
      <w:szCs w:val="28"/>
    </w:rPr>
  </w:style>
  <w:style w:type="paragraph" w:customStyle="1" w:styleId="315">
    <w:name w:val="页眉中315"/>
    <w:basedOn w:val="af3"/>
    <w:qFormat/>
    <w:rsid w:val="009964C3"/>
    <w:pPr>
      <w:adjustRightInd w:val="0"/>
      <w:snapToGrid w:val="0"/>
      <w:spacing w:line="360" w:lineRule="auto"/>
      <w:jc w:val="center"/>
    </w:pPr>
    <w:rPr>
      <w:rFonts w:ascii="黑体" w:eastAsia="黑体"/>
      <w:bCs/>
      <w:sz w:val="24"/>
      <w:szCs w:val="28"/>
    </w:rPr>
  </w:style>
  <w:style w:type="paragraph" w:customStyle="1" w:styleId="affffffffffffffe">
    <w:name w:val="样式 右"/>
    <w:basedOn w:val="af3"/>
    <w:rsid w:val="009964C3"/>
    <w:pPr>
      <w:spacing w:line="360" w:lineRule="auto"/>
      <w:jc w:val="center"/>
    </w:pPr>
    <w:rPr>
      <w:rFonts w:cs="宋体"/>
      <w:szCs w:val="20"/>
    </w:rPr>
  </w:style>
  <w:style w:type="paragraph" w:customStyle="1" w:styleId="5540">
    <w:name w:val="表内5中54"/>
    <w:basedOn w:val="af3"/>
    <w:rsid w:val="009964C3"/>
    <w:pPr>
      <w:adjustRightInd w:val="0"/>
      <w:snapToGrid w:val="0"/>
      <w:jc w:val="center"/>
    </w:pPr>
    <w:rPr>
      <w:rFonts w:ascii="宋体"/>
    </w:rPr>
  </w:style>
  <w:style w:type="paragraph" w:customStyle="1" w:styleId="5fe">
    <w:name w:val="表头5"/>
    <w:basedOn w:val="afffffff4"/>
    <w:rsid w:val="009964C3"/>
    <w:pPr>
      <w:tabs>
        <w:tab w:val="clear" w:pos="4305"/>
      </w:tabs>
      <w:spacing w:line="240" w:lineRule="auto"/>
      <w:ind w:firstLine="0"/>
      <w:jc w:val="center"/>
    </w:pPr>
    <w:rPr>
      <w:rFonts w:ascii="黑体" w:eastAsia="黑体" w:hAnsi="Times" w:cs="Times New Roman"/>
    </w:rPr>
  </w:style>
  <w:style w:type="paragraph" w:customStyle="1" w:styleId="xl54">
    <w:name w:val="xl54"/>
    <w:basedOn w:val="af3"/>
    <w:rsid w:val="009964C3"/>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b/>
      <w:bCs/>
      <w:kern w:val="0"/>
      <w:sz w:val="18"/>
      <w:szCs w:val="18"/>
    </w:rPr>
  </w:style>
  <w:style w:type="paragraph" w:customStyle="1" w:styleId="430">
    <w:name w:val="样式 标题 4 + 黑体 小四3"/>
    <w:basedOn w:val="43"/>
    <w:link w:val="43Char"/>
    <w:rsid w:val="009964C3"/>
    <w:pPr>
      <w:keepNext w:val="0"/>
      <w:keepLines w:val="0"/>
      <w:adjustRightInd w:val="0"/>
      <w:snapToGrid w:val="0"/>
      <w:spacing w:before="0" w:after="0" w:line="480" w:lineRule="exact"/>
    </w:pPr>
    <w:rPr>
      <w:rFonts w:ascii="Times New Roman" w:hAnsi="黑体" w:cs="宋体"/>
      <w:sz w:val="24"/>
    </w:rPr>
  </w:style>
  <w:style w:type="paragraph" w:customStyle="1" w:styleId="536">
    <w:name w:val="图题53"/>
    <w:basedOn w:val="af4"/>
    <w:rsid w:val="009964C3"/>
    <w:pPr>
      <w:adjustRightInd w:val="0"/>
      <w:snapToGrid w:val="0"/>
      <w:ind w:firstLineChars="0" w:firstLine="0"/>
      <w:jc w:val="center"/>
    </w:pPr>
    <w:rPr>
      <w:rFonts w:ascii="方正大标宋简体" w:eastAsia="方正大标宋简体" w:hAnsi="宋体"/>
      <w:sz w:val="24"/>
      <w:szCs w:val="24"/>
    </w:rPr>
  </w:style>
  <w:style w:type="paragraph" w:customStyle="1" w:styleId="CM51">
    <w:name w:val="CM51"/>
    <w:basedOn w:val="Default"/>
    <w:next w:val="Default"/>
    <w:semiHidden/>
    <w:rsid w:val="009964C3"/>
    <w:pPr>
      <w:spacing w:line="440" w:lineRule="atLeast"/>
    </w:pPr>
    <w:rPr>
      <w:rFonts w:cs="Times New Roman"/>
      <w:color w:val="auto"/>
    </w:rPr>
  </w:style>
  <w:style w:type="paragraph" w:customStyle="1" w:styleId="12052">
    <w:name w:val="样式1 + 首行缩进:  2 字符 段前: 0.5 行2"/>
    <w:basedOn w:val="10"/>
    <w:semiHidden/>
    <w:rsid w:val="009964C3"/>
    <w:pPr>
      <w:numPr>
        <w:numId w:val="0"/>
      </w:numPr>
      <w:tabs>
        <w:tab w:val="left" w:pos="432"/>
      </w:tabs>
      <w:adjustRightInd/>
      <w:snapToGrid w:val="0"/>
      <w:spacing w:beforeLines="50" w:line="240" w:lineRule="auto"/>
      <w:textAlignment w:val="auto"/>
    </w:pPr>
    <w:rPr>
      <w:rFonts w:ascii="Times New Roman" w:hAnsi="Times New Roman" w:cs="宋体"/>
      <w:snapToGrid w:val="0"/>
    </w:rPr>
  </w:style>
  <w:style w:type="paragraph" w:customStyle="1" w:styleId="afffffffffffffff">
    <w:name w:val="表格(另)"/>
    <w:basedOn w:val="af3"/>
    <w:next w:val="af3"/>
    <w:semiHidden/>
    <w:rsid w:val="009964C3"/>
    <w:pPr>
      <w:jc w:val="center"/>
    </w:pPr>
    <w:rPr>
      <w:rFonts w:eastAsia="仿宋_GB2312"/>
      <w:szCs w:val="21"/>
    </w:rPr>
  </w:style>
  <w:style w:type="paragraph" w:customStyle="1" w:styleId="afffffffffffffff0">
    <w:name w:val="基准页脚样式"/>
    <w:basedOn w:val="af3"/>
    <w:rsid w:val="009964C3"/>
    <w:pPr>
      <w:spacing w:line="240" w:lineRule="exact"/>
      <w:jc w:val="center"/>
    </w:pPr>
    <w:rPr>
      <w:bCs/>
    </w:rPr>
  </w:style>
  <w:style w:type="paragraph" w:customStyle="1" w:styleId="4f8">
    <w:name w:val="标题样式4"/>
    <w:basedOn w:val="43"/>
    <w:rsid w:val="009964C3"/>
    <w:pPr>
      <w:keepNext w:val="0"/>
      <w:keepLines w:val="0"/>
      <w:spacing w:before="0" w:after="0" w:line="360" w:lineRule="auto"/>
    </w:pPr>
    <w:rPr>
      <w:rFonts w:ascii="宋体" w:eastAsia="宋体" w:hAnsi="宋体"/>
      <w:kern w:val="0"/>
      <w:sz w:val="24"/>
      <w:szCs w:val="24"/>
      <w:lang w:val="zh-CN"/>
    </w:rPr>
  </w:style>
  <w:style w:type="paragraph" w:customStyle="1" w:styleId="Web1">
    <w:name w:val="普通(Web)1"/>
    <w:basedOn w:val="af3"/>
    <w:rsid w:val="009964C3"/>
    <w:pPr>
      <w:widowControl/>
      <w:spacing w:line="432" w:lineRule="auto"/>
      <w:jc w:val="left"/>
    </w:pPr>
    <w:rPr>
      <w:rFonts w:ascii="宋体" w:hAnsi="宋体" w:cs="宋体"/>
      <w:kern w:val="0"/>
      <w:sz w:val="24"/>
    </w:rPr>
  </w:style>
  <w:style w:type="paragraph" w:customStyle="1" w:styleId="CharChar3CharCharCharChar">
    <w:name w:val="Char Char3 Char Char Char Char"/>
    <w:basedOn w:val="af3"/>
    <w:semiHidden/>
    <w:rsid w:val="009964C3"/>
    <w:pPr>
      <w:widowControl/>
      <w:spacing w:after="160" w:line="240" w:lineRule="exact"/>
      <w:jc w:val="left"/>
    </w:pPr>
    <w:rPr>
      <w:rFonts w:ascii="Verdana" w:hAnsi="Verdana"/>
      <w:kern w:val="0"/>
      <w:sz w:val="20"/>
      <w:lang w:eastAsia="en-US"/>
    </w:rPr>
  </w:style>
  <w:style w:type="paragraph" w:customStyle="1" w:styleId="afffffffffffffff1">
    <w:name w:val="小四表文居中"/>
    <w:rsid w:val="009964C3"/>
    <w:pPr>
      <w:widowControl w:val="0"/>
      <w:jc w:val="center"/>
    </w:pPr>
    <w:rPr>
      <w:rFonts w:ascii="仿宋_GB2312" w:eastAsia="仿宋_GB2312" w:cs="仿宋_GB2312"/>
      <w:kern w:val="2"/>
      <w:sz w:val="24"/>
      <w:szCs w:val="24"/>
    </w:rPr>
  </w:style>
  <w:style w:type="paragraph" w:customStyle="1" w:styleId="58">
    <w:name w:val="表内小5"/>
    <w:basedOn w:val="af3"/>
    <w:link w:val="5Char4"/>
    <w:rsid w:val="009964C3"/>
    <w:pPr>
      <w:adjustRightInd w:val="0"/>
      <w:snapToGrid w:val="0"/>
      <w:spacing w:line="300" w:lineRule="auto"/>
    </w:pPr>
    <w:rPr>
      <w:rFonts w:ascii="宋体" w:hAnsi="宋体"/>
      <w:sz w:val="18"/>
    </w:rPr>
  </w:style>
  <w:style w:type="paragraph" w:customStyle="1" w:styleId="GB2312098152">
    <w:name w:val="样式 样式 样式 楷体_GB2312 小四 红色 首行缩进:  0.98 厘米 行距: 1.5 倍行距 + 首行缩进:  2 字..."/>
    <w:basedOn w:val="af3"/>
    <w:next w:val="af3"/>
    <w:rsid w:val="009964C3"/>
    <w:pPr>
      <w:spacing w:line="360" w:lineRule="auto"/>
      <w:ind w:firstLineChars="200" w:firstLine="480"/>
    </w:pPr>
    <w:rPr>
      <w:kern w:val="0"/>
      <w:sz w:val="24"/>
    </w:rPr>
  </w:style>
  <w:style w:type="paragraph" w:customStyle="1" w:styleId="575">
    <w:name w:val="表内575"/>
    <w:basedOn w:val="5f2"/>
    <w:rsid w:val="009964C3"/>
    <w:pPr>
      <w:jc w:val="both"/>
    </w:pPr>
    <w:rPr>
      <w:szCs w:val="24"/>
    </w:rPr>
  </w:style>
  <w:style w:type="paragraph" w:customStyle="1" w:styleId="245">
    <w:name w:val="样式 正文文本缩进 + 行距: 固定值 24 磅"/>
    <w:basedOn w:val="af3"/>
    <w:semiHidden/>
    <w:rsid w:val="009964C3"/>
    <w:pPr>
      <w:adjustRightInd w:val="0"/>
      <w:snapToGrid w:val="0"/>
      <w:spacing w:line="360" w:lineRule="auto"/>
      <w:ind w:firstLineChars="200" w:firstLine="560"/>
    </w:pPr>
    <w:rPr>
      <w:rFonts w:ascii="宋体" w:cs="宋体"/>
      <w:sz w:val="24"/>
    </w:rPr>
  </w:style>
  <w:style w:type="paragraph" w:customStyle="1" w:styleId="Char140">
    <w:name w:val="Char14"/>
    <w:basedOn w:val="af3"/>
    <w:rsid w:val="009964C3"/>
    <w:pPr>
      <w:ind w:left="-48"/>
    </w:pPr>
  </w:style>
  <w:style w:type="paragraph" w:customStyle="1" w:styleId="CM159">
    <w:name w:val="CM159"/>
    <w:basedOn w:val="Default"/>
    <w:next w:val="Default"/>
    <w:rsid w:val="009964C3"/>
    <w:pPr>
      <w:spacing w:after="123"/>
    </w:pPr>
    <w:rPr>
      <w:rFonts w:ascii="Sim Sun+ 2" w:eastAsia="Sim Sun+ 2" w:cs="Times New Roman"/>
      <w:color w:val="auto"/>
    </w:rPr>
  </w:style>
  <w:style w:type="paragraph" w:customStyle="1" w:styleId="182">
    <w:name w:val="样式 表格文字居中 + 五号 段前: 自动 行距: 固定值 18 磅"/>
    <w:basedOn w:val="af3"/>
    <w:rsid w:val="009964C3"/>
    <w:pPr>
      <w:keepNext/>
      <w:tabs>
        <w:tab w:val="left" w:pos="628"/>
        <w:tab w:val="left" w:pos="1727"/>
        <w:tab w:val="left" w:pos="1884"/>
      </w:tabs>
      <w:snapToGrid w:val="0"/>
      <w:spacing w:beforeAutospacing="1" w:line="360" w:lineRule="exact"/>
      <w:jc w:val="center"/>
    </w:pPr>
    <w:rPr>
      <w:rFonts w:cs="宋体"/>
      <w:kern w:val="0"/>
      <w:szCs w:val="21"/>
    </w:rPr>
  </w:style>
  <w:style w:type="paragraph" w:customStyle="1" w:styleId="473">
    <w:name w:val="标题473"/>
    <w:basedOn w:val="af3"/>
    <w:rsid w:val="009964C3"/>
    <w:pPr>
      <w:adjustRightInd w:val="0"/>
      <w:snapToGrid w:val="0"/>
      <w:spacing w:line="300" w:lineRule="auto"/>
    </w:pPr>
    <w:rPr>
      <w:rFonts w:ascii="黑体" w:eastAsia="黑体"/>
      <w:sz w:val="24"/>
      <w:szCs w:val="20"/>
    </w:rPr>
  </w:style>
  <w:style w:type="paragraph" w:customStyle="1" w:styleId="cucd-0">
    <w:name w:val="cucd-0"/>
    <w:link w:val="cucd-0Char"/>
    <w:qFormat/>
    <w:rsid w:val="009964C3"/>
    <w:pPr>
      <w:spacing w:line="360" w:lineRule="auto"/>
      <w:ind w:firstLineChars="200" w:firstLine="480"/>
    </w:pPr>
    <w:rPr>
      <w:kern w:val="2"/>
      <w:sz w:val="24"/>
      <w:szCs w:val="24"/>
    </w:rPr>
  </w:style>
  <w:style w:type="paragraph" w:customStyle="1" w:styleId="2ffd">
    <w:name w:val="可研标题2"/>
    <w:basedOn w:val="22"/>
    <w:qFormat/>
    <w:rsid w:val="009964C3"/>
    <w:pPr>
      <w:adjustRightInd w:val="0"/>
      <w:spacing w:before="0" w:after="0" w:line="360" w:lineRule="auto"/>
      <w:textAlignment w:val="baseline"/>
    </w:pPr>
    <w:rPr>
      <w:rFonts w:ascii="Times New Roman" w:hAnsi="Times New Roman"/>
      <w:b w:val="0"/>
      <w:bCs w:val="0"/>
      <w:kern w:val="0"/>
      <w:sz w:val="24"/>
      <w:szCs w:val="24"/>
    </w:rPr>
  </w:style>
  <w:style w:type="paragraph" w:customStyle="1" w:styleId="afffffffffffffff2">
    <w:name w:val="报告"/>
    <w:basedOn w:val="af3"/>
    <w:semiHidden/>
    <w:rsid w:val="009964C3"/>
    <w:pPr>
      <w:spacing w:line="360" w:lineRule="auto"/>
      <w:ind w:firstLineChars="200" w:firstLine="560"/>
    </w:pPr>
    <w:rPr>
      <w:sz w:val="24"/>
    </w:rPr>
  </w:style>
  <w:style w:type="paragraph" w:customStyle="1" w:styleId="ST2036">
    <w:name w:val="ST20_36"/>
    <w:basedOn w:val="affffff"/>
    <w:rsid w:val="009964C3"/>
    <w:pPr>
      <w:keepLines/>
      <w:pBdr>
        <w:bottom w:val="none" w:sz="0" w:space="0" w:color="auto"/>
      </w:pBdr>
      <w:tabs>
        <w:tab w:val="clear" w:pos="4153"/>
        <w:tab w:val="clear" w:pos="8306"/>
        <w:tab w:val="center" w:pos="4320"/>
        <w:tab w:val="right" w:pos="8640"/>
      </w:tabs>
      <w:autoSpaceDE w:val="0"/>
      <w:autoSpaceDN w:val="0"/>
      <w:adjustRightInd w:val="0"/>
      <w:snapToGrid/>
      <w:spacing w:line="360" w:lineRule="atLeast"/>
      <w:jc w:val="left"/>
      <w:textAlignment w:val="baseline"/>
    </w:pPr>
    <w:rPr>
      <w:rFonts w:ascii="宋体" w:hAnsi="Tms Rmn"/>
      <w:kern w:val="0"/>
      <w:sz w:val="28"/>
      <w:szCs w:val="28"/>
    </w:rPr>
  </w:style>
  <w:style w:type="paragraph" w:customStyle="1" w:styleId="dandan6-13CharCharCharCharChar1Char">
    <w:name w:val="dandan6-13正文 Char Char Char Char Char1 Char"/>
    <w:basedOn w:val="af3"/>
    <w:next w:val="af3"/>
    <w:rsid w:val="009964C3"/>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afffffffffffffff3">
    <w:name w:val="表名"/>
    <w:basedOn w:val="af3"/>
    <w:rsid w:val="009964C3"/>
    <w:pPr>
      <w:tabs>
        <w:tab w:val="left" w:pos="1350"/>
      </w:tabs>
      <w:autoSpaceDE w:val="0"/>
      <w:autoSpaceDN w:val="0"/>
      <w:adjustRightInd w:val="0"/>
      <w:snapToGrid w:val="0"/>
      <w:spacing w:before="234" w:after="78" w:line="320" w:lineRule="exact"/>
      <w:ind w:firstLineChars="100" w:firstLine="241"/>
      <w:jc w:val="center"/>
    </w:pPr>
    <w:rPr>
      <w:rFonts w:ascii="Arial" w:eastAsia="楷体_GB2312" w:hAnsi="Arial" w:cs="Arial"/>
      <w:b/>
      <w:sz w:val="24"/>
      <w:shd w:val="clear" w:color="auto" w:fill="FFFFFF"/>
    </w:rPr>
  </w:style>
  <w:style w:type="paragraph" w:customStyle="1" w:styleId="016">
    <w:name w:val="样式 宋体 五号 居中 首行缩进:  0 厘米 行距: 固定值 16 磅"/>
    <w:basedOn w:val="af3"/>
    <w:rsid w:val="009964C3"/>
    <w:pPr>
      <w:adjustRightInd w:val="0"/>
      <w:snapToGrid w:val="0"/>
      <w:spacing w:line="312" w:lineRule="auto"/>
    </w:pPr>
    <w:rPr>
      <w:rFonts w:ascii="宋体" w:hAnsi="宋体" w:cs="宋体"/>
      <w:szCs w:val="21"/>
    </w:rPr>
  </w:style>
  <w:style w:type="paragraph" w:customStyle="1" w:styleId="5113">
    <w:name w:val="表内5113"/>
    <w:basedOn w:val="af3"/>
    <w:rsid w:val="009964C3"/>
    <w:pPr>
      <w:adjustRightInd w:val="0"/>
      <w:snapToGrid w:val="0"/>
      <w:spacing w:line="300" w:lineRule="auto"/>
      <w:jc w:val="left"/>
    </w:pPr>
    <w:rPr>
      <w:rFonts w:ascii="宋体"/>
      <w:szCs w:val="20"/>
    </w:rPr>
  </w:style>
  <w:style w:type="paragraph" w:customStyle="1" w:styleId="Char61">
    <w:name w:val="Char6"/>
    <w:basedOn w:val="af3"/>
    <w:rsid w:val="009964C3"/>
    <w:pPr>
      <w:ind w:left="-48"/>
    </w:pPr>
  </w:style>
  <w:style w:type="paragraph" w:customStyle="1" w:styleId="242CharCharCharChar091">
    <w:name w:val="样式 标题 2项目标题4标题 2 Char Char Char Char + 首行缩进:  0.9 厘米1"/>
    <w:basedOn w:val="22"/>
    <w:rsid w:val="009964C3"/>
    <w:pPr>
      <w:keepNext w:val="0"/>
      <w:keepLines w:val="0"/>
      <w:widowControl/>
      <w:overflowPunct w:val="0"/>
      <w:autoSpaceDE w:val="0"/>
      <w:autoSpaceDN w:val="0"/>
      <w:adjustRightInd w:val="0"/>
      <w:snapToGrid w:val="0"/>
      <w:spacing w:before="240" w:after="240" w:line="240" w:lineRule="auto"/>
      <w:ind w:left="561"/>
      <w:jc w:val="left"/>
      <w:textAlignment w:val="baseline"/>
    </w:pPr>
    <w:rPr>
      <w:rFonts w:ascii="宋体" w:hAnsi="宋体" w:cs="宋体"/>
      <w:b w:val="0"/>
      <w:kern w:val="20"/>
      <w:sz w:val="30"/>
      <w:szCs w:val="20"/>
    </w:rPr>
  </w:style>
  <w:style w:type="paragraph" w:customStyle="1" w:styleId="62">
    <w:name w:val="样式6"/>
    <w:basedOn w:val="31"/>
    <w:link w:val="6Char2"/>
    <w:rsid w:val="009964C3"/>
    <w:pPr>
      <w:keepNext w:val="0"/>
      <w:keepLines w:val="0"/>
      <w:tabs>
        <w:tab w:val="left" w:pos="525"/>
        <w:tab w:val="left" w:pos="709"/>
      </w:tabs>
      <w:spacing w:before="120" w:after="120" w:line="312" w:lineRule="auto"/>
      <w:ind w:left="709" w:hanging="709"/>
    </w:pPr>
    <w:rPr>
      <w:rFonts w:eastAsia="黑体"/>
      <w:sz w:val="24"/>
      <w:szCs w:val="24"/>
    </w:rPr>
  </w:style>
  <w:style w:type="paragraph" w:customStyle="1" w:styleId="97">
    <w:name w:val="9"/>
    <w:basedOn w:val="af3"/>
    <w:next w:val="af4"/>
    <w:semiHidden/>
    <w:rsid w:val="009964C3"/>
    <w:pPr>
      <w:ind w:firstLine="420"/>
    </w:pPr>
    <w:rPr>
      <w:rFonts w:eastAsia="仿宋_GB2312"/>
      <w:sz w:val="28"/>
      <w:szCs w:val="20"/>
    </w:rPr>
  </w:style>
  <w:style w:type="paragraph" w:customStyle="1" w:styleId="afffffffffffffff4">
    <w:name w:val="表头居中"/>
    <w:basedOn w:val="af3"/>
    <w:rsid w:val="009964C3"/>
    <w:pPr>
      <w:tabs>
        <w:tab w:val="left" w:pos="5280"/>
      </w:tabs>
      <w:spacing w:line="360" w:lineRule="auto"/>
      <w:jc w:val="center"/>
    </w:pPr>
    <w:rPr>
      <w:rFonts w:ascii="Arial" w:hAnsi="Arial" w:cs="Arial"/>
      <w:b/>
      <w:sz w:val="24"/>
      <w:szCs w:val="20"/>
    </w:rPr>
  </w:style>
  <w:style w:type="paragraph" w:customStyle="1" w:styleId="4160">
    <w:name w:val="标题416"/>
    <w:basedOn w:val="af3"/>
    <w:rsid w:val="009964C3"/>
    <w:pPr>
      <w:adjustRightInd w:val="0"/>
      <w:snapToGrid w:val="0"/>
      <w:spacing w:line="300" w:lineRule="auto"/>
      <w:jc w:val="left"/>
    </w:pPr>
    <w:rPr>
      <w:rFonts w:ascii="黑体" w:eastAsia="黑体" w:hAnsi="宋体" w:cs="宋体"/>
      <w:bCs/>
      <w:sz w:val="24"/>
      <w:szCs w:val="20"/>
    </w:rPr>
  </w:style>
  <w:style w:type="paragraph" w:customStyle="1" w:styleId="5180">
    <w:name w:val="表内5中18"/>
    <w:basedOn w:val="af3"/>
    <w:rsid w:val="009964C3"/>
    <w:pPr>
      <w:adjustRightInd w:val="0"/>
      <w:snapToGrid w:val="0"/>
      <w:jc w:val="center"/>
    </w:pPr>
    <w:rPr>
      <w:rFonts w:ascii="宋体"/>
    </w:rPr>
  </w:style>
  <w:style w:type="paragraph" w:customStyle="1" w:styleId="2ffe">
    <w:name w:val="表题2"/>
    <w:basedOn w:val="af3"/>
    <w:rsid w:val="009964C3"/>
    <w:pPr>
      <w:widowControl/>
      <w:adjustRightInd w:val="0"/>
      <w:snapToGrid w:val="0"/>
      <w:jc w:val="center"/>
    </w:pPr>
    <w:rPr>
      <w:rFonts w:ascii="黑体" w:eastAsia="黑体" w:hAnsi="宋体" w:cs="宋体"/>
      <w:kern w:val="0"/>
      <w:sz w:val="24"/>
    </w:rPr>
  </w:style>
  <w:style w:type="paragraph" w:customStyle="1" w:styleId="5122">
    <w:name w:val="表内宋5中12"/>
    <w:basedOn w:val="af3"/>
    <w:qFormat/>
    <w:rsid w:val="009964C3"/>
    <w:pPr>
      <w:adjustRightInd w:val="0"/>
      <w:snapToGrid w:val="0"/>
      <w:jc w:val="center"/>
      <w:textAlignment w:val="baseline"/>
    </w:pPr>
    <w:rPr>
      <w:rFonts w:ascii="宋体" w:hAnsi="宋体" w:cs="宋体"/>
      <w:kern w:val="0"/>
      <w:szCs w:val="20"/>
    </w:rPr>
  </w:style>
  <w:style w:type="paragraph" w:customStyle="1" w:styleId="021">
    <w:name w:val="样式 表头 + 居中 段后: 0.2 行1"/>
    <w:basedOn w:val="afffff2"/>
    <w:rsid w:val="009964C3"/>
    <w:pPr>
      <w:overflowPunct/>
      <w:autoSpaceDE/>
      <w:autoSpaceDN/>
      <w:adjustRightInd/>
      <w:spacing w:before="120" w:afterLines="20" w:line="240" w:lineRule="auto"/>
      <w:ind w:firstLine="0"/>
      <w:textAlignment w:val="auto"/>
    </w:pPr>
    <w:rPr>
      <w:rFonts w:ascii="宋体" w:eastAsia="宋体" w:hAnsi="宋体" w:cs="宋体"/>
      <w:bCs/>
      <w:snapToGrid w:val="0"/>
      <w:kern w:val="24"/>
      <w:sz w:val="24"/>
      <w:szCs w:val="20"/>
    </w:rPr>
  </w:style>
  <w:style w:type="paragraph" w:customStyle="1" w:styleId="afffffffffffffff5">
    <w:name w:val="附录一级条标题"/>
    <w:basedOn w:val="afffffffffd"/>
    <w:next w:val="af3"/>
    <w:semiHidden/>
    <w:rsid w:val="009964C3"/>
    <w:pPr>
      <w:tabs>
        <w:tab w:val="clear" w:pos="1200"/>
        <w:tab w:val="left" w:pos="2520"/>
      </w:tabs>
      <w:wordWrap w:val="0"/>
      <w:overflowPunct w:val="0"/>
      <w:autoSpaceDE w:val="0"/>
      <w:autoSpaceDN w:val="0"/>
      <w:adjustRightInd w:val="0"/>
      <w:snapToGrid w:val="0"/>
      <w:spacing w:before="0" w:after="0" w:line="400" w:lineRule="atLeast"/>
      <w:ind w:leftChars="0" w:left="2520" w:firstLineChars="0" w:hanging="420"/>
      <w:jc w:val="both"/>
      <w:textAlignment w:val="baseline"/>
      <w:outlineLvl w:val="2"/>
    </w:pPr>
    <w:rPr>
      <w:rFonts w:ascii="宋体" w:hAnsi="宋体"/>
      <w:kern w:val="21"/>
    </w:rPr>
  </w:style>
  <w:style w:type="paragraph" w:customStyle="1" w:styleId="Char131">
    <w:name w:val="Char131"/>
    <w:basedOn w:val="af3"/>
    <w:rsid w:val="009964C3"/>
    <w:pPr>
      <w:ind w:left="-48"/>
    </w:pPr>
  </w:style>
  <w:style w:type="paragraph" w:customStyle="1" w:styleId="106">
    <w:name w:val="页眉中106"/>
    <w:basedOn w:val="af3"/>
    <w:rsid w:val="009964C3"/>
    <w:pPr>
      <w:adjustRightInd w:val="0"/>
      <w:snapToGrid w:val="0"/>
      <w:spacing w:line="300" w:lineRule="auto"/>
      <w:jc w:val="left"/>
    </w:pPr>
    <w:rPr>
      <w:rFonts w:ascii="黑体" w:eastAsia="黑体"/>
      <w:bCs/>
      <w:sz w:val="24"/>
      <w:szCs w:val="20"/>
    </w:rPr>
  </w:style>
  <w:style w:type="paragraph" w:customStyle="1" w:styleId="537">
    <w:name w:val="表内53"/>
    <w:basedOn w:val="af3"/>
    <w:rsid w:val="009964C3"/>
    <w:pPr>
      <w:adjustRightInd w:val="0"/>
      <w:snapToGrid w:val="0"/>
      <w:spacing w:line="300" w:lineRule="auto"/>
      <w:jc w:val="left"/>
    </w:pPr>
    <w:rPr>
      <w:rFonts w:ascii="宋体"/>
      <w:szCs w:val="20"/>
    </w:rPr>
  </w:style>
  <w:style w:type="paragraph" w:customStyle="1" w:styleId="5155Char1CharChar">
    <w:name w:val="样式 标题 51)项标5标题 5 Char1) Char项 Char一级项 +"/>
    <w:basedOn w:val="51"/>
    <w:rsid w:val="009964C3"/>
    <w:pPr>
      <w:tabs>
        <w:tab w:val="left" w:pos="2138"/>
      </w:tabs>
      <w:adjustRightInd w:val="0"/>
      <w:spacing w:line="360" w:lineRule="auto"/>
      <w:ind w:hanging="992"/>
      <w:jc w:val="left"/>
      <w:textAlignment w:val="baseline"/>
    </w:pPr>
    <w:rPr>
      <w:rFonts w:ascii="宋体" w:eastAsia="宋体" w:hAnsi="宋体"/>
      <w:spacing w:val="0"/>
      <w:kern w:val="0"/>
      <w:position w:val="0"/>
      <w:szCs w:val="28"/>
    </w:rPr>
  </w:style>
  <w:style w:type="paragraph" w:customStyle="1" w:styleId="1ff9">
    <w:name w:val="列出段落1"/>
    <w:basedOn w:val="af3"/>
    <w:semiHidden/>
    <w:rsid w:val="009964C3"/>
    <w:pPr>
      <w:ind w:firstLineChars="200" w:firstLine="420"/>
    </w:pPr>
    <w:rPr>
      <w:rFonts w:ascii="Calibri" w:hAnsi="Calibri"/>
      <w:szCs w:val="22"/>
    </w:rPr>
  </w:style>
  <w:style w:type="paragraph" w:customStyle="1" w:styleId="4-25CharChar">
    <w:name w:val="4-25正 Char Char"/>
    <w:basedOn w:val="af3"/>
    <w:link w:val="4-25CharCharChar"/>
    <w:rsid w:val="009964C3"/>
    <w:pPr>
      <w:widowControl/>
      <w:spacing w:before="40" w:after="40" w:line="360" w:lineRule="auto"/>
      <w:ind w:firstLineChars="200" w:firstLine="480"/>
    </w:pPr>
    <w:rPr>
      <w:rFonts w:cs="宋体"/>
      <w:b/>
      <w:sz w:val="24"/>
    </w:rPr>
  </w:style>
  <w:style w:type="paragraph" w:customStyle="1" w:styleId="2215">
    <w:name w:val="样式 正文首行缩进 2 + 首行缩进:  2 字符 行距: 1.5 倍行距"/>
    <w:basedOn w:val="2f"/>
    <w:rsid w:val="009964C3"/>
    <w:pPr>
      <w:adjustRightInd/>
      <w:snapToGrid/>
      <w:spacing w:line="440" w:lineRule="exact"/>
      <w:ind w:firstLine="200"/>
    </w:pPr>
    <w:rPr>
      <w:rFonts w:cs="宋体"/>
      <w:color w:val="000000"/>
    </w:rPr>
  </w:style>
  <w:style w:type="paragraph" w:customStyle="1" w:styleId="CharChar20CharCharCharChar">
    <w:name w:val="Char Char20 Char Char Char Char"/>
    <w:basedOn w:val="af3"/>
    <w:rsid w:val="009964C3"/>
  </w:style>
  <w:style w:type="paragraph" w:customStyle="1" w:styleId="afffffffffffffff6">
    <w:name w:val="附录二级条"/>
    <w:basedOn w:val="afffffffffffffff7"/>
    <w:next w:val="43"/>
    <w:rsid w:val="009964C3"/>
    <w:pPr>
      <w:tabs>
        <w:tab w:val="clear" w:pos="1200"/>
        <w:tab w:val="left" w:pos="360"/>
      </w:tabs>
      <w:ind w:left="360"/>
    </w:pPr>
  </w:style>
  <w:style w:type="paragraph" w:customStyle="1" w:styleId="ST2032">
    <w:name w:val="ST20_32"/>
    <w:basedOn w:val="affe"/>
    <w:rsid w:val="009964C3"/>
    <w:pPr>
      <w:keepLines/>
      <w:widowControl w:val="0"/>
      <w:tabs>
        <w:tab w:val="clear" w:pos="4153"/>
        <w:tab w:val="clear" w:pos="8306"/>
        <w:tab w:val="center" w:pos="4320"/>
      </w:tabs>
      <w:autoSpaceDE w:val="0"/>
      <w:autoSpaceDN w:val="0"/>
      <w:adjustRightInd w:val="0"/>
      <w:snapToGrid/>
      <w:spacing w:line="360" w:lineRule="atLeast"/>
      <w:jc w:val="center"/>
      <w:textAlignment w:val="baseline"/>
    </w:pPr>
    <w:rPr>
      <w:rFonts w:hAnsi="Tms Rmn" w:cs="Times New Roman"/>
      <w:sz w:val="28"/>
      <w:szCs w:val="20"/>
    </w:rPr>
  </w:style>
  <w:style w:type="paragraph" w:customStyle="1" w:styleId="a6">
    <w:name w:val="前言、引言标题"/>
    <w:next w:val="af3"/>
    <w:rsid w:val="009964C3"/>
    <w:pPr>
      <w:numPr>
        <w:numId w:val="23"/>
      </w:num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afffffffffffffff8">
    <w:name w:val="正文表标题"/>
    <w:next w:val="43"/>
    <w:rsid w:val="009964C3"/>
    <w:pPr>
      <w:ind w:left="4725"/>
      <w:jc w:val="center"/>
    </w:pPr>
    <w:rPr>
      <w:rFonts w:ascii="黑体" w:eastAsia="黑体"/>
      <w:sz w:val="21"/>
    </w:rPr>
  </w:style>
  <w:style w:type="paragraph" w:customStyle="1" w:styleId="1051">
    <w:name w:val="样式 标题 1 + 段前: 0.5 行"/>
    <w:basedOn w:val="13"/>
    <w:semiHidden/>
    <w:rsid w:val="009964C3"/>
    <w:pPr>
      <w:pageBreakBefore/>
      <w:tabs>
        <w:tab w:val="left" w:pos="1440"/>
      </w:tabs>
      <w:snapToGrid w:val="0"/>
      <w:spacing w:beforeLines="50" w:after="0" w:line="336" w:lineRule="auto"/>
      <w:ind w:left="432" w:firstLineChars="200" w:firstLine="601"/>
      <w:jc w:val="left"/>
    </w:pPr>
    <w:rPr>
      <w:rFonts w:eastAsia="华文细黑"/>
      <w:b w:val="0"/>
      <w:bCs w:val="0"/>
      <w:kern w:val="0"/>
      <w:sz w:val="30"/>
      <w:szCs w:val="24"/>
    </w:rPr>
  </w:style>
  <w:style w:type="paragraph" w:customStyle="1" w:styleId="529">
    <w:name w:val="表内529"/>
    <w:basedOn w:val="af3"/>
    <w:qFormat/>
    <w:rsid w:val="009964C3"/>
    <w:pPr>
      <w:adjustRightInd w:val="0"/>
      <w:snapToGrid w:val="0"/>
      <w:ind w:right="32"/>
      <w:jc w:val="center"/>
    </w:pPr>
    <w:rPr>
      <w:rFonts w:ascii="宋体"/>
      <w:color w:val="000000"/>
      <w:kern w:val="0"/>
      <w:szCs w:val="21"/>
    </w:rPr>
  </w:style>
  <w:style w:type="paragraph" w:customStyle="1" w:styleId="afffffffffffffff9">
    <w:name w:val="环正文"/>
    <w:basedOn w:val="af3"/>
    <w:qFormat/>
    <w:rsid w:val="009964C3"/>
    <w:pPr>
      <w:widowControl/>
      <w:suppressAutoHyphens/>
      <w:adjustRightInd w:val="0"/>
      <w:spacing w:line="360" w:lineRule="auto"/>
      <w:ind w:firstLineChars="225" w:firstLine="540"/>
      <w:textAlignment w:val="baseline"/>
    </w:pPr>
    <w:rPr>
      <w:rFonts w:hAnsi="宋体"/>
      <w:kern w:val="0"/>
      <w:sz w:val="24"/>
    </w:rPr>
  </w:style>
  <w:style w:type="paragraph" w:customStyle="1" w:styleId="ac">
    <w:name w:val="表格标题—小四"/>
    <w:basedOn w:val="af3"/>
    <w:rsid w:val="009964C3"/>
    <w:pPr>
      <w:numPr>
        <w:numId w:val="24"/>
      </w:numPr>
      <w:tabs>
        <w:tab w:val="left" w:pos="2815"/>
      </w:tabs>
      <w:spacing w:before="100" w:beforeAutospacing="1" w:after="100" w:afterAutospacing="1" w:line="312" w:lineRule="auto"/>
      <w:jc w:val="center"/>
    </w:pPr>
    <w:rPr>
      <w:b/>
      <w:sz w:val="24"/>
    </w:rPr>
  </w:style>
  <w:style w:type="paragraph" w:customStyle="1" w:styleId="afffffffffffffffa">
    <w:name w:val="文本框文字"/>
    <w:basedOn w:val="af3"/>
    <w:rsid w:val="009964C3"/>
    <w:pPr>
      <w:overflowPunct w:val="0"/>
      <w:adjustRightInd w:val="0"/>
      <w:jc w:val="center"/>
    </w:pPr>
    <w:rPr>
      <w:kern w:val="0"/>
      <w:sz w:val="24"/>
      <w:szCs w:val="20"/>
    </w:rPr>
  </w:style>
  <w:style w:type="paragraph" w:customStyle="1" w:styleId="Centrage">
    <w:name w:val="*Centrage"/>
    <w:qFormat/>
    <w:rsid w:val="009964C3"/>
    <w:pPr>
      <w:spacing w:line="280" w:lineRule="atLeast"/>
      <w:jc w:val="center"/>
    </w:pPr>
    <w:rPr>
      <w:b/>
      <w:sz w:val="28"/>
      <w:lang w:val="fr-FR"/>
    </w:rPr>
  </w:style>
  <w:style w:type="paragraph" w:customStyle="1" w:styleId="583">
    <w:name w:val="表内583"/>
    <w:basedOn w:val="af3"/>
    <w:rsid w:val="009964C3"/>
    <w:pPr>
      <w:adjustRightInd w:val="0"/>
      <w:snapToGrid w:val="0"/>
      <w:spacing w:line="300" w:lineRule="auto"/>
      <w:jc w:val="left"/>
    </w:pPr>
    <w:rPr>
      <w:rFonts w:ascii="宋体"/>
      <w:szCs w:val="20"/>
    </w:rPr>
  </w:style>
  <w:style w:type="paragraph" w:customStyle="1" w:styleId="47">
    <w:name w:val="样式4(正文)"/>
    <w:basedOn w:val="af3"/>
    <w:link w:val="4Char4"/>
    <w:semiHidden/>
    <w:qFormat/>
    <w:rsid w:val="009964C3"/>
    <w:pPr>
      <w:adjustRightInd w:val="0"/>
      <w:snapToGrid w:val="0"/>
      <w:spacing w:line="500" w:lineRule="exact"/>
      <w:ind w:firstLineChars="176" w:firstLine="176"/>
    </w:pPr>
    <w:rPr>
      <w:sz w:val="28"/>
      <w:szCs w:val="28"/>
    </w:rPr>
  </w:style>
  <w:style w:type="paragraph" w:customStyle="1" w:styleId="523">
    <w:name w:val="表内5中23"/>
    <w:basedOn w:val="af3"/>
    <w:rsid w:val="009964C3"/>
    <w:pPr>
      <w:adjustRightInd w:val="0"/>
      <w:snapToGrid w:val="0"/>
      <w:jc w:val="center"/>
    </w:pPr>
    <w:rPr>
      <w:rFonts w:ascii="宋体"/>
      <w:color w:val="000000"/>
      <w:szCs w:val="21"/>
    </w:rPr>
  </w:style>
  <w:style w:type="paragraph" w:customStyle="1" w:styleId="afffffffffffffffb">
    <w:name w:val="需要资料"/>
    <w:basedOn w:val="af3"/>
    <w:rsid w:val="009964C3"/>
    <w:pPr>
      <w:adjustRightInd w:val="0"/>
      <w:snapToGrid w:val="0"/>
      <w:spacing w:line="360" w:lineRule="auto"/>
      <w:ind w:firstLineChars="200" w:firstLine="480"/>
    </w:pPr>
    <w:rPr>
      <w:rFonts w:ascii="黑体" w:eastAsia="黑体"/>
      <w:color w:val="0000FF"/>
      <w:sz w:val="24"/>
    </w:rPr>
  </w:style>
  <w:style w:type="paragraph" w:customStyle="1" w:styleId="122">
    <w:name w:val="表题12"/>
    <w:basedOn w:val="afffffff4"/>
    <w:rsid w:val="009964C3"/>
    <w:pPr>
      <w:tabs>
        <w:tab w:val="clear" w:pos="4305"/>
      </w:tabs>
      <w:spacing w:line="240" w:lineRule="auto"/>
      <w:ind w:firstLine="0"/>
      <w:jc w:val="center"/>
    </w:pPr>
    <w:rPr>
      <w:rFonts w:ascii="黑体" w:eastAsia="黑体" w:hAnsi="Times" w:cs="Times New Roman"/>
    </w:rPr>
  </w:style>
  <w:style w:type="paragraph" w:customStyle="1" w:styleId="5130">
    <w:name w:val="样式 表内5 + (符号) 宋体 两端对齐 行距: 单倍行距13"/>
    <w:basedOn w:val="af3"/>
    <w:rsid w:val="009964C3"/>
    <w:pPr>
      <w:adjustRightInd w:val="0"/>
      <w:snapToGrid w:val="0"/>
      <w:jc w:val="center"/>
    </w:pPr>
    <w:rPr>
      <w:rFonts w:ascii="宋体" w:hAnsi="宋体" w:cs="宋体"/>
      <w:kern w:val="0"/>
      <w:szCs w:val="20"/>
    </w:rPr>
  </w:style>
  <w:style w:type="paragraph" w:customStyle="1" w:styleId="afffffffffffff">
    <w:name w:val="我要的文章主体"/>
    <w:basedOn w:val="af3"/>
    <w:semiHidden/>
    <w:locked/>
    <w:rsid w:val="009964C3"/>
    <w:pPr>
      <w:spacing w:before="120" w:after="120" w:line="360" w:lineRule="exact"/>
      <w:ind w:firstLineChars="200" w:firstLine="480"/>
    </w:pPr>
    <w:rPr>
      <w:rFonts w:ascii="Arial Unicode MS" w:hAnsi="Arial Unicode MS"/>
      <w:sz w:val="24"/>
    </w:rPr>
  </w:style>
  <w:style w:type="paragraph" w:customStyle="1" w:styleId="afffffffffffffffc">
    <w:name w:val="二级无标题条"/>
    <w:basedOn w:val="af3"/>
    <w:rsid w:val="009964C3"/>
    <w:pPr>
      <w:spacing w:line="360" w:lineRule="auto"/>
    </w:pPr>
    <w:rPr>
      <w:rFonts w:ascii="宋体"/>
      <w:sz w:val="24"/>
    </w:rPr>
  </w:style>
  <w:style w:type="paragraph" w:customStyle="1" w:styleId="436">
    <w:name w:val="等核实43"/>
    <w:basedOn w:val="afffffff4"/>
    <w:rsid w:val="009964C3"/>
    <w:pPr>
      <w:spacing w:line="300" w:lineRule="auto"/>
      <w:ind w:firstLine="567"/>
    </w:pPr>
    <w:rPr>
      <w:rFonts w:cs="Times New Roman"/>
      <w:color w:val="0000FF"/>
      <w:sz w:val="28"/>
      <w:szCs w:val="20"/>
    </w:rPr>
  </w:style>
  <w:style w:type="paragraph" w:customStyle="1" w:styleId="afffffffffffffffd">
    <w:name w:val="一级"/>
    <w:basedOn w:val="13"/>
    <w:semiHidden/>
    <w:rsid w:val="009964C3"/>
    <w:pPr>
      <w:keepNext w:val="0"/>
      <w:keepLines w:val="0"/>
      <w:pageBreakBefore/>
      <w:tabs>
        <w:tab w:val="left" w:pos="1021"/>
        <w:tab w:val="left" w:pos="4380"/>
      </w:tabs>
      <w:spacing w:before="0" w:after="0" w:line="480" w:lineRule="auto"/>
      <w:ind w:left="3372" w:hanging="432"/>
      <w:jc w:val="center"/>
    </w:pPr>
    <w:rPr>
      <w:rFonts w:ascii="宋体"/>
      <w:b w:val="0"/>
      <w:bCs w:val="0"/>
      <w:kern w:val="2"/>
      <w:szCs w:val="32"/>
    </w:rPr>
  </w:style>
  <w:style w:type="paragraph" w:customStyle="1" w:styleId="afffffffffffffffe">
    <w:name w:val="图编号"/>
    <w:basedOn w:val="afff0"/>
    <w:rsid w:val="009964C3"/>
    <w:pPr>
      <w:tabs>
        <w:tab w:val="left" w:pos="675"/>
      </w:tabs>
      <w:adjustRightInd/>
      <w:snapToGrid/>
      <w:spacing w:before="300" w:after="300" w:line="360" w:lineRule="auto"/>
      <w:ind w:left="675" w:hanging="315"/>
    </w:pPr>
    <w:rPr>
      <w:color w:val="auto"/>
      <w:szCs w:val="24"/>
    </w:rPr>
  </w:style>
  <w:style w:type="paragraph" w:customStyle="1" w:styleId="brdrw15brsp20tqctx4153t">
    <w:name w:val="brdrw15brsp20 tqctx4153t"/>
    <w:rsid w:val="009964C3"/>
    <w:pPr>
      <w:widowControl w:val="0"/>
      <w:pBdr>
        <w:bottom w:val="single" w:sz="6" w:space="0" w:color="auto"/>
      </w:pBdr>
      <w:adjustRightInd w:val="0"/>
      <w:spacing w:line="312" w:lineRule="atLeast"/>
      <w:jc w:val="center"/>
      <w:textAlignment w:val="baseline"/>
    </w:pPr>
    <w:rPr>
      <w:sz w:val="21"/>
    </w:rPr>
  </w:style>
  <w:style w:type="paragraph" w:customStyle="1" w:styleId="2b">
    <w:name w:val="样式 标题 2 +"/>
    <w:basedOn w:val="22"/>
    <w:next w:val="af3"/>
    <w:link w:val="2Char7"/>
    <w:rsid w:val="009964C3"/>
    <w:pPr>
      <w:keepNext w:val="0"/>
      <w:keepLines w:val="0"/>
      <w:widowControl/>
      <w:overflowPunct w:val="0"/>
      <w:autoSpaceDE w:val="0"/>
      <w:autoSpaceDN w:val="0"/>
      <w:adjustRightInd w:val="0"/>
      <w:snapToGrid w:val="0"/>
      <w:spacing w:beforeLines="100" w:afterLines="100" w:line="240" w:lineRule="auto"/>
      <w:ind w:left="561"/>
      <w:jc w:val="left"/>
      <w:textAlignment w:val="baseline"/>
    </w:pPr>
    <w:rPr>
      <w:bCs w:val="0"/>
      <w:kern w:val="20"/>
      <w:sz w:val="30"/>
      <w:szCs w:val="20"/>
    </w:rPr>
  </w:style>
  <w:style w:type="paragraph" w:customStyle="1" w:styleId="affffffffffffffff">
    <w:name w:val="鑫裕表文字"/>
    <w:basedOn w:val="af3"/>
    <w:rsid w:val="009964C3"/>
    <w:pPr>
      <w:overflowPunct w:val="0"/>
      <w:autoSpaceDE w:val="0"/>
      <w:autoSpaceDN w:val="0"/>
      <w:adjustRightInd w:val="0"/>
      <w:spacing w:line="240" w:lineRule="atLeast"/>
      <w:jc w:val="center"/>
      <w:textAlignment w:val="baseline"/>
    </w:pPr>
    <w:rPr>
      <w:kern w:val="0"/>
      <w:szCs w:val="20"/>
    </w:rPr>
  </w:style>
  <w:style w:type="paragraph" w:customStyle="1" w:styleId="1Arial">
    <w:name w:val="样式 标题 1 + (西文) Arial (中文) 黑体"/>
    <w:basedOn w:val="13"/>
    <w:rsid w:val="009964C3"/>
    <w:pPr>
      <w:spacing w:before="120" w:line="360" w:lineRule="auto"/>
    </w:pPr>
    <w:rPr>
      <w:rFonts w:ascii="Arial" w:hAnsi="Arial" w:cs="Arial"/>
      <w:b w:val="0"/>
      <w:bCs w:val="0"/>
      <w:color w:val="000000"/>
      <w:sz w:val="24"/>
      <w:szCs w:val="20"/>
    </w:rPr>
  </w:style>
  <w:style w:type="paragraph" w:customStyle="1" w:styleId="4f9">
    <w:name w:val="标题4."/>
    <w:basedOn w:val="af3"/>
    <w:rsid w:val="009964C3"/>
    <w:pPr>
      <w:tabs>
        <w:tab w:val="left" w:pos="2946"/>
      </w:tabs>
      <w:spacing w:line="312" w:lineRule="auto"/>
      <w:ind w:left="1997" w:hanging="851"/>
    </w:pPr>
    <w:rPr>
      <w:sz w:val="24"/>
    </w:rPr>
  </w:style>
  <w:style w:type="paragraph" w:customStyle="1" w:styleId="xl130">
    <w:name w:val="xl130"/>
    <w:basedOn w:val="af3"/>
    <w:semiHidden/>
    <w:rsid w:val="009964C3"/>
    <w:pPr>
      <w:widowControl/>
      <w:pBdr>
        <w:left w:val="single" w:sz="4" w:space="0" w:color="auto"/>
        <w:right w:val="single" w:sz="4" w:space="0" w:color="auto"/>
      </w:pBdr>
      <w:spacing w:before="100" w:beforeAutospacing="1" w:after="100" w:afterAutospacing="1"/>
      <w:textAlignment w:val="center"/>
    </w:pPr>
    <w:rPr>
      <w:rFonts w:ascii="宋体" w:hAnsi="宋体" w:cs="宋体"/>
      <w:kern w:val="0"/>
      <w:sz w:val="24"/>
    </w:rPr>
  </w:style>
  <w:style w:type="paragraph" w:customStyle="1" w:styleId="1f5">
    <w:name w:val="表1"/>
    <w:basedOn w:val="46"/>
    <w:link w:val="1Chare"/>
    <w:semiHidden/>
    <w:locked/>
    <w:rsid w:val="009964C3"/>
    <w:pPr>
      <w:keepNext w:val="0"/>
      <w:keepLines w:val="0"/>
      <w:spacing w:before="0" w:line="360" w:lineRule="exact"/>
      <w:ind w:firstLineChars="200" w:firstLine="200"/>
      <w:textAlignment w:val="baseline"/>
    </w:pPr>
    <w:rPr>
      <w:rFonts w:ascii="Arial Unicode MS" w:eastAsia="宋体" w:hAnsi="Arial Unicode MS"/>
      <w:bCs w:val="0"/>
      <w:kern w:val="0"/>
      <w:szCs w:val="21"/>
    </w:rPr>
  </w:style>
  <w:style w:type="paragraph" w:customStyle="1" w:styleId="xl151">
    <w:name w:val="xl151"/>
    <w:basedOn w:val="af3"/>
    <w:rsid w:val="009964C3"/>
    <w:pPr>
      <w:widowControl/>
      <w:pBdr>
        <w:left w:val="single" w:sz="8" w:space="0" w:color="auto"/>
        <w:bottom w:val="single" w:sz="8" w:space="0" w:color="auto"/>
      </w:pBdr>
      <w:spacing w:before="100" w:beforeAutospacing="1" w:after="100" w:afterAutospacing="1"/>
      <w:jc w:val="left"/>
    </w:pPr>
    <w:rPr>
      <w:rFonts w:ascii="宋体" w:hAnsi="宋体" w:cs="宋体"/>
      <w:kern w:val="0"/>
      <w:sz w:val="18"/>
      <w:szCs w:val="18"/>
    </w:rPr>
  </w:style>
  <w:style w:type="paragraph" w:customStyle="1" w:styleId="1210">
    <w:name w:val="样式 样式1 + 首行缩进:  2 字符1"/>
    <w:basedOn w:val="10"/>
    <w:rsid w:val="009964C3"/>
    <w:pPr>
      <w:numPr>
        <w:numId w:val="0"/>
      </w:numPr>
      <w:tabs>
        <w:tab w:val="left" w:pos="432"/>
      </w:tabs>
      <w:adjustRightInd/>
      <w:ind w:firstLineChars="200" w:firstLine="480"/>
      <w:textAlignment w:val="auto"/>
    </w:pPr>
    <w:rPr>
      <w:rFonts w:ascii="Times New Roman" w:hAnsi="Times New Roman"/>
      <w:kern w:val="2"/>
    </w:rPr>
  </w:style>
  <w:style w:type="paragraph" w:customStyle="1" w:styleId="affffffffffffffff0">
    <w:name w:val="文章主体格式"/>
    <w:basedOn w:val="af3"/>
    <w:semiHidden/>
    <w:locked/>
    <w:rsid w:val="009964C3"/>
    <w:pPr>
      <w:spacing w:before="120" w:after="120" w:line="360" w:lineRule="auto"/>
      <w:ind w:firstLineChars="200" w:firstLine="480"/>
    </w:pPr>
    <w:rPr>
      <w:rFonts w:ascii="Arial Unicode MS" w:hAnsi="Arial Unicode MS" w:cs="宋体"/>
      <w:sz w:val="24"/>
    </w:rPr>
  </w:style>
  <w:style w:type="paragraph" w:customStyle="1" w:styleId="544">
    <w:name w:val="表题54"/>
    <w:basedOn w:val="afffffff4"/>
    <w:rsid w:val="009964C3"/>
    <w:pPr>
      <w:spacing w:line="240" w:lineRule="auto"/>
      <w:ind w:firstLine="0"/>
      <w:jc w:val="center"/>
    </w:pPr>
    <w:rPr>
      <w:rFonts w:ascii="黑体" w:eastAsia="黑体" w:cs="Times New Roman"/>
      <w:szCs w:val="20"/>
    </w:rPr>
  </w:style>
  <w:style w:type="paragraph" w:customStyle="1" w:styleId="TimesNewRoman085">
    <w:name w:val="样式 (西文) Times New Roman 小四 首行缩进:  0.85 厘米"/>
    <w:basedOn w:val="af3"/>
    <w:semiHidden/>
    <w:rsid w:val="009964C3"/>
    <w:pPr>
      <w:snapToGrid w:val="0"/>
      <w:spacing w:beforeLines="50"/>
      <w:ind w:firstLine="482"/>
    </w:pPr>
    <w:rPr>
      <w:rFonts w:cs="宋体"/>
      <w:snapToGrid w:val="0"/>
      <w:sz w:val="24"/>
      <w:szCs w:val="20"/>
    </w:rPr>
  </w:style>
  <w:style w:type="paragraph" w:customStyle="1" w:styleId="1030">
    <w:name w:val="页眉中103"/>
    <w:basedOn w:val="af3"/>
    <w:rsid w:val="009964C3"/>
    <w:pPr>
      <w:adjustRightInd w:val="0"/>
      <w:snapToGrid w:val="0"/>
      <w:spacing w:line="300" w:lineRule="auto"/>
      <w:jc w:val="left"/>
    </w:pPr>
    <w:rPr>
      <w:rFonts w:ascii="黑体" w:eastAsia="黑体"/>
      <w:bCs/>
      <w:sz w:val="24"/>
      <w:szCs w:val="20"/>
    </w:rPr>
  </w:style>
  <w:style w:type="paragraph" w:customStyle="1" w:styleId="2fff">
    <w:name w:val="样式 题注 + 首行缩进:  2 字符"/>
    <w:basedOn w:val="afff2"/>
    <w:rsid w:val="009964C3"/>
    <w:pPr>
      <w:adjustRightInd w:val="0"/>
      <w:snapToGrid w:val="0"/>
      <w:spacing w:line="360" w:lineRule="auto"/>
      <w:ind w:firstLineChars="200" w:firstLine="400"/>
      <w:jc w:val="center"/>
    </w:pPr>
    <w:rPr>
      <w:rFonts w:ascii="黑体" w:hAnsi="宋体" w:cs="宋体"/>
      <w:sz w:val="24"/>
      <w:szCs w:val="24"/>
    </w:rPr>
  </w:style>
  <w:style w:type="paragraph" w:customStyle="1" w:styleId="StandardformatHartu">
    <w:name w:val="Standardformat Hartu"/>
    <w:rsid w:val="009964C3"/>
    <w:pPr>
      <w:spacing w:after="240" w:line="240" w:lineRule="exact"/>
    </w:pPr>
    <w:rPr>
      <w:rFonts w:ascii="elite" w:hAnsi="elite"/>
      <w:sz w:val="24"/>
      <w:lang w:val="de-DE" w:eastAsia="de-DE"/>
    </w:rPr>
  </w:style>
  <w:style w:type="paragraph" w:customStyle="1" w:styleId="010">
    <w:name w:val="0列表1"/>
    <w:basedOn w:val="1ffa"/>
    <w:semiHidden/>
    <w:rsid w:val="009964C3"/>
    <w:pPr>
      <w:tabs>
        <w:tab w:val="clear" w:pos="1727"/>
        <w:tab w:val="clear" w:pos="1884"/>
      </w:tabs>
      <w:spacing w:before="0" w:beforeAutospacing="0"/>
      <w:ind w:firstLine="561"/>
      <w:jc w:val="both"/>
      <w:outlineLvl w:val="9"/>
    </w:pPr>
    <w:rPr>
      <w:rFonts w:ascii="Times New Roman"/>
      <w:sz w:val="21"/>
    </w:rPr>
  </w:style>
  <w:style w:type="paragraph" w:customStyle="1" w:styleId="5190">
    <w:name w:val="表内宋5中19"/>
    <w:basedOn w:val="af3"/>
    <w:rsid w:val="009964C3"/>
    <w:pPr>
      <w:adjustRightInd w:val="0"/>
      <w:snapToGrid w:val="0"/>
      <w:spacing w:line="360" w:lineRule="auto"/>
      <w:textAlignment w:val="baseline"/>
    </w:pPr>
    <w:rPr>
      <w:rFonts w:ascii="宋体" w:hAnsi="宋体"/>
      <w:kern w:val="0"/>
      <w:szCs w:val="21"/>
    </w:rPr>
  </w:style>
  <w:style w:type="paragraph" w:customStyle="1" w:styleId="CUCD-D">
    <w:name w:val="CUCD-D"/>
    <w:basedOn w:val="CUCD-00"/>
    <w:next w:val="CUCD-00"/>
    <w:semiHidden/>
    <w:rsid w:val="009964C3"/>
    <w:pPr>
      <w:outlineLvl w:val="3"/>
    </w:pPr>
  </w:style>
  <w:style w:type="paragraph" w:customStyle="1" w:styleId="3000">
    <w:name w:val="样式 标题 3 + 五号 非加粗 段前: 0 磅 段后: 0 磅 行距: 最小值 0 磅"/>
    <w:basedOn w:val="31"/>
    <w:rsid w:val="009964C3"/>
    <w:pPr>
      <w:keepNext w:val="0"/>
      <w:keepLines w:val="0"/>
      <w:tabs>
        <w:tab w:val="left" w:pos="1260"/>
      </w:tabs>
      <w:spacing w:before="120" w:after="0" w:line="0" w:lineRule="atLeast"/>
      <w:jc w:val="center"/>
    </w:pPr>
    <w:rPr>
      <w:rFonts w:eastAsia="黑体"/>
      <w:b w:val="0"/>
      <w:bCs w:val="0"/>
      <w:snapToGrid w:val="0"/>
      <w:sz w:val="21"/>
      <w:szCs w:val="20"/>
    </w:rPr>
  </w:style>
  <w:style w:type="paragraph" w:customStyle="1" w:styleId="affffffffffffffff1">
    <w:name w:val="三级标题"/>
    <w:basedOn w:val="affffffff7"/>
    <w:semiHidden/>
    <w:rsid w:val="009964C3"/>
    <w:pPr>
      <w:tabs>
        <w:tab w:val="left" w:pos="1320"/>
      </w:tabs>
      <w:spacing w:line="420" w:lineRule="exact"/>
      <w:ind w:firstLineChars="200" w:firstLine="482"/>
    </w:pPr>
    <w:rPr>
      <w:rFonts w:hAnsi="Arial" w:cs="Times New Roman"/>
      <w:b/>
      <w:bCs/>
      <w:spacing w:val="6"/>
      <w:szCs w:val="20"/>
    </w:rPr>
  </w:style>
  <w:style w:type="paragraph" w:customStyle="1" w:styleId="dandan6-13CharCharChar">
    <w:name w:val="dandan6-13正文 Char Char Char"/>
    <w:basedOn w:val="af3"/>
    <w:next w:val="af3"/>
    <w:rsid w:val="009964C3"/>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252">
    <w:name w:val="表题25"/>
    <w:basedOn w:val="afffffff4"/>
    <w:rsid w:val="009964C3"/>
    <w:pPr>
      <w:spacing w:line="240" w:lineRule="auto"/>
      <w:ind w:firstLine="0"/>
      <w:jc w:val="center"/>
    </w:pPr>
    <w:rPr>
      <w:rFonts w:ascii="黑体" w:eastAsia="黑体" w:cs="Times New Roman"/>
      <w:color w:val="auto"/>
    </w:rPr>
  </w:style>
  <w:style w:type="paragraph" w:customStyle="1" w:styleId="2410">
    <w:name w:val="样式 表标题2.4 + 居中 段前: 1 行"/>
    <w:basedOn w:val="240"/>
    <w:link w:val="241Char"/>
    <w:rsid w:val="009964C3"/>
    <w:pPr>
      <w:spacing w:before="312"/>
      <w:jc w:val="center"/>
    </w:pPr>
    <w:rPr>
      <w:rFonts w:cs="宋体"/>
      <w:bCs/>
    </w:rPr>
  </w:style>
  <w:style w:type="paragraph" w:customStyle="1" w:styleId="630">
    <w:name w:val="表内文字小63"/>
    <w:basedOn w:val="af3"/>
    <w:rsid w:val="009964C3"/>
    <w:pPr>
      <w:adjustRightInd w:val="0"/>
      <w:snapToGrid w:val="0"/>
      <w:jc w:val="center"/>
    </w:pPr>
    <w:rPr>
      <w:rFonts w:ascii="宋体" w:hAnsi="Times"/>
      <w:szCs w:val="20"/>
    </w:rPr>
  </w:style>
  <w:style w:type="paragraph" w:customStyle="1" w:styleId="216">
    <w:name w:val="样式 段落 + 首行缩进:  2 字符 行距: 多倍行距 1.6 字行"/>
    <w:basedOn w:val="af3"/>
    <w:rsid w:val="009964C3"/>
    <w:pPr>
      <w:tabs>
        <w:tab w:val="left" w:pos="1021"/>
      </w:tabs>
      <w:adjustRightInd w:val="0"/>
      <w:spacing w:line="384" w:lineRule="auto"/>
      <w:ind w:firstLineChars="200" w:firstLine="520"/>
    </w:pPr>
    <w:rPr>
      <w:rFonts w:cs="宋体"/>
      <w:spacing w:val="8"/>
      <w:w w:val="105"/>
      <w:kern w:val="24"/>
      <w:sz w:val="24"/>
    </w:rPr>
  </w:style>
  <w:style w:type="paragraph" w:customStyle="1" w:styleId="Char410">
    <w:name w:val="Char41"/>
    <w:basedOn w:val="af3"/>
    <w:rsid w:val="009964C3"/>
    <w:pPr>
      <w:ind w:left="-48"/>
    </w:pPr>
  </w:style>
  <w:style w:type="paragraph" w:customStyle="1" w:styleId="JobTitle">
    <w:name w:val="Job Title"/>
    <w:next w:val="Achievement"/>
    <w:rsid w:val="009964C3"/>
    <w:pPr>
      <w:spacing w:after="40" w:line="220" w:lineRule="atLeast"/>
    </w:pPr>
    <w:rPr>
      <w:rFonts w:ascii="Arial" w:hAnsi="Arial"/>
      <w:b/>
      <w:spacing w:val="-10"/>
    </w:rPr>
  </w:style>
  <w:style w:type="paragraph" w:customStyle="1" w:styleId="5ff">
    <w:name w:val="正文居中5"/>
    <w:basedOn w:val="af3"/>
    <w:rsid w:val="009964C3"/>
    <w:pPr>
      <w:adjustRightInd w:val="0"/>
      <w:snapToGrid w:val="0"/>
      <w:spacing w:line="480" w:lineRule="atLeast"/>
      <w:jc w:val="center"/>
    </w:pPr>
    <w:rPr>
      <w:rFonts w:ascii="宋体"/>
      <w:snapToGrid w:val="0"/>
      <w:spacing w:val="6"/>
      <w:kern w:val="0"/>
      <w:sz w:val="28"/>
    </w:rPr>
  </w:style>
  <w:style w:type="paragraph" w:customStyle="1" w:styleId="S">
    <w:name w:val="表头S"/>
    <w:basedOn w:val="51"/>
    <w:next w:val="S3"/>
    <w:link w:val="SChar"/>
    <w:semiHidden/>
    <w:rsid w:val="009964C3"/>
    <w:pPr>
      <w:keepNext/>
      <w:keepLines/>
      <w:numPr>
        <w:ilvl w:val="4"/>
      </w:numPr>
      <w:adjustRightInd w:val="0"/>
      <w:spacing w:line="360" w:lineRule="auto"/>
    </w:pPr>
    <w:rPr>
      <w:rFonts w:ascii="Arial"/>
      <w:b/>
      <w:snapToGrid w:val="0"/>
      <w:color w:val="auto"/>
      <w:spacing w:val="0"/>
      <w:position w:val="0"/>
      <w:sz w:val="21"/>
    </w:rPr>
  </w:style>
  <w:style w:type="paragraph" w:customStyle="1" w:styleId="xl98">
    <w:name w:val="xl98"/>
    <w:basedOn w:val="af3"/>
    <w:rsid w:val="009964C3"/>
    <w:pPr>
      <w:widowControl/>
      <w:pBdr>
        <w:left w:val="single" w:sz="4" w:space="0" w:color="auto"/>
        <w:bottom w:val="single" w:sz="4" w:space="0" w:color="auto"/>
      </w:pBdr>
      <w:spacing w:before="100" w:beforeAutospacing="1" w:after="100" w:afterAutospacing="1"/>
      <w:jc w:val="center"/>
    </w:pPr>
    <w:rPr>
      <w:rFonts w:ascii="宋体" w:hAnsi="宋体" w:cs="宋体"/>
      <w:kern w:val="0"/>
      <w:sz w:val="24"/>
    </w:rPr>
  </w:style>
  <w:style w:type="paragraph" w:customStyle="1" w:styleId="401">
    <w:name w:val="页眉中40"/>
    <w:basedOn w:val="af3"/>
    <w:rsid w:val="009964C3"/>
    <w:pPr>
      <w:adjustRightInd w:val="0"/>
      <w:snapToGrid w:val="0"/>
      <w:spacing w:line="300" w:lineRule="auto"/>
      <w:jc w:val="left"/>
    </w:pPr>
    <w:rPr>
      <w:rFonts w:ascii="黑体" w:eastAsia="黑体"/>
      <w:bCs/>
      <w:sz w:val="24"/>
      <w:szCs w:val="20"/>
    </w:rPr>
  </w:style>
  <w:style w:type="paragraph" w:customStyle="1" w:styleId="555">
    <w:name w:val="表内文字小55"/>
    <w:basedOn w:val="af3"/>
    <w:rsid w:val="009964C3"/>
    <w:pPr>
      <w:adjustRightInd w:val="0"/>
      <w:snapToGrid w:val="0"/>
      <w:jc w:val="center"/>
    </w:pPr>
    <w:rPr>
      <w:rFonts w:ascii="宋体" w:hAnsi="Times"/>
      <w:szCs w:val="20"/>
    </w:rPr>
  </w:style>
  <w:style w:type="paragraph" w:customStyle="1" w:styleId="4a">
    <w:name w:val="标题4"/>
    <w:basedOn w:val="af3"/>
    <w:next w:val="51"/>
    <w:link w:val="4Char7"/>
    <w:rsid w:val="009964C3"/>
    <w:pPr>
      <w:adjustRightInd w:val="0"/>
      <w:spacing w:line="360" w:lineRule="atLeast"/>
      <w:jc w:val="left"/>
      <w:textAlignment w:val="baseline"/>
    </w:pPr>
    <w:rPr>
      <w:rFonts w:ascii="Arial" w:hAnsi="Arial"/>
      <w:b/>
      <w:bCs/>
      <w:sz w:val="24"/>
      <w:szCs w:val="28"/>
    </w:rPr>
  </w:style>
  <w:style w:type="paragraph" w:customStyle="1" w:styleId="affffffff7">
    <w:name w:val="段落"/>
    <w:basedOn w:val="af3"/>
    <w:link w:val="Charffffff"/>
    <w:rsid w:val="009964C3"/>
    <w:pPr>
      <w:tabs>
        <w:tab w:val="left" w:pos="1021"/>
      </w:tabs>
      <w:spacing w:line="360" w:lineRule="auto"/>
      <w:ind w:firstLineChars="196" w:firstLine="470"/>
    </w:pPr>
    <w:rPr>
      <w:rFonts w:ascii="Arial" w:hAnsi="宋体" w:cs="Arial"/>
      <w:color w:val="000000"/>
      <w:kern w:val="24"/>
      <w:sz w:val="24"/>
    </w:rPr>
  </w:style>
  <w:style w:type="paragraph" w:customStyle="1" w:styleId="xl104">
    <w:name w:val="xl104"/>
    <w:basedOn w:val="af3"/>
    <w:rsid w:val="009964C3"/>
    <w:pPr>
      <w:widowControl/>
      <w:pBdr>
        <w:top w:val="single" w:sz="4" w:space="0" w:color="auto"/>
        <w:bottom w:val="single" w:sz="4" w:space="0" w:color="auto"/>
        <w:right w:val="single" w:sz="4" w:space="0" w:color="auto"/>
      </w:pBdr>
      <w:spacing w:before="100" w:after="100"/>
      <w:jc w:val="center"/>
      <w:textAlignment w:val="center"/>
    </w:pPr>
    <w:rPr>
      <w:rFonts w:ascii="Arial" w:hAnsi="Arial"/>
      <w:kern w:val="0"/>
      <w:sz w:val="20"/>
      <w:szCs w:val="20"/>
    </w:rPr>
  </w:style>
  <w:style w:type="paragraph" w:customStyle="1" w:styleId="affffffffffffffff2">
    <w:name w:val="茅工页眉"/>
    <w:basedOn w:val="affffff"/>
    <w:rsid w:val="009964C3"/>
    <w:pPr>
      <w:tabs>
        <w:tab w:val="clear" w:pos="4153"/>
        <w:tab w:val="clear" w:pos="8306"/>
        <w:tab w:val="center" w:pos="4819"/>
        <w:tab w:val="right" w:pos="9071"/>
      </w:tabs>
      <w:adjustRightInd w:val="0"/>
      <w:snapToGrid/>
      <w:spacing w:line="240" w:lineRule="atLeast"/>
      <w:jc w:val="both"/>
      <w:textAlignment w:val="baseline"/>
    </w:pPr>
    <w:rPr>
      <w:kern w:val="0"/>
      <w:sz w:val="21"/>
      <w:szCs w:val="20"/>
    </w:rPr>
  </w:style>
  <w:style w:type="paragraph" w:customStyle="1" w:styleId="557">
    <w:name w:val="表内小55"/>
    <w:basedOn w:val="af3"/>
    <w:rsid w:val="009964C3"/>
    <w:pPr>
      <w:adjustRightInd w:val="0"/>
      <w:snapToGrid w:val="0"/>
      <w:spacing w:line="300" w:lineRule="auto"/>
    </w:pPr>
    <w:rPr>
      <w:rFonts w:ascii="宋体" w:hAnsi="宋体"/>
      <w:sz w:val="18"/>
    </w:rPr>
  </w:style>
  <w:style w:type="paragraph" w:customStyle="1" w:styleId="576">
    <w:name w:val="表内宋57"/>
    <w:basedOn w:val="affffffffff5"/>
    <w:rsid w:val="009964C3"/>
    <w:pPr>
      <w:adjustRightInd w:val="0"/>
      <w:snapToGrid w:val="0"/>
      <w:spacing w:before="100" w:beforeAutospacing="1" w:after="100" w:afterAutospacing="1"/>
      <w:jc w:val="both"/>
    </w:pPr>
    <w:rPr>
      <w:rFonts w:cs="Times New Roman"/>
      <w:color w:val="000000"/>
      <w:sz w:val="21"/>
    </w:rPr>
  </w:style>
  <w:style w:type="paragraph" w:customStyle="1" w:styleId="120520">
    <w:name w:val="样式1 + 首行缩进:  2 字符 段前: 0.5 行2 +"/>
    <w:basedOn w:val="12052"/>
    <w:semiHidden/>
    <w:rsid w:val="009964C3"/>
  </w:style>
  <w:style w:type="paragraph" w:customStyle="1" w:styleId="1H1H11H12H13H14H15H16H17H18A6">
    <w:name w:val="样式 标题 1H1H11H12H13H14H15H16H17H18第A章第*部分 + 段前: 6 磅 段..."/>
    <w:basedOn w:val="13"/>
    <w:rsid w:val="009964C3"/>
    <w:pPr>
      <w:keepNext w:val="0"/>
      <w:overflowPunct w:val="0"/>
      <w:autoSpaceDE w:val="0"/>
      <w:autoSpaceDN w:val="0"/>
      <w:adjustRightInd w:val="0"/>
      <w:spacing w:before="120" w:after="360" w:line="360" w:lineRule="auto"/>
      <w:textAlignment w:val="baseline"/>
    </w:pPr>
    <w:rPr>
      <w:rFonts w:ascii="Arial" w:hAnsi="Arial" w:cs="宋体"/>
      <w:b w:val="0"/>
      <w:bCs w:val="0"/>
      <w:spacing w:val="-10"/>
      <w:w w:val="105"/>
      <w:sz w:val="44"/>
      <w:szCs w:val="20"/>
    </w:rPr>
  </w:style>
  <w:style w:type="paragraph" w:customStyle="1" w:styleId="affffffffffffffff3">
    <w:name w:val="陈光的正文"/>
    <w:basedOn w:val="af3"/>
    <w:semiHidden/>
    <w:rsid w:val="009964C3"/>
    <w:pPr>
      <w:adjustRightInd w:val="0"/>
      <w:snapToGrid w:val="0"/>
      <w:spacing w:beforeLines="10" w:afterLines="10" w:line="360" w:lineRule="auto"/>
      <w:ind w:firstLineChars="200" w:firstLine="560"/>
    </w:pPr>
    <w:rPr>
      <w:sz w:val="28"/>
      <w:szCs w:val="20"/>
    </w:rPr>
  </w:style>
  <w:style w:type="paragraph" w:customStyle="1" w:styleId="3110">
    <w:name w:val="正文文本缩进 311"/>
    <w:basedOn w:val="af3"/>
    <w:rsid w:val="009964C3"/>
    <w:pPr>
      <w:adjustRightInd w:val="0"/>
      <w:ind w:firstLine="538"/>
      <w:textAlignment w:val="baseline"/>
    </w:pPr>
    <w:rPr>
      <w:rFonts w:ascii="仿宋_GB2312" w:eastAsia="仿宋_GB2312" w:hAnsi="宋体"/>
      <w:kern w:val="28"/>
      <w:sz w:val="28"/>
      <w:szCs w:val="20"/>
    </w:rPr>
  </w:style>
  <w:style w:type="paragraph" w:customStyle="1" w:styleId="31113CharH3H31H32H33u3Heading3Section1">
    <w:name w:val="样式 标题 3条标题1.1.1标题 3 CharH3H31H32H33u3Heading3Section小标...1"/>
    <w:basedOn w:val="31"/>
    <w:link w:val="31113CharH3H31H32H33u3Heading3Section1Char"/>
    <w:semiHidden/>
    <w:rsid w:val="009964C3"/>
    <w:pPr>
      <w:keepNext w:val="0"/>
      <w:keepLines w:val="0"/>
      <w:numPr>
        <w:ilvl w:val="2"/>
      </w:numPr>
      <w:tabs>
        <w:tab w:val="left" w:pos="1021"/>
      </w:tabs>
      <w:overflowPunct w:val="0"/>
      <w:autoSpaceDE w:val="0"/>
      <w:autoSpaceDN w:val="0"/>
      <w:adjustRightInd w:val="0"/>
      <w:spacing w:before="0" w:after="0" w:line="360" w:lineRule="auto"/>
      <w:ind w:left="1021" w:hanging="1021"/>
      <w:jc w:val="left"/>
      <w:textAlignment w:val="baseline"/>
    </w:pPr>
    <w:rPr>
      <w:color w:val="000000"/>
      <w:sz w:val="24"/>
      <w:szCs w:val="28"/>
    </w:rPr>
  </w:style>
  <w:style w:type="paragraph" w:customStyle="1" w:styleId="5230">
    <w:name w:val="表内宋5中23"/>
    <w:basedOn w:val="af3"/>
    <w:rsid w:val="009964C3"/>
    <w:pPr>
      <w:adjustRightInd w:val="0"/>
      <w:snapToGrid w:val="0"/>
      <w:jc w:val="center"/>
      <w:textAlignment w:val="baseline"/>
    </w:pPr>
    <w:rPr>
      <w:rFonts w:ascii="宋体" w:hAnsi="宋体"/>
      <w:kern w:val="0"/>
      <w:szCs w:val="20"/>
    </w:rPr>
  </w:style>
  <w:style w:type="paragraph" w:customStyle="1" w:styleId="5251">
    <w:name w:val="表内宋525"/>
    <w:basedOn w:val="5f9"/>
    <w:rsid w:val="009964C3"/>
    <w:pPr>
      <w:jc w:val="both"/>
    </w:pPr>
  </w:style>
  <w:style w:type="paragraph" w:customStyle="1" w:styleId="5ff0">
    <w:name w:val="正文表格5号"/>
    <w:basedOn w:val="af3"/>
    <w:rsid w:val="009964C3"/>
    <w:pPr>
      <w:widowControl/>
      <w:adjustRightInd w:val="0"/>
      <w:spacing w:line="312" w:lineRule="atLeast"/>
      <w:jc w:val="left"/>
    </w:pPr>
    <w:rPr>
      <w:rFonts w:ascii="宋体"/>
      <w:b/>
      <w:kern w:val="0"/>
      <w:sz w:val="20"/>
      <w:szCs w:val="20"/>
    </w:rPr>
  </w:style>
  <w:style w:type="paragraph" w:customStyle="1" w:styleId="858D7CFB-ED40-4347-BF05-701D383B685F858D7CFB-ED40-4347-BF05-701D383B685F">
    <w:name w:val="正文[858D7CFB-ED40-4347-BF05-701D383B685F][858D7CFB-ED40-4347-BF05-701D383B685F]"/>
    <w:basedOn w:val="af3"/>
    <w:link w:val="CharChard"/>
    <w:rsid w:val="009964C3"/>
    <w:pPr>
      <w:tabs>
        <w:tab w:val="left" w:pos="2640"/>
      </w:tabs>
      <w:adjustRightInd w:val="0"/>
      <w:snapToGrid w:val="0"/>
      <w:spacing w:before="120" w:after="120" w:line="480" w:lineRule="auto"/>
      <w:ind w:firstLineChars="200" w:firstLine="560"/>
    </w:pPr>
    <w:rPr>
      <w:rFonts w:cs="宋体"/>
      <w:sz w:val="28"/>
    </w:rPr>
  </w:style>
  <w:style w:type="paragraph" w:customStyle="1" w:styleId="5f9">
    <w:name w:val="表内宋5中"/>
    <w:basedOn w:val="af3"/>
    <w:qFormat/>
    <w:rsid w:val="009964C3"/>
    <w:pPr>
      <w:adjustRightInd w:val="0"/>
      <w:snapToGrid w:val="0"/>
      <w:jc w:val="center"/>
      <w:textAlignment w:val="baseline"/>
    </w:pPr>
    <w:rPr>
      <w:rFonts w:ascii="宋体" w:hAnsi="宋体"/>
      <w:kern w:val="0"/>
      <w:szCs w:val="20"/>
    </w:rPr>
  </w:style>
  <w:style w:type="paragraph" w:customStyle="1" w:styleId="Achievement">
    <w:name w:val="Achievement"/>
    <w:basedOn w:val="afff"/>
    <w:rsid w:val="009964C3"/>
    <w:pPr>
      <w:snapToGrid w:val="0"/>
      <w:spacing w:after="0" w:line="240" w:lineRule="exact"/>
      <w:jc w:val="center"/>
    </w:pPr>
    <w:rPr>
      <w:kern w:val="0"/>
      <w:sz w:val="20"/>
    </w:rPr>
  </w:style>
  <w:style w:type="paragraph" w:customStyle="1" w:styleId="00000000000000">
    <w:name w:val="00000000000000"/>
    <w:basedOn w:val="22"/>
    <w:link w:val="00000000000000Char"/>
    <w:semiHidden/>
    <w:rsid w:val="009964C3"/>
    <w:pPr>
      <w:keepNext w:val="0"/>
      <w:keepLines w:val="0"/>
      <w:numPr>
        <w:ilvl w:val="1"/>
      </w:numPr>
      <w:tabs>
        <w:tab w:val="left" w:pos="720"/>
      </w:tabs>
      <w:adjustRightInd w:val="0"/>
      <w:snapToGrid w:val="0"/>
      <w:spacing w:before="200" w:after="200" w:line="480" w:lineRule="exact"/>
      <w:ind w:left="397" w:hanging="397"/>
    </w:pPr>
    <w:rPr>
      <w:rFonts w:ascii="宋体" w:eastAsia="宋体" w:hAnsi="宋体"/>
      <w:b w:val="0"/>
      <w:bCs w:val="0"/>
      <w:kern w:val="18"/>
      <w:sz w:val="24"/>
      <w:szCs w:val="21"/>
    </w:rPr>
  </w:style>
  <w:style w:type="paragraph" w:customStyle="1" w:styleId="affffffffffffa">
    <w:name w:val="表中文字"/>
    <w:basedOn w:val="af3"/>
    <w:rsid w:val="009964C3"/>
    <w:pPr>
      <w:widowControl/>
      <w:spacing w:line="240" w:lineRule="atLeast"/>
      <w:ind w:leftChars="-10" w:left="-24" w:rightChars="-20" w:right="-48"/>
      <w:jc w:val="center"/>
    </w:pPr>
    <w:rPr>
      <w:rFonts w:ascii="宋体"/>
      <w:kern w:val="0"/>
      <w:szCs w:val="21"/>
    </w:rPr>
  </w:style>
  <w:style w:type="paragraph" w:customStyle="1" w:styleId="CharCharCharCharCharCharChar1">
    <w:name w:val="Char Char Char Char Char Char Char"/>
    <w:basedOn w:val="af3"/>
    <w:next w:val="af3"/>
    <w:semiHidden/>
    <w:rsid w:val="009964C3"/>
    <w:pPr>
      <w:spacing w:line="360" w:lineRule="auto"/>
      <w:ind w:firstLineChars="200" w:firstLine="200"/>
    </w:pPr>
    <w:rPr>
      <w:szCs w:val="20"/>
    </w:rPr>
  </w:style>
  <w:style w:type="paragraph" w:customStyle="1" w:styleId="ST2020">
    <w:name w:val="ST20_20"/>
    <w:basedOn w:val="ST2019"/>
    <w:rsid w:val="009964C3"/>
    <w:pPr>
      <w:spacing w:after="160"/>
    </w:pPr>
  </w:style>
  <w:style w:type="paragraph" w:customStyle="1" w:styleId="affffffffffff8">
    <w:name w:val="附录二级条标题"/>
    <w:basedOn w:val="afffffffffffffff5"/>
    <w:next w:val="af3"/>
    <w:semiHidden/>
    <w:rsid w:val="009964C3"/>
    <w:pPr>
      <w:tabs>
        <w:tab w:val="clear" w:pos="2520"/>
        <w:tab w:val="left" w:pos="2940"/>
      </w:tabs>
      <w:ind w:left="0"/>
      <w:outlineLvl w:val="3"/>
    </w:pPr>
  </w:style>
  <w:style w:type="paragraph" w:customStyle="1" w:styleId="4Char8">
    <w:name w:val="样式4 宋体 Char"/>
    <w:basedOn w:val="af3"/>
    <w:rsid w:val="009964C3"/>
  </w:style>
  <w:style w:type="paragraph" w:customStyle="1" w:styleId="ST2027">
    <w:name w:val="ST20_27"/>
    <w:basedOn w:val="ST202"/>
    <w:rsid w:val="009964C3"/>
    <w:pPr>
      <w:keepNext/>
      <w:spacing w:after="0"/>
    </w:pPr>
    <w:rPr>
      <w:szCs w:val="28"/>
    </w:rPr>
  </w:style>
  <w:style w:type="paragraph" w:customStyle="1" w:styleId="ST2031">
    <w:name w:val="ST20_31"/>
    <w:basedOn w:val="af3"/>
    <w:rsid w:val="009964C3"/>
    <w:pPr>
      <w:keepLines/>
      <w:autoSpaceDE w:val="0"/>
      <w:autoSpaceDN w:val="0"/>
      <w:adjustRightInd w:val="0"/>
      <w:spacing w:line="360" w:lineRule="atLeast"/>
      <w:jc w:val="left"/>
      <w:textAlignment w:val="baseline"/>
    </w:pPr>
    <w:rPr>
      <w:rFonts w:ascii="宋体" w:hAnsi="Tms Rmn"/>
      <w:kern w:val="0"/>
      <w:sz w:val="28"/>
      <w:szCs w:val="28"/>
    </w:rPr>
  </w:style>
  <w:style w:type="paragraph" w:customStyle="1" w:styleId="affffffffb">
    <w:name w:val="燕山正文"/>
    <w:basedOn w:val="af3"/>
    <w:link w:val="Char2f5"/>
    <w:rsid w:val="009964C3"/>
    <w:pPr>
      <w:tabs>
        <w:tab w:val="left" w:pos="4680"/>
      </w:tabs>
      <w:adjustRightInd w:val="0"/>
      <w:snapToGrid w:val="0"/>
      <w:spacing w:line="360" w:lineRule="auto"/>
      <w:ind w:firstLineChars="200" w:firstLine="480"/>
    </w:pPr>
    <w:rPr>
      <w:rFonts w:ascii="宋体" w:hAnsi="宋体" w:cs="宋体"/>
      <w:bCs/>
      <w:color w:val="000000"/>
      <w:sz w:val="24"/>
    </w:rPr>
  </w:style>
  <w:style w:type="paragraph" w:customStyle="1" w:styleId="2d">
    <w:name w:val="样式 正文文本 + 首行缩进:  2 字符"/>
    <w:basedOn w:val="afff"/>
    <w:link w:val="2Char9"/>
    <w:rsid w:val="009964C3"/>
    <w:pPr>
      <w:adjustRightInd w:val="0"/>
      <w:snapToGrid w:val="0"/>
      <w:spacing w:before="120" w:after="0" w:line="300" w:lineRule="auto"/>
      <w:ind w:firstLineChars="200" w:firstLine="200"/>
      <w:textAlignment w:val="baseline"/>
    </w:pPr>
    <w:rPr>
      <w:rFonts w:cs="宋体"/>
      <w:sz w:val="24"/>
    </w:rPr>
  </w:style>
  <w:style w:type="paragraph" w:customStyle="1" w:styleId="affffffff3">
    <w:name w:val="洋正"/>
    <w:basedOn w:val="af3"/>
    <w:next w:val="22"/>
    <w:link w:val="Char2f4"/>
    <w:semiHidden/>
    <w:rsid w:val="009964C3"/>
    <w:pPr>
      <w:snapToGrid w:val="0"/>
      <w:spacing w:line="360" w:lineRule="auto"/>
      <w:ind w:firstLineChars="200" w:firstLine="200"/>
    </w:pPr>
    <w:rPr>
      <w:sz w:val="24"/>
      <w:szCs w:val="20"/>
    </w:rPr>
  </w:style>
  <w:style w:type="paragraph" w:customStyle="1" w:styleId="2f2">
    <w:name w:val="样式 首行缩进:  2 字符"/>
    <w:basedOn w:val="af3"/>
    <w:link w:val="2Charb"/>
    <w:rsid w:val="009964C3"/>
    <w:pPr>
      <w:spacing w:line="360" w:lineRule="auto"/>
      <w:ind w:firstLineChars="200" w:firstLine="200"/>
    </w:pPr>
    <w:rPr>
      <w:rFonts w:ascii="Arial" w:hAnsi="Arial" w:cs="宋体"/>
      <w:sz w:val="24"/>
      <w:szCs w:val="20"/>
    </w:rPr>
  </w:style>
  <w:style w:type="paragraph" w:customStyle="1" w:styleId="3515">
    <w:name w:val="样式 燕山正文 + 首行缩进:  3.5 字符15"/>
    <w:basedOn w:val="af3"/>
    <w:qFormat/>
    <w:rsid w:val="009964C3"/>
    <w:pPr>
      <w:tabs>
        <w:tab w:val="left" w:pos="4680"/>
      </w:tabs>
      <w:adjustRightInd w:val="0"/>
      <w:snapToGrid w:val="0"/>
      <w:spacing w:line="360" w:lineRule="auto"/>
      <w:ind w:firstLineChars="200" w:firstLine="200"/>
    </w:pPr>
    <w:rPr>
      <w:rFonts w:ascii="宋体" w:hAnsi="宋体" w:cs="宋体"/>
      <w:color w:val="000000"/>
      <w:sz w:val="28"/>
      <w:szCs w:val="20"/>
    </w:rPr>
  </w:style>
  <w:style w:type="paragraph" w:customStyle="1" w:styleId="CharCharCharCharCharCharCharCh2">
    <w:name w:val="样式 纯文本表内文字普通文字 Char普通文字 Char Char Char普通文字 Char Char Char Ch...2"/>
    <w:basedOn w:val="afff"/>
    <w:next w:val="af3"/>
    <w:link w:val="CharCharCharCharCharCharCharCh2Char"/>
    <w:rsid w:val="009964C3"/>
    <w:pPr>
      <w:widowControl/>
      <w:spacing w:after="0" w:line="360" w:lineRule="auto"/>
    </w:pPr>
    <w:rPr>
      <w:rFonts w:ascii="楷体_GB2312" w:hAnsi="楷体_GB2312"/>
      <w:sz w:val="24"/>
      <w:szCs w:val="18"/>
    </w:rPr>
  </w:style>
  <w:style w:type="paragraph" w:customStyle="1" w:styleId="89">
    <w:name w:val="燕山正文8"/>
    <w:basedOn w:val="af3"/>
    <w:rsid w:val="009964C3"/>
    <w:pPr>
      <w:tabs>
        <w:tab w:val="left" w:pos="4680"/>
      </w:tabs>
      <w:adjustRightInd w:val="0"/>
      <w:snapToGrid w:val="0"/>
      <w:spacing w:line="360" w:lineRule="auto"/>
      <w:ind w:firstLineChars="200" w:firstLine="200"/>
      <w:jc w:val="left"/>
    </w:pPr>
    <w:rPr>
      <w:rFonts w:ascii="宋体" w:hAnsi="宋体" w:cs="宋体"/>
      <w:color w:val="000000"/>
      <w:sz w:val="28"/>
      <w:szCs w:val="28"/>
    </w:rPr>
  </w:style>
  <w:style w:type="paragraph" w:customStyle="1" w:styleId="16111">
    <w:name w:val="标题16.1.1.1"/>
    <w:basedOn w:val="43"/>
    <w:rsid w:val="009964C3"/>
    <w:pPr>
      <w:keepNext w:val="0"/>
      <w:keepLines w:val="0"/>
      <w:numPr>
        <w:ilvl w:val="3"/>
        <w:numId w:val="25"/>
      </w:numPr>
      <w:tabs>
        <w:tab w:val="left" w:pos="1800"/>
      </w:tabs>
      <w:spacing w:before="120" w:after="120" w:line="312" w:lineRule="auto"/>
    </w:pPr>
    <w:rPr>
      <w:sz w:val="24"/>
      <w:szCs w:val="24"/>
    </w:rPr>
  </w:style>
  <w:style w:type="paragraph" w:customStyle="1" w:styleId="affffffffffffffff4">
    <w:name w:val="表中字"/>
    <w:basedOn w:val="2410"/>
    <w:rsid w:val="009964C3"/>
    <w:pPr>
      <w:spacing w:before="100"/>
    </w:pPr>
    <w:rPr>
      <w:sz w:val="18"/>
      <w:szCs w:val="18"/>
    </w:rPr>
  </w:style>
  <w:style w:type="paragraph" w:customStyle="1" w:styleId="2CharChar8">
    <w:name w:val="正文文字缩进 2 Char Char"/>
    <w:basedOn w:val="af3"/>
    <w:rsid w:val="009964C3"/>
    <w:pPr>
      <w:adjustRightInd w:val="0"/>
      <w:spacing w:before="20" w:line="360" w:lineRule="auto"/>
      <w:ind w:firstLine="560"/>
      <w:jc w:val="left"/>
      <w:textAlignment w:val="baseline"/>
    </w:pPr>
    <w:rPr>
      <w:rFonts w:ascii="宋体" w:hAnsi="宋体"/>
      <w:b/>
      <w:color w:val="000000"/>
      <w:kern w:val="0"/>
      <w:sz w:val="28"/>
      <w:szCs w:val="20"/>
    </w:rPr>
  </w:style>
  <w:style w:type="paragraph" w:customStyle="1" w:styleId="CharCharChar2Char2">
    <w:name w:val="Char Char Char2 Char2"/>
    <w:basedOn w:val="af3"/>
    <w:rsid w:val="009964C3"/>
  </w:style>
  <w:style w:type="paragraph" w:customStyle="1" w:styleId="5112">
    <w:name w:val="表内511"/>
    <w:basedOn w:val="af3"/>
    <w:qFormat/>
    <w:rsid w:val="009964C3"/>
    <w:pPr>
      <w:adjustRightInd w:val="0"/>
      <w:snapToGrid w:val="0"/>
      <w:spacing w:line="300" w:lineRule="auto"/>
      <w:jc w:val="left"/>
    </w:pPr>
    <w:rPr>
      <w:rFonts w:ascii="宋体"/>
      <w:szCs w:val="20"/>
    </w:rPr>
  </w:style>
  <w:style w:type="paragraph" w:customStyle="1" w:styleId="affffffffffffffff5">
    <w:name w:val="表格文字独行"/>
    <w:next w:val="af3"/>
    <w:semiHidden/>
    <w:rsid w:val="009964C3"/>
    <w:pPr>
      <w:spacing w:beforeLines="20" w:afterLines="20" w:line="264" w:lineRule="auto"/>
      <w:jc w:val="center"/>
    </w:pPr>
    <w:rPr>
      <w:rFonts w:eastAsia="仿宋_GB2312"/>
      <w:color w:val="FF0000"/>
      <w:sz w:val="18"/>
      <w:szCs w:val="18"/>
    </w:rPr>
  </w:style>
  <w:style w:type="paragraph" w:customStyle="1" w:styleId="-0">
    <w:name w:val="正文-第几条"/>
    <w:basedOn w:val="af3"/>
    <w:semiHidden/>
    <w:rsid w:val="009964C3"/>
    <w:pPr>
      <w:tabs>
        <w:tab w:val="left" w:pos="360"/>
        <w:tab w:val="left" w:pos="852"/>
      </w:tabs>
      <w:spacing w:line="360" w:lineRule="auto"/>
      <w:ind w:firstLine="200"/>
    </w:pPr>
    <w:rPr>
      <w:sz w:val="24"/>
    </w:rPr>
  </w:style>
  <w:style w:type="paragraph" w:customStyle="1" w:styleId="CharChar2CharCharCharCharCharChar1">
    <w:name w:val="Char Char2 Char Char Char Char Char Char1"/>
    <w:basedOn w:val="af3"/>
    <w:rsid w:val="009964C3"/>
    <w:pPr>
      <w:spacing w:line="360" w:lineRule="auto"/>
    </w:pPr>
    <w:rPr>
      <w:rFonts w:ascii="宋体" w:hAnsi="宋体" w:cs="宋体"/>
      <w:sz w:val="22"/>
      <w:szCs w:val="22"/>
    </w:rPr>
  </w:style>
  <w:style w:type="paragraph" w:customStyle="1" w:styleId="affffffffffffffff6">
    <w:name w:val="环评报告书"/>
    <w:basedOn w:val="43"/>
    <w:rsid w:val="009964C3"/>
    <w:pPr>
      <w:keepNext w:val="0"/>
      <w:keepLines w:val="0"/>
      <w:tabs>
        <w:tab w:val="left" w:pos="840"/>
      </w:tabs>
      <w:adjustRightInd w:val="0"/>
      <w:spacing w:before="0" w:after="0" w:line="360" w:lineRule="auto"/>
      <w:textAlignment w:val="baseline"/>
      <w:outlineLvl w:val="9"/>
    </w:pPr>
    <w:rPr>
      <w:rFonts w:ascii="Times New Roman" w:eastAsia="长城楷体" w:hAnsi="Times New Roman"/>
      <w:b w:val="0"/>
      <w:bCs w:val="0"/>
      <w:kern w:val="0"/>
      <w:szCs w:val="20"/>
    </w:rPr>
  </w:style>
  <w:style w:type="paragraph" w:customStyle="1" w:styleId="OutokumpuNormal">
    <w:name w:val="Outokumpu Normal"/>
    <w:basedOn w:val="af3"/>
    <w:semiHidden/>
    <w:rsid w:val="009964C3"/>
    <w:pPr>
      <w:widowControl/>
      <w:ind w:left="1134"/>
      <w:jc w:val="left"/>
    </w:pPr>
    <w:rPr>
      <w:rFonts w:ascii="Arial" w:hAnsi="Arial"/>
      <w:kern w:val="0"/>
      <w:sz w:val="22"/>
      <w:szCs w:val="22"/>
      <w:lang w:val="fi-FI" w:eastAsia="fi-FI"/>
    </w:rPr>
  </w:style>
  <w:style w:type="paragraph" w:customStyle="1" w:styleId="xl37">
    <w:name w:val="xl37"/>
    <w:basedOn w:val="af3"/>
    <w:rsid w:val="009964C3"/>
    <w:pPr>
      <w:widowControl/>
      <w:pBdr>
        <w:bottom w:val="single" w:sz="12" w:space="0" w:color="auto"/>
        <w:right w:val="single" w:sz="8" w:space="0" w:color="auto"/>
      </w:pBdr>
      <w:spacing w:before="100" w:beforeAutospacing="1" w:after="100" w:afterAutospacing="1"/>
      <w:jc w:val="center"/>
      <w:textAlignment w:val="bottom"/>
    </w:pPr>
    <w:rPr>
      <w:kern w:val="0"/>
      <w:szCs w:val="21"/>
    </w:rPr>
  </w:style>
  <w:style w:type="paragraph" w:customStyle="1" w:styleId="16731">
    <w:name w:val="16.7.3.1"/>
    <w:basedOn w:val="43"/>
    <w:rsid w:val="009964C3"/>
    <w:pPr>
      <w:keepNext w:val="0"/>
      <w:keepLines w:val="0"/>
      <w:numPr>
        <w:ilvl w:val="3"/>
        <w:numId w:val="26"/>
      </w:numPr>
      <w:tabs>
        <w:tab w:val="left" w:pos="1800"/>
      </w:tabs>
      <w:spacing w:before="120" w:after="120" w:line="312" w:lineRule="auto"/>
    </w:pPr>
    <w:rPr>
      <w:sz w:val="24"/>
      <w:szCs w:val="24"/>
    </w:rPr>
  </w:style>
  <w:style w:type="paragraph" w:customStyle="1" w:styleId="70">
    <w:name w:val="样式7"/>
    <w:basedOn w:val="af3"/>
    <w:link w:val="7Char0"/>
    <w:rsid w:val="009964C3"/>
    <w:pPr>
      <w:tabs>
        <w:tab w:val="left" w:pos="320"/>
        <w:tab w:val="center" w:pos="709"/>
      </w:tabs>
      <w:adjustRightInd w:val="0"/>
      <w:spacing w:line="320" w:lineRule="exact"/>
      <w:jc w:val="center"/>
      <w:textAlignment w:val="baseline"/>
    </w:pPr>
    <w:rPr>
      <w:color w:val="000000"/>
      <w:sz w:val="24"/>
    </w:rPr>
  </w:style>
  <w:style w:type="paragraph" w:customStyle="1" w:styleId="546">
    <w:name w:val="表内54"/>
    <w:basedOn w:val="af3"/>
    <w:rsid w:val="009964C3"/>
    <w:pPr>
      <w:adjustRightInd w:val="0"/>
      <w:snapToGrid w:val="0"/>
      <w:spacing w:line="300" w:lineRule="auto"/>
      <w:jc w:val="center"/>
    </w:pPr>
    <w:rPr>
      <w:rFonts w:ascii="宋体" w:hAnsi="宋体" w:cs="宋体"/>
      <w:szCs w:val="20"/>
    </w:rPr>
  </w:style>
  <w:style w:type="paragraph" w:customStyle="1" w:styleId="Char4CharCharChar1">
    <w:name w:val="Char4 Char Char Char1"/>
    <w:basedOn w:val="af3"/>
    <w:rsid w:val="009964C3"/>
  </w:style>
  <w:style w:type="paragraph" w:customStyle="1" w:styleId="afffffff1">
    <w:name w:val="图名"/>
    <w:basedOn w:val="af3"/>
    <w:link w:val="Charffffd"/>
    <w:rsid w:val="009964C3"/>
    <w:pPr>
      <w:spacing w:beforeLines="20" w:afterLines="20" w:line="300" w:lineRule="auto"/>
      <w:ind w:firstLineChars="200" w:firstLine="480"/>
      <w:jc w:val="center"/>
    </w:pPr>
    <w:rPr>
      <w:rFonts w:ascii="Arial" w:eastAsia="楷体_GB2312" w:hAnsi="Arial"/>
      <w:b/>
      <w:bCs/>
      <w:sz w:val="24"/>
    </w:rPr>
  </w:style>
  <w:style w:type="paragraph" w:customStyle="1" w:styleId="232">
    <w:name w:val="表内文字大23"/>
    <w:basedOn w:val="af3"/>
    <w:rsid w:val="009964C3"/>
    <w:pPr>
      <w:adjustRightInd w:val="0"/>
      <w:snapToGrid w:val="0"/>
      <w:jc w:val="center"/>
    </w:pPr>
    <w:rPr>
      <w:rFonts w:ascii="宋体" w:hAnsi="Times" w:cs="宋体"/>
      <w:sz w:val="24"/>
      <w:szCs w:val="20"/>
    </w:rPr>
  </w:style>
  <w:style w:type="paragraph" w:customStyle="1" w:styleId="affff">
    <w:name w:val="表头 江"/>
    <w:basedOn w:val="af3"/>
    <w:link w:val="Charff"/>
    <w:semiHidden/>
    <w:qFormat/>
    <w:rsid w:val="009964C3"/>
    <w:pPr>
      <w:spacing w:beforeLines="50" w:afterLines="30"/>
      <w:jc w:val="center"/>
    </w:pPr>
    <w:rPr>
      <w:b/>
      <w:sz w:val="28"/>
      <w:szCs w:val="20"/>
    </w:rPr>
  </w:style>
  <w:style w:type="paragraph" w:customStyle="1" w:styleId="xx5">
    <w:name w:val="页眉xx5"/>
    <w:basedOn w:val="affffff"/>
    <w:rsid w:val="009964C3"/>
    <w:pPr>
      <w:framePr w:wrap="around" w:vAnchor="text" w:hAnchor="text" w:y="1"/>
      <w:pBdr>
        <w:bottom w:val="single" w:sz="2" w:space="1" w:color="auto"/>
      </w:pBdr>
      <w:tabs>
        <w:tab w:val="clear" w:pos="4153"/>
      </w:tabs>
      <w:adjustRightInd w:val="0"/>
    </w:pPr>
    <w:rPr>
      <w:rFonts w:ascii="宋体" w:hAnsi="宋体"/>
      <w:sz w:val="21"/>
      <w:szCs w:val="21"/>
    </w:rPr>
  </w:style>
  <w:style w:type="paragraph" w:customStyle="1" w:styleId="1ffb">
    <w:name w:val="图表名称1"/>
    <w:basedOn w:val="aff7"/>
    <w:rsid w:val="009964C3"/>
    <w:pPr>
      <w:overflowPunct/>
      <w:autoSpaceDE/>
      <w:autoSpaceDN/>
      <w:snapToGrid w:val="0"/>
      <w:spacing w:line="240" w:lineRule="auto"/>
      <w:ind w:firstLine="0"/>
      <w:jc w:val="center"/>
      <w:textAlignment w:val="auto"/>
    </w:pPr>
    <w:rPr>
      <w:rFonts w:ascii="宋体" w:hAnsi="宋体"/>
      <w:sz w:val="24"/>
      <w:szCs w:val="21"/>
    </w:rPr>
  </w:style>
  <w:style w:type="paragraph" w:customStyle="1" w:styleId="31111">
    <w:name w:val="样式 样式 标题 3条标题1.1.1 + + 段后: 1 行"/>
    <w:basedOn w:val="af3"/>
    <w:next w:val="2f"/>
    <w:rsid w:val="009964C3"/>
    <w:pPr>
      <w:overflowPunct w:val="0"/>
      <w:autoSpaceDE w:val="0"/>
      <w:autoSpaceDN w:val="0"/>
      <w:adjustRightInd w:val="0"/>
      <w:spacing w:before="120" w:afterLines="100"/>
      <w:textAlignment w:val="baseline"/>
      <w:outlineLvl w:val="2"/>
    </w:pPr>
    <w:rPr>
      <w:rFonts w:ascii="Arial" w:eastAsia="黑体" w:hAnsi="Arial" w:cs="宋体"/>
      <w:kern w:val="20"/>
      <w:sz w:val="28"/>
      <w:szCs w:val="20"/>
    </w:rPr>
  </w:style>
  <w:style w:type="paragraph" w:customStyle="1" w:styleId="322">
    <w:name w:val="福建正文缩进32"/>
    <w:basedOn w:val="af4"/>
    <w:rsid w:val="009964C3"/>
    <w:pPr>
      <w:autoSpaceDE w:val="0"/>
      <w:autoSpaceDN w:val="0"/>
      <w:adjustRightInd w:val="0"/>
      <w:snapToGrid w:val="0"/>
      <w:spacing w:line="360" w:lineRule="auto"/>
      <w:ind w:firstLineChars="0" w:firstLine="539"/>
    </w:pPr>
    <w:rPr>
      <w:rFonts w:ascii="宋体" w:hAnsi="宋体"/>
      <w:sz w:val="24"/>
      <w:szCs w:val="24"/>
    </w:rPr>
  </w:style>
  <w:style w:type="paragraph" w:customStyle="1" w:styleId="314">
    <w:name w:val="福建正文缩进31"/>
    <w:basedOn w:val="af4"/>
    <w:rsid w:val="009964C3"/>
    <w:pPr>
      <w:autoSpaceDE w:val="0"/>
      <w:autoSpaceDN w:val="0"/>
      <w:adjustRightInd w:val="0"/>
      <w:snapToGrid w:val="0"/>
      <w:spacing w:line="360" w:lineRule="auto"/>
      <w:ind w:firstLineChars="0" w:firstLine="539"/>
    </w:pPr>
    <w:rPr>
      <w:rFonts w:ascii="宋体" w:hAnsi="宋体"/>
      <w:b/>
      <w:sz w:val="24"/>
      <w:szCs w:val="24"/>
    </w:rPr>
  </w:style>
  <w:style w:type="paragraph" w:customStyle="1" w:styleId="5105">
    <w:name w:val="表内5105"/>
    <w:basedOn w:val="5f2"/>
    <w:rsid w:val="009964C3"/>
    <w:pPr>
      <w:jc w:val="both"/>
    </w:pPr>
    <w:rPr>
      <w:szCs w:val="24"/>
    </w:rPr>
  </w:style>
  <w:style w:type="paragraph" w:customStyle="1" w:styleId="82">
    <w:name w:val="样式8.2"/>
    <w:basedOn w:val="810"/>
    <w:rsid w:val="009964C3"/>
    <w:pPr>
      <w:pageBreakBefore/>
      <w:numPr>
        <w:numId w:val="27"/>
      </w:numPr>
      <w:tabs>
        <w:tab w:val="clear" w:pos="480"/>
        <w:tab w:val="clear" w:pos="1920"/>
        <w:tab w:val="left" w:pos="945"/>
        <w:tab w:val="left" w:pos="1080"/>
      </w:tabs>
      <w:spacing w:before="240" w:after="120"/>
    </w:pPr>
  </w:style>
  <w:style w:type="paragraph" w:customStyle="1" w:styleId="76">
    <w:name w:val="图题7"/>
    <w:basedOn w:val="af3"/>
    <w:rsid w:val="009964C3"/>
    <w:pPr>
      <w:adjustRightInd w:val="0"/>
      <w:snapToGrid w:val="0"/>
      <w:ind w:firstLineChars="222" w:firstLine="533"/>
      <w:jc w:val="center"/>
    </w:pPr>
    <w:rPr>
      <w:rFonts w:ascii="黑体" w:eastAsia="黑体" w:hAnsi="宋体"/>
      <w:snapToGrid w:val="0"/>
      <w:kern w:val="0"/>
      <w:sz w:val="24"/>
    </w:rPr>
  </w:style>
  <w:style w:type="paragraph" w:customStyle="1" w:styleId="5141">
    <w:name w:val="样式 表内5 + (符号) 宋体 两端对齐 行距: 单倍行距14"/>
    <w:basedOn w:val="af3"/>
    <w:rsid w:val="009964C3"/>
    <w:pPr>
      <w:adjustRightInd w:val="0"/>
      <w:snapToGrid w:val="0"/>
      <w:jc w:val="center"/>
    </w:pPr>
    <w:rPr>
      <w:rFonts w:ascii="宋体" w:hAnsi="宋体" w:cs="宋体"/>
      <w:kern w:val="0"/>
      <w:szCs w:val="20"/>
    </w:rPr>
  </w:style>
  <w:style w:type="paragraph" w:customStyle="1" w:styleId="455">
    <w:name w:val="标题455"/>
    <w:basedOn w:val="af3"/>
    <w:rsid w:val="009964C3"/>
    <w:pPr>
      <w:adjustRightInd w:val="0"/>
      <w:snapToGrid w:val="0"/>
      <w:spacing w:line="360" w:lineRule="auto"/>
      <w:jc w:val="left"/>
    </w:pPr>
    <w:rPr>
      <w:rFonts w:ascii="黑体" w:eastAsia="黑体"/>
      <w:bCs/>
      <w:sz w:val="24"/>
    </w:rPr>
  </w:style>
  <w:style w:type="paragraph" w:customStyle="1" w:styleId="Institution">
    <w:name w:val="Institution"/>
    <w:basedOn w:val="af3"/>
    <w:next w:val="Achievement"/>
    <w:rsid w:val="009964C3"/>
    <w:pPr>
      <w:widowControl/>
      <w:tabs>
        <w:tab w:val="left" w:pos="2160"/>
        <w:tab w:val="right" w:pos="6480"/>
      </w:tabs>
      <w:spacing w:before="220" w:after="60" w:line="220" w:lineRule="atLeast"/>
      <w:ind w:right="-360"/>
      <w:jc w:val="left"/>
    </w:pPr>
    <w:rPr>
      <w:kern w:val="0"/>
      <w:sz w:val="20"/>
      <w:szCs w:val="20"/>
    </w:rPr>
  </w:style>
  <w:style w:type="paragraph" w:customStyle="1" w:styleId="affffffffffffffff7">
    <w:name w:val="备注"/>
    <w:basedOn w:val="aff7"/>
    <w:rsid w:val="009964C3"/>
    <w:pPr>
      <w:keepNext/>
      <w:widowControl/>
      <w:tabs>
        <w:tab w:val="left" w:pos="628"/>
        <w:tab w:val="left" w:pos="1727"/>
        <w:tab w:val="left" w:pos="1884"/>
        <w:tab w:val="left" w:pos="4900"/>
      </w:tabs>
      <w:overflowPunct/>
      <w:autoSpaceDE/>
      <w:autoSpaceDN/>
      <w:snapToGrid w:val="0"/>
      <w:spacing w:line="0" w:lineRule="atLeast"/>
      <w:ind w:firstLine="0"/>
      <w:textAlignment w:val="auto"/>
    </w:pPr>
    <w:rPr>
      <w:rFonts w:ascii="宋体" w:hAnsi="宋体" w:cs="Arial"/>
      <w:sz w:val="18"/>
      <w:szCs w:val="18"/>
    </w:rPr>
  </w:style>
  <w:style w:type="paragraph" w:customStyle="1" w:styleId="xl96">
    <w:name w:val="xl96"/>
    <w:basedOn w:val="af3"/>
    <w:rsid w:val="009964C3"/>
    <w:pPr>
      <w:widowControl/>
      <w:pBdr>
        <w:top w:val="single" w:sz="4" w:space="0" w:color="auto"/>
        <w:left w:val="single" w:sz="4" w:space="0" w:color="auto"/>
      </w:pBdr>
      <w:spacing w:before="100" w:beforeAutospacing="1" w:after="100" w:afterAutospacing="1"/>
      <w:jc w:val="center"/>
    </w:pPr>
    <w:rPr>
      <w:rFonts w:ascii="宋体" w:hAnsi="宋体" w:cs="宋体"/>
      <w:kern w:val="0"/>
      <w:sz w:val="24"/>
    </w:rPr>
  </w:style>
  <w:style w:type="paragraph" w:customStyle="1" w:styleId="Char6CharCharCharCharCharCharCharCharChar1CharCharCharCharCharChar">
    <w:name w:val="Char6 Char Char Char Char Char Char Char Char Char1 Char Char Char Char Char Char"/>
    <w:basedOn w:val="af3"/>
    <w:rsid w:val="009964C3"/>
    <w:pPr>
      <w:spacing w:line="360" w:lineRule="auto"/>
      <w:ind w:firstLineChars="200" w:firstLine="200"/>
    </w:pPr>
    <w:rPr>
      <w:kern w:val="0"/>
      <w:szCs w:val="21"/>
    </w:rPr>
  </w:style>
  <w:style w:type="paragraph" w:customStyle="1" w:styleId="35">
    <w:name w:val="3级标题"/>
    <w:basedOn w:val="31"/>
    <w:link w:val="3Char3"/>
    <w:rsid w:val="009964C3"/>
    <w:pPr>
      <w:keepNext w:val="0"/>
      <w:keepLines w:val="0"/>
      <w:spacing w:before="120" w:after="0" w:line="360" w:lineRule="auto"/>
      <w:jc w:val="left"/>
    </w:pPr>
    <w:rPr>
      <w:rFonts w:ascii="黑体" w:eastAsia="黑体" w:hAnsi="宋体"/>
      <w:color w:val="000000"/>
      <w:sz w:val="24"/>
    </w:rPr>
  </w:style>
  <w:style w:type="paragraph" w:customStyle="1" w:styleId="xl38">
    <w:name w:val="xl38"/>
    <w:basedOn w:val="af3"/>
    <w:rsid w:val="009964C3"/>
    <w:pPr>
      <w:widowControl/>
      <w:pBdr>
        <w:top w:val="single" w:sz="12" w:space="0" w:color="auto"/>
        <w:left w:val="single" w:sz="12" w:space="0" w:color="auto"/>
        <w:right w:val="single" w:sz="8" w:space="0" w:color="auto"/>
      </w:pBdr>
      <w:spacing w:before="100" w:beforeAutospacing="1" w:after="100" w:afterAutospacing="1"/>
      <w:jc w:val="center"/>
    </w:pPr>
    <w:rPr>
      <w:rFonts w:ascii="仿宋_GB2312" w:eastAsia="仿宋_GB2312" w:hAnsi="宋体" w:cs="宋体"/>
      <w:kern w:val="0"/>
      <w:szCs w:val="21"/>
    </w:rPr>
  </w:style>
  <w:style w:type="paragraph" w:customStyle="1" w:styleId="22052205">
    <w:name w:val="样式 样式 目录 2 + 左侧:  2 字符 段前: 0.5 行2 + 左侧:  2 字符 段前: 0.5 行"/>
    <w:basedOn w:val="22052"/>
    <w:semiHidden/>
    <w:rsid w:val="009964C3"/>
    <w:pPr>
      <w:spacing w:before="214"/>
      <w:ind w:left="472"/>
    </w:pPr>
    <w:rPr>
      <w:b w:val="0"/>
      <w:bCs/>
    </w:rPr>
  </w:style>
  <w:style w:type="paragraph" w:customStyle="1" w:styleId="478">
    <w:name w:val="样式 标题 4 + 段前: 7.8 磅"/>
    <w:basedOn w:val="43"/>
    <w:rsid w:val="009964C3"/>
    <w:pPr>
      <w:tabs>
        <w:tab w:val="left" w:pos="2945"/>
      </w:tabs>
      <w:adjustRightInd w:val="0"/>
      <w:snapToGrid w:val="0"/>
      <w:spacing w:before="0" w:after="0" w:line="360" w:lineRule="auto"/>
      <w:ind w:left="862" w:hanging="862"/>
    </w:pPr>
    <w:rPr>
      <w:rFonts w:ascii="Times New Roman" w:eastAsia="宋体" w:hAnsi="Times New Roman" w:cs="宋体"/>
      <w:b w:val="0"/>
      <w:sz w:val="24"/>
    </w:rPr>
  </w:style>
  <w:style w:type="paragraph" w:customStyle="1" w:styleId="2a">
    <w:name w:val="2级标题"/>
    <w:basedOn w:val="af3"/>
    <w:link w:val="2Char6"/>
    <w:rsid w:val="009964C3"/>
    <w:pPr>
      <w:spacing w:beforeLines="50" w:afterLines="50"/>
    </w:pPr>
    <w:rPr>
      <w:rFonts w:ascii="宋体" w:hAnsi="宋体"/>
      <w:b/>
      <w:bCs/>
      <w:color w:val="000000"/>
      <w:sz w:val="24"/>
    </w:rPr>
  </w:style>
  <w:style w:type="paragraph" w:customStyle="1" w:styleId="affffffffffffffff8">
    <w:name w:val="五级条"/>
    <w:basedOn w:val="af3"/>
    <w:rsid w:val="009964C3"/>
    <w:pPr>
      <w:tabs>
        <w:tab w:val="left" w:pos="2520"/>
      </w:tabs>
      <w:spacing w:line="440" w:lineRule="exact"/>
      <w:ind w:left="2520" w:hanging="420"/>
      <w:outlineLvl w:val="5"/>
    </w:pPr>
    <w:rPr>
      <w:rFonts w:ascii="宋体"/>
      <w:sz w:val="24"/>
      <w:szCs w:val="20"/>
    </w:rPr>
  </w:style>
  <w:style w:type="paragraph" w:customStyle="1" w:styleId="146">
    <w:name w:val="页眉中146"/>
    <w:basedOn w:val="af3"/>
    <w:rsid w:val="009964C3"/>
    <w:pPr>
      <w:adjustRightInd w:val="0"/>
      <w:snapToGrid w:val="0"/>
      <w:spacing w:line="300" w:lineRule="auto"/>
      <w:jc w:val="left"/>
    </w:pPr>
    <w:rPr>
      <w:rFonts w:ascii="黑体" w:eastAsia="黑体"/>
      <w:bCs/>
      <w:sz w:val="24"/>
      <w:szCs w:val="20"/>
    </w:rPr>
  </w:style>
  <w:style w:type="paragraph" w:customStyle="1" w:styleId="22052">
    <w:name w:val="样式 目录 2 + 左侧:  2 字符 段前: 0.5 行2"/>
    <w:basedOn w:val="2ff2"/>
    <w:semiHidden/>
    <w:rsid w:val="009964C3"/>
    <w:pPr>
      <w:tabs>
        <w:tab w:val="clear" w:pos="8296"/>
        <w:tab w:val="right" w:leader="dot" w:pos="8494"/>
      </w:tabs>
      <w:spacing w:beforeLines="50"/>
      <w:ind w:left="200"/>
    </w:pPr>
    <w:rPr>
      <w:rFonts w:cs="宋体"/>
      <w:sz w:val="28"/>
      <w:szCs w:val="28"/>
    </w:rPr>
  </w:style>
  <w:style w:type="paragraph" w:customStyle="1" w:styleId="bullet2">
    <w:name w:val="bullet2"/>
    <w:rsid w:val="009964C3"/>
    <w:pPr>
      <w:tabs>
        <w:tab w:val="left" w:pos="420"/>
      </w:tabs>
      <w:ind w:firstLine="482"/>
    </w:pPr>
  </w:style>
  <w:style w:type="paragraph" w:customStyle="1" w:styleId="Bullet1">
    <w:name w:val="Bullet 1"/>
    <w:basedOn w:val="af3"/>
    <w:next w:val="af3"/>
    <w:rsid w:val="009964C3"/>
    <w:pPr>
      <w:widowControl/>
      <w:tabs>
        <w:tab w:val="left" w:pos="780"/>
        <w:tab w:val="left" w:pos="1440"/>
      </w:tabs>
      <w:ind w:leftChars="200" w:left="2160" w:hangingChars="200" w:hanging="360"/>
      <w:jc w:val="left"/>
    </w:pPr>
    <w:rPr>
      <w:rFonts w:ascii="Arial" w:hAnsi="Arial"/>
      <w:kern w:val="0"/>
      <w:sz w:val="20"/>
      <w:szCs w:val="20"/>
    </w:rPr>
  </w:style>
  <w:style w:type="paragraph" w:customStyle="1" w:styleId="4fa">
    <w:name w:val="4级标题"/>
    <w:basedOn w:val="1ffc"/>
    <w:rsid w:val="009964C3"/>
    <w:pPr>
      <w:ind w:firstLineChars="0" w:firstLine="0"/>
    </w:pPr>
    <w:rPr>
      <w:b/>
    </w:rPr>
  </w:style>
  <w:style w:type="paragraph" w:customStyle="1" w:styleId="1ffc">
    <w:name w:val="1正文段落"/>
    <w:basedOn w:val="af3"/>
    <w:rsid w:val="009964C3"/>
    <w:pPr>
      <w:spacing w:line="360" w:lineRule="auto"/>
      <w:ind w:firstLineChars="200" w:firstLine="480"/>
      <w:jc w:val="left"/>
    </w:pPr>
    <w:rPr>
      <w:snapToGrid w:val="0"/>
      <w:kern w:val="0"/>
      <w:sz w:val="24"/>
    </w:rPr>
  </w:style>
  <w:style w:type="paragraph" w:customStyle="1" w:styleId="390">
    <w:name w:val="页眉中39"/>
    <w:basedOn w:val="af3"/>
    <w:rsid w:val="009964C3"/>
    <w:pPr>
      <w:adjustRightInd w:val="0"/>
      <w:snapToGrid w:val="0"/>
      <w:spacing w:line="300" w:lineRule="auto"/>
      <w:jc w:val="left"/>
    </w:pPr>
    <w:rPr>
      <w:rFonts w:ascii="黑体" w:eastAsia="黑体"/>
      <w:bCs/>
      <w:sz w:val="24"/>
      <w:szCs w:val="20"/>
    </w:rPr>
  </w:style>
  <w:style w:type="paragraph" w:customStyle="1" w:styleId="CUCD-A0">
    <w:name w:val="CUCD-A"/>
    <w:next w:val="CUCD-00"/>
    <w:semiHidden/>
    <w:rsid w:val="009964C3"/>
    <w:pPr>
      <w:jc w:val="center"/>
      <w:outlineLvl w:val="0"/>
    </w:pPr>
    <w:rPr>
      <w:rFonts w:ascii="Arial" w:eastAsia="黑体" w:hAnsi="Arial"/>
      <w:b/>
      <w:kern w:val="2"/>
      <w:sz w:val="36"/>
      <w:szCs w:val="36"/>
    </w:rPr>
  </w:style>
  <w:style w:type="paragraph" w:customStyle="1" w:styleId="3111">
    <w:name w:val="页眉中311"/>
    <w:basedOn w:val="af3"/>
    <w:rsid w:val="009964C3"/>
    <w:pPr>
      <w:adjustRightInd w:val="0"/>
      <w:snapToGrid w:val="0"/>
      <w:spacing w:line="360" w:lineRule="auto"/>
      <w:jc w:val="center"/>
    </w:pPr>
    <w:rPr>
      <w:rFonts w:ascii="黑体" w:eastAsia="黑体"/>
      <w:bCs/>
      <w:sz w:val="24"/>
      <w:szCs w:val="28"/>
    </w:rPr>
  </w:style>
  <w:style w:type="paragraph" w:customStyle="1" w:styleId="afffff2">
    <w:name w:val="表头"/>
    <w:basedOn w:val="aff7"/>
    <w:link w:val="Charfff1"/>
    <w:rsid w:val="009964C3"/>
    <w:pPr>
      <w:spacing w:before="60" w:after="60"/>
      <w:jc w:val="center"/>
    </w:pPr>
    <w:rPr>
      <w:rFonts w:eastAsia="黑体"/>
      <w:kern w:val="0"/>
    </w:rPr>
  </w:style>
  <w:style w:type="paragraph" w:customStyle="1" w:styleId="5550">
    <w:name w:val="表内5中55"/>
    <w:basedOn w:val="af3"/>
    <w:rsid w:val="009964C3"/>
    <w:pPr>
      <w:adjustRightInd w:val="0"/>
      <w:snapToGrid w:val="0"/>
      <w:jc w:val="center"/>
    </w:pPr>
    <w:rPr>
      <w:rFonts w:ascii="宋体"/>
    </w:rPr>
  </w:style>
  <w:style w:type="paragraph" w:customStyle="1" w:styleId="1ffd">
    <w:name w:val="洋1"/>
    <w:basedOn w:val="13"/>
    <w:next w:val="22"/>
    <w:rsid w:val="009964C3"/>
    <w:pPr>
      <w:spacing w:before="260" w:after="260" w:line="360" w:lineRule="auto"/>
    </w:pPr>
    <w:rPr>
      <w:rFonts w:eastAsia="宋体"/>
      <w:bCs w:val="0"/>
      <w:sz w:val="24"/>
      <w:szCs w:val="20"/>
    </w:rPr>
  </w:style>
  <w:style w:type="paragraph" w:customStyle="1" w:styleId="41111411114Char1111Char41113">
    <w:name w:val="样式 标题 41.1.1.1标题 4.1.1.1.1标题 4 Char款1.1.1.1 Char标4段1.1.1...3"/>
    <w:basedOn w:val="43"/>
    <w:link w:val="41111411114Char1111Char41113Char"/>
    <w:rsid w:val="009964C3"/>
    <w:pPr>
      <w:keepNext w:val="0"/>
      <w:keepLines w:val="0"/>
      <w:numPr>
        <w:ilvl w:val="3"/>
        <w:numId w:val="28"/>
      </w:numPr>
      <w:tabs>
        <w:tab w:val="left" w:pos="4582"/>
      </w:tabs>
      <w:spacing w:before="100" w:after="100" w:line="302" w:lineRule="auto"/>
    </w:pPr>
    <w:rPr>
      <w:rFonts w:ascii="Times New Roman" w:hAnsi="Times New Roman"/>
      <w:color w:val="000000"/>
      <w:sz w:val="24"/>
      <w:szCs w:val="24"/>
    </w:rPr>
  </w:style>
  <w:style w:type="paragraph" w:customStyle="1" w:styleId="ST2023">
    <w:name w:val="ST20_23"/>
    <w:basedOn w:val="ST2011"/>
    <w:next w:val="ST209"/>
    <w:rsid w:val="009964C3"/>
  </w:style>
  <w:style w:type="paragraph" w:customStyle="1" w:styleId="ST209">
    <w:name w:val="ST20_9"/>
    <w:basedOn w:val="af3"/>
    <w:next w:val="ST2010"/>
    <w:rsid w:val="009964C3"/>
    <w:pPr>
      <w:autoSpaceDE w:val="0"/>
      <w:autoSpaceDN w:val="0"/>
      <w:adjustRightInd w:val="0"/>
      <w:spacing w:before="480" w:line="360" w:lineRule="atLeast"/>
      <w:jc w:val="left"/>
      <w:textAlignment w:val="baseline"/>
    </w:pPr>
    <w:rPr>
      <w:rFonts w:ascii="宋体" w:hAnsi="Tms Rmn"/>
      <w:kern w:val="0"/>
      <w:sz w:val="28"/>
      <w:szCs w:val="28"/>
    </w:rPr>
  </w:style>
  <w:style w:type="paragraph" w:customStyle="1" w:styleId="157">
    <w:name w:val="样式 正文首行缩进 + 行距: 1.5 倍行距"/>
    <w:basedOn w:val="aff7"/>
    <w:rsid w:val="009964C3"/>
    <w:pPr>
      <w:overflowPunct/>
      <w:autoSpaceDE/>
      <w:autoSpaceDN/>
      <w:adjustRightInd/>
      <w:ind w:firstLineChars="500" w:firstLine="500"/>
      <w:textAlignment w:val="auto"/>
    </w:pPr>
    <w:rPr>
      <w:rFonts w:hAnsi="宋体" w:cs="宋体"/>
      <w:bCs/>
      <w:sz w:val="26"/>
      <w:szCs w:val="26"/>
    </w:rPr>
  </w:style>
  <w:style w:type="paragraph" w:customStyle="1" w:styleId="77">
    <w:name w:val="图题注7"/>
    <w:basedOn w:val="afff2"/>
    <w:rsid w:val="009964C3"/>
    <w:pPr>
      <w:jc w:val="center"/>
    </w:pPr>
    <w:rPr>
      <w:rFonts w:ascii="黑体" w:cs="宋体"/>
      <w:b/>
      <w:bCs/>
      <w:sz w:val="24"/>
      <w:szCs w:val="24"/>
    </w:rPr>
  </w:style>
  <w:style w:type="paragraph" w:customStyle="1" w:styleId="affffffff1">
    <w:name w:val="正文(首行缩进)"/>
    <w:basedOn w:val="af3"/>
    <w:link w:val="Charfffff8"/>
    <w:rsid w:val="009964C3"/>
    <w:pPr>
      <w:spacing w:line="360" w:lineRule="auto"/>
      <w:ind w:firstLineChars="200" w:firstLine="480"/>
    </w:pPr>
    <w:rPr>
      <w:snapToGrid w:val="0"/>
      <w:kern w:val="0"/>
      <w:sz w:val="24"/>
    </w:rPr>
  </w:style>
  <w:style w:type="paragraph" w:customStyle="1" w:styleId="GB231211">
    <w:name w:val="样式 正文文本 + 楷体_GB2312 小四 左1"/>
    <w:basedOn w:val="af3"/>
    <w:next w:val="af3"/>
    <w:rsid w:val="009964C3"/>
    <w:pPr>
      <w:spacing w:line="360" w:lineRule="auto"/>
      <w:ind w:firstLineChars="200" w:firstLine="200"/>
      <w:jc w:val="left"/>
    </w:pPr>
    <w:rPr>
      <w:rFonts w:ascii="楷体_GB2312" w:cs="宋体"/>
      <w:sz w:val="24"/>
    </w:rPr>
  </w:style>
  <w:style w:type="paragraph" w:customStyle="1" w:styleId="affc">
    <w:name w:val="平－项目"/>
    <w:basedOn w:val="af3"/>
    <w:next w:val="af3"/>
    <w:link w:val="Chard"/>
    <w:rsid w:val="009964C3"/>
    <w:pPr>
      <w:spacing w:line="500" w:lineRule="exact"/>
      <w:ind w:firstLineChars="200" w:firstLine="200"/>
    </w:pPr>
    <w:rPr>
      <w:rFonts w:ascii="华文楷体" w:eastAsia="华文楷体" w:hAnsi="华文楷体"/>
      <w:sz w:val="28"/>
      <w:szCs w:val="28"/>
    </w:rPr>
  </w:style>
  <w:style w:type="paragraph" w:customStyle="1" w:styleId="16421">
    <w:name w:val="16.4.2.1"/>
    <w:basedOn w:val="16911"/>
    <w:rsid w:val="009964C3"/>
    <w:pPr>
      <w:numPr>
        <w:ilvl w:val="0"/>
        <w:numId w:val="0"/>
      </w:numPr>
      <w:tabs>
        <w:tab w:val="left" w:pos="425"/>
        <w:tab w:val="left" w:pos="1680"/>
      </w:tabs>
      <w:ind w:left="1680" w:hanging="420"/>
    </w:pPr>
  </w:style>
  <w:style w:type="paragraph" w:customStyle="1" w:styleId="440">
    <w:name w:val="表题44"/>
    <w:basedOn w:val="afffffff4"/>
    <w:qFormat/>
    <w:rsid w:val="009964C3"/>
    <w:pPr>
      <w:spacing w:line="240" w:lineRule="auto"/>
      <w:ind w:firstLine="0"/>
      <w:jc w:val="center"/>
    </w:pPr>
    <w:rPr>
      <w:rFonts w:ascii="黑体" w:eastAsia="黑体"/>
    </w:rPr>
  </w:style>
  <w:style w:type="paragraph" w:customStyle="1" w:styleId="116">
    <w:name w:val="1标题1"/>
    <w:basedOn w:val="011"/>
    <w:rsid w:val="009964C3"/>
    <w:pPr>
      <w:spacing w:before="480" w:after="480"/>
      <w:ind w:firstLineChars="196" w:firstLine="630"/>
    </w:pPr>
    <w:rPr>
      <w:rFonts w:cs="宋体"/>
      <w:bCs/>
      <w:szCs w:val="20"/>
    </w:rPr>
  </w:style>
  <w:style w:type="paragraph" w:customStyle="1" w:styleId="011">
    <w:name w:val="0标题1"/>
    <w:basedOn w:val="13"/>
    <w:rsid w:val="009964C3"/>
    <w:pPr>
      <w:spacing w:line="340" w:lineRule="exact"/>
    </w:pPr>
    <w:rPr>
      <w:rFonts w:ascii="黑体"/>
      <w:bCs w:val="0"/>
      <w:sz w:val="32"/>
      <w:szCs w:val="32"/>
    </w:rPr>
  </w:style>
  <w:style w:type="paragraph" w:customStyle="1" w:styleId="1Charf2">
    <w:name w:val="图标题1 Char"/>
    <w:basedOn w:val="af3"/>
    <w:rsid w:val="009964C3"/>
    <w:pPr>
      <w:adjustRightInd w:val="0"/>
      <w:snapToGrid w:val="0"/>
      <w:spacing w:line="312" w:lineRule="auto"/>
      <w:jc w:val="center"/>
    </w:pPr>
    <w:rPr>
      <w:rFonts w:ascii="宋体" w:hAnsi="宋体"/>
      <w:b/>
      <w:spacing w:val="10"/>
      <w:sz w:val="24"/>
    </w:rPr>
  </w:style>
  <w:style w:type="paragraph" w:customStyle="1" w:styleId="CharCharCharCharCharCharChar3">
    <w:name w:val="正文（首行缩进两字） Char Char Char Char Char Char Char"/>
    <w:basedOn w:val="af3"/>
    <w:next w:val="2fa"/>
    <w:rsid w:val="009964C3"/>
    <w:pPr>
      <w:ind w:firstLine="570"/>
    </w:pPr>
    <w:rPr>
      <w:rFonts w:ascii="宋体"/>
      <w:sz w:val="28"/>
      <w:szCs w:val="20"/>
    </w:rPr>
  </w:style>
  <w:style w:type="paragraph" w:customStyle="1" w:styleId="ST208">
    <w:name w:val="ST20_8"/>
    <w:basedOn w:val="af3"/>
    <w:next w:val="ST207"/>
    <w:rsid w:val="009964C3"/>
    <w:pPr>
      <w:keepNext/>
      <w:autoSpaceDE w:val="0"/>
      <w:autoSpaceDN w:val="0"/>
      <w:adjustRightInd w:val="0"/>
      <w:spacing w:line="360" w:lineRule="atLeast"/>
      <w:jc w:val="left"/>
      <w:textAlignment w:val="baseline"/>
    </w:pPr>
    <w:rPr>
      <w:rFonts w:ascii="宋体" w:hAnsi="Tms Rmn"/>
      <w:kern w:val="0"/>
      <w:sz w:val="28"/>
      <w:szCs w:val="28"/>
    </w:rPr>
  </w:style>
  <w:style w:type="paragraph" w:customStyle="1" w:styleId="affffffffffffffff9">
    <w:name w:val="表尾"/>
    <w:basedOn w:val="af3"/>
    <w:rsid w:val="009964C3"/>
    <w:pPr>
      <w:tabs>
        <w:tab w:val="left" w:pos="1021"/>
      </w:tabs>
      <w:spacing w:line="200" w:lineRule="exact"/>
    </w:pPr>
    <w:rPr>
      <w:sz w:val="10"/>
      <w:szCs w:val="20"/>
    </w:rPr>
  </w:style>
  <w:style w:type="paragraph" w:customStyle="1" w:styleId="ST207">
    <w:name w:val="ST20_7"/>
    <w:basedOn w:val="ST208"/>
    <w:next w:val="ST202"/>
    <w:rsid w:val="009964C3"/>
    <w:pPr>
      <w:keepNext w:val="0"/>
      <w:spacing w:before="120"/>
    </w:pPr>
    <w:rPr>
      <w:i/>
      <w:iCs/>
      <w:sz w:val="18"/>
      <w:szCs w:val="18"/>
    </w:rPr>
  </w:style>
  <w:style w:type="paragraph" w:customStyle="1" w:styleId="Char05">
    <w:name w:val="样式 表格文字 Char + 段前: 0.5 行"/>
    <w:basedOn w:val="af3"/>
    <w:link w:val="Char05Char"/>
    <w:semiHidden/>
    <w:rsid w:val="009964C3"/>
    <w:pPr>
      <w:spacing w:beforeLines="50"/>
      <w:jc w:val="center"/>
    </w:pPr>
    <w:rPr>
      <w:sz w:val="24"/>
      <w:szCs w:val="20"/>
    </w:rPr>
  </w:style>
  <w:style w:type="paragraph" w:customStyle="1" w:styleId="Char52">
    <w:name w:val="表题 Char5"/>
    <w:basedOn w:val="af3"/>
    <w:rsid w:val="009964C3"/>
    <w:pPr>
      <w:spacing w:line="360" w:lineRule="auto"/>
      <w:jc w:val="center"/>
    </w:pPr>
    <w:rPr>
      <w:rFonts w:ascii="黑体" w:eastAsia="黑体"/>
      <w:bCs/>
      <w:sz w:val="28"/>
      <w:szCs w:val="28"/>
    </w:rPr>
  </w:style>
  <w:style w:type="paragraph" w:customStyle="1" w:styleId="820">
    <w:name w:val="标题 82"/>
    <w:basedOn w:val="af3"/>
    <w:next w:val="af3"/>
    <w:qFormat/>
    <w:rsid w:val="009964C3"/>
    <w:pPr>
      <w:keepNext/>
      <w:keepLines/>
      <w:adjustRightInd w:val="0"/>
      <w:spacing w:line="480" w:lineRule="atLeast"/>
      <w:ind w:firstLine="567"/>
      <w:textAlignment w:val="baseline"/>
    </w:pPr>
    <w:rPr>
      <w:rFonts w:ascii="Arial" w:hAnsi="Arial" w:hint="eastAsia"/>
      <w:kern w:val="0"/>
      <w:sz w:val="24"/>
      <w:szCs w:val="20"/>
    </w:rPr>
  </w:style>
  <w:style w:type="paragraph" w:customStyle="1" w:styleId="GB2312098">
    <w:name w:val="样式 正文文本 + 楷体_GB2312 小四 首行缩进:  0.98 厘米"/>
    <w:basedOn w:val="afff"/>
    <w:next w:val="af3"/>
    <w:rsid w:val="009964C3"/>
    <w:pPr>
      <w:widowControl/>
      <w:spacing w:after="0" w:line="360" w:lineRule="auto"/>
      <w:ind w:rightChars="1" w:right="2" w:firstLine="555"/>
    </w:pPr>
    <w:rPr>
      <w:rFonts w:ascii="楷体_GB2312" w:cs="宋体"/>
      <w:kern w:val="0"/>
      <w:sz w:val="24"/>
      <w:szCs w:val="20"/>
    </w:rPr>
  </w:style>
  <w:style w:type="paragraph" w:customStyle="1" w:styleId="Style225">
    <w:name w:val="_Style 225"/>
    <w:basedOn w:val="af3"/>
    <w:rsid w:val="009964C3"/>
    <w:pPr>
      <w:widowControl/>
      <w:jc w:val="left"/>
    </w:pPr>
    <w:rPr>
      <w:rFonts w:ascii="宋体" w:hint="eastAsia"/>
      <w:kern w:val="0"/>
      <w:sz w:val="24"/>
      <w:szCs w:val="20"/>
    </w:rPr>
  </w:style>
  <w:style w:type="paragraph" w:customStyle="1" w:styleId="67">
    <w:name w:val="条(三级)6"/>
    <w:basedOn w:val="af3"/>
    <w:next w:val="af3"/>
    <w:rsid w:val="009964C3"/>
    <w:pPr>
      <w:keepNext/>
      <w:keepLines/>
      <w:adjustRightInd w:val="0"/>
      <w:spacing w:line="460" w:lineRule="exact"/>
      <w:jc w:val="left"/>
      <w:textAlignment w:val="baseline"/>
    </w:pPr>
    <w:rPr>
      <w:rFonts w:ascii="宋体" w:hAnsi="Arial" w:cs="宋体"/>
      <w:spacing w:val="3"/>
      <w:kern w:val="24"/>
      <w:sz w:val="24"/>
      <w:szCs w:val="20"/>
    </w:rPr>
  </w:style>
  <w:style w:type="paragraph" w:customStyle="1" w:styleId="a2">
    <w:name w:val="编号"/>
    <w:basedOn w:val="aff7"/>
    <w:link w:val="Charff4"/>
    <w:rsid w:val="009964C3"/>
    <w:pPr>
      <w:numPr>
        <w:numId w:val="29"/>
      </w:numPr>
      <w:overflowPunct/>
      <w:autoSpaceDE/>
      <w:autoSpaceDN/>
      <w:snapToGrid w:val="0"/>
      <w:ind w:left="0" w:firstLineChars="200" w:firstLine="480"/>
      <w:textAlignment w:val="auto"/>
    </w:pPr>
    <w:rPr>
      <w:sz w:val="24"/>
      <w:szCs w:val="20"/>
    </w:rPr>
  </w:style>
  <w:style w:type="paragraph" w:customStyle="1" w:styleId="4fb">
    <w:name w:val="表内文字小4"/>
    <w:basedOn w:val="af3"/>
    <w:rsid w:val="009964C3"/>
    <w:pPr>
      <w:adjustRightInd w:val="0"/>
      <w:snapToGrid w:val="0"/>
      <w:jc w:val="center"/>
    </w:pPr>
    <w:rPr>
      <w:rFonts w:ascii="宋体" w:hAnsi="Times"/>
      <w:szCs w:val="20"/>
    </w:rPr>
  </w:style>
  <w:style w:type="paragraph" w:customStyle="1" w:styleId="215">
    <w:name w:val="表内文字大21"/>
    <w:basedOn w:val="af3"/>
    <w:rsid w:val="009964C3"/>
    <w:pPr>
      <w:adjustRightInd w:val="0"/>
      <w:snapToGrid w:val="0"/>
      <w:jc w:val="center"/>
    </w:pPr>
    <w:rPr>
      <w:rFonts w:ascii="宋体" w:hAnsi="Times" w:cs="宋体"/>
      <w:sz w:val="24"/>
      <w:szCs w:val="20"/>
    </w:rPr>
  </w:style>
  <w:style w:type="paragraph" w:customStyle="1" w:styleId="affffffffffffffffa">
    <w:name w:val="表中"/>
    <w:rsid w:val="009964C3"/>
    <w:pPr>
      <w:widowControl w:val="0"/>
      <w:adjustRightInd w:val="0"/>
      <w:snapToGrid w:val="0"/>
      <w:spacing w:line="280" w:lineRule="exact"/>
      <w:jc w:val="center"/>
    </w:pPr>
    <w:rPr>
      <w:rFonts w:ascii="宋体" w:hAnsi="宋体"/>
      <w:color w:val="000000"/>
      <w:kern w:val="2"/>
      <w:sz w:val="18"/>
      <w:szCs w:val="18"/>
    </w:rPr>
  </w:style>
  <w:style w:type="paragraph" w:customStyle="1" w:styleId="165">
    <w:name w:val="等核实16"/>
    <w:basedOn w:val="afffffff4"/>
    <w:rsid w:val="009964C3"/>
    <w:pPr>
      <w:ind w:firstLine="567"/>
    </w:pPr>
    <w:rPr>
      <w:rFonts w:cs="Times New Roman"/>
      <w:color w:val="0000FF"/>
      <w:szCs w:val="20"/>
    </w:rPr>
  </w:style>
  <w:style w:type="paragraph" w:customStyle="1" w:styleId="CharChar112">
    <w:name w:val="字元 字元 Char Char 字元 字元11"/>
    <w:basedOn w:val="af3"/>
    <w:rsid w:val="009964C3"/>
    <w:rPr>
      <w:sz w:val="24"/>
    </w:rPr>
  </w:style>
  <w:style w:type="paragraph" w:customStyle="1" w:styleId="3ReHead3WSAh3h3Char015">
    <w:name w:val="样式 标题 3ReHead 3 WSAh3h3 Char + 左侧:  0 厘米 行距: 1.5 倍行距"/>
    <w:basedOn w:val="31"/>
    <w:semiHidden/>
    <w:rsid w:val="009964C3"/>
    <w:pPr>
      <w:numPr>
        <w:ilvl w:val="2"/>
      </w:numPr>
      <w:tabs>
        <w:tab w:val="left" w:pos="1260"/>
        <w:tab w:val="left" w:pos="1620"/>
      </w:tabs>
      <w:adjustRightInd w:val="0"/>
      <w:spacing w:before="120" w:after="120" w:line="360" w:lineRule="auto"/>
      <w:ind w:left="1260" w:hanging="720"/>
      <w:textAlignment w:val="baseline"/>
    </w:pPr>
    <w:rPr>
      <w:rFonts w:ascii="宋体" w:cs="宋体"/>
      <w:kern w:val="0"/>
      <w:sz w:val="24"/>
      <w:szCs w:val="20"/>
    </w:rPr>
  </w:style>
  <w:style w:type="paragraph" w:customStyle="1" w:styleId="CharCharCharCharCharCharCharCharCharCharCharCharCharCharCharChar">
    <w:name w:val="Char Char Char Char Char Char Char Char Char Char Char Char Char Char Char Char"/>
    <w:basedOn w:val="af3"/>
    <w:semiHidden/>
    <w:rsid w:val="009964C3"/>
    <w:pPr>
      <w:spacing w:line="360" w:lineRule="auto"/>
      <w:ind w:firstLineChars="200" w:firstLine="200"/>
    </w:pPr>
    <w:rPr>
      <w:rFonts w:ascii="宋体" w:hAnsi="宋体" w:cs="宋体"/>
      <w:sz w:val="24"/>
    </w:rPr>
  </w:style>
  <w:style w:type="paragraph" w:customStyle="1" w:styleId="4fc">
    <w:name w:val="首缩4"/>
    <w:basedOn w:val="af3"/>
    <w:rsid w:val="009964C3"/>
    <w:pPr>
      <w:adjustRightInd w:val="0"/>
      <w:snapToGrid w:val="0"/>
      <w:spacing w:line="500" w:lineRule="exact"/>
      <w:ind w:firstLineChars="200" w:firstLine="200"/>
    </w:pPr>
    <w:rPr>
      <w:rFonts w:eastAsia="仿宋_GB2312"/>
      <w:snapToGrid w:val="0"/>
      <w:kern w:val="0"/>
      <w:sz w:val="28"/>
      <w:szCs w:val="20"/>
    </w:rPr>
  </w:style>
  <w:style w:type="paragraph" w:customStyle="1" w:styleId="Enclosure">
    <w:name w:val="Enclosure"/>
    <w:basedOn w:val="af3"/>
    <w:rsid w:val="009964C3"/>
    <w:pPr>
      <w:widowControl/>
    </w:pPr>
    <w:rPr>
      <w:rFonts w:ascii="Arial" w:hAnsi="Arial"/>
      <w:kern w:val="0"/>
      <w:sz w:val="22"/>
      <w:szCs w:val="20"/>
    </w:rPr>
  </w:style>
  <w:style w:type="paragraph" w:customStyle="1" w:styleId="4fd">
    <w:name w:val="4标题(治)"/>
    <w:basedOn w:val="af3"/>
    <w:next w:val="af3"/>
    <w:semiHidden/>
    <w:rsid w:val="009964C3"/>
    <w:pPr>
      <w:adjustRightInd w:val="0"/>
      <w:snapToGrid w:val="0"/>
      <w:spacing w:line="360" w:lineRule="auto"/>
      <w:textAlignment w:val="baseline"/>
      <w:outlineLvl w:val="3"/>
    </w:pPr>
    <w:rPr>
      <w:rFonts w:eastAsia="黑体"/>
      <w:kern w:val="0"/>
      <w:sz w:val="28"/>
      <w:szCs w:val="20"/>
    </w:rPr>
  </w:style>
  <w:style w:type="paragraph" w:customStyle="1" w:styleId="1211">
    <w:name w:val="页眉中121"/>
    <w:basedOn w:val="af3"/>
    <w:rsid w:val="009964C3"/>
    <w:pPr>
      <w:adjustRightInd w:val="0"/>
      <w:snapToGrid w:val="0"/>
      <w:spacing w:line="300" w:lineRule="auto"/>
      <w:jc w:val="left"/>
    </w:pPr>
    <w:rPr>
      <w:rFonts w:ascii="黑体" w:eastAsia="黑体"/>
      <w:bCs/>
      <w:sz w:val="24"/>
      <w:szCs w:val="20"/>
    </w:rPr>
  </w:style>
  <w:style w:type="paragraph" w:customStyle="1" w:styleId="118">
    <w:name w:val="标题 11"/>
    <w:basedOn w:val="af3"/>
    <w:next w:val="22"/>
    <w:rsid w:val="009964C3"/>
    <w:pPr>
      <w:adjustRightInd w:val="0"/>
      <w:spacing w:before="120" w:line="440" w:lineRule="exact"/>
    </w:pPr>
    <w:rPr>
      <w:rFonts w:ascii="Arial" w:eastAsia="黑体" w:hAnsi="Arial"/>
      <w:b/>
      <w:color w:val="000000"/>
      <w:kern w:val="44"/>
      <w:sz w:val="30"/>
      <w:szCs w:val="20"/>
    </w:rPr>
  </w:style>
  <w:style w:type="paragraph" w:customStyle="1" w:styleId="GB23122">
    <w:name w:val="样式 正文文本 + 楷体_GB2312"/>
    <w:basedOn w:val="afff"/>
    <w:next w:val="af3"/>
    <w:link w:val="GB2312Char0"/>
    <w:rsid w:val="009964C3"/>
    <w:pPr>
      <w:widowControl/>
      <w:spacing w:after="0" w:line="360" w:lineRule="auto"/>
      <w:ind w:firstLineChars="207" w:firstLine="580"/>
      <w:jc w:val="left"/>
    </w:pPr>
    <w:rPr>
      <w:rFonts w:ascii="楷体_GB2312" w:hAnsi="楷体_GB2312"/>
      <w:sz w:val="28"/>
      <w:szCs w:val="20"/>
    </w:rPr>
  </w:style>
  <w:style w:type="paragraph" w:customStyle="1" w:styleId="68">
    <w:name w:val="表题6"/>
    <w:basedOn w:val="afffffff4"/>
    <w:rsid w:val="009964C3"/>
    <w:pPr>
      <w:spacing w:line="240" w:lineRule="auto"/>
      <w:ind w:firstLineChars="200" w:firstLine="480"/>
      <w:jc w:val="center"/>
    </w:pPr>
    <w:rPr>
      <w:rFonts w:ascii="黑体" w:eastAsia="黑体" w:cs="Times New Roman"/>
      <w:color w:val="auto"/>
      <w:szCs w:val="20"/>
    </w:rPr>
  </w:style>
  <w:style w:type="paragraph" w:customStyle="1" w:styleId="491">
    <w:name w:val="表标题4.9"/>
    <w:basedOn w:val="af3"/>
    <w:rsid w:val="009964C3"/>
    <w:pPr>
      <w:tabs>
        <w:tab w:val="center" w:pos="4060"/>
        <w:tab w:val="right" w:pos="8261"/>
      </w:tabs>
      <w:suppressAutoHyphens/>
      <w:adjustRightInd w:val="0"/>
      <w:spacing w:before="240" w:line="0" w:lineRule="atLeast"/>
    </w:pPr>
    <w:rPr>
      <w:rFonts w:ascii="黑体" w:eastAsia="黑体"/>
      <w:b/>
      <w:spacing w:val="6"/>
      <w:kern w:val="0"/>
      <w:sz w:val="26"/>
      <w:szCs w:val="26"/>
    </w:rPr>
  </w:style>
  <w:style w:type="paragraph" w:customStyle="1" w:styleId="SectionTitle">
    <w:name w:val="Section Title"/>
    <w:basedOn w:val="af3"/>
    <w:next w:val="af3"/>
    <w:rsid w:val="009964C3"/>
    <w:pPr>
      <w:widowControl/>
      <w:pBdr>
        <w:top w:val="single" w:sz="6" w:space="2" w:color="FFFFFF"/>
        <w:left w:val="single" w:sz="6" w:space="2" w:color="FFFFFF"/>
        <w:bottom w:val="single" w:sz="6" w:space="2" w:color="FFFFFF"/>
        <w:right w:val="single" w:sz="6" w:space="2" w:color="FFFFFF"/>
      </w:pBdr>
      <w:shd w:val="pct10" w:color="auto" w:fill="auto"/>
      <w:spacing w:before="120" w:line="280" w:lineRule="atLeast"/>
      <w:jc w:val="left"/>
    </w:pPr>
    <w:rPr>
      <w:rFonts w:ascii="Arial" w:hAnsi="Arial"/>
      <w:b/>
      <w:spacing w:val="-10"/>
      <w:kern w:val="0"/>
      <w:position w:val="7"/>
      <w:sz w:val="20"/>
      <w:szCs w:val="20"/>
    </w:rPr>
  </w:style>
  <w:style w:type="paragraph" w:customStyle="1" w:styleId="TimesNewRomanGB2312260">
    <w:name w:val="样式 样式 (西文) Times New Roman (中文) 仿宋_GB2312 黑色 首行缩进:  2 字符 段前: 6 ...."/>
    <w:basedOn w:val="TimesNewRomanGB231226"/>
    <w:link w:val="TimesNewRomanGB231226Char0"/>
    <w:semiHidden/>
    <w:locked/>
    <w:rsid w:val="009964C3"/>
    <w:pPr>
      <w:spacing w:line="360" w:lineRule="auto"/>
      <w:ind w:firstLine="200"/>
    </w:pPr>
    <w:rPr>
      <w:rFonts w:ascii="宋体" w:eastAsia="宋体" w:hAnsi="宋体"/>
    </w:rPr>
  </w:style>
  <w:style w:type="paragraph" w:customStyle="1" w:styleId="CharCharCharChar20">
    <w:name w:val="Char Char Char Char2"/>
    <w:basedOn w:val="af3"/>
    <w:semiHidden/>
    <w:rsid w:val="009964C3"/>
  </w:style>
  <w:style w:type="paragraph" w:customStyle="1" w:styleId="xl20">
    <w:name w:val="xl20"/>
    <w:basedOn w:val="af3"/>
    <w:rsid w:val="009964C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affffffffffffffffb">
    <w:name w:val="目录标题"/>
    <w:basedOn w:val="afff"/>
    <w:semiHidden/>
    <w:rsid w:val="009964C3"/>
    <w:pPr>
      <w:spacing w:beforeLines="50" w:afterLines="50"/>
    </w:pPr>
    <w:rPr>
      <w:b/>
      <w:bCs/>
      <w:sz w:val="20"/>
      <w:szCs w:val="20"/>
    </w:rPr>
  </w:style>
  <w:style w:type="paragraph" w:customStyle="1" w:styleId="GB2312215">
    <w:name w:val="样式 仿宋_GB2312 (符号) 宋体 小四 首行缩进:  21.5 字符"/>
    <w:basedOn w:val="af3"/>
    <w:semiHidden/>
    <w:rsid w:val="009964C3"/>
    <w:pPr>
      <w:overflowPunct w:val="0"/>
      <w:autoSpaceDE w:val="0"/>
      <w:autoSpaceDN w:val="0"/>
      <w:adjustRightInd w:val="0"/>
      <w:ind w:firstLineChars="2150" w:firstLine="5160"/>
      <w:textAlignment w:val="baseline"/>
    </w:pPr>
    <w:rPr>
      <w:rFonts w:ascii="仿宋_GB2312" w:eastAsia="仿宋_GB2312" w:hAnsi="宋体" w:cs="宋体"/>
      <w:kern w:val="0"/>
      <w:sz w:val="24"/>
      <w:szCs w:val="20"/>
    </w:rPr>
  </w:style>
  <w:style w:type="paragraph" w:customStyle="1" w:styleId="GB23127">
    <w:name w:val="样式 仿宋_GB2312 小四 居中"/>
    <w:basedOn w:val="af3"/>
    <w:semiHidden/>
    <w:rsid w:val="009964C3"/>
    <w:pPr>
      <w:overflowPunct w:val="0"/>
      <w:autoSpaceDE w:val="0"/>
      <w:autoSpaceDN w:val="0"/>
      <w:adjustRightInd w:val="0"/>
      <w:jc w:val="center"/>
      <w:textAlignment w:val="baseline"/>
    </w:pPr>
    <w:rPr>
      <w:rFonts w:ascii="仿宋_GB2312" w:eastAsia="仿宋_GB2312" w:cs="宋体"/>
      <w:kern w:val="0"/>
      <w:sz w:val="24"/>
      <w:szCs w:val="20"/>
    </w:rPr>
  </w:style>
  <w:style w:type="paragraph" w:customStyle="1" w:styleId="ST2054">
    <w:name w:val="ST20_54"/>
    <w:basedOn w:val="ST2019"/>
    <w:rsid w:val="009964C3"/>
    <w:pPr>
      <w:tabs>
        <w:tab w:val="clear" w:pos="720"/>
      </w:tabs>
      <w:spacing w:after="160"/>
    </w:pPr>
  </w:style>
  <w:style w:type="paragraph" w:customStyle="1" w:styleId="affffffffffffffffc">
    <w:name w:val="报告章标题"/>
    <w:basedOn w:val="13"/>
    <w:next w:val="af3"/>
    <w:rsid w:val="009964C3"/>
    <w:pPr>
      <w:adjustRightInd w:val="0"/>
      <w:spacing w:before="360" w:after="360" w:line="400" w:lineRule="exact"/>
      <w:ind w:left="482" w:hanging="194"/>
      <w:jc w:val="center"/>
    </w:pPr>
    <w:rPr>
      <w:b w:val="0"/>
      <w:bCs w:val="0"/>
      <w:sz w:val="32"/>
      <w:szCs w:val="20"/>
    </w:rPr>
  </w:style>
  <w:style w:type="paragraph" w:customStyle="1" w:styleId="5551">
    <w:name w:val="表内宋5中55"/>
    <w:basedOn w:val="af3"/>
    <w:rsid w:val="009964C3"/>
    <w:pPr>
      <w:adjustRightInd w:val="0"/>
      <w:snapToGrid w:val="0"/>
      <w:spacing w:line="360" w:lineRule="auto"/>
      <w:textAlignment w:val="baseline"/>
    </w:pPr>
    <w:rPr>
      <w:rFonts w:ascii="宋体" w:hAnsi="宋体"/>
      <w:kern w:val="0"/>
      <w:szCs w:val="21"/>
    </w:rPr>
  </w:style>
  <w:style w:type="paragraph" w:customStyle="1" w:styleId="text">
    <w:name w:val="text"/>
    <w:basedOn w:val="af3"/>
    <w:rsid w:val="009964C3"/>
    <w:pPr>
      <w:widowControl/>
      <w:spacing w:before="100" w:beforeAutospacing="1" w:after="100" w:afterAutospacing="1"/>
      <w:jc w:val="center"/>
    </w:pPr>
    <w:rPr>
      <w:rFonts w:ascii="宋体" w:hAnsi="宋体"/>
      <w:color w:val="000000"/>
      <w:kern w:val="0"/>
      <w:szCs w:val="20"/>
    </w:rPr>
  </w:style>
  <w:style w:type="paragraph" w:customStyle="1" w:styleId="34">
    <w:name w:val="标题样式3"/>
    <w:basedOn w:val="31"/>
    <w:link w:val="3Char0"/>
    <w:rsid w:val="009964C3"/>
    <w:pPr>
      <w:keepNext w:val="0"/>
      <w:keepLines w:val="0"/>
      <w:spacing w:before="120" w:after="0" w:line="360" w:lineRule="auto"/>
    </w:pPr>
    <w:rPr>
      <w:rFonts w:ascii="黑体" w:eastAsia="黑体" w:cs="黑体"/>
      <w:sz w:val="28"/>
      <w:szCs w:val="28"/>
      <w:lang w:val="zh-CN"/>
    </w:rPr>
  </w:style>
  <w:style w:type="paragraph" w:customStyle="1" w:styleId="gb1">
    <w:name w:val="gb1"/>
    <w:basedOn w:val="af3"/>
    <w:rsid w:val="009964C3"/>
    <w:pPr>
      <w:widowControl/>
      <w:tabs>
        <w:tab w:val="left" w:pos="227"/>
      </w:tabs>
      <w:overflowPunct w:val="0"/>
      <w:autoSpaceDE w:val="0"/>
      <w:autoSpaceDN w:val="0"/>
      <w:adjustRightInd w:val="0"/>
      <w:spacing w:before="120" w:after="120"/>
      <w:textAlignment w:val="baseline"/>
    </w:pPr>
    <w:rPr>
      <w:rFonts w:ascii="Arial" w:eastAsia="仿宋体" w:hAnsi="Arial"/>
      <w:kern w:val="0"/>
      <w:szCs w:val="20"/>
    </w:rPr>
  </w:style>
  <w:style w:type="paragraph" w:customStyle="1" w:styleId="2H2110578">
    <w:name w:val="样式 标题 2节H2节标题 1.1 + 黑色 段前: 0.5 行 段后: 7.8 磅 行距: 单倍行距"/>
    <w:basedOn w:val="22"/>
    <w:rsid w:val="009964C3"/>
    <w:pPr>
      <w:keepNext w:val="0"/>
      <w:keepLines w:val="0"/>
      <w:adjustRightInd w:val="0"/>
      <w:snapToGrid w:val="0"/>
      <w:spacing w:beforeLines="50" w:after="156" w:line="240" w:lineRule="auto"/>
      <w:ind w:left="578" w:hanging="578"/>
      <w:jc w:val="left"/>
    </w:pPr>
    <w:rPr>
      <w:rFonts w:ascii="Times New Roman" w:eastAsia="宋体" w:hAnsi="Times New Roman" w:cs="宋体"/>
      <w:snapToGrid w:val="0"/>
      <w:color w:val="000000"/>
      <w:kern w:val="24"/>
      <w:sz w:val="28"/>
      <w:szCs w:val="20"/>
    </w:rPr>
  </w:style>
  <w:style w:type="paragraph" w:customStyle="1" w:styleId="171">
    <w:name w:val="表题17"/>
    <w:basedOn w:val="afffffff4"/>
    <w:rsid w:val="009964C3"/>
    <w:pPr>
      <w:tabs>
        <w:tab w:val="clear" w:pos="4305"/>
      </w:tabs>
      <w:spacing w:line="240" w:lineRule="auto"/>
      <w:ind w:firstLine="0"/>
      <w:jc w:val="center"/>
    </w:pPr>
    <w:rPr>
      <w:rFonts w:ascii="黑体" w:eastAsia="黑体" w:hAnsi="Times" w:cs="Times New Roman"/>
    </w:rPr>
  </w:style>
  <w:style w:type="paragraph" w:customStyle="1" w:styleId="CharChar3CharCharCharChar0">
    <w:name w:val="Char Char3 Char Char Char Char"/>
    <w:basedOn w:val="af3"/>
    <w:rsid w:val="009964C3"/>
    <w:pPr>
      <w:widowControl/>
      <w:spacing w:after="160" w:line="240" w:lineRule="exact"/>
      <w:jc w:val="left"/>
    </w:pPr>
    <w:rPr>
      <w:rFonts w:ascii="Verdana" w:hAnsi="Verdana"/>
      <w:kern w:val="0"/>
      <w:sz w:val="20"/>
      <w:szCs w:val="20"/>
      <w:lang w:eastAsia="en-US"/>
    </w:rPr>
  </w:style>
  <w:style w:type="paragraph" w:customStyle="1" w:styleId="cucd-01">
    <w:name w:val="样式 cucd-0 + 宋体"/>
    <w:basedOn w:val="af3"/>
    <w:semiHidden/>
    <w:rsid w:val="009964C3"/>
    <w:pPr>
      <w:widowControl/>
      <w:spacing w:line="360" w:lineRule="auto"/>
      <w:ind w:firstLineChars="200" w:firstLine="480"/>
      <w:jc w:val="left"/>
    </w:pPr>
    <w:rPr>
      <w:rFonts w:ascii="宋体" w:hAnsi="宋体"/>
      <w:sz w:val="24"/>
    </w:rPr>
  </w:style>
  <w:style w:type="paragraph" w:customStyle="1" w:styleId="aa">
    <w:name w:val="四级条标题"/>
    <w:basedOn w:val="a9"/>
    <w:next w:val="af3"/>
    <w:rsid w:val="009964C3"/>
    <w:pPr>
      <w:numPr>
        <w:ilvl w:val="5"/>
      </w:numPr>
      <w:outlineLvl w:val="5"/>
    </w:pPr>
  </w:style>
  <w:style w:type="paragraph" w:customStyle="1" w:styleId="CharCharCharChar1CharCharChar1">
    <w:name w:val="Char Char Char Char1 Char Char Char1"/>
    <w:basedOn w:val="af3"/>
    <w:rsid w:val="009964C3"/>
    <w:pPr>
      <w:widowControl/>
      <w:spacing w:after="160" w:line="240" w:lineRule="exact"/>
      <w:jc w:val="left"/>
    </w:pPr>
    <w:rPr>
      <w:rFonts w:ascii="Verdana" w:hAnsi="Verdana"/>
      <w:kern w:val="0"/>
      <w:sz w:val="20"/>
      <w:szCs w:val="20"/>
      <w:lang w:eastAsia="en-US"/>
    </w:rPr>
  </w:style>
  <w:style w:type="paragraph" w:customStyle="1" w:styleId="a9">
    <w:name w:val="三级条标题"/>
    <w:basedOn w:val="a8"/>
    <w:next w:val="af3"/>
    <w:rsid w:val="009964C3"/>
    <w:pPr>
      <w:numPr>
        <w:ilvl w:val="4"/>
      </w:numPr>
      <w:outlineLvl w:val="4"/>
    </w:pPr>
  </w:style>
  <w:style w:type="paragraph" w:customStyle="1" w:styleId="CharCharCharCharCharCharCharCh">
    <w:name w:val="样式 纯文本表内文字普通文字 Char普通文字 Char Char Char普通文字 Char Char Char Ch..."/>
    <w:basedOn w:val="af3"/>
    <w:next w:val="af3"/>
    <w:rsid w:val="009964C3"/>
    <w:pPr>
      <w:spacing w:line="360" w:lineRule="auto"/>
      <w:ind w:firstLineChars="200" w:firstLine="480"/>
    </w:pPr>
    <w:rPr>
      <w:rFonts w:ascii="楷体_GB2312" w:hAnsi="宋体" w:cs="宋体"/>
      <w:sz w:val="24"/>
    </w:rPr>
  </w:style>
  <w:style w:type="paragraph" w:customStyle="1" w:styleId="a8">
    <w:name w:val="二级条标题"/>
    <w:basedOn w:val="a7"/>
    <w:next w:val="af3"/>
    <w:rsid w:val="009964C3"/>
    <w:pPr>
      <w:numPr>
        <w:ilvl w:val="3"/>
      </w:numPr>
      <w:outlineLvl w:val="3"/>
    </w:pPr>
  </w:style>
  <w:style w:type="paragraph" w:customStyle="1" w:styleId="style15">
    <w:name w:val="style15"/>
    <w:basedOn w:val="af3"/>
    <w:rsid w:val="009964C3"/>
    <w:pPr>
      <w:widowControl/>
      <w:spacing w:before="100" w:beforeAutospacing="1" w:after="100" w:afterAutospacing="1"/>
      <w:jc w:val="left"/>
    </w:pPr>
    <w:rPr>
      <w:rFonts w:ascii="宋体" w:hAnsi="宋体" w:cs="宋体"/>
      <w:kern w:val="0"/>
      <w:sz w:val="16"/>
      <w:szCs w:val="16"/>
    </w:rPr>
  </w:style>
  <w:style w:type="paragraph" w:customStyle="1" w:styleId="a7">
    <w:name w:val="一级条标题"/>
    <w:basedOn w:val="af3"/>
    <w:next w:val="af3"/>
    <w:rsid w:val="009964C3"/>
    <w:pPr>
      <w:widowControl/>
      <w:numPr>
        <w:ilvl w:val="2"/>
        <w:numId w:val="23"/>
      </w:numPr>
      <w:tabs>
        <w:tab w:val="left" w:pos="360"/>
      </w:tabs>
      <w:outlineLvl w:val="2"/>
    </w:pPr>
    <w:rPr>
      <w:rFonts w:ascii="黑体" w:eastAsia="黑体"/>
      <w:kern w:val="0"/>
      <w:szCs w:val="20"/>
    </w:rPr>
  </w:style>
  <w:style w:type="paragraph" w:customStyle="1" w:styleId="afffb">
    <w:name w:val="表格内字体"/>
    <w:basedOn w:val="afffff5"/>
    <w:link w:val="Charfd"/>
    <w:rsid w:val="009964C3"/>
    <w:pPr>
      <w:adjustRightInd/>
      <w:snapToGrid/>
      <w:spacing w:line="240" w:lineRule="auto"/>
      <w:ind w:left="50" w:right="-32" w:firstLineChars="0" w:firstLine="0"/>
      <w:jc w:val="center"/>
    </w:pPr>
    <w:rPr>
      <w:rFonts w:hAnsi="宋体"/>
      <w:kern w:val="0"/>
      <w:sz w:val="21"/>
      <w:szCs w:val="20"/>
      <w:lang w:val="zh-CN"/>
    </w:rPr>
  </w:style>
  <w:style w:type="paragraph" w:customStyle="1" w:styleId="55">
    <w:name w:val="样式5"/>
    <w:basedOn w:val="51"/>
    <w:link w:val="5Char2"/>
    <w:rsid w:val="009964C3"/>
    <w:pPr>
      <w:keepNext/>
      <w:keepLines/>
      <w:tabs>
        <w:tab w:val="left" w:pos="1247"/>
        <w:tab w:val="left" w:pos="1534"/>
      </w:tabs>
      <w:spacing w:line="360" w:lineRule="auto"/>
      <w:ind w:left="284" w:firstLine="170"/>
      <w:jc w:val="both"/>
    </w:pPr>
    <w:rPr>
      <w:rFonts w:ascii="宋体" w:eastAsia="宋体" w:hAnsi="Times New Roman"/>
      <w:b/>
      <w:color w:val="auto"/>
      <w:spacing w:val="0"/>
      <w:position w:val="0"/>
      <w:sz w:val="24"/>
      <w:szCs w:val="24"/>
    </w:rPr>
  </w:style>
  <w:style w:type="paragraph" w:customStyle="1" w:styleId="affffffffffffffffd">
    <w:name w:val="表格内正文"/>
    <w:rsid w:val="009964C3"/>
    <w:pPr>
      <w:widowControl w:val="0"/>
      <w:spacing w:line="360" w:lineRule="exact"/>
      <w:ind w:firstLineChars="200" w:firstLine="420"/>
      <w:jc w:val="both"/>
    </w:pPr>
    <w:rPr>
      <w:kern w:val="2"/>
      <w:sz w:val="21"/>
      <w:szCs w:val="24"/>
    </w:rPr>
  </w:style>
  <w:style w:type="paragraph" w:customStyle="1" w:styleId="14">
    <w:name w:val="1文章"/>
    <w:basedOn w:val="af3"/>
    <w:link w:val="1Char1"/>
    <w:rsid w:val="009964C3"/>
    <w:pPr>
      <w:snapToGrid w:val="0"/>
      <w:spacing w:line="360" w:lineRule="auto"/>
      <w:ind w:firstLine="573"/>
    </w:pPr>
    <w:rPr>
      <w:rFonts w:eastAsia="仿宋_GB2312"/>
      <w:sz w:val="28"/>
      <w:szCs w:val="20"/>
    </w:rPr>
  </w:style>
  <w:style w:type="paragraph" w:customStyle="1" w:styleId="qa">
    <w:name w:val="qa"/>
    <w:basedOn w:val="af3"/>
    <w:rsid w:val="009964C3"/>
    <w:pPr>
      <w:widowControl/>
      <w:spacing w:line="360" w:lineRule="auto"/>
      <w:ind w:firstLine="567"/>
    </w:pPr>
    <w:rPr>
      <w:rFonts w:ascii="宋体" w:hAnsi="宋体"/>
      <w:kern w:val="0"/>
      <w:sz w:val="24"/>
      <w:szCs w:val="20"/>
    </w:rPr>
  </w:style>
  <w:style w:type="paragraph" w:customStyle="1" w:styleId="affffffffffffffffe">
    <w:name w:val="表字"/>
    <w:basedOn w:val="af3"/>
    <w:rsid w:val="009964C3"/>
    <w:pPr>
      <w:jc w:val="center"/>
    </w:pPr>
    <w:rPr>
      <w:rFonts w:ascii="宋体"/>
      <w:szCs w:val="20"/>
    </w:rPr>
  </w:style>
  <w:style w:type="paragraph" w:customStyle="1" w:styleId="ST204">
    <w:name w:val="ST20_4"/>
    <w:basedOn w:val="af3"/>
    <w:rsid w:val="009964C3"/>
    <w:pPr>
      <w:tabs>
        <w:tab w:val="left" w:pos="187"/>
      </w:tabs>
      <w:autoSpaceDE w:val="0"/>
      <w:autoSpaceDN w:val="0"/>
      <w:adjustRightInd w:val="0"/>
      <w:spacing w:line="220" w:lineRule="exact"/>
      <w:ind w:left="187" w:hanging="187"/>
      <w:jc w:val="left"/>
      <w:textAlignment w:val="baseline"/>
    </w:pPr>
    <w:rPr>
      <w:rFonts w:ascii="宋体" w:hAnsi="Tms Rmn"/>
      <w:kern w:val="0"/>
      <w:sz w:val="18"/>
      <w:szCs w:val="18"/>
    </w:rPr>
  </w:style>
  <w:style w:type="paragraph" w:customStyle="1" w:styleId="New">
    <w:name w:val="正文 New"/>
    <w:rsid w:val="009964C3"/>
    <w:pPr>
      <w:widowControl w:val="0"/>
      <w:jc w:val="both"/>
    </w:pPr>
    <w:rPr>
      <w:kern w:val="2"/>
      <w:sz w:val="21"/>
      <w:szCs w:val="24"/>
    </w:rPr>
  </w:style>
  <w:style w:type="paragraph" w:customStyle="1" w:styleId="1111111">
    <w:name w:val="目录1111111"/>
    <w:basedOn w:val="11111"/>
    <w:rsid w:val="009964C3"/>
    <w:rPr>
      <w:rFonts w:eastAsia="宋体"/>
      <w:sz w:val="32"/>
      <w:szCs w:val="32"/>
    </w:rPr>
  </w:style>
  <w:style w:type="paragraph" w:customStyle="1" w:styleId="11111">
    <w:name w:val="11111"/>
    <w:basedOn w:val="af3"/>
    <w:rsid w:val="009964C3"/>
    <w:pPr>
      <w:widowControl/>
      <w:jc w:val="center"/>
    </w:pPr>
    <w:rPr>
      <w:rFonts w:ascii="宋体" w:eastAsia="黑体" w:hAnsi="宋体" w:cs="宋体"/>
      <w:b/>
      <w:kern w:val="0"/>
      <w:sz w:val="30"/>
    </w:rPr>
  </w:style>
  <w:style w:type="paragraph" w:customStyle="1" w:styleId="581">
    <w:name w:val="表内581"/>
    <w:basedOn w:val="af3"/>
    <w:rsid w:val="009964C3"/>
    <w:pPr>
      <w:adjustRightInd w:val="0"/>
      <w:snapToGrid w:val="0"/>
      <w:spacing w:line="300" w:lineRule="auto"/>
      <w:jc w:val="left"/>
    </w:pPr>
    <w:rPr>
      <w:rFonts w:ascii="宋体"/>
      <w:szCs w:val="20"/>
    </w:rPr>
  </w:style>
  <w:style w:type="paragraph" w:customStyle="1" w:styleId="affffff3">
    <w:name w:val="福建正文缩进"/>
    <w:basedOn w:val="af4"/>
    <w:link w:val="Charffff5"/>
    <w:qFormat/>
    <w:rsid w:val="009964C3"/>
    <w:pPr>
      <w:adjustRightInd w:val="0"/>
      <w:snapToGrid w:val="0"/>
      <w:spacing w:line="360" w:lineRule="auto"/>
      <w:ind w:firstLineChars="0" w:firstLine="539"/>
    </w:pPr>
    <w:rPr>
      <w:rFonts w:ascii="宋体"/>
      <w:b/>
      <w:sz w:val="24"/>
      <w:szCs w:val="24"/>
    </w:rPr>
  </w:style>
  <w:style w:type="paragraph" w:customStyle="1" w:styleId="1ffe">
    <w:name w:val="样式 标题 1 + 黑体"/>
    <w:basedOn w:val="13"/>
    <w:rsid w:val="009964C3"/>
    <w:pPr>
      <w:spacing w:before="120" w:line="360" w:lineRule="auto"/>
      <w:jc w:val="left"/>
    </w:pPr>
    <w:rPr>
      <w:rFonts w:ascii="Arial" w:hAnsi="Arial" w:cs="Arial"/>
      <w:b w:val="0"/>
      <w:bCs w:val="0"/>
      <w:color w:val="000000"/>
      <w:sz w:val="24"/>
      <w:szCs w:val="20"/>
    </w:rPr>
  </w:style>
  <w:style w:type="paragraph" w:customStyle="1" w:styleId="xl60">
    <w:name w:val="xl60"/>
    <w:basedOn w:val="af3"/>
    <w:rsid w:val="009964C3"/>
    <w:pPr>
      <w:widowControl/>
      <w:pBdr>
        <w:left w:val="single" w:sz="8" w:space="0" w:color="auto"/>
        <w:right w:val="single" w:sz="4" w:space="0" w:color="auto"/>
      </w:pBdr>
      <w:spacing w:before="100" w:beforeAutospacing="1" w:after="100" w:afterAutospacing="1"/>
      <w:jc w:val="center"/>
      <w:textAlignment w:val="top"/>
    </w:pPr>
    <w:rPr>
      <w:kern w:val="0"/>
      <w:sz w:val="24"/>
    </w:rPr>
  </w:style>
  <w:style w:type="paragraph" w:customStyle="1" w:styleId="afffffffffffffffff">
    <w:name w:val="表格中"/>
    <w:basedOn w:val="afffffd"/>
    <w:rsid w:val="009964C3"/>
    <w:pPr>
      <w:spacing w:beforeLines="50"/>
      <w:ind w:left="0" w:firstLineChars="0" w:firstLine="0"/>
      <w:jc w:val="center"/>
      <w:outlineLvl w:val="5"/>
    </w:pPr>
    <w:rPr>
      <w:rFonts w:ascii="黑体" w:eastAsia="黑体" w:hint="eastAsia"/>
      <w:szCs w:val="24"/>
    </w:rPr>
  </w:style>
  <w:style w:type="paragraph" w:customStyle="1" w:styleId="afffffffffffffffff0">
    <w:name w:val="陈正文"/>
    <w:basedOn w:val="af3"/>
    <w:next w:val="af3"/>
    <w:rsid w:val="009964C3"/>
    <w:pPr>
      <w:spacing w:line="360" w:lineRule="auto"/>
      <w:ind w:firstLineChars="200" w:firstLine="560"/>
    </w:pPr>
    <w:rPr>
      <w:rFonts w:eastAsia="仿宋_GB2312"/>
      <w:sz w:val="28"/>
      <w:lang w:val="zh-CN"/>
    </w:rPr>
  </w:style>
  <w:style w:type="paragraph" w:customStyle="1" w:styleId="ggy">
    <w:name w:val="ggy"/>
    <w:basedOn w:val="af3"/>
    <w:rsid w:val="009964C3"/>
    <w:pPr>
      <w:adjustRightInd w:val="0"/>
      <w:spacing w:line="400" w:lineRule="atLeast"/>
      <w:jc w:val="left"/>
      <w:textAlignment w:val="baseline"/>
    </w:pPr>
    <w:rPr>
      <w:kern w:val="0"/>
      <w:sz w:val="28"/>
      <w:szCs w:val="20"/>
    </w:rPr>
  </w:style>
  <w:style w:type="paragraph" w:customStyle="1" w:styleId="342">
    <w:name w:val="表内文字小34"/>
    <w:basedOn w:val="af3"/>
    <w:rsid w:val="009964C3"/>
    <w:pPr>
      <w:adjustRightInd w:val="0"/>
      <w:snapToGrid w:val="0"/>
      <w:jc w:val="center"/>
    </w:pPr>
    <w:rPr>
      <w:rFonts w:ascii="宋体" w:hAnsi="Times" w:cs="宋体"/>
      <w:bCs/>
      <w:color w:val="003366"/>
      <w:szCs w:val="20"/>
    </w:rPr>
  </w:style>
  <w:style w:type="paragraph" w:customStyle="1" w:styleId="2fff0">
    <w:name w:val="正文文本缩进2"/>
    <w:basedOn w:val="af3"/>
    <w:rsid w:val="009964C3"/>
    <w:pPr>
      <w:widowControl/>
      <w:spacing w:after="120"/>
      <w:ind w:left="420"/>
      <w:jc w:val="center"/>
    </w:pPr>
    <w:rPr>
      <w:b/>
      <w:kern w:val="0"/>
      <w:szCs w:val="21"/>
    </w:rPr>
  </w:style>
  <w:style w:type="paragraph" w:customStyle="1" w:styleId="122610">
    <w:name w:val="标题12.2.6.1"/>
    <w:basedOn w:val="41111411114Char41111Char111"/>
    <w:rsid w:val="009964C3"/>
    <w:pPr>
      <w:tabs>
        <w:tab w:val="left" w:pos="1200"/>
      </w:tabs>
      <w:spacing w:after="120"/>
      <w:ind w:leftChars="400" w:left="1200" w:hangingChars="200" w:hanging="360"/>
    </w:pPr>
  </w:style>
  <w:style w:type="paragraph" w:customStyle="1" w:styleId="41111411114Char41111Char111">
    <w:name w:val="样式 标题 41.1.1.1标题 4.1.1.1.1标题 4 Char款标41.1.1.1 Char段1.1.1..."/>
    <w:basedOn w:val="43"/>
    <w:rsid w:val="009964C3"/>
    <w:pPr>
      <w:keepNext w:val="0"/>
      <w:keepLines w:val="0"/>
      <w:spacing w:before="120" w:afterLines="50" w:line="312" w:lineRule="auto"/>
      <w:jc w:val="left"/>
    </w:pPr>
    <w:rPr>
      <w:rFonts w:ascii="宋体" w:hAnsi="宋体" w:cs="宋体"/>
      <w:bCs w:val="0"/>
      <w:sz w:val="24"/>
      <w:szCs w:val="24"/>
    </w:rPr>
  </w:style>
  <w:style w:type="paragraph" w:customStyle="1" w:styleId="4240">
    <w:name w:val="标题424"/>
    <w:basedOn w:val="af3"/>
    <w:rsid w:val="009964C3"/>
    <w:pPr>
      <w:adjustRightInd w:val="0"/>
      <w:snapToGrid w:val="0"/>
      <w:spacing w:line="300" w:lineRule="auto"/>
      <w:jc w:val="left"/>
    </w:pPr>
    <w:rPr>
      <w:rFonts w:ascii="宋体" w:hAnsi="宋体"/>
      <w:sz w:val="24"/>
      <w:szCs w:val="20"/>
    </w:rPr>
  </w:style>
  <w:style w:type="paragraph" w:customStyle="1" w:styleId="afffffffffffffffff1">
    <w:name w:val="正文缩近"/>
    <w:basedOn w:val="af3"/>
    <w:rsid w:val="009964C3"/>
    <w:pPr>
      <w:widowControl/>
      <w:autoSpaceDE w:val="0"/>
      <w:autoSpaceDN w:val="0"/>
      <w:adjustRightInd w:val="0"/>
      <w:snapToGrid w:val="0"/>
      <w:spacing w:line="440" w:lineRule="exact"/>
      <w:ind w:firstLineChars="225" w:firstLine="225"/>
      <w:jc w:val="left"/>
    </w:pPr>
    <w:rPr>
      <w:rFonts w:ascii="Arial" w:hAnsi="Arial"/>
      <w:kern w:val="0"/>
      <w:sz w:val="24"/>
    </w:rPr>
  </w:style>
  <w:style w:type="paragraph" w:customStyle="1" w:styleId="3fd">
    <w:name w:val="正文缩进3"/>
    <w:basedOn w:val="af3"/>
    <w:rsid w:val="009964C3"/>
    <w:pPr>
      <w:adjustRightInd w:val="0"/>
      <w:spacing w:line="480" w:lineRule="exact"/>
    </w:pPr>
    <w:rPr>
      <w:rFonts w:hint="eastAsia"/>
      <w:kern w:val="28"/>
      <w:sz w:val="24"/>
      <w:szCs w:val="20"/>
    </w:rPr>
  </w:style>
  <w:style w:type="paragraph" w:customStyle="1" w:styleId="361">
    <w:name w:val="页眉中36"/>
    <w:basedOn w:val="4a"/>
    <w:rsid w:val="009964C3"/>
    <w:pPr>
      <w:snapToGrid w:val="0"/>
      <w:spacing w:line="300" w:lineRule="auto"/>
      <w:textAlignment w:val="auto"/>
    </w:pPr>
    <w:rPr>
      <w:rFonts w:ascii="黑体" w:eastAsia="黑体" w:hAnsi="宋体"/>
    </w:rPr>
  </w:style>
  <w:style w:type="paragraph" w:customStyle="1" w:styleId="105">
    <w:name w:val="样式 标题 1章 + 段前: 0.5 行"/>
    <w:basedOn w:val="af3"/>
    <w:rsid w:val="009964C3"/>
    <w:pPr>
      <w:numPr>
        <w:ilvl w:val="1"/>
        <w:numId w:val="30"/>
      </w:numPr>
      <w:tabs>
        <w:tab w:val="left" w:pos="360"/>
      </w:tabs>
      <w:spacing w:line="440" w:lineRule="exact"/>
      <w:jc w:val="left"/>
    </w:pPr>
    <w:rPr>
      <w:sz w:val="24"/>
    </w:rPr>
  </w:style>
  <w:style w:type="paragraph" w:customStyle="1" w:styleId="T3">
    <w:name w:val="T3"/>
    <w:basedOn w:val="31"/>
    <w:link w:val="T3CharChar"/>
    <w:qFormat/>
    <w:rsid w:val="009964C3"/>
    <w:pPr>
      <w:keepNext w:val="0"/>
      <w:keepLines w:val="0"/>
      <w:tabs>
        <w:tab w:val="left" w:pos="600"/>
        <w:tab w:val="left" w:pos="1080"/>
      </w:tabs>
      <w:autoSpaceDE w:val="0"/>
      <w:autoSpaceDN w:val="0"/>
      <w:adjustRightInd w:val="0"/>
      <w:spacing w:before="0" w:after="0" w:line="312" w:lineRule="auto"/>
      <w:ind w:left="283"/>
      <w:jc w:val="left"/>
    </w:pPr>
    <w:rPr>
      <w:rFonts w:ascii="宋体" w:hAnsi="宋体"/>
      <w:b w:val="0"/>
      <w:bCs w:val="0"/>
      <w:color w:val="000000"/>
      <w:kern w:val="0"/>
      <w:sz w:val="24"/>
      <w:szCs w:val="24"/>
    </w:rPr>
  </w:style>
  <w:style w:type="paragraph" w:customStyle="1" w:styleId="3205">
    <w:name w:val="样式 标题 3 + 首行缩进:  2 字符 段前: 0.5 行"/>
    <w:basedOn w:val="31"/>
    <w:semiHidden/>
    <w:rsid w:val="009964C3"/>
    <w:pPr>
      <w:tabs>
        <w:tab w:val="left" w:pos="708"/>
      </w:tabs>
      <w:adjustRightInd w:val="0"/>
      <w:snapToGrid w:val="0"/>
      <w:spacing w:before="0" w:after="0" w:line="240" w:lineRule="auto"/>
      <w:ind w:left="708" w:hanging="709"/>
    </w:pPr>
    <w:rPr>
      <w:rFonts w:cs="宋体"/>
      <w:b w:val="0"/>
      <w:sz w:val="21"/>
      <w:szCs w:val="20"/>
    </w:rPr>
  </w:style>
  <w:style w:type="paragraph" w:customStyle="1" w:styleId="afffffffffffffffff2">
    <w:name w:val="图标题"/>
    <w:basedOn w:val="af3"/>
    <w:next w:val="af4"/>
    <w:semiHidden/>
    <w:rsid w:val="009964C3"/>
    <w:pPr>
      <w:spacing w:after="120"/>
      <w:jc w:val="center"/>
    </w:pPr>
    <w:rPr>
      <w:rFonts w:eastAsia="黑体"/>
      <w:szCs w:val="20"/>
    </w:rPr>
  </w:style>
  <w:style w:type="paragraph" w:customStyle="1" w:styleId="afffffffffffffffff3">
    <w:name w:val="表居中"/>
    <w:basedOn w:val="afff"/>
    <w:semiHidden/>
    <w:rsid w:val="009964C3"/>
    <w:pPr>
      <w:suppressAutoHyphens/>
      <w:jc w:val="center"/>
      <w:textAlignment w:val="center"/>
    </w:pPr>
    <w:rPr>
      <w:rFonts w:ascii="Arial" w:eastAsia="仿宋_GB2312" w:hAnsi="Arial"/>
      <w:kern w:val="1"/>
      <w:sz w:val="24"/>
      <w:lang w:eastAsia="ar-SA"/>
    </w:rPr>
  </w:style>
  <w:style w:type="paragraph" w:customStyle="1" w:styleId="03">
    <w:name w:val="0表说明"/>
    <w:basedOn w:val="afffffffffffffffff4"/>
    <w:semiHidden/>
    <w:rsid w:val="009964C3"/>
    <w:pPr>
      <w:ind w:firstLine="561"/>
    </w:pPr>
  </w:style>
  <w:style w:type="paragraph" w:customStyle="1" w:styleId="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w:basedOn w:val="af3"/>
    <w:rsid w:val="009964C3"/>
  </w:style>
  <w:style w:type="paragraph" w:customStyle="1" w:styleId="Bullet5">
    <w:name w:val="Bullet 5"/>
    <w:basedOn w:val="af3"/>
    <w:next w:val="af3"/>
    <w:rsid w:val="009964C3"/>
    <w:pPr>
      <w:widowControl/>
      <w:tabs>
        <w:tab w:val="left" w:pos="1440"/>
        <w:tab w:val="left" w:pos="2040"/>
      </w:tabs>
      <w:ind w:leftChars="800" w:left="5041" w:hangingChars="200" w:hanging="360"/>
      <w:jc w:val="left"/>
    </w:pPr>
    <w:rPr>
      <w:rFonts w:ascii="Arial" w:hAnsi="Arial"/>
      <w:kern w:val="0"/>
      <w:sz w:val="20"/>
      <w:szCs w:val="20"/>
    </w:rPr>
  </w:style>
  <w:style w:type="paragraph" w:customStyle="1" w:styleId="afffffffffffffffff4">
    <w:name w:val="表说明"/>
    <w:basedOn w:val="afffff2"/>
    <w:semiHidden/>
    <w:rsid w:val="009964C3"/>
    <w:pPr>
      <w:suppressAutoHyphens/>
      <w:overflowPunct/>
      <w:autoSpaceDN/>
      <w:adjustRightInd/>
      <w:spacing w:before="120" w:line="400" w:lineRule="exact"/>
      <w:ind w:firstLineChars="200" w:firstLine="200"/>
      <w:jc w:val="left"/>
      <w:textAlignment w:val="auto"/>
    </w:pPr>
    <w:rPr>
      <w:rFonts w:ascii="Arial" w:hAnsi="Arial"/>
      <w:bCs/>
      <w:kern w:val="2"/>
      <w:sz w:val="24"/>
      <w:szCs w:val="20"/>
    </w:rPr>
  </w:style>
  <w:style w:type="paragraph" w:customStyle="1" w:styleId="HeaderBlock">
    <w:name w:val="Header Block"/>
    <w:basedOn w:val="af3"/>
    <w:rsid w:val="009964C3"/>
    <w:pPr>
      <w:widowControl/>
      <w:jc w:val="left"/>
    </w:pPr>
    <w:rPr>
      <w:rFonts w:ascii="Arial" w:hAnsi="Arial" w:cs="Arial"/>
      <w:b/>
      <w:bCs/>
      <w:kern w:val="0"/>
      <w:sz w:val="18"/>
      <w:szCs w:val="20"/>
      <w:lang w:eastAsia="en-US"/>
    </w:rPr>
  </w:style>
  <w:style w:type="paragraph" w:customStyle="1" w:styleId="5162">
    <w:name w:val="表5.16"/>
    <w:basedOn w:val="2410"/>
    <w:rsid w:val="009964C3"/>
    <w:pPr>
      <w:tabs>
        <w:tab w:val="clear" w:pos="4060"/>
        <w:tab w:val="clear" w:pos="8261"/>
        <w:tab w:val="left" w:pos="420"/>
      </w:tabs>
      <w:jc w:val="both"/>
    </w:pPr>
  </w:style>
  <w:style w:type="paragraph" w:customStyle="1" w:styleId="32">
    <w:name w:val="标题 3（桑2）"/>
    <w:basedOn w:val="31"/>
    <w:link w:val="32Char"/>
    <w:semiHidden/>
    <w:rsid w:val="009964C3"/>
    <w:pPr>
      <w:keepNext w:val="0"/>
      <w:keepLines w:val="0"/>
      <w:numPr>
        <w:ilvl w:val="2"/>
      </w:numPr>
      <w:tabs>
        <w:tab w:val="left" w:pos="1260"/>
        <w:tab w:val="left" w:pos="1620"/>
      </w:tabs>
      <w:overflowPunct w:val="0"/>
      <w:autoSpaceDE w:val="0"/>
      <w:autoSpaceDN w:val="0"/>
      <w:adjustRightInd w:val="0"/>
      <w:spacing w:before="20" w:after="20" w:line="360" w:lineRule="auto"/>
      <w:jc w:val="left"/>
      <w:textAlignment w:val="baseline"/>
    </w:pPr>
    <w:rPr>
      <w:rFonts w:ascii="Arial" w:hAnsi="Arial"/>
      <w:b w:val="0"/>
      <w:bCs w:val="0"/>
      <w:sz w:val="28"/>
      <w:szCs w:val="28"/>
    </w:rPr>
  </w:style>
  <w:style w:type="paragraph" w:customStyle="1" w:styleId="750">
    <w:name w:val="表内文字小75"/>
    <w:basedOn w:val="af3"/>
    <w:rsid w:val="009964C3"/>
    <w:pPr>
      <w:adjustRightInd w:val="0"/>
      <w:snapToGrid w:val="0"/>
      <w:jc w:val="center"/>
    </w:pPr>
    <w:rPr>
      <w:rFonts w:ascii="宋体" w:hAnsi="Times"/>
      <w:szCs w:val="20"/>
    </w:rPr>
  </w:style>
  <w:style w:type="paragraph" w:customStyle="1" w:styleId="1d">
    <w:name w:val="1样式表标"/>
    <w:basedOn w:val="Charc"/>
    <w:link w:val="1Char9"/>
    <w:qFormat/>
    <w:rsid w:val="009964C3"/>
    <w:pPr>
      <w:adjustRightInd/>
      <w:snapToGrid w:val="0"/>
      <w:spacing w:beforeLines="50" w:line="360" w:lineRule="auto"/>
      <w:jc w:val="center"/>
      <w:textAlignment w:val="auto"/>
    </w:pPr>
    <w:rPr>
      <w:rFonts w:ascii="宋体" w:eastAsia="宋体" w:hAnsi="宋体"/>
    </w:rPr>
  </w:style>
  <w:style w:type="paragraph" w:customStyle="1" w:styleId="Charc">
    <w:name w:val="高表标 Char"/>
    <w:basedOn w:val="af3"/>
    <w:link w:val="CharChar3"/>
    <w:qFormat/>
    <w:rsid w:val="009964C3"/>
    <w:pPr>
      <w:adjustRightInd w:val="0"/>
      <w:spacing w:line="300" w:lineRule="auto"/>
      <w:jc w:val="right"/>
      <w:textAlignment w:val="baseline"/>
    </w:pPr>
    <w:rPr>
      <w:rFonts w:ascii="Arial" w:eastAsia="黑体" w:hAnsi="Arial"/>
      <w:sz w:val="24"/>
      <w:szCs w:val="20"/>
    </w:rPr>
  </w:style>
  <w:style w:type="paragraph" w:customStyle="1" w:styleId="afffffffffffffffff5">
    <w:name w:val="表内文字数据"/>
    <w:basedOn w:val="af3"/>
    <w:next w:val="af3"/>
    <w:semiHidden/>
    <w:rsid w:val="009964C3"/>
    <w:pPr>
      <w:spacing w:before="50" w:line="240" w:lineRule="atLeast"/>
      <w:jc w:val="left"/>
    </w:pPr>
    <w:rPr>
      <w:bCs/>
      <w:kern w:val="0"/>
      <w:szCs w:val="21"/>
    </w:rPr>
  </w:style>
  <w:style w:type="paragraph" w:customStyle="1" w:styleId="Charffffff4">
    <w:name w:val="正文样式 Char"/>
    <w:basedOn w:val="af3"/>
    <w:link w:val="CharCharff6"/>
    <w:qFormat/>
    <w:rsid w:val="009964C3"/>
    <w:pPr>
      <w:spacing w:line="360" w:lineRule="auto"/>
      <w:ind w:firstLineChars="200" w:firstLine="480"/>
    </w:pPr>
    <w:rPr>
      <w:rFonts w:ascii="宋体" w:hAnsi="宋体"/>
      <w:color w:val="000000"/>
      <w:sz w:val="24"/>
    </w:rPr>
  </w:style>
  <w:style w:type="paragraph" w:customStyle="1" w:styleId="731">
    <w:name w:val="表题73"/>
    <w:basedOn w:val="afffffff4"/>
    <w:rsid w:val="009964C3"/>
    <w:pPr>
      <w:spacing w:line="240" w:lineRule="auto"/>
      <w:ind w:firstLine="0"/>
      <w:jc w:val="center"/>
    </w:pPr>
    <w:rPr>
      <w:rFonts w:ascii="黑体" w:eastAsia="黑体" w:cs="Times New Roman"/>
      <w:color w:val="auto"/>
    </w:rPr>
  </w:style>
  <w:style w:type="paragraph" w:customStyle="1" w:styleId="CM60">
    <w:name w:val="CM60"/>
    <w:basedOn w:val="Default"/>
    <w:next w:val="Default"/>
    <w:semiHidden/>
    <w:rsid w:val="009964C3"/>
    <w:pPr>
      <w:spacing w:line="478" w:lineRule="atLeast"/>
    </w:pPr>
    <w:rPr>
      <w:color w:val="auto"/>
    </w:rPr>
  </w:style>
  <w:style w:type="paragraph" w:customStyle="1" w:styleId="12515">
    <w:name w:val="样式 正文首行缩进 + 四号 首行缩进:  1 字符 段后: 2.5 磅 行距: 1.5 倍行距"/>
    <w:basedOn w:val="aff7"/>
    <w:rsid w:val="009964C3"/>
    <w:pPr>
      <w:overflowPunct/>
      <w:autoSpaceDE/>
      <w:autoSpaceDN/>
      <w:adjustRightInd/>
      <w:ind w:firstLineChars="100" w:firstLine="100"/>
      <w:textAlignment w:val="auto"/>
    </w:pPr>
    <w:rPr>
      <w:rFonts w:cs="宋体"/>
      <w:szCs w:val="20"/>
    </w:rPr>
  </w:style>
  <w:style w:type="paragraph" w:customStyle="1" w:styleId="1fff">
    <w:name w:val="文本块1"/>
    <w:basedOn w:val="af3"/>
    <w:rsid w:val="009964C3"/>
    <w:pPr>
      <w:tabs>
        <w:tab w:val="left" w:pos="0"/>
      </w:tabs>
      <w:adjustRightInd w:val="0"/>
      <w:spacing w:line="460" w:lineRule="exact"/>
      <w:ind w:left="130" w:right="202" w:firstLine="520"/>
      <w:textAlignment w:val="baseline"/>
    </w:pPr>
    <w:rPr>
      <w:rFonts w:ascii="Arial" w:hAnsi="Arial"/>
      <w:spacing w:val="10"/>
      <w:sz w:val="24"/>
      <w:szCs w:val="20"/>
    </w:rPr>
  </w:style>
  <w:style w:type="paragraph" w:customStyle="1" w:styleId="3fe">
    <w:name w:val="标题 3 + 宋体"/>
    <w:basedOn w:val="31"/>
    <w:rsid w:val="009964C3"/>
    <w:pPr>
      <w:keepNext w:val="0"/>
      <w:keepLines w:val="0"/>
      <w:adjustRightInd w:val="0"/>
      <w:snapToGrid w:val="0"/>
      <w:spacing w:before="120" w:after="0" w:line="360" w:lineRule="auto"/>
      <w:ind w:firstLine="680"/>
    </w:pPr>
    <w:rPr>
      <w:rFonts w:ascii="宋体" w:hAnsi="宋体"/>
      <w:b w:val="0"/>
      <w:bCs w:val="0"/>
      <w:sz w:val="28"/>
      <w:szCs w:val="28"/>
    </w:rPr>
  </w:style>
  <w:style w:type="paragraph" w:customStyle="1" w:styleId="Char53">
    <w:name w:val="Char5"/>
    <w:basedOn w:val="af3"/>
    <w:rsid w:val="009964C3"/>
    <w:pPr>
      <w:ind w:left="-48"/>
    </w:pPr>
  </w:style>
  <w:style w:type="paragraph" w:customStyle="1" w:styleId="112915">
    <w:name w:val="样式 (西文) 宋体 小四 首行缩进:  1 厘米 段前: 12.9 磅 行距: 1.5 倍行距"/>
    <w:basedOn w:val="af3"/>
    <w:semiHidden/>
    <w:rsid w:val="009964C3"/>
    <w:pPr>
      <w:snapToGrid w:val="0"/>
      <w:spacing w:beforeLines="50"/>
      <w:ind w:firstLineChars="200" w:firstLine="480"/>
    </w:pPr>
    <w:rPr>
      <w:rFonts w:cs="宋体"/>
      <w:sz w:val="24"/>
      <w:szCs w:val="20"/>
    </w:rPr>
  </w:style>
  <w:style w:type="paragraph" w:customStyle="1" w:styleId="323">
    <w:name w:val="页眉中32"/>
    <w:basedOn w:val="af3"/>
    <w:qFormat/>
    <w:rsid w:val="009964C3"/>
    <w:pPr>
      <w:adjustRightInd w:val="0"/>
      <w:snapToGrid w:val="0"/>
      <w:spacing w:line="360" w:lineRule="auto"/>
      <w:jc w:val="center"/>
    </w:pPr>
    <w:rPr>
      <w:rFonts w:ascii="黑体" w:eastAsia="黑体"/>
      <w:bCs/>
      <w:sz w:val="24"/>
      <w:szCs w:val="28"/>
    </w:rPr>
  </w:style>
  <w:style w:type="paragraph" w:customStyle="1" w:styleId="word1">
    <w:name w:val="word1"/>
    <w:basedOn w:val="af3"/>
    <w:rsid w:val="009964C3"/>
    <w:pPr>
      <w:widowControl/>
      <w:spacing w:before="100" w:beforeAutospacing="1" w:after="100" w:afterAutospacing="1"/>
      <w:jc w:val="left"/>
    </w:pPr>
    <w:rPr>
      <w:rFonts w:ascii="宋体" w:hAnsi="宋体" w:cs="宋体"/>
      <w:color w:val="555555"/>
      <w:kern w:val="0"/>
      <w:szCs w:val="21"/>
    </w:rPr>
  </w:style>
  <w:style w:type="paragraph" w:customStyle="1" w:styleId="211">
    <w:name w:val="样式 正文首行缩进 + 首行缩进:  2 字符1"/>
    <w:basedOn w:val="aff7"/>
    <w:link w:val="21Char"/>
    <w:rsid w:val="009964C3"/>
    <w:pPr>
      <w:keepNext/>
      <w:tabs>
        <w:tab w:val="left" w:pos="628"/>
        <w:tab w:val="left" w:pos="1727"/>
        <w:tab w:val="left" w:pos="1884"/>
        <w:tab w:val="left" w:pos="2660"/>
        <w:tab w:val="left" w:pos="5460"/>
      </w:tabs>
      <w:overflowPunct/>
      <w:autoSpaceDE/>
      <w:autoSpaceDN/>
      <w:snapToGrid w:val="0"/>
      <w:ind w:firstLineChars="200" w:firstLine="560"/>
      <w:textAlignment w:val="auto"/>
    </w:pPr>
    <w:rPr>
      <w:rFonts w:ascii="宋体" w:hAnsi="宋体" w:cs="宋体"/>
      <w:szCs w:val="20"/>
    </w:rPr>
  </w:style>
  <w:style w:type="paragraph" w:customStyle="1" w:styleId="afffa">
    <w:name w:val="报告书正文"/>
    <w:basedOn w:val="af3"/>
    <w:link w:val="Charfb"/>
    <w:qFormat/>
    <w:rsid w:val="009964C3"/>
    <w:pPr>
      <w:spacing w:line="300" w:lineRule="auto"/>
      <w:ind w:firstLineChars="200" w:firstLine="200"/>
    </w:pPr>
    <w:rPr>
      <w:sz w:val="24"/>
      <w:szCs w:val="20"/>
    </w:rPr>
  </w:style>
  <w:style w:type="paragraph" w:customStyle="1" w:styleId="afffffffffffffffff6">
    <w:name w:val="标准书脚_偶数页"/>
    <w:rsid w:val="009964C3"/>
    <w:pPr>
      <w:spacing w:before="120"/>
    </w:pPr>
    <w:rPr>
      <w:sz w:val="18"/>
    </w:rPr>
  </w:style>
  <w:style w:type="paragraph" w:customStyle="1" w:styleId="afffffffffffffffff7">
    <w:name w:val="正文两端对齐"/>
    <w:basedOn w:val="af3"/>
    <w:rsid w:val="009964C3"/>
    <w:pPr>
      <w:spacing w:line="400" w:lineRule="exact"/>
    </w:pPr>
    <w:rPr>
      <w:sz w:val="24"/>
      <w:szCs w:val="20"/>
    </w:rPr>
  </w:style>
  <w:style w:type="paragraph" w:customStyle="1" w:styleId="5ff1">
    <w:name w:val="标题5"/>
    <w:basedOn w:val="af3"/>
    <w:rsid w:val="009964C3"/>
    <w:pPr>
      <w:keepNext/>
      <w:keepLines/>
      <w:widowControl/>
      <w:adjustRightInd w:val="0"/>
      <w:snapToGrid w:val="0"/>
      <w:spacing w:line="360" w:lineRule="auto"/>
      <w:outlineLvl w:val="2"/>
    </w:pPr>
    <w:rPr>
      <w:b/>
      <w:snapToGrid w:val="0"/>
      <w:color w:val="000000"/>
      <w:kern w:val="0"/>
      <w:sz w:val="18"/>
      <w:szCs w:val="20"/>
    </w:rPr>
  </w:style>
  <w:style w:type="paragraph" w:customStyle="1" w:styleId="-047152">
    <w:name w:val="样式 样式 样式 正文首行缩进 + 黑体 四号 黑色 + 右侧:  -0.47 字符 + 左侧:  1.52 厘米 首行缩进:..."/>
    <w:basedOn w:val="43"/>
    <w:next w:val="43"/>
    <w:rsid w:val="009964C3"/>
    <w:pPr>
      <w:keepNext w:val="0"/>
      <w:keepLines w:val="0"/>
      <w:numPr>
        <w:ilvl w:val="3"/>
        <w:numId w:val="31"/>
      </w:numPr>
      <w:tabs>
        <w:tab w:val="left" w:pos="0"/>
      </w:tabs>
      <w:spacing w:before="0" w:after="0" w:line="480" w:lineRule="exact"/>
    </w:pPr>
    <w:rPr>
      <w:rFonts w:ascii="宋体" w:eastAsia="宋体" w:hAnsi="Times New Roman"/>
      <w:b w:val="0"/>
      <w:szCs w:val="20"/>
    </w:rPr>
  </w:style>
  <w:style w:type="paragraph" w:customStyle="1" w:styleId="s4CharCharCharCharCharCharCharCha">
    <w:name w:val="样式 正文缩进s4正文缩进 Char正文缩进 Char Char Char正文缩进 Char Char Char Cha..."/>
    <w:basedOn w:val="af3"/>
    <w:next w:val="af3"/>
    <w:rsid w:val="009964C3"/>
    <w:pPr>
      <w:spacing w:line="360" w:lineRule="auto"/>
      <w:ind w:firstLineChars="200" w:firstLine="480"/>
      <w:jc w:val="left"/>
    </w:pPr>
    <w:rPr>
      <w:rFonts w:ascii="楷体_GB2312" w:hAnsi="楷体_GB2312" w:cs="宋体"/>
      <w:kern w:val="0"/>
      <w:sz w:val="24"/>
    </w:rPr>
  </w:style>
  <w:style w:type="paragraph" w:customStyle="1" w:styleId="afffffffffffffffff8">
    <w:name w:val="未定"/>
    <w:basedOn w:val="af3"/>
    <w:semiHidden/>
    <w:rsid w:val="009964C3"/>
    <w:pPr>
      <w:autoSpaceDE w:val="0"/>
      <w:autoSpaceDN w:val="0"/>
      <w:adjustRightInd w:val="0"/>
      <w:snapToGrid w:val="0"/>
      <w:spacing w:line="380" w:lineRule="atLeast"/>
    </w:pPr>
    <w:rPr>
      <w:rFonts w:ascii="宋体"/>
      <w:color w:val="FF0000"/>
      <w:sz w:val="24"/>
      <w:szCs w:val="20"/>
      <w:u w:val="double"/>
    </w:rPr>
  </w:style>
  <w:style w:type="paragraph" w:customStyle="1" w:styleId="afffffffffffffffff9">
    <w:name w:val="说明"/>
    <w:basedOn w:val="aff7"/>
    <w:rsid w:val="009964C3"/>
    <w:pPr>
      <w:tabs>
        <w:tab w:val="left" w:pos="2025"/>
      </w:tabs>
      <w:overflowPunct/>
      <w:autoSpaceDE/>
      <w:autoSpaceDN/>
      <w:adjustRightInd/>
      <w:spacing w:line="300" w:lineRule="auto"/>
      <w:ind w:left="1365" w:hanging="420"/>
      <w:textAlignment w:val="auto"/>
    </w:pPr>
    <w:rPr>
      <w:sz w:val="24"/>
      <w:szCs w:val="24"/>
    </w:rPr>
  </w:style>
  <w:style w:type="paragraph" w:customStyle="1" w:styleId="3410">
    <w:name w:val="样式 目录 3 + 左侧:  4 字符1"/>
    <w:basedOn w:val="3e"/>
    <w:semiHidden/>
    <w:rsid w:val="009964C3"/>
    <w:pPr>
      <w:tabs>
        <w:tab w:val="right" w:leader="dot" w:pos="8494"/>
      </w:tabs>
      <w:spacing w:beforeLines="50"/>
      <w:ind w:left="945"/>
    </w:pPr>
    <w:rPr>
      <w:rFonts w:cs="宋体"/>
      <w:sz w:val="24"/>
    </w:rPr>
  </w:style>
  <w:style w:type="paragraph" w:customStyle="1" w:styleId="4140">
    <w:name w:val="表内小414"/>
    <w:basedOn w:val="affffffffff"/>
    <w:rsid w:val="009964C3"/>
    <w:pPr>
      <w:ind w:left="240" w:hanging="240"/>
      <w:jc w:val="both"/>
    </w:pPr>
    <w:rPr>
      <w:rFonts w:cs="Times New Roman"/>
    </w:rPr>
  </w:style>
  <w:style w:type="paragraph" w:customStyle="1" w:styleId="afffffffffffffffffa">
    <w:name w:val="首行缩进"/>
    <w:basedOn w:val="af3"/>
    <w:semiHidden/>
    <w:rsid w:val="009964C3"/>
    <w:pPr>
      <w:tabs>
        <w:tab w:val="left" w:pos="1021"/>
      </w:tabs>
      <w:spacing w:line="360" w:lineRule="auto"/>
      <w:ind w:firstLine="482"/>
    </w:pPr>
    <w:rPr>
      <w:sz w:val="24"/>
      <w:szCs w:val="20"/>
    </w:rPr>
  </w:style>
  <w:style w:type="paragraph" w:customStyle="1" w:styleId="1020">
    <w:name w:val="页眉中102"/>
    <w:basedOn w:val="af3"/>
    <w:rsid w:val="009964C3"/>
    <w:pPr>
      <w:adjustRightInd w:val="0"/>
      <w:snapToGrid w:val="0"/>
      <w:spacing w:line="300" w:lineRule="auto"/>
      <w:jc w:val="left"/>
    </w:pPr>
    <w:rPr>
      <w:rFonts w:ascii="黑体" w:eastAsia="黑体"/>
      <w:bCs/>
      <w:sz w:val="24"/>
      <w:szCs w:val="20"/>
    </w:rPr>
  </w:style>
  <w:style w:type="paragraph" w:customStyle="1" w:styleId="1129150">
    <w:name w:val="样式 样式 (西文) 宋体 小四 首行缩进:  1 厘米 段前: 12.9 磅 行距: 1.5 倍行距 + (符号) 宋体"/>
    <w:basedOn w:val="112915"/>
    <w:semiHidden/>
    <w:rsid w:val="009964C3"/>
    <w:pPr>
      <w:adjustRightInd w:val="0"/>
      <w:spacing w:before="50"/>
      <w:ind w:firstLine="200"/>
    </w:pPr>
  </w:style>
  <w:style w:type="paragraph" w:customStyle="1" w:styleId="2fff1">
    <w:name w:val="样式 四号 首行缩进:  2 字符"/>
    <w:basedOn w:val="af3"/>
    <w:rsid w:val="009964C3"/>
    <w:pPr>
      <w:spacing w:line="480" w:lineRule="atLeast"/>
      <w:ind w:firstLineChars="200" w:firstLine="200"/>
    </w:pPr>
    <w:rPr>
      <w:sz w:val="24"/>
    </w:rPr>
  </w:style>
  <w:style w:type="paragraph" w:customStyle="1" w:styleId="CR-1">
    <w:name w:val="CR-图表标题"/>
    <w:basedOn w:val="cucd-TB-Head"/>
    <w:link w:val="CR-Char1"/>
    <w:semiHidden/>
    <w:rsid w:val="009964C3"/>
    <w:pPr>
      <w:widowControl w:val="0"/>
      <w:tabs>
        <w:tab w:val="left" w:pos="1021"/>
      </w:tabs>
    </w:pPr>
    <w:rPr>
      <w:rFonts w:ascii="Calibri" w:eastAsia="黑体" w:hAnsi="Calibri"/>
      <w:b w:val="0"/>
      <w:kern w:val="2"/>
      <w:szCs w:val="22"/>
    </w:rPr>
  </w:style>
  <w:style w:type="paragraph" w:customStyle="1" w:styleId="cucd-TB-Head">
    <w:name w:val="cucd-TB-Head"/>
    <w:basedOn w:val="af3"/>
    <w:next w:val="cucd-0"/>
    <w:rsid w:val="009964C3"/>
    <w:pPr>
      <w:widowControl/>
      <w:spacing w:line="360" w:lineRule="auto"/>
      <w:jc w:val="center"/>
    </w:pPr>
    <w:rPr>
      <w:rFonts w:hAnsi="宋体"/>
      <w:b/>
      <w:kern w:val="0"/>
      <w:sz w:val="24"/>
    </w:rPr>
  </w:style>
  <w:style w:type="paragraph" w:customStyle="1" w:styleId="5231">
    <w:name w:val="表内523"/>
    <w:basedOn w:val="af3"/>
    <w:rsid w:val="009964C3"/>
    <w:pPr>
      <w:adjustRightInd w:val="0"/>
      <w:snapToGrid w:val="0"/>
      <w:ind w:right="32"/>
      <w:jc w:val="center"/>
    </w:pPr>
    <w:rPr>
      <w:rFonts w:ascii="宋体"/>
      <w:color w:val="000000"/>
      <w:kern w:val="0"/>
      <w:szCs w:val="21"/>
    </w:rPr>
  </w:style>
  <w:style w:type="paragraph" w:customStyle="1" w:styleId="1111">
    <w:name w:val="表题111"/>
    <w:basedOn w:val="af3"/>
    <w:rsid w:val="009964C3"/>
    <w:pPr>
      <w:adjustRightInd w:val="0"/>
      <w:snapToGrid w:val="0"/>
      <w:jc w:val="center"/>
      <w:textAlignment w:val="baseline"/>
    </w:pPr>
    <w:rPr>
      <w:rFonts w:ascii="黑体" w:eastAsia="黑体" w:hAnsi="宋体"/>
      <w:kern w:val="0"/>
      <w:sz w:val="24"/>
    </w:rPr>
  </w:style>
  <w:style w:type="paragraph" w:customStyle="1" w:styleId="324">
    <w:name w:val="等核实32"/>
    <w:basedOn w:val="afffffff4"/>
    <w:rsid w:val="009964C3"/>
    <w:pPr>
      <w:ind w:firstLineChars="200" w:firstLine="480"/>
    </w:pPr>
    <w:rPr>
      <w:rFonts w:cs="Times New Roman"/>
      <w:color w:val="0000FF"/>
      <w:szCs w:val="20"/>
    </w:rPr>
  </w:style>
  <w:style w:type="paragraph" w:customStyle="1" w:styleId="TitrePremPage">
    <w:name w:val="Titre Prem Page"/>
    <w:basedOn w:val="af3"/>
    <w:rsid w:val="009964C3"/>
    <w:pPr>
      <w:widowControl/>
      <w:tabs>
        <w:tab w:val="center" w:pos="9923"/>
      </w:tabs>
      <w:jc w:val="center"/>
    </w:pPr>
    <w:rPr>
      <w:rFonts w:ascii="Times" w:hAnsi="Times"/>
      <w:b/>
      <w:color w:val="000000"/>
      <w:kern w:val="0"/>
      <w:sz w:val="48"/>
      <w:szCs w:val="20"/>
      <w:lang w:val="fr-FR"/>
    </w:rPr>
  </w:style>
  <w:style w:type="paragraph" w:customStyle="1" w:styleId="263">
    <w:name w:val="福建正文缩进26"/>
    <w:basedOn w:val="af3"/>
    <w:rsid w:val="009964C3"/>
    <w:pPr>
      <w:tabs>
        <w:tab w:val="left" w:pos="4305"/>
      </w:tabs>
      <w:adjustRightInd w:val="0"/>
      <w:snapToGrid w:val="0"/>
      <w:spacing w:line="360" w:lineRule="auto"/>
      <w:ind w:firstLine="567"/>
    </w:pPr>
    <w:rPr>
      <w:rFonts w:ascii="宋体" w:hAnsi="宋体"/>
      <w:color w:val="000000"/>
      <w:sz w:val="24"/>
    </w:rPr>
  </w:style>
  <w:style w:type="paragraph" w:customStyle="1" w:styleId="xl45">
    <w:name w:val="xl45"/>
    <w:basedOn w:val="af3"/>
    <w:rsid w:val="009964C3"/>
    <w:pPr>
      <w:widowControl/>
      <w:pBdr>
        <w:left w:val="single" w:sz="12" w:space="0" w:color="auto"/>
        <w:right w:val="single" w:sz="8" w:space="0" w:color="auto"/>
      </w:pBdr>
      <w:spacing w:before="100" w:beforeAutospacing="1" w:after="100" w:afterAutospacing="1"/>
      <w:jc w:val="center"/>
    </w:pPr>
    <w:rPr>
      <w:rFonts w:ascii="仿宋_GB2312" w:eastAsia="仿宋_GB2312" w:hAnsi="宋体" w:cs="宋体"/>
      <w:kern w:val="0"/>
      <w:szCs w:val="21"/>
    </w:rPr>
  </w:style>
  <w:style w:type="paragraph" w:customStyle="1" w:styleId="0210">
    <w:name w:val="样式 表头 + 段后: 0.2 行1"/>
    <w:basedOn w:val="afffff2"/>
    <w:rsid w:val="009964C3"/>
    <w:pPr>
      <w:overflowPunct/>
      <w:autoSpaceDE/>
      <w:autoSpaceDN/>
      <w:adjustRightInd/>
      <w:spacing w:before="120" w:afterLines="20" w:line="240" w:lineRule="auto"/>
      <w:ind w:firstLine="0"/>
      <w:textAlignment w:val="auto"/>
    </w:pPr>
    <w:rPr>
      <w:rFonts w:ascii="宋体" w:eastAsia="宋体" w:hAnsi="宋体" w:cs="宋体"/>
      <w:bCs/>
      <w:snapToGrid w:val="0"/>
      <w:kern w:val="24"/>
      <w:sz w:val="24"/>
      <w:szCs w:val="20"/>
    </w:rPr>
  </w:style>
  <w:style w:type="paragraph" w:customStyle="1" w:styleId="wtext">
    <w:name w:val="wtext"/>
    <w:basedOn w:val="af3"/>
    <w:rsid w:val="009964C3"/>
    <w:pPr>
      <w:widowControl/>
      <w:spacing w:before="100" w:beforeAutospacing="1" w:after="100" w:afterAutospacing="1"/>
      <w:ind w:firstLine="480"/>
      <w:jc w:val="left"/>
    </w:pPr>
    <w:rPr>
      <w:rFonts w:eastAsia="Arial Unicode MS" w:cs="Arial Unicode MS"/>
      <w:color w:val="000000"/>
      <w:kern w:val="0"/>
      <w:sz w:val="22"/>
      <w:szCs w:val="22"/>
    </w:rPr>
  </w:style>
  <w:style w:type="paragraph" w:customStyle="1" w:styleId="cucd-TB-HeadChar">
    <w:name w:val="cucd-TB-Head Char"/>
    <w:basedOn w:val="af3"/>
    <w:next w:val="af3"/>
    <w:link w:val="cucd-TB-HeadCharChar1"/>
    <w:rsid w:val="009964C3"/>
    <w:pPr>
      <w:adjustRightInd w:val="0"/>
      <w:snapToGrid w:val="0"/>
      <w:spacing w:line="360" w:lineRule="auto"/>
      <w:ind w:firstLineChars="100" w:firstLine="240"/>
    </w:pPr>
    <w:rPr>
      <w:rFonts w:eastAsia="黑体" w:hAnsi="宋体"/>
      <w:sz w:val="24"/>
      <w:szCs w:val="21"/>
    </w:rPr>
  </w:style>
  <w:style w:type="paragraph" w:customStyle="1" w:styleId="437">
    <w:name w:val="表题43"/>
    <w:basedOn w:val="afffffff4"/>
    <w:rsid w:val="009964C3"/>
    <w:pPr>
      <w:spacing w:line="240" w:lineRule="auto"/>
      <w:ind w:firstLine="0"/>
      <w:jc w:val="center"/>
    </w:pPr>
    <w:rPr>
      <w:rFonts w:ascii="黑体" w:eastAsia="黑体"/>
    </w:rPr>
  </w:style>
  <w:style w:type="paragraph" w:customStyle="1" w:styleId="afffffffffffffffffb">
    <w:name w:val="表格文字中"/>
    <w:basedOn w:val="af3"/>
    <w:rsid w:val="009964C3"/>
    <w:pPr>
      <w:tabs>
        <w:tab w:val="left" w:pos="1727"/>
        <w:tab w:val="left" w:pos="1884"/>
      </w:tabs>
      <w:adjustRightInd w:val="0"/>
      <w:snapToGrid w:val="0"/>
      <w:jc w:val="center"/>
    </w:pPr>
    <w:rPr>
      <w:rFonts w:ascii="宋体" w:hAnsi="宋体"/>
      <w:color w:val="000000"/>
      <w:kern w:val="0"/>
      <w:sz w:val="24"/>
    </w:rPr>
  </w:style>
  <w:style w:type="paragraph" w:customStyle="1" w:styleId="affffff5">
    <w:name w:val="注释"/>
    <w:basedOn w:val="afff2"/>
    <w:next w:val="af3"/>
    <w:link w:val="Charffff6"/>
    <w:semiHidden/>
    <w:qFormat/>
    <w:rsid w:val="009964C3"/>
    <w:rPr>
      <w:rFonts w:ascii="Times New Roman" w:eastAsia="楷体_GB2312" w:hAnsi="Times New Roman" w:cs="Times New Roman"/>
      <w:snapToGrid w:val="0"/>
      <w:kern w:val="24"/>
      <w:position w:val="6"/>
      <w:sz w:val="21"/>
    </w:rPr>
  </w:style>
  <w:style w:type="paragraph" w:customStyle="1" w:styleId="425">
    <w:name w:val="表内小425"/>
    <w:basedOn w:val="affffffffff"/>
    <w:rsid w:val="009964C3"/>
    <w:pPr>
      <w:ind w:left="240" w:hanging="240"/>
      <w:jc w:val="both"/>
    </w:pPr>
  </w:style>
  <w:style w:type="paragraph" w:customStyle="1" w:styleId="1260">
    <w:name w:val="表题126"/>
    <w:basedOn w:val="afffffff4"/>
    <w:rsid w:val="009964C3"/>
    <w:pPr>
      <w:tabs>
        <w:tab w:val="clear" w:pos="4305"/>
      </w:tabs>
      <w:spacing w:line="240" w:lineRule="auto"/>
      <w:ind w:firstLine="0"/>
      <w:jc w:val="center"/>
    </w:pPr>
    <w:rPr>
      <w:rFonts w:ascii="黑体" w:eastAsia="黑体" w:hAnsi="Times" w:cs="Times New Roman"/>
    </w:rPr>
  </w:style>
  <w:style w:type="paragraph" w:customStyle="1" w:styleId="CharCharChar1CharCharChar">
    <w:name w:val="Char Char Char1 Char Char Char"/>
    <w:basedOn w:val="af3"/>
    <w:qFormat/>
    <w:rsid w:val="009964C3"/>
  </w:style>
  <w:style w:type="paragraph" w:customStyle="1" w:styleId="3ff">
    <w:name w:val="标题3"/>
    <w:basedOn w:val="31"/>
    <w:rsid w:val="009964C3"/>
    <w:pPr>
      <w:tabs>
        <w:tab w:val="left" w:pos="780"/>
      </w:tabs>
      <w:adjustRightInd w:val="0"/>
      <w:snapToGrid w:val="0"/>
      <w:spacing w:before="120" w:after="0" w:line="440" w:lineRule="exact"/>
      <w:ind w:leftChars="200" w:left="780" w:hangingChars="200" w:hanging="360"/>
      <w:textAlignment w:val="baseline"/>
    </w:pPr>
    <w:rPr>
      <w:rFonts w:hAnsi="宋体"/>
      <w:bCs w:val="0"/>
      <w:sz w:val="30"/>
      <w:szCs w:val="30"/>
    </w:rPr>
  </w:style>
  <w:style w:type="paragraph" w:customStyle="1" w:styleId="affff8">
    <w:name w:val="图题"/>
    <w:basedOn w:val="af4"/>
    <w:link w:val="Charff9"/>
    <w:rsid w:val="009964C3"/>
    <w:pPr>
      <w:tabs>
        <w:tab w:val="left" w:pos="5837"/>
      </w:tabs>
      <w:adjustRightInd w:val="0"/>
      <w:snapToGrid w:val="0"/>
      <w:ind w:firstLineChars="0" w:firstLine="0"/>
      <w:jc w:val="center"/>
    </w:pPr>
    <w:rPr>
      <w:rFonts w:ascii="方正大标宋简体" w:eastAsia="方正大标宋简体" w:hAnsi="宋体" w:cs="宋体"/>
      <w:b/>
      <w:sz w:val="24"/>
      <w:szCs w:val="24"/>
    </w:rPr>
  </w:style>
  <w:style w:type="paragraph" w:customStyle="1" w:styleId="4510">
    <w:name w:val="标题451"/>
    <w:basedOn w:val="af3"/>
    <w:qFormat/>
    <w:rsid w:val="009964C3"/>
    <w:pPr>
      <w:adjustRightInd w:val="0"/>
      <w:snapToGrid w:val="0"/>
      <w:spacing w:line="360" w:lineRule="auto"/>
      <w:jc w:val="left"/>
    </w:pPr>
    <w:rPr>
      <w:rFonts w:ascii="黑体" w:eastAsia="黑体"/>
      <w:bCs/>
      <w:sz w:val="24"/>
    </w:rPr>
  </w:style>
  <w:style w:type="paragraph" w:customStyle="1" w:styleId="afffffffffffffffffc">
    <w:name w:val="内文图表标注"/>
    <w:basedOn w:val="af3"/>
    <w:rsid w:val="009964C3"/>
    <w:pPr>
      <w:adjustRightInd w:val="0"/>
      <w:snapToGrid w:val="0"/>
      <w:spacing w:line="400" w:lineRule="exact"/>
      <w:ind w:left="2520"/>
    </w:pPr>
    <w:rPr>
      <w:rFonts w:ascii="幼圆" w:eastAsia="幼圆" w:hAnsi="宋体"/>
      <w:bCs/>
      <w:spacing w:val="10"/>
      <w:sz w:val="18"/>
      <w:szCs w:val="20"/>
    </w:rPr>
  </w:style>
  <w:style w:type="paragraph" w:customStyle="1" w:styleId="333333333">
    <w:name w:val="目录333333333"/>
    <w:basedOn w:val="1111111"/>
    <w:rsid w:val="009964C3"/>
    <w:pPr>
      <w:spacing w:line="460" w:lineRule="exact"/>
    </w:pPr>
  </w:style>
  <w:style w:type="paragraph" w:customStyle="1" w:styleId="850">
    <w:name w:val="表题85"/>
    <w:basedOn w:val="afffffff4"/>
    <w:rsid w:val="009964C3"/>
    <w:pPr>
      <w:spacing w:line="240" w:lineRule="auto"/>
      <w:ind w:firstLine="0"/>
      <w:jc w:val="center"/>
    </w:pPr>
    <w:rPr>
      <w:rFonts w:ascii="黑体" w:eastAsia="黑体" w:cs="Times New Roman"/>
      <w:color w:val="auto"/>
      <w:szCs w:val="20"/>
    </w:rPr>
  </w:style>
  <w:style w:type="paragraph" w:customStyle="1" w:styleId="xl77">
    <w:name w:val="xl77"/>
    <w:basedOn w:val="af3"/>
    <w:qFormat/>
    <w:rsid w:val="009964C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210">
    <w:name w:val="表标题2.1"/>
    <w:basedOn w:val="26"/>
    <w:rsid w:val="009964C3"/>
    <w:pPr>
      <w:numPr>
        <w:numId w:val="32"/>
      </w:numPr>
      <w:tabs>
        <w:tab w:val="left" w:pos="720"/>
        <w:tab w:val="left" w:pos="3060"/>
      </w:tabs>
    </w:pPr>
  </w:style>
  <w:style w:type="paragraph" w:customStyle="1" w:styleId="Table-II">
    <w:name w:val="Table-II"/>
    <w:basedOn w:val="Table-I"/>
    <w:rsid w:val="009964C3"/>
    <w:pPr>
      <w:ind w:leftChars="20" w:left="42"/>
      <w:jc w:val="left"/>
    </w:pPr>
  </w:style>
  <w:style w:type="paragraph" w:customStyle="1" w:styleId="26">
    <w:name w:val="表标2.6"/>
    <w:next w:val="afffffffff2"/>
    <w:rsid w:val="009964C3"/>
    <w:pPr>
      <w:numPr>
        <w:numId w:val="33"/>
      </w:numPr>
      <w:tabs>
        <w:tab w:val="left" w:pos="720"/>
        <w:tab w:val="left" w:pos="8207"/>
      </w:tabs>
      <w:adjustRightInd w:val="0"/>
      <w:snapToGrid w:val="0"/>
      <w:spacing w:before="240" w:line="0" w:lineRule="atLeast"/>
      <w:jc w:val="center"/>
      <w:textAlignment w:val="baseline"/>
    </w:pPr>
    <w:rPr>
      <w:rFonts w:eastAsia="黑体"/>
      <w:b/>
      <w:color w:val="000000"/>
      <w:kern w:val="2"/>
      <w:sz w:val="24"/>
      <w:szCs w:val="24"/>
    </w:rPr>
  </w:style>
  <w:style w:type="paragraph" w:customStyle="1" w:styleId="107">
    <w:name w:val="样式 图(水口山) + 字距调整10 磅"/>
    <w:basedOn w:val="affd"/>
    <w:semiHidden/>
    <w:rsid w:val="009964C3"/>
    <w:rPr>
      <w:kern w:val="20"/>
    </w:rPr>
  </w:style>
  <w:style w:type="paragraph" w:customStyle="1" w:styleId="affd">
    <w:name w:val="图(水口山)"/>
    <w:basedOn w:val="af3"/>
    <w:link w:val="CharChar6"/>
    <w:semiHidden/>
    <w:rsid w:val="009964C3"/>
    <w:pPr>
      <w:tabs>
        <w:tab w:val="left" w:pos="1021"/>
      </w:tabs>
      <w:spacing w:line="288" w:lineRule="auto"/>
      <w:jc w:val="center"/>
    </w:pPr>
    <w:rPr>
      <w:rFonts w:ascii="Arial" w:eastAsia="黑体" w:hAnsi="Arial"/>
      <w:kern w:val="24"/>
      <w:sz w:val="24"/>
    </w:rPr>
  </w:style>
  <w:style w:type="paragraph" w:customStyle="1" w:styleId="5210">
    <w:name w:val="表内宋521"/>
    <w:basedOn w:val="5f9"/>
    <w:rsid w:val="009964C3"/>
    <w:pPr>
      <w:jc w:val="both"/>
    </w:pPr>
  </w:style>
  <w:style w:type="paragraph" w:customStyle="1" w:styleId="afffffffffffffffffd">
    <w:name w:val="委托单位"/>
    <w:basedOn w:val="af3"/>
    <w:rsid w:val="009964C3"/>
    <w:pPr>
      <w:overflowPunct w:val="0"/>
      <w:adjustRightInd w:val="0"/>
      <w:snapToGrid w:val="0"/>
      <w:spacing w:beforeLines="100" w:line="300" w:lineRule="auto"/>
      <w:jc w:val="center"/>
    </w:pPr>
    <w:rPr>
      <w:rFonts w:ascii="宋体" w:eastAsia="黑体" w:hAnsi="Arial"/>
      <w:b/>
      <w:bCs/>
      <w:kern w:val="0"/>
      <w:sz w:val="44"/>
      <w:szCs w:val="20"/>
    </w:rPr>
  </w:style>
  <w:style w:type="paragraph" w:customStyle="1" w:styleId="xl118">
    <w:name w:val="xl118"/>
    <w:basedOn w:val="af3"/>
    <w:rsid w:val="009964C3"/>
    <w:pPr>
      <w:widowControl/>
      <w:pBdr>
        <w:top w:val="single" w:sz="4" w:space="0" w:color="auto"/>
        <w:bottom w:val="single" w:sz="8" w:space="0" w:color="auto"/>
        <w:right w:val="single" w:sz="4" w:space="0" w:color="auto"/>
      </w:pBdr>
      <w:spacing w:before="100" w:beforeAutospacing="1" w:after="100" w:afterAutospacing="1"/>
      <w:jc w:val="center"/>
    </w:pPr>
    <w:rPr>
      <w:rFonts w:eastAsia="Arial Unicode MS"/>
      <w:kern w:val="0"/>
      <w:sz w:val="18"/>
      <w:szCs w:val="18"/>
    </w:rPr>
  </w:style>
  <w:style w:type="paragraph" w:customStyle="1" w:styleId="HeadingBase">
    <w:name w:val="Heading Base"/>
    <w:basedOn w:val="afff"/>
    <w:next w:val="afff"/>
    <w:rsid w:val="009964C3"/>
    <w:pPr>
      <w:keepNext/>
      <w:keepLines/>
      <w:widowControl/>
      <w:spacing w:after="0" w:line="220" w:lineRule="atLeast"/>
      <w:ind w:right="-360"/>
      <w:jc w:val="left"/>
    </w:pPr>
    <w:rPr>
      <w:rFonts w:ascii="Arial" w:hAnsi="Arial"/>
      <w:spacing w:val="-4"/>
      <w:kern w:val="0"/>
      <w:sz w:val="18"/>
      <w:szCs w:val="20"/>
    </w:rPr>
  </w:style>
  <w:style w:type="paragraph" w:customStyle="1" w:styleId="xl31">
    <w:name w:val="xl31"/>
    <w:basedOn w:val="af3"/>
    <w:rsid w:val="009964C3"/>
    <w:pPr>
      <w:widowControl/>
      <w:pBdr>
        <w:top w:val="single" w:sz="8" w:space="0" w:color="auto"/>
        <w:left w:val="single" w:sz="12" w:space="0" w:color="auto"/>
        <w:right w:val="single" w:sz="8" w:space="0" w:color="auto"/>
      </w:pBdr>
      <w:spacing w:before="100" w:beforeAutospacing="1" w:after="100" w:afterAutospacing="1"/>
      <w:jc w:val="center"/>
    </w:pPr>
    <w:rPr>
      <w:kern w:val="0"/>
      <w:szCs w:val="21"/>
    </w:rPr>
  </w:style>
  <w:style w:type="paragraph" w:customStyle="1" w:styleId="afffffffffffffffffe">
    <w:name w:val="编制单位"/>
    <w:basedOn w:val="af3"/>
    <w:rsid w:val="009964C3"/>
    <w:pPr>
      <w:overflowPunct w:val="0"/>
      <w:adjustRightInd w:val="0"/>
      <w:snapToGrid w:val="0"/>
      <w:spacing w:line="600" w:lineRule="exact"/>
      <w:jc w:val="center"/>
    </w:pPr>
    <w:rPr>
      <w:rFonts w:ascii="宋体" w:eastAsia="黑体" w:hAnsi="Arial"/>
      <w:b/>
      <w:spacing w:val="20"/>
      <w:kern w:val="0"/>
      <w:sz w:val="44"/>
      <w:szCs w:val="20"/>
    </w:rPr>
  </w:style>
  <w:style w:type="paragraph" w:customStyle="1" w:styleId="592">
    <w:name w:val="表内592"/>
    <w:basedOn w:val="af3"/>
    <w:rsid w:val="009964C3"/>
    <w:pPr>
      <w:adjustRightInd w:val="0"/>
      <w:snapToGrid w:val="0"/>
    </w:pPr>
    <w:rPr>
      <w:rFonts w:ascii="宋体"/>
      <w:szCs w:val="20"/>
    </w:rPr>
  </w:style>
  <w:style w:type="paragraph" w:customStyle="1" w:styleId="CUCD-">
    <w:name w:val="CUCD-表格"/>
    <w:basedOn w:val="af3"/>
    <w:semiHidden/>
    <w:rsid w:val="009964C3"/>
    <w:pPr>
      <w:widowControl/>
      <w:jc w:val="center"/>
    </w:pPr>
    <w:rPr>
      <w:rFonts w:ascii="Arial" w:hAnsi="Arial"/>
      <w:szCs w:val="21"/>
    </w:rPr>
  </w:style>
  <w:style w:type="paragraph" w:customStyle="1" w:styleId="52">
    <w:name w:val="样式 表内小5 + 黑体 加粗 倾斜 下划线"/>
    <w:basedOn w:val="af3"/>
    <w:link w:val="5Char0"/>
    <w:rsid w:val="009964C3"/>
    <w:pPr>
      <w:adjustRightInd w:val="0"/>
      <w:snapToGrid w:val="0"/>
      <w:spacing w:line="300" w:lineRule="auto"/>
    </w:pPr>
    <w:rPr>
      <w:rFonts w:ascii="黑体" w:eastAsia="黑体" w:hAnsi="黑体"/>
      <w:b/>
      <w:bCs/>
      <w:i/>
      <w:iCs/>
      <w:sz w:val="18"/>
      <w:u w:val="single"/>
    </w:rPr>
  </w:style>
  <w:style w:type="paragraph" w:customStyle="1" w:styleId="127">
    <w:name w:val="标题 1（桑2）"/>
    <w:basedOn w:val="1fff0"/>
    <w:semiHidden/>
    <w:rsid w:val="009964C3"/>
  </w:style>
  <w:style w:type="paragraph" w:customStyle="1" w:styleId="1fff0">
    <w:name w:val="样式 样式 标题 1（桑）"/>
    <w:basedOn w:val="1fff1"/>
    <w:semiHidden/>
    <w:rsid w:val="009964C3"/>
  </w:style>
  <w:style w:type="paragraph" w:customStyle="1" w:styleId="4340">
    <w:name w:val="标题434"/>
    <w:basedOn w:val="af3"/>
    <w:rsid w:val="009964C3"/>
    <w:pPr>
      <w:adjustRightInd w:val="0"/>
      <w:snapToGrid w:val="0"/>
      <w:spacing w:line="300" w:lineRule="auto"/>
      <w:jc w:val="left"/>
    </w:pPr>
    <w:rPr>
      <w:rFonts w:ascii="黑体" w:eastAsia="黑体" w:hAnsi="宋体" w:cs="宋体"/>
      <w:sz w:val="24"/>
    </w:rPr>
  </w:style>
  <w:style w:type="paragraph" w:customStyle="1" w:styleId="1fff1">
    <w:name w:val="样式 标题 1（桑） +"/>
    <w:basedOn w:val="1fff2"/>
    <w:semiHidden/>
    <w:rsid w:val="009964C3"/>
    <w:pPr>
      <w:tabs>
        <w:tab w:val="left" w:pos="1021"/>
      </w:tabs>
    </w:pPr>
  </w:style>
  <w:style w:type="paragraph" w:customStyle="1" w:styleId="xl29">
    <w:name w:val="xl29"/>
    <w:basedOn w:val="af3"/>
    <w:rsid w:val="009964C3"/>
    <w:pPr>
      <w:widowControl/>
      <w:pBdr>
        <w:left w:val="single" w:sz="12" w:space="0" w:color="auto"/>
        <w:right w:val="single" w:sz="8" w:space="0" w:color="auto"/>
      </w:pBdr>
      <w:spacing w:before="100" w:beforeAutospacing="1" w:after="100" w:afterAutospacing="1"/>
      <w:jc w:val="center"/>
    </w:pPr>
    <w:rPr>
      <w:kern w:val="0"/>
      <w:szCs w:val="21"/>
    </w:rPr>
  </w:style>
  <w:style w:type="paragraph" w:customStyle="1" w:styleId="1fff2">
    <w:name w:val="标题 1（桑）"/>
    <w:basedOn w:val="13"/>
    <w:semiHidden/>
    <w:rsid w:val="009964C3"/>
    <w:pPr>
      <w:keepNext w:val="0"/>
      <w:keepLines w:val="0"/>
      <w:tabs>
        <w:tab w:val="left" w:pos="1440"/>
      </w:tabs>
      <w:overflowPunct w:val="0"/>
      <w:autoSpaceDE w:val="0"/>
      <w:autoSpaceDN w:val="0"/>
      <w:adjustRightInd w:val="0"/>
      <w:spacing w:beforeLines="50" w:after="120" w:line="360" w:lineRule="auto"/>
      <w:jc w:val="left"/>
      <w:textAlignment w:val="baseline"/>
    </w:pPr>
    <w:rPr>
      <w:rFonts w:ascii="Arial" w:hAnsi="Arial"/>
      <w:b w:val="0"/>
      <w:bCs w:val="0"/>
      <w:spacing w:val="-10"/>
      <w:kern w:val="20"/>
      <w:sz w:val="32"/>
      <w:szCs w:val="20"/>
    </w:rPr>
  </w:style>
  <w:style w:type="paragraph" w:customStyle="1" w:styleId="418">
    <w:name w:val="小4仿宋居中行1"/>
    <w:rsid w:val="009964C3"/>
    <w:pPr>
      <w:widowControl w:val="0"/>
      <w:ind w:left="-573" w:right="-59" w:firstLine="494"/>
      <w:jc w:val="center"/>
    </w:pPr>
    <w:rPr>
      <w:rFonts w:eastAsia="仿宋_GB2312"/>
      <w:sz w:val="24"/>
    </w:rPr>
  </w:style>
  <w:style w:type="paragraph" w:customStyle="1" w:styleId="3ff0">
    <w:name w:val="表3"/>
    <w:basedOn w:val="af3"/>
    <w:semiHidden/>
    <w:locked/>
    <w:rsid w:val="009964C3"/>
    <w:pPr>
      <w:keepNext/>
      <w:keepLines/>
      <w:adjustRightInd w:val="0"/>
      <w:snapToGrid w:val="0"/>
      <w:spacing w:before="120" w:after="120" w:line="240" w:lineRule="exact"/>
      <w:jc w:val="center"/>
    </w:pPr>
    <w:rPr>
      <w:rFonts w:eastAsia="仿宋_GB2312"/>
      <w:bCs/>
      <w:color w:val="000000"/>
      <w:kern w:val="21"/>
    </w:rPr>
  </w:style>
  <w:style w:type="paragraph" w:customStyle="1" w:styleId="CharCharCharCharCharCharCharCharCharCharCharCharCharCharCharCharCharChar1CharCharCharCharCharCharChar">
    <w:name w:val="Char Char Char Char Char Char Char Char Char Char Char Char Char Char Char Char Char Char1 Char Char Char Char Char Char Char"/>
    <w:basedOn w:val="af3"/>
    <w:next w:val="af3"/>
    <w:rsid w:val="009964C3"/>
    <w:pPr>
      <w:keepNext/>
      <w:keepLines/>
      <w:widowControl/>
      <w:adjustRightInd w:val="0"/>
      <w:spacing w:before="40" w:after="40" w:line="360" w:lineRule="auto"/>
      <w:ind w:firstLineChars="200" w:firstLine="482"/>
      <w:textAlignment w:val="baseline"/>
    </w:pPr>
    <w:rPr>
      <w:rFonts w:cs="宋体"/>
      <w:b/>
      <w:kern w:val="0"/>
      <w:sz w:val="24"/>
      <w:szCs w:val="28"/>
    </w:rPr>
  </w:style>
  <w:style w:type="paragraph" w:customStyle="1" w:styleId="316">
    <w:name w:val="表内文字小31"/>
    <w:basedOn w:val="af3"/>
    <w:rsid w:val="009964C3"/>
    <w:pPr>
      <w:adjustRightInd w:val="0"/>
      <w:snapToGrid w:val="0"/>
      <w:jc w:val="center"/>
    </w:pPr>
    <w:rPr>
      <w:rFonts w:ascii="宋体" w:hAnsi="Times" w:cs="宋体"/>
      <w:bCs/>
      <w:color w:val="003366"/>
      <w:szCs w:val="20"/>
    </w:rPr>
  </w:style>
  <w:style w:type="paragraph" w:customStyle="1" w:styleId="1fff3">
    <w:name w:val="1级标题"/>
    <w:basedOn w:val="af3"/>
    <w:rsid w:val="009964C3"/>
    <w:pPr>
      <w:spacing w:beforeLines="50" w:afterLines="50"/>
    </w:pPr>
    <w:rPr>
      <w:rFonts w:ascii="宋体" w:hAnsi="宋体"/>
      <w:b/>
      <w:bCs/>
      <w:color w:val="000000"/>
      <w:sz w:val="28"/>
    </w:rPr>
  </w:style>
  <w:style w:type="paragraph" w:customStyle="1" w:styleId="183">
    <w:name w:val="表内文字小18"/>
    <w:basedOn w:val="af3"/>
    <w:rsid w:val="009964C3"/>
    <w:pPr>
      <w:adjustRightInd w:val="0"/>
      <w:snapToGrid w:val="0"/>
      <w:jc w:val="center"/>
    </w:pPr>
    <w:rPr>
      <w:rFonts w:ascii="宋体" w:hAnsi="Times" w:cs="宋体"/>
      <w:szCs w:val="20"/>
    </w:rPr>
  </w:style>
  <w:style w:type="paragraph" w:customStyle="1" w:styleId="3ff1">
    <w:name w:val="标题3样式"/>
    <w:basedOn w:val="31"/>
    <w:rsid w:val="009964C3"/>
    <w:pPr>
      <w:spacing w:before="0" w:after="0" w:line="360" w:lineRule="auto"/>
    </w:pPr>
    <w:rPr>
      <w:rFonts w:ascii="黑体" w:eastAsia="黑体"/>
      <w:sz w:val="24"/>
    </w:rPr>
  </w:style>
  <w:style w:type="paragraph" w:customStyle="1" w:styleId="51100">
    <w:name w:val="表内5110"/>
    <w:basedOn w:val="af3"/>
    <w:rsid w:val="009964C3"/>
    <w:pPr>
      <w:adjustRightInd w:val="0"/>
      <w:snapToGrid w:val="0"/>
      <w:spacing w:line="300" w:lineRule="auto"/>
      <w:jc w:val="left"/>
    </w:pPr>
    <w:rPr>
      <w:rFonts w:ascii="宋体" w:hAnsi="宋体" w:cs="宋体"/>
      <w:szCs w:val="20"/>
    </w:rPr>
  </w:style>
  <w:style w:type="paragraph" w:customStyle="1" w:styleId="1fff4">
    <w:name w:val="样式 标题 1 + 加粗"/>
    <w:basedOn w:val="13"/>
    <w:rsid w:val="009964C3"/>
    <w:pPr>
      <w:pageBreakBefore/>
      <w:spacing w:before="0" w:after="0" w:line="480" w:lineRule="exact"/>
    </w:pPr>
    <w:rPr>
      <w:rFonts w:ascii="黑体" w:hAnsi="Arial Black"/>
      <w:b w:val="0"/>
      <w:color w:val="FF0000"/>
      <w:szCs w:val="36"/>
    </w:rPr>
  </w:style>
  <w:style w:type="paragraph" w:customStyle="1" w:styleId="1CharChar2">
    <w:name w:val="正文1 Char Char"/>
    <w:basedOn w:val="af3"/>
    <w:link w:val="1CharCharCharCharChar"/>
    <w:semiHidden/>
    <w:rsid w:val="009964C3"/>
    <w:pPr>
      <w:tabs>
        <w:tab w:val="left" w:pos="700"/>
      </w:tabs>
      <w:spacing w:line="600" w:lineRule="exact"/>
      <w:ind w:left="-207" w:firstLine="567"/>
    </w:pPr>
    <w:rPr>
      <w:rFonts w:ascii="Arial Narrow" w:eastAsia="仿宋_GB2312" w:hAnsi="Arial Narrow"/>
      <w:color w:val="000000"/>
      <w:kern w:val="10"/>
      <w:sz w:val="28"/>
      <w:szCs w:val="20"/>
    </w:rPr>
  </w:style>
  <w:style w:type="paragraph" w:customStyle="1" w:styleId="60">
    <w:name w:val="样式 标题 6 +"/>
    <w:basedOn w:val="6"/>
    <w:link w:val="6Char0"/>
    <w:semiHidden/>
    <w:rsid w:val="009964C3"/>
    <w:pPr>
      <w:widowControl w:val="0"/>
      <w:numPr>
        <w:ilvl w:val="5"/>
      </w:numPr>
      <w:spacing w:line="320" w:lineRule="atLeast"/>
      <w:ind w:firstLineChars="200" w:firstLine="561"/>
      <w:jc w:val="both"/>
    </w:pPr>
    <w:rPr>
      <w:rFonts w:cs="Times New Roman"/>
      <w:snapToGrid w:val="0"/>
      <w:kern w:val="24"/>
      <w:sz w:val="28"/>
    </w:rPr>
  </w:style>
  <w:style w:type="paragraph" w:customStyle="1" w:styleId="5121">
    <w:name w:val="样式 表标题5.12 + 居中 段前: 1 行"/>
    <w:basedOn w:val="5120"/>
    <w:rsid w:val="009964C3"/>
    <w:pPr>
      <w:numPr>
        <w:numId w:val="34"/>
      </w:numPr>
      <w:tabs>
        <w:tab w:val="clear" w:pos="8261"/>
        <w:tab w:val="center" w:pos="4060"/>
        <w:tab w:val="left" w:pos="4080"/>
      </w:tabs>
      <w:spacing w:before="312"/>
      <w:jc w:val="center"/>
    </w:pPr>
    <w:rPr>
      <w:rFonts w:cs="宋体"/>
      <w:bCs/>
      <w:szCs w:val="20"/>
    </w:rPr>
  </w:style>
  <w:style w:type="paragraph" w:customStyle="1" w:styleId="dxj1">
    <w:name w:val="dxj表后"/>
    <w:basedOn w:val="dxj0"/>
    <w:semiHidden/>
    <w:rsid w:val="009964C3"/>
    <w:pPr>
      <w:keepLines/>
      <w:spacing w:line="280" w:lineRule="exact"/>
      <w:ind w:firstLineChars="0" w:firstLine="0"/>
    </w:pPr>
    <w:rPr>
      <w:sz w:val="18"/>
    </w:rPr>
  </w:style>
  <w:style w:type="paragraph" w:customStyle="1" w:styleId="affffffffffffffffff">
    <w:name w:val="正文一"/>
    <w:basedOn w:val="af3"/>
    <w:rsid w:val="009964C3"/>
    <w:pPr>
      <w:widowControl/>
      <w:adjustRightInd w:val="0"/>
      <w:snapToGrid w:val="0"/>
      <w:spacing w:line="480" w:lineRule="atLeast"/>
    </w:pPr>
    <w:rPr>
      <w:rFonts w:ascii="宋体"/>
      <w:snapToGrid w:val="0"/>
      <w:spacing w:val="6"/>
      <w:kern w:val="0"/>
      <w:sz w:val="24"/>
      <w:szCs w:val="20"/>
    </w:rPr>
  </w:style>
  <w:style w:type="paragraph" w:customStyle="1" w:styleId="5ff2">
    <w:name w:val="题图5"/>
    <w:basedOn w:val="af3"/>
    <w:rsid w:val="009964C3"/>
    <w:pPr>
      <w:adjustRightInd w:val="0"/>
      <w:snapToGrid w:val="0"/>
      <w:jc w:val="center"/>
    </w:pPr>
    <w:rPr>
      <w:rFonts w:ascii="宋体" w:hAnsi="宋体" w:cs="宋体"/>
      <w:sz w:val="28"/>
    </w:rPr>
  </w:style>
  <w:style w:type="paragraph" w:customStyle="1" w:styleId="dxj0">
    <w:name w:val="dxj正文"/>
    <w:basedOn w:val="af3"/>
    <w:link w:val="dxjChar0"/>
    <w:semiHidden/>
    <w:rsid w:val="009964C3"/>
    <w:pPr>
      <w:spacing w:line="360" w:lineRule="auto"/>
      <w:ind w:firstLineChars="200" w:firstLine="200"/>
    </w:pPr>
    <w:rPr>
      <w:sz w:val="24"/>
    </w:rPr>
  </w:style>
  <w:style w:type="paragraph" w:customStyle="1" w:styleId="217">
    <w:name w:val="样式 正文缩进 + 小四 首行缩进:  2 字符1"/>
    <w:basedOn w:val="af4"/>
    <w:rsid w:val="009964C3"/>
    <w:pPr>
      <w:keepNext/>
      <w:tabs>
        <w:tab w:val="left" w:pos="1727"/>
        <w:tab w:val="left" w:pos="1884"/>
      </w:tabs>
      <w:spacing w:line="360" w:lineRule="auto"/>
      <w:ind w:firstLine="480"/>
      <w:jc w:val="left"/>
      <w:outlineLvl w:val="0"/>
    </w:pPr>
    <w:rPr>
      <w:rFonts w:ascii="宋体" w:hAnsi="宋体" w:cs="宋体"/>
      <w:snapToGrid w:val="0"/>
      <w:color w:val="000000"/>
      <w:kern w:val="0"/>
      <w:sz w:val="28"/>
      <w:szCs w:val="20"/>
    </w:rPr>
  </w:style>
  <w:style w:type="paragraph" w:customStyle="1" w:styleId="1-10">
    <w:name w:val="标题 1-1"/>
    <w:basedOn w:val="13"/>
    <w:rsid w:val="009964C3"/>
    <w:pPr>
      <w:pageBreakBefore/>
      <w:tabs>
        <w:tab w:val="left" w:pos="1440"/>
      </w:tabs>
      <w:snapToGrid w:val="0"/>
      <w:spacing w:beforeLines="50" w:after="0" w:line="336" w:lineRule="auto"/>
      <w:ind w:left="432" w:firstLineChars="200" w:firstLine="601"/>
      <w:jc w:val="left"/>
    </w:pPr>
    <w:rPr>
      <w:rFonts w:eastAsia="华文细黑"/>
      <w:b w:val="0"/>
      <w:bCs w:val="0"/>
      <w:kern w:val="0"/>
      <w:sz w:val="30"/>
      <w:szCs w:val="24"/>
    </w:rPr>
  </w:style>
  <w:style w:type="paragraph" w:customStyle="1" w:styleId="17">
    <w:name w:val="样式 宋体 小四 黑色1"/>
    <w:basedOn w:val="af3"/>
    <w:next w:val="afff"/>
    <w:link w:val="1Char3"/>
    <w:rsid w:val="009964C3"/>
    <w:pPr>
      <w:framePr w:hSpace="180" w:wrap="around" w:vAnchor="page" w:hAnchor="margin" w:y="1909"/>
      <w:spacing w:line="360" w:lineRule="auto"/>
    </w:pPr>
    <w:rPr>
      <w:rFonts w:ascii="宋体" w:hAnsi="宋体"/>
      <w:color w:val="000000"/>
      <w:kern w:val="0"/>
      <w:sz w:val="24"/>
    </w:rPr>
  </w:style>
  <w:style w:type="paragraph" w:customStyle="1" w:styleId="font12">
    <w:name w:val="font12"/>
    <w:basedOn w:val="af3"/>
    <w:rsid w:val="009964C3"/>
    <w:pPr>
      <w:widowControl/>
      <w:spacing w:before="100" w:beforeAutospacing="1" w:after="100" w:afterAutospacing="1"/>
      <w:jc w:val="left"/>
    </w:pPr>
    <w:rPr>
      <w:kern w:val="0"/>
      <w:sz w:val="20"/>
      <w:szCs w:val="20"/>
    </w:rPr>
  </w:style>
  <w:style w:type="paragraph" w:customStyle="1" w:styleId="xl116">
    <w:name w:val="xl116"/>
    <w:basedOn w:val="af3"/>
    <w:rsid w:val="009964C3"/>
    <w:pPr>
      <w:widowControl/>
      <w:pBdr>
        <w:top w:val="single" w:sz="4" w:space="0" w:color="auto"/>
        <w:left w:val="single" w:sz="4" w:space="0" w:color="auto"/>
        <w:bottom w:val="single" w:sz="8" w:space="0" w:color="auto"/>
      </w:pBdr>
      <w:spacing w:before="100" w:beforeAutospacing="1" w:after="100" w:afterAutospacing="1"/>
      <w:jc w:val="center"/>
    </w:pPr>
    <w:rPr>
      <w:rFonts w:eastAsia="Arial Unicode MS"/>
      <w:kern w:val="0"/>
      <w:sz w:val="18"/>
      <w:szCs w:val="18"/>
    </w:rPr>
  </w:style>
  <w:style w:type="paragraph" w:customStyle="1" w:styleId="516">
    <w:name w:val="表标题5.16"/>
    <w:basedOn w:val="af3"/>
    <w:rsid w:val="009964C3"/>
    <w:pPr>
      <w:numPr>
        <w:numId w:val="35"/>
      </w:numPr>
      <w:tabs>
        <w:tab w:val="left" w:pos="420"/>
      </w:tabs>
      <w:spacing w:beforeLines="100" w:line="0" w:lineRule="atLeast"/>
    </w:pPr>
    <w:rPr>
      <w:rFonts w:eastAsia="黑体"/>
      <w:b/>
      <w:sz w:val="24"/>
    </w:rPr>
  </w:style>
  <w:style w:type="paragraph" w:customStyle="1" w:styleId="afffffa">
    <w:name w:val="条"/>
    <w:basedOn w:val="af3"/>
    <w:next w:val="af3"/>
    <w:link w:val="Charfffa"/>
    <w:semiHidden/>
    <w:rsid w:val="009964C3"/>
    <w:pPr>
      <w:tabs>
        <w:tab w:val="left" w:pos="0"/>
      </w:tabs>
      <w:spacing w:line="360" w:lineRule="auto"/>
      <w:ind w:firstLine="540"/>
      <w:outlineLvl w:val="0"/>
    </w:pPr>
    <w:rPr>
      <w:rFonts w:ascii="黑体" w:eastAsia="黑体"/>
      <w:bCs/>
      <w:kern w:val="0"/>
      <w:sz w:val="28"/>
      <w:szCs w:val="28"/>
    </w:rPr>
  </w:style>
  <w:style w:type="paragraph" w:customStyle="1" w:styleId="sms">
    <w:name w:val="sms"/>
    <w:basedOn w:val="af3"/>
    <w:rsid w:val="009964C3"/>
    <w:pPr>
      <w:widowControl/>
      <w:overflowPunct w:val="0"/>
      <w:autoSpaceDE w:val="0"/>
      <w:autoSpaceDN w:val="0"/>
      <w:adjustRightInd w:val="0"/>
      <w:spacing w:line="360" w:lineRule="auto"/>
      <w:ind w:left="2126" w:right="992" w:firstLine="709"/>
      <w:jc w:val="left"/>
      <w:textAlignment w:val="baseline"/>
    </w:pPr>
    <w:rPr>
      <w:rFonts w:ascii="宋体"/>
      <w:spacing w:val="20"/>
      <w:kern w:val="0"/>
      <w:sz w:val="26"/>
      <w:szCs w:val="20"/>
    </w:rPr>
  </w:style>
  <w:style w:type="paragraph" w:customStyle="1" w:styleId="51b">
    <w:name w:val="页眉中51"/>
    <w:basedOn w:val="af3"/>
    <w:rsid w:val="009964C3"/>
    <w:pPr>
      <w:adjustRightInd w:val="0"/>
      <w:snapToGrid w:val="0"/>
      <w:spacing w:line="300" w:lineRule="auto"/>
      <w:jc w:val="center"/>
    </w:pPr>
    <w:rPr>
      <w:rFonts w:ascii="黑体" w:eastAsia="黑体"/>
      <w:bCs/>
      <w:sz w:val="24"/>
      <w:szCs w:val="20"/>
    </w:rPr>
  </w:style>
  <w:style w:type="paragraph" w:customStyle="1" w:styleId="affffffffffffffffff0">
    <w:name w:val="尾注文字"/>
    <w:basedOn w:val="af3"/>
    <w:rsid w:val="009964C3"/>
    <w:pPr>
      <w:autoSpaceDE w:val="0"/>
      <w:autoSpaceDN w:val="0"/>
      <w:adjustRightInd w:val="0"/>
      <w:spacing w:line="360" w:lineRule="atLeast"/>
      <w:jc w:val="left"/>
      <w:textAlignment w:val="baseline"/>
    </w:pPr>
    <w:rPr>
      <w:rFonts w:ascii="宋体" w:hAnsi="Tms Rmn"/>
      <w:kern w:val="0"/>
      <w:szCs w:val="20"/>
    </w:rPr>
  </w:style>
  <w:style w:type="paragraph" w:customStyle="1" w:styleId="246">
    <w:name w:val="等核实24"/>
    <w:basedOn w:val="afffffff4"/>
    <w:rsid w:val="009964C3"/>
  </w:style>
  <w:style w:type="paragraph" w:customStyle="1" w:styleId="166">
    <w:name w:val="样式 标题 1 + 黑体 三号 加粗 居中 段前: 6 磅"/>
    <w:basedOn w:val="13"/>
    <w:semiHidden/>
    <w:rsid w:val="009964C3"/>
    <w:pPr>
      <w:pageBreakBefore/>
      <w:tabs>
        <w:tab w:val="left" w:pos="1570"/>
      </w:tabs>
      <w:adjustRightInd w:val="0"/>
      <w:snapToGrid w:val="0"/>
      <w:spacing w:before="120" w:after="0" w:line="360" w:lineRule="auto"/>
      <w:ind w:left="1570" w:hanging="425"/>
    </w:pPr>
    <w:rPr>
      <w:rFonts w:cs="宋体"/>
      <w:b w:val="0"/>
      <w:sz w:val="24"/>
      <w:szCs w:val="20"/>
    </w:rPr>
  </w:style>
  <w:style w:type="paragraph" w:customStyle="1" w:styleId="5552">
    <w:name w:val="表内555"/>
    <w:basedOn w:val="5f2"/>
    <w:qFormat/>
    <w:rsid w:val="009964C3"/>
    <w:pPr>
      <w:jc w:val="both"/>
    </w:pPr>
    <w:rPr>
      <w:color w:val="000000"/>
    </w:rPr>
  </w:style>
  <w:style w:type="paragraph" w:customStyle="1" w:styleId="1131">
    <w:name w:val="样式 目录 1 + 行距: 多倍行距 1.3 字行"/>
    <w:basedOn w:val="1fc"/>
    <w:qFormat/>
    <w:rsid w:val="009964C3"/>
    <w:pPr>
      <w:tabs>
        <w:tab w:val="left" w:pos="480"/>
        <w:tab w:val="right" w:leader="dot" w:pos="9345"/>
      </w:tabs>
      <w:adjustRightInd w:val="0"/>
      <w:spacing w:line="312" w:lineRule="auto"/>
      <w:textAlignment w:val="baseline"/>
    </w:pPr>
    <w:rPr>
      <w:rFonts w:cs="宋体"/>
      <w:bCs w:val="0"/>
      <w:caps w:val="0"/>
      <w:kern w:val="0"/>
      <w:sz w:val="24"/>
    </w:rPr>
  </w:style>
  <w:style w:type="paragraph" w:customStyle="1" w:styleId="xl137">
    <w:name w:val="xl137"/>
    <w:basedOn w:val="af3"/>
    <w:semiHidden/>
    <w:rsid w:val="009964C3"/>
    <w:pPr>
      <w:widowControl/>
      <w:pBdr>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afffffffffffffff7">
    <w:name w:val="附录一级条"/>
    <w:next w:val="43"/>
    <w:rsid w:val="009964C3"/>
    <w:pPr>
      <w:tabs>
        <w:tab w:val="left" w:pos="1200"/>
      </w:tabs>
      <w:spacing w:line="440" w:lineRule="exact"/>
      <w:ind w:leftChars="400" w:left="1200" w:hangingChars="200" w:hanging="360"/>
    </w:pPr>
    <w:rPr>
      <w:rFonts w:ascii="宋体"/>
      <w:sz w:val="24"/>
    </w:rPr>
  </w:style>
  <w:style w:type="paragraph" w:customStyle="1" w:styleId="354">
    <w:name w:val="页眉中35"/>
    <w:basedOn w:val="4a"/>
    <w:rsid w:val="009964C3"/>
    <w:pPr>
      <w:snapToGrid w:val="0"/>
      <w:spacing w:line="300" w:lineRule="auto"/>
      <w:textAlignment w:val="auto"/>
    </w:pPr>
    <w:rPr>
      <w:rFonts w:ascii="黑体" w:eastAsia="黑体" w:hAnsi="宋体"/>
    </w:rPr>
  </w:style>
  <w:style w:type="paragraph" w:customStyle="1" w:styleId="xl120">
    <w:name w:val="xl120"/>
    <w:basedOn w:val="af3"/>
    <w:semiHidden/>
    <w:rsid w:val="009964C3"/>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582">
    <w:name w:val="表标5.8"/>
    <w:next w:val="afffffffff2"/>
    <w:rsid w:val="009964C3"/>
    <w:pPr>
      <w:tabs>
        <w:tab w:val="left" w:pos="720"/>
        <w:tab w:val="left" w:pos="8207"/>
      </w:tabs>
      <w:adjustRightInd w:val="0"/>
      <w:snapToGrid w:val="0"/>
      <w:spacing w:before="240" w:line="0" w:lineRule="atLeast"/>
      <w:ind w:left="-4" w:firstLine="4"/>
      <w:jc w:val="center"/>
      <w:textAlignment w:val="baseline"/>
    </w:pPr>
    <w:rPr>
      <w:rFonts w:eastAsia="黑体"/>
      <w:b/>
      <w:color w:val="000000"/>
      <w:kern w:val="2"/>
      <w:sz w:val="24"/>
      <w:szCs w:val="24"/>
    </w:rPr>
  </w:style>
  <w:style w:type="paragraph" w:customStyle="1" w:styleId="1fff5">
    <w:name w:val="1"/>
    <w:basedOn w:val="af3"/>
    <w:next w:val="af3"/>
    <w:semiHidden/>
    <w:rsid w:val="009964C3"/>
    <w:rPr>
      <w:rFonts w:ascii="宋体" w:hAnsi="Courier New"/>
      <w:sz w:val="24"/>
      <w:szCs w:val="20"/>
    </w:rPr>
  </w:style>
  <w:style w:type="paragraph" w:customStyle="1" w:styleId="442">
    <w:name w:val="页眉中44"/>
    <w:basedOn w:val="4a"/>
    <w:rsid w:val="009964C3"/>
    <w:pPr>
      <w:snapToGrid w:val="0"/>
      <w:spacing w:line="300" w:lineRule="auto"/>
      <w:textAlignment w:val="auto"/>
    </w:pPr>
    <w:rPr>
      <w:rFonts w:ascii="黑体" w:eastAsia="黑体" w:hAnsi="宋体" w:cs="宋体"/>
      <w:szCs w:val="24"/>
    </w:rPr>
  </w:style>
  <w:style w:type="paragraph" w:customStyle="1" w:styleId="158">
    <w:name w:val="样式 行距: 1.5 倍行距"/>
    <w:basedOn w:val="af3"/>
    <w:rsid w:val="009964C3"/>
    <w:pPr>
      <w:spacing w:line="360" w:lineRule="auto"/>
      <w:ind w:firstLineChars="200" w:firstLine="420"/>
    </w:pPr>
    <w:rPr>
      <w:sz w:val="24"/>
    </w:rPr>
  </w:style>
  <w:style w:type="paragraph" w:customStyle="1" w:styleId="108">
    <w:name w:val="样式 左侧:  1 厘米 首行缩进:  0 厘米"/>
    <w:basedOn w:val="af3"/>
    <w:rsid w:val="009964C3"/>
    <w:pPr>
      <w:adjustRightInd w:val="0"/>
      <w:textAlignment w:val="baseline"/>
    </w:pPr>
    <w:rPr>
      <w:rFonts w:cs="宋体"/>
      <w:kern w:val="0"/>
      <w:sz w:val="28"/>
      <w:szCs w:val="20"/>
    </w:rPr>
  </w:style>
  <w:style w:type="paragraph" w:customStyle="1" w:styleId="423">
    <w:name w:val="正文文字4号缩进2"/>
    <w:basedOn w:val="2fa"/>
    <w:rsid w:val="009964C3"/>
    <w:pPr>
      <w:widowControl/>
      <w:snapToGrid w:val="0"/>
      <w:spacing w:after="0" w:line="460" w:lineRule="atLeast"/>
      <w:ind w:leftChars="0" w:left="0" w:firstLineChars="192" w:firstLine="601"/>
      <w:jc w:val="left"/>
    </w:pPr>
    <w:rPr>
      <w:rFonts w:ascii="Arial" w:hAnsi="Arial"/>
      <w:b/>
      <w:kern w:val="0"/>
      <w:sz w:val="28"/>
      <w:szCs w:val="20"/>
    </w:rPr>
  </w:style>
  <w:style w:type="paragraph" w:customStyle="1" w:styleId="affffffffffffffffff1">
    <w:name w:val="注解"/>
    <w:basedOn w:val="af3"/>
    <w:semiHidden/>
    <w:rsid w:val="009964C3"/>
    <w:pPr>
      <w:adjustRightInd w:val="0"/>
      <w:snapToGrid w:val="0"/>
      <w:ind w:left="624" w:right="170" w:hanging="454"/>
    </w:pPr>
    <w:rPr>
      <w:rFonts w:ascii="宋体" w:hAnsi="宋体"/>
      <w:color w:val="000000"/>
      <w:sz w:val="15"/>
      <w:szCs w:val="20"/>
    </w:rPr>
  </w:style>
  <w:style w:type="paragraph" w:customStyle="1" w:styleId="2fc">
    <w:name w:val="正文2"/>
    <w:link w:val="2Charf9"/>
    <w:rsid w:val="009964C3"/>
    <w:pPr>
      <w:widowControl w:val="0"/>
      <w:suppressAutoHyphens/>
      <w:spacing w:line="520" w:lineRule="atLeast"/>
      <w:ind w:firstLine="200"/>
      <w:jc w:val="both"/>
    </w:pPr>
    <w:rPr>
      <w:spacing w:val="18"/>
      <w:sz w:val="32"/>
    </w:rPr>
  </w:style>
  <w:style w:type="paragraph" w:customStyle="1" w:styleId="Address1">
    <w:name w:val="Address 1"/>
    <w:basedOn w:val="af3"/>
    <w:rsid w:val="009964C3"/>
    <w:pPr>
      <w:framePr w:w="2400" w:wrap="notBeside" w:vAnchor="page" w:hAnchor="page" w:x="8065" w:y="1009" w:anchorLock="1"/>
      <w:widowControl/>
      <w:spacing w:line="200" w:lineRule="atLeast"/>
      <w:jc w:val="left"/>
    </w:pPr>
    <w:rPr>
      <w:kern w:val="0"/>
      <w:sz w:val="16"/>
      <w:szCs w:val="20"/>
    </w:rPr>
  </w:style>
  <w:style w:type="paragraph" w:customStyle="1" w:styleId="CharCharCharCharCharCharCharCharCharCharCharCharCharCharCharChar1">
    <w:name w:val="Char Char Char Char Char Char Char Char Char Char Char Char Char Char Char Char1"/>
    <w:basedOn w:val="af3"/>
    <w:semiHidden/>
    <w:rsid w:val="009964C3"/>
    <w:rPr>
      <w:szCs w:val="20"/>
    </w:rPr>
  </w:style>
  <w:style w:type="paragraph" w:customStyle="1" w:styleId="Char62">
    <w:name w:val="Char62"/>
    <w:basedOn w:val="af3"/>
    <w:rsid w:val="009964C3"/>
    <w:pPr>
      <w:ind w:left="-48"/>
    </w:pPr>
  </w:style>
  <w:style w:type="paragraph" w:customStyle="1" w:styleId="ListingStart">
    <w:name w:val="ListingStart"/>
    <w:basedOn w:val="af3"/>
    <w:rsid w:val="009964C3"/>
    <w:pPr>
      <w:widowControl/>
      <w:tabs>
        <w:tab w:val="left" w:pos="-2608"/>
        <w:tab w:val="right" w:pos="-227"/>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s>
      <w:overflowPunct w:val="0"/>
      <w:autoSpaceDE w:val="0"/>
      <w:autoSpaceDN w:val="0"/>
      <w:adjustRightInd w:val="0"/>
      <w:spacing w:after="120" w:line="277" w:lineRule="exact"/>
      <w:jc w:val="left"/>
    </w:pPr>
    <w:rPr>
      <w:b/>
      <w:kern w:val="0"/>
      <w:sz w:val="24"/>
      <w:szCs w:val="20"/>
      <w:lang w:val="en-GB" w:eastAsia="ja-JP"/>
    </w:rPr>
  </w:style>
  <w:style w:type="paragraph" w:customStyle="1" w:styleId="253">
    <w:name w:val="表内文字小25"/>
    <w:basedOn w:val="af3"/>
    <w:rsid w:val="009964C3"/>
    <w:pPr>
      <w:adjustRightInd w:val="0"/>
      <w:snapToGrid w:val="0"/>
      <w:jc w:val="center"/>
    </w:pPr>
    <w:rPr>
      <w:rFonts w:ascii="宋体" w:hAnsi="Times"/>
      <w:bCs/>
      <w:color w:val="003366"/>
      <w:szCs w:val="20"/>
    </w:rPr>
  </w:style>
  <w:style w:type="paragraph" w:customStyle="1" w:styleId="affffffffffffffffff2">
    <w:name w:val="样式 列表 + 五号"/>
    <w:basedOn w:val="afffffd"/>
    <w:semiHidden/>
    <w:rsid w:val="009964C3"/>
    <w:pPr>
      <w:keepNext/>
      <w:ind w:left="0" w:firstLineChars="0" w:firstLine="0"/>
      <w:jc w:val="center"/>
    </w:pPr>
    <w:rPr>
      <w:kern w:val="20"/>
      <w:sz w:val="21"/>
      <w:szCs w:val="24"/>
    </w:rPr>
  </w:style>
  <w:style w:type="paragraph" w:customStyle="1" w:styleId="cucd-1">
    <w:name w:val="cucd-1"/>
    <w:next w:val="cucd-2"/>
    <w:rsid w:val="009964C3"/>
    <w:pPr>
      <w:pageBreakBefore/>
      <w:numPr>
        <w:numId w:val="36"/>
      </w:numPr>
      <w:tabs>
        <w:tab w:val="left" w:pos="425"/>
      </w:tabs>
      <w:spacing w:beforeLines="100" w:afterLines="50" w:line="360" w:lineRule="auto"/>
      <w:jc w:val="center"/>
      <w:outlineLvl w:val="0"/>
    </w:pPr>
    <w:rPr>
      <w:rFonts w:ascii="宋体" w:hAnsi="宋体"/>
      <w:b/>
      <w:kern w:val="2"/>
      <w:sz w:val="36"/>
      <w:szCs w:val="24"/>
    </w:rPr>
  </w:style>
  <w:style w:type="paragraph" w:customStyle="1" w:styleId="cucd-2">
    <w:name w:val="cucd-2"/>
    <w:next w:val="cucd-3"/>
    <w:link w:val="cucd-2Char"/>
    <w:rsid w:val="009964C3"/>
    <w:pPr>
      <w:spacing w:beforeLines="50" w:afterLines="50" w:line="360" w:lineRule="auto"/>
      <w:ind w:left="57"/>
      <w:outlineLvl w:val="1"/>
    </w:pPr>
    <w:rPr>
      <w:kern w:val="2"/>
      <w:sz w:val="24"/>
      <w:szCs w:val="24"/>
    </w:rPr>
  </w:style>
  <w:style w:type="paragraph" w:customStyle="1" w:styleId="cucd-3">
    <w:name w:val="cucd-3"/>
    <w:next w:val="af3"/>
    <w:link w:val="cucd-3Char"/>
    <w:rsid w:val="009964C3"/>
    <w:pPr>
      <w:spacing w:line="360" w:lineRule="auto"/>
      <w:ind w:left="170" w:hanging="113"/>
      <w:outlineLvl w:val="2"/>
    </w:pPr>
    <w:rPr>
      <w:rFonts w:hAnsi="宋体"/>
      <w:kern w:val="2"/>
      <w:sz w:val="24"/>
      <w:szCs w:val="24"/>
    </w:rPr>
  </w:style>
  <w:style w:type="paragraph" w:customStyle="1" w:styleId="Char320">
    <w:name w:val="Char32"/>
    <w:basedOn w:val="af3"/>
    <w:rsid w:val="009964C3"/>
    <w:pPr>
      <w:ind w:left="-48"/>
    </w:pPr>
  </w:style>
  <w:style w:type="paragraph" w:customStyle="1" w:styleId="44">
    <w:name w:val="样式4"/>
    <w:basedOn w:val="13"/>
    <w:link w:val="4Char1"/>
    <w:rsid w:val="009964C3"/>
    <w:pPr>
      <w:spacing w:before="120" w:after="300" w:line="240" w:lineRule="auto"/>
    </w:pPr>
    <w:rPr>
      <w:sz w:val="32"/>
    </w:rPr>
  </w:style>
  <w:style w:type="paragraph" w:customStyle="1" w:styleId="22111122ndlevelh22Header2Heading2Hi1">
    <w:name w:val="样式 标题 2标题2节标题 1.11.1标题 22nd levelh22Header 2Heading 2 Hi...1"/>
    <w:basedOn w:val="22"/>
    <w:semiHidden/>
    <w:rsid w:val="009964C3"/>
    <w:pPr>
      <w:keepNext w:val="0"/>
      <w:keepLines w:val="0"/>
      <w:tabs>
        <w:tab w:val="left" w:pos="959"/>
      </w:tabs>
      <w:adjustRightInd w:val="0"/>
      <w:snapToGrid w:val="0"/>
      <w:spacing w:before="120" w:after="0" w:line="360" w:lineRule="auto"/>
      <w:ind w:left="576"/>
    </w:pPr>
    <w:rPr>
      <w:rFonts w:ascii="Times New Roman" w:hAnsi="Times New Roman"/>
      <w:b w:val="0"/>
      <w:sz w:val="24"/>
    </w:rPr>
  </w:style>
  <w:style w:type="paragraph" w:customStyle="1" w:styleId="affffffffffffffffff3">
    <w:name w:val="标准"/>
    <w:basedOn w:val="affffff"/>
    <w:rsid w:val="009964C3"/>
    <w:pPr>
      <w:adjustRightInd w:val="0"/>
      <w:snapToGrid/>
      <w:spacing w:line="240" w:lineRule="atLeast"/>
      <w:textAlignment w:val="baseline"/>
    </w:pPr>
    <w:rPr>
      <w:spacing w:val="16"/>
      <w:kern w:val="0"/>
      <w:sz w:val="21"/>
      <w:szCs w:val="20"/>
    </w:rPr>
  </w:style>
  <w:style w:type="paragraph" w:customStyle="1" w:styleId="141">
    <w:name w:val="等核实14"/>
    <w:basedOn w:val="afffffff4"/>
    <w:rsid w:val="009964C3"/>
    <w:pPr>
      <w:ind w:firstLine="567"/>
    </w:pPr>
    <w:rPr>
      <w:rFonts w:cs="Times New Roman"/>
      <w:color w:val="0000FF"/>
      <w:szCs w:val="20"/>
    </w:rPr>
  </w:style>
  <w:style w:type="paragraph" w:customStyle="1" w:styleId="1fff6">
    <w:name w:val="正文缩进1"/>
    <w:basedOn w:val="af3"/>
    <w:rsid w:val="009964C3"/>
    <w:pPr>
      <w:adjustRightInd w:val="0"/>
      <w:spacing w:line="480" w:lineRule="exact"/>
    </w:pPr>
    <w:rPr>
      <w:rFonts w:hint="eastAsia"/>
      <w:kern w:val="28"/>
      <w:sz w:val="24"/>
      <w:szCs w:val="20"/>
    </w:rPr>
  </w:style>
  <w:style w:type="paragraph" w:customStyle="1" w:styleId="affffffffffffffffff4">
    <w:name w:val="表格统一样式"/>
    <w:basedOn w:val="affffffffffffffffff5"/>
    <w:semiHidden/>
    <w:locked/>
    <w:rsid w:val="009964C3"/>
  </w:style>
  <w:style w:type="paragraph" w:customStyle="1" w:styleId="affffffffffffffffff5">
    <w:name w:val="表格文字统一样式"/>
    <w:basedOn w:val="af3"/>
    <w:semiHidden/>
    <w:locked/>
    <w:rsid w:val="009964C3"/>
    <w:pPr>
      <w:spacing w:line="360" w:lineRule="exact"/>
      <w:jc w:val="center"/>
    </w:pPr>
    <w:rPr>
      <w:rFonts w:ascii="Arial Unicode MS" w:hAnsi="Arial Unicode MS"/>
      <w:b/>
    </w:rPr>
  </w:style>
  <w:style w:type="paragraph" w:customStyle="1" w:styleId="453">
    <w:name w:val="页眉中45"/>
    <w:basedOn w:val="4a"/>
    <w:rsid w:val="009964C3"/>
    <w:pPr>
      <w:snapToGrid w:val="0"/>
      <w:spacing w:line="300" w:lineRule="auto"/>
      <w:textAlignment w:val="auto"/>
    </w:pPr>
    <w:rPr>
      <w:rFonts w:ascii="宋体" w:hAnsi="宋体" w:cs="宋体"/>
      <w:szCs w:val="24"/>
    </w:rPr>
  </w:style>
  <w:style w:type="paragraph" w:customStyle="1" w:styleId="98">
    <w:name w:val="燕山正文9"/>
    <w:basedOn w:val="af3"/>
    <w:rsid w:val="009964C3"/>
    <w:pPr>
      <w:tabs>
        <w:tab w:val="left" w:pos="4680"/>
      </w:tabs>
      <w:adjustRightInd w:val="0"/>
      <w:snapToGrid w:val="0"/>
      <w:spacing w:line="360" w:lineRule="auto"/>
      <w:ind w:firstLineChars="200" w:firstLine="560"/>
    </w:pPr>
    <w:rPr>
      <w:rFonts w:ascii="宋体" w:hAnsi="宋体"/>
      <w:color w:val="000000"/>
      <w:sz w:val="28"/>
      <w:szCs w:val="28"/>
    </w:rPr>
  </w:style>
  <w:style w:type="paragraph" w:customStyle="1" w:styleId="G1">
    <w:name w:val="表文(G)"/>
    <w:basedOn w:val="af3"/>
    <w:link w:val="GChar3"/>
    <w:semiHidden/>
    <w:rsid w:val="009964C3"/>
    <w:pPr>
      <w:tabs>
        <w:tab w:val="left" w:pos="1021"/>
      </w:tabs>
      <w:jc w:val="center"/>
    </w:pPr>
    <w:rPr>
      <w:rFonts w:hAnsi="宋体"/>
      <w:kern w:val="0"/>
      <w:position w:val="-24"/>
      <w:szCs w:val="21"/>
    </w:rPr>
  </w:style>
  <w:style w:type="paragraph" w:customStyle="1" w:styleId="xl135">
    <w:name w:val="xl135"/>
    <w:basedOn w:val="af3"/>
    <w:semiHidden/>
    <w:rsid w:val="009964C3"/>
    <w:pPr>
      <w:widowControl/>
      <w:pBdr>
        <w:left w:val="single" w:sz="4" w:space="0" w:color="auto"/>
        <w:right w:val="single" w:sz="12" w:space="0" w:color="auto"/>
      </w:pBdr>
      <w:spacing w:before="100" w:beforeAutospacing="1" w:after="100" w:afterAutospacing="1"/>
      <w:jc w:val="center"/>
      <w:textAlignment w:val="center"/>
    </w:pPr>
    <w:rPr>
      <w:rFonts w:ascii="宋体" w:hAnsi="宋体" w:cs="宋体"/>
      <w:kern w:val="0"/>
      <w:sz w:val="24"/>
    </w:rPr>
  </w:style>
  <w:style w:type="paragraph" w:customStyle="1" w:styleId="362">
    <w:name w:val="图题36"/>
    <w:basedOn w:val="af4"/>
    <w:qFormat/>
    <w:rsid w:val="009964C3"/>
    <w:pPr>
      <w:adjustRightInd w:val="0"/>
      <w:snapToGrid w:val="0"/>
      <w:ind w:firstLineChars="0" w:firstLine="0"/>
      <w:jc w:val="center"/>
    </w:pPr>
    <w:rPr>
      <w:rFonts w:ascii="方正大标宋简体" w:eastAsia="方正大标宋简体"/>
      <w:sz w:val="24"/>
      <w:szCs w:val="24"/>
    </w:rPr>
  </w:style>
  <w:style w:type="paragraph" w:customStyle="1" w:styleId="1220">
    <w:name w:val="表标12.2"/>
    <w:next w:val="af3"/>
    <w:rsid w:val="009964C3"/>
    <w:pPr>
      <w:widowControl w:val="0"/>
      <w:tabs>
        <w:tab w:val="left" w:pos="280"/>
      </w:tabs>
      <w:adjustRightInd w:val="0"/>
      <w:snapToGrid w:val="0"/>
      <w:spacing w:beforeLines="100" w:line="0" w:lineRule="atLeast"/>
      <w:jc w:val="center"/>
    </w:pPr>
    <w:rPr>
      <w:rFonts w:ascii="黑体" w:eastAsia="黑体" w:hAnsi="宋体"/>
      <w:b/>
      <w:kern w:val="2"/>
      <w:sz w:val="24"/>
      <w:szCs w:val="24"/>
    </w:rPr>
  </w:style>
  <w:style w:type="paragraph" w:customStyle="1" w:styleId="font6">
    <w:name w:val="font6"/>
    <w:basedOn w:val="af3"/>
    <w:rsid w:val="009964C3"/>
    <w:pPr>
      <w:widowControl/>
      <w:spacing w:before="100" w:beforeAutospacing="1" w:after="100" w:afterAutospacing="1"/>
      <w:jc w:val="left"/>
    </w:pPr>
    <w:rPr>
      <w:rFonts w:ascii="仿宋_GB2312" w:eastAsia="仿宋_GB2312" w:hAnsi="宋体" w:cs="宋体"/>
      <w:kern w:val="0"/>
      <w:szCs w:val="21"/>
    </w:rPr>
  </w:style>
  <w:style w:type="paragraph" w:customStyle="1" w:styleId="1180">
    <w:name w:val="页眉中118"/>
    <w:basedOn w:val="4a"/>
    <w:rsid w:val="009964C3"/>
    <w:pPr>
      <w:snapToGrid w:val="0"/>
      <w:spacing w:line="300" w:lineRule="auto"/>
      <w:textAlignment w:val="auto"/>
    </w:pPr>
    <w:rPr>
      <w:rFonts w:ascii="宋体" w:hAnsi="宋体" w:cs="宋体"/>
    </w:rPr>
  </w:style>
  <w:style w:type="paragraph" w:customStyle="1" w:styleId="444">
    <w:name w:val="等核实44"/>
    <w:basedOn w:val="afffffff4"/>
    <w:qFormat/>
    <w:rsid w:val="009964C3"/>
    <w:pPr>
      <w:spacing w:line="300" w:lineRule="auto"/>
      <w:ind w:firstLine="567"/>
    </w:pPr>
    <w:rPr>
      <w:rFonts w:cs="Times New Roman"/>
      <w:color w:val="0000FF"/>
      <w:sz w:val="28"/>
      <w:szCs w:val="20"/>
    </w:rPr>
  </w:style>
  <w:style w:type="paragraph" w:customStyle="1" w:styleId="p0">
    <w:name w:val="p0"/>
    <w:basedOn w:val="af3"/>
    <w:rsid w:val="009964C3"/>
    <w:pPr>
      <w:tabs>
        <w:tab w:val="left" w:pos="720"/>
      </w:tabs>
      <w:spacing w:line="240" w:lineRule="atLeast"/>
    </w:pPr>
    <w:rPr>
      <w:kern w:val="0"/>
      <w:sz w:val="24"/>
      <w:szCs w:val="20"/>
      <w:lang w:eastAsia="en-US"/>
    </w:rPr>
  </w:style>
  <w:style w:type="paragraph" w:customStyle="1" w:styleId="Char81">
    <w:name w:val="Char81"/>
    <w:basedOn w:val="af3"/>
    <w:rsid w:val="009964C3"/>
    <w:pPr>
      <w:ind w:left="-48"/>
    </w:pPr>
  </w:style>
  <w:style w:type="paragraph" w:customStyle="1" w:styleId="5531">
    <w:name w:val="表内553"/>
    <w:basedOn w:val="5f2"/>
    <w:rsid w:val="009964C3"/>
    <w:pPr>
      <w:jc w:val="both"/>
    </w:pPr>
    <w:rPr>
      <w:color w:val="000000"/>
    </w:rPr>
  </w:style>
  <w:style w:type="paragraph" w:customStyle="1" w:styleId="affffffffffffffffff6">
    <w:name w:val="文号"/>
    <w:basedOn w:val="af3"/>
    <w:semiHidden/>
    <w:rsid w:val="009964C3"/>
    <w:pPr>
      <w:adjustRightInd w:val="0"/>
      <w:spacing w:before="120" w:line="437" w:lineRule="atLeast"/>
      <w:jc w:val="center"/>
      <w:textAlignment w:val="baseline"/>
    </w:pPr>
    <w:rPr>
      <w:rFonts w:ascii="宋体" w:hAnsi="Arial"/>
      <w:b/>
      <w:color w:val="000000"/>
      <w:spacing w:val="20"/>
      <w:kern w:val="16"/>
      <w:sz w:val="28"/>
      <w:szCs w:val="20"/>
    </w:rPr>
  </w:style>
  <w:style w:type="paragraph" w:customStyle="1" w:styleId="affffffffffffffffff7">
    <w:name w:val="文表文字居中"/>
    <w:basedOn w:val="af3"/>
    <w:qFormat/>
    <w:rsid w:val="009964C3"/>
    <w:pPr>
      <w:spacing w:line="360" w:lineRule="auto"/>
      <w:ind w:firstLineChars="200" w:firstLine="200"/>
      <w:jc w:val="center"/>
    </w:pPr>
    <w:rPr>
      <w:color w:val="000000"/>
      <w:sz w:val="24"/>
    </w:rPr>
  </w:style>
  <w:style w:type="paragraph" w:customStyle="1" w:styleId="DecimalAligned">
    <w:name w:val="Decimal Aligned"/>
    <w:basedOn w:val="af3"/>
    <w:rsid w:val="009964C3"/>
    <w:pPr>
      <w:widowControl/>
      <w:tabs>
        <w:tab w:val="decimal" w:pos="360"/>
      </w:tabs>
      <w:spacing w:after="200" w:line="276" w:lineRule="auto"/>
      <w:jc w:val="left"/>
    </w:pPr>
    <w:rPr>
      <w:kern w:val="0"/>
      <w:sz w:val="22"/>
      <w:szCs w:val="22"/>
    </w:rPr>
  </w:style>
  <w:style w:type="paragraph" w:customStyle="1" w:styleId="0150">
    <w:name w:val="样式 正文首行缩进 + (符号) 宋体 四号 段后: 0 磅 行距: 1.5 倍行距"/>
    <w:basedOn w:val="aff7"/>
    <w:rsid w:val="009964C3"/>
    <w:pPr>
      <w:overflowPunct/>
      <w:autoSpaceDE/>
      <w:autoSpaceDN/>
      <w:adjustRightInd/>
      <w:ind w:firstLineChars="200" w:firstLine="560"/>
      <w:textAlignment w:val="auto"/>
    </w:pPr>
    <w:rPr>
      <w:rFonts w:ascii="宋体" w:hAnsi="宋体" w:cs="宋体"/>
      <w:szCs w:val="20"/>
    </w:rPr>
  </w:style>
  <w:style w:type="paragraph" w:customStyle="1" w:styleId="1fff7">
    <w:name w:val="样式 标题 1 + 两端对齐"/>
    <w:basedOn w:val="13"/>
    <w:rsid w:val="009964C3"/>
    <w:pPr>
      <w:keepNext w:val="0"/>
      <w:spacing w:before="840" w:after="360" w:line="312" w:lineRule="auto"/>
      <w:jc w:val="left"/>
    </w:pPr>
    <w:rPr>
      <w:rFonts w:cs="宋体"/>
      <w:szCs w:val="36"/>
    </w:rPr>
  </w:style>
  <w:style w:type="paragraph" w:customStyle="1" w:styleId="2fff2">
    <w:name w:val="表内文字2"/>
    <w:basedOn w:val="af3"/>
    <w:rsid w:val="009964C3"/>
    <w:pPr>
      <w:widowControl/>
      <w:adjustRightInd w:val="0"/>
      <w:snapToGrid w:val="0"/>
      <w:jc w:val="center"/>
    </w:pPr>
    <w:rPr>
      <w:kern w:val="0"/>
      <w:szCs w:val="21"/>
    </w:rPr>
  </w:style>
  <w:style w:type="paragraph" w:customStyle="1" w:styleId="69">
    <w:name w:val="标题6"/>
    <w:basedOn w:val="af3"/>
    <w:next w:val="aff7"/>
    <w:rsid w:val="009964C3"/>
    <w:pPr>
      <w:keepNext/>
      <w:spacing w:line="360" w:lineRule="auto"/>
      <w:ind w:firstLine="567"/>
      <w:jc w:val="left"/>
      <w:outlineLvl w:val="5"/>
    </w:pPr>
    <w:rPr>
      <w:sz w:val="28"/>
      <w:szCs w:val="21"/>
    </w:rPr>
  </w:style>
  <w:style w:type="paragraph" w:customStyle="1" w:styleId="119">
    <w:name w:val="样式 标题 1 + 黑色1"/>
    <w:basedOn w:val="13"/>
    <w:rsid w:val="009964C3"/>
    <w:pPr>
      <w:keepNext w:val="0"/>
      <w:overflowPunct w:val="0"/>
      <w:autoSpaceDE w:val="0"/>
      <w:autoSpaceDN w:val="0"/>
      <w:adjustRightInd w:val="0"/>
      <w:spacing w:before="120" w:after="120" w:line="360" w:lineRule="auto"/>
      <w:textAlignment w:val="baseline"/>
    </w:pPr>
    <w:rPr>
      <w:rFonts w:ascii="Arial" w:hAnsi="Arial"/>
      <w:b w:val="0"/>
      <w:bCs w:val="0"/>
      <w:color w:val="000000"/>
      <w:spacing w:val="-10"/>
      <w:w w:val="105"/>
      <w:sz w:val="44"/>
    </w:rPr>
  </w:style>
  <w:style w:type="paragraph" w:customStyle="1" w:styleId="affffffffffffffffff8">
    <w:name w:val="小表"/>
    <w:basedOn w:val="af3"/>
    <w:semiHidden/>
    <w:rsid w:val="009964C3"/>
    <w:pPr>
      <w:snapToGrid w:val="0"/>
      <w:spacing w:line="260" w:lineRule="exact"/>
      <w:ind w:firstLineChars="200" w:firstLine="200"/>
    </w:pPr>
    <w:rPr>
      <w:rFonts w:cs="Arial"/>
      <w:color w:val="000000"/>
      <w:kern w:val="0"/>
      <w:sz w:val="18"/>
      <w:szCs w:val="18"/>
    </w:rPr>
  </w:style>
  <w:style w:type="paragraph" w:customStyle="1" w:styleId="affffffffffffffffff9">
    <w:name w:val="表体"/>
    <w:basedOn w:val="af3"/>
    <w:semiHidden/>
    <w:rsid w:val="009964C3"/>
    <w:pPr>
      <w:overflowPunct w:val="0"/>
      <w:adjustRightInd w:val="0"/>
      <w:spacing w:line="300" w:lineRule="atLeast"/>
      <w:jc w:val="center"/>
      <w:textAlignment w:val="baseline"/>
    </w:pPr>
    <w:rPr>
      <w:color w:val="000000"/>
      <w:kern w:val="24"/>
      <w:sz w:val="18"/>
      <w:szCs w:val="20"/>
    </w:rPr>
  </w:style>
  <w:style w:type="paragraph" w:customStyle="1" w:styleId="33003">
    <w:name w:val="样式 标题 3标题3 + (西文) 宋体 左侧:  0 厘米 首行缩进:  0 厘标题3"/>
    <w:basedOn w:val="31"/>
    <w:rsid w:val="009964C3"/>
    <w:pPr>
      <w:keepNext w:val="0"/>
      <w:keepLines w:val="0"/>
      <w:tabs>
        <w:tab w:val="left" w:pos="709"/>
      </w:tabs>
      <w:spacing w:before="120" w:after="0" w:line="360" w:lineRule="auto"/>
      <w:ind w:left="709" w:hanging="709"/>
    </w:pPr>
    <w:rPr>
      <w:rFonts w:ascii="宋体" w:eastAsia="黑体" w:hAnsi="宋体" w:cs="宋体"/>
      <w:sz w:val="24"/>
      <w:szCs w:val="20"/>
    </w:rPr>
  </w:style>
  <w:style w:type="paragraph" w:customStyle="1" w:styleId="affffffffffffffffffa">
    <w:name w:val="正文表格"/>
    <w:basedOn w:val="af3"/>
    <w:rsid w:val="009964C3"/>
    <w:pPr>
      <w:keepNext/>
      <w:keepLines/>
      <w:overflowPunct w:val="0"/>
      <w:adjustRightInd w:val="0"/>
      <w:spacing w:before="80"/>
      <w:jc w:val="center"/>
      <w:textAlignment w:val="bottom"/>
    </w:pPr>
    <w:rPr>
      <w:kern w:val="0"/>
      <w:sz w:val="28"/>
      <w:szCs w:val="20"/>
    </w:rPr>
  </w:style>
  <w:style w:type="paragraph" w:customStyle="1" w:styleId="biao2">
    <w:name w:val="biao2"/>
    <w:basedOn w:val="af3"/>
    <w:semiHidden/>
    <w:rsid w:val="009964C3"/>
    <w:pPr>
      <w:widowControl/>
      <w:spacing w:before="100" w:beforeAutospacing="1" w:after="100" w:afterAutospacing="1"/>
      <w:jc w:val="left"/>
    </w:pPr>
    <w:rPr>
      <w:rFonts w:ascii="宋体" w:hAnsi="宋体" w:cs="宋体"/>
      <w:kern w:val="0"/>
      <w:sz w:val="24"/>
    </w:rPr>
  </w:style>
  <w:style w:type="paragraph" w:customStyle="1" w:styleId="5310">
    <w:name w:val="表内531"/>
    <w:basedOn w:val="af3"/>
    <w:rsid w:val="009964C3"/>
    <w:pPr>
      <w:adjustRightInd w:val="0"/>
      <w:snapToGrid w:val="0"/>
      <w:spacing w:line="300" w:lineRule="auto"/>
      <w:jc w:val="left"/>
    </w:pPr>
    <w:rPr>
      <w:rFonts w:ascii="宋体"/>
      <w:szCs w:val="20"/>
    </w:rPr>
  </w:style>
  <w:style w:type="paragraph" w:customStyle="1" w:styleId="445">
    <w:name w:val="标题445"/>
    <w:basedOn w:val="af3"/>
    <w:rsid w:val="009964C3"/>
    <w:pPr>
      <w:adjustRightInd w:val="0"/>
      <w:snapToGrid w:val="0"/>
      <w:spacing w:line="300" w:lineRule="auto"/>
      <w:jc w:val="left"/>
    </w:pPr>
    <w:rPr>
      <w:rFonts w:ascii="黑体" w:eastAsia="黑体"/>
      <w:bCs/>
      <w:color w:val="000000"/>
      <w:sz w:val="24"/>
    </w:rPr>
  </w:style>
  <w:style w:type="paragraph" w:customStyle="1" w:styleId="220">
    <w:name w:val="样式 样式 正文文本 + 首行缩进:  2 字符 + 宋体 首行缩进:  2 字符"/>
    <w:basedOn w:val="af3"/>
    <w:link w:val="22Char"/>
    <w:rsid w:val="009964C3"/>
    <w:pPr>
      <w:adjustRightInd w:val="0"/>
      <w:snapToGrid w:val="0"/>
      <w:spacing w:before="120" w:line="300" w:lineRule="auto"/>
      <w:ind w:firstLineChars="200" w:firstLine="480"/>
      <w:textAlignment w:val="baseline"/>
    </w:pPr>
    <w:rPr>
      <w:rFonts w:cs="宋体"/>
      <w:sz w:val="24"/>
    </w:rPr>
  </w:style>
  <w:style w:type="paragraph" w:customStyle="1" w:styleId="5360">
    <w:name w:val="表内536"/>
    <w:basedOn w:val="af3"/>
    <w:rsid w:val="009964C3"/>
    <w:pPr>
      <w:adjustRightInd w:val="0"/>
      <w:snapToGrid w:val="0"/>
      <w:spacing w:line="300" w:lineRule="auto"/>
      <w:jc w:val="left"/>
    </w:pPr>
    <w:rPr>
      <w:rFonts w:ascii="宋体"/>
      <w:szCs w:val="20"/>
    </w:rPr>
  </w:style>
  <w:style w:type="paragraph" w:customStyle="1" w:styleId="aff3">
    <w:name w:val="报告正文"/>
    <w:basedOn w:val="af3"/>
    <w:link w:val="Char1"/>
    <w:rsid w:val="009964C3"/>
    <w:pPr>
      <w:adjustRightInd w:val="0"/>
      <w:snapToGrid w:val="0"/>
      <w:spacing w:line="312" w:lineRule="auto"/>
    </w:pPr>
    <w:rPr>
      <w:color w:val="000000"/>
      <w:sz w:val="24"/>
      <w:szCs w:val="20"/>
    </w:rPr>
  </w:style>
  <w:style w:type="paragraph" w:customStyle="1" w:styleId="xl106">
    <w:name w:val="xl106"/>
    <w:basedOn w:val="af3"/>
    <w:rsid w:val="009964C3"/>
    <w:pPr>
      <w:widowControl/>
      <w:pBdr>
        <w:top w:val="single" w:sz="4" w:space="0" w:color="auto"/>
        <w:bottom w:val="single" w:sz="4" w:space="0" w:color="auto"/>
        <w:right w:val="single" w:sz="4" w:space="0" w:color="auto"/>
      </w:pBdr>
      <w:spacing w:before="100" w:after="100"/>
      <w:jc w:val="center"/>
      <w:textAlignment w:val="center"/>
    </w:pPr>
    <w:rPr>
      <w:rFonts w:ascii="宋体" w:hAnsi="宋体"/>
      <w:kern w:val="0"/>
      <w:sz w:val="20"/>
      <w:szCs w:val="20"/>
    </w:rPr>
  </w:style>
  <w:style w:type="paragraph" w:customStyle="1" w:styleId="xl100">
    <w:name w:val="xl100"/>
    <w:basedOn w:val="af3"/>
    <w:rsid w:val="009964C3"/>
    <w:pPr>
      <w:widowControl/>
      <w:pBdr>
        <w:top w:val="single" w:sz="4" w:space="0" w:color="auto"/>
        <w:bottom w:val="single" w:sz="4" w:space="0" w:color="auto"/>
        <w:right w:val="single" w:sz="4" w:space="0" w:color="auto"/>
      </w:pBdr>
      <w:spacing w:before="100" w:after="100"/>
      <w:jc w:val="center"/>
      <w:textAlignment w:val="center"/>
    </w:pPr>
    <w:rPr>
      <w:rFonts w:ascii="Arial" w:hAnsi="Arial"/>
      <w:kern w:val="0"/>
      <w:sz w:val="20"/>
      <w:szCs w:val="20"/>
    </w:rPr>
  </w:style>
  <w:style w:type="paragraph" w:customStyle="1" w:styleId="128">
    <w:name w:val="表内文字大12"/>
    <w:basedOn w:val="af3"/>
    <w:rsid w:val="009964C3"/>
    <w:pPr>
      <w:adjustRightInd w:val="0"/>
      <w:snapToGrid w:val="0"/>
      <w:jc w:val="center"/>
    </w:pPr>
    <w:rPr>
      <w:rFonts w:ascii="宋体" w:hAnsi="Times"/>
      <w:sz w:val="24"/>
      <w:szCs w:val="20"/>
    </w:rPr>
  </w:style>
  <w:style w:type="paragraph" w:customStyle="1" w:styleId="Charfffff0">
    <w:name w:val="正文（首行缩进） Char"/>
    <w:basedOn w:val="af3"/>
    <w:link w:val="CharCharff0"/>
    <w:rsid w:val="009964C3"/>
    <w:pPr>
      <w:widowControl/>
      <w:overflowPunct w:val="0"/>
      <w:topLinePunct/>
      <w:autoSpaceDE w:val="0"/>
      <w:autoSpaceDN w:val="0"/>
      <w:adjustRightInd w:val="0"/>
      <w:snapToGrid w:val="0"/>
      <w:spacing w:line="360" w:lineRule="auto"/>
      <w:ind w:firstLineChars="200" w:firstLine="480"/>
      <w:textAlignment w:val="baseline"/>
    </w:pPr>
    <w:rPr>
      <w:snapToGrid w:val="0"/>
      <w:kern w:val="0"/>
      <w:sz w:val="24"/>
    </w:rPr>
  </w:style>
  <w:style w:type="paragraph" w:customStyle="1" w:styleId="5220">
    <w:name w:val="表内522"/>
    <w:basedOn w:val="af3"/>
    <w:qFormat/>
    <w:rsid w:val="009964C3"/>
    <w:pPr>
      <w:adjustRightInd w:val="0"/>
      <w:snapToGrid w:val="0"/>
      <w:ind w:right="32"/>
      <w:jc w:val="center"/>
    </w:pPr>
    <w:rPr>
      <w:rFonts w:ascii="宋体"/>
      <w:color w:val="000000"/>
      <w:kern w:val="0"/>
      <w:szCs w:val="21"/>
    </w:rPr>
  </w:style>
  <w:style w:type="paragraph" w:customStyle="1" w:styleId="aff9">
    <w:name w:val="表格正文"/>
    <w:link w:val="Char9"/>
    <w:rsid w:val="009964C3"/>
    <w:pPr>
      <w:tabs>
        <w:tab w:val="left" w:pos="324"/>
      </w:tabs>
      <w:spacing w:before="60" w:after="60" w:line="440" w:lineRule="exact"/>
      <w:jc w:val="center"/>
    </w:pPr>
    <w:rPr>
      <w:sz w:val="21"/>
    </w:rPr>
  </w:style>
  <w:style w:type="paragraph" w:customStyle="1" w:styleId="cucd-4">
    <w:name w:val="cucd-4"/>
    <w:next w:val="cucd-0"/>
    <w:link w:val="cucd-4Char"/>
    <w:semiHidden/>
    <w:rsid w:val="009964C3"/>
    <w:pPr>
      <w:tabs>
        <w:tab w:val="left" w:pos="851"/>
      </w:tabs>
      <w:spacing w:beforeLines="50" w:line="360" w:lineRule="auto"/>
      <w:outlineLvl w:val="3"/>
    </w:pPr>
    <w:rPr>
      <w:b/>
      <w:kern w:val="2"/>
      <w:sz w:val="24"/>
      <w:szCs w:val="24"/>
      <w:lang w:val="en-AU"/>
    </w:rPr>
  </w:style>
  <w:style w:type="paragraph" w:customStyle="1" w:styleId="074">
    <w:name w:val="样式 五号 居中 首行缩进:  0.74 厘米"/>
    <w:basedOn w:val="af3"/>
    <w:rsid w:val="009964C3"/>
    <w:pPr>
      <w:spacing w:line="360" w:lineRule="auto"/>
      <w:jc w:val="center"/>
    </w:pPr>
    <w:rPr>
      <w:szCs w:val="20"/>
    </w:rPr>
  </w:style>
  <w:style w:type="paragraph" w:customStyle="1" w:styleId="xl56">
    <w:name w:val="xl56"/>
    <w:basedOn w:val="af3"/>
    <w:rsid w:val="009964C3"/>
    <w:pPr>
      <w:widowControl/>
      <w:pBdr>
        <w:left w:val="single" w:sz="4" w:space="0" w:color="auto"/>
        <w:bottom w:val="single" w:sz="4" w:space="0" w:color="auto"/>
        <w:right w:val="single" w:sz="4" w:space="0" w:color="auto"/>
      </w:pBdr>
      <w:spacing w:before="100" w:after="100"/>
      <w:jc w:val="center"/>
    </w:pPr>
    <w:rPr>
      <w:rFonts w:ascii="Arial Unicode MS" w:eastAsia="Arial Unicode MS" w:hAnsi="Arial Unicode MS"/>
      <w:color w:val="0000FF"/>
      <w:kern w:val="0"/>
      <w:sz w:val="20"/>
      <w:szCs w:val="20"/>
    </w:rPr>
  </w:style>
  <w:style w:type="paragraph" w:customStyle="1" w:styleId="159">
    <w:name w:val="表内文字15"/>
    <w:basedOn w:val="af3"/>
    <w:rsid w:val="009964C3"/>
    <w:pPr>
      <w:widowControl/>
      <w:adjustRightInd w:val="0"/>
      <w:snapToGrid w:val="0"/>
      <w:spacing w:line="420" w:lineRule="exact"/>
      <w:jc w:val="center"/>
    </w:pPr>
    <w:rPr>
      <w:rFonts w:ascii="宋体"/>
      <w:spacing w:val="10"/>
      <w:kern w:val="0"/>
      <w:sz w:val="18"/>
      <w:szCs w:val="20"/>
    </w:rPr>
  </w:style>
  <w:style w:type="paragraph" w:customStyle="1" w:styleId="454">
    <w:name w:val="表内文字小45"/>
    <w:basedOn w:val="af3"/>
    <w:qFormat/>
    <w:rsid w:val="009964C3"/>
    <w:pPr>
      <w:adjustRightInd w:val="0"/>
      <w:snapToGrid w:val="0"/>
      <w:jc w:val="center"/>
    </w:pPr>
    <w:rPr>
      <w:rFonts w:ascii="宋体" w:hAnsi="Times"/>
      <w:szCs w:val="20"/>
    </w:rPr>
  </w:style>
  <w:style w:type="paragraph" w:customStyle="1" w:styleId="10202">
    <w:name w:val="样式 表格1 + 段前: 0.2 行 段后: 0.2 行"/>
    <w:basedOn w:val="1fff8"/>
    <w:semiHidden/>
    <w:rsid w:val="009964C3"/>
    <w:pPr>
      <w:adjustRightInd/>
      <w:snapToGrid w:val="0"/>
      <w:spacing w:before="31" w:after="31" w:line="320" w:lineRule="exact"/>
      <w:ind w:firstLineChars="50" w:firstLine="50"/>
      <w:jc w:val="left"/>
      <w:textAlignment w:val="auto"/>
    </w:pPr>
    <w:rPr>
      <w:rFonts w:ascii="Arial Unicode MS" w:eastAsia="宋体" w:hAnsi="Arial Unicode MS"/>
      <w:color w:val="auto"/>
      <w:kern w:val="2"/>
      <w:sz w:val="21"/>
      <w:szCs w:val="21"/>
    </w:rPr>
  </w:style>
  <w:style w:type="paragraph" w:customStyle="1" w:styleId="1fff8">
    <w:name w:val="表格1"/>
    <w:basedOn w:val="af3"/>
    <w:rsid w:val="009964C3"/>
    <w:pPr>
      <w:adjustRightInd w:val="0"/>
      <w:spacing w:line="360" w:lineRule="auto"/>
      <w:jc w:val="center"/>
      <w:textAlignment w:val="baseline"/>
    </w:pPr>
    <w:rPr>
      <w:rFonts w:ascii="宋体" w:eastAsia="黑体" w:hAnsi="宋体"/>
      <w:color w:val="000000"/>
      <w:kern w:val="0"/>
      <w:sz w:val="24"/>
      <w:szCs w:val="28"/>
    </w:rPr>
  </w:style>
  <w:style w:type="paragraph" w:customStyle="1" w:styleId="affffffffffffffffffb">
    <w:name w:val="表格内容刷！"/>
    <w:basedOn w:val="af3"/>
    <w:semiHidden/>
    <w:rsid w:val="009964C3"/>
    <w:pPr>
      <w:jc w:val="center"/>
    </w:pPr>
    <w:rPr>
      <w:rFonts w:eastAsia="仿宋_GB2312"/>
      <w:kern w:val="0"/>
      <w:szCs w:val="21"/>
    </w:rPr>
  </w:style>
  <w:style w:type="paragraph" w:customStyle="1" w:styleId="2fff3">
    <w:name w:val="图号2"/>
    <w:basedOn w:val="af3"/>
    <w:qFormat/>
    <w:rsid w:val="009964C3"/>
    <w:pPr>
      <w:jc w:val="center"/>
    </w:pPr>
    <w:rPr>
      <w:rFonts w:ascii="黑体" w:eastAsia="黑体"/>
      <w:sz w:val="24"/>
    </w:rPr>
  </w:style>
  <w:style w:type="paragraph" w:customStyle="1" w:styleId="810">
    <w:name w:val="表头8.1"/>
    <w:basedOn w:val="af3"/>
    <w:rsid w:val="009964C3"/>
    <w:pPr>
      <w:tabs>
        <w:tab w:val="left" w:pos="480"/>
        <w:tab w:val="left" w:pos="1920"/>
      </w:tabs>
      <w:adjustRightInd w:val="0"/>
      <w:snapToGrid w:val="0"/>
      <w:spacing w:beforeLines="100" w:line="0" w:lineRule="atLeast"/>
      <w:jc w:val="center"/>
    </w:pPr>
    <w:rPr>
      <w:rFonts w:eastAsia="黑体"/>
      <w:b/>
      <w:sz w:val="24"/>
    </w:rPr>
  </w:style>
  <w:style w:type="paragraph" w:customStyle="1" w:styleId="Char150">
    <w:name w:val="Char15"/>
    <w:basedOn w:val="af3"/>
    <w:rsid w:val="009964C3"/>
    <w:pPr>
      <w:adjustRightInd w:val="0"/>
      <w:snapToGrid w:val="0"/>
      <w:spacing w:line="360" w:lineRule="auto"/>
      <w:ind w:firstLineChars="200" w:firstLine="200"/>
    </w:pPr>
    <w:rPr>
      <w:rFonts w:ascii="黑体" w:eastAsia="黑体"/>
      <w:sz w:val="24"/>
    </w:rPr>
  </w:style>
  <w:style w:type="paragraph" w:customStyle="1" w:styleId="72">
    <w:name w:val="表标题7.2"/>
    <w:basedOn w:val="83"/>
    <w:rsid w:val="009964C3"/>
    <w:pPr>
      <w:numPr>
        <w:numId w:val="37"/>
      </w:numPr>
      <w:tabs>
        <w:tab w:val="left" w:pos="726"/>
      </w:tabs>
      <w:ind w:left="0" w:firstLine="0"/>
    </w:pPr>
    <w:rPr>
      <w:szCs w:val="24"/>
    </w:rPr>
  </w:style>
  <w:style w:type="paragraph" w:customStyle="1" w:styleId="affffffffffffffffffc">
    <w:name w:val="空格"/>
    <w:basedOn w:val="af3"/>
    <w:next w:val="af3"/>
    <w:semiHidden/>
    <w:rsid w:val="009964C3"/>
    <w:pPr>
      <w:snapToGrid w:val="0"/>
      <w:spacing w:line="240" w:lineRule="exact"/>
    </w:pPr>
    <w:rPr>
      <w:rFonts w:cs="Arial"/>
      <w:color w:val="000000"/>
      <w:kern w:val="0"/>
      <w:sz w:val="24"/>
    </w:rPr>
  </w:style>
  <w:style w:type="paragraph" w:customStyle="1" w:styleId="4341">
    <w:name w:val="表内小434"/>
    <w:basedOn w:val="affffffffff"/>
    <w:rsid w:val="009964C3"/>
    <w:pPr>
      <w:ind w:left="240" w:hanging="240"/>
      <w:jc w:val="both"/>
    </w:pPr>
    <w:rPr>
      <w:rFonts w:cs="Times New Roman"/>
    </w:rPr>
  </w:style>
  <w:style w:type="paragraph" w:customStyle="1" w:styleId="59">
    <w:name w:val="表标题5.9"/>
    <w:basedOn w:val="af3"/>
    <w:rsid w:val="009964C3"/>
    <w:pPr>
      <w:numPr>
        <w:numId w:val="38"/>
      </w:numPr>
      <w:tabs>
        <w:tab w:val="left" w:pos="1653"/>
      </w:tabs>
      <w:spacing w:beforeLines="100" w:line="0" w:lineRule="atLeast"/>
    </w:pPr>
    <w:rPr>
      <w:rFonts w:eastAsia="黑体"/>
      <w:b/>
      <w:sz w:val="24"/>
    </w:rPr>
  </w:style>
  <w:style w:type="paragraph" w:customStyle="1" w:styleId="271">
    <w:name w:val="页眉中27"/>
    <w:basedOn w:val="af3"/>
    <w:rsid w:val="009964C3"/>
    <w:pPr>
      <w:adjustRightInd w:val="0"/>
      <w:snapToGrid w:val="0"/>
      <w:jc w:val="center"/>
    </w:pPr>
    <w:rPr>
      <w:rFonts w:ascii="黑体" w:eastAsia="黑体"/>
      <w:bCs/>
      <w:szCs w:val="20"/>
    </w:rPr>
  </w:style>
  <w:style w:type="paragraph" w:customStyle="1" w:styleId="CharChar2">
    <w:name w:val="款 Char Char"/>
    <w:basedOn w:val="af3"/>
    <w:link w:val="CharCharChar1"/>
    <w:semiHidden/>
    <w:rsid w:val="009964C3"/>
    <w:pPr>
      <w:adjustRightInd w:val="0"/>
      <w:spacing w:line="360" w:lineRule="auto"/>
      <w:ind w:firstLineChars="200" w:firstLine="560"/>
      <w:textAlignment w:val="baseline"/>
    </w:pPr>
    <w:rPr>
      <w:rFonts w:ascii="宋体" w:hAnsi="宋体"/>
      <w:bCs/>
      <w:kern w:val="0"/>
      <w:sz w:val="28"/>
      <w:szCs w:val="28"/>
    </w:rPr>
  </w:style>
  <w:style w:type="paragraph" w:customStyle="1" w:styleId="2CharCharCharChar0">
    <w:name w:val="样式 首行缩进:  2 字符 Char Char Char Char"/>
    <w:basedOn w:val="af3"/>
    <w:link w:val="2CharCharCharCharChar"/>
    <w:rsid w:val="009964C3"/>
    <w:pPr>
      <w:spacing w:line="480" w:lineRule="exact"/>
      <w:ind w:firstLineChars="200" w:firstLine="480"/>
    </w:pPr>
    <w:rPr>
      <w:rFonts w:ascii="Arial" w:hAnsi="Arial"/>
      <w:sz w:val="24"/>
      <w:szCs w:val="20"/>
    </w:rPr>
  </w:style>
  <w:style w:type="paragraph" w:customStyle="1" w:styleId="affffffffffffffffffd">
    <w:name w:val="评价单位"/>
    <w:basedOn w:val="af3"/>
    <w:rsid w:val="009964C3"/>
    <w:pPr>
      <w:spacing w:line="600" w:lineRule="exact"/>
      <w:jc w:val="center"/>
    </w:pPr>
    <w:rPr>
      <w:rFonts w:ascii="宋体" w:eastAsia="黑体" w:hAnsi="宋体"/>
      <w:spacing w:val="34"/>
      <w:sz w:val="28"/>
    </w:rPr>
  </w:style>
  <w:style w:type="paragraph" w:customStyle="1" w:styleId="254">
    <w:name w:val="等核实25"/>
    <w:basedOn w:val="afffffff4"/>
    <w:rsid w:val="009964C3"/>
  </w:style>
  <w:style w:type="paragraph" w:customStyle="1" w:styleId="218">
    <w:name w:val="福建正文缩进21"/>
    <w:basedOn w:val="af3"/>
    <w:rsid w:val="009964C3"/>
    <w:pPr>
      <w:tabs>
        <w:tab w:val="left" w:pos="4305"/>
      </w:tabs>
      <w:adjustRightInd w:val="0"/>
      <w:snapToGrid w:val="0"/>
      <w:spacing w:line="360" w:lineRule="auto"/>
      <w:ind w:firstLine="567"/>
    </w:pPr>
    <w:rPr>
      <w:rFonts w:ascii="宋体" w:hAnsi="宋体"/>
      <w:color w:val="000000"/>
      <w:sz w:val="24"/>
    </w:rPr>
  </w:style>
  <w:style w:type="paragraph" w:customStyle="1" w:styleId="370">
    <w:name w:val="页眉中37"/>
    <w:basedOn w:val="4a"/>
    <w:rsid w:val="009964C3"/>
    <w:pPr>
      <w:snapToGrid w:val="0"/>
      <w:spacing w:line="300" w:lineRule="auto"/>
      <w:textAlignment w:val="auto"/>
    </w:pPr>
    <w:rPr>
      <w:rFonts w:ascii="宋体" w:hAnsi="宋体"/>
    </w:rPr>
  </w:style>
  <w:style w:type="paragraph" w:customStyle="1" w:styleId="558">
    <w:name w:val="表内55"/>
    <w:basedOn w:val="5f2"/>
    <w:rsid w:val="009964C3"/>
    <w:pPr>
      <w:jc w:val="both"/>
    </w:pPr>
    <w:rPr>
      <w:color w:val="000000"/>
    </w:rPr>
  </w:style>
  <w:style w:type="paragraph" w:customStyle="1" w:styleId="1660">
    <w:name w:val="表标16.6"/>
    <w:next w:val="afffffffff2"/>
    <w:rsid w:val="009964C3"/>
    <w:pPr>
      <w:tabs>
        <w:tab w:val="left" w:pos="1560"/>
        <w:tab w:val="left" w:pos="2160"/>
      </w:tabs>
      <w:adjustRightInd w:val="0"/>
      <w:snapToGrid w:val="0"/>
      <w:spacing w:line="0" w:lineRule="atLeast"/>
      <w:jc w:val="center"/>
      <w:textAlignment w:val="baseline"/>
    </w:pPr>
    <w:rPr>
      <w:rFonts w:eastAsia="黑体"/>
      <w:b/>
      <w:color w:val="000000"/>
      <w:kern w:val="2"/>
      <w:sz w:val="24"/>
      <w:szCs w:val="24"/>
    </w:rPr>
  </w:style>
  <w:style w:type="paragraph" w:customStyle="1" w:styleId="affffffffffffffffffe">
    <w:name w:val="样式 表头文字 + 两端对齐"/>
    <w:basedOn w:val="51"/>
    <w:semiHidden/>
    <w:rsid w:val="009964C3"/>
    <w:pPr>
      <w:keepNext/>
      <w:adjustRightInd w:val="0"/>
      <w:snapToGrid w:val="0"/>
      <w:spacing w:line="360" w:lineRule="auto"/>
      <w:jc w:val="both"/>
      <w:outlineLvl w:val="9"/>
    </w:pPr>
    <w:rPr>
      <w:rFonts w:hAnsi="Times New Roman" w:cs="宋体"/>
      <w:color w:val="auto"/>
      <w:spacing w:val="0"/>
      <w:kern w:val="0"/>
      <w:position w:val="0"/>
      <w:sz w:val="24"/>
      <w:szCs w:val="28"/>
    </w:rPr>
  </w:style>
  <w:style w:type="paragraph" w:customStyle="1" w:styleId="272">
    <w:name w:val="表题27"/>
    <w:basedOn w:val="afffffff4"/>
    <w:rsid w:val="009964C3"/>
    <w:pPr>
      <w:spacing w:line="240" w:lineRule="auto"/>
      <w:ind w:firstLine="0"/>
      <w:jc w:val="center"/>
    </w:pPr>
    <w:rPr>
      <w:rFonts w:ascii="黑体" w:eastAsia="黑体" w:cs="Times New Roman"/>
      <w:color w:val="auto"/>
      <w:szCs w:val="20"/>
    </w:rPr>
  </w:style>
  <w:style w:type="paragraph" w:customStyle="1" w:styleId="afffffffffffffffffff">
    <w:name w:val="公司名"/>
    <w:basedOn w:val="afffffffffffffffffff0"/>
    <w:rsid w:val="009964C3"/>
    <w:pPr>
      <w:framePr w:w="3552" w:hSpace="0" w:wrap="notBeside" w:x="7501" w:y="1009"/>
      <w:pBdr>
        <w:top w:val="single" w:sz="6" w:space="9" w:color="auto"/>
        <w:left w:val="single" w:sz="6" w:space="9" w:color="auto"/>
        <w:bottom w:val="single" w:sz="6" w:space="9" w:color="auto"/>
        <w:right w:val="single" w:sz="6" w:space="9" w:color="auto"/>
      </w:pBdr>
      <w:shd w:val="solid" w:color="auto" w:fill="auto"/>
      <w:spacing w:line="320" w:lineRule="exact"/>
    </w:pPr>
    <w:rPr>
      <w:rFonts w:ascii="Arial Black" w:eastAsia="黑体" w:hAnsi="Arial Black" w:cs="Times New Roman"/>
      <w:spacing w:val="0"/>
      <w:position w:val="-2"/>
      <w:sz w:val="32"/>
      <w:szCs w:val="32"/>
    </w:rPr>
  </w:style>
  <w:style w:type="paragraph" w:customStyle="1" w:styleId="Char1CharCharCharCharCharCharCharCharCharCharCharChar1">
    <w:name w:val="Char1 Char Char Char Char Char Char Char Char Char Char Char Char1"/>
    <w:basedOn w:val="af3"/>
    <w:rsid w:val="009964C3"/>
    <w:rPr>
      <w:szCs w:val="20"/>
    </w:rPr>
  </w:style>
  <w:style w:type="paragraph" w:customStyle="1" w:styleId="afffffffffffffffffff0">
    <w:name w:val="回信地址"/>
    <w:basedOn w:val="af3"/>
    <w:rsid w:val="009964C3"/>
    <w:pPr>
      <w:keepLines/>
      <w:framePr w:w="3073" w:h="450" w:hRule="exact" w:hSpace="180" w:wrap="notBeside" w:vAnchor="page" w:hAnchor="page" w:x="1801" w:y="961" w:anchorLock="1"/>
      <w:widowControl/>
      <w:tabs>
        <w:tab w:val="left" w:pos="2640"/>
      </w:tabs>
      <w:spacing w:line="200" w:lineRule="atLeast"/>
      <w:jc w:val="left"/>
    </w:pPr>
    <w:rPr>
      <w:rFonts w:ascii="Arial" w:hAnsi="Arial" w:cs="Arial"/>
      <w:spacing w:val="-2"/>
      <w:kern w:val="0"/>
      <w:szCs w:val="21"/>
    </w:rPr>
  </w:style>
  <w:style w:type="paragraph" w:customStyle="1" w:styleId="afffffffffffffffffff1">
    <w:name w:val="文字"/>
    <w:basedOn w:val="af3"/>
    <w:rsid w:val="009964C3"/>
    <w:pPr>
      <w:overflowPunct w:val="0"/>
      <w:snapToGrid w:val="0"/>
      <w:spacing w:line="400" w:lineRule="exact"/>
      <w:ind w:firstLineChars="200" w:firstLine="420"/>
    </w:pPr>
    <w:rPr>
      <w:rFonts w:ascii="楷体_GB2312" w:eastAsia="楷体_GB2312" w:cs="楷体_GB2312"/>
      <w:szCs w:val="21"/>
    </w:rPr>
  </w:style>
  <w:style w:type="paragraph" w:customStyle="1" w:styleId="dan7-1CharChar0">
    <w:name w:val="dan7-1 Char Char"/>
    <w:basedOn w:val="af3"/>
    <w:link w:val="dan7-1CharCharChar0"/>
    <w:rsid w:val="009964C3"/>
    <w:pPr>
      <w:spacing w:before="40" w:after="40" w:line="360" w:lineRule="auto"/>
      <w:ind w:firstLineChars="200" w:firstLine="200"/>
    </w:pPr>
    <w:rPr>
      <w:rFonts w:cs="宋体"/>
      <w:b/>
      <w:sz w:val="24"/>
    </w:rPr>
  </w:style>
  <w:style w:type="paragraph" w:customStyle="1" w:styleId="wangChar">
    <w:name w:val="正文wang Char"/>
    <w:basedOn w:val="af3"/>
    <w:link w:val="wangCharChar"/>
    <w:rsid w:val="009964C3"/>
    <w:pPr>
      <w:spacing w:line="420" w:lineRule="atLeast"/>
      <w:ind w:firstLineChars="200" w:firstLine="464"/>
    </w:pPr>
    <w:rPr>
      <w:rFonts w:cs="宋体"/>
      <w:spacing w:val="-4"/>
      <w:sz w:val="24"/>
    </w:rPr>
  </w:style>
  <w:style w:type="paragraph" w:customStyle="1" w:styleId="36618">
    <w:name w:val="样式 标题 3 + 小四 段前: 6 磅 段后: 6 磅 行距: 固定值 18 磅"/>
    <w:basedOn w:val="31"/>
    <w:semiHidden/>
    <w:locked/>
    <w:rsid w:val="009964C3"/>
    <w:pPr>
      <w:adjustRightInd w:val="0"/>
      <w:snapToGrid w:val="0"/>
      <w:spacing w:before="50" w:after="120" w:line="240" w:lineRule="auto"/>
      <w:ind w:firstLine="200"/>
      <w:jc w:val="left"/>
      <w:textAlignment w:val="baseline"/>
    </w:pPr>
    <w:rPr>
      <w:rFonts w:ascii="Arial" w:eastAsia="黑体" w:hAnsi="Arial" w:cs="宋体"/>
      <w:spacing w:val="8"/>
      <w:kern w:val="24"/>
      <w:sz w:val="24"/>
      <w:szCs w:val="20"/>
      <w:lang w:val="en-GB" w:eastAsia="fr-FR"/>
    </w:rPr>
  </w:style>
  <w:style w:type="paragraph" w:customStyle="1" w:styleId="150">
    <w:name w:val="标准文本 居中 行距1.5倍"/>
    <w:basedOn w:val="af3"/>
    <w:link w:val="15Char"/>
    <w:rsid w:val="009964C3"/>
    <w:pPr>
      <w:spacing w:line="360" w:lineRule="auto"/>
      <w:jc w:val="center"/>
      <w:textAlignment w:val="center"/>
    </w:pPr>
    <w:rPr>
      <w:rFonts w:cs="宋体"/>
      <w:sz w:val="24"/>
    </w:rPr>
  </w:style>
  <w:style w:type="paragraph" w:customStyle="1" w:styleId="afffffffffffffffffff2">
    <w:name w:val="图文"/>
    <w:basedOn w:val="af3"/>
    <w:semiHidden/>
    <w:locked/>
    <w:rsid w:val="009964C3"/>
    <w:pPr>
      <w:tabs>
        <w:tab w:val="left" w:pos="900"/>
      </w:tabs>
      <w:snapToGrid w:val="0"/>
      <w:spacing w:after="120" w:line="240" w:lineRule="exact"/>
      <w:ind w:firstLineChars="200" w:firstLine="200"/>
      <w:jc w:val="center"/>
      <w:outlineLvl w:val="6"/>
    </w:pPr>
    <w:rPr>
      <w:rFonts w:ascii="Arial Unicode MS" w:hAnsi="Arial Unicode MS" w:cs="Arial"/>
      <w:color w:val="000000"/>
      <w:szCs w:val="21"/>
    </w:rPr>
  </w:style>
  <w:style w:type="paragraph" w:customStyle="1" w:styleId="219">
    <w:name w:val="页眉中21"/>
    <w:basedOn w:val="af3"/>
    <w:rsid w:val="009964C3"/>
    <w:pPr>
      <w:adjustRightInd w:val="0"/>
      <w:snapToGrid w:val="0"/>
      <w:jc w:val="center"/>
    </w:pPr>
    <w:rPr>
      <w:rFonts w:ascii="黑体" w:eastAsia="黑体"/>
      <w:bCs/>
      <w:szCs w:val="20"/>
    </w:rPr>
  </w:style>
  <w:style w:type="paragraph" w:customStyle="1" w:styleId="1b">
    <w:name w:val="表头1"/>
    <w:basedOn w:val="afffffff4"/>
    <w:link w:val="1Char7"/>
    <w:rsid w:val="009964C3"/>
    <w:pPr>
      <w:tabs>
        <w:tab w:val="clear" w:pos="4305"/>
      </w:tabs>
      <w:ind w:firstLine="0"/>
      <w:jc w:val="center"/>
    </w:pPr>
    <w:rPr>
      <w:rFonts w:ascii="Times New Roman" w:hAnsi="Times New Roman" w:cs="Times New Roman"/>
      <w:sz w:val="21"/>
      <w:szCs w:val="21"/>
    </w:rPr>
  </w:style>
  <w:style w:type="paragraph" w:customStyle="1" w:styleId="afffffffffffffffffff3">
    <w:name w:val="表中正文"/>
    <w:basedOn w:val="af3"/>
    <w:semiHidden/>
    <w:rsid w:val="009964C3"/>
    <w:pPr>
      <w:autoSpaceDE w:val="0"/>
      <w:autoSpaceDN w:val="0"/>
      <w:adjustRightInd w:val="0"/>
      <w:snapToGrid w:val="0"/>
      <w:spacing w:line="240" w:lineRule="atLeast"/>
      <w:ind w:firstLineChars="200" w:firstLine="200"/>
    </w:pPr>
    <w:rPr>
      <w:rFonts w:ascii="宋体"/>
      <w:szCs w:val="20"/>
    </w:rPr>
  </w:style>
  <w:style w:type="paragraph" w:customStyle="1" w:styleId="99">
    <w:name w:val="9点"/>
    <w:basedOn w:val="af3"/>
    <w:rsid w:val="009964C3"/>
    <w:pPr>
      <w:spacing w:line="360" w:lineRule="exact"/>
    </w:pPr>
  </w:style>
  <w:style w:type="paragraph" w:customStyle="1" w:styleId="5142">
    <w:name w:val="表内宋514"/>
    <w:basedOn w:val="affffffffff5"/>
    <w:rsid w:val="009964C3"/>
    <w:pPr>
      <w:adjustRightInd w:val="0"/>
      <w:snapToGrid w:val="0"/>
      <w:jc w:val="both"/>
    </w:pPr>
    <w:rPr>
      <w:color w:val="000000"/>
      <w:sz w:val="21"/>
    </w:rPr>
  </w:style>
  <w:style w:type="paragraph" w:customStyle="1" w:styleId="16931">
    <w:name w:val="16.9.3.1"/>
    <w:basedOn w:val="16911"/>
    <w:link w:val="16931CharChar"/>
    <w:rsid w:val="009964C3"/>
    <w:pPr>
      <w:numPr>
        <w:ilvl w:val="0"/>
        <w:numId w:val="0"/>
      </w:numPr>
      <w:tabs>
        <w:tab w:val="left" w:pos="998"/>
        <w:tab w:val="left" w:pos="1680"/>
      </w:tabs>
    </w:pPr>
  </w:style>
  <w:style w:type="paragraph" w:customStyle="1" w:styleId="6152">
    <w:name w:val="样式 样式 小四 段后: 6 磅 行距: 1.5 倍行距 + 首行缩进:  2 字符"/>
    <w:basedOn w:val="af3"/>
    <w:rsid w:val="009964C3"/>
    <w:pPr>
      <w:keepNext/>
      <w:spacing w:line="360" w:lineRule="auto"/>
      <w:ind w:firstLineChars="200" w:firstLine="200"/>
      <w:jc w:val="left"/>
    </w:pPr>
    <w:rPr>
      <w:rFonts w:ascii="宋体" w:hAnsi="宋体" w:cs="宋体"/>
      <w:sz w:val="28"/>
      <w:szCs w:val="20"/>
    </w:rPr>
  </w:style>
  <w:style w:type="paragraph" w:customStyle="1" w:styleId="21">
    <w:name w:val="表2.1"/>
    <w:basedOn w:val="af3"/>
    <w:link w:val="21CharChar"/>
    <w:rsid w:val="009964C3"/>
    <w:pPr>
      <w:numPr>
        <w:numId w:val="39"/>
      </w:numPr>
      <w:tabs>
        <w:tab w:val="left" w:pos="1080"/>
        <w:tab w:val="center" w:pos="4060"/>
        <w:tab w:val="right" w:pos="8261"/>
      </w:tabs>
      <w:suppressAutoHyphens/>
      <w:adjustRightInd w:val="0"/>
      <w:spacing w:before="240" w:line="0" w:lineRule="atLeast"/>
    </w:pPr>
    <w:rPr>
      <w:rFonts w:ascii="黑体" w:eastAsia="黑体"/>
      <w:b/>
      <w:kern w:val="0"/>
      <w:sz w:val="24"/>
      <w:szCs w:val="26"/>
    </w:rPr>
  </w:style>
  <w:style w:type="paragraph" w:customStyle="1" w:styleId="xx3">
    <w:name w:val="页眉xx3"/>
    <w:basedOn w:val="affffff"/>
    <w:rsid w:val="009964C3"/>
    <w:pPr>
      <w:framePr w:wrap="around" w:vAnchor="text" w:hAnchor="text" w:y="1"/>
      <w:pBdr>
        <w:bottom w:val="single" w:sz="2" w:space="1" w:color="auto"/>
      </w:pBdr>
      <w:tabs>
        <w:tab w:val="clear" w:pos="4153"/>
      </w:tabs>
      <w:adjustRightInd w:val="0"/>
    </w:pPr>
    <w:rPr>
      <w:rFonts w:ascii="宋体" w:hAnsi="宋体"/>
      <w:sz w:val="21"/>
      <w:szCs w:val="20"/>
    </w:rPr>
  </w:style>
  <w:style w:type="paragraph" w:customStyle="1" w:styleId="CM29">
    <w:name w:val="CM29"/>
    <w:basedOn w:val="Default"/>
    <w:next w:val="Default"/>
    <w:rsid w:val="009964C3"/>
    <w:pPr>
      <w:spacing w:line="456" w:lineRule="atLeast"/>
    </w:pPr>
    <w:rPr>
      <w:color w:val="auto"/>
    </w:rPr>
  </w:style>
  <w:style w:type="paragraph" w:customStyle="1" w:styleId="12261">
    <w:name w:val="12.2.6.1"/>
    <w:basedOn w:val="41111411114Char41111Char111"/>
    <w:rsid w:val="009964C3"/>
    <w:pPr>
      <w:numPr>
        <w:numId w:val="40"/>
      </w:numPr>
      <w:tabs>
        <w:tab w:val="left" w:pos="851"/>
      </w:tabs>
    </w:pPr>
  </w:style>
  <w:style w:type="paragraph" w:customStyle="1" w:styleId="-">
    <w:name w:val="徐-正文"/>
    <w:basedOn w:val="af3"/>
    <w:link w:val="-Char"/>
    <w:rsid w:val="009964C3"/>
    <w:pPr>
      <w:adjustRightInd w:val="0"/>
      <w:snapToGrid w:val="0"/>
      <w:spacing w:line="360" w:lineRule="auto"/>
      <w:ind w:firstLineChars="200" w:firstLine="200"/>
      <w:jc w:val="left"/>
      <w:textAlignment w:val="center"/>
    </w:pPr>
    <w:rPr>
      <w:rFonts w:ascii="Arial" w:hAnsi="Arial"/>
      <w:color w:val="000000"/>
      <w:kern w:val="20"/>
      <w:sz w:val="24"/>
    </w:rPr>
  </w:style>
  <w:style w:type="paragraph" w:customStyle="1" w:styleId="5ff3">
    <w:name w:val="表内小5中"/>
    <w:basedOn w:val="af3"/>
    <w:rsid w:val="009964C3"/>
    <w:pPr>
      <w:adjustRightInd w:val="0"/>
      <w:snapToGrid w:val="0"/>
      <w:jc w:val="center"/>
    </w:pPr>
    <w:rPr>
      <w:rFonts w:ascii="宋体" w:hAnsi="宋体"/>
      <w:sz w:val="18"/>
      <w:szCs w:val="20"/>
    </w:rPr>
  </w:style>
  <w:style w:type="paragraph" w:customStyle="1" w:styleId="ParaCharCharChar1Char">
    <w:name w:val="默认段落字体 Para Char Char Char1 Char"/>
    <w:basedOn w:val="af3"/>
    <w:semiHidden/>
    <w:rsid w:val="009964C3"/>
    <w:pPr>
      <w:spacing w:line="240" w:lineRule="atLeast"/>
      <w:ind w:left="420" w:firstLine="420"/>
    </w:pPr>
    <w:rPr>
      <w:kern w:val="0"/>
      <w:szCs w:val="21"/>
    </w:rPr>
  </w:style>
  <w:style w:type="paragraph" w:customStyle="1" w:styleId="641">
    <w:name w:val="表题64"/>
    <w:basedOn w:val="afffffff4"/>
    <w:rsid w:val="009964C3"/>
    <w:pPr>
      <w:spacing w:line="240" w:lineRule="auto"/>
      <w:ind w:firstLineChars="200" w:firstLine="480"/>
      <w:jc w:val="center"/>
    </w:pPr>
    <w:rPr>
      <w:rFonts w:ascii="黑体" w:eastAsia="黑体" w:cs="Times New Roman"/>
      <w:color w:val="auto"/>
      <w:szCs w:val="20"/>
    </w:rPr>
  </w:style>
  <w:style w:type="paragraph" w:customStyle="1" w:styleId="2f9">
    <w:name w:val="样式2"/>
    <w:basedOn w:val="af3"/>
    <w:link w:val="2CharChar5"/>
    <w:qFormat/>
    <w:rsid w:val="009964C3"/>
    <w:pPr>
      <w:adjustRightInd w:val="0"/>
      <w:spacing w:line="410" w:lineRule="atLeast"/>
      <w:textAlignment w:val="baseline"/>
    </w:pPr>
    <w:rPr>
      <w:kern w:val="0"/>
      <w:sz w:val="24"/>
      <w:szCs w:val="20"/>
    </w:rPr>
  </w:style>
  <w:style w:type="paragraph" w:customStyle="1" w:styleId="afffffffd">
    <w:name w:val="表格中的文字"/>
    <w:basedOn w:val="af3"/>
    <w:link w:val="Charfffff6"/>
    <w:semiHidden/>
    <w:rsid w:val="009964C3"/>
    <w:pPr>
      <w:jc w:val="center"/>
    </w:pPr>
    <w:rPr>
      <w:rFonts w:ascii="宋体" w:hAnsi="宋体" w:cs="宋体"/>
      <w:kern w:val="0"/>
      <w:szCs w:val="20"/>
    </w:rPr>
  </w:style>
  <w:style w:type="paragraph" w:customStyle="1" w:styleId="514">
    <w:name w:val="表标题5.14"/>
    <w:basedOn w:val="af3"/>
    <w:rsid w:val="009964C3"/>
    <w:pPr>
      <w:numPr>
        <w:numId w:val="41"/>
      </w:numPr>
      <w:tabs>
        <w:tab w:val="left" w:pos="993"/>
      </w:tabs>
      <w:spacing w:beforeLines="100" w:line="0" w:lineRule="atLeast"/>
    </w:pPr>
    <w:rPr>
      <w:rFonts w:eastAsia="黑体"/>
      <w:b/>
      <w:sz w:val="24"/>
    </w:rPr>
  </w:style>
  <w:style w:type="paragraph" w:customStyle="1" w:styleId="5131">
    <w:name w:val="表内513"/>
    <w:basedOn w:val="af3"/>
    <w:rsid w:val="009964C3"/>
    <w:pPr>
      <w:adjustRightInd w:val="0"/>
      <w:snapToGrid w:val="0"/>
      <w:spacing w:line="300" w:lineRule="auto"/>
      <w:jc w:val="left"/>
    </w:pPr>
    <w:rPr>
      <w:rFonts w:ascii="宋体" w:hAnsi="宋体" w:cs="宋体"/>
      <w:szCs w:val="20"/>
    </w:rPr>
  </w:style>
  <w:style w:type="paragraph" w:customStyle="1" w:styleId="446">
    <w:name w:val="表内文字大44"/>
    <w:basedOn w:val="af3"/>
    <w:rsid w:val="009964C3"/>
    <w:pPr>
      <w:adjustRightInd w:val="0"/>
      <w:snapToGrid w:val="0"/>
      <w:jc w:val="center"/>
    </w:pPr>
    <w:rPr>
      <w:rFonts w:ascii="宋体" w:hAnsi="Times"/>
      <w:sz w:val="24"/>
      <w:szCs w:val="20"/>
    </w:rPr>
  </w:style>
  <w:style w:type="paragraph" w:customStyle="1" w:styleId="5200">
    <w:name w:val="表内520"/>
    <w:basedOn w:val="af3"/>
    <w:rsid w:val="009964C3"/>
    <w:pPr>
      <w:adjustRightInd w:val="0"/>
      <w:snapToGrid w:val="0"/>
      <w:spacing w:line="300" w:lineRule="auto"/>
      <w:jc w:val="left"/>
    </w:pPr>
    <w:rPr>
      <w:rFonts w:ascii="宋体"/>
      <w:szCs w:val="20"/>
    </w:rPr>
  </w:style>
  <w:style w:type="paragraph" w:customStyle="1" w:styleId="356">
    <w:name w:val="图题35"/>
    <w:basedOn w:val="af4"/>
    <w:rsid w:val="009964C3"/>
    <w:pPr>
      <w:adjustRightInd w:val="0"/>
      <w:snapToGrid w:val="0"/>
      <w:ind w:firstLineChars="0" w:firstLine="0"/>
      <w:jc w:val="center"/>
    </w:pPr>
    <w:rPr>
      <w:rFonts w:ascii="方正大标宋简体" w:eastAsia="方正大标宋简体"/>
      <w:sz w:val="24"/>
      <w:szCs w:val="24"/>
    </w:rPr>
  </w:style>
  <w:style w:type="paragraph" w:customStyle="1" w:styleId="xl58">
    <w:name w:val="xl58"/>
    <w:basedOn w:val="af3"/>
    <w:rsid w:val="009964C3"/>
    <w:pPr>
      <w:widowControl/>
      <w:shd w:val="clear" w:color="auto" w:fill="FFFF00"/>
      <w:spacing w:before="100" w:after="100"/>
      <w:jc w:val="left"/>
    </w:pPr>
    <w:rPr>
      <w:rFonts w:ascii="宋体" w:hAnsi="宋体" w:hint="eastAsia"/>
      <w:kern w:val="0"/>
      <w:sz w:val="24"/>
      <w:szCs w:val="20"/>
    </w:rPr>
  </w:style>
  <w:style w:type="paragraph" w:customStyle="1" w:styleId="240011">
    <w:name w:val="样式 样式 标题 2项目标题4 + 左侧:  0 厘米 首行缩进:  0 厘米 + 段前: 1 行 段后: 1 行"/>
    <w:basedOn w:val="af3"/>
    <w:rsid w:val="009964C3"/>
    <w:pPr>
      <w:keepNext/>
      <w:widowControl/>
      <w:spacing w:beforeLines="100" w:afterLines="100"/>
      <w:jc w:val="left"/>
      <w:outlineLvl w:val="1"/>
    </w:pPr>
    <w:rPr>
      <w:rFonts w:eastAsia="黑体" w:cs="宋体"/>
      <w:b/>
      <w:bCs/>
      <w:kern w:val="0"/>
      <w:sz w:val="30"/>
      <w:szCs w:val="20"/>
      <w:lang w:val="en-GB"/>
    </w:rPr>
  </w:style>
  <w:style w:type="paragraph" w:customStyle="1" w:styleId="font0">
    <w:name w:val="font0"/>
    <w:basedOn w:val="af3"/>
    <w:rsid w:val="009964C3"/>
    <w:pPr>
      <w:widowControl/>
      <w:spacing w:before="100" w:beforeAutospacing="1" w:after="100" w:afterAutospacing="1"/>
      <w:jc w:val="left"/>
    </w:pPr>
    <w:rPr>
      <w:rFonts w:ascii="宋体" w:hAnsi="宋体" w:hint="eastAsia"/>
      <w:kern w:val="0"/>
      <w:sz w:val="24"/>
    </w:rPr>
  </w:style>
  <w:style w:type="paragraph" w:customStyle="1" w:styleId="23">
    <w:name w:val="正文(首行缩进2字)"/>
    <w:basedOn w:val="af3"/>
    <w:next w:val="af3"/>
    <w:link w:val="2Char1"/>
    <w:qFormat/>
    <w:rsid w:val="009964C3"/>
    <w:pPr>
      <w:adjustRightInd w:val="0"/>
      <w:spacing w:afterLines="50" w:line="300" w:lineRule="auto"/>
      <w:ind w:firstLineChars="200" w:firstLine="200"/>
      <w:jc w:val="left"/>
      <w:textAlignment w:val="baseline"/>
    </w:pPr>
    <w:rPr>
      <w:color w:val="000000"/>
      <w:kern w:val="0"/>
      <w:sz w:val="24"/>
    </w:rPr>
  </w:style>
  <w:style w:type="paragraph" w:customStyle="1" w:styleId="465">
    <w:name w:val="标题465"/>
    <w:basedOn w:val="af3"/>
    <w:rsid w:val="009964C3"/>
    <w:pPr>
      <w:adjustRightInd w:val="0"/>
      <w:snapToGrid w:val="0"/>
      <w:spacing w:line="360" w:lineRule="auto"/>
      <w:jc w:val="left"/>
    </w:pPr>
    <w:rPr>
      <w:rFonts w:ascii="黑体" w:eastAsia="黑体"/>
      <w:bCs/>
      <w:sz w:val="24"/>
    </w:rPr>
  </w:style>
  <w:style w:type="paragraph" w:customStyle="1" w:styleId="2TimesNewRoman0">
    <w:name w:val="样式 样式 首行缩进:  2 字符 + Times New Roman"/>
    <w:basedOn w:val="2f2"/>
    <w:link w:val="2TimesNewRomanChar1"/>
    <w:semiHidden/>
    <w:rsid w:val="009964C3"/>
    <w:pPr>
      <w:adjustRightInd w:val="0"/>
      <w:snapToGrid w:val="0"/>
    </w:pPr>
    <w:rPr>
      <w:rFonts w:ascii="Times New Roman" w:hAnsi="Times New Roman" w:cs="Times New Roman"/>
    </w:rPr>
  </w:style>
  <w:style w:type="paragraph" w:customStyle="1" w:styleId="CharChar2b">
    <w:name w:val="段落 Char Char2"/>
    <w:basedOn w:val="af3"/>
    <w:rsid w:val="009964C3"/>
    <w:pPr>
      <w:tabs>
        <w:tab w:val="left" w:pos="1021"/>
      </w:tabs>
      <w:spacing w:line="326" w:lineRule="auto"/>
      <w:ind w:firstLineChars="200" w:firstLine="480"/>
    </w:pPr>
    <w:rPr>
      <w:kern w:val="24"/>
      <w:sz w:val="24"/>
    </w:rPr>
  </w:style>
  <w:style w:type="paragraph" w:customStyle="1" w:styleId="xl101">
    <w:name w:val="xl101"/>
    <w:basedOn w:val="af3"/>
    <w:rsid w:val="009964C3"/>
    <w:pPr>
      <w:widowControl/>
      <w:pBdr>
        <w:top w:val="single" w:sz="4" w:space="0" w:color="auto"/>
        <w:left w:val="single" w:sz="4" w:space="0" w:color="auto"/>
        <w:bottom w:val="single" w:sz="4" w:space="0" w:color="auto"/>
      </w:pBdr>
      <w:spacing w:before="100" w:after="100"/>
      <w:jc w:val="center"/>
      <w:textAlignment w:val="center"/>
    </w:pPr>
    <w:rPr>
      <w:rFonts w:ascii="Arial" w:hAnsi="Arial"/>
      <w:kern w:val="0"/>
      <w:sz w:val="20"/>
      <w:szCs w:val="20"/>
    </w:rPr>
  </w:style>
  <w:style w:type="paragraph" w:customStyle="1" w:styleId="afffff7">
    <w:name w:val="表头王"/>
    <w:basedOn w:val="af3"/>
    <w:link w:val="Charfff8"/>
    <w:rsid w:val="009964C3"/>
    <w:pPr>
      <w:adjustRightInd w:val="0"/>
      <w:snapToGrid w:val="0"/>
      <w:spacing w:line="360" w:lineRule="auto"/>
      <w:jc w:val="center"/>
    </w:pPr>
    <w:rPr>
      <w:rFonts w:ascii="黑体" w:eastAsia="黑体" w:hAnsi="宋体"/>
      <w:b/>
      <w:color w:val="000000"/>
      <w:spacing w:val="10"/>
      <w:sz w:val="24"/>
    </w:rPr>
  </w:style>
  <w:style w:type="paragraph" w:customStyle="1" w:styleId="afffffffffffffffffff4">
    <w:name w:val="附录五级条标题"/>
    <w:basedOn w:val="affffffffffa"/>
    <w:next w:val="af3"/>
    <w:semiHidden/>
    <w:rsid w:val="009964C3"/>
    <w:pPr>
      <w:numPr>
        <w:ilvl w:val="6"/>
      </w:numPr>
      <w:adjustRightInd w:val="0"/>
      <w:snapToGrid w:val="0"/>
      <w:spacing w:line="400" w:lineRule="atLeast"/>
      <w:outlineLvl w:val="6"/>
    </w:pPr>
    <w:rPr>
      <w:rFonts w:ascii="宋体" w:hAnsi="宋体"/>
      <w:sz w:val="24"/>
    </w:rPr>
  </w:style>
  <w:style w:type="paragraph" w:customStyle="1" w:styleId="80">
    <w:name w:val="样式8"/>
    <w:basedOn w:val="af3"/>
    <w:link w:val="8Char0"/>
    <w:rsid w:val="009964C3"/>
    <w:pPr>
      <w:autoSpaceDE w:val="0"/>
      <w:autoSpaceDN w:val="0"/>
      <w:spacing w:line="400" w:lineRule="exact"/>
      <w:jc w:val="center"/>
      <w:textAlignment w:val="bottom"/>
    </w:pPr>
    <w:rPr>
      <w:rFonts w:ascii="Arial" w:eastAsia="黑体" w:hAnsi="Arial" w:cs="Arial"/>
      <w:spacing w:val="4"/>
      <w:kern w:val="0"/>
      <w:sz w:val="24"/>
      <w:szCs w:val="21"/>
    </w:rPr>
  </w:style>
  <w:style w:type="paragraph" w:customStyle="1" w:styleId="11a">
    <w:name w:val="11正文"/>
    <w:basedOn w:val="af3"/>
    <w:semiHidden/>
    <w:rsid w:val="009964C3"/>
    <w:pPr>
      <w:spacing w:line="360" w:lineRule="auto"/>
      <w:ind w:firstLineChars="200" w:firstLine="200"/>
    </w:pPr>
    <w:rPr>
      <w:sz w:val="24"/>
    </w:rPr>
  </w:style>
  <w:style w:type="paragraph" w:customStyle="1" w:styleId="1a">
    <w:name w:val="标题样式1"/>
    <w:basedOn w:val="13"/>
    <w:link w:val="1Char5"/>
    <w:rsid w:val="009964C3"/>
    <w:pPr>
      <w:pageBreakBefore/>
      <w:spacing w:before="0" w:after="0" w:line="480" w:lineRule="exact"/>
    </w:pPr>
    <w:rPr>
      <w:rFonts w:ascii="黑体"/>
      <w:color w:val="FF0000"/>
      <w:sz w:val="28"/>
      <w:szCs w:val="28"/>
    </w:rPr>
  </w:style>
  <w:style w:type="paragraph" w:customStyle="1" w:styleId="afffffffffffffffffff5">
    <w:name w:val="表格文本"/>
    <w:basedOn w:val="af3"/>
    <w:qFormat/>
    <w:rsid w:val="009964C3"/>
    <w:pPr>
      <w:autoSpaceDE w:val="0"/>
      <w:adjustRightInd w:val="0"/>
      <w:snapToGrid w:val="0"/>
      <w:spacing w:line="360" w:lineRule="auto"/>
      <w:jc w:val="center"/>
    </w:pPr>
    <w:rPr>
      <w:snapToGrid w:val="0"/>
      <w:color w:val="000000"/>
      <w:kern w:val="0"/>
      <w:szCs w:val="21"/>
    </w:rPr>
  </w:style>
  <w:style w:type="paragraph" w:customStyle="1" w:styleId="CharCharCharCharCharChar1Char">
    <w:name w:val="Char Char Char Char Char Char1 Char"/>
    <w:basedOn w:val="af3"/>
    <w:rsid w:val="009964C3"/>
    <w:pPr>
      <w:widowControl/>
      <w:spacing w:after="160" w:line="240" w:lineRule="exact"/>
      <w:jc w:val="left"/>
    </w:pPr>
    <w:rPr>
      <w:rFonts w:ascii="Arial" w:eastAsia="Times New Roman" w:hAnsi="Arial" w:cs="Verdana"/>
      <w:b/>
      <w:kern w:val="0"/>
      <w:sz w:val="24"/>
      <w:szCs w:val="20"/>
      <w:lang w:eastAsia="en-US"/>
    </w:rPr>
  </w:style>
  <w:style w:type="paragraph" w:customStyle="1" w:styleId="547">
    <w:name w:val="页眉中54"/>
    <w:basedOn w:val="af3"/>
    <w:rsid w:val="009964C3"/>
    <w:pPr>
      <w:adjustRightInd w:val="0"/>
      <w:snapToGrid w:val="0"/>
      <w:spacing w:line="300" w:lineRule="auto"/>
      <w:jc w:val="center"/>
    </w:pPr>
    <w:rPr>
      <w:rFonts w:ascii="黑体" w:eastAsia="黑体"/>
      <w:bCs/>
      <w:sz w:val="24"/>
      <w:szCs w:val="20"/>
    </w:rPr>
  </w:style>
  <w:style w:type="paragraph" w:customStyle="1" w:styleId="afffffff">
    <w:name w:val="表文电化"/>
    <w:basedOn w:val="af3"/>
    <w:link w:val="Charffffc"/>
    <w:semiHidden/>
    <w:rsid w:val="009964C3"/>
    <w:pPr>
      <w:spacing w:before="48" w:after="48"/>
      <w:jc w:val="center"/>
    </w:pPr>
    <w:rPr>
      <w:rFonts w:ascii="Arial" w:hAnsi="Arial"/>
      <w:szCs w:val="20"/>
    </w:rPr>
  </w:style>
  <w:style w:type="paragraph" w:customStyle="1" w:styleId="CM72">
    <w:name w:val="CM72"/>
    <w:basedOn w:val="af3"/>
    <w:next w:val="af3"/>
    <w:semiHidden/>
    <w:rsid w:val="009964C3"/>
    <w:pPr>
      <w:autoSpaceDE w:val="0"/>
      <w:autoSpaceDN w:val="0"/>
      <w:adjustRightInd w:val="0"/>
      <w:jc w:val="left"/>
    </w:pPr>
    <w:rPr>
      <w:rFonts w:ascii="黑体" w:eastAsia="黑体" w:hAnsi="Calibri"/>
      <w:kern w:val="0"/>
      <w:sz w:val="24"/>
    </w:rPr>
  </w:style>
  <w:style w:type="paragraph" w:customStyle="1" w:styleId="Table-I">
    <w:name w:val="Table-I"/>
    <w:basedOn w:val="af3"/>
    <w:rsid w:val="009964C3"/>
    <w:pPr>
      <w:spacing w:line="400" w:lineRule="exact"/>
      <w:jc w:val="center"/>
    </w:pPr>
    <w:rPr>
      <w:sz w:val="28"/>
      <w:szCs w:val="20"/>
    </w:rPr>
  </w:style>
  <w:style w:type="paragraph" w:customStyle="1" w:styleId="afffffffffffffffffff6">
    <w:name w:val="高段文"/>
    <w:basedOn w:val="af3"/>
    <w:qFormat/>
    <w:rsid w:val="009964C3"/>
    <w:pPr>
      <w:spacing w:line="300" w:lineRule="auto"/>
      <w:ind w:firstLineChars="200" w:firstLine="200"/>
    </w:pPr>
    <w:rPr>
      <w:rFonts w:ascii="Arial" w:eastAsia="楷体_GB2312" w:hAnsi="Arial"/>
      <w:sz w:val="28"/>
      <w:szCs w:val="28"/>
    </w:rPr>
  </w:style>
  <w:style w:type="paragraph" w:customStyle="1" w:styleId="afff4">
    <w:name w:val="表格文字居中"/>
    <w:basedOn w:val="af3"/>
    <w:link w:val="Char13"/>
    <w:rsid w:val="009964C3"/>
    <w:pPr>
      <w:spacing w:line="0" w:lineRule="atLeast"/>
      <w:ind w:leftChars="-50" w:left="-120"/>
      <w:jc w:val="center"/>
    </w:pPr>
    <w:rPr>
      <w:sz w:val="18"/>
      <w:szCs w:val="18"/>
    </w:rPr>
  </w:style>
  <w:style w:type="paragraph" w:customStyle="1" w:styleId="xx1">
    <w:name w:val="页眉xx1"/>
    <w:basedOn w:val="affffff"/>
    <w:rsid w:val="009964C3"/>
    <w:pPr>
      <w:framePr w:wrap="around" w:vAnchor="text" w:hAnchor="text" w:y="1"/>
      <w:pBdr>
        <w:bottom w:val="single" w:sz="2" w:space="1" w:color="auto"/>
      </w:pBdr>
      <w:tabs>
        <w:tab w:val="clear" w:pos="4153"/>
      </w:tabs>
      <w:adjustRightInd w:val="0"/>
    </w:pPr>
    <w:rPr>
      <w:rFonts w:ascii="宋体" w:hAnsi="宋体"/>
      <w:sz w:val="21"/>
      <w:szCs w:val="20"/>
    </w:rPr>
  </w:style>
  <w:style w:type="paragraph" w:customStyle="1" w:styleId="afffffffffffffffffff7">
    <w:name w:val="报告名"/>
    <w:basedOn w:val="af3"/>
    <w:rsid w:val="009964C3"/>
    <w:pPr>
      <w:tabs>
        <w:tab w:val="left" w:pos="1727"/>
        <w:tab w:val="left" w:pos="1884"/>
      </w:tabs>
      <w:adjustRightInd w:val="0"/>
      <w:spacing w:line="312" w:lineRule="auto"/>
      <w:outlineLvl w:val="0"/>
    </w:pPr>
    <w:rPr>
      <w:b/>
      <w:sz w:val="24"/>
    </w:rPr>
  </w:style>
  <w:style w:type="paragraph" w:customStyle="1" w:styleId="xl125">
    <w:name w:val="xl125"/>
    <w:basedOn w:val="af3"/>
    <w:semiHidden/>
    <w:rsid w:val="009964C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5440">
    <w:name w:val="表内544"/>
    <w:basedOn w:val="af3"/>
    <w:rsid w:val="009964C3"/>
    <w:pPr>
      <w:adjustRightInd w:val="0"/>
      <w:snapToGrid w:val="0"/>
      <w:spacing w:line="300" w:lineRule="auto"/>
      <w:jc w:val="center"/>
    </w:pPr>
    <w:rPr>
      <w:rFonts w:ascii="宋体" w:hAnsi="宋体" w:cs="宋体"/>
      <w:szCs w:val="20"/>
    </w:rPr>
  </w:style>
  <w:style w:type="paragraph" w:customStyle="1" w:styleId="ST2060">
    <w:name w:val="ST20_60"/>
    <w:basedOn w:val="ST2054"/>
    <w:rsid w:val="009964C3"/>
    <w:pPr>
      <w:ind w:left="1080"/>
    </w:pPr>
  </w:style>
  <w:style w:type="paragraph" w:customStyle="1" w:styleId="GB2312152">
    <w:name w:val="样式 楷体_GB2312 小四 左 行距: 1.5 倍行距 首行缩进:  2 字符"/>
    <w:basedOn w:val="af3"/>
    <w:rsid w:val="009964C3"/>
    <w:pPr>
      <w:spacing w:line="360" w:lineRule="auto"/>
      <w:ind w:firstLineChars="200" w:firstLine="480"/>
      <w:jc w:val="left"/>
    </w:pPr>
    <w:rPr>
      <w:color w:val="000000"/>
      <w:kern w:val="0"/>
      <w:sz w:val="24"/>
      <w:szCs w:val="20"/>
    </w:rPr>
  </w:style>
  <w:style w:type="paragraph" w:customStyle="1" w:styleId="zw10">
    <w:name w:val="样式 zw + 首行缩进:  1 字符"/>
    <w:basedOn w:val="af3"/>
    <w:qFormat/>
    <w:rsid w:val="009964C3"/>
    <w:pPr>
      <w:tabs>
        <w:tab w:val="left" w:pos="851"/>
        <w:tab w:val="left" w:pos="3240"/>
      </w:tabs>
      <w:adjustRightInd w:val="0"/>
      <w:snapToGrid w:val="0"/>
      <w:spacing w:line="360" w:lineRule="auto"/>
      <w:ind w:firstLineChars="942" w:firstLine="2261"/>
      <w:jc w:val="left"/>
    </w:pPr>
    <w:rPr>
      <w:rFonts w:eastAsia="黑体"/>
      <w:color w:val="000000"/>
      <w:kern w:val="0"/>
      <w:sz w:val="24"/>
    </w:rPr>
  </w:style>
  <w:style w:type="paragraph" w:customStyle="1" w:styleId="3085">
    <w:name w:val="样式 标题 3 + 首行缩进:  0.85 厘米"/>
    <w:basedOn w:val="31"/>
    <w:rsid w:val="009964C3"/>
    <w:pPr>
      <w:spacing w:before="0" w:after="0" w:line="360" w:lineRule="auto"/>
    </w:pPr>
    <w:rPr>
      <w:b w:val="0"/>
      <w:bCs w:val="0"/>
      <w:sz w:val="24"/>
      <w:szCs w:val="20"/>
    </w:rPr>
  </w:style>
  <w:style w:type="paragraph" w:customStyle="1" w:styleId="5340">
    <w:name w:val="表内534"/>
    <w:basedOn w:val="af3"/>
    <w:rsid w:val="009964C3"/>
    <w:pPr>
      <w:adjustRightInd w:val="0"/>
      <w:snapToGrid w:val="0"/>
      <w:spacing w:line="300" w:lineRule="auto"/>
      <w:jc w:val="left"/>
    </w:pPr>
    <w:rPr>
      <w:rFonts w:ascii="宋体"/>
      <w:szCs w:val="20"/>
    </w:rPr>
  </w:style>
  <w:style w:type="paragraph" w:customStyle="1" w:styleId="Char1ff1">
    <w:name w:val="表头 Char1"/>
    <w:basedOn w:val="af3"/>
    <w:link w:val="Char1Char0"/>
    <w:rsid w:val="009964C3"/>
    <w:pPr>
      <w:tabs>
        <w:tab w:val="left" w:pos="1021"/>
      </w:tabs>
      <w:spacing w:before="60"/>
      <w:ind w:firstLine="240"/>
      <w:jc w:val="center"/>
    </w:pPr>
    <w:rPr>
      <w:rFonts w:eastAsia="黑体"/>
      <w:color w:val="000000"/>
      <w:kern w:val="24"/>
      <w:sz w:val="24"/>
      <w:lang w:val="zh-CN"/>
    </w:rPr>
  </w:style>
  <w:style w:type="paragraph" w:customStyle="1" w:styleId="22111122ndlevelh22Header2Heading21">
    <w:name w:val="样式 标题 2节标题2节标题 1.11.1标题 22nd levelh22Header 2Heading 2 ...1"/>
    <w:basedOn w:val="22"/>
    <w:qFormat/>
    <w:rsid w:val="009964C3"/>
    <w:pPr>
      <w:spacing w:line="440" w:lineRule="exact"/>
    </w:pPr>
    <w:rPr>
      <w:bCs w:val="0"/>
      <w:sz w:val="28"/>
      <w:szCs w:val="20"/>
    </w:rPr>
  </w:style>
  <w:style w:type="paragraph" w:customStyle="1" w:styleId="61520">
    <w:name w:val="样式 小四 黑色 段前: 6 磅 行距: 1.5 倍行距 首行缩进:  2 字符"/>
    <w:basedOn w:val="af3"/>
    <w:rsid w:val="009964C3"/>
    <w:pPr>
      <w:ind w:firstLineChars="200" w:firstLine="200"/>
    </w:pPr>
    <w:rPr>
      <w:rFonts w:cs="宋体"/>
      <w:color w:val="000000"/>
      <w:sz w:val="24"/>
      <w:szCs w:val="20"/>
    </w:rPr>
  </w:style>
  <w:style w:type="paragraph" w:customStyle="1" w:styleId="1fff9">
    <w:name w:val="表中文字中修改1"/>
    <w:basedOn w:val="affffffffffffa"/>
    <w:rsid w:val="009964C3"/>
    <w:pPr>
      <w:adjustRightInd w:val="0"/>
    </w:pPr>
    <w:rPr>
      <w:color w:val="000000"/>
    </w:rPr>
  </w:style>
  <w:style w:type="paragraph" w:customStyle="1" w:styleId="1132">
    <w:name w:val="样式113"/>
    <w:basedOn w:val="af3"/>
    <w:rsid w:val="009964C3"/>
    <w:pPr>
      <w:adjustRightInd w:val="0"/>
      <w:snapToGrid w:val="0"/>
      <w:spacing w:line="300" w:lineRule="auto"/>
      <w:jc w:val="center"/>
      <w:textAlignment w:val="baseline"/>
    </w:pPr>
    <w:rPr>
      <w:rFonts w:ascii="仿宋_GB2312" w:eastAsia="仿宋_GB2312" w:hAnsi="Courier New"/>
      <w:b/>
      <w:kern w:val="0"/>
      <w:sz w:val="28"/>
      <w:szCs w:val="20"/>
    </w:rPr>
  </w:style>
  <w:style w:type="paragraph" w:customStyle="1" w:styleId="tt2">
    <w:name w:val="样式 tt + 首行缩进:  2 字符"/>
    <w:basedOn w:val="tt"/>
    <w:rsid w:val="009964C3"/>
    <w:rPr>
      <w:szCs w:val="20"/>
    </w:rPr>
  </w:style>
  <w:style w:type="paragraph" w:customStyle="1" w:styleId="cucd-D0">
    <w:name w:val="cucd-D"/>
    <w:next w:val="af3"/>
    <w:semiHidden/>
    <w:rsid w:val="009964C3"/>
    <w:pPr>
      <w:spacing w:after="200" w:line="360" w:lineRule="auto"/>
      <w:outlineLvl w:val="3"/>
    </w:pPr>
    <w:rPr>
      <w:rFonts w:ascii="Cambria" w:hAnsi="Cambria"/>
      <w:b/>
      <w:kern w:val="2"/>
      <w:sz w:val="24"/>
      <w:szCs w:val="24"/>
    </w:rPr>
  </w:style>
  <w:style w:type="paragraph" w:customStyle="1" w:styleId="561">
    <w:name w:val="样式 表内5 + (符号) 宋体 两端对齐 行距: 单倍行距6"/>
    <w:basedOn w:val="54"/>
    <w:rsid w:val="009964C3"/>
    <w:pPr>
      <w:spacing w:line="240" w:lineRule="auto"/>
    </w:pPr>
    <w:rPr>
      <w:kern w:val="0"/>
    </w:rPr>
  </w:style>
  <w:style w:type="paragraph" w:customStyle="1" w:styleId="1fffa">
    <w:name w:val="1正文"/>
    <w:basedOn w:val="013"/>
    <w:rsid w:val="009964C3"/>
    <w:pPr>
      <w:ind w:firstLineChars="0" w:firstLine="0"/>
    </w:pPr>
    <w:rPr>
      <w:rFonts w:ascii="Arial" w:eastAsia="宋体" w:hAnsi="Arial" w:cs="Arial"/>
      <w:sz w:val="24"/>
      <w:szCs w:val="24"/>
    </w:rPr>
  </w:style>
  <w:style w:type="paragraph" w:customStyle="1" w:styleId="013">
    <w:name w:val="0正文1"/>
    <w:basedOn w:val="af3"/>
    <w:qFormat/>
    <w:rsid w:val="009964C3"/>
    <w:pPr>
      <w:spacing w:line="520" w:lineRule="atLeast"/>
      <w:ind w:firstLineChars="200" w:firstLine="560"/>
    </w:pPr>
    <w:rPr>
      <w:rFonts w:ascii="仿宋_GB2312" w:eastAsia="仿宋_GB2312" w:hAnsi="华文楷体"/>
      <w:sz w:val="28"/>
      <w:szCs w:val="21"/>
    </w:rPr>
  </w:style>
  <w:style w:type="paragraph" w:customStyle="1" w:styleId="4440">
    <w:name w:val="标题444"/>
    <w:basedOn w:val="af3"/>
    <w:rsid w:val="009964C3"/>
    <w:pPr>
      <w:adjustRightInd w:val="0"/>
      <w:snapToGrid w:val="0"/>
      <w:spacing w:line="300" w:lineRule="auto"/>
      <w:jc w:val="left"/>
    </w:pPr>
    <w:rPr>
      <w:rFonts w:ascii="黑体" w:eastAsia="黑体"/>
      <w:bCs/>
      <w:color w:val="000000"/>
      <w:sz w:val="24"/>
    </w:rPr>
  </w:style>
  <w:style w:type="paragraph" w:customStyle="1" w:styleId="15a">
    <w:name w:val="样式 (符号) 宋体 四号 左 行距: 1.5 倍行距"/>
    <w:basedOn w:val="af3"/>
    <w:rsid w:val="009964C3"/>
    <w:pPr>
      <w:spacing w:line="360" w:lineRule="auto"/>
      <w:ind w:firstLineChars="200" w:firstLine="560"/>
      <w:jc w:val="left"/>
    </w:pPr>
    <w:rPr>
      <w:rFonts w:ascii="宋体" w:hAnsi="宋体" w:cs="宋体"/>
      <w:sz w:val="28"/>
      <w:szCs w:val="20"/>
    </w:rPr>
  </w:style>
  <w:style w:type="paragraph" w:customStyle="1" w:styleId="L">
    <w:name w:val="列表(L)"/>
    <w:basedOn w:val="afffffd"/>
    <w:link w:val="LChar"/>
    <w:rsid w:val="009964C3"/>
    <w:pPr>
      <w:snapToGrid w:val="0"/>
      <w:ind w:left="0" w:firstLineChars="0" w:firstLine="0"/>
    </w:pPr>
    <w:rPr>
      <w:rFonts w:cs="宋体"/>
      <w:sz w:val="21"/>
    </w:rPr>
  </w:style>
  <w:style w:type="paragraph" w:customStyle="1" w:styleId="5115">
    <w:name w:val="表内5115"/>
    <w:basedOn w:val="af3"/>
    <w:rsid w:val="009964C3"/>
    <w:pPr>
      <w:adjustRightInd w:val="0"/>
      <w:snapToGrid w:val="0"/>
      <w:spacing w:line="300" w:lineRule="auto"/>
      <w:jc w:val="left"/>
    </w:pPr>
    <w:rPr>
      <w:rFonts w:ascii="宋体"/>
      <w:szCs w:val="20"/>
    </w:rPr>
  </w:style>
  <w:style w:type="paragraph" w:customStyle="1" w:styleId="17878">
    <w:name w:val="样式 标题 1 + 黑体 四号 自动设置 两端对齐 段前: 7.8 磅 段后: 7.8 磅"/>
    <w:basedOn w:val="13"/>
    <w:qFormat/>
    <w:rsid w:val="009964C3"/>
    <w:pPr>
      <w:keepLines w:val="0"/>
      <w:autoSpaceDE w:val="0"/>
      <w:autoSpaceDN w:val="0"/>
      <w:adjustRightInd w:val="0"/>
      <w:spacing w:before="156" w:after="156" w:line="360" w:lineRule="auto"/>
    </w:pPr>
    <w:rPr>
      <w:rFonts w:ascii="黑体" w:hAnsi="宋体"/>
      <w:b w:val="0"/>
      <w:bCs w:val="0"/>
      <w:kern w:val="2"/>
      <w:sz w:val="28"/>
      <w:szCs w:val="20"/>
    </w:rPr>
  </w:style>
  <w:style w:type="paragraph" w:customStyle="1" w:styleId="Charfa">
    <w:name w:val="正文内容 Char"/>
    <w:basedOn w:val="af3"/>
    <w:next w:val="af3"/>
    <w:link w:val="CharChara"/>
    <w:rsid w:val="009964C3"/>
    <w:pPr>
      <w:snapToGrid w:val="0"/>
      <w:spacing w:beforeLines="25" w:afterLines="25" w:line="440" w:lineRule="exact"/>
      <w:ind w:firstLineChars="200" w:firstLine="200"/>
    </w:pPr>
    <w:rPr>
      <w:rFonts w:cs="宋体"/>
      <w:sz w:val="24"/>
    </w:rPr>
  </w:style>
  <w:style w:type="paragraph" w:customStyle="1" w:styleId="1CharChar11">
    <w:name w:val="正文样式1 Char Char1"/>
    <w:basedOn w:val="af3"/>
    <w:rsid w:val="009964C3"/>
    <w:pPr>
      <w:adjustRightInd w:val="0"/>
      <w:spacing w:beforeLines="10" w:afterLines="10" w:line="312" w:lineRule="auto"/>
      <w:ind w:firstLineChars="200" w:firstLine="200"/>
      <w:textAlignment w:val="baseline"/>
    </w:pPr>
    <w:rPr>
      <w:snapToGrid w:val="0"/>
      <w:kern w:val="0"/>
      <w:position w:val="-12"/>
      <w:sz w:val="24"/>
    </w:rPr>
  </w:style>
  <w:style w:type="paragraph" w:customStyle="1" w:styleId="167">
    <w:name w:val="福建正文缩进16"/>
    <w:basedOn w:val="af4"/>
    <w:rsid w:val="009964C3"/>
    <w:pPr>
      <w:autoSpaceDE w:val="0"/>
      <w:autoSpaceDN w:val="0"/>
      <w:adjustRightInd w:val="0"/>
      <w:snapToGrid w:val="0"/>
      <w:spacing w:line="360" w:lineRule="auto"/>
      <w:ind w:firstLineChars="0" w:firstLine="539"/>
    </w:pPr>
    <w:rPr>
      <w:rFonts w:ascii="宋体" w:hAnsi="宋体"/>
      <w:sz w:val="24"/>
      <w:szCs w:val="24"/>
    </w:rPr>
  </w:style>
  <w:style w:type="paragraph" w:customStyle="1" w:styleId="1fffb">
    <w:name w:val="正文（1）"/>
    <w:basedOn w:val="af3"/>
    <w:rsid w:val="009964C3"/>
    <w:pPr>
      <w:autoSpaceDE w:val="0"/>
      <w:autoSpaceDN w:val="0"/>
      <w:adjustRightInd w:val="0"/>
      <w:snapToGrid w:val="0"/>
      <w:spacing w:line="360" w:lineRule="auto"/>
    </w:pPr>
    <w:rPr>
      <w:color w:val="000000"/>
      <w:sz w:val="24"/>
      <w:lang w:val="zh-CN"/>
    </w:rPr>
  </w:style>
  <w:style w:type="paragraph" w:customStyle="1" w:styleId="5123">
    <w:name w:val="表内5中12"/>
    <w:basedOn w:val="affffffffff3"/>
    <w:rsid w:val="009964C3"/>
    <w:pPr>
      <w:widowControl/>
    </w:pPr>
    <w:rPr>
      <w:kern w:val="0"/>
      <w:sz w:val="21"/>
      <w:szCs w:val="21"/>
    </w:rPr>
  </w:style>
  <w:style w:type="paragraph" w:customStyle="1" w:styleId="HeadLine">
    <w:name w:val="HeadLine"/>
    <w:basedOn w:val="af3"/>
    <w:rsid w:val="009964C3"/>
    <w:pPr>
      <w:tabs>
        <w:tab w:val="right" w:pos="8320"/>
      </w:tabs>
      <w:spacing w:beforeLines="10" w:afterLines="10" w:line="0" w:lineRule="atLeast"/>
    </w:pPr>
    <w:rPr>
      <w:rFonts w:ascii="Tahoma" w:eastAsia="华文中宋" w:hAnsi="Tahoma" w:cs="Arial"/>
      <w:bCs/>
      <w:sz w:val="20"/>
      <w:szCs w:val="20"/>
    </w:rPr>
  </w:style>
  <w:style w:type="paragraph" w:customStyle="1" w:styleId="559">
    <w:name w:val="表内小5中5"/>
    <w:basedOn w:val="af3"/>
    <w:rsid w:val="009964C3"/>
    <w:pPr>
      <w:adjustRightInd w:val="0"/>
      <w:snapToGrid w:val="0"/>
      <w:jc w:val="center"/>
    </w:pPr>
    <w:rPr>
      <w:rFonts w:ascii="宋体" w:hAnsi="宋体"/>
      <w:sz w:val="18"/>
      <w:szCs w:val="20"/>
    </w:rPr>
  </w:style>
  <w:style w:type="paragraph" w:customStyle="1" w:styleId="11b">
    <w:name w:val="1表1"/>
    <w:basedOn w:val="af3"/>
    <w:rsid w:val="009964C3"/>
    <w:pPr>
      <w:autoSpaceDE w:val="0"/>
      <w:autoSpaceDN w:val="0"/>
      <w:adjustRightInd w:val="0"/>
      <w:jc w:val="center"/>
    </w:pPr>
    <w:rPr>
      <w:rFonts w:ascii="宋体" w:hAnsi="宋体"/>
      <w:color w:val="000000"/>
      <w:sz w:val="24"/>
      <w:lang w:val="zh-CN"/>
    </w:rPr>
  </w:style>
  <w:style w:type="paragraph" w:customStyle="1" w:styleId="ST205">
    <w:name w:val="ST20_5"/>
    <w:basedOn w:val="ST202"/>
    <w:rsid w:val="009964C3"/>
    <w:pPr>
      <w:keepLines/>
      <w:ind w:left="720" w:right="720"/>
    </w:pPr>
    <w:rPr>
      <w:i/>
      <w:iCs/>
      <w:szCs w:val="28"/>
    </w:rPr>
  </w:style>
  <w:style w:type="paragraph" w:customStyle="1" w:styleId="2205">
    <w:name w:val="样式 目录 2 + 左侧:  2 字符 段前: 0.5 行"/>
    <w:basedOn w:val="2ff2"/>
    <w:semiHidden/>
    <w:rsid w:val="009964C3"/>
    <w:pPr>
      <w:tabs>
        <w:tab w:val="clear" w:pos="8296"/>
        <w:tab w:val="right" w:leader="dot" w:pos="8494"/>
      </w:tabs>
      <w:spacing w:beforeLines="50"/>
      <w:ind w:left="472"/>
    </w:pPr>
    <w:rPr>
      <w:rFonts w:cs="宋体"/>
      <w:sz w:val="28"/>
      <w:szCs w:val="28"/>
    </w:rPr>
  </w:style>
  <w:style w:type="paragraph" w:customStyle="1" w:styleId="099150">
    <w:name w:val="样式 四号 首行缩进:  0.99 厘米 行距: 1.5 倍行距"/>
    <w:basedOn w:val="af3"/>
    <w:rsid w:val="009964C3"/>
    <w:pPr>
      <w:spacing w:line="360" w:lineRule="auto"/>
      <w:ind w:firstLine="561"/>
    </w:pPr>
    <w:rPr>
      <w:rFonts w:cs="宋体"/>
      <w:sz w:val="28"/>
      <w:szCs w:val="20"/>
    </w:rPr>
  </w:style>
  <w:style w:type="paragraph" w:customStyle="1" w:styleId="22051">
    <w:name w:val="样式 目录 2 + 左侧:  2 字符 段前: 0.5 行1"/>
    <w:basedOn w:val="2ff2"/>
    <w:semiHidden/>
    <w:rsid w:val="009964C3"/>
    <w:pPr>
      <w:tabs>
        <w:tab w:val="clear" w:pos="8296"/>
        <w:tab w:val="right" w:leader="dot" w:pos="8494"/>
      </w:tabs>
      <w:spacing w:beforeLines="50"/>
      <w:ind w:left="472"/>
    </w:pPr>
    <w:rPr>
      <w:rFonts w:cs="宋体"/>
      <w:sz w:val="24"/>
    </w:rPr>
  </w:style>
  <w:style w:type="paragraph" w:customStyle="1" w:styleId="xl43">
    <w:name w:val="xl43"/>
    <w:basedOn w:val="af3"/>
    <w:rsid w:val="009964C3"/>
    <w:pPr>
      <w:widowControl/>
      <w:pBdr>
        <w:left w:val="single" w:sz="8" w:space="0" w:color="auto"/>
        <w:bottom w:val="single" w:sz="8" w:space="0" w:color="auto"/>
        <w:right w:val="single" w:sz="12" w:space="0" w:color="auto"/>
      </w:pBdr>
      <w:spacing w:before="100" w:beforeAutospacing="1" w:after="100" w:afterAutospacing="1"/>
      <w:jc w:val="center"/>
    </w:pPr>
    <w:rPr>
      <w:rFonts w:ascii="仿宋_GB2312" w:eastAsia="仿宋_GB2312" w:hAnsi="宋体" w:cs="宋体"/>
      <w:kern w:val="0"/>
      <w:szCs w:val="21"/>
    </w:rPr>
  </w:style>
  <w:style w:type="paragraph" w:customStyle="1" w:styleId="CharCharChar1CharCharChar3Char">
    <w:name w:val="Char Char Char1 Char Char Char3 Char"/>
    <w:basedOn w:val="af3"/>
    <w:semiHidden/>
    <w:rsid w:val="009964C3"/>
    <w:pPr>
      <w:adjustRightInd w:val="0"/>
      <w:spacing w:line="360" w:lineRule="atLeast"/>
      <w:jc w:val="left"/>
      <w:textAlignment w:val="baseline"/>
    </w:pPr>
    <w:rPr>
      <w:rFonts w:ascii="Tahoma" w:hAnsi="Tahoma"/>
      <w:kern w:val="0"/>
      <w:sz w:val="24"/>
      <w:szCs w:val="20"/>
    </w:rPr>
  </w:style>
  <w:style w:type="paragraph" w:customStyle="1" w:styleId="22050">
    <w:name w:val="样式 标题 2 + 首行缩进:  2 字符 段前: 0.5 行"/>
    <w:basedOn w:val="22"/>
    <w:semiHidden/>
    <w:rsid w:val="009964C3"/>
    <w:pPr>
      <w:tabs>
        <w:tab w:val="left" w:pos="959"/>
      </w:tabs>
      <w:adjustRightInd w:val="0"/>
      <w:snapToGrid w:val="0"/>
      <w:spacing w:before="181" w:after="0" w:line="240" w:lineRule="auto"/>
      <w:ind w:left="576"/>
    </w:pPr>
    <w:rPr>
      <w:rFonts w:ascii="黑体"/>
      <w:sz w:val="24"/>
      <w:szCs w:val="20"/>
    </w:rPr>
  </w:style>
  <w:style w:type="paragraph" w:customStyle="1" w:styleId="Char112">
    <w:name w:val="Char112"/>
    <w:basedOn w:val="af3"/>
    <w:rsid w:val="009964C3"/>
    <w:pPr>
      <w:ind w:left="-48"/>
    </w:pPr>
  </w:style>
  <w:style w:type="paragraph" w:customStyle="1" w:styleId="afffffffffffffffffff8">
    <w:name w:val="题注表"/>
    <w:basedOn w:val="afff2"/>
    <w:qFormat/>
    <w:rsid w:val="009964C3"/>
    <w:pPr>
      <w:keepNext/>
      <w:spacing w:before="120" w:after="120"/>
      <w:jc w:val="center"/>
    </w:pPr>
    <w:rPr>
      <w:rFonts w:ascii="Times New Roman" w:hAnsi="Times New Roman" w:cs="Times New Roman"/>
      <w:kern w:val="0"/>
      <w:sz w:val="24"/>
      <w:szCs w:val="24"/>
    </w:rPr>
  </w:style>
  <w:style w:type="paragraph" w:customStyle="1" w:styleId="zw">
    <w:name w:val="zw"/>
    <w:basedOn w:val="af3"/>
    <w:rsid w:val="009964C3"/>
    <w:pPr>
      <w:spacing w:line="360" w:lineRule="auto"/>
      <w:ind w:firstLineChars="100" w:firstLine="240"/>
    </w:pPr>
    <w:rPr>
      <w:rFonts w:ascii="宋体" w:hAnsi="宋体"/>
      <w:sz w:val="24"/>
    </w:rPr>
  </w:style>
  <w:style w:type="paragraph" w:customStyle="1" w:styleId="18">
    <w:name w:val="段落1"/>
    <w:basedOn w:val="af3"/>
    <w:link w:val="1Char4"/>
    <w:rsid w:val="009964C3"/>
    <w:pPr>
      <w:widowControl/>
      <w:tabs>
        <w:tab w:val="left" w:pos="180"/>
        <w:tab w:val="left" w:pos="3420"/>
        <w:tab w:val="left" w:pos="4140"/>
        <w:tab w:val="left" w:pos="5580"/>
      </w:tabs>
      <w:spacing w:line="360" w:lineRule="auto"/>
      <w:ind w:firstLineChars="198" w:firstLine="475"/>
    </w:pPr>
    <w:rPr>
      <w:kern w:val="0"/>
      <w:sz w:val="24"/>
    </w:rPr>
  </w:style>
  <w:style w:type="paragraph" w:customStyle="1" w:styleId="xl26">
    <w:name w:val="xl26"/>
    <w:basedOn w:val="af3"/>
    <w:rsid w:val="009964C3"/>
    <w:pPr>
      <w:widowControl/>
      <w:pBdr>
        <w:bottom w:val="single" w:sz="12" w:space="0" w:color="auto"/>
        <w:right w:val="single" w:sz="8" w:space="0" w:color="auto"/>
      </w:pBdr>
      <w:spacing w:before="100" w:beforeAutospacing="1" w:after="100" w:afterAutospacing="1"/>
      <w:jc w:val="center"/>
    </w:pPr>
    <w:rPr>
      <w:kern w:val="0"/>
      <w:szCs w:val="21"/>
    </w:rPr>
  </w:style>
  <w:style w:type="paragraph" w:customStyle="1" w:styleId="1031">
    <w:name w:val="表题103"/>
    <w:basedOn w:val="af4"/>
    <w:rsid w:val="009964C3"/>
    <w:pPr>
      <w:ind w:firstLineChars="0" w:firstLine="0"/>
      <w:jc w:val="center"/>
    </w:pPr>
    <w:rPr>
      <w:rFonts w:ascii="黑体" w:eastAsia="黑体"/>
      <w:sz w:val="24"/>
      <w:szCs w:val="24"/>
    </w:rPr>
  </w:style>
  <w:style w:type="paragraph" w:customStyle="1" w:styleId="5124">
    <w:name w:val="样式 表内5 + (符号) 宋体 两端对齐 行距: 单倍行距12"/>
    <w:basedOn w:val="af3"/>
    <w:rsid w:val="009964C3"/>
    <w:pPr>
      <w:adjustRightInd w:val="0"/>
      <w:snapToGrid w:val="0"/>
      <w:jc w:val="center"/>
    </w:pPr>
    <w:rPr>
      <w:rFonts w:ascii="宋体" w:hAnsi="宋体" w:cs="宋体"/>
      <w:kern w:val="0"/>
      <w:szCs w:val="20"/>
    </w:rPr>
  </w:style>
  <w:style w:type="paragraph" w:customStyle="1" w:styleId="1120">
    <w:name w:val="表题112"/>
    <w:basedOn w:val="af3"/>
    <w:rsid w:val="009964C3"/>
    <w:pPr>
      <w:adjustRightInd w:val="0"/>
      <w:snapToGrid w:val="0"/>
      <w:jc w:val="center"/>
      <w:textAlignment w:val="baseline"/>
    </w:pPr>
    <w:rPr>
      <w:rFonts w:ascii="黑体" w:eastAsia="黑体" w:hAnsi="宋体"/>
      <w:kern w:val="0"/>
      <w:sz w:val="24"/>
    </w:rPr>
  </w:style>
  <w:style w:type="paragraph" w:customStyle="1" w:styleId="04">
    <w:name w:val="标题0"/>
    <w:basedOn w:val="aff7"/>
    <w:rsid w:val="009964C3"/>
    <w:pPr>
      <w:overflowPunct/>
      <w:autoSpaceDE/>
      <w:autoSpaceDN/>
      <w:snapToGrid w:val="0"/>
      <w:ind w:firstLine="0"/>
      <w:jc w:val="center"/>
      <w:textAlignment w:val="auto"/>
    </w:pPr>
    <w:rPr>
      <w:rFonts w:eastAsia="黑体"/>
      <w:sz w:val="36"/>
      <w:szCs w:val="24"/>
    </w:rPr>
  </w:style>
  <w:style w:type="paragraph" w:customStyle="1" w:styleId="afffffffc">
    <w:name w:val="样式 题注 + (西文) 宋体"/>
    <w:basedOn w:val="afff2"/>
    <w:link w:val="Charfffff4"/>
    <w:rsid w:val="009964C3"/>
    <w:pPr>
      <w:keepNext/>
      <w:tabs>
        <w:tab w:val="left" w:pos="1727"/>
        <w:tab w:val="left" w:pos="1884"/>
      </w:tabs>
      <w:spacing w:line="360" w:lineRule="auto"/>
      <w:jc w:val="center"/>
      <w:outlineLvl w:val="0"/>
    </w:pPr>
    <w:rPr>
      <w:rFonts w:ascii="宋体" w:eastAsia="宋体" w:hAnsi="宋体" w:cs="宋体"/>
      <w:color w:val="000000"/>
      <w:kern w:val="0"/>
      <w:sz w:val="28"/>
      <w:szCs w:val="28"/>
      <w:lang w:val="zh-CN"/>
    </w:rPr>
  </w:style>
  <w:style w:type="paragraph" w:customStyle="1" w:styleId="2CharCharChar2">
    <w:name w:val="样式 首行缩进:  2 字符 Char Char Char"/>
    <w:basedOn w:val="af3"/>
    <w:semiHidden/>
    <w:rsid w:val="009964C3"/>
    <w:pPr>
      <w:ind w:firstLineChars="200" w:firstLine="200"/>
    </w:pPr>
    <w:rPr>
      <w:rFonts w:ascii="Arial" w:eastAsia="创艺简仿宋" w:hAnsi="Arial" w:cs="宋体"/>
      <w:sz w:val="24"/>
    </w:rPr>
  </w:style>
  <w:style w:type="paragraph" w:customStyle="1" w:styleId="afffffff5">
    <w:name w:val="环 内容"/>
    <w:basedOn w:val="af3"/>
    <w:link w:val="CharCharff"/>
    <w:semiHidden/>
    <w:rsid w:val="009964C3"/>
    <w:pPr>
      <w:ind w:firstLineChars="200" w:firstLine="200"/>
    </w:pPr>
    <w:rPr>
      <w:rFonts w:ascii="宋体" w:hAnsi="宋体"/>
      <w:snapToGrid w:val="0"/>
      <w:sz w:val="24"/>
    </w:rPr>
  </w:style>
  <w:style w:type="paragraph" w:customStyle="1" w:styleId="Char220">
    <w:name w:val="Char22"/>
    <w:basedOn w:val="af3"/>
    <w:rsid w:val="009964C3"/>
    <w:pPr>
      <w:ind w:left="-48"/>
    </w:pPr>
  </w:style>
  <w:style w:type="paragraph" w:customStyle="1" w:styleId="affffffff9">
    <w:name w:val="海南化工城正文"/>
    <w:basedOn w:val="af3"/>
    <w:link w:val="Charffffff1"/>
    <w:rsid w:val="009964C3"/>
    <w:pPr>
      <w:spacing w:line="324" w:lineRule="auto"/>
      <w:ind w:firstLineChars="200" w:firstLine="480"/>
    </w:pPr>
    <w:rPr>
      <w:rFonts w:ascii="宋体" w:hAnsi="宋体" w:cs="宋体"/>
      <w:sz w:val="24"/>
    </w:rPr>
  </w:style>
  <w:style w:type="paragraph" w:customStyle="1" w:styleId="15520">
    <w:name w:val="样式 标题 1 + 宋体 四号 居中 段前: 5 磅 段后: 5 磅 行距: 最小值 20 磅"/>
    <w:basedOn w:val="13"/>
    <w:rsid w:val="009964C3"/>
    <w:pPr>
      <w:spacing w:before="100" w:after="100" w:line="400" w:lineRule="atLeast"/>
      <w:jc w:val="center"/>
    </w:pPr>
    <w:rPr>
      <w:rFonts w:ascii="宋体" w:hAnsi="宋体"/>
      <w:b w:val="0"/>
      <w:szCs w:val="20"/>
    </w:rPr>
  </w:style>
  <w:style w:type="paragraph" w:customStyle="1" w:styleId="af2">
    <w:name w:val="_五级标题"/>
    <w:qFormat/>
    <w:rsid w:val="009964C3"/>
    <w:pPr>
      <w:numPr>
        <w:ilvl w:val="7"/>
        <w:numId w:val="17"/>
      </w:numPr>
      <w:jc w:val="both"/>
    </w:pPr>
    <w:rPr>
      <w:rFonts w:cs="宋体"/>
      <w:sz w:val="24"/>
      <w:szCs w:val="32"/>
      <w:lang w:val="zh-CN"/>
    </w:rPr>
  </w:style>
  <w:style w:type="paragraph" w:customStyle="1" w:styleId="CharCharChar5">
    <w:name w:val="正文样式 Char Char Char"/>
    <w:basedOn w:val="af3"/>
    <w:link w:val="CharCharCharChar2"/>
    <w:rsid w:val="009964C3"/>
    <w:pPr>
      <w:spacing w:line="360" w:lineRule="auto"/>
      <w:ind w:firstLineChars="200" w:firstLine="480"/>
    </w:pPr>
    <w:rPr>
      <w:rFonts w:ascii="宋体" w:hAnsi="宋体"/>
      <w:color w:val="000000"/>
      <w:sz w:val="24"/>
    </w:rPr>
  </w:style>
  <w:style w:type="paragraph" w:customStyle="1" w:styleId="642">
    <w:name w:val="页眉中64"/>
    <w:basedOn w:val="4a"/>
    <w:rsid w:val="009964C3"/>
    <w:pPr>
      <w:snapToGrid w:val="0"/>
      <w:spacing w:line="360" w:lineRule="auto"/>
      <w:textAlignment w:val="auto"/>
    </w:pPr>
    <w:rPr>
      <w:rFonts w:ascii="黑体" w:eastAsia="黑体"/>
      <w:szCs w:val="24"/>
    </w:rPr>
  </w:style>
  <w:style w:type="paragraph" w:customStyle="1" w:styleId="142">
    <w:name w:val="待定小14"/>
    <w:basedOn w:val="afffffffffe"/>
    <w:rsid w:val="009964C3"/>
    <w:pPr>
      <w:spacing w:line="240" w:lineRule="auto"/>
      <w:ind w:firstLine="0"/>
    </w:pPr>
    <w:rPr>
      <w:color w:val="0000FF"/>
      <w:sz w:val="21"/>
      <w:szCs w:val="20"/>
    </w:rPr>
  </w:style>
  <w:style w:type="paragraph" w:customStyle="1" w:styleId="xl34">
    <w:name w:val="xl34"/>
    <w:basedOn w:val="af3"/>
    <w:rsid w:val="009964C3"/>
    <w:pPr>
      <w:widowControl/>
      <w:spacing w:before="100" w:beforeAutospacing="1" w:after="100" w:afterAutospacing="1"/>
      <w:jc w:val="center"/>
    </w:pPr>
    <w:rPr>
      <w:rFonts w:ascii="Arial Unicode MS" w:eastAsia="Arial Unicode MS" w:hAnsi="Arial Unicode MS"/>
      <w:kern w:val="0"/>
      <w:sz w:val="24"/>
    </w:rPr>
  </w:style>
  <w:style w:type="paragraph" w:customStyle="1" w:styleId="affffffff6">
    <w:name w:val="图表标题"/>
    <w:basedOn w:val="af3"/>
    <w:link w:val="Charfffffe"/>
    <w:rsid w:val="009964C3"/>
    <w:pPr>
      <w:adjustRightInd w:val="0"/>
      <w:snapToGrid w:val="0"/>
      <w:spacing w:line="360" w:lineRule="auto"/>
      <w:jc w:val="center"/>
    </w:pPr>
    <w:rPr>
      <w:rFonts w:ascii="黑体" w:eastAsia="黑体"/>
      <w:b/>
      <w:color w:val="000000"/>
      <w:sz w:val="24"/>
      <w:szCs w:val="21"/>
    </w:rPr>
  </w:style>
  <w:style w:type="paragraph" w:customStyle="1" w:styleId="BodyText21">
    <w:name w:val="Body Text 21"/>
    <w:basedOn w:val="af3"/>
    <w:rsid w:val="009964C3"/>
    <w:pPr>
      <w:autoSpaceDE w:val="0"/>
      <w:autoSpaceDN w:val="0"/>
      <w:adjustRightInd w:val="0"/>
      <w:spacing w:line="360" w:lineRule="auto"/>
      <w:jc w:val="left"/>
      <w:textAlignment w:val="baseline"/>
    </w:pPr>
    <w:rPr>
      <w:rFonts w:ascii="宋体" w:hAnsi="Tms Rmn"/>
      <w:kern w:val="0"/>
      <w:sz w:val="28"/>
      <w:szCs w:val="20"/>
    </w:rPr>
  </w:style>
  <w:style w:type="paragraph" w:customStyle="1" w:styleId="125-1">
    <w:name w:val="表标题12.5-1"/>
    <w:basedOn w:val="1221"/>
    <w:rsid w:val="009964C3"/>
    <w:pPr>
      <w:spacing w:before="100"/>
    </w:pPr>
  </w:style>
  <w:style w:type="paragraph" w:customStyle="1" w:styleId="1221">
    <w:name w:val="样式 表标12.2 + 段前: 1 行"/>
    <w:basedOn w:val="1220"/>
    <w:rsid w:val="009964C3"/>
    <w:pPr>
      <w:tabs>
        <w:tab w:val="clear" w:pos="280"/>
        <w:tab w:val="left" w:pos="851"/>
      </w:tabs>
      <w:spacing w:before="240"/>
    </w:pPr>
    <w:rPr>
      <w:rFonts w:cs="宋体"/>
      <w:bCs/>
      <w:szCs w:val="20"/>
    </w:rPr>
  </w:style>
  <w:style w:type="paragraph" w:customStyle="1" w:styleId="16631">
    <w:name w:val="16.6.3.1"/>
    <w:basedOn w:val="16911"/>
    <w:rsid w:val="009964C3"/>
    <w:pPr>
      <w:numPr>
        <w:ilvl w:val="0"/>
        <w:numId w:val="0"/>
      </w:numPr>
      <w:tabs>
        <w:tab w:val="left" w:pos="425"/>
        <w:tab w:val="left" w:pos="1680"/>
      </w:tabs>
      <w:spacing w:after="0"/>
      <w:ind w:left="1680" w:hanging="420"/>
    </w:pPr>
  </w:style>
  <w:style w:type="paragraph" w:customStyle="1" w:styleId="affa">
    <w:name w:val="图题注"/>
    <w:basedOn w:val="afff2"/>
    <w:link w:val="Charb"/>
    <w:rsid w:val="009964C3"/>
    <w:pPr>
      <w:jc w:val="center"/>
    </w:pPr>
    <w:rPr>
      <w:rFonts w:ascii="黑体" w:cs="宋体"/>
      <w:b/>
      <w:bCs/>
      <w:sz w:val="24"/>
      <w:szCs w:val="24"/>
    </w:rPr>
  </w:style>
  <w:style w:type="paragraph" w:customStyle="1" w:styleId="247">
    <w:name w:val="福建正文缩进24"/>
    <w:basedOn w:val="af3"/>
    <w:rsid w:val="009964C3"/>
    <w:pPr>
      <w:tabs>
        <w:tab w:val="left" w:pos="4305"/>
      </w:tabs>
      <w:adjustRightInd w:val="0"/>
      <w:snapToGrid w:val="0"/>
      <w:spacing w:line="360" w:lineRule="auto"/>
      <w:ind w:firstLine="567"/>
    </w:pPr>
    <w:rPr>
      <w:rFonts w:ascii="宋体" w:hAnsi="宋体"/>
      <w:color w:val="000000"/>
      <w:sz w:val="24"/>
    </w:rPr>
  </w:style>
  <w:style w:type="paragraph" w:customStyle="1" w:styleId="5102">
    <w:name w:val="5号字行距1.0首行缩2"/>
    <w:basedOn w:val="af3"/>
    <w:semiHidden/>
    <w:rsid w:val="009964C3"/>
    <w:pPr>
      <w:ind w:firstLineChars="200" w:firstLine="200"/>
    </w:pPr>
  </w:style>
  <w:style w:type="paragraph" w:customStyle="1" w:styleId="afffffffffffffffffff9">
    <w:name w:val="附录三级条"/>
    <w:basedOn w:val="afffffffffffffff7"/>
    <w:next w:val="43"/>
    <w:rsid w:val="009964C3"/>
    <w:pPr>
      <w:tabs>
        <w:tab w:val="left" w:pos="360"/>
      </w:tabs>
      <w:ind w:left="360"/>
    </w:pPr>
  </w:style>
  <w:style w:type="paragraph" w:customStyle="1" w:styleId="21121122Char1Heading22111">
    <w:name w:val="样式 标题 21.1标题 21.1标题2标题 2 Char1节_Heading 2标2二级标题1.1标题一...1"/>
    <w:basedOn w:val="22"/>
    <w:link w:val="21121122Char1Heading22111CharChar"/>
    <w:rsid w:val="009964C3"/>
    <w:pPr>
      <w:tabs>
        <w:tab w:val="left" w:pos="654"/>
      </w:tabs>
      <w:spacing w:before="120" w:after="120" w:line="312" w:lineRule="auto"/>
      <w:ind w:left="141" w:hanging="567"/>
    </w:pPr>
    <w:rPr>
      <w:color w:val="000000"/>
      <w:sz w:val="24"/>
      <w:szCs w:val="24"/>
    </w:rPr>
  </w:style>
  <w:style w:type="paragraph" w:customStyle="1" w:styleId="ly">
    <w:name w:val="ly正文"/>
    <w:basedOn w:val="af3"/>
    <w:link w:val="lyChar"/>
    <w:semiHidden/>
    <w:rsid w:val="009964C3"/>
    <w:pPr>
      <w:spacing w:line="360" w:lineRule="auto"/>
      <w:ind w:firstLineChars="200" w:firstLine="480"/>
    </w:pPr>
    <w:rPr>
      <w:sz w:val="24"/>
    </w:rPr>
  </w:style>
  <w:style w:type="paragraph" w:customStyle="1" w:styleId="afffffffffffffffffffa">
    <w:name w:val="封面正文"/>
    <w:semiHidden/>
    <w:rsid w:val="009964C3"/>
    <w:pPr>
      <w:jc w:val="both"/>
    </w:pPr>
  </w:style>
  <w:style w:type="paragraph" w:customStyle="1" w:styleId="134">
    <w:name w:val="等核实13"/>
    <w:basedOn w:val="afffffff4"/>
    <w:rsid w:val="009964C3"/>
    <w:pPr>
      <w:ind w:firstLine="567"/>
    </w:pPr>
    <w:rPr>
      <w:rFonts w:cs="Times New Roman"/>
      <w:color w:val="0000FF"/>
      <w:szCs w:val="20"/>
    </w:rPr>
  </w:style>
  <w:style w:type="paragraph" w:customStyle="1" w:styleId="1CharCharCharChar">
    <w:name w:val="1 Char Char Char Char"/>
    <w:basedOn w:val="af3"/>
    <w:qFormat/>
    <w:rsid w:val="009964C3"/>
    <w:pPr>
      <w:spacing w:line="360" w:lineRule="auto"/>
      <w:ind w:firstLineChars="200" w:firstLine="200"/>
    </w:pPr>
    <w:rPr>
      <w:rFonts w:ascii="宋体" w:hAnsi="宋体" w:cs="宋体"/>
      <w:sz w:val="24"/>
    </w:rPr>
  </w:style>
  <w:style w:type="paragraph" w:customStyle="1" w:styleId="1fffc">
    <w:name w:val="样式 标题 1 + 宋体 居中"/>
    <w:basedOn w:val="13"/>
    <w:rsid w:val="009964C3"/>
    <w:pPr>
      <w:jc w:val="center"/>
    </w:pPr>
    <w:rPr>
      <w:rFonts w:ascii="宋体" w:hAnsi="宋体"/>
      <w:b w:val="0"/>
      <w:szCs w:val="20"/>
    </w:rPr>
  </w:style>
  <w:style w:type="paragraph" w:customStyle="1" w:styleId="2055">
    <w:name w:val="样式 标题 2 + 段后: 0.5 行5"/>
    <w:basedOn w:val="22"/>
    <w:rsid w:val="009964C3"/>
    <w:pPr>
      <w:widowControl/>
      <w:autoSpaceDN w:val="0"/>
      <w:adjustRightInd w:val="0"/>
      <w:snapToGrid w:val="0"/>
      <w:spacing w:before="120" w:after="0" w:line="300" w:lineRule="auto"/>
      <w:jc w:val="left"/>
      <w:textAlignment w:val="baseline"/>
    </w:pPr>
    <w:rPr>
      <w:rFonts w:ascii="Times New Roman" w:eastAsia="宋体" w:hAnsi="Times New Roman"/>
      <w:bCs w:val="0"/>
      <w:color w:val="000000"/>
      <w:kern w:val="0"/>
      <w:sz w:val="30"/>
      <w:szCs w:val="30"/>
    </w:rPr>
  </w:style>
  <w:style w:type="paragraph" w:customStyle="1" w:styleId="343">
    <w:name w:val="表内文字大34"/>
    <w:basedOn w:val="af3"/>
    <w:rsid w:val="009964C3"/>
    <w:pPr>
      <w:adjustRightInd w:val="0"/>
      <w:snapToGrid w:val="0"/>
      <w:jc w:val="center"/>
    </w:pPr>
    <w:rPr>
      <w:rFonts w:ascii="宋体" w:hAnsi="Times"/>
      <w:sz w:val="24"/>
      <w:szCs w:val="20"/>
    </w:rPr>
  </w:style>
  <w:style w:type="paragraph" w:customStyle="1" w:styleId="41111411114Char41111Char1110">
    <w:name w:val="样式 样式 标题 41.1.1.1标题 4.1.1.1.1标题 4 Char款标41.1.1.1 Char段1.1.1... +..."/>
    <w:basedOn w:val="41111411114Char41111Char111"/>
    <w:rsid w:val="009964C3"/>
    <w:pPr>
      <w:spacing w:after="120"/>
      <w:ind w:left="720" w:hanging="720"/>
    </w:pPr>
    <w:rPr>
      <w:bCs/>
    </w:rPr>
  </w:style>
  <w:style w:type="paragraph" w:customStyle="1" w:styleId="ae">
    <w:name w:val="_章标题"/>
    <w:qFormat/>
    <w:rsid w:val="009964C3"/>
    <w:pPr>
      <w:numPr>
        <w:ilvl w:val="1"/>
        <w:numId w:val="17"/>
      </w:numPr>
      <w:spacing w:beforeLines="100" w:afterLines="100"/>
      <w:jc w:val="center"/>
      <w:outlineLvl w:val="1"/>
    </w:pPr>
    <w:rPr>
      <w:rFonts w:cs="宋体"/>
      <w:b/>
      <w:kern w:val="2"/>
      <w:sz w:val="28"/>
      <w:szCs w:val="28"/>
    </w:rPr>
  </w:style>
  <w:style w:type="paragraph" w:customStyle="1" w:styleId="bodyoftable">
    <w:name w:val="body of table"/>
    <w:basedOn w:val="af3"/>
    <w:semiHidden/>
    <w:rsid w:val="009964C3"/>
    <w:pPr>
      <w:widowControl/>
      <w:spacing w:line="300" w:lineRule="auto"/>
      <w:jc w:val="center"/>
    </w:pPr>
    <w:rPr>
      <w:rFonts w:eastAsia="仿宋_GB2312"/>
      <w:kern w:val="0"/>
      <w:sz w:val="24"/>
      <w:szCs w:val="20"/>
    </w:rPr>
  </w:style>
  <w:style w:type="paragraph" w:customStyle="1" w:styleId="afffffffffffffffffffb">
    <w:name w:val="表内文字规定"/>
    <w:basedOn w:val="af3"/>
    <w:rsid w:val="009964C3"/>
    <w:pPr>
      <w:spacing w:line="360" w:lineRule="exact"/>
      <w:jc w:val="center"/>
    </w:pPr>
    <w:rPr>
      <w:rFonts w:cs="宋体"/>
      <w:szCs w:val="20"/>
    </w:rPr>
  </w:style>
  <w:style w:type="paragraph" w:customStyle="1" w:styleId="5341">
    <w:name w:val="表内5中34"/>
    <w:basedOn w:val="af3"/>
    <w:rsid w:val="009964C3"/>
    <w:pPr>
      <w:adjustRightInd w:val="0"/>
      <w:snapToGrid w:val="0"/>
      <w:jc w:val="center"/>
    </w:pPr>
    <w:rPr>
      <w:rFonts w:ascii="宋体"/>
    </w:rPr>
  </w:style>
  <w:style w:type="paragraph" w:customStyle="1" w:styleId="dxj">
    <w:name w:val="dxj表头"/>
    <w:basedOn w:val="af3"/>
    <w:link w:val="dxjChar"/>
    <w:semiHidden/>
    <w:rsid w:val="009964C3"/>
    <w:pPr>
      <w:spacing w:line="360" w:lineRule="auto"/>
      <w:jc w:val="center"/>
    </w:pPr>
    <w:rPr>
      <w:rFonts w:eastAsia="黑体"/>
      <w:szCs w:val="21"/>
    </w:rPr>
  </w:style>
  <w:style w:type="paragraph" w:customStyle="1" w:styleId="21a">
    <w:name w:val="表内文字21"/>
    <w:basedOn w:val="af3"/>
    <w:qFormat/>
    <w:rsid w:val="009964C3"/>
    <w:pPr>
      <w:widowControl/>
      <w:adjustRightInd w:val="0"/>
      <w:snapToGrid w:val="0"/>
      <w:jc w:val="center"/>
    </w:pPr>
    <w:rPr>
      <w:kern w:val="0"/>
      <w:szCs w:val="21"/>
    </w:rPr>
  </w:style>
  <w:style w:type="paragraph" w:customStyle="1" w:styleId="56">
    <w:name w:val="表5.6"/>
    <w:basedOn w:val="21"/>
    <w:link w:val="56Char"/>
    <w:rsid w:val="009964C3"/>
    <w:pPr>
      <w:numPr>
        <w:numId w:val="0"/>
      </w:numPr>
      <w:tabs>
        <w:tab w:val="clear" w:pos="4060"/>
        <w:tab w:val="clear" w:pos="8261"/>
        <w:tab w:val="left" w:pos="360"/>
        <w:tab w:val="left" w:pos="1080"/>
        <w:tab w:val="left" w:pos="4200"/>
      </w:tabs>
      <w:ind w:left="420"/>
    </w:pPr>
    <w:rPr>
      <w:bCs/>
      <w:color w:val="FF0000"/>
      <w:szCs w:val="24"/>
    </w:rPr>
  </w:style>
  <w:style w:type="paragraph" w:customStyle="1" w:styleId="2fff4">
    <w:name w:val="标题 2 电化"/>
    <w:basedOn w:val="22"/>
    <w:semiHidden/>
    <w:rsid w:val="009964C3"/>
    <w:pPr>
      <w:keepNext w:val="0"/>
      <w:keepLines w:val="0"/>
      <w:numPr>
        <w:ilvl w:val="1"/>
      </w:numPr>
      <w:tabs>
        <w:tab w:val="left" w:pos="576"/>
      </w:tabs>
      <w:overflowPunct w:val="0"/>
      <w:autoSpaceDE w:val="0"/>
      <w:autoSpaceDN w:val="0"/>
      <w:adjustRightInd w:val="0"/>
      <w:spacing w:beforeLines="80" w:after="0" w:line="360" w:lineRule="auto"/>
      <w:textAlignment w:val="baseline"/>
    </w:pPr>
    <w:rPr>
      <w:rFonts w:cs="宋体"/>
      <w:bCs w:val="0"/>
      <w:kern w:val="20"/>
      <w:sz w:val="28"/>
      <w:szCs w:val="20"/>
    </w:rPr>
  </w:style>
  <w:style w:type="paragraph" w:customStyle="1" w:styleId="5410">
    <w:name w:val="表内宋5中41"/>
    <w:basedOn w:val="af3"/>
    <w:rsid w:val="009964C3"/>
    <w:pPr>
      <w:adjustRightInd w:val="0"/>
      <w:snapToGrid w:val="0"/>
      <w:jc w:val="center"/>
      <w:textAlignment w:val="baseline"/>
    </w:pPr>
    <w:rPr>
      <w:rFonts w:ascii="宋体" w:hAnsi="宋体"/>
      <w:kern w:val="0"/>
      <w:szCs w:val="20"/>
    </w:rPr>
  </w:style>
  <w:style w:type="paragraph" w:customStyle="1" w:styleId="1100">
    <w:name w:val="表内文字小110"/>
    <w:basedOn w:val="af3"/>
    <w:rsid w:val="009964C3"/>
    <w:pPr>
      <w:adjustRightInd w:val="0"/>
      <w:snapToGrid w:val="0"/>
      <w:jc w:val="center"/>
    </w:pPr>
    <w:rPr>
      <w:rFonts w:ascii="宋体" w:hAnsi="Times" w:cs="宋体"/>
      <w:szCs w:val="20"/>
    </w:rPr>
  </w:style>
  <w:style w:type="paragraph" w:customStyle="1" w:styleId="afffffffffffffffffffc">
    <w:name w:val="图注"/>
    <w:basedOn w:val="af4"/>
    <w:next w:val="af4"/>
    <w:semiHidden/>
    <w:rsid w:val="009964C3"/>
    <w:pPr>
      <w:snapToGrid w:val="0"/>
      <w:spacing w:before="360" w:after="360" w:line="60" w:lineRule="auto"/>
      <w:ind w:leftChars="133" w:left="279" w:firstLineChars="114" w:firstLine="540"/>
      <w:jc w:val="left"/>
    </w:pPr>
    <w:rPr>
      <w:rFonts w:ascii="宋体" w:hAnsi="宋体"/>
      <w:color w:val="000000"/>
      <w:kern w:val="0"/>
      <w:sz w:val="24"/>
      <w:szCs w:val="20"/>
    </w:rPr>
  </w:style>
  <w:style w:type="paragraph" w:customStyle="1" w:styleId="Address2">
    <w:name w:val="Address 2"/>
    <w:basedOn w:val="af3"/>
    <w:rsid w:val="009964C3"/>
    <w:pPr>
      <w:framePr w:w="2405" w:wrap="notBeside" w:vAnchor="page" w:hAnchor="page" w:x="5761" w:y="1009" w:anchorLock="1"/>
      <w:widowControl/>
      <w:spacing w:line="200" w:lineRule="atLeast"/>
      <w:jc w:val="left"/>
    </w:pPr>
    <w:rPr>
      <w:kern w:val="0"/>
      <w:sz w:val="16"/>
      <w:szCs w:val="20"/>
    </w:rPr>
  </w:style>
  <w:style w:type="paragraph" w:customStyle="1" w:styleId="afffffffffffffffffffd">
    <w:name w:val="缩进"/>
    <w:basedOn w:val="af3"/>
    <w:semiHidden/>
    <w:rsid w:val="009964C3"/>
    <w:pPr>
      <w:autoSpaceDE w:val="0"/>
      <w:autoSpaceDN w:val="0"/>
      <w:adjustRightInd w:val="0"/>
      <w:spacing w:line="400" w:lineRule="atLeast"/>
      <w:ind w:firstLine="425"/>
      <w:textAlignment w:val="baseline"/>
    </w:pPr>
    <w:rPr>
      <w:kern w:val="0"/>
      <w:sz w:val="24"/>
      <w:szCs w:val="20"/>
    </w:rPr>
  </w:style>
  <w:style w:type="paragraph" w:customStyle="1" w:styleId="538">
    <w:name w:val="标题53"/>
    <w:basedOn w:val="af3"/>
    <w:rsid w:val="009964C3"/>
    <w:pPr>
      <w:keepNext/>
      <w:keepLines/>
      <w:widowControl/>
      <w:adjustRightInd w:val="0"/>
      <w:snapToGrid w:val="0"/>
      <w:spacing w:line="360" w:lineRule="auto"/>
      <w:outlineLvl w:val="2"/>
    </w:pPr>
    <w:rPr>
      <w:b/>
      <w:snapToGrid w:val="0"/>
      <w:color w:val="000000"/>
      <w:kern w:val="0"/>
      <w:sz w:val="18"/>
      <w:szCs w:val="20"/>
    </w:rPr>
  </w:style>
  <w:style w:type="paragraph" w:customStyle="1" w:styleId="5163">
    <w:name w:val="表内宋5中16"/>
    <w:basedOn w:val="af3"/>
    <w:rsid w:val="009964C3"/>
    <w:pPr>
      <w:adjustRightInd w:val="0"/>
      <w:snapToGrid w:val="0"/>
      <w:jc w:val="center"/>
      <w:textAlignment w:val="baseline"/>
    </w:pPr>
    <w:rPr>
      <w:rFonts w:ascii="宋体" w:hAnsi="宋体"/>
      <w:kern w:val="0"/>
      <w:szCs w:val="20"/>
    </w:rPr>
  </w:style>
  <w:style w:type="paragraph" w:customStyle="1" w:styleId="afffffffffffffffffffe">
    <w:name w:val="表格左对齐"/>
    <w:basedOn w:val="afffffffff2"/>
    <w:semiHidden/>
    <w:rsid w:val="009964C3"/>
    <w:pPr>
      <w:adjustRightInd w:val="0"/>
      <w:snapToGrid w:val="0"/>
      <w:spacing w:line="280" w:lineRule="exact"/>
      <w:jc w:val="left"/>
    </w:pPr>
    <w:rPr>
      <w:rFonts w:ascii="Times New Roman" w:eastAsia="仿宋_GB2312" w:hAnsi="Times New Roman" w:cs="Times New Roman"/>
      <w:kern w:val="0"/>
    </w:rPr>
  </w:style>
  <w:style w:type="paragraph" w:customStyle="1" w:styleId="1fffd">
    <w:name w:val="表格样式1"/>
    <w:basedOn w:val="af3"/>
    <w:rsid w:val="009964C3"/>
    <w:pPr>
      <w:adjustRightInd w:val="0"/>
      <w:spacing w:line="20" w:lineRule="atLeast"/>
      <w:jc w:val="center"/>
      <w:textAlignment w:val="baseline"/>
    </w:pPr>
    <w:rPr>
      <w:rFonts w:ascii="宋体"/>
      <w:kern w:val="0"/>
      <w:szCs w:val="20"/>
    </w:rPr>
  </w:style>
  <w:style w:type="paragraph" w:customStyle="1" w:styleId="GB23121520">
    <w:name w:val="样式 楷体_GB2312 (符号) 宋体 小四 行距: 1.5 倍行距 首行缩进:  2 字符"/>
    <w:basedOn w:val="af3"/>
    <w:rsid w:val="009964C3"/>
    <w:pPr>
      <w:spacing w:line="360" w:lineRule="auto"/>
      <w:ind w:firstLineChars="200" w:firstLine="480"/>
    </w:pPr>
    <w:rPr>
      <w:rFonts w:ascii="楷体_GB2312" w:hAnsi="宋体" w:cs="宋体"/>
      <w:sz w:val="24"/>
      <w:szCs w:val="20"/>
    </w:rPr>
  </w:style>
  <w:style w:type="paragraph" w:customStyle="1" w:styleId="1fffe">
    <w:name w:val="二级1"/>
    <w:basedOn w:val="22"/>
    <w:semiHidden/>
    <w:rsid w:val="009964C3"/>
    <w:pPr>
      <w:keepNext w:val="0"/>
      <w:keepLines w:val="0"/>
      <w:numPr>
        <w:ilvl w:val="1"/>
      </w:numPr>
      <w:tabs>
        <w:tab w:val="left" w:pos="576"/>
      </w:tabs>
      <w:spacing w:before="200" w:after="200" w:line="480" w:lineRule="exact"/>
      <w:ind w:left="576" w:hanging="576"/>
      <w:jc w:val="center"/>
    </w:pPr>
    <w:rPr>
      <w:rFonts w:ascii="宋体"/>
      <w:bCs w:val="0"/>
      <w:kern w:val="0"/>
      <w:sz w:val="28"/>
      <w:szCs w:val="28"/>
    </w:rPr>
  </w:style>
  <w:style w:type="paragraph" w:customStyle="1" w:styleId="affffffffffffffffffff">
    <w:name w:val="表格文字（对中）"/>
    <w:basedOn w:val="af4"/>
    <w:rsid w:val="009964C3"/>
    <w:pPr>
      <w:ind w:firstLineChars="0" w:firstLine="0"/>
      <w:jc w:val="center"/>
    </w:pPr>
    <w:rPr>
      <w:szCs w:val="24"/>
    </w:rPr>
  </w:style>
  <w:style w:type="paragraph" w:customStyle="1" w:styleId="78">
    <w:name w:val="表内文字7"/>
    <w:basedOn w:val="af3"/>
    <w:rsid w:val="009964C3"/>
    <w:pPr>
      <w:widowControl/>
      <w:adjustRightInd w:val="0"/>
      <w:snapToGrid w:val="0"/>
      <w:jc w:val="center"/>
    </w:pPr>
    <w:rPr>
      <w:rFonts w:ascii="宋体" w:hAnsi="宋体" w:cs="宋体"/>
      <w:color w:val="000000"/>
      <w:kern w:val="0"/>
      <w:sz w:val="24"/>
      <w:szCs w:val="20"/>
    </w:rPr>
  </w:style>
  <w:style w:type="paragraph" w:customStyle="1" w:styleId="affffffffffffffffffff0">
    <w:name w:val="图文框"/>
    <w:basedOn w:val="af3"/>
    <w:semiHidden/>
    <w:rsid w:val="009964C3"/>
    <w:pPr>
      <w:adjustRightInd w:val="0"/>
      <w:snapToGrid w:val="0"/>
      <w:spacing w:line="240" w:lineRule="atLeast"/>
      <w:ind w:firstLine="480"/>
      <w:jc w:val="center"/>
    </w:pPr>
    <w:rPr>
      <w:sz w:val="18"/>
      <w:szCs w:val="20"/>
    </w:rPr>
  </w:style>
  <w:style w:type="paragraph" w:customStyle="1" w:styleId="21b">
    <w:name w:val="表题21"/>
    <w:basedOn w:val="af3"/>
    <w:rsid w:val="009964C3"/>
    <w:pPr>
      <w:widowControl/>
      <w:adjustRightInd w:val="0"/>
      <w:snapToGrid w:val="0"/>
      <w:jc w:val="center"/>
    </w:pPr>
    <w:rPr>
      <w:rFonts w:ascii="黑体" w:eastAsia="黑体" w:hAnsi="宋体" w:cs="宋体"/>
      <w:kern w:val="0"/>
      <w:sz w:val="24"/>
    </w:rPr>
  </w:style>
  <w:style w:type="paragraph" w:customStyle="1" w:styleId="ksheet">
    <w:name w:val="ksheet"/>
    <w:basedOn w:val="af3"/>
    <w:rsid w:val="009964C3"/>
    <w:pPr>
      <w:autoSpaceDE w:val="0"/>
      <w:autoSpaceDN w:val="0"/>
      <w:adjustRightInd w:val="0"/>
      <w:spacing w:line="300" w:lineRule="exact"/>
      <w:jc w:val="center"/>
      <w:textAlignment w:val="baseline"/>
    </w:pPr>
    <w:rPr>
      <w:rFonts w:ascii="宋体"/>
      <w:snapToGrid w:val="0"/>
      <w:color w:val="000000"/>
      <w:kern w:val="0"/>
      <w:szCs w:val="20"/>
    </w:rPr>
  </w:style>
  <w:style w:type="paragraph" w:customStyle="1" w:styleId="affffffffffffffffffff1">
    <w:name w:val="封面标准文稿编辑信息"/>
    <w:rsid w:val="009964C3"/>
    <w:pPr>
      <w:spacing w:before="180" w:line="180" w:lineRule="exact"/>
      <w:jc w:val="center"/>
    </w:pPr>
    <w:rPr>
      <w:rFonts w:ascii="宋体"/>
      <w:sz w:val="21"/>
    </w:rPr>
  </w:style>
  <w:style w:type="paragraph" w:customStyle="1" w:styleId="affffffffffffffffffff2">
    <w:name w:val="封面标题"/>
    <w:basedOn w:val="13"/>
    <w:semiHidden/>
    <w:rsid w:val="009964C3"/>
    <w:pPr>
      <w:pageBreakBefore/>
      <w:tabs>
        <w:tab w:val="left" w:pos="1021"/>
        <w:tab w:val="left" w:pos="4380"/>
      </w:tabs>
      <w:suppressAutoHyphens/>
      <w:autoSpaceDE w:val="0"/>
      <w:spacing w:before="240" w:after="120" w:line="240" w:lineRule="auto"/>
      <w:ind w:left="3372" w:hanging="432"/>
      <w:jc w:val="center"/>
    </w:pPr>
    <w:rPr>
      <w:kern w:val="2"/>
      <w:sz w:val="52"/>
      <w:szCs w:val="20"/>
    </w:rPr>
  </w:style>
  <w:style w:type="paragraph" w:customStyle="1" w:styleId="5181">
    <w:name w:val="表内518"/>
    <w:basedOn w:val="5f2"/>
    <w:qFormat/>
    <w:rsid w:val="009964C3"/>
    <w:pPr>
      <w:jc w:val="both"/>
    </w:pPr>
    <w:rPr>
      <w:color w:val="000000"/>
    </w:rPr>
  </w:style>
  <w:style w:type="paragraph" w:customStyle="1" w:styleId="22Char0">
    <w:name w:val="样式 样式 小四 左 首行缩进:  2 字符 + 首行缩进:  2 字符 Char"/>
    <w:basedOn w:val="af3"/>
    <w:link w:val="22CharCharChar"/>
    <w:semiHidden/>
    <w:rsid w:val="009964C3"/>
    <w:pPr>
      <w:adjustRightInd w:val="0"/>
      <w:spacing w:line="360" w:lineRule="auto"/>
      <w:ind w:rightChars="-20" w:right="-56" w:firstLineChars="200" w:firstLine="560"/>
      <w:jc w:val="left"/>
      <w:textAlignment w:val="baseline"/>
    </w:pPr>
    <w:rPr>
      <w:sz w:val="28"/>
      <w:szCs w:val="20"/>
    </w:rPr>
  </w:style>
  <w:style w:type="paragraph" w:customStyle="1" w:styleId="Char1CharCharChar0">
    <w:name w:val="段落 Char1 Char Char Char"/>
    <w:basedOn w:val="af3"/>
    <w:rsid w:val="009964C3"/>
    <w:pPr>
      <w:tabs>
        <w:tab w:val="left" w:pos="1021"/>
      </w:tabs>
      <w:spacing w:line="326" w:lineRule="auto"/>
      <w:ind w:firstLineChars="200" w:firstLine="480"/>
    </w:pPr>
    <w:rPr>
      <w:color w:val="000000"/>
      <w:kern w:val="24"/>
      <w:sz w:val="24"/>
    </w:rPr>
  </w:style>
  <w:style w:type="paragraph" w:customStyle="1" w:styleId="447">
    <w:name w:val="表内文字小44"/>
    <w:basedOn w:val="af3"/>
    <w:rsid w:val="009964C3"/>
    <w:pPr>
      <w:adjustRightInd w:val="0"/>
      <w:snapToGrid w:val="0"/>
      <w:jc w:val="center"/>
    </w:pPr>
    <w:rPr>
      <w:rFonts w:ascii="宋体" w:hAnsi="Times"/>
      <w:szCs w:val="20"/>
    </w:rPr>
  </w:style>
  <w:style w:type="paragraph" w:customStyle="1" w:styleId="2fff5">
    <w:name w:val="样式 左侧:  2 字符"/>
    <w:basedOn w:val="af3"/>
    <w:next w:val="aff7"/>
    <w:rsid w:val="009964C3"/>
    <w:pPr>
      <w:spacing w:line="440" w:lineRule="exact"/>
      <w:ind w:leftChars="200" w:left="200"/>
      <w:jc w:val="left"/>
    </w:pPr>
    <w:rPr>
      <w:rFonts w:cs="宋体"/>
      <w:sz w:val="24"/>
    </w:rPr>
  </w:style>
  <w:style w:type="paragraph" w:customStyle="1" w:styleId="79">
    <w:name w:val="页眉中7"/>
    <w:basedOn w:val="af3"/>
    <w:rsid w:val="009964C3"/>
    <w:pPr>
      <w:adjustRightInd w:val="0"/>
      <w:snapToGrid w:val="0"/>
      <w:spacing w:line="300" w:lineRule="auto"/>
      <w:jc w:val="left"/>
    </w:pPr>
    <w:rPr>
      <w:rFonts w:ascii="黑体" w:eastAsia="黑体"/>
      <w:bCs/>
      <w:sz w:val="24"/>
      <w:szCs w:val="20"/>
    </w:rPr>
  </w:style>
  <w:style w:type="paragraph" w:customStyle="1" w:styleId="CharCharCharCharCharChar1CharCharCharChar">
    <w:name w:val="Char Char Char Char Char Char1 Char Char Char Char"/>
    <w:basedOn w:val="af3"/>
    <w:semiHidden/>
    <w:rsid w:val="009964C3"/>
    <w:rPr>
      <w:sz w:val="24"/>
    </w:rPr>
  </w:style>
  <w:style w:type="paragraph" w:customStyle="1" w:styleId="CUCD-40">
    <w:name w:val="CUCD-4"/>
    <w:next w:val="CUCD-00"/>
    <w:semiHidden/>
    <w:rsid w:val="009964C3"/>
    <w:pPr>
      <w:ind w:left="864" w:hanging="864"/>
      <w:jc w:val="both"/>
    </w:pPr>
    <w:rPr>
      <w:rFonts w:ascii="Arial" w:hAnsi="Arial"/>
      <w:b/>
      <w:kern w:val="2"/>
      <w:sz w:val="28"/>
      <w:szCs w:val="21"/>
    </w:rPr>
  </w:style>
  <w:style w:type="paragraph" w:customStyle="1" w:styleId="15b">
    <w:name w:val="待定小15"/>
    <w:basedOn w:val="afffffffffe"/>
    <w:qFormat/>
    <w:rsid w:val="009964C3"/>
    <w:pPr>
      <w:spacing w:line="240" w:lineRule="auto"/>
      <w:ind w:firstLine="0"/>
    </w:pPr>
    <w:rPr>
      <w:color w:val="0000FF"/>
      <w:sz w:val="21"/>
      <w:szCs w:val="20"/>
    </w:rPr>
  </w:style>
  <w:style w:type="paragraph" w:customStyle="1" w:styleId="CUCD-00">
    <w:name w:val="CUCD-0"/>
    <w:basedOn w:val="af3"/>
    <w:link w:val="CUCD-0Char0"/>
    <w:semiHidden/>
    <w:rsid w:val="009964C3"/>
    <w:pPr>
      <w:spacing w:line="360" w:lineRule="auto"/>
      <w:ind w:firstLineChars="200" w:firstLine="200"/>
    </w:pPr>
    <w:rPr>
      <w:rFonts w:ascii="Arial" w:eastAsia="黑体" w:hAnsi="Arial"/>
      <w:sz w:val="24"/>
      <w:szCs w:val="22"/>
    </w:rPr>
  </w:style>
  <w:style w:type="paragraph" w:customStyle="1" w:styleId="xx4">
    <w:name w:val="页眉xx4"/>
    <w:basedOn w:val="affffff"/>
    <w:rsid w:val="009964C3"/>
    <w:pPr>
      <w:framePr w:wrap="around" w:vAnchor="text" w:hAnchor="text" w:y="1"/>
      <w:pBdr>
        <w:bottom w:val="single" w:sz="2" w:space="1" w:color="auto"/>
      </w:pBdr>
      <w:tabs>
        <w:tab w:val="clear" w:pos="4153"/>
      </w:tabs>
      <w:adjustRightInd w:val="0"/>
    </w:pPr>
    <w:rPr>
      <w:rFonts w:ascii="宋体" w:hAnsi="宋体"/>
      <w:sz w:val="21"/>
      <w:szCs w:val="20"/>
    </w:rPr>
  </w:style>
  <w:style w:type="paragraph" w:customStyle="1" w:styleId="8Char1">
    <w:name w:val="8 Char"/>
    <w:basedOn w:val="af3"/>
    <w:semiHidden/>
    <w:rsid w:val="009964C3"/>
    <w:pPr>
      <w:spacing w:line="360" w:lineRule="auto"/>
      <w:ind w:firstLineChars="200" w:firstLine="480"/>
    </w:pPr>
    <w:rPr>
      <w:kern w:val="10"/>
      <w:sz w:val="24"/>
    </w:rPr>
  </w:style>
  <w:style w:type="paragraph" w:customStyle="1" w:styleId="4230">
    <w:name w:val="表内小423"/>
    <w:basedOn w:val="affffffffff"/>
    <w:rsid w:val="009964C3"/>
    <w:pPr>
      <w:ind w:left="240" w:hanging="240"/>
      <w:jc w:val="both"/>
    </w:pPr>
  </w:style>
  <w:style w:type="paragraph" w:customStyle="1" w:styleId="405">
    <w:name w:val="样式 标题 4 + 段前: 0.5 行"/>
    <w:basedOn w:val="43"/>
    <w:next w:val="aff7"/>
    <w:rsid w:val="009964C3"/>
    <w:pPr>
      <w:spacing w:beforeLines="50" w:afterLines="50" w:line="360" w:lineRule="auto"/>
    </w:pPr>
    <w:rPr>
      <w:rFonts w:ascii="宋体" w:hAnsi="宋体"/>
      <w:b w:val="0"/>
      <w:bCs w:val="0"/>
      <w:sz w:val="24"/>
      <w:szCs w:val="20"/>
    </w:rPr>
  </w:style>
  <w:style w:type="paragraph" w:customStyle="1" w:styleId="S4">
    <w:name w:val="二级标题S"/>
    <w:basedOn w:val="22"/>
    <w:next w:val="af3"/>
    <w:semiHidden/>
    <w:rsid w:val="009964C3"/>
    <w:pPr>
      <w:keepNext w:val="0"/>
      <w:keepLines w:val="0"/>
      <w:numPr>
        <w:ilvl w:val="1"/>
      </w:numPr>
      <w:tabs>
        <w:tab w:val="left" w:pos="576"/>
      </w:tabs>
      <w:spacing w:beforeLines="30" w:afterLines="30" w:line="480" w:lineRule="exact"/>
      <w:ind w:left="576" w:hanging="576"/>
    </w:pPr>
    <w:rPr>
      <w:rFonts w:eastAsia="仿宋_GB2312"/>
      <w:b w:val="0"/>
      <w:kern w:val="16"/>
      <w:sz w:val="28"/>
      <w:szCs w:val="20"/>
    </w:rPr>
  </w:style>
  <w:style w:type="paragraph" w:customStyle="1" w:styleId="xl111">
    <w:name w:val="xl111"/>
    <w:basedOn w:val="af3"/>
    <w:rsid w:val="009964C3"/>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18"/>
      <w:szCs w:val="18"/>
    </w:rPr>
  </w:style>
  <w:style w:type="paragraph" w:customStyle="1" w:styleId="GB231210">
    <w:name w:val="样式 楷体_GB2312 小四1"/>
    <w:basedOn w:val="af3"/>
    <w:next w:val="af3"/>
    <w:link w:val="GB23121Char"/>
    <w:qFormat/>
    <w:rsid w:val="009964C3"/>
    <w:pPr>
      <w:spacing w:line="360" w:lineRule="auto"/>
      <w:ind w:firstLineChars="200" w:firstLine="200"/>
    </w:pPr>
    <w:rPr>
      <w:rFonts w:ascii="楷体_GB2312"/>
      <w:kern w:val="0"/>
      <w:sz w:val="24"/>
    </w:rPr>
  </w:style>
  <w:style w:type="paragraph" w:customStyle="1" w:styleId="474">
    <w:name w:val="标题474"/>
    <w:basedOn w:val="af3"/>
    <w:rsid w:val="009964C3"/>
    <w:pPr>
      <w:adjustRightInd w:val="0"/>
      <w:snapToGrid w:val="0"/>
      <w:spacing w:line="300" w:lineRule="auto"/>
    </w:pPr>
    <w:rPr>
      <w:rFonts w:ascii="黑体" w:eastAsia="黑体"/>
      <w:sz w:val="24"/>
      <w:szCs w:val="20"/>
    </w:rPr>
  </w:style>
  <w:style w:type="paragraph" w:customStyle="1" w:styleId="Char1CharCharChar1CharCharCharCharCharCharCharCharCharCharCharChar">
    <w:name w:val="Char1 Char Char Char1 Char Char Char Char Char Char Char Char Char Char Char Char"/>
    <w:basedOn w:val="af3"/>
    <w:next w:val="af3"/>
    <w:semiHidden/>
    <w:rsid w:val="009964C3"/>
  </w:style>
  <w:style w:type="paragraph" w:customStyle="1" w:styleId="5ff4">
    <w:name w:val="图题5"/>
    <w:basedOn w:val="af4"/>
    <w:rsid w:val="009964C3"/>
    <w:pPr>
      <w:adjustRightInd w:val="0"/>
      <w:snapToGrid w:val="0"/>
      <w:ind w:firstLineChars="0" w:firstLine="0"/>
      <w:jc w:val="center"/>
    </w:pPr>
    <w:rPr>
      <w:rFonts w:ascii="方正大标宋简体" w:eastAsia="方正大标宋简体" w:hAnsi="宋体"/>
      <w:b/>
      <w:color w:val="000000"/>
      <w:sz w:val="24"/>
      <w:szCs w:val="24"/>
    </w:rPr>
  </w:style>
  <w:style w:type="paragraph" w:customStyle="1" w:styleId="5ff5">
    <w:name w:val="表中文字5"/>
    <w:basedOn w:val="af3"/>
    <w:rsid w:val="009964C3"/>
    <w:pPr>
      <w:widowControl/>
      <w:spacing w:line="240" w:lineRule="atLeast"/>
      <w:ind w:leftChars="-10" w:left="-24" w:rightChars="-20" w:right="-48"/>
      <w:jc w:val="center"/>
    </w:pPr>
    <w:rPr>
      <w:rFonts w:ascii="宋体"/>
      <w:kern w:val="0"/>
      <w:szCs w:val="21"/>
    </w:rPr>
  </w:style>
  <w:style w:type="paragraph" w:customStyle="1" w:styleId="426">
    <w:name w:val="标题42"/>
    <w:basedOn w:val="af3"/>
    <w:rsid w:val="009964C3"/>
    <w:pPr>
      <w:adjustRightInd w:val="0"/>
      <w:snapToGrid w:val="0"/>
      <w:spacing w:line="300" w:lineRule="auto"/>
      <w:jc w:val="left"/>
    </w:pPr>
    <w:rPr>
      <w:rFonts w:ascii="宋体" w:hAnsi="宋体"/>
      <w:sz w:val="24"/>
      <w:szCs w:val="20"/>
    </w:rPr>
  </w:style>
  <w:style w:type="paragraph" w:customStyle="1" w:styleId="3ff2">
    <w:name w:val="徐正生  标题3"/>
    <w:basedOn w:val="af3"/>
    <w:qFormat/>
    <w:rsid w:val="009964C3"/>
    <w:pPr>
      <w:spacing w:line="360" w:lineRule="auto"/>
    </w:pPr>
    <w:rPr>
      <w:rFonts w:cs="宋体"/>
      <w:sz w:val="24"/>
      <w:szCs w:val="20"/>
    </w:rPr>
  </w:style>
  <w:style w:type="paragraph" w:customStyle="1" w:styleId="CUCD-H">
    <w:name w:val="CUCD-H"/>
    <w:next w:val="CUCD-00"/>
    <w:semiHidden/>
    <w:rsid w:val="009964C3"/>
    <w:pPr>
      <w:spacing w:line="360" w:lineRule="auto"/>
      <w:jc w:val="center"/>
    </w:pPr>
    <w:rPr>
      <w:rFonts w:ascii="Arial" w:eastAsia="黑体" w:hAnsi="Arial"/>
      <w:b/>
      <w:kern w:val="2"/>
      <w:sz w:val="24"/>
      <w:szCs w:val="21"/>
    </w:rPr>
  </w:style>
  <w:style w:type="paragraph" w:customStyle="1" w:styleId="524">
    <w:name w:val="表内小5中2"/>
    <w:basedOn w:val="af3"/>
    <w:rsid w:val="009964C3"/>
    <w:pPr>
      <w:adjustRightInd w:val="0"/>
      <w:snapToGrid w:val="0"/>
      <w:jc w:val="center"/>
    </w:pPr>
    <w:rPr>
      <w:rFonts w:ascii="宋体" w:hAnsi="宋体"/>
      <w:sz w:val="18"/>
      <w:szCs w:val="20"/>
    </w:rPr>
  </w:style>
  <w:style w:type="paragraph" w:customStyle="1" w:styleId="afffff9">
    <w:name w:val="朔电正文"/>
    <w:basedOn w:val="af3"/>
    <w:link w:val="Char1f0"/>
    <w:rsid w:val="009964C3"/>
    <w:pPr>
      <w:adjustRightInd w:val="0"/>
      <w:snapToGrid w:val="0"/>
      <w:spacing w:beforeLines="25" w:line="440" w:lineRule="exact"/>
      <w:ind w:firstLineChars="200" w:firstLine="480"/>
    </w:pPr>
    <w:rPr>
      <w:color w:val="000000"/>
      <w:kern w:val="32"/>
      <w:sz w:val="24"/>
    </w:rPr>
  </w:style>
  <w:style w:type="paragraph" w:customStyle="1" w:styleId="affffffffffffffffffff3">
    <w:name w:val="表头 + 带序号"/>
    <w:basedOn w:val="affff"/>
    <w:rsid w:val="009964C3"/>
    <w:rPr>
      <w:rFonts w:eastAsia="Times New Roman"/>
      <w:kern w:val="0"/>
    </w:rPr>
  </w:style>
  <w:style w:type="paragraph" w:customStyle="1" w:styleId="xl136">
    <w:name w:val="xl136"/>
    <w:basedOn w:val="af3"/>
    <w:semiHidden/>
    <w:rsid w:val="009964C3"/>
    <w:pPr>
      <w:widowControl/>
      <w:pBdr>
        <w:top w:val="single" w:sz="12"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aff2">
    <w:name w:val="公式"/>
    <w:link w:val="Char0"/>
    <w:rsid w:val="009964C3"/>
    <w:pPr>
      <w:adjustRightInd w:val="0"/>
      <w:snapToGrid w:val="0"/>
      <w:jc w:val="center"/>
    </w:pPr>
    <w:rPr>
      <w:rFonts w:eastAsia="仿宋_GB2312"/>
      <w:sz w:val="30"/>
      <w:szCs w:val="30"/>
    </w:rPr>
  </w:style>
  <w:style w:type="paragraph" w:customStyle="1" w:styleId="tt1">
    <w:name w:val="tt1"/>
    <w:basedOn w:val="af3"/>
    <w:semiHidden/>
    <w:rsid w:val="009964C3"/>
    <w:pPr>
      <w:widowControl/>
      <w:spacing w:before="100" w:beforeAutospacing="1" w:after="100" w:afterAutospacing="1"/>
      <w:jc w:val="left"/>
    </w:pPr>
    <w:rPr>
      <w:rFonts w:ascii="宋体" w:hAnsi="宋体" w:cs="宋体"/>
      <w:kern w:val="0"/>
      <w:sz w:val="24"/>
    </w:rPr>
  </w:style>
  <w:style w:type="paragraph" w:customStyle="1" w:styleId="317">
    <w:name w:val="页眉中31"/>
    <w:basedOn w:val="af3"/>
    <w:rsid w:val="009964C3"/>
    <w:pPr>
      <w:adjustRightInd w:val="0"/>
      <w:snapToGrid w:val="0"/>
      <w:spacing w:line="360" w:lineRule="auto"/>
      <w:jc w:val="center"/>
    </w:pPr>
    <w:rPr>
      <w:rFonts w:ascii="黑体" w:eastAsia="黑体"/>
      <w:bCs/>
      <w:sz w:val="24"/>
      <w:szCs w:val="28"/>
    </w:rPr>
  </w:style>
  <w:style w:type="paragraph" w:customStyle="1" w:styleId="33G154151113h33rd">
    <w:name w:val="样式 标题 3标题 3(G)四号宋体左齐行距1.5倍小标题4号宋体左齐行距1.5倍条标题1.1.13h33rd ..."/>
    <w:basedOn w:val="31"/>
    <w:semiHidden/>
    <w:rsid w:val="009964C3"/>
    <w:pPr>
      <w:keepNext w:val="0"/>
      <w:keepLines w:val="0"/>
      <w:numPr>
        <w:ilvl w:val="2"/>
      </w:numPr>
      <w:tabs>
        <w:tab w:val="left" w:pos="720"/>
      </w:tabs>
      <w:spacing w:before="120" w:after="0" w:line="360" w:lineRule="auto"/>
      <w:ind w:left="720" w:hanging="720"/>
      <w:jc w:val="left"/>
    </w:pPr>
    <w:rPr>
      <w:rFonts w:eastAsia="黑体" w:cs="宋体"/>
      <w:bCs w:val="0"/>
      <w:sz w:val="24"/>
      <w:szCs w:val="24"/>
    </w:rPr>
  </w:style>
  <w:style w:type="paragraph" w:customStyle="1" w:styleId="TN">
    <w:name w:val="TN"/>
    <w:basedOn w:val="af3"/>
    <w:semiHidden/>
    <w:rsid w:val="009964C3"/>
    <w:pPr>
      <w:adjustRightInd w:val="0"/>
      <w:snapToGrid w:val="0"/>
      <w:spacing w:before="60" w:after="60"/>
    </w:pPr>
    <w:rPr>
      <w:sz w:val="24"/>
      <w:szCs w:val="20"/>
    </w:rPr>
  </w:style>
  <w:style w:type="paragraph" w:customStyle="1" w:styleId="xl92">
    <w:name w:val="xl92"/>
    <w:basedOn w:val="af3"/>
    <w:rsid w:val="009964C3"/>
    <w:pPr>
      <w:widowControl/>
      <w:pBdr>
        <w:left w:val="single" w:sz="4" w:space="0" w:color="auto"/>
      </w:pBdr>
      <w:spacing w:before="100" w:beforeAutospacing="1" w:after="100" w:afterAutospacing="1"/>
      <w:jc w:val="center"/>
    </w:pPr>
    <w:rPr>
      <w:rFonts w:ascii="宋体" w:hAnsi="宋体" w:cs="宋体"/>
      <w:kern w:val="0"/>
      <w:sz w:val="24"/>
    </w:rPr>
  </w:style>
  <w:style w:type="paragraph" w:customStyle="1" w:styleId="affffffffffffffffffff4">
    <w:name w:val="表后间隔"/>
    <w:basedOn w:val="affe"/>
    <w:semiHidden/>
    <w:rsid w:val="009964C3"/>
    <w:pPr>
      <w:widowControl w:val="0"/>
      <w:jc w:val="center"/>
    </w:pPr>
    <w:rPr>
      <w:rFonts w:ascii="Times New Roman" w:hAnsi="Times New Roman" w:cs="Times New Roman"/>
      <w:szCs w:val="27"/>
    </w:rPr>
  </w:style>
  <w:style w:type="paragraph" w:customStyle="1" w:styleId="5ff6">
    <w:name w:val="图题注5"/>
    <w:basedOn w:val="afff2"/>
    <w:rsid w:val="009964C3"/>
    <w:pPr>
      <w:jc w:val="center"/>
    </w:pPr>
    <w:rPr>
      <w:rFonts w:ascii="黑体" w:cs="宋体"/>
      <w:b/>
      <w:bCs/>
      <w:sz w:val="24"/>
      <w:szCs w:val="24"/>
    </w:rPr>
  </w:style>
  <w:style w:type="paragraph" w:customStyle="1" w:styleId="1ffff">
    <w:name w:val="普通(网站)1"/>
    <w:basedOn w:val="af3"/>
    <w:semiHidden/>
    <w:rsid w:val="009964C3"/>
    <w:pPr>
      <w:widowControl/>
      <w:spacing w:before="100" w:beforeAutospacing="1" w:after="100" w:afterAutospacing="1"/>
    </w:pPr>
    <w:rPr>
      <w:rFonts w:ascii="Arial" w:hAnsi="Arial"/>
      <w:kern w:val="0"/>
      <w:sz w:val="22"/>
      <w:szCs w:val="20"/>
      <w:lang w:eastAsia="en-US"/>
    </w:rPr>
  </w:style>
  <w:style w:type="paragraph" w:customStyle="1" w:styleId="590">
    <w:name w:val="表内5中9"/>
    <w:basedOn w:val="affffffffff3"/>
    <w:rsid w:val="009964C3"/>
    <w:rPr>
      <w:sz w:val="21"/>
      <w:szCs w:val="21"/>
    </w:rPr>
  </w:style>
  <w:style w:type="paragraph" w:customStyle="1" w:styleId="4330">
    <w:name w:val="标题433"/>
    <w:basedOn w:val="af3"/>
    <w:rsid w:val="009964C3"/>
    <w:pPr>
      <w:adjustRightInd w:val="0"/>
      <w:snapToGrid w:val="0"/>
      <w:spacing w:line="300" w:lineRule="auto"/>
      <w:jc w:val="left"/>
    </w:pPr>
    <w:rPr>
      <w:rFonts w:ascii="黑体" w:eastAsia="黑体" w:hAnsi="宋体" w:cs="宋体"/>
      <w:sz w:val="24"/>
    </w:rPr>
  </w:style>
  <w:style w:type="paragraph" w:customStyle="1" w:styleId="11Char0">
    <w:name w:val="正文11 Char"/>
    <w:basedOn w:val="af3"/>
    <w:semiHidden/>
    <w:rsid w:val="009964C3"/>
    <w:pPr>
      <w:spacing w:line="520" w:lineRule="atLeast"/>
      <w:ind w:firstLineChars="200" w:firstLine="480"/>
    </w:pPr>
    <w:rPr>
      <w:color w:val="000000"/>
      <w:sz w:val="24"/>
    </w:rPr>
  </w:style>
  <w:style w:type="paragraph" w:customStyle="1" w:styleId="5342">
    <w:name w:val="表内宋5中34"/>
    <w:basedOn w:val="af3"/>
    <w:rsid w:val="009964C3"/>
    <w:pPr>
      <w:adjustRightInd w:val="0"/>
      <w:snapToGrid w:val="0"/>
      <w:spacing w:line="360" w:lineRule="auto"/>
      <w:jc w:val="center"/>
      <w:textAlignment w:val="baseline"/>
    </w:pPr>
    <w:rPr>
      <w:rFonts w:ascii="宋体" w:hAnsi="宋体"/>
      <w:kern w:val="0"/>
      <w:szCs w:val="21"/>
    </w:rPr>
  </w:style>
  <w:style w:type="paragraph" w:customStyle="1" w:styleId="212">
    <w:name w:val="正文首行缩进 21"/>
    <w:basedOn w:val="af3"/>
    <w:link w:val="2Chard"/>
    <w:semiHidden/>
    <w:rsid w:val="009964C3"/>
    <w:pPr>
      <w:spacing w:after="120" w:line="300" w:lineRule="auto"/>
      <w:ind w:leftChars="200" w:left="420" w:firstLineChars="200" w:firstLine="420"/>
      <w:jc w:val="left"/>
    </w:pPr>
  </w:style>
  <w:style w:type="paragraph" w:customStyle="1" w:styleId="CharCharChar1Char2">
    <w:name w:val="Char Char Char1 Char2"/>
    <w:basedOn w:val="af3"/>
    <w:semiHidden/>
    <w:rsid w:val="009964C3"/>
  </w:style>
  <w:style w:type="paragraph" w:customStyle="1" w:styleId="1ffff0">
    <w:name w:val="1表格"/>
    <w:basedOn w:val="af3"/>
    <w:semiHidden/>
    <w:rsid w:val="009964C3"/>
    <w:pPr>
      <w:snapToGrid w:val="0"/>
      <w:spacing w:line="160" w:lineRule="atLeast"/>
      <w:jc w:val="center"/>
    </w:pPr>
    <w:rPr>
      <w:rFonts w:eastAsia="仿宋_GB2312"/>
      <w:szCs w:val="20"/>
    </w:rPr>
  </w:style>
  <w:style w:type="paragraph" w:customStyle="1" w:styleId="c2">
    <w:name w:val="c"/>
    <w:rsid w:val="009964C3"/>
    <w:pPr>
      <w:widowControl w:val="0"/>
      <w:autoSpaceDE w:val="0"/>
      <w:autoSpaceDN w:val="0"/>
      <w:adjustRightInd w:val="0"/>
      <w:jc w:val="both"/>
    </w:pPr>
    <w:rPr>
      <w:rFonts w:ascii="Arial" w:hAnsi="Arial"/>
      <w:sz w:val="24"/>
    </w:rPr>
  </w:style>
  <w:style w:type="paragraph" w:customStyle="1" w:styleId="affffffffffffffffffff5">
    <w:name w:val="文字缩"/>
    <w:basedOn w:val="af3"/>
    <w:rsid w:val="009964C3"/>
    <w:pPr>
      <w:adjustRightInd w:val="0"/>
      <w:snapToGrid w:val="0"/>
      <w:spacing w:line="480" w:lineRule="atLeast"/>
      <w:ind w:firstLineChars="200" w:firstLine="200"/>
    </w:pPr>
    <w:rPr>
      <w:rFonts w:ascii="宋体"/>
      <w:snapToGrid w:val="0"/>
      <w:spacing w:val="6"/>
      <w:kern w:val="0"/>
      <w:sz w:val="28"/>
      <w:szCs w:val="20"/>
    </w:rPr>
  </w:style>
  <w:style w:type="paragraph" w:customStyle="1" w:styleId="Formatvorlage1">
    <w:name w:val="Formatvorlage1"/>
    <w:basedOn w:val="af3"/>
    <w:rsid w:val="009964C3"/>
    <w:pPr>
      <w:autoSpaceDE w:val="0"/>
      <w:autoSpaceDN w:val="0"/>
      <w:adjustRightInd w:val="0"/>
      <w:jc w:val="left"/>
      <w:textAlignment w:val="baseline"/>
    </w:pPr>
    <w:rPr>
      <w:rFonts w:ascii="Arial" w:hAnsi="Arial"/>
      <w:kern w:val="0"/>
      <w:sz w:val="24"/>
      <w:szCs w:val="20"/>
    </w:rPr>
  </w:style>
  <w:style w:type="paragraph" w:customStyle="1" w:styleId="5143">
    <w:name w:val="表内514"/>
    <w:basedOn w:val="af3"/>
    <w:rsid w:val="009964C3"/>
    <w:pPr>
      <w:adjustRightInd w:val="0"/>
      <w:snapToGrid w:val="0"/>
      <w:spacing w:line="300" w:lineRule="exact"/>
      <w:ind w:right="34"/>
      <w:jc w:val="center"/>
    </w:pPr>
    <w:rPr>
      <w:rFonts w:ascii="宋体"/>
      <w:kern w:val="0"/>
      <w:szCs w:val="21"/>
    </w:rPr>
  </w:style>
  <w:style w:type="paragraph" w:customStyle="1" w:styleId="4441">
    <w:name w:val="表内小444"/>
    <w:basedOn w:val="affffffffff"/>
    <w:rsid w:val="009964C3"/>
    <w:pPr>
      <w:ind w:left="240" w:hanging="240"/>
      <w:jc w:val="both"/>
    </w:pPr>
    <w:rPr>
      <w:rFonts w:cs="Times New Roman"/>
    </w:rPr>
  </w:style>
  <w:style w:type="paragraph" w:customStyle="1" w:styleId="affffffffffffffffffff6">
    <w:name w:val="图头（桑）"/>
    <w:basedOn w:val="af3"/>
    <w:semiHidden/>
    <w:rsid w:val="009964C3"/>
    <w:pPr>
      <w:overflowPunct w:val="0"/>
      <w:autoSpaceDE w:val="0"/>
      <w:autoSpaceDN w:val="0"/>
      <w:adjustRightInd w:val="0"/>
      <w:ind w:firstLine="567"/>
      <w:jc w:val="center"/>
      <w:textAlignment w:val="baseline"/>
    </w:pPr>
    <w:rPr>
      <w:rFonts w:ascii="黑体" w:eastAsia="黑体" w:cs="宋体"/>
      <w:kern w:val="0"/>
      <w:sz w:val="24"/>
      <w:szCs w:val="20"/>
    </w:rPr>
  </w:style>
  <w:style w:type="paragraph" w:customStyle="1" w:styleId="225">
    <w:name w:val="样式 标题 2 + 首行缩进:  2 字符"/>
    <w:basedOn w:val="22"/>
    <w:rsid w:val="009964C3"/>
    <w:pPr>
      <w:spacing w:before="120" w:after="120" w:line="240" w:lineRule="auto"/>
    </w:pPr>
    <w:rPr>
      <w:szCs w:val="20"/>
    </w:rPr>
  </w:style>
  <w:style w:type="paragraph" w:customStyle="1" w:styleId="305015050">
    <w:name w:val="样式 样式 样式 标题 3 + (中文) 宋体 段前: 0.5 行 段后: 0 磅 行距: 1.5 倍行距 + 段前: 0.5 ..."/>
    <w:basedOn w:val="30501505"/>
    <w:semiHidden/>
    <w:rsid w:val="009964C3"/>
    <w:rPr>
      <w:szCs w:val="20"/>
    </w:rPr>
  </w:style>
  <w:style w:type="paragraph" w:customStyle="1" w:styleId="1Charf3">
    <w:name w:val="正文标题1 Char"/>
    <w:basedOn w:val="af3"/>
    <w:rsid w:val="009964C3"/>
    <w:pPr>
      <w:tabs>
        <w:tab w:val="left" w:pos="432"/>
        <w:tab w:val="left" w:pos="5327"/>
        <w:tab w:val="left" w:pos="6326"/>
        <w:tab w:val="left" w:pos="7230"/>
        <w:tab w:val="left" w:pos="9301"/>
      </w:tabs>
      <w:autoSpaceDE w:val="0"/>
      <w:autoSpaceDN w:val="0"/>
      <w:adjustRightInd w:val="0"/>
      <w:snapToGrid w:val="0"/>
      <w:spacing w:line="600" w:lineRule="exact"/>
      <w:ind w:left="432"/>
      <w:jc w:val="left"/>
    </w:pPr>
    <w:rPr>
      <w:rFonts w:ascii="Arial Narrow" w:eastAsia="仿宋_GB2312" w:hAnsi="Arial Narrow"/>
      <w:b/>
      <w:color w:val="000000"/>
      <w:kern w:val="10"/>
      <w:sz w:val="28"/>
      <w:szCs w:val="20"/>
    </w:rPr>
  </w:style>
  <w:style w:type="paragraph" w:customStyle="1" w:styleId="1ffff1">
    <w:name w:val="样式 正文1 + 两端对齐"/>
    <w:basedOn w:val="1f0"/>
    <w:semiHidden/>
    <w:locked/>
    <w:rsid w:val="009964C3"/>
    <w:pPr>
      <w:snapToGrid w:val="0"/>
      <w:spacing w:beforeLines="50" w:afterLines="50" w:line="240" w:lineRule="auto"/>
      <w:ind w:firstLine="540"/>
      <w:jc w:val="both"/>
    </w:pPr>
    <w:rPr>
      <w:rFonts w:ascii="Arial Unicode MS" w:hAnsi="Arial Unicode MS"/>
      <w:color w:val="000000"/>
      <w:spacing w:val="5"/>
      <w:kern w:val="2"/>
    </w:rPr>
  </w:style>
  <w:style w:type="paragraph" w:customStyle="1" w:styleId="Char520">
    <w:name w:val="Char52"/>
    <w:basedOn w:val="af3"/>
    <w:rsid w:val="009964C3"/>
    <w:pPr>
      <w:ind w:left="-48"/>
    </w:pPr>
  </w:style>
  <w:style w:type="paragraph" w:customStyle="1" w:styleId="11G221b1H111-h11st">
    <w:name w:val="样式 标题 1标题 1(G)小2号宋体居中行距2倍章章标题 1b1章节标题H1标题 11-*+h11st ..."/>
    <w:basedOn w:val="13"/>
    <w:semiHidden/>
    <w:rsid w:val="009964C3"/>
    <w:pPr>
      <w:pageBreakBefore/>
      <w:tabs>
        <w:tab w:val="left" w:pos="1021"/>
        <w:tab w:val="left" w:pos="4380"/>
      </w:tabs>
      <w:spacing w:before="50" w:after="120" w:line="300" w:lineRule="auto"/>
      <w:ind w:left="3372" w:hanging="432"/>
      <w:jc w:val="center"/>
    </w:pPr>
    <w:rPr>
      <w:color w:val="000000"/>
      <w:kern w:val="2"/>
      <w:sz w:val="32"/>
      <w:szCs w:val="32"/>
    </w:rPr>
  </w:style>
  <w:style w:type="paragraph" w:customStyle="1" w:styleId="ST2044">
    <w:name w:val="ST20_44"/>
    <w:basedOn w:val="ST2019"/>
    <w:next w:val="ST2019"/>
    <w:rsid w:val="009964C3"/>
    <w:pPr>
      <w:spacing w:before="80"/>
    </w:pPr>
  </w:style>
  <w:style w:type="paragraph" w:customStyle="1" w:styleId="affffffffffffffffffff7">
    <w:name w:val="其 它 文 件"/>
    <w:basedOn w:val="af3"/>
    <w:semiHidden/>
    <w:rsid w:val="009964C3"/>
    <w:pPr>
      <w:spacing w:after="80" w:line="440" w:lineRule="atLeast"/>
    </w:pPr>
    <w:rPr>
      <w:rFonts w:eastAsia="楷体"/>
      <w:sz w:val="28"/>
      <w:szCs w:val="20"/>
    </w:rPr>
  </w:style>
  <w:style w:type="paragraph" w:customStyle="1" w:styleId="affb">
    <w:name w:val="鑫裕图头"/>
    <w:basedOn w:val="af3"/>
    <w:link w:val="CharChar4"/>
    <w:rsid w:val="009964C3"/>
    <w:pPr>
      <w:overflowPunct w:val="0"/>
      <w:autoSpaceDE w:val="0"/>
      <w:autoSpaceDN w:val="0"/>
      <w:adjustRightInd w:val="0"/>
      <w:spacing w:line="280" w:lineRule="exact"/>
      <w:jc w:val="center"/>
      <w:textAlignment w:val="baseline"/>
    </w:pPr>
    <w:rPr>
      <w:rFonts w:eastAsia="黑体"/>
      <w:sz w:val="24"/>
    </w:rPr>
  </w:style>
  <w:style w:type="paragraph" w:customStyle="1" w:styleId="1230">
    <w:name w:val="样式123"/>
    <w:basedOn w:val="4a"/>
    <w:rsid w:val="009964C3"/>
    <w:pPr>
      <w:snapToGrid w:val="0"/>
      <w:spacing w:line="300" w:lineRule="auto"/>
      <w:ind w:firstLineChars="200" w:firstLine="560"/>
      <w:jc w:val="both"/>
      <w:textAlignment w:val="auto"/>
    </w:pPr>
    <w:rPr>
      <w:rFonts w:ascii="黑体" w:eastAsia="黑体"/>
      <w:sz w:val="28"/>
    </w:rPr>
  </w:style>
  <w:style w:type="paragraph" w:customStyle="1" w:styleId="xl119">
    <w:name w:val="xl119"/>
    <w:basedOn w:val="af3"/>
    <w:semiHidden/>
    <w:rsid w:val="009964C3"/>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zxl2Char">
    <w:name w:val="zxl正文首行缩进  2 字符 行距: Char"/>
    <w:basedOn w:val="af3"/>
    <w:rsid w:val="009964C3"/>
    <w:pPr>
      <w:widowControl/>
      <w:tabs>
        <w:tab w:val="left" w:pos="-1843"/>
        <w:tab w:val="left" w:pos="1727"/>
        <w:tab w:val="left" w:pos="1884"/>
      </w:tabs>
      <w:ind w:firstLine="527"/>
      <w:textAlignment w:val="bottom"/>
      <w:outlineLvl w:val="0"/>
    </w:pPr>
    <w:rPr>
      <w:rFonts w:ascii="宋体" w:hAnsi="宋体"/>
      <w:sz w:val="24"/>
    </w:rPr>
  </w:style>
  <w:style w:type="paragraph" w:customStyle="1" w:styleId="3a">
    <w:name w:val="正文3"/>
    <w:link w:val="NormalChar"/>
    <w:semiHidden/>
    <w:rsid w:val="009964C3"/>
    <w:pPr>
      <w:widowControl w:val="0"/>
      <w:adjustRightInd w:val="0"/>
      <w:spacing w:line="312" w:lineRule="atLeast"/>
      <w:jc w:val="both"/>
      <w:textAlignment w:val="baseline"/>
    </w:pPr>
    <w:rPr>
      <w:rFonts w:ascii="宋体"/>
      <w:sz w:val="34"/>
    </w:rPr>
  </w:style>
  <w:style w:type="paragraph" w:customStyle="1" w:styleId="840">
    <w:name w:val="表题84"/>
    <w:basedOn w:val="afffffff4"/>
    <w:rsid w:val="009964C3"/>
    <w:pPr>
      <w:spacing w:line="240" w:lineRule="auto"/>
      <w:ind w:firstLine="0"/>
      <w:jc w:val="center"/>
    </w:pPr>
    <w:rPr>
      <w:rFonts w:ascii="黑体" w:eastAsia="黑体" w:cs="Times New Roman"/>
      <w:color w:val="auto"/>
      <w:szCs w:val="20"/>
    </w:rPr>
  </w:style>
  <w:style w:type="paragraph" w:customStyle="1" w:styleId="CharCharCharCharCharCharCharCharCharCharChar1Char">
    <w:name w:val="Char Char Char Char Char Char Char Char Char Char Char1 Char"/>
    <w:basedOn w:val="af3"/>
    <w:semiHidden/>
    <w:rsid w:val="009964C3"/>
    <w:rPr>
      <w:sz w:val="24"/>
      <w:szCs w:val="20"/>
    </w:rPr>
  </w:style>
  <w:style w:type="paragraph" w:customStyle="1" w:styleId="CharCharCharCharCharChar2Char">
    <w:name w:val="Char Char Char Char Char Char2 Char"/>
    <w:basedOn w:val="af3"/>
    <w:semiHidden/>
    <w:rsid w:val="009964C3"/>
    <w:pPr>
      <w:widowControl/>
      <w:spacing w:after="160" w:line="240" w:lineRule="exact"/>
      <w:jc w:val="left"/>
    </w:pPr>
    <w:rPr>
      <w:szCs w:val="20"/>
    </w:rPr>
  </w:style>
  <w:style w:type="paragraph" w:customStyle="1" w:styleId="173">
    <w:name w:val="图题17"/>
    <w:basedOn w:val="af3"/>
    <w:qFormat/>
    <w:rsid w:val="009964C3"/>
    <w:pPr>
      <w:jc w:val="center"/>
    </w:pPr>
    <w:rPr>
      <w:rFonts w:ascii="方正大标宋简体" w:eastAsia="方正大标宋简体"/>
      <w:sz w:val="24"/>
    </w:rPr>
  </w:style>
  <w:style w:type="paragraph" w:customStyle="1" w:styleId="2f4">
    <w:name w:val="标题（2）"/>
    <w:basedOn w:val="22"/>
    <w:next w:val="3ff3"/>
    <w:link w:val="2Charf0"/>
    <w:semiHidden/>
    <w:rsid w:val="009964C3"/>
    <w:pPr>
      <w:keepNext w:val="0"/>
      <w:keepLines w:val="0"/>
      <w:numPr>
        <w:ilvl w:val="1"/>
      </w:numPr>
      <w:tabs>
        <w:tab w:val="left" w:pos="576"/>
      </w:tabs>
      <w:adjustRightInd w:val="0"/>
      <w:spacing w:beforeLines="50" w:after="200" w:line="480" w:lineRule="exact"/>
      <w:ind w:left="576" w:hanging="576"/>
    </w:pPr>
    <w:rPr>
      <w:rFonts w:ascii="Times New Roman" w:eastAsia="宋体" w:hAnsi="Times New Roman"/>
      <w:b w:val="0"/>
      <w:bCs w:val="0"/>
      <w:kern w:val="28"/>
      <w:sz w:val="28"/>
      <w:szCs w:val="20"/>
    </w:rPr>
  </w:style>
  <w:style w:type="paragraph" w:customStyle="1" w:styleId="248">
    <w:name w:val="样式 黑体 小四 黑色 行距: 固定值 24 磅"/>
    <w:basedOn w:val="af3"/>
    <w:rsid w:val="009964C3"/>
    <w:pPr>
      <w:spacing w:line="480" w:lineRule="exact"/>
    </w:pPr>
    <w:rPr>
      <w:rFonts w:ascii="黑体" w:eastAsia="黑体"/>
      <w:color w:val="000000"/>
      <w:sz w:val="24"/>
      <w:szCs w:val="20"/>
    </w:rPr>
  </w:style>
  <w:style w:type="paragraph" w:customStyle="1" w:styleId="5ff7">
    <w:name w:val="表内文字小5"/>
    <w:basedOn w:val="af3"/>
    <w:qFormat/>
    <w:rsid w:val="009964C3"/>
    <w:pPr>
      <w:adjustRightInd w:val="0"/>
      <w:snapToGrid w:val="0"/>
      <w:jc w:val="center"/>
    </w:pPr>
    <w:rPr>
      <w:rFonts w:ascii="宋体" w:hAnsi="Times"/>
      <w:szCs w:val="20"/>
    </w:rPr>
  </w:style>
  <w:style w:type="paragraph" w:customStyle="1" w:styleId="S5">
    <w:name w:val="一级标题S"/>
    <w:basedOn w:val="13"/>
    <w:next w:val="S4"/>
    <w:semiHidden/>
    <w:rsid w:val="009964C3"/>
    <w:pPr>
      <w:pageBreakBefore/>
      <w:tabs>
        <w:tab w:val="left" w:pos="432"/>
        <w:tab w:val="left" w:pos="1021"/>
        <w:tab w:val="left" w:pos="4380"/>
      </w:tabs>
      <w:spacing w:before="120" w:afterLines="50" w:line="300" w:lineRule="auto"/>
      <w:ind w:left="3372" w:hanging="432"/>
      <w:jc w:val="center"/>
    </w:pPr>
    <w:rPr>
      <w:rFonts w:eastAsia="仿宋_GB2312"/>
      <w:kern w:val="2"/>
      <w:sz w:val="30"/>
      <w:szCs w:val="20"/>
    </w:rPr>
  </w:style>
  <w:style w:type="paragraph" w:customStyle="1" w:styleId="10515">
    <w:name w:val="样式 标题 1 + 段前: 0.5 行 段后: 1 行5"/>
    <w:basedOn w:val="13"/>
    <w:rsid w:val="009964C3"/>
    <w:pPr>
      <w:keepLines w:val="0"/>
      <w:adjustRightInd w:val="0"/>
      <w:snapToGrid w:val="0"/>
      <w:spacing w:beforeLines="50" w:after="0" w:line="360" w:lineRule="auto"/>
      <w:jc w:val="center"/>
    </w:pPr>
    <w:rPr>
      <w:rFonts w:ascii="黑体" w:cs="宋体"/>
      <w:bCs w:val="0"/>
      <w:kern w:val="2"/>
      <w:sz w:val="32"/>
      <w:szCs w:val="20"/>
    </w:rPr>
  </w:style>
  <w:style w:type="paragraph" w:customStyle="1" w:styleId="4fe">
    <w:name w:val="标题（4）"/>
    <w:basedOn w:val="af3"/>
    <w:next w:val="afffffffff1"/>
    <w:semiHidden/>
    <w:rsid w:val="009964C3"/>
    <w:pPr>
      <w:spacing w:beforeLines="50" w:line="360" w:lineRule="auto"/>
      <w:outlineLvl w:val="3"/>
    </w:pPr>
    <w:rPr>
      <w:sz w:val="24"/>
      <w:szCs w:val="20"/>
    </w:rPr>
  </w:style>
  <w:style w:type="paragraph" w:customStyle="1" w:styleId="a3">
    <w:name w:val="列表序列"/>
    <w:basedOn w:val="af3"/>
    <w:link w:val="CharChar5"/>
    <w:rsid w:val="009964C3"/>
    <w:pPr>
      <w:numPr>
        <w:numId w:val="42"/>
      </w:numPr>
      <w:tabs>
        <w:tab w:val="left" w:pos="425"/>
      </w:tabs>
      <w:spacing w:line="360" w:lineRule="auto"/>
      <w:jc w:val="left"/>
    </w:pPr>
    <w:rPr>
      <w:sz w:val="24"/>
    </w:rPr>
  </w:style>
  <w:style w:type="paragraph" w:customStyle="1" w:styleId="affffffffffffffffffff8">
    <w:name w:val="热电厂正文"/>
    <w:basedOn w:val="af3"/>
    <w:rsid w:val="009964C3"/>
    <w:pPr>
      <w:spacing w:line="440" w:lineRule="exact"/>
      <w:ind w:firstLineChars="200" w:firstLine="480"/>
    </w:pPr>
    <w:rPr>
      <w:sz w:val="24"/>
    </w:rPr>
  </w:style>
  <w:style w:type="paragraph" w:customStyle="1" w:styleId="1350">
    <w:name w:val="页眉中135"/>
    <w:basedOn w:val="af3"/>
    <w:rsid w:val="009964C3"/>
    <w:pPr>
      <w:adjustRightInd w:val="0"/>
      <w:snapToGrid w:val="0"/>
      <w:spacing w:line="300" w:lineRule="auto"/>
      <w:jc w:val="left"/>
    </w:pPr>
    <w:rPr>
      <w:rFonts w:ascii="黑体" w:eastAsia="黑体"/>
      <w:bCs/>
      <w:sz w:val="24"/>
      <w:szCs w:val="20"/>
    </w:rPr>
  </w:style>
  <w:style w:type="paragraph" w:customStyle="1" w:styleId="affffffe">
    <w:name w:val="表体（吕静）"/>
    <w:basedOn w:val="af3"/>
    <w:link w:val="Charffffb"/>
    <w:semiHidden/>
    <w:rsid w:val="009964C3"/>
    <w:pPr>
      <w:widowControl/>
      <w:adjustRightInd w:val="0"/>
      <w:snapToGrid w:val="0"/>
      <w:spacing w:line="200" w:lineRule="atLeast"/>
      <w:jc w:val="center"/>
    </w:pPr>
    <w:rPr>
      <w:rFonts w:ascii="Arial" w:eastAsia="仿宋_GB2312" w:hAnsi="Arial"/>
      <w:kern w:val="20"/>
      <w:szCs w:val="21"/>
    </w:rPr>
  </w:style>
  <w:style w:type="paragraph" w:customStyle="1" w:styleId="438">
    <w:name w:val="标题43"/>
    <w:basedOn w:val="af3"/>
    <w:qFormat/>
    <w:rsid w:val="009964C3"/>
    <w:pPr>
      <w:adjustRightInd w:val="0"/>
      <w:snapToGrid w:val="0"/>
      <w:spacing w:line="300" w:lineRule="auto"/>
      <w:jc w:val="left"/>
    </w:pPr>
    <w:rPr>
      <w:rFonts w:ascii="黑体" w:eastAsia="黑体" w:hAnsi="宋体" w:cs="宋体"/>
      <w:sz w:val="24"/>
    </w:rPr>
  </w:style>
  <w:style w:type="paragraph" w:customStyle="1" w:styleId="cauc-0">
    <w:name w:val="cauc-0"/>
    <w:link w:val="cauc-0Char"/>
    <w:rsid w:val="009964C3"/>
    <w:pPr>
      <w:spacing w:line="360" w:lineRule="auto"/>
      <w:ind w:firstLineChars="200" w:firstLine="480"/>
    </w:pPr>
    <w:rPr>
      <w:kern w:val="2"/>
      <w:sz w:val="24"/>
      <w:szCs w:val="24"/>
    </w:rPr>
  </w:style>
  <w:style w:type="paragraph" w:customStyle="1" w:styleId="Char2f7">
    <w:name w:val="Char2"/>
    <w:basedOn w:val="af3"/>
    <w:semiHidden/>
    <w:rsid w:val="009964C3"/>
  </w:style>
  <w:style w:type="paragraph" w:customStyle="1" w:styleId="5170">
    <w:name w:val="表内5中17"/>
    <w:basedOn w:val="affffffffff3"/>
    <w:rsid w:val="009964C3"/>
    <w:pPr>
      <w:widowControl/>
    </w:pPr>
    <w:rPr>
      <w:kern w:val="0"/>
      <w:sz w:val="21"/>
      <w:szCs w:val="21"/>
    </w:rPr>
  </w:style>
  <w:style w:type="paragraph" w:customStyle="1" w:styleId="ST2038">
    <w:name w:val="ST20_38"/>
    <w:basedOn w:val="ST205"/>
    <w:next w:val="ST205"/>
    <w:rsid w:val="009964C3"/>
    <w:pPr>
      <w:spacing w:before="120"/>
    </w:pPr>
  </w:style>
  <w:style w:type="paragraph" w:customStyle="1" w:styleId="3100">
    <w:name w:val="表标题3.10"/>
    <w:basedOn w:val="240"/>
    <w:rsid w:val="009964C3"/>
  </w:style>
  <w:style w:type="paragraph" w:customStyle="1" w:styleId="CharCharCharCharCharCharCharCharCharCharCharCharCharCharCharCharCharChar1CharCharCharCharCharCharChar2">
    <w:name w:val="Char Char Char Char Char Char Char Char Char Char Char Char Char Char Char Char Char Char1 Char Char Char Char Char Char Char2"/>
    <w:basedOn w:val="af3"/>
    <w:next w:val="af3"/>
    <w:rsid w:val="009964C3"/>
    <w:pPr>
      <w:keepNext/>
      <w:keepLines/>
      <w:widowControl/>
      <w:adjustRightInd w:val="0"/>
      <w:spacing w:before="40" w:after="40" w:line="360" w:lineRule="auto"/>
      <w:ind w:firstLineChars="200" w:firstLine="482"/>
      <w:textAlignment w:val="baseline"/>
    </w:pPr>
    <w:rPr>
      <w:rFonts w:cs="宋体"/>
      <w:b/>
      <w:kern w:val="0"/>
      <w:sz w:val="24"/>
      <w:szCs w:val="28"/>
    </w:rPr>
  </w:style>
  <w:style w:type="paragraph" w:customStyle="1" w:styleId="2fff6">
    <w:name w:val="正文文本2"/>
    <w:basedOn w:val="af3"/>
    <w:rsid w:val="009964C3"/>
    <w:pPr>
      <w:spacing w:line="360" w:lineRule="auto"/>
      <w:ind w:firstLineChars="200" w:firstLine="480"/>
    </w:pPr>
    <w:rPr>
      <w:rFonts w:ascii="宋体" w:cs="宋体"/>
      <w:sz w:val="24"/>
      <w:szCs w:val="20"/>
    </w:rPr>
  </w:style>
  <w:style w:type="paragraph" w:customStyle="1" w:styleId="TitreInstr2">
    <w:name w:val="Titre Instr. 2"/>
    <w:basedOn w:val="TitreInstruction"/>
    <w:rsid w:val="009964C3"/>
    <w:pPr>
      <w:pBdr>
        <w:top w:val="none" w:sz="0" w:space="0" w:color="auto"/>
        <w:left w:val="none" w:sz="0" w:space="0" w:color="auto"/>
        <w:bottom w:val="none" w:sz="0" w:space="0" w:color="auto"/>
        <w:right w:val="none" w:sz="0" w:space="0" w:color="auto"/>
      </w:pBdr>
    </w:pPr>
  </w:style>
  <w:style w:type="paragraph" w:customStyle="1" w:styleId="TitreInstruction">
    <w:name w:val="Titre Instruction"/>
    <w:basedOn w:val="af3"/>
    <w:rsid w:val="009964C3"/>
    <w:pPr>
      <w:widowControl/>
      <w:pBdr>
        <w:top w:val="double" w:sz="6" w:space="1" w:color="auto"/>
        <w:left w:val="double" w:sz="6" w:space="1" w:color="auto"/>
        <w:bottom w:val="double" w:sz="6" w:space="1" w:color="auto"/>
        <w:right w:val="double" w:sz="6" w:space="1" w:color="auto"/>
      </w:pBdr>
      <w:spacing w:before="120" w:after="1320"/>
      <w:ind w:left="851" w:right="851"/>
      <w:jc w:val="center"/>
    </w:pPr>
    <w:rPr>
      <w:b/>
      <w:caps/>
      <w:kern w:val="0"/>
      <w:sz w:val="32"/>
      <w:szCs w:val="20"/>
      <w:lang w:val="fr-FR"/>
    </w:rPr>
  </w:style>
  <w:style w:type="paragraph" w:customStyle="1" w:styleId="1ffff2">
    <w:name w:val="表中文字1"/>
    <w:basedOn w:val="af3"/>
    <w:rsid w:val="009964C3"/>
    <w:pPr>
      <w:widowControl/>
      <w:spacing w:line="240" w:lineRule="atLeast"/>
      <w:ind w:leftChars="-10" w:left="-24" w:rightChars="-20" w:right="-48"/>
      <w:jc w:val="center"/>
    </w:pPr>
    <w:rPr>
      <w:rFonts w:ascii="宋体"/>
      <w:kern w:val="0"/>
      <w:szCs w:val="21"/>
    </w:rPr>
  </w:style>
  <w:style w:type="paragraph" w:customStyle="1" w:styleId="affffffffffffffffffff9">
    <w:name w:val="地质报告正文"/>
    <w:basedOn w:val="af3"/>
    <w:semiHidden/>
    <w:rsid w:val="009964C3"/>
    <w:pPr>
      <w:ind w:firstLineChars="200" w:firstLine="200"/>
    </w:pPr>
    <w:rPr>
      <w:sz w:val="28"/>
    </w:rPr>
  </w:style>
  <w:style w:type="paragraph" w:customStyle="1" w:styleId="affffffffffffffffffffa">
    <w:name w:val="项目编号"/>
    <w:basedOn w:val="af3"/>
    <w:next w:val="af3"/>
    <w:semiHidden/>
    <w:rsid w:val="009964C3"/>
    <w:pPr>
      <w:spacing w:before="120" w:after="120" w:line="360" w:lineRule="auto"/>
    </w:pPr>
    <w:rPr>
      <w:sz w:val="24"/>
      <w:szCs w:val="20"/>
    </w:rPr>
  </w:style>
  <w:style w:type="paragraph" w:customStyle="1" w:styleId="affffffffffffffffffffb">
    <w:name w:val="表样式"/>
    <w:basedOn w:val="af3"/>
    <w:rsid w:val="009964C3"/>
    <w:pPr>
      <w:adjustRightInd w:val="0"/>
      <w:spacing w:line="240" w:lineRule="atLeast"/>
      <w:jc w:val="center"/>
      <w:textAlignment w:val="baseline"/>
    </w:pPr>
    <w:rPr>
      <w:rFonts w:ascii="宋体"/>
      <w:kern w:val="0"/>
      <w:sz w:val="18"/>
      <w:szCs w:val="20"/>
    </w:rPr>
  </w:style>
  <w:style w:type="paragraph" w:customStyle="1" w:styleId="affffffffffffffffffffc">
    <w:name w:val="样式 小四 加粗 居中"/>
    <w:basedOn w:val="af3"/>
    <w:semiHidden/>
    <w:rsid w:val="009964C3"/>
    <w:pPr>
      <w:spacing w:beforeLines="50" w:afterLines="20"/>
      <w:ind w:firstLineChars="150" w:firstLine="360"/>
      <w:jc w:val="center"/>
    </w:pPr>
    <w:rPr>
      <w:rFonts w:eastAsia="黑体"/>
      <w:bCs/>
      <w:sz w:val="24"/>
      <w:szCs w:val="20"/>
    </w:rPr>
  </w:style>
  <w:style w:type="paragraph" w:customStyle="1" w:styleId="Charfffffff2">
    <w:name w:val="高段文 Char"/>
    <w:basedOn w:val="af3"/>
    <w:rsid w:val="009964C3"/>
    <w:pPr>
      <w:spacing w:line="300" w:lineRule="auto"/>
      <w:ind w:firstLine="200"/>
    </w:pPr>
    <w:rPr>
      <w:rFonts w:ascii="Arial" w:eastAsia="楷体_GB2312" w:hAnsi="Arial"/>
      <w:sz w:val="28"/>
      <w:szCs w:val="20"/>
    </w:rPr>
  </w:style>
  <w:style w:type="paragraph" w:customStyle="1" w:styleId="31113CharH3H31H32H33u3Heading3Section">
    <w:name w:val="样式 标题 3条标题1.1.1标题 3 CharH3H31H32H33u3Heading3Section小标..."/>
    <w:basedOn w:val="31"/>
    <w:link w:val="31113CharH3H31H32H33u3Heading3SectionChar"/>
    <w:semiHidden/>
    <w:rsid w:val="009964C3"/>
    <w:pPr>
      <w:keepNext w:val="0"/>
      <w:keepLines w:val="0"/>
      <w:numPr>
        <w:ilvl w:val="2"/>
      </w:numPr>
      <w:tabs>
        <w:tab w:val="left" w:pos="1021"/>
      </w:tabs>
      <w:overflowPunct w:val="0"/>
      <w:autoSpaceDE w:val="0"/>
      <w:autoSpaceDN w:val="0"/>
      <w:adjustRightInd w:val="0"/>
      <w:spacing w:before="0" w:after="0" w:line="360" w:lineRule="auto"/>
      <w:ind w:left="1077"/>
      <w:jc w:val="left"/>
      <w:textAlignment w:val="baseline"/>
    </w:pPr>
    <w:rPr>
      <w:color w:val="000000"/>
      <w:sz w:val="24"/>
      <w:szCs w:val="28"/>
    </w:rPr>
  </w:style>
  <w:style w:type="paragraph" w:customStyle="1" w:styleId="0010">
    <w:name w:val="0表格头01"/>
    <w:basedOn w:val="af3"/>
    <w:rsid w:val="009964C3"/>
    <w:pPr>
      <w:autoSpaceDE w:val="0"/>
      <w:autoSpaceDN w:val="0"/>
      <w:adjustRightInd w:val="0"/>
      <w:spacing w:afterLines="50" w:line="360" w:lineRule="auto"/>
      <w:ind w:firstLine="482"/>
      <w:jc w:val="center"/>
    </w:pPr>
    <w:rPr>
      <w:rFonts w:ascii="宋体" w:hAnsi="宋体"/>
      <w:b/>
      <w:color w:val="000000"/>
      <w:sz w:val="24"/>
      <w:lang w:val="zh-CN"/>
    </w:rPr>
  </w:style>
  <w:style w:type="paragraph" w:customStyle="1" w:styleId="Char101">
    <w:name w:val="Char101"/>
    <w:basedOn w:val="af3"/>
    <w:rsid w:val="009964C3"/>
    <w:pPr>
      <w:ind w:left="-48"/>
    </w:pPr>
  </w:style>
  <w:style w:type="paragraph" w:customStyle="1" w:styleId="affffffffffffffffffffd">
    <w:name w:val="河南表格"/>
    <w:basedOn w:val="af3"/>
    <w:semiHidden/>
    <w:rsid w:val="009964C3"/>
    <w:pPr>
      <w:spacing w:line="240" w:lineRule="exact"/>
      <w:jc w:val="center"/>
    </w:pPr>
    <w:rPr>
      <w:rFonts w:ascii="宋体" w:hAnsi="宋体"/>
      <w:bCs/>
      <w:color w:val="000000"/>
      <w:sz w:val="24"/>
    </w:rPr>
  </w:style>
  <w:style w:type="paragraph" w:customStyle="1" w:styleId="affff9">
    <w:name w:val="洋表"/>
    <w:basedOn w:val="af3"/>
    <w:next w:val="af3"/>
    <w:link w:val="Char1c"/>
    <w:semiHidden/>
    <w:rsid w:val="009964C3"/>
    <w:pPr>
      <w:jc w:val="center"/>
    </w:pPr>
    <w:rPr>
      <w:sz w:val="24"/>
      <w:szCs w:val="20"/>
    </w:rPr>
  </w:style>
  <w:style w:type="paragraph" w:customStyle="1" w:styleId="xl82">
    <w:name w:val="xl82"/>
    <w:basedOn w:val="af3"/>
    <w:rsid w:val="009964C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030">
    <w:name w:val="0标题3"/>
    <w:basedOn w:val="af3"/>
    <w:qFormat/>
    <w:rsid w:val="009964C3"/>
    <w:pPr>
      <w:spacing w:line="520" w:lineRule="atLeast"/>
      <w:ind w:firstLineChars="200" w:firstLine="562"/>
    </w:pPr>
    <w:rPr>
      <w:rFonts w:ascii="仿宋_GB2312" w:eastAsia="仿宋_GB2312" w:hAnsi="华文楷体"/>
      <w:b/>
      <w:sz w:val="28"/>
      <w:szCs w:val="21"/>
    </w:rPr>
  </w:style>
  <w:style w:type="paragraph" w:customStyle="1" w:styleId="1ffff3">
    <w:name w:val="正文文本1"/>
    <w:basedOn w:val="af3"/>
    <w:semiHidden/>
    <w:rsid w:val="009964C3"/>
    <w:pPr>
      <w:spacing w:line="540" w:lineRule="exact"/>
      <w:ind w:firstLineChars="200" w:firstLine="200"/>
    </w:pPr>
    <w:rPr>
      <w:rFonts w:eastAsia="仿宋_GB2312"/>
      <w:sz w:val="28"/>
      <w:szCs w:val="21"/>
    </w:rPr>
  </w:style>
  <w:style w:type="paragraph" w:customStyle="1" w:styleId="affffffffffffffffffffe">
    <w:name w:val="表格内"/>
    <w:basedOn w:val="af3"/>
    <w:rsid w:val="009964C3"/>
    <w:pPr>
      <w:adjustRightInd w:val="0"/>
      <w:spacing w:line="240" w:lineRule="atLeast"/>
      <w:jc w:val="center"/>
      <w:textAlignment w:val="baseline"/>
    </w:pPr>
    <w:rPr>
      <w:rFonts w:ascii="宋体"/>
      <w:kern w:val="0"/>
      <w:sz w:val="28"/>
      <w:szCs w:val="20"/>
    </w:rPr>
  </w:style>
  <w:style w:type="paragraph" w:customStyle="1" w:styleId="CharCharCharCharChar5">
    <w:name w:val="Char Char Char Char Char"/>
    <w:basedOn w:val="af3"/>
    <w:rsid w:val="009964C3"/>
    <w:pPr>
      <w:widowControl/>
      <w:spacing w:after="160" w:line="240" w:lineRule="exact"/>
      <w:jc w:val="left"/>
    </w:pPr>
    <w:rPr>
      <w:rFonts w:ascii="Arial" w:eastAsia="Times New Roman" w:hAnsi="Arial" w:cs="Verdana"/>
      <w:b/>
      <w:kern w:val="0"/>
      <w:sz w:val="24"/>
      <w:szCs w:val="20"/>
      <w:lang w:eastAsia="en-US"/>
    </w:rPr>
  </w:style>
  <w:style w:type="paragraph" w:customStyle="1" w:styleId="3ff4">
    <w:name w:val="表内文字大3"/>
    <w:basedOn w:val="af3"/>
    <w:qFormat/>
    <w:rsid w:val="009964C3"/>
    <w:pPr>
      <w:adjustRightInd w:val="0"/>
      <w:snapToGrid w:val="0"/>
      <w:jc w:val="center"/>
    </w:pPr>
    <w:rPr>
      <w:rFonts w:ascii="宋体" w:hAnsi="Times"/>
      <w:sz w:val="24"/>
      <w:szCs w:val="20"/>
    </w:rPr>
  </w:style>
  <w:style w:type="paragraph" w:customStyle="1" w:styleId="53">
    <w:name w:val="表标题5.3"/>
    <w:basedOn w:val="af3"/>
    <w:rsid w:val="009964C3"/>
    <w:pPr>
      <w:numPr>
        <w:numId w:val="43"/>
      </w:numPr>
      <w:tabs>
        <w:tab w:val="left" w:pos="420"/>
      </w:tabs>
      <w:spacing w:beforeLines="100" w:line="0" w:lineRule="atLeast"/>
    </w:pPr>
    <w:rPr>
      <w:rFonts w:eastAsia="黑体"/>
      <w:b/>
      <w:sz w:val="24"/>
    </w:rPr>
  </w:style>
  <w:style w:type="paragraph" w:customStyle="1" w:styleId="affffc">
    <w:name w:val="样式 五号 居中 行距: 单倍行距"/>
    <w:basedOn w:val="af3"/>
    <w:link w:val="Charffc"/>
    <w:rsid w:val="009964C3"/>
    <w:pPr>
      <w:adjustRightInd w:val="0"/>
      <w:snapToGrid w:val="0"/>
      <w:jc w:val="center"/>
    </w:pPr>
    <w:rPr>
      <w:szCs w:val="20"/>
    </w:rPr>
  </w:style>
  <w:style w:type="paragraph" w:customStyle="1" w:styleId="xl140">
    <w:name w:val="xl140"/>
    <w:basedOn w:val="af3"/>
    <w:rsid w:val="009964C3"/>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18"/>
      <w:szCs w:val="18"/>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f3"/>
    <w:next w:val="affffff8"/>
    <w:semiHidden/>
    <w:rsid w:val="009964C3"/>
    <w:rPr>
      <w:sz w:val="28"/>
      <w:szCs w:val="28"/>
    </w:rPr>
  </w:style>
  <w:style w:type="paragraph" w:customStyle="1" w:styleId="129">
    <w:name w:val="列表项目符号1.缩2"/>
    <w:basedOn w:val="1ffff4"/>
    <w:rsid w:val="009964C3"/>
    <w:pPr>
      <w:tabs>
        <w:tab w:val="left" w:pos="945"/>
        <w:tab w:val="left" w:pos="1992"/>
      </w:tabs>
      <w:spacing w:line="360" w:lineRule="auto"/>
      <w:ind w:left="0" w:firstLine="425"/>
    </w:pPr>
    <w:rPr>
      <w:sz w:val="24"/>
      <w:szCs w:val="24"/>
    </w:rPr>
  </w:style>
  <w:style w:type="paragraph" w:customStyle="1" w:styleId="CharCharChar1CharCharCharCharCharCharCharCharCharCharCharChar1CharCharCharCharCharCharCharCharCharCharCharCharCharCharCharCharCharCharCharCharChar">
    <w:name w:val="Char Char Char1 Char Char Char Char Char Char Char Char Char Char Char Char1 Char Char Char Char Char Char Char Char Char Char Char Char Char Char Char Char Char Char Char Char Char"/>
    <w:basedOn w:val="af3"/>
    <w:qFormat/>
    <w:rsid w:val="009964C3"/>
  </w:style>
  <w:style w:type="paragraph" w:customStyle="1" w:styleId="1ffff4">
    <w:name w:val="列表项目符号1."/>
    <w:basedOn w:val="af3"/>
    <w:rsid w:val="009964C3"/>
    <w:pPr>
      <w:keepNext/>
      <w:adjustRightInd w:val="0"/>
      <w:spacing w:line="312" w:lineRule="atLeast"/>
      <w:ind w:left="425" w:hanging="425"/>
      <w:textAlignment w:val="baseline"/>
    </w:pPr>
    <w:rPr>
      <w:kern w:val="0"/>
      <w:szCs w:val="21"/>
    </w:rPr>
  </w:style>
  <w:style w:type="paragraph" w:customStyle="1" w:styleId="afffffffffffffffffffff">
    <w:name w:val="首消息标题"/>
    <w:basedOn w:val="affffff6"/>
    <w:next w:val="affffff6"/>
    <w:rsid w:val="009964C3"/>
    <w:pPr>
      <w:keepLines/>
      <w:widowControl/>
      <w:pBdr>
        <w:top w:val="none" w:sz="0" w:space="0" w:color="auto"/>
        <w:left w:val="none" w:sz="0" w:space="0" w:color="auto"/>
        <w:bottom w:val="none" w:sz="0" w:space="0" w:color="auto"/>
        <w:right w:val="none" w:sz="0" w:space="0" w:color="auto"/>
      </w:pBdr>
      <w:shd w:val="clear" w:color="auto" w:fill="auto"/>
      <w:tabs>
        <w:tab w:val="left" w:pos="1045"/>
        <w:tab w:val="right" w:pos="8640"/>
      </w:tabs>
      <w:spacing w:after="40" w:line="440" w:lineRule="atLeast"/>
      <w:ind w:leftChars="0" w:left="0" w:firstLineChars="0" w:firstLine="0"/>
      <w:jc w:val="left"/>
    </w:pPr>
    <w:rPr>
      <w:b/>
      <w:bCs/>
      <w:kern w:val="0"/>
    </w:rPr>
  </w:style>
  <w:style w:type="paragraph" w:customStyle="1" w:styleId="afffffffffffffffffffff0">
    <w:name w:val="节标"/>
    <w:basedOn w:val="af3"/>
    <w:rsid w:val="009964C3"/>
    <w:pPr>
      <w:widowControl/>
      <w:autoSpaceDE w:val="0"/>
      <w:autoSpaceDN w:val="0"/>
      <w:adjustRightInd w:val="0"/>
      <w:spacing w:line="480" w:lineRule="exact"/>
      <w:ind w:firstLine="567"/>
      <w:jc w:val="center"/>
      <w:textAlignment w:val="bottom"/>
    </w:pPr>
    <w:rPr>
      <w:b/>
      <w:kern w:val="0"/>
      <w:sz w:val="30"/>
      <w:szCs w:val="20"/>
    </w:rPr>
  </w:style>
  <w:style w:type="paragraph" w:customStyle="1" w:styleId="6a">
    <w:name w:val="6"/>
    <w:basedOn w:val="af3"/>
    <w:next w:val="af4"/>
    <w:semiHidden/>
    <w:rsid w:val="009964C3"/>
    <w:pPr>
      <w:ind w:firstLine="420"/>
    </w:pPr>
    <w:rPr>
      <w:rFonts w:eastAsia="仿宋_GB2312"/>
      <w:sz w:val="28"/>
      <w:szCs w:val="20"/>
    </w:rPr>
  </w:style>
  <w:style w:type="paragraph" w:customStyle="1" w:styleId="456">
    <w:name w:val="表题45"/>
    <w:basedOn w:val="afffffff4"/>
    <w:qFormat/>
    <w:rsid w:val="009964C3"/>
    <w:pPr>
      <w:spacing w:line="240" w:lineRule="auto"/>
      <w:ind w:firstLine="0"/>
      <w:jc w:val="center"/>
    </w:pPr>
    <w:rPr>
      <w:rFonts w:ascii="黑体" w:eastAsia="黑体"/>
    </w:rPr>
  </w:style>
  <w:style w:type="paragraph" w:customStyle="1" w:styleId="InTableII">
    <w:name w:val="In Table (II)"/>
    <w:basedOn w:val="InTable"/>
    <w:rsid w:val="009964C3"/>
    <w:pPr>
      <w:spacing w:before="60" w:after="60"/>
      <w:ind w:left="52"/>
      <w:jc w:val="left"/>
    </w:pPr>
  </w:style>
  <w:style w:type="paragraph" w:customStyle="1" w:styleId="InTable">
    <w:name w:val="In Table"/>
    <w:basedOn w:val="af3"/>
    <w:rsid w:val="009964C3"/>
    <w:pPr>
      <w:tabs>
        <w:tab w:val="left" w:pos="2200"/>
        <w:tab w:val="left" w:pos="3960"/>
        <w:tab w:val="left" w:pos="5280"/>
      </w:tabs>
      <w:spacing w:before="96" w:after="96" w:line="0" w:lineRule="atLeast"/>
      <w:jc w:val="center"/>
    </w:pPr>
    <w:rPr>
      <w:rFonts w:ascii="Tahoma" w:eastAsia="华文中宋" w:hAnsi="Tahoma"/>
      <w:szCs w:val="20"/>
    </w:rPr>
  </w:style>
  <w:style w:type="paragraph" w:customStyle="1" w:styleId="22CharAlbertusMedium">
    <w:name w:val="样式 标题 2标题 2 Char + Albertus Medium"/>
    <w:basedOn w:val="22"/>
    <w:rsid w:val="009964C3"/>
    <w:pPr>
      <w:keepNext w:val="0"/>
      <w:keepLines w:val="0"/>
      <w:spacing w:before="0" w:after="0" w:line="360" w:lineRule="auto"/>
      <w:outlineLvl w:val="9"/>
    </w:pPr>
    <w:rPr>
      <w:rFonts w:ascii="Times New Roman" w:eastAsia="宋体" w:hAnsi="Times New Roman"/>
      <w:b w:val="0"/>
      <w:bCs w:val="0"/>
      <w:sz w:val="21"/>
      <w:szCs w:val="24"/>
    </w:rPr>
  </w:style>
  <w:style w:type="paragraph" w:customStyle="1" w:styleId="CharCharCharCharCharCharCharCharCharCharCharCharCharCharCharCharCharCharCharCharCharCharCharCharCharCharCharChar">
    <w:name w:val="纯文本 Char Char Char Char Char Char Char Char Char Char Char Char Char Char Char Char Char Char Char Char Char Char Char Char Char Char Char Char"/>
    <w:basedOn w:val="af3"/>
    <w:next w:val="afffffffff2"/>
    <w:rsid w:val="009964C3"/>
    <w:rPr>
      <w:rFonts w:ascii="宋体" w:hAnsi="Courier New" w:cs="Courier New"/>
      <w:szCs w:val="21"/>
    </w:rPr>
  </w:style>
  <w:style w:type="paragraph" w:customStyle="1" w:styleId="410">
    <w:name w:val="表4.1"/>
    <w:basedOn w:val="af3"/>
    <w:link w:val="41CharChar"/>
    <w:rsid w:val="009964C3"/>
    <w:pPr>
      <w:tabs>
        <w:tab w:val="left" w:pos="1080"/>
        <w:tab w:val="center" w:pos="4060"/>
        <w:tab w:val="right" w:pos="8261"/>
      </w:tabs>
      <w:suppressAutoHyphens/>
      <w:adjustRightInd w:val="0"/>
      <w:spacing w:before="240" w:line="0" w:lineRule="atLeast"/>
      <w:ind w:left="420" w:hanging="420"/>
    </w:pPr>
    <w:rPr>
      <w:rFonts w:ascii="黑体" w:eastAsia="黑体"/>
      <w:b/>
      <w:kern w:val="0"/>
      <w:sz w:val="24"/>
      <w:szCs w:val="26"/>
    </w:rPr>
  </w:style>
  <w:style w:type="paragraph" w:customStyle="1" w:styleId="290">
    <w:name w:val="页眉中29"/>
    <w:basedOn w:val="af3"/>
    <w:rsid w:val="009964C3"/>
    <w:pPr>
      <w:adjustRightInd w:val="0"/>
      <w:snapToGrid w:val="0"/>
      <w:spacing w:line="300" w:lineRule="auto"/>
      <w:jc w:val="left"/>
    </w:pPr>
    <w:rPr>
      <w:rFonts w:ascii="黑体" w:eastAsia="黑体"/>
      <w:bCs/>
      <w:sz w:val="24"/>
      <w:szCs w:val="20"/>
    </w:rPr>
  </w:style>
  <w:style w:type="paragraph" w:customStyle="1" w:styleId="4ff">
    <w:name w:val="需要资料4"/>
    <w:basedOn w:val="af3"/>
    <w:rsid w:val="009964C3"/>
    <w:pPr>
      <w:adjustRightInd w:val="0"/>
      <w:snapToGrid w:val="0"/>
      <w:spacing w:line="360" w:lineRule="auto"/>
      <w:ind w:firstLineChars="200" w:firstLine="480"/>
    </w:pPr>
    <w:rPr>
      <w:rFonts w:ascii="黑体" w:eastAsia="黑体"/>
      <w:color w:val="0000FF"/>
      <w:sz w:val="24"/>
    </w:rPr>
  </w:style>
  <w:style w:type="paragraph" w:customStyle="1" w:styleId="afffffffffffffffffffff1">
    <w:name w:val="表内"/>
    <w:rsid w:val="009964C3"/>
    <w:pPr>
      <w:adjustRightInd w:val="0"/>
      <w:snapToGrid w:val="0"/>
      <w:ind w:leftChars="-50" w:left="-105" w:rightChars="-50" w:right="-105"/>
      <w:jc w:val="center"/>
    </w:pPr>
    <w:rPr>
      <w:sz w:val="21"/>
    </w:rPr>
  </w:style>
  <w:style w:type="paragraph" w:customStyle="1" w:styleId="font10">
    <w:name w:val="font10"/>
    <w:basedOn w:val="af3"/>
    <w:rsid w:val="009964C3"/>
    <w:pPr>
      <w:widowControl/>
      <w:spacing w:before="100" w:beforeAutospacing="1" w:after="100" w:afterAutospacing="1"/>
      <w:jc w:val="left"/>
    </w:pPr>
    <w:rPr>
      <w:kern w:val="0"/>
      <w:sz w:val="24"/>
    </w:rPr>
  </w:style>
  <w:style w:type="paragraph" w:customStyle="1" w:styleId="510">
    <w:name w:val="表5.10"/>
    <w:basedOn w:val="38-1"/>
    <w:link w:val="510CharChar"/>
    <w:rsid w:val="009964C3"/>
    <w:pPr>
      <w:numPr>
        <w:numId w:val="0"/>
      </w:numPr>
      <w:tabs>
        <w:tab w:val="clear" w:pos="360"/>
        <w:tab w:val="clear" w:pos="2040"/>
        <w:tab w:val="left" w:pos="420"/>
      </w:tabs>
    </w:pPr>
    <w:rPr>
      <w:color w:val="000000"/>
    </w:rPr>
  </w:style>
  <w:style w:type="paragraph" w:customStyle="1" w:styleId="font9">
    <w:name w:val="font9"/>
    <w:basedOn w:val="af3"/>
    <w:rsid w:val="009964C3"/>
    <w:pPr>
      <w:widowControl/>
      <w:spacing w:before="100" w:beforeAutospacing="1" w:after="100" w:afterAutospacing="1"/>
      <w:jc w:val="left"/>
    </w:pPr>
    <w:rPr>
      <w:rFonts w:ascii="宋体" w:hAnsi="宋体" w:hint="eastAsia"/>
      <w:kern w:val="0"/>
      <w:sz w:val="20"/>
      <w:szCs w:val="20"/>
    </w:rPr>
  </w:style>
  <w:style w:type="paragraph" w:customStyle="1" w:styleId="afffffffffffffffffffff2">
    <w:name w:val="表内容"/>
    <w:basedOn w:val="af3"/>
    <w:rsid w:val="009964C3"/>
    <w:pPr>
      <w:adjustRightInd w:val="0"/>
      <w:snapToGrid w:val="0"/>
      <w:spacing w:line="360" w:lineRule="auto"/>
      <w:jc w:val="center"/>
      <w:textAlignment w:val="center"/>
    </w:pPr>
    <w:rPr>
      <w:sz w:val="24"/>
    </w:rPr>
  </w:style>
  <w:style w:type="paragraph" w:customStyle="1" w:styleId="1140">
    <w:name w:val="正文114"/>
    <w:basedOn w:val="af3"/>
    <w:rsid w:val="009964C3"/>
    <w:pPr>
      <w:adjustRightInd w:val="0"/>
      <w:snapToGrid w:val="0"/>
      <w:spacing w:after="120"/>
      <w:jc w:val="center"/>
      <w:textAlignment w:val="baseline"/>
    </w:pPr>
    <w:rPr>
      <w:kern w:val="0"/>
      <w:sz w:val="18"/>
      <w:szCs w:val="20"/>
    </w:rPr>
  </w:style>
  <w:style w:type="paragraph" w:customStyle="1" w:styleId="1-1">
    <w:name w:val="正文1-1"/>
    <w:basedOn w:val="af3"/>
    <w:link w:val="1-1Char"/>
    <w:rsid w:val="009964C3"/>
    <w:pPr>
      <w:tabs>
        <w:tab w:val="left" w:pos="1021"/>
      </w:tabs>
      <w:adjustRightInd w:val="0"/>
      <w:spacing w:beforeLines="50" w:afterLines="50" w:line="360" w:lineRule="auto"/>
      <w:ind w:left="-28" w:firstLineChars="12" w:firstLine="29"/>
      <w:jc w:val="left"/>
    </w:pPr>
    <w:rPr>
      <w:rFonts w:hAnsi="华文仿宋"/>
      <w:sz w:val="24"/>
      <w:szCs w:val="20"/>
    </w:rPr>
  </w:style>
  <w:style w:type="paragraph" w:customStyle="1" w:styleId="4350">
    <w:name w:val="表内小435"/>
    <w:basedOn w:val="affffffffff"/>
    <w:rsid w:val="009964C3"/>
    <w:pPr>
      <w:ind w:left="240" w:hanging="240"/>
      <w:jc w:val="both"/>
    </w:pPr>
    <w:rPr>
      <w:rFonts w:cs="Times New Roman"/>
    </w:rPr>
  </w:style>
  <w:style w:type="paragraph" w:customStyle="1" w:styleId="aff5">
    <w:name w:val="表字居中"/>
    <w:basedOn w:val="af3"/>
    <w:next w:val="af3"/>
    <w:link w:val="Char3"/>
    <w:qFormat/>
    <w:rsid w:val="009964C3"/>
    <w:pPr>
      <w:adjustRightInd w:val="0"/>
      <w:jc w:val="center"/>
      <w:textAlignment w:val="baseline"/>
    </w:pPr>
    <w:rPr>
      <w:color w:val="000000"/>
      <w:kern w:val="0"/>
      <w:sz w:val="18"/>
      <w:szCs w:val="18"/>
    </w:rPr>
  </w:style>
  <w:style w:type="paragraph" w:customStyle="1" w:styleId="afffffffffffffffffffff3">
    <w:name w:val="首页脚注"/>
    <w:basedOn w:val="affe"/>
    <w:rsid w:val="009964C3"/>
    <w:pPr>
      <w:keepLines/>
      <w:tabs>
        <w:tab w:val="clear" w:pos="4153"/>
        <w:tab w:val="clear" w:pos="8306"/>
        <w:tab w:val="center" w:pos="4320"/>
      </w:tabs>
      <w:overflowPunct w:val="0"/>
      <w:autoSpaceDE w:val="0"/>
      <w:autoSpaceDN w:val="0"/>
      <w:adjustRightInd w:val="0"/>
      <w:snapToGrid/>
      <w:spacing w:line="360" w:lineRule="auto"/>
      <w:jc w:val="center"/>
      <w:textAlignment w:val="baseline"/>
    </w:pPr>
    <w:rPr>
      <w:rFonts w:ascii="Times New Roman" w:hAnsi="Times New Roman" w:cs="Times New Roman"/>
      <w:sz w:val="28"/>
      <w:szCs w:val="20"/>
    </w:rPr>
  </w:style>
  <w:style w:type="paragraph" w:customStyle="1" w:styleId="affffffffffffff9">
    <w:name w:val="表格内文字"/>
    <w:basedOn w:val="af3"/>
    <w:qFormat/>
    <w:rsid w:val="009964C3"/>
    <w:pPr>
      <w:tabs>
        <w:tab w:val="left" w:pos="0"/>
      </w:tabs>
      <w:snapToGrid w:val="0"/>
      <w:jc w:val="center"/>
    </w:pPr>
    <w:rPr>
      <w:rFonts w:ascii="仿宋_GB2312" w:eastAsia="仿宋_GB2312"/>
      <w:w w:val="90"/>
      <w:kern w:val="18"/>
    </w:rPr>
  </w:style>
  <w:style w:type="paragraph" w:customStyle="1" w:styleId="3ff5">
    <w:name w:val="表中文字3"/>
    <w:basedOn w:val="af3"/>
    <w:rsid w:val="009964C3"/>
    <w:pPr>
      <w:widowControl/>
      <w:spacing w:line="240" w:lineRule="atLeast"/>
      <w:ind w:leftChars="-10" w:left="-24" w:rightChars="-20" w:right="-48"/>
      <w:jc w:val="center"/>
    </w:pPr>
    <w:rPr>
      <w:rFonts w:ascii="宋体"/>
      <w:kern w:val="0"/>
      <w:szCs w:val="21"/>
    </w:rPr>
  </w:style>
  <w:style w:type="paragraph" w:customStyle="1" w:styleId="xl49">
    <w:name w:val="xl49"/>
    <w:basedOn w:val="af3"/>
    <w:rsid w:val="009964C3"/>
    <w:pPr>
      <w:widowControl/>
      <w:pBdr>
        <w:top w:val="single" w:sz="4" w:space="0" w:color="auto"/>
        <w:left w:val="single" w:sz="4" w:space="0" w:color="auto"/>
      </w:pBdr>
      <w:spacing w:before="100" w:beforeAutospacing="1" w:after="100" w:afterAutospacing="1"/>
      <w:jc w:val="left"/>
    </w:pPr>
    <w:rPr>
      <w:rFonts w:ascii="宋体" w:hAnsi="宋体" w:cs="宋体"/>
      <w:kern w:val="0"/>
      <w:sz w:val="18"/>
      <w:szCs w:val="18"/>
    </w:rPr>
  </w:style>
  <w:style w:type="paragraph" w:customStyle="1" w:styleId="161">
    <w:name w:val="表16.1"/>
    <w:basedOn w:val="af3"/>
    <w:link w:val="161CharChar"/>
    <w:rsid w:val="009964C3"/>
    <w:pPr>
      <w:tabs>
        <w:tab w:val="left" w:pos="1080"/>
        <w:tab w:val="center" w:pos="4060"/>
        <w:tab w:val="right" w:pos="8261"/>
      </w:tabs>
      <w:suppressAutoHyphens/>
      <w:adjustRightInd w:val="0"/>
      <w:spacing w:before="240" w:line="0" w:lineRule="atLeast"/>
      <w:ind w:left="420" w:hanging="420"/>
    </w:pPr>
    <w:rPr>
      <w:rFonts w:ascii="黑体" w:eastAsia="黑体"/>
      <w:b/>
      <w:kern w:val="0"/>
      <w:sz w:val="24"/>
      <w:szCs w:val="26"/>
    </w:rPr>
  </w:style>
  <w:style w:type="paragraph" w:customStyle="1" w:styleId="226">
    <w:name w:val="样式 样式 样式 首行缩进:  2 字符 + 首行缩进:  2 字符 + 居中 行距: 单倍行距"/>
    <w:basedOn w:val="af3"/>
    <w:semiHidden/>
    <w:rsid w:val="009964C3"/>
    <w:pPr>
      <w:snapToGrid w:val="0"/>
      <w:jc w:val="center"/>
    </w:pPr>
    <w:rPr>
      <w:rFonts w:ascii="宋体" w:hAnsi="宋体" w:cs="宋体"/>
      <w:color w:val="000000"/>
      <w:sz w:val="24"/>
      <w:szCs w:val="21"/>
    </w:rPr>
  </w:style>
  <w:style w:type="paragraph" w:customStyle="1" w:styleId="1170">
    <w:name w:val="表题117"/>
    <w:basedOn w:val="af3"/>
    <w:rsid w:val="009964C3"/>
    <w:pPr>
      <w:adjustRightInd w:val="0"/>
      <w:snapToGrid w:val="0"/>
      <w:jc w:val="center"/>
      <w:textAlignment w:val="baseline"/>
    </w:pPr>
    <w:rPr>
      <w:rFonts w:ascii="黑体" w:eastAsia="黑体" w:hAnsi="宋体"/>
      <w:kern w:val="0"/>
      <w:sz w:val="24"/>
    </w:rPr>
  </w:style>
  <w:style w:type="paragraph" w:customStyle="1" w:styleId="1190">
    <w:name w:val="页眉中119"/>
    <w:basedOn w:val="af3"/>
    <w:rsid w:val="009964C3"/>
    <w:pPr>
      <w:adjustRightInd w:val="0"/>
      <w:snapToGrid w:val="0"/>
      <w:spacing w:line="300" w:lineRule="auto"/>
      <w:jc w:val="left"/>
    </w:pPr>
    <w:rPr>
      <w:rFonts w:ascii="黑体" w:eastAsia="黑体" w:hAnsi="宋体"/>
      <w:sz w:val="24"/>
    </w:rPr>
  </w:style>
  <w:style w:type="paragraph" w:customStyle="1" w:styleId="421">
    <w:name w:val="样式 表标题4.2 + 居中 段前: 1 行"/>
    <w:basedOn w:val="427"/>
    <w:rsid w:val="009964C3"/>
    <w:pPr>
      <w:numPr>
        <w:numId w:val="44"/>
      </w:numPr>
      <w:tabs>
        <w:tab w:val="left" w:pos="4440"/>
      </w:tabs>
      <w:spacing w:before="240"/>
      <w:jc w:val="center"/>
    </w:pPr>
    <w:rPr>
      <w:rFonts w:cs="宋体"/>
      <w:bCs/>
      <w:szCs w:val="20"/>
    </w:rPr>
  </w:style>
  <w:style w:type="paragraph" w:customStyle="1" w:styleId="affffb">
    <w:name w:val="样式 正文首行缩进 + 四号"/>
    <w:basedOn w:val="aff7"/>
    <w:link w:val="Charffb"/>
    <w:rsid w:val="009964C3"/>
    <w:pPr>
      <w:overflowPunct/>
      <w:autoSpaceDE/>
      <w:autoSpaceDN/>
      <w:adjustRightInd/>
      <w:spacing w:after="120" w:line="240" w:lineRule="auto"/>
      <w:ind w:firstLineChars="100" w:firstLine="420"/>
      <w:textAlignment w:val="auto"/>
    </w:pPr>
    <w:rPr>
      <w:rFonts w:ascii="宋体"/>
      <w:szCs w:val="24"/>
    </w:rPr>
  </w:style>
  <w:style w:type="paragraph" w:customStyle="1" w:styleId="xl48">
    <w:name w:val="xl48"/>
    <w:basedOn w:val="af3"/>
    <w:qFormat/>
    <w:rsid w:val="009964C3"/>
    <w:pPr>
      <w:widowControl/>
      <w:pBdr>
        <w:left w:val="single" w:sz="4" w:space="0" w:color="auto"/>
        <w:bottom w:val="single" w:sz="4" w:space="0" w:color="auto"/>
      </w:pBdr>
      <w:spacing w:before="100" w:beforeAutospacing="1" w:after="100" w:afterAutospacing="1"/>
      <w:jc w:val="center"/>
    </w:pPr>
    <w:rPr>
      <w:rFonts w:ascii="Arial" w:eastAsia="Arial Unicode MS" w:hAnsi="Arial" w:cs="Arial"/>
      <w:b/>
      <w:bCs/>
      <w:kern w:val="0"/>
      <w:sz w:val="24"/>
      <w:szCs w:val="20"/>
    </w:rPr>
  </w:style>
  <w:style w:type="paragraph" w:customStyle="1" w:styleId="xl40">
    <w:name w:val="xl40"/>
    <w:basedOn w:val="af3"/>
    <w:rsid w:val="009964C3"/>
    <w:pPr>
      <w:widowControl/>
      <w:pBdr>
        <w:top w:val="single" w:sz="12" w:space="0" w:color="auto"/>
        <w:left w:val="single" w:sz="8" w:space="0" w:color="auto"/>
        <w:right w:val="single" w:sz="8" w:space="0" w:color="auto"/>
      </w:pBdr>
      <w:spacing w:before="100" w:beforeAutospacing="1" w:after="100" w:afterAutospacing="1"/>
      <w:jc w:val="center"/>
    </w:pPr>
    <w:rPr>
      <w:kern w:val="0"/>
      <w:szCs w:val="21"/>
    </w:rPr>
  </w:style>
  <w:style w:type="paragraph" w:customStyle="1" w:styleId="4151">
    <w:name w:val="标题415"/>
    <w:basedOn w:val="af3"/>
    <w:rsid w:val="009964C3"/>
    <w:pPr>
      <w:adjustRightInd w:val="0"/>
      <w:snapToGrid w:val="0"/>
      <w:spacing w:line="360" w:lineRule="auto"/>
      <w:jc w:val="left"/>
    </w:pPr>
    <w:rPr>
      <w:rFonts w:ascii="黑体" w:eastAsia="黑体"/>
      <w:bCs/>
      <w:sz w:val="24"/>
    </w:rPr>
  </w:style>
  <w:style w:type="paragraph" w:customStyle="1" w:styleId="3ff6">
    <w:name w:val="图表名称3"/>
    <w:basedOn w:val="aff7"/>
    <w:rsid w:val="009964C3"/>
    <w:pPr>
      <w:overflowPunct/>
      <w:autoSpaceDE/>
      <w:autoSpaceDN/>
      <w:snapToGrid w:val="0"/>
      <w:spacing w:line="240" w:lineRule="auto"/>
      <w:ind w:firstLine="0"/>
      <w:jc w:val="center"/>
      <w:textAlignment w:val="auto"/>
    </w:pPr>
    <w:rPr>
      <w:rFonts w:ascii="宋体" w:hAnsi="宋体"/>
      <w:sz w:val="24"/>
      <w:szCs w:val="21"/>
    </w:rPr>
  </w:style>
  <w:style w:type="paragraph" w:customStyle="1" w:styleId="4ff0">
    <w:name w:val="样式 标题 4 +"/>
    <w:basedOn w:val="43"/>
    <w:semiHidden/>
    <w:rsid w:val="009964C3"/>
    <w:pPr>
      <w:numPr>
        <w:ilvl w:val="3"/>
      </w:numPr>
      <w:tabs>
        <w:tab w:val="left" w:pos="864"/>
        <w:tab w:val="left" w:pos="2880"/>
      </w:tabs>
      <w:spacing w:after="120" w:line="360" w:lineRule="auto"/>
      <w:ind w:left="2880" w:hanging="360"/>
    </w:pPr>
    <w:rPr>
      <w:rFonts w:ascii="黑体" w:eastAsia="宋体" w:hAnsi="黑体" w:cs="黑体"/>
      <w:bCs w:val="0"/>
      <w:kern w:val="0"/>
      <w:sz w:val="24"/>
      <w:szCs w:val="24"/>
    </w:rPr>
  </w:style>
  <w:style w:type="paragraph" w:customStyle="1" w:styleId="2fff7">
    <w:name w:val="页眉中2"/>
    <w:basedOn w:val="af3"/>
    <w:rsid w:val="009964C3"/>
    <w:pPr>
      <w:adjustRightInd w:val="0"/>
      <w:snapToGrid w:val="0"/>
      <w:jc w:val="center"/>
    </w:pPr>
    <w:rPr>
      <w:rFonts w:ascii="黑体" w:eastAsia="黑体"/>
      <w:bCs/>
      <w:szCs w:val="20"/>
    </w:rPr>
  </w:style>
  <w:style w:type="paragraph" w:customStyle="1" w:styleId="xl84">
    <w:name w:val="xl84"/>
    <w:basedOn w:val="af3"/>
    <w:rsid w:val="009964C3"/>
    <w:pPr>
      <w:widowControl/>
      <w:pBdr>
        <w:top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5541">
    <w:name w:val="表内554"/>
    <w:basedOn w:val="5f2"/>
    <w:rsid w:val="009964C3"/>
    <w:pPr>
      <w:jc w:val="both"/>
    </w:pPr>
    <w:rPr>
      <w:color w:val="000000"/>
    </w:rPr>
  </w:style>
  <w:style w:type="paragraph" w:customStyle="1" w:styleId="480">
    <w:name w:val="表内小48"/>
    <w:basedOn w:val="affffffffff"/>
    <w:rsid w:val="009964C3"/>
    <w:pPr>
      <w:ind w:left="240" w:hanging="240"/>
      <w:jc w:val="both"/>
    </w:pPr>
    <w:rPr>
      <w:rFonts w:cs="Times New Roman"/>
    </w:rPr>
  </w:style>
  <w:style w:type="paragraph" w:customStyle="1" w:styleId="3ff7">
    <w:name w:val="正文修改3"/>
    <w:basedOn w:val="affffffffb"/>
    <w:rsid w:val="009964C3"/>
    <w:pPr>
      <w:ind w:rightChars="100" w:right="210" w:firstLineChars="87" w:firstLine="209"/>
    </w:pPr>
    <w:rPr>
      <w:rFonts w:cs="Times New Roman"/>
      <w:bCs w:val="0"/>
    </w:rPr>
  </w:style>
  <w:style w:type="paragraph" w:customStyle="1" w:styleId="5420">
    <w:name w:val="表内宋5中42"/>
    <w:basedOn w:val="af3"/>
    <w:rsid w:val="009964C3"/>
    <w:pPr>
      <w:adjustRightInd w:val="0"/>
      <w:snapToGrid w:val="0"/>
      <w:jc w:val="center"/>
      <w:textAlignment w:val="baseline"/>
    </w:pPr>
    <w:rPr>
      <w:rFonts w:ascii="宋体" w:hAnsi="宋体"/>
      <w:kern w:val="0"/>
      <w:szCs w:val="20"/>
    </w:rPr>
  </w:style>
  <w:style w:type="paragraph" w:customStyle="1" w:styleId="Textecourant">
    <w:name w:val="!Texte courant"/>
    <w:rsid w:val="009964C3"/>
    <w:pPr>
      <w:spacing w:before="120" w:line="280" w:lineRule="atLeast"/>
      <w:jc w:val="both"/>
    </w:pPr>
    <w:rPr>
      <w:sz w:val="24"/>
      <w:lang w:val="fr-FR"/>
    </w:rPr>
  </w:style>
  <w:style w:type="paragraph" w:customStyle="1" w:styleId="CharChar1CharCharCharCharCharCharCharCharCharChar">
    <w:name w:val="样式 Char Char1 Char Char Char Char Char Char Char Char Char Char ..."/>
    <w:basedOn w:val="CharChar1CharCharCharCharCharCharCharCharCharCharCharCharCharCharCharCharCharCharCharChar1Char"/>
    <w:semiHidden/>
    <w:rsid w:val="009964C3"/>
  </w:style>
  <w:style w:type="paragraph" w:customStyle="1" w:styleId="539">
    <w:name w:val="表内小5中3"/>
    <w:basedOn w:val="af3"/>
    <w:rsid w:val="009964C3"/>
    <w:pPr>
      <w:adjustRightInd w:val="0"/>
      <w:snapToGrid w:val="0"/>
      <w:jc w:val="center"/>
    </w:pPr>
    <w:rPr>
      <w:rFonts w:ascii="宋体" w:hAnsi="宋体"/>
      <w:sz w:val="18"/>
      <w:szCs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2f"/>
    <w:next w:val="af3"/>
    <w:semiHidden/>
    <w:rsid w:val="009964C3"/>
    <w:pPr>
      <w:widowControl/>
      <w:tabs>
        <w:tab w:val="clear" w:pos="4532"/>
      </w:tabs>
      <w:spacing w:line="360" w:lineRule="auto"/>
      <w:ind w:firstLine="200"/>
      <w:jc w:val="left"/>
    </w:pPr>
    <w:rPr>
      <w:rFonts w:ascii="宋体" w:cs="宋体"/>
      <w:spacing w:val="0"/>
      <w:kern w:val="0"/>
    </w:rPr>
  </w:style>
  <w:style w:type="paragraph" w:customStyle="1" w:styleId="4200">
    <w:name w:val="标题420"/>
    <w:basedOn w:val="af3"/>
    <w:rsid w:val="009964C3"/>
    <w:pPr>
      <w:adjustRightInd w:val="0"/>
      <w:snapToGrid w:val="0"/>
      <w:spacing w:line="300" w:lineRule="auto"/>
      <w:jc w:val="left"/>
    </w:pPr>
    <w:rPr>
      <w:rFonts w:ascii="宋体" w:hAnsi="宋体"/>
      <w:bCs/>
      <w:sz w:val="24"/>
    </w:rPr>
  </w:style>
  <w:style w:type="paragraph" w:customStyle="1" w:styleId="11c">
    <w:name w:val="燕山正文11"/>
    <w:basedOn w:val="af3"/>
    <w:rsid w:val="009964C3"/>
    <w:pPr>
      <w:tabs>
        <w:tab w:val="left" w:pos="4680"/>
      </w:tabs>
      <w:adjustRightInd w:val="0"/>
      <w:snapToGrid w:val="0"/>
      <w:spacing w:line="360" w:lineRule="auto"/>
      <w:ind w:firstLineChars="200" w:firstLine="480"/>
    </w:pPr>
    <w:rPr>
      <w:rFonts w:ascii="宋体" w:hAnsi="宋体" w:cs="宋体"/>
      <w:bCs/>
      <w:color w:val="000000"/>
      <w:sz w:val="24"/>
    </w:rPr>
  </w:style>
  <w:style w:type="paragraph" w:customStyle="1" w:styleId="WJ0">
    <w:name w:val="WJ正文"/>
    <w:basedOn w:val="af3"/>
    <w:rsid w:val="009964C3"/>
    <w:pPr>
      <w:widowControl/>
      <w:spacing w:line="360" w:lineRule="auto"/>
      <w:ind w:firstLineChars="192" w:firstLine="538"/>
      <w:jc w:val="center"/>
    </w:pPr>
    <w:rPr>
      <w:rFonts w:ascii="仿宋_GB2312" w:eastAsia="仿宋_GB2312"/>
      <w:b/>
      <w:kern w:val="0"/>
      <w:sz w:val="28"/>
      <w:szCs w:val="28"/>
    </w:rPr>
  </w:style>
  <w:style w:type="paragraph" w:customStyle="1" w:styleId="3ff8">
    <w:name w:val="表头（铸造）3"/>
    <w:basedOn w:val="af3"/>
    <w:rsid w:val="009964C3"/>
    <w:pPr>
      <w:spacing w:line="360" w:lineRule="auto"/>
      <w:jc w:val="center"/>
    </w:pPr>
    <w:rPr>
      <w:rFonts w:eastAsia="方正宋黑简体"/>
      <w:b/>
      <w:sz w:val="24"/>
    </w:rPr>
  </w:style>
  <w:style w:type="paragraph" w:customStyle="1" w:styleId="0151">
    <w:name w:val="样式 正文首行缩进 + 四号 段后: 0 磅 行距: 1.5 倍行距"/>
    <w:basedOn w:val="aff7"/>
    <w:rsid w:val="009964C3"/>
    <w:pPr>
      <w:overflowPunct/>
      <w:autoSpaceDE/>
      <w:autoSpaceDN/>
      <w:adjustRightInd/>
      <w:ind w:firstLineChars="200" w:firstLine="560"/>
      <w:textAlignment w:val="auto"/>
    </w:pPr>
    <w:rPr>
      <w:rFonts w:ascii="宋体" w:cs="宋体"/>
      <w:szCs w:val="20"/>
    </w:rPr>
  </w:style>
  <w:style w:type="paragraph" w:customStyle="1" w:styleId="2420">
    <w:name w:val="样式 小四 行距: 固定值 24 磅 首行缩进:  2 字符"/>
    <w:basedOn w:val="af3"/>
    <w:rsid w:val="009964C3"/>
    <w:pPr>
      <w:spacing w:line="440" w:lineRule="exact"/>
      <w:ind w:firstLineChars="200" w:firstLine="200"/>
    </w:pPr>
    <w:rPr>
      <w:sz w:val="24"/>
    </w:rPr>
  </w:style>
  <w:style w:type="paragraph" w:customStyle="1" w:styleId="bt1">
    <w:name w:val="bt1"/>
    <w:basedOn w:val="af3"/>
    <w:rsid w:val="009964C3"/>
    <w:pPr>
      <w:spacing w:before="156" w:after="156"/>
    </w:pPr>
    <w:rPr>
      <w:rFonts w:ascii="宋体"/>
      <w:b/>
      <w:szCs w:val="20"/>
    </w:rPr>
  </w:style>
  <w:style w:type="paragraph" w:customStyle="1" w:styleId="1ffff5">
    <w:name w:val="正文样式1"/>
    <w:basedOn w:val="afffffffff2"/>
    <w:qFormat/>
    <w:rsid w:val="009964C3"/>
    <w:pPr>
      <w:widowControl/>
      <w:spacing w:line="360" w:lineRule="auto"/>
      <w:ind w:firstLineChars="200" w:firstLine="560"/>
      <w:jc w:val="left"/>
    </w:pPr>
    <w:rPr>
      <w:kern w:val="0"/>
      <w:sz w:val="24"/>
    </w:rPr>
  </w:style>
  <w:style w:type="paragraph" w:customStyle="1" w:styleId="143">
    <w:name w:val="福建正文缩进14"/>
    <w:basedOn w:val="af4"/>
    <w:rsid w:val="009964C3"/>
    <w:pPr>
      <w:autoSpaceDE w:val="0"/>
      <w:autoSpaceDN w:val="0"/>
      <w:adjustRightInd w:val="0"/>
      <w:snapToGrid w:val="0"/>
      <w:spacing w:line="360" w:lineRule="auto"/>
      <w:ind w:firstLineChars="0" w:firstLine="539"/>
    </w:pPr>
    <w:rPr>
      <w:rFonts w:ascii="宋体" w:hAnsi="宋体"/>
      <w:sz w:val="24"/>
      <w:szCs w:val="24"/>
    </w:rPr>
  </w:style>
  <w:style w:type="paragraph" w:customStyle="1" w:styleId="CharChar2CharCharChar">
    <w:name w:val="段落 Char Char2 Char Char Char"/>
    <w:basedOn w:val="af3"/>
    <w:rsid w:val="009964C3"/>
    <w:pPr>
      <w:tabs>
        <w:tab w:val="left" w:pos="1021"/>
      </w:tabs>
      <w:spacing w:line="326" w:lineRule="auto"/>
      <w:ind w:firstLineChars="200" w:firstLine="480"/>
    </w:pPr>
    <w:rPr>
      <w:kern w:val="24"/>
      <w:sz w:val="24"/>
    </w:rPr>
  </w:style>
  <w:style w:type="paragraph" w:customStyle="1" w:styleId="3TimesNewRoman12154">
    <w:name w:val="样式 标题 3 + (符号) Times New Roman 四号 两端对齐 段前: 12 磅 行距: 1.5 倍行距4"/>
    <w:basedOn w:val="31"/>
    <w:rsid w:val="009964C3"/>
    <w:pPr>
      <w:keepNext w:val="0"/>
      <w:keepLines w:val="0"/>
      <w:adjustRightInd w:val="0"/>
      <w:snapToGrid w:val="0"/>
      <w:spacing w:before="120" w:afterLines="50" w:line="360" w:lineRule="auto"/>
    </w:pPr>
    <w:rPr>
      <w:rFonts w:ascii="黑体" w:eastAsia="黑体" w:cs="宋体"/>
      <w:bCs w:val="0"/>
      <w:sz w:val="28"/>
      <w:szCs w:val="28"/>
    </w:rPr>
  </w:style>
  <w:style w:type="paragraph" w:customStyle="1" w:styleId="5101">
    <w:name w:val="表5.10－1"/>
    <w:basedOn w:val="af3"/>
    <w:rsid w:val="009964C3"/>
    <w:pPr>
      <w:tabs>
        <w:tab w:val="left" w:pos="720"/>
        <w:tab w:val="center" w:pos="4060"/>
        <w:tab w:val="right" w:pos="8261"/>
      </w:tabs>
      <w:suppressAutoHyphens/>
      <w:adjustRightInd w:val="0"/>
      <w:spacing w:before="240" w:line="0" w:lineRule="atLeast"/>
      <w:ind w:left="-4" w:firstLine="4"/>
    </w:pPr>
    <w:rPr>
      <w:rFonts w:ascii="黑体" w:eastAsia="黑体"/>
      <w:b/>
      <w:spacing w:val="6"/>
      <w:kern w:val="0"/>
      <w:sz w:val="26"/>
      <w:szCs w:val="26"/>
    </w:rPr>
  </w:style>
  <w:style w:type="paragraph" w:customStyle="1" w:styleId="afff5">
    <w:name w:val="魏秀珍   正文"/>
    <w:basedOn w:val="af4"/>
    <w:link w:val="Charf7"/>
    <w:semiHidden/>
    <w:rsid w:val="009964C3"/>
    <w:pPr>
      <w:adjustRightInd w:val="0"/>
      <w:snapToGrid w:val="0"/>
      <w:spacing w:line="360" w:lineRule="auto"/>
      <w:ind w:firstLine="480"/>
      <w:jc w:val="left"/>
    </w:pPr>
    <w:rPr>
      <w:kern w:val="0"/>
      <w:sz w:val="24"/>
      <w:szCs w:val="20"/>
      <w:lang w:val="en-GB"/>
    </w:rPr>
  </w:style>
  <w:style w:type="paragraph" w:customStyle="1" w:styleId="1671">
    <w:name w:val="表标题16.7－1"/>
    <w:basedOn w:val="af3"/>
    <w:rsid w:val="009964C3"/>
    <w:pPr>
      <w:tabs>
        <w:tab w:val="left" w:pos="1931"/>
      </w:tabs>
      <w:spacing w:beforeLines="100" w:line="0" w:lineRule="atLeast"/>
      <w:ind w:left="1271" w:hanging="420"/>
    </w:pPr>
    <w:rPr>
      <w:rFonts w:eastAsia="黑体"/>
      <w:b/>
      <w:color w:val="000000"/>
      <w:sz w:val="24"/>
    </w:rPr>
  </w:style>
  <w:style w:type="paragraph" w:customStyle="1" w:styleId="1-">
    <w:name w:val="1-正文"/>
    <w:basedOn w:val="af3"/>
    <w:link w:val="1-Char"/>
    <w:semiHidden/>
    <w:rsid w:val="009964C3"/>
    <w:pPr>
      <w:spacing w:line="360" w:lineRule="auto"/>
      <w:ind w:firstLineChars="200" w:firstLine="480"/>
      <w:jc w:val="left"/>
    </w:pPr>
    <w:rPr>
      <w:rFonts w:ascii="宋体" w:hAnsi="宋体"/>
      <w:sz w:val="24"/>
    </w:rPr>
  </w:style>
  <w:style w:type="paragraph" w:customStyle="1" w:styleId="4231">
    <w:name w:val="标题423"/>
    <w:basedOn w:val="af3"/>
    <w:rsid w:val="009964C3"/>
    <w:pPr>
      <w:adjustRightInd w:val="0"/>
      <w:snapToGrid w:val="0"/>
      <w:spacing w:line="300" w:lineRule="auto"/>
      <w:jc w:val="left"/>
    </w:pPr>
    <w:rPr>
      <w:rFonts w:ascii="宋体" w:hAnsi="宋体"/>
      <w:sz w:val="24"/>
      <w:szCs w:val="20"/>
    </w:rPr>
  </w:style>
  <w:style w:type="paragraph" w:customStyle="1" w:styleId="1ffff6">
    <w:name w:val="项目符号1"/>
    <w:basedOn w:val="af3"/>
    <w:qFormat/>
    <w:rsid w:val="009964C3"/>
    <w:pPr>
      <w:overflowPunct w:val="0"/>
      <w:snapToGrid w:val="0"/>
      <w:spacing w:line="480" w:lineRule="exact"/>
    </w:pPr>
    <w:rPr>
      <w:rFonts w:ascii="Arial" w:eastAsia="仿宋_GB2312" w:hAnsi="Arial"/>
      <w:sz w:val="28"/>
      <w:szCs w:val="20"/>
    </w:rPr>
  </w:style>
  <w:style w:type="paragraph" w:customStyle="1" w:styleId="xl47">
    <w:name w:val="xl47"/>
    <w:basedOn w:val="af3"/>
    <w:rsid w:val="009964C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Tahoma"/>
      <w:kern w:val="0"/>
      <w:sz w:val="24"/>
    </w:rPr>
  </w:style>
  <w:style w:type="paragraph" w:customStyle="1" w:styleId="1ffff7">
    <w:name w:val="样式1－生态"/>
    <w:basedOn w:val="af3"/>
    <w:next w:val="af3"/>
    <w:semiHidden/>
    <w:rsid w:val="009964C3"/>
    <w:pPr>
      <w:tabs>
        <w:tab w:val="left" w:pos="1200"/>
      </w:tabs>
      <w:ind w:left="1200" w:hanging="1200"/>
      <w:jc w:val="left"/>
    </w:pPr>
    <w:rPr>
      <w:rFonts w:eastAsia="黑体"/>
      <w:sz w:val="28"/>
    </w:rPr>
  </w:style>
  <w:style w:type="paragraph" w:customStyle="1" w:styleId="Byline">
    <w:name w:val="Byline"/>
    <w:basedOn w:val="afff"/>
    <w:rsid w:val="009964C3"/>
    <w:pPr>
      <w:widowControl/>
      <w:spacing w:after="0"/>
    </w:pPr>
    <w:rPr>
      <w:rFonts w:ascii="Arial" w:hAnsi="Arial"/>
      <w:kern w:val="0"/>
      <w:sz w:val="24"/>
      <w:szCs w:val="20"/>
    </w:rPr>
  </w:style>
  <w:style w:type="paragraph" w:customStyle="1" w:styleId="ab">
    <w:name w:val="五级条标题"/>
    <w:basedOn w:val="aa"/>
    <w:next w:val="af3"/>
    <w:rsid w:val="009964C3"/>
    <w:pPr>
      <w:numPr>
        <w:ilvl w:val="6"/>
      </w:numPr>
      <w:outlineLvl w:val="6"/>
    </w:pPr>
  </w:style>
  <w:style w:type="paragraph" w:customStyle="1" w:styleId="afffffffff3">
    <w:name w:val="表格标题"/>
    <w:basedOn w:val="afff2"/>
    <w:link w:val="Charffffffd"/>
    <w:rsid w:val="009964C3"/>
    <w:pPr>
      <w:spacing w:line="360" w:lineRule="auto"/>
      <w:jc w:val="center"/>
    </w:pPr>
    <w:rPr>
      <w:rFonts w:ascii="宋体" w:eastAsia="宋体"/>
      <w:bCs/>
      <w:kern w:val="0"/>
      <w:sz w:val="28"/>
    </w:rPr>
  </w:style>
  <w:style w:type="paragraph" w:customStyle="1" w:styleId="xl87">
    <w:name w:val="xl87"/>
    <w:basedOn w:val="af3"/>
    <w:rsid w:val="009964C3"/>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afffffffffffffffffffff4">
    <w:name w:val="表里文字"/>
    <w:basedOn w:val="af3"/>
    <w:semiHidden/>
    <w:rsid w:val="009964C3"/>
    <w:pPr>
      <w:spacing w:line="240" w:lineRule="atLeast"/>
      <w:jc w:val="left"/>
    </w:pPr>
    <w:rPr>
      <w:rFonts w:ascii="宋体" w:hAnsi="宋体"/>
      <w:iCs/>
      <w:snapToGrid w:val="0"/>
      <w:kern w:val="0"/>
    </w:rPr>
  </w:style>
  <w:style w:type="paragraph" w:customStyle="1" w:styleId="21111222Char1Heading22111">
    <w:name w:val="样式 标题 21.11.1标题 2标题2标题 2 Char1节_Heading 2标2编号标题1.1 + 四号1"/>
    <w:basedOn w:val="22"/>
    <w:rsid w:val="009964C3"/>
    <w:pPr>
      <w:spacing w:before="0" w:after="0" w:line="360" w:lineRule="auto"/>
      <w:ind w:left="-482" w:firstLine="482"/>
    </w:pPr>
    <w:rPr>
      <w:sz w:val="24"/>
    </w:rPr>
  </w:style>
  <w:style w:type="paragraph" w:customStyle="1" w:styleId="cucd-A">
    <w:name w:val="cucd-A"/>
    <w:next w:val="cucd-0"/>
    <w:rsid w:val="009964C3"/>
    <w:pPr>
      <w:pageBreakBefore/>
      <w:numPr>
        <w:ilvl w:val="3"/>
        <w:numId w:val="36"/>
      </w:numPr>
      <w:tabs>
        <w:tab w:val="left" w:pos="851"/>
      </w:tabs>
      <w:spacing w:beforeLines="100" w:afterLines="50" w:line="360" w:lineRule="auto"/>
      <w:jc w:val="center"/>
      <w:outlineLvl w:val="0"/>
    </w:pPr>
    <w:rPr>
      <w:rFonts w:eastAsia="黑体"/>
      <w:b/>
      <w:kern w:val="2"/>
      <w:sz w:val="36"/>
      <w:szCs w:val="24"/>
    </w:rPr>
  </w:style>
  <w:style w:type="paragraph" w:customStyle="1" w:styleId="33Char108">
    <w:name w:val="样式 标题 3标题 3 Char + (中文) 黑体 小四 段前: 10 磅 段后: 8 磅 行距: 单倍行距"/>
    <w:basedOn w:val="31"/>
    <w:rsid w:val="009964C3"/>
    <w:pPr>
      <w:spacing w:before="200" w:after="160" w:line="240" w:lineRule="auto"/>
      <w:ind w:left="930" w:hanging="570"/>
    </w:pPr>
    <w:rPr>
      <w:rFonts w:eastAsia="黑体" w:cs="宋体"/>
      <w:sz w:val="24"/>
      <w:szCs w:val="24"/>
    </w:rPr>
  </w:style>
  <w:style w:type="paragraph" w:customStyle="1" w:styleId="21c">
    <w:name w:val="列表延续 21"/>
    <w:basedOn w:val="af3"/>
    <w:rsid w:val="009964C3"/>
    <w:pPr>
      <w:autoSpaceDE w:val="0"/>
      <w:autoSpaceDN w:val="0"/>
      <w:adjustRightInd w:val="0"/>
      <w:spacing w:line="360" w:lineRule="auto"/>
      <w:ind w:left="840" w:hanging="420"/>
      <w:jc w:val="left"/>
    </w:pPr>
    <w:rPr>
      <w:rFonts w:ascii="宋体" w:hAnsi="Tms Rmn"/>
      <w:spacing w:val="20"/>
      <w:kern w:val="0"/>
      <w:sz w:val="24"/>
      <w:szCs w:val="20"/>
    </w:rPr>
  </w:style>
  <w:style w:type="paragraph" w:customStyle="1" w:styleId="Charfffffff3">
    <w:name w:val="热电厂正文 Char"/>
    <w:basedOn w:val="af3"/>
    <w:rsid w:val="009964C3"/>
    <w:pPr>
      <w:spacing w:line="440" w:lineRule="exact"/>
      <w:ind w:firstLineChars="200" w:firstLine="480"/>
    </w:pPr>
    <w:rPr>
      <w:sz w:val="24"/>
    </w:rPr>
  </w:style>
  <w:style w:type="paragraph" w:customStyle="1" w:styleId="CharCharChar2Char">
    <w:name w:val="Char Char Char2 Char"/>
    <w:basedOn w:val="af3"/>
    <w:qFormat/>
    <w:rsid w:val="009964C3"/>
  </w:style>
  <w:style w:type="paragraph" w:customStyle="1" w:styleId="CharCharCharCharChar6">
    <w:name w:val="样式 题注 + 居中 Char Char Char Char Char"/>
    <w:basedOn w:val="afff2"/>
    <w:next w:val="af3"/>
    <w:rsid w:val="009964C3"/>
    <w:pPr>
      <w:spacing w:before="120" w:after="120"/>
      <w:jc w:val="center"/>
    </w:pPr>
    <w:rPr>
      <w:rFonts w:cs="宋体"/>
      <w:sz w:val="24"/>
      <w:szCs w:val="24"/>
    </w:rPr>
  </w:style>
  <w:style w:type="paragraph" w:customStyle="1" w:styleId="afffffffffffffffffffff5">
    <w:name w:val="报告表"/>
    <w:basedOn w:val="af3"/>
    <w:semiHidden/>
    <w:rsid w:val="009964C3"/>
    <w:pPr>
      <w:adjustRightInd w:val="0"/>
      <w:snapToGrid w:val="0"/>
      <w:spacing w:line="520" w:lineRule="atLeast"/>
      <w:ind w:firstLineChars="200" w:firstLine="560"/>
    </w:pPr>
    <w:rPr>
      <w:rFonts w:eastAsia="仿宋_GB2312"/>
      <w:sz w:val="28"/>
    </w:rPr>
  </w:style>
  <w:style w:type="paragraph" w:customStyle="1" w:styleId="811">
    <w:name w:val="标题 81"/>
    <w:basedOn w:val="af3"/>
    <w:next w:val="af3"/>
    <w:rsid w:val="009964C3"/>
    <w:pPr>
      <w:keepNext/>
      <w:keepLines/>
      <w:adjustRightInd w:val="0"/>
      <w:spacing w:line="480" w:lineRule="atLeast"/>
      <w:ind w:firstLine="567"/>
      <w:textAlignment w:val="baseline"/>
    </w:pPr>
    <w:rPr>
      <w:rFonts w:ascii="Arial" w:hAnsi="Arial" w:hint="eastAsia"/>
      <w:kern w:val="0"/>
      <w:sz w:val="24"/>
      <w:szCs w:val="20"/>
    </w:rPr>
  </w:style>
  <w:style w:type="paragraph" w:customStyle="1" w:styleId="109">
    <w:name w:val="表题10"/>
    <w:basedOn w:val="af4"/>
    <w:rsid w:val="009964C3"/>
    <w:pPr>
      <w:ind w:firstLineChars="0" w:firstLine="0"/>
      <w:jc w:val="center"/>
    </w:pPr>
    <w:rPr>
      <w:rFonts w:ascii="黑体" w:eastAsia="黑体"/>
      <w:b/>
      <w:sz w:val="24"/>
      <w:szCs w:val="24"/>
    </w:rPr>
  </w:style>
  <w:style w:type="paragraph" w:customStyle="1" w:styleId="51110">
    <w:name w:val="表内5111"/>
    <w:basedOn w:val="af3"/>
    <w:rsid w:val="009964C3"/>
    <w:pPr>
      <w:adjustRightInd w:val="0"/>
      <w:snapToGrid w:val="0"/>
      <w:spacing w:line="300" w:lineRule="auto"/>
      <w:jc w:val="left"/>
    </w:pPr>
    <w:rPr>
      <w:rFonts w:ascii="宋体"/>
      <w:szCs w:val="20"/>
    </w:rPr>
  </w:style>
  <w:style w:type="paragraph" w:customStyle="1" w:styleId="afffffffffffffffffffff6">
    <w:name w:val="文本"/>
    <w:basedOn w:val="af3"/>
    <w:semiHidden/>
    <w:rsid w:val="009964C3"/>
    <w:pPr>
      <w:spacing w:line="480" w:lineRule="exact"/>
      <w:ind w:firstLineChars="214" w:firstLine="642"/>
    </w:pPr>
    <w:rPr>
      <w:rFonts w:eastAsia="仿宋_GB2312"/>
      <w:sz w:val="30"/>
      <w:szCs w:val="21"/>
    </w:rPr>
  </w:style>
  <w:style w:type="paragraph" w:customStyle="1" w:styleId="12a">
    <w:name w:val="1标题2"/>
    <w:basedOn w:val="020"/>
    <w:rsid w:val="009964C3"/>
    <w:pPr>
      <w:ind w:firstLineChars="196" w:firstLine="551"/>
    </w:pPr>
  </w:style>
  <w:style w:type="paragraph" w:customStyle="1" w:styleId="5ff8">
    <w:name w:val="图表名称5"/>
    <w:basedOn w:val="aff7"/>
    <w:rsid w:val="009964C3"/>
    <w:pPr>
      <w:overflowPunct/>
      <w:autoSpaceDE/>
      <w:autoSpaceDN/>
      <w:snapToGrid w:val="0"/>
      <w:spacing w:line="240" w:lineRule="auto"/>
      <w:ind w:firstLine="0"/>
      <w:jc w:val="center"/>
      <w:textAlignment w:val="auto"/>
    </w:pPr>
    <w:rPr>
      <w:rFonts w:ascii="宋体" w:hAnsi="宋体"/>
      <w:sz w:val="24"/>
      <w:szCs w:val="21"/>
    </w:rPr>
  </w:style>
  <w:style w:type="paragraph" w:customStyle="1" w:styleId="CityState">
    <w:name w:val="City/State"/>
    <w:basedOn w:val="afff"/>
    <w:next w:val="afff"/>
    <w:rsid w:val="009964C3"/>
    <w:pPr>
      <w:keepNext/>
      <w:widowControl/>
      <w:spacing w:after="220" w:line="220" w:lineRule="atLeast"/>
      <w:ind w:right="-360"/>
      <w:jc w:val="left"/>
    </w:pPr>
    <w:rPr>
      <w:kern w:val="0"/>
      <w:sz w:val="20"/>
      <w:szCs w:val="20"/>
    </w:rPr>
  </w:style>
  <w:style w:type="paragraph" w:customStyle="1" w:styleId="2fff8">
    <w:name w:val="燕山正文2"/>
    <w:basedOn w:val="af3"/>
    <w:rsid w:val="009964C3"/>
    <w:pPr>
      <w:tabs>
        <w:tab w:val="left" w:pos="4680"/>
      </w:tabs>
      <w:adjustRightInd w:val="0"/>
      <w:snapToGrid w:val="0"/>
      <w:spacing w:line="360" w:lineRule="auto"/>
      <w:ind w:firstLineChars="200" w:firstLine="480"/>
      <w:jc w:val="left"/>
    </w:pPr>
    <w:rPr>
      <w:rFonts w:ascii="宋体" w:hAnsi="宋体"/>
      <w:bCs/>
      <w:color w:val="000000"/>
      <w:sz w:val="24"/>
    </w:rPr>
  </w:style>
  <w:style w:type="paragraph" w:customStyle="1" w:styleId="50505">
    <w:name w:val="样式 标题5 + 段前: 0.5 行 段后: 0.5 行"/>
    <w:basedOn w:val="5ff1"/>
    <w:rsid w:val="009964C3"/>
    <w:pPr>
      <w:keepNext w:val="0"/>
      <w:keepLines w:val="0"/>
      <w:widowControl w:val="0"/>
      <w:autoSpaceDE w:val="0"/>
      <w:autoSpaceDN w:val="0"/>
      <w:ind w:firstLine="567"/>
      <w:jc w:val="left"/>
      <w:textAlignment w:val="bottom"/>
      <w:outlineLvl w:val="4"/>
    </w:pPr>
    <w:rPr>
      <w:rFonts w:ascii="宋体" w:hAnsi="宋体"/>
      <w:b w:val="0"/>
      <w:bCs/>
      <w:snapToGrid/>
      <w:kern w:val="2"/>
      <w:sz w:val="28"/>
      <w:szCs w:val="28"/>
    </w:rPr>
  </w:style>
  <w:style w:type="paragraph" w:customStyle="1" w:styleId="afffffffffffffffffffff7">
    <w:name w:val="正文内容"/>
    <w:basedOn w:val="af3"/>
    <w:rsid w:val="009964C3"/>
    <w:pPr>
      <w:spacing w:line="360" w:lineRule="auto"/>
      <w:ind w:firstLine="482"/>
    </w:pPr>
    <w:rPr>
      <w:rFonts w:cs="宋体"/>
      <w:sz w:val="24"/>
    </w:rPr>
  </w:style>
  <w:style w:type="paragraph" w:customStyle="1" w:styleId="cauc-B">
    <w:name w:val="cauc-B"/>
    <w:next w:val="cauc-0"/>
    <w:semiHidden/>
    <w:rsid w:val="009964C3"/>
    <w:pPr>
      <w:spacing w:beforeLines="100" w:line="360" w:lineRule="auto"/>
      <w:outlineLvl w:val="1"/>
    </w:pPr>
    <w:rPr>
      <w:rFonts w:eastAsia="黑体"/>
      <w:kern w:val="2"/>
      <w:sz w:val="30"/>
      <w:szCs w:val="24"/>
    </w:rPr>
  </w:style>
  <w:style w:type="paragraph" w:customStyle="1" w:styleId="15c">
    <w:name w:val="正文正文正文 1.5 倍行距"/>
    <w:basedOn w:val="af3"/>
    <w:semiHidden/>
    <w:rsid w:val="009964C3"/>
    <w:pPr>
      <w:spacing w:before="60" w:after="60" w:line="360" w:lineRule="auto"/>
      <w:ind w:firstLineChars="200" w:firstLine="480"/>
    </w:pPr>
    <w:rPr>
      <w:rFonts w:ascii="宋体" w:hAnsi="宋体" w:cs="宋体"/>
      <w:kern w:val="0"/>
      <w:sz w:val="24"/>
      <w:szCs w:val="20"/>
    </w:rPr>
  </w:style>
  <w:style w:type="paragraph" w:customStyle="1" w:styleId="xl142">
    <w:name w:val="xl142"/>
    <w:basedOn w:val="af3"/>
    <w:rsid w:val="009964C3"/>
    <w:pPr>
      <w:widowControl/>
      <w:pBdr>
        <w:top w:val="single" w:sz="8" w:space="0" w:color="auto"/>
        <w:left w:val="single" w:sz="8" w:space="0" w:color="auto"/>
        <w:right w:val="single" w:sz="8" w:space="0" w:color="auto"/>
      </w:pBdr>
      <w:spacing w:before="100" w:beforeAutospacing="1" w:after="100" w:afterAutospacing="1"/>
      <w:jc w:val="left"/>
    </w:pPr>
    <w:rPr>
      <w:kern w:val="0"/>
      <w:sz w:val="18"/>
      <w:szCs w:val="18"/>
    </w:rPr>
  </w:style>
  <w:style w:type="paragraph" w:customStyle="1" w:styleId="1112">
    <w:name w:val="1.1.1"/>
    <w:basedOn w:val="31"/>
    <w:rsid w:val="009964C3"/>
    <w:pPr>
      <w:keepNext w:val="0"/>
      <w:keepLines w:val="0"/>
      <w:tabs>
        <w:tab w:val="left" w:pos="480"/>
        <w:tab w:val="left" w:pos="840"/>
      </w:tabs>
      <w:autoSpaceDE w:val="0"/>
      <w:autoSpaceDN w:val="0"/>
      <w:adjustRightInd w:val="0"/>
      <w:spacing w:before="0" w:after="0" w:line="360" w:lineRule="auto"/>
      <w:ind w:left="709" w:hanging="709"/>
      <w:jc w:val="left"/>
    </w:pPr>
    <w:rPr>
      <w:rFonts w:ascii="Arial" w:eastAsia="黑体" w:hAnsi="Arial"/>
      <w:bCs w:val="0"/>
      <w:kern w:val="0"/>
      <w:sz w:val="24"/>
      <w:szCs w:val="20"/>
    </w:rPr>
  </w:style>
  <w:style w:type="paragraph" w:customStyle="1" w:styleId="249">
    <w:name w:val="表内文字小24"/>
    <w:basedOn w:val="af3"/>
    <w:rsid w:val="009964C3"/>
    <w:pPr>
      <w:adjustRightInd w:val="0"/>
      <w:snapToGrid w:val="0"/>
      <w:jc w:val="center"/>
    </w:pPr>
    <w:rPr>
      <w:rFonts w:ascii="宋体" w:hAnsi="Times"/>
      <w:bCs/>
      <w:color w:val="003366"/>
      <w:szCs w:val="20"/>
    </w:rPr>
  </w:style>
  <w:style w:type="paragraph" w:customStyle="1" w:styleId="afffffffffffffffffffff8">
    <w:name w:val="证书文字"/>
    <w:basedOn w:val="afffffffffffffffffffff9"/>
    <w:next w:val="afffffffffffffffffffff9"/>
    <w:semiHidden/>
    <w:rsid w:val="009964C3"/>
    <w:pPr>
      <w:spacing w:line="420" w:lineRule="atLeast"/>
    </w:pPr>
    <w:rPr>
      <w:rFonts w:eastAsia="楷体_GB2312"/>
      <w:sz w:val="24"/>
    </w:rPr>
  </w:style>
  <w:style w:type="paragraph" w:customStyle="1" w:styleId="affffff7">
    <w:name w:val="正文修改"/>
    <w:basedOn w:val="affffffffb"/>
    <w:link w:val="Charffff7"/>
    <w:rsid w:val="009964C3"/>
    <w:pPr>
      <w:ind w:rightChars="100" w:right="210" w:firstLineChars="87" w:firstLine="209"/>
    </w:pPr>
    <w:rPr>
      <w:rFonts w:cs="Times New Roman"/>
      <w:bCs w:val="0"/>
    </w:rPr>
  </w:style>
  <w:style w:type="paragraph" w:customStyle="1" w:styleId="afffffffffffffffffffff9">
    <w:name w:val="顶格正文"/>
    <w:basedOn w:val="af3"/>
    <w:next w:val="af3"/>
    <w:semiHidden/>
    <w:rsid w:val="009964C3"/>
    <w:rPr>
      <w:sz w:val="20"/>
      <w:szCs w:val="20"/>
    </w:rPr>
  </w:style>
  <w:style w:type="paragraph" w:customStyle="1" w:styleId="21d">
    <w:name w:val="样式 首行缩进:  2 字符1"/>
    <w:basedOn w:val="af3"/>
    <w:rsid w:val="009964C3"/>
    <w:pPr>
      <w:spacing w:line="480" w:lineRule="exact"/>
      <w:ind w:firstLineChars="200" w:firstLine="200"/>
    </w:pPr>
    <w:rPr>
      <w:sz w:val="24"/>
      <w:szCs w:val="20"/>
    </w:rPr>
  </w:style>
  <w:style w:type="paragraph" w:customStyle="1" w:styleId="font7">
    <w:name w:val="font7"/>
    <w:basedOn w:val="af3"/>
    <w:rsid w:val="009964C3"/>
    <w:pPr>
      <w:widowControl/>
      <w:spacing w:before="100" w:beforeAutospacing="1" w:after="100" w:afterAutospacing="1"/>
      <w:jc w:val="left"/>
    </w:pPr>
    <w:rPr>
      <w:kern w:val="0"/>
      <w:sz w:val="24"/>
    </w:rPr>
  </w:style>
  <w:style w:type="paragraph" w:customStyle="1" w:styleId="3ff9">
    <w:name w:val="环标3"/>
    <w:basedOn w:val="31"/>
    <w:rsid w:val="009964C3"/>
    <w:pPr>
      <w:keepNext w:val="0"/>
      <w:keepLines w:val="0"/>
      <w:tabs>
        <w:tab w:val="left" w:pos="692"/>
        <w:tab w:val="left" w:pos="1021"/>
      </w:tabs>
      <w:overflowPunct w:val="0"/>
      <w:autoSpaceDE w:val="0"/>
      <w:autoSpaceDN w:val="0"/>
      <w:adjustRightInd w:val="0"/>
      <w:spacing w:before="0" w:after="0" w:line="312" w:lineRule="atLeast"/>
      <w:ind w:left="1021" w:hanging="1021"/>
      <w:jc w:val="left"/>
      <w:textAlignment w:val="baseline"/>
    </w:pPr>
    <w:rPr>
      <w:rFonts w:ascii="宋体" w:hAnsi="Courier New"/>
      <w:b w:val="0"/>
      <w:color w:val="000000"/>
      <w:kern w:val="0"/>
      <w:sz w:val="24"/>
      <w:szCs w:val="20"/>
    </w:rPr>
  </w:style>
  <w:style w:type="paragraph" w:customStyle="1" w:styleId="ST2047">
    <w:name w:val="ST20_47"/>
    <w:basedOn w:val="ST202"/>
    <w:rsid w:val="009964C3"/>
    <w:pPr>
      <w:ind w:left="360"/>
    </w:pPr>
    <w:rPr>
      <w:szCs w:val="28"/>
    </w:rPr>
  </w:style>
  <w:style w:type="paragraph" w:customStyle="1" w:styleId="Char1CharCharChar2">
    <w:name w:val="Char1 Char Char Char2"/>
    <w:basedOn w:val="af3"/>
    <w:rsid w:val="009964C3"/>
  </w:style>
  <w:style w:type="paragraph" w:customStyle="1" w:styleId="2221">
    <w:name w:val="样式 样式 样式 首行缩进:  2 字符 + 首行缩进:  2 字符 + 首行缩进:  2 字符"/>
    <w:basedOn w:val="af3"/>
    <w:semiHidden/>
    <w:rsid w:val="009964C3"/>
    <w:pPr>
      <w:spacing w:line="360" w:lineRule="auto"/>
      <w:ind w:firstLineChars="200" w:firstLine="480"/>
    </w:pPr>
    <w:rPr>
      <w:rFonts w:eastAsia="仿宋_GB2312" w:cs="宋体"/>
      <w:sz w:val="24"/>
      <w:szCs w:val="20"/>
    </w:rPr>
  </w:style>
  <w:style w:type="paragraph" w:customStyle="1" w:styleId="afffffffffffffffffffffa">
    <w:name w:val="_正文"/>
    <w:qFormat/>
    <w:rsid w:val="009964C3"/>
    <w:pPr>
      <w:spacing w:line="360" w:lineRule="auto"/>
      <w:ind w:firstLineChars="200" w:firstLine="560"/>
      <w:jc w:val="both"/>
    </w:pPr>
    <w:rPr>
      <w:rFonts w:ascii="宋体" w:hAnsi="宋体"/>
      <w:bCs/>
      <w:iCs/>
      <w:snapToGrid w:val="0"/>
      <w:color w:val="000000"/>
      <w:kern w:val="2"/>
      <w:sz w:val="28"/>
      <w:szCs w:val="28"/>
    </w:rPr>
  </w:style>
  <w:style w:type="paragraph" w:customStyle="1" w:styleId="afffffffffffffffffffffb">
    <w:name w:val="【表头】"/>
    <w:basedOn w:val="af3"/>
    <w:qFormat/>
    <w:rsid w:val="009964C3"/>
    <w:pPr>
      <w:jc w:val="center"/>
    </w:pPr>
    <w:rPr>
      <w:rFonts w:eastAsia="黑体" w:cs="Arial"/>
      <w:sz w:val="24"/>
    </w:rPr>
  </w:style>
  <w:style w:type="paragraph" w:customStyle="1" w:styleId="3130">
    <w:name w:val="页眉中313"/>
    <w:basedOn w:val="af3"/>
    <w:rsid w:val="009964C3"/>
    <w:pPr>
      <w:adjustRightInd w:val="0"/>
      <w:snapToGrid w:val="0"/>
      <w:spacing w:line="360" w:lineRule="auto"/>
      <w:jc w:val="center"/>
    </w:pPr>
    <w:rPr>
      <w:rFonts w:ascii="黑体" w:eastAsia="黑体"/>
      <w:bCs/>
      <w:sz w:val="24"/>
      <w:szCs w:val="28"/>
    </w:rPr>
  </w:style>
  <w:style w:type="paragraph" w:customStyle="1" w:styleId="500981">
    <w:name w:val="样式 表内小5 + 左侧:  0 厘米 悬挂缩进: 0.98 字符1"/>
    <w:basedOn w:val="af3"/>
    <w:rsid w:val="009964C3"/>
    <w:pPr>
      <w:adjustRightInd w:val="0"/>
      <w:snapToGrid w:val="0"/>
      <w:spacing w:line="300" w:lineRule="auto"/>
      <w:ind w:leftChars="-200" w:left="289" w:hanging="769"/>
    </w:pPr>
    <w:rPr>
      <w:rFonts w:ascii="宋体" w:hAnsi="宋体" w:cs="宋体"/>
      <w:sz w:val="18"/>
      <w:szCs w:val="20"/>
    </w:rPr>
  </w:style>
  <w:style w:type="paragraph" w:customStyle="1" w:styleId="Qzy2">
    <w:name w:val="Qzy样式2"/>
    <w:basedOn w:val="22"/>
    <w:rsid w:val="009964C3"/>
    <w:pPr>
      <w:spacing w:after="120" w:line="240" w:lineRule="auto"/>
      <w:ind w:left="210"/>
    </w:pPr>
    <w:rPr>
      <w:b w:val="0"/>
      <w:bCs w:val="0"/>
      <w:sz w:val="21"/>
      <w:szCs w:val="20"/>
    </w:rPr>
  </w:style>
  <w:style w:type="paragraph" w:customStyle="1" w:styleId="411110">
    <w:name w:val="魏秀珍标题4（1.1.1.1）"/>
    <w:basedOn w:val="43"/>
    <w:semiHidden/>
    <w:rsid w:val="009964C3"/>
    <w:pPr>
      <w:numPr>
        <w:ilvl w:val="3"/>
      </w:numPr>
      <w:tabs>
        <w:tab w:val="left" w:pos="864"/>
        <w:tab w:val="left" w:pos="964"/>
      </w:tabs>
      <w:adjustRightInd w:val="0"/>
      <w:snapToGrid w:val="0"/>
      <w:spacing w:before="0" w:after="0" w:line="500" w:lineRule="exact"/>
      <w:ind w:left="864" w:hanging="864"/>
      <w:jc w:val="left"/>
    </w:pPr>
    <w:rPr>
      <w:rFonts w:ascii="Times New Roman" w:hAnsi="Times New Roman"/>
      <w:b w:val="0"/>
    </w:rPr>
  </w:style>
  <w:style w:type="paragraph" w:customStyle="1" w:styleId="7878">
    <w:name w:val="样式 段前: 7.8 磅 段后: 7.8 磅"/>
    <w:basedOn w:val="af3"/>
    <w:rsid w:val="009964C3"/>
    <w:pPr>
      <w:spacing w:before="156" w:after="156" w:line="460" w:lineRule="exact"/>
      <w:ind w:firstLineChars="200" w:firstLine="200"/>
    </w:pPr>
  </w:style>
  <w:style w:type="paragraph" w:customStyle="1" w:styleId="3ffa">
    <w:name w:val="表头3"/>
    <w:basedOn w:val="afffffff4"/>
    <w:rsid w:val="009964C3"/>
    <w:pPr>
      <w:tabs>
        <w:tab w:val="clear" w:pos="4305"/>
      </w:tabs>
      <w:spacing w:line="240" w:lineRule="auto"/>
      <w:ind w:firstLine="0"/>
      <w:jc w:val="center"/>
    </w:pPr>
    <w:rPr>
      <w:rFonts w:ascii="黑体" w:eastAsia="黑体" w:hAnsi="Times" w:cs="Times New Roman"/>
    </w:rPr>
  </w:style>
  <w:style w:type="paragraph" w:customStyle="1" w:styleId="15d">
    <w:name w:val="样式 四号 行距: 1.5 倍行距"/>
    <w:basedOn w:val="af3"/>
    <w:rsid w:val="009964C3"/>
    <w:pPr>
      <w:adjustRightInd w:val="0"/>
      <w:spacing w:line="360" w:lineRule="auto"/>
      <w:ind w:firstLineChars="200" w:firstLine="480"/>
    </w:pPr>
    <w:rPr>
      <w:sz w:val="24"/>
      <w:szCs w:val="20"/>
    </w:rPr>
  </w:style>
  <w:style w:type="paragraph" w:customStyle="1" w:styleId="1ffff8">
    <w:name w:val="字元 字元1"/>
    <w:basedOn w:val="af3"/>
    <w:rsid w:val="009964C3"/>
    <w:pPr>
      <w:adjustRightInd w:val="0"/>
      <w:snapToGrid w:val="0"/>
      <w:ind w:firstLineChars="200" w:firstLine="200"/>
    </w:pPr>
  </w:style>
  <w:style w:type="paragraph" w:customStyle="1" w:styleId="Bullet3">
    <w:name w:val="Bullet 3"/>
    <w:basedOn w:val="af3"/>
    <w:next w:val="af3"/>
    <w:rsid w:val="009964C3"/>
    <w:pPr>
      <w:widowControl/>
      <w:numPr>
        <w:numId w:val="45"/>
      </w:numPr>
      <w:tabs>
        <w:tab w:val="left" w:pos="720"/>
        <w:tab w:val="left" w:pos="1440"/>
      </w:tabs>
      <w:ind w:left="3600"/>
      <w:jc w:val="left"/>
    </w:pPr>
    <w:rPr>
      <w:rFonts w:ascii="Arial" w:hAnsi="Arial"/>
      <w:kern w:val="0"/>
      <w:sz w:val="20"/>
      <w:szCs w:val="20"/>
    </w:rPr>
  </w:style>
  <w:style w:type="paragraph" w:customStyle="1" w:styleId="xl128">
    <w:name w:val="xl128"/>
    <w:basedOn w:val="af3"/>
    <w:semiHidden/>
    <w:rsid w:val="009964C3"/>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z-1">
    <w:name w:val="z-窗体底端1"/>
    <w:basedOn w:val="af3"/>
    <w:next w:val="af3"/>
    <w:rsid w:val="009964C3"/>
    <w:pPr>
      <w:widowControl/>
      <w:pBdr>
        <w:top w:val="single" w:sz="6" w:space="1" w:color="auto"/>
      </w:pBdr>
      <w:jc w:val="center"/>
    </w:pPr>
    <w:rPr>
      <w:rFonts w:ascii="Arial" w:hAnsi="Arial" w:cs="Arial"/>
      <w:vanish/>
      <w:kern w:val="0"/>
      <w:sz w:val="16"/>
      <w:szCs w:val="16"/>
    </w:rPr>
  </w:style>
  <w:style w:type="paragraph" w:customStyle="1" w:styleId="613">
    <w:name w:val="表内文字小61"/>
    <w:basedOn w:val="af3"/>
    <w:rsid w:val="009964C3"/>
    <w:pPr>
      <w:adjustRightInd w:val="0"/>
      <w:snapToGrid w:val="0"/>
      <w:jc w:val="center"/>
    </w:pPr>
    <w:rPr>
      <w:rFonts w:ascii="宋体" w:hAnsi="Times"/>
      <w:szCs w:val="20"/>
    </w:rPr>
  </w:style>
  <w:style w:type="paragraph" w:customStyle="1" w:styleId="MTDisplayEquation">
    <w:name w:val="MTDisplayEquation"/>
    <w:basedOn w:val="af3"/>
    <w:next w:val="af3"/>
    <w:semiHidden/>
    <w:rsid w:val="009964C3"/>
    <w:pPr>
      <w:tabs>
        <w:tab w:val="center" w:pos="4160"/>
        <w:tab w:val="right" w:pos="8300"/>
      </w:tabs>
      <w:adjustRightInd w:val="0"/>
      <w:spacing w:line="312" w:lineRule="atLeast"/>
      <w:textAlignment w:val="baseline"/>
    </w:pPr>
    <w:rPr>
      <w:rFonts w:hAnsi="宋体"/>
      <w:b/>
      <w:bCs/>
      <w:color w:val="000000"/>
      <w:kern w:val="0"/>
      <w:sz w:val="28"/>
      <w:szCs w:val="20"/>
    </w:rPr>
  </w:style>
  <w:style w:type="paragraph" w:customStyle="1" w:styleId="afffffffffffffffffffffc">
    <w:name w:val="新正文"/>
    <w:basedOn w:val="af3"/>
    <w:semiHidden/>
    <w:qFormat/>
    <w:rsid w:val="009964C3"/>
    <w:pPr>
      <w:spacing w:line="480" w:lineRule="exact"/>
      <w:ind w:firstLine="482"/>
    </w:pPr>
    <w:rPr>
      <w:rFonts w:ascii="仿宋_GB2312" w:eastAsia="仿宋_GB2312" w:hint="eastAsia"/>
      <w:bCs/>
      <w:sz w:val="28"/>
    </w:rPr>
  </w:style>
  <w:style w:type="paragraph" w:customStyle="1" w:styleId="15e">
    <w:name w:val="等核实15"/>
    <w:basedOn w:val="afffffff4"/>
    <w:rsid w:val="009964C3"/>
    <w:pPr>
      <w:tabs>
        <w:tab w:val="clear" w:pos="4305"/>
      </w:tabs>
      <w:spacing w:line="240" w:lineRule="auto"/>
      <w:ind w:firstLine="0"/>
      <w:jc w:val="center"/>
    </w:pPr>
    <w:rPr>
      <w:rFonts w:hAnsi="Times" w:cs="Times New Roman"/>
      <w:color w:val="0000FF"/>
      <w:sz w:val="21"/>
      <w:szCs w:val="21"/>
    </w:rPr>
  </w:style>
  <w:style w:type="paragraph" w:customStyle="1" w:styleId="5150">
    <w:name w:val="表内宋5中15"/>
    <w:basedOn w:val="af3"/>
    <w:rsid w:val="009964C3"/>
    <w:pPr>
      <w:adjustRightInd w:val="0"/>
      <w:snapToGrid w:val="0"/>
      <w:jc w:val="center"/>
      <w:textAlignment w:val="baseline"/>
    </w:pPr>
    <w:rPr>
      <w:rFonts w:ascii="宋体" w:hAnsi="宋体" w:cs="宋体"/>
      <w:kern w:val="0"/>
      <w:szCs w:val="20"/>
    </w:rPr>
  </w:style>
  <w:style w:type="paragraph" w:customStyle="1" w:styleId="2fff9">
    <w:name w:val="环标2"/>
    <w:basedOn w:val="22"/>
    <w:qFormat/>
    <w:rsid w:val="009964C3"/>
    <w:pPr>
      <w:keepNext w:val="0"/>
      <w:keepLines w:val="0"/>
      <w:tabs>
        <w:tab w:val="left" w:pos="0"/>
        <w:tab w:val="left" w:pos="720"/>
      </w:tabs>
      <w:adjustRightInd w:val="0"/>
      <w:snapToGrid w:val="0"/>
      <w:spacing w:before="60" w:after="120" w:line="312" w:lineRule="atLeast"/>
      <w:ind w:left="397" w:hanging="397"/>
      <w:jc w:val="left"/>
      <w:textAlignment w:val="baseline"/>
    </w:pPr>
    <w:rPr>
      <w:rFonts w:ascii="黑体" w:hAnsi="Times New Roman"/>
      <w:color w:val="000000"/>
      <w:kern w:val="0"/>
      <w:sz w:val="28"/>
      <w:szCs w:val="20"/>
    </w:rPr>
  </w:style>
  <w:style w:type="paragraph" w:customStyle="1" w:styleId="2f1">
    <w:name w:val="正文首行缩进2个字"/>
    <w:basedOn w:val="af3"/>
    <w:link w:val="2Chare"/>
    <w:qFormat/>
    <w:rsid w:val="009964C3"/>
    <w:pPr>
      <w:spacing w:line="540" w:lineRule="exact"/>
      <w:ind w:firstLineChars="200" w:firstLine="200"/>
    </w:pPr>
    <w:rPr>
      <w:sz w:val="28"/>
      <w:szCs w:val="28"/>
    </w:rPr>
  </w:style>
  <w:style w:type="paragraph" w:customStyle="1" w:styleId="4ff1">
    <w:name w:val="样式 标题 4"/>
    <w:basedOn w:val="43"/>
    <w:next w:val="af3"/>
    <w:rsid w:val="009964C3"/>
    <w:pPr>
      <w:snapToGrid w:val="0"/>
      <w:spacing w:before="120" w:after="0" w:line="360" w:lineRule="auto"/>
      <w:jc w:val="left"/>
    </w:pPr>
    <w:rPr>
      <w:rFonts w:ascii="Times New Roman" w:hAnsi="Times New Roman" w:cs="宋体"/>
      <w:color w:val="000000"/>
      <w:kern w:val="0"/>
      <w:sz w:val="24"/>
      <w:szCs w:val="24"/>
    </w:rPr>
  </w:style>
  <w:style w:type="paragraph" w:customStyle="1" w:styleId="G0">
    <w:name w:val="表头(G)"/>
    <w:basedOn w:val="af3"/>
    <w:link w:val="GChar1"/>
    <w:semiHidden/>
    <w:rsid w:val="009964C3"/>
    <w:pPr>
      <w:tabs>
        <w:tab w:val="left" w:pos="1021"/>
      </w:tabs>
      <w:spacing w:line="288" w:lineRule="auto"/>
      <w:jc w:val="center"/>
    </w:pPr>
    <w:rPr>
      <w:rFonts w:ascii="Arial" w:eastAsia="黑体" w:hAnsi="Arial"/>
      <w:b/>
      <w:color w:val="000000"/>
      <w:kern w:val="24"/>
      <w:sz w:val="24"/>
    </w:rPr>
  </w:style>
  <w:style w:type="paragraph" w:customStyle="1" w:styleId="06">
    <w:name w:val="0正文文本缩进"/>
    <w:basedOn w:val="afffffff4"/>
    <w:semiHidden/>
    <w:rsid w:val="009964C3"/>
    <w:pPr>
      <w:tabs>
        <w:tab w:val="clear" w:pos="4305"/>
      </w:tabs>
      <w:adjustRightInd/>
      <w:snapToGrid/>
      <w:spacing w:line="480" w:lineRule="exact"/>
      <w:ind w:firstLineChars="200" w:firstLine="200"/>
    </w:pPr>
    <w:rPr>
      <w:rFonts w:ascii="Times New Roman" w:eastAsia="仿宋_GB2312" w:hAnsi="Times New Roman" w:cs="Times New Roman"/>
      <w:color w:val="auto"/>
      <w:sz w:val="28"/>
      <w:szCs w:val="20"/>
    </w:rPr>
  </w:style>
  <w:style w:type="paragraph" w:customStyle="1" w:styleId="331">
    <w:name w:val="表内文字小33"/>
    <w:basedOn w:val="af3"/>
    <w:rsid w:val="009964C3"/>
    <w:pPr>
      <w:adjustRightInd w:val="0"/>
      <w:snapToGrid w:val="0"/>
      <w:jc w:val="center"/>
    </w:pPr>
    <w:rPr>
      <w:rFonts w:ascii="宋体" w:hAnsi="Times" w:cs="宋体"/>
      <w:bCs/>
      <w:color w:val="003366"/>
      <w:szCs w:val="20"/>
    </w:rPr>
  </w:style>
  <w:style w:type="paragraph" w:customStyle="1" w:styleId="CharCharffa">
    <w:name w:val="首行缩进 Char Char"/>
    <w:basedOn w:val="af3"/>
    <w:rsid w:val="009964C3"/>
    <w:pPr>
      <w:snapToGrid w:val="0"/>
      <w:spacing w:line="360" w:lineRule="auto"/>
      <w:ind w:firstLine="499"/>
    </w:pPr>
    <w:rPr>
      <w:rFonts w:ascii="宋体"/>
      <w:sz w:val="24"/>
      <w:szCs w:val="20"/>
    </w:rPr>
  </w:style>
  <w:style w:type="paragraph" w:customStyle="1" w:styleId="55a">
    <w:name w:val="表内宋55"/>
    <w:basedOn w:val="affffffffff5"/>
    <w:rsid w:val="009964C3"/>
    <w:pPr>
      <w:adjustRightInd w:val="0"/>
      <w:snapToGrid w:val="0"/>
      <w:spacing w:before="100" w:beforeAutospacing="1" w:after="100" w:afterAutospacing="1"/>
      <w:jc w:val="both"/>
    </w:pPr>
    <w:rPr>
      <w:rFonts w:cs="Times New Roman"/>
      <w:color w:val="000000"/>
      <w:sz w:val="21"/>
    </w:rPr>
  </w:style>
  <w:style w:type="paragraph" w:customStyle="1" w:styleId="BodyTextFirstIndent3">
    <w:name w:val="Body Text First Indent3"/>
    <w:basedOn w:val="afff"/>
    <w:rsid w:val="009964C3"/>
    <w:pPr>
      <w:adjustRightInd w:val="0"/>
      <w:spacing w:after="0" w:line="312" w:lineRule="auto"/>
      <w:ind w:firstLine="567"/>
      <w:textAlignment w:val="baseline"/>
    </w:pPr>
    <w:rPr>
      <w:kern w:val="0"/>
      <w:sz w:val="28"/>
      <w:szCs w:val="20"/>
    </w:rPr>
  </w:style>
  <w:style w:type="paragraph" w:customStyle="1" w:styleId="562">
    <w:name w:val="表内56"/>
    <w:basedOn w:val="af3"/>
    <w:rsid w:val="009964C3"/>
    <w:pPr>
      <w:adjustRightInd w:val="0"/>
      <w:snapToGrid w:val="0"/>
      <w:spacing w:line="300" w:lineRule="auto"/>
      <w:jc w:val="left"/>
    </w:pPr>
    <w:rPr>
      <w:rFonts w:ascii="宋体"/>
      <w:szCs w:val="20"/>
    </w:rPr>
  </w:style>
  <w:style w:type="paragraph" w:customStyle="1" w:styleId="1ffff9">
    <w:name w:val="+列表1"/>
    <w:basedOn w:val="af3"/>
    <w:rsid w:val="009964C3"/>
    <w:pPr>
      <w:adjustRightInd w:val="0"/>
      <w:spacing w:line="360" w:lineRule="auto"/>
      <w:jc w:val="center"/>
    </w:pPr>
    <w:rPr>
      <w:sz w:val="28"/>
    </w:rPr>
  </w:style>
  <w:style w:type="paragraph" w:customStyle="1" w:styleId="3ffb">
    <w:name w:val="图号3"/>
    <w:basedOn w:val="af3"/>
    <w:rsid w:val="009964C3"/>
    <w:pPr>
      <w:jc w:val="center"/>
    </w:pPr>
    <w:rPr>
      <w:rFonts w:ascii="黑体" w:eastAsia="黑体"/>
      <w:sz w:val="24"/>
    </w:rPr>
  </w:style>
  <w:style w:type="paragraph" w:customStyle="1" w:styleId="15f">
    <w:name w:val="样式 宋体 四号 黑色 行距: 1.5 倍行距"/>
    <w:basedOn w:val="af3"/>
    <w:rsid w:val="009964C3"/>
    <w:pPr>
      <w:autoSpaceDE w:val="0"/>
      <w:autoSpaceDN w:val="0"/>
      <w:spacing w:line="360" w:lineRule="auto"/>
      <w:ind w:firstLineChars="200" w:firstLine="200"/>
    </w:pPr>
    <w:rPr>
      <w:rFonts w:ascii="宋体" w:hAnsi="宋体" w:cs="宋体"/>
      <w:color w:val="000000"/>
      <w:sz w:val="28"/>
      <w:szCs w:val="20"/>
    </w:rPr>
  </w:style>
  <w:style w:type="paragraph" w:customStyle="1" w:styleId="1ffffa">
    <w:name w:val="文本1"/>
    <w:basedOn w:val="af3"/>
    <w:rsid w:val="009964C3"/>
    <w:pPr>
      <w:adjustRightInd w:val="0"/>
      <w:snapToGrid w:val="0"/>
      <w:spacing w:line="360" w:lineRule="auto"/>
      <w:ind w:firstLineChars="200" w:firstLine="514"/>
    </w:pPr>
    <w:rPr>
      <w:rFonts w:ascii="宋体" w:hAnsi="宋体"/>
      <w:kern w:val="0"/>
      <w:sz w:val="24"/>
    </w:rPr>
  </w:style>
  <w:style w:type="paragraph" w:customStyle="1" w:styleId="2f7">
    <w:name w:val="编号2"/>
    <w:basedOn w:val="a2"/>
    <w:link w:val="2Charf4"/>
    <w:rsid w:val="009964C3"/>
    <w:pPr>
      <w:numPr>
        <w:numId w:val="0"/>
      </w:numPr>
      <w:tabs>
        <w:tab w:val="left" w:pos="567"/>
      </w:tabs>
      <w:ind w:firstLineChars="200" w:firstLine="480"/>
    </w:pPr>
  </w:style>
  <w:style w:type="paragraph" w:customStyle="1" w:styleId="afffffffffffffffffffffd">
    <w:name w:val="_一级标题"/>
    <w:qFormat/>
    <w:rsid w:val="009964C3"/>
    <w:pPr>
      <w:snapToGrid w:val="0"/>
      <w:spacing w:beforeLines="50" w:afterLines="50"/>
      <w:outlineLvl w:val="3"/>
    </w:pPr>
    <w:rPr>
      <w:rFonts w:ascii="宋体" w:hAnsi="宋体" w:cs="宋体"/>
      <w:color w:val="000000"/>
      <w:sz w:val="28"/>
      <w:szCs w:val="24"/>
      <w:lang w:val="zh-CN"/>
    </w:rPr>
  </w:style>
  <w:style w:type="paragraph" w:customStyle="1" w:styleId="2fffa">
    <w:name w:val="洋2"/>
    <w:basedOn w:val="22"/>
    <w:next w:val="af3"/>
    <w:rsid w:val="009964C3"/>
    <w:pPr>
      <w:snapToGrid w:val="0"/>
      <w:spacing w:after="120" w:line="360" w:lineRule="auto"/>
    </w:pPr>
    <w:rPr>
      <w:bCs w:val="0"/>
      <w:sz w:val="24"/>
      <w:szCs w:val="20"/>
    </w:rPr>
  </w:style>
  <w:style w:type="paragraph" w:customStyle="1" w:styleId="CharChar2CharCharCharCharCharChar2">
    <w:name w:val="Char Char2 Char Char Char Char Char Char2"/>
    <w:basedOn w:val="af3"/>
    <w:rsid w:val="009964C3"/>
    <w:pPr>
      <w:spacing w:line="360" w:lineRule="auto"/>
    </w:pPr>
    <w:rPr>
      <w:rFonts w:ascii="宋体" w:hAnsi="宋体"/>
      <w:sz w:val="22"/>
    </w:rPr>
  </w:style>
  <w:style w:type="paragraph" w:customStyle="1" w:styleId="15f0">
    <w:name w:val="样式 (中文) 黑体 居中 行距: 1.5 倍行距"/>
    <w:basedOn w:val="af3"/>
    <w:rsid w:val="009964C3"/>
    <w:pPr>
      <w:spacing w:line="360" w:lineRule="auto"/>
      <w:jc w:val="center"/>
    </w:pPr>
    <w:rPr>
      <w:rFonts w:eastAsia="黑体"/>
      <w:sz w:val="24"/>
    </w:rPr>
  </w:style>
  <w:style w:type="paragraph" w:customStyle="1" w:styleId="puce1erniveau">
    <w:name w:val="_puce (1er niveau)"/>
    <w:rsid w:val="009964C3"/>
    <w:pPr>
      <w:spacing w:before="120" w:line="280" w:lineRule="atLeast"/>
      <w:ind w:left="851" w:hanging="284"/>
      <w:jc w:val="both"/>
    </w:pPr>
    <w:rPr>
      <w:sz w:val="24"/>
      <w:lang w:val="fr-FR"/>
    </w:rPr>
  </w:style>
  <w:style w:type="paragraph" w:customStyle="1" w:styleId="CharChar2CharChar">
    <w:name w:val="段落 Char Char2 Char Char"/>
    <w:basedOn w:val="af3"/>
    <w:rsid w:val="009964C3"/>
    <w:pPr>
      <w:tabs>
        <w:tab w:val="left" w:pos="1021"/>
      </w:tabs>
      <w:spacing w:line="326" w:lineRule="auto"/>
      <w:ind w:firstLineChars="200" w:firstLine="480"/>
    </w:pPr>
    <w:rPr>
      <w:kern w:val="24"/>
      <w:sz w:val="24"/>
    </w:rPr>
  </w:style>
  <w:style w:type="paragraph" w:customStyle="1" w:styleId="2054">
    <w:name w:val="样式 标题 2 + 段后: 0.5 行4"/>
    <w:basedOn w:val="22"/>
    <w:rsid w:val="009964C3"/>
    <w:pPr>
      <w:widowControl/>
      <w:autoSpaceDN w:val="0"/>
      <w:adjustRightInd w:val="0"/>
      <w:snapToGrid w:val="0"/>
      <w:spacing w:before="120" w:after="0" w:line="360" w:lineRule="auto"/>
      <w:jc w:val="left"/>
      <w:textAlignment w:val="baseline"/>
    </w:pPr>
    <w:rPr>
      <w:rFonts w:ascii="黑体" w:cs="宋体"/>
      <w:b w:val="0"/>
      <w:bCs w:val="0"/>
      <w:kern w:val="0"/>
      <w:sz w:val="30"/>
      <w:szCs w:val="30"/>
    </w:rPr>
  </w:style>
  <w:style w:type="paragraph" w:customStyle="1" w:styleId="1085">
    <w:name w:val="样式 目录 1 + 首行缩进:  0.85 厘米"/>
    <w:basedOn w:val="1fc"/>
    <w:rsid w:val="009964C3"/>
    <w:pPr>
      <w:adjustRightInd w:val="0"/>
      <w:snapToGrid w:val="0"/>
    </w:pPr>
    <w:rPr>
      <w:rFonts w:cs="宋体"/>
    </w:rPr>
  </w:style>
  <w:style w:type="paragraph" w:customStyle="1" w:styleId="dandan6-13CharCharCharCharCharChar">
    <w:name w:val="dandan6-13正文 Char Char Char Char Char Char"/>
    <w:basedOn w:val="af3"/>
    <w:next w:val="af3"/>
    <w:qFormat/>
    <w:rsid w:val="009964C3"/>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2525">
    <w:name w:val="样式 四号 段前: 2.5 磅 段后: 2.5 磅"/>
    <w:basedOn w:val="af3"/>
    <w:rsid w:val="009964C3"/>
    <w:pPr>
      <w:adjustRightInd w:val="0"/>
      <w:spacing w:line="360" w:lineRule="auto"/>
      <w:ind w:firstLineChars="200" w:firstLine="480"/>
    </w:pPr>
    <w:rPr>
      <w:rFonts w:cs="宋体"/>
      <w:sz w:val="24"/>
    </w:rPr>
  </w:style>
  <w:style w:type="paragraph" w:customStyle="1" w:styleId="24a">
    <w:name w:val="图题24"/>
    <w:basedOn w:val="31"/>
    <w:rsid w:val="009964C3"/>
    <w:pPr>
      <w:keepNext w:val="0"/>
      <w:keepLines w:val="0"/>
      <w:adjustRightInd w:val="0"/>
      <w:snapToGrid w:val="0"/>
      <w:spacing w:before="120" w:after="0" w:line="360" w:lineRule="auto"/>
      <w:jc w:val="center"/>
    </w:pPr>
    <w:rPr>
      <w:rFonts w:ascii="黑体" w:eastAsia="黑体" w:hAnsi="宋体" w:cs="宋体"/>
      <w:b w:val="0"/>
      <w:sz w:val="28"/>
      <w:szCs w:val="28"/>
    </w:rPr>
  </w:style>
  <w:style w:type="paragraph" w:customStyle="1" w:styleId="6b">
    <w:name w:val="样式 表头 + 段后: 6 磅"/>
    <w:basedOn w:val="afffff2"/>
    <w:rsid w:val="009964C3"/>
    <w:pPr>
      <w:overflowPunct/>
      <w:autoSpaceDE/>
      <w:autoSpaceDN/>
      <w:adjustRightInd/>
      <w:spacing w:before="240" w:after="120" w:line="240" w:lineRule="auto"/>
      <w:ind w:firstLine="0"/>
      <w:textAlignment w:val="auto"/>
    </w:pPr>
    <w:rPr>
      <w:rFonts w:ascii="宋体" w:eastAsia="宋体" w:hAnsi="宋体" w:cs="宋体"/>
      <w:bCs/>
      <w:iCs/>
      <w:kern w:val="2"/>
      <w:sz w:val="24"/>
      <w:szCs w:val="20"/>
    </w:rPr>
  </w:style>
  <w:style w:type="paragraph" w:customStyle="1" w:styleId="1ffffb">
    <w:name w:val="样式 标题 1 +"/>
    <w:basedOn w:val="13"/>
    <w:rsid w:val="009964C3"/>
    <w:pPr>
      <w:spacing w:before="0" w:afterLines="300" w:line="240" w:lineRule="auto"/>
    </w:pPr>
    <w:rPr>
      <w:b w:val="0"/>
      <w:kern w:val="2"/>
    </w:rPr>
  </w:style>
  <w:style w:type="paragraph" w:customStyle="1" w:styleId="afffffffffffffffffffffe">
    <w:name w:val="环评正文格式"/>
    <w:basedOn w:val="af3"/>
    <w:rsid w:val="009964C3"/>
    <w:pPr>
      <w:spacing w:before="60" w:line="460" w:lineRule="exact"/>
      <w:ind w:firstLineChars="200" w:firstLine="200"/>
    </w:pPr>
    <w:rPr>
      <w:snapToGrid w:val="0"/>
      <w:sz w:val="24"/>
      <w:shd w:val="clear" w:color="auto" w:fill="FFFFFF"/>
    </w:rPr>
  </w:style>
  <w:style w:type="paragraph" w:customStyle="1" w:styleId="720">
    <w:name w:val="标题 72"/>
    <w:basedOn w:val="af3"/>
    <w:next w:val="af3"/>
    <w:rsid w:val="009964C3"/>
    <w:pPr>
      <w:keepNext/>
      <w:keepLines/>
      <w:adjustRightInd w:val="0"/>
      <w:spacing w:line="480" w:lineRule="exact"/>
      <w:ind w:firstLine="851"/>
      <w:textAlignment w:val="baseline"/>
    </w:pPr>
    <w:rPr>
      <w:rFonts w:hint="eastAsia"/>
      <w:kern w:val="0"/>
      <w:sz w:val="24"/>
      <w:szCs w:val="20"/>
    </w:rPr>
  </w:style>
  <w:style w:type="paragraph" w:customStyle="1" w:styleId="22CharTimesNewRoman">
    <w:name w:val="样式 标题 2标题 2 Char + (西文) Times New Roman (中文) 宋体 小四"/>
    <w:basedOn w:val="22"/>
    <w:rsid w:val="009964C3"/>
    <w:pPr>
      <w:spacing w:beforeLines="50" w:afterLines="50" w:line="480" w:lineRule="exact"/>
    </w:pPr>
    <w:rPr>
      <w:rFonts w:ascii="Times New Roman" w:hAnsi="Times New Roman"/>
      <w:b w:val="0"/>
      <w:sz w:val="28"/>
      <w:szCs w:val="28"/>
    </w:rPr>
  </w:style>
  <w:style w:type="paragraph" w:customStyle="1" w:styleId="CharCharCharCharCharCharCharCharCharChar1">
    <w:name w:val="Char Char Char Char Char Char Char Char Char Char1"/>
    <w:basedOn w:val="af3"/>
    <w:rsid w:val="009964C3"/>
    <w:pPr>
      <w:spacing w:line="240" w:lineRule="exact"/>
      <w:ind w:firstLineChars="200" w:firstLine="200"/>
    </w:pPr>
    <w:rPr>
      <w:rFonts w:ascii="宋体" w:hAnsi="宋体" w:cs="宋体"/>
      <w:sz w:val="36"/>
      <w:szCs w:val="36"/>
    </w:rPr>
  </w:style>
  <w:style w:type="paragraph" w:customStyle="1" w:styleId="51120">
    <w:name w:val="表内5112"/>
    <w:basedOn w:val="af3"/>
    <w:rsid w:val="009964C3"/>
    <w:pPr>
      <w:adjustRightInd w:val="0"/>
      <w:snapToGrid w:val="0"/>
      <w:spacing w:line="300" w:lineRule="auto"/>
      <w:jc w:val="left"/>
    </w:pPr>
    <w:rPr>
      <w:rFonts w:ascii="宋体"/>
      <w:szCs w:val="20"/>
    </w:rPr>
  </w:style>
  <w:style w:type="paragraph" w:customStyle="1" w:styleId="6c">
    <w:name w:val="6表(图)头(治)"/>
    <w:next w:val="af3"/>
    <w:semiHidden/>
    <w:rsid w:val="009964C3"/>
    <w:pPr>
      <w:widowControl w:val="0"/>
      <w:jc w:val="center"/>
    </w:pPr>
    <w:rPr>
      <w:rFonts w:ascii="宋体" w:hAnsi="宋体"/>
      <w:b/>
      <w:bCs/>
      <w:sz w:val="24"/>
      <w:szCs w:val="24"/>
    </w:rPr>
  </w:style>
  <w:style w:type="paragraph" w:customStyle="1" w:styleId="3ffc">
    <w:name w:val="样式 标题 3 + 五号"/>
    <w:basedOn w:val="31"/>
    <w:semiHidden/>
    <w:rsid w:val="009964C3"/>
    <w:pPr>
      <w:tabs>
        <w:tab w:val="left" w:pos="708"/>
        <w:tab w:val="left" w:pos="5580"/>
      </w:tabs>
      <w:adjustRightInd w:val="0"/>
      <w:snapToGrid w:val="0"/>
      <w:spacing w:before="0" w:after="0" w:line="360" w:lineRule="auto"/>
      <w:ind w:left="708" w:hanging="709"/>
    </w:pPr>
    <w:rPr>
      <w:b w:val="0"/>
      <w:sz w:val="24"/>
    </w:rPr>
  </w:style>
  <w:style w:type="paragraph" w:customStyle="1" w:styleId="CharChar3CharChar">
    <w:name w:val="Char Char3 Char Char"/>
    <w:basedOn w:val="af3"/>
    <w:semiHidden/>
    <w:rsid w:val="009964C3"/>
    <w:pPr>
      <w:tabs>
        <w:tab w:val="left" w:pos="0"/>
      </w:tabs>
      <w:spacing w:line="360" w:lineRule="exact"/>
      <w:jc w:val="left"/>
    </w:pPr>
    <w:rPr>
      <w:rFonts w:eastAsia="仿宋_GB2312"/>
      <w:b/>
      <w:sz w:val="28"/>
      <w:szCs w:val="28"/>
    </w:rPr>
  </w:style>
  <w:style w:type="paragraph" w:customStyle="1" w:styleId="500985">
    <w:name w:val="样式 表内小5 + 左侧:  0 厘米 悬挂缩进: 0.98 字符5"/>
    <w:basedOn w:val="af3"/>
    <w:rsid w:val="009964C3"/>
    <w:pPr>
      <w:adjustRightInd w:val="0"/>
      <w:snapToGrid w:val="0"/>
      <w:spacing w:line="300" w:lineRule="auto"/>
      <w:ind w:leftChars="-200" w:left="289" w:hanging="769"/>
    </w:pPr>
    <w:rPr>
      <w:rFonts w:ascii="宋体" w:hAnsi="宋体" w:cs="宋体"/>
      <w:sz w:val="18"/>
      <w:szCs w:val="20"/>
    </w:rPr>
  </w:style>
  <w:style w:type="paragraph" w:customStyle="1" w:styleId="CR-2">
    <w:name w:val="CR-表头"/>
    <w:basedOn w:val="cucd-TB-Head"/>
    <w:link w:val="CR-Char2"/>
    <w:semiHidden/>
    <w:rsid w:val="009964C3"/>
    <w:pPr>
      <w:widowControl w:val="0"/>
    </w:pPr>
    <w:rPr>
      <w:rFonts w:ascii="Calibri" w:eastAsia="黑体" w:hAnsi="Calibri"/>
      <w:b w:val="0"/>
      <w:kern w:val="2"/>
      <w:szCs w:val="22"/>
    </w:rPr>
  </w:style>
  <w:style w:type="paragraph" w:customStyle="1" w:styleId="affffffffffffffffffffff">
    <w:name w:val="附录标题"/>
    <w:basedOn w:val="43"/>
    <w:next w:val="afffffffffd"/>
    <w:rsid w:val="009964C3"/>
    <w:pPr>
      <w:keepNext w:val="0"/>
      <w:keepLines w:val="0"/>
      <w:widowControl/>
      <w:spacing w:before="0" w:after="0" w:line="440" w:lineRule="exact"/>
      <w:jc w:val="center"/>
      <w:outlineLvl w:val="9"/>
    </w:pPr>
    <w:rPr>
      <w:rFonts w:ascii="宋体" w:eastAsia="宋体" w:hAnsi="Times New Roman"/>
      <w:b w:val="0"/>
      <w:bCs w:val="0"/>
      <w:kern w:val="0"/>
      <w:sz w:val="24"/>
      <w:szCs w:val="20"/>
    </w:rPr>
  </w:style>
  <w:style w:type="paragraph" w:customStyle="1" w:styleId="1042">
    <w:name w:val="样式 标题 1 + 右侧:  0.42 厘米"/>
    <w:basedOn w:val="13"/>
    <w:semiHidden/>
    <w:rsid w:val="009964C3"/>
    <w:pPr>
      <w:tabs>
        <w:tab w:val="left" w:pos="360"/>
        <w:tab w:val="left" w:pos="1570"/>
      </w:tabs>
      <w:adjustRightInd w:val="0"/>
      <w:snapToGrid w:val="0"/>
      <w:spacing w:beforeLines="50" w:after="0" w:line="240" w:lineRule="auto"/>
      <w:ind w:left="1570" w:hanging="425"/>
    </w:pPr>
    <w:rPr>
      <w:rFonts w:cs="宋体"/>
      <w:sz w:val="24"/>
      <w:szCs w:val="20"/>
    </w:rPr>
  </w:style>
  <w:style w:type="paragraph" w:customStyle="1" w:styleId="022">
    <w:name w:val="0列表2"/>
    <w:basedOn w:val="2fe"/>
    <w:semiHidden/>
    <w:rsid w:val="009964C3"/>
    <w:pPr>
      <w:widowControl/>
      <w:ind w:leftChars="0" w:left="0" w:firstLineChars="0" w:firstLine="561"/>
      <w:jc w:val="center"/>
    </w:pPr>
    <w:rPr>
      <w:kern w:val="0"/>
      <w:sz w:val="21"/>
    </w:rPr>
  </w:style>
  <w:style w:type="paragraph" w:customStyle="1" w:styleId="233">
    <w:name w:val="等核实23"/>
    <w:basedOn w:val="afffffff4"/>
    <w:rsid w:val="009964C3"/>
  </w:style>
  <w:style w:type="paragraph" w:customStyle="1" w:styleId="2042042">
    <w:name w:val="样式 标题 2 + 左侧:  0.42 厘米 右侧:  0.42 厘米"/>
    <w:basedOn w:val="22"/>
    <w:semiHidden/>
    <w:rsid w:val="009964C3"/>
    <w:pPr>
      <w:tabs>
        <w:tab w:val="left" w:pos="959"/>
      </w:tabs>
      <w:adjustRightInd w:val="0"/>
      <w:snapToGrid w:val="0"/>
      <w:spacing w:before="50" w:after="0" w:line="240" w:lineRule="auto"/>
      <w:ind w:left="576"/>
    </w:pPr>
    <w:rPr>
      <w:rFonts w:ascii="Times New Roman" w:eastAsia="宋体" w:hAnsi="Times New Roman"/>
      <w:sz w:val="24"/>
    </w:rPr>
  </w:style>
  <w:style w:type="paragraph" w:customStyle="1" w:styleId="22CharCharChar2CharCharCharChar254">
    <w:name w:val="样式 标题 2标题 2 Char Char Char标题 2 Char Char Char Char + 左侧:  2.54..."/>
    <w:basedOn w:val="22"/>
    <w:rsid w:val="009964C3"/>
    <w:pPr>
      <w:tabs>
        <w:tab w:val="left" w:pos="432"/>
      </w:tabs>
      <w:spacing w:beforeLines="50" w:after="0" w:line="480" w:lineRule="exact"/>
      <w:ind w:right="280" w:hanging="737"/>
    </w:pPr>
    <w:rPr>
      <w:bCs w:val="0"/>
      <w:sz w:val="30"/>
      <w:szCs w:val="20"/>
    </w:rPr>
  </w:style>
  <w:style w:type="paragraph" w:customStyle="1" w:styleId="2fffb">
    <w:name w:val="样式 标题 2 + 四号"/>
    <w:basedOn w:val="22"/>
    <w:next w:val="af3"/>
    <w:rsid w:val="009964C3"/>
    <w:pPr>
      <w:spacing w:before="240" w:after="240" w:line="240" w:lineRule="auto"/>
    </w:pPr>
    <w:rPr>
      <w:rFonts w:cs="宋体"/>
      <w:sz w:val="28"/>
      <w:szCs w:val="20"/>
    </w:rPr>
  </w:style>
  <w:style w:type="paragraph" w:customStyle="1" w:styleId="affffffff2">
    <w:name w:val="中文报告书样式"/>
    <w:basedOn w:val="af3"/>
    <w:link w:val="Char1ff4"/>
    <w:rsid w:val="009964C3"/>
    <w:pPr>
      <w:adjustRightInd w:val="0"/>
      <w:spacing w:line="480" w:lineRule="atLeast"/>
      <w:ind w:firstLine="482"/>
      <w:textAlignment w:val="baseline"/>
    </w:pPr>
    <w:rPr>
      <w:rFonts w:ascii="宋体" w:hAnsi="宋体"/>
      <w:kern w:val="24"/>
      <w:sz w:val="24"/>
      <w:szCs w:val="20"/>
    </w:rPr>
  </w:style>
  <w:style w:type="paragraph" w:customStyle="1" w:styleId="300">
    <w:name w:val="表题30"/>
    <w:basedOn w:val="af4"/>
    <w:rsid w:val="009964C3"/>
    <w:pPr>
      <w:ind w:firstLineChars="0" w:firstLine="0"/>
      <w:jc w:val="center"/>
    </w:pPr>
    <w:rPr>
      <w:rFonts w:ascii="黑体" w:eastAsia="黑体"/>
      <w:sz w:val="24"/>
      <w:szCs w:val="24"/>
    </w:rPr>
  </w:style>
  <w:style w:type="paragraph" w:customStyle="1" w:styleId="1141">
    <w:name w:val="页眉中114"/>
    <w:basedOn w:val="4a"/>
    <w:rsid w:val="009964C3"/>
    <w:pPr>
      <w:snapToGrid w:val="0"/>
      <w:spacing w:line="300" w:lineRule="auto"/>
      <w:textAlignment w:val="auto"/>
    </w:pPr>
    <w:rPr>
      <w:rFonts w:ascii="黑体" w:eastAsia="黑体" w:hAnsi="宋体" w:cs="宋体"/>
    </w:rPr>
  </w:style>
  <w:style w:type="paragraph" w:customStyle="1" w:styleId="afffff8">
    <w:name w:val="表题注"/>
    <w:basedOn w:val="af3"/>
    <w:link w:val="Charfff9"/>
    <w:semiHidden/>
    <w:rsid w:val="009964C3"/>
    <w:pPr>
      <w:tabs>
        <w:tab w:val="left" w:pos="3626"/>
      </w:tabs>
      <w:spacing w:line="480" w:lineRule="exact"/>
      <w:jc w:val="center"/>
    </w:pPr>
    <w:rPr>
      <w:rFonts w:hAnsi="宋体"/>
      <w:b/>
      <w:szCs w:val="21"/>
    </w:rPr>
  </w:style>
  <w:style w:type="paragraph" w:customStyle="1" w:styleId="CharCharCharCharCharChar2">
    <w:name w:val="Char Char Char Char Char Char"/>
    <w:basedOn w:val="af3"/>
    <w:rsid w:val="009964C3"/>
  </w:style>
  <w:style w:type="paragraph" w:customStyle="1" w:styleId="204204205">
    <w:name w:val="样式 样式 标题 2 + 左侧:  0.42 厘米 右侧:  0.42 厘米 + 段前: 0.5 行"/>
    <w:basedOn w:val="2042042"/>
    <w:semiHidden/>
    <w:rsid w:val="009964C3"/>
  </w:style>
  <w:style w:type="paragraph" w:customStyle="1" w:styleId="941">
    <w:name w:val="页眉中94"/>
    <w:basedOn w:val="af3"/>
    <w:rsid w:val="009964C3"/>
    <w:pPr>
      <w:adjustRightInd w:val="0"/>
      <w:snapToGrid w:val="0"/>
      <w:spacing w:line="300" w:lineRule="auto"/>
      <w:jc w:val="left"/>
    </w:pPr>
    <w:rPr>
      <w:rFonts w:ascii="黑体" w:eastAsia="黑体"/>
      <w:bCs/>
      <w:sz w:val="24"/>
      <w:szCs w:val="20"/>
    </w:rPr>
  </w:style>
  <w:style w:type="paragraph" w:customStyle="1" w:styleId="15f1">
    <w:name w:val="字元 字元15"/>
    <w:basedOn w:val="af3"/>
    <w:rsid w:val="009964C3"/>
    <w:rPr>
      <w:sz w:val="24"/>
    </w:rPr>
  </w:style>
  <w:style w:type="paragraph" w:customStyle="1" w:styleId="2042042052">
    <w:name w:val="样式 样式 标题 2 + 左侧:  0.42 厘米 右侧:  0.42 厘米 + 段前: 0.5 行 行距: 2 倍行距"/>
    <w:basedOn w:val="2042042"/>
    <w:semiHidden/>
    <w:rsid w:val="009964C3"/>
  </w:style>
  <w:style w:type="paragraph" w:customStyle="1" w:styleId="2f5">
    <w:name w:val="正文（桑2）"/>
    <w:basedOn w:val="2fa"/>
    <w:link w:val="2Charf1"/>
    <w:rsid w:val="009964C3"/>
    <w:pPr>
      <w:spacing w:after="0" w:line="324" w:lineRule="auto"/>
      <w:ind w:leftChars="0" w:left="0" w:firstLine="510"/>
    </w:pPr>
    <w:rPr>
      <w:rFonts w:ascii="Arial" w:hAnsi="Arial"/>
      <w:sz w:val="24"/>
      <w:shd w:val="clear" w:color="auto" w:fill="FFFFFF"/>
    </w:rPr>
  </w:style>
  <w:style w:type="paragraph" w:customStyle="1" w:styleId="2053">
    <w:name w:val="样式 标题 2 + 段后: 0.5 行3"/>
    <w:basedOn w:val="22"/>
    <w:rsid w:val="009964C3"/>
    <w:pPr>
      <w:widowControl/>
      <w:autoSpaceDN w:val="0"/>
      <w:adjustRightInd w:val="0"/>
      <w:snapToGrid w:val="0"/>
      <w:spacing w:before="120" w:after="0" w:line="360" w:lineRule="auto"/>
      <w:jc w:val="left"/>
      <w:textAlignment w:val="baseline"/>
    </w:pPr>
    <w:rPr>
      <w:rFonts w:ascii="黑体" w:cs="宋体"/>
      <w:b w:val="0"/>
      <w:bCs w:val="0"/>
      <w:kern w:val="0"/>
      <w:sz w:val="30"/>
      <w:szCs w:val="30"/>
    </w:rPr>
  </w:style>
  <w:style w:type="paragraph" w:customStyle="1" w:styleId="a4">
    <w:name w:val="样式 正文首行缩进 + 黑体 四号 黑色"/>
    <w:basedOn w:val="af3"/>
    <w:next w:val="af3"/>
    <w:rsid w:val="009964C3"/>
    <w:pPr>
      <w:numPr>
        <w:ilvl w:val="3"/>
        <w:numId w:val="46"/>
      </w:numPr>
      <w:tabs>
        <w:tab w:val="left" w:pos="864"/>
        <w:tab w:val="left" w:pos="2514"/>
      </w:tabs>
      <w:spacing w:line="360" w:lineRule="auto"/>
      <w:ind w:rightChars="-47" w:right="-132"/>
      <w:outlineLvl w:val="3"/>
    </w:pPr>
    <w:rPr>
      <w:rFonts w:ascii="黑体" w:eastAsia="黑体" w:hAnsi="Arial" w:cs="宋体"/>
      <w:color w:val="000000"/>
      <w:sz w:val="28"/>
      <w:szCs w:val="20"/>
    </w:rPr>
  </w:style>
  <w:style w:type="paragraph" w:customStyle="1" w:styleId="GB231215">
    <w:name w:val="样式 楷体_GB2312 小四 左 行距: 1.5 倍行距"/>
    <w:basedOn w:val="af3"/>
    <w:rsid w:val="009964C3"/>
    <w:pPr>
      <w:spacing w:line="360" w:lineRule="auto"/>
      <w:ind w:firstLineChars="200" w:firstLine="200"/>
      <w:jc w:val="left"/>
    </w:pPr>
    <w:rPr>
      <w:rFonts w:ascii="楷体_GB2312" w:cs="宋体"/>
      <w:spacing w:val="20"/>
      <w:sz w:val="24"/>
      <w:szCs w:val="20"/>
    </w:rPr>
  </w:style>
  <w:style w:type="paragraph" w:customStyle="1" w:styleId="8a">
    <w:name w:val="页眉中8"/>
    <w:basedOn w:val="4a"/>
    <w:qFormat/>
    <w:rsid w:val="009964C3"/>
    <w:pPr>
      <w:snapToGrid w:val="0"/>
      <w:spacing w:line="360" w:lineRule="auto"/>
      <w:textAlignment w:val="auto"/>
    </w:pPr>
    <w:rPr>
      <w:rFonts w:ascii="黑体" w:eastAsia="黑体"/>
      <w:szCs w:val="24"/>
    </w:rPr>
  </w:style>
  <w:style w:type="paragraph" w:customStyle="1" w:styleId="3ffd">
    <w:name w:val="可研标题3"/>
    <w:basedOn w:val="31"/>
    <w:rsid w:val="009964C3"/>
    <w:pPr>
      <w:adjustRightInd w:val="0"/>
      <w:spacing w:before="0" w:after="0" w:line="360" w:lineRule="auto"/>
      <w:textAlignment w:val="baseline"/>
    </w:pPr>
    <w:rPr>
      <w:kern w:val="0"/>
      <w:sz w:val="24"/>
      <w:szCs w:val="24"/>
    </w:rPr>
  </w:style>
  <w:style w:type="paragraph" w:customStyle="1" w:styleId="1CharCharCharCharCharCharCharCharCharCharCharCharChar">
    <w:name w:val="1 Char Char Char Char Char Char Char Char Char Char Char Char Char"/>
    <w:basedOn w:val="af3"/>
    <w:rsid w:val="009964C3"/>
  </w:style>
  <w:style w:type="paragraph" w:customStyle="1" w:styleId="9a">
    <w:name w:val="等核实9"/>
    <w:basedOn w:val="afffffff4"/>
    <w:rsid w:val="009964C3"/>
    <w:pPr>
      <w:tabs>
        <w:tab w:val="clear" w:pos="4305"/>
      </w:tabs>
      <w:spacing w:line="240" w:lineRule="auto"/>
      <w:ind w:firstLine="0"/>
      <w:jc w:val="center"/>
    </w:pPr>
    <w:rPr>
      <w:rFonts w:hAnsi="Times" w:cs="Times New Roman"/>
      <w:color w:val="0000FF"/>
      <w:sz w:val="21"/>
      <w:szCs w:val="21"/>
    </w:rPr>
  </w:style>
  <w:style w:type="paragraph" w:customStyle="1" w:styleId="1ffffc">
    <w:name w:val="表名1"/>
    <w:basedOn w:val="af3"/>
    <w:rsid w:val="009964C3"/>
    <w:pPr>
      <w:adjustRightInd w:val="0"/>
      <w:snapToGrid w:val="0"/>
      <w:spacing w:beforeLines="100" w:afterLines="50"/>
      <w:jc w:val="center"/>
    </w:pPr>
    <w:rPr>
      <w:rFonts w:eastAsia="黑体"/>
      <w:sz w:val="24"/>
    </w:rPr>
  </w:style>
  <w:style w:type="paragraph" w:customStyle="1" w:styleId="147">
    <w:name w:val="正文14"/>
    <w:basedOn w:val="af3"/>
    <w:rsid w:val="009964C3"/>
    <w:pPr>
      <w:adjustRightInd w:val="0"/>
      <w:spacing w:after="120" w:line="360" w:lineRule="atLeast"/>
      <w:jc w:val="center"/>
      <w:textAlignment w:val="baseline"/>
    </w:pPr>
    <w:rPr>
      <w:rFonts w:ascii="宋体" w:hAnsi="宋体" w:cs="宋体"/>
      <w:kern w:val="0"/>
      <w:sz w:val="24"/>
      <w:szCs w:val="20"/>
    </w:rPr>
  </w:style>
  <w:style w:type="paragraph" w:customStyle="1" w:styleId="bg">
    <w:name w:val="bg"/>
    <w:basedOn w:val="af3"/>
    <w:rsid w:val="009964C3"/>
    <w:pPr>
      <w:spacing w:line="320" w:lineRule="exact"/>
      <w:jc w:val="center"/>
    </w:pPr>
    <w:rPr>
      <w:rFonts w:eastAsia="仿宋_GB2312"/>
      <w:color w:val="000000"/>
      <w:kern w:val="10"/>
      <w:szCs w:val="21"/>
    </w:rPr>
  </w:style>
  <w:style w:type="paragraph" w:customStyle="1" w:styleId="3524">
    <w:name w:val="样式 燕山正文 + 首行缩进:  3.5 字符24"/>
    <w:basedOn w:val="af3"/>
    <w:rsid w:val="009964C3"/>
    <w:pPr>
      <w:tabs>
        <w:tab w:val="left" w:pos="4680"/>
      </w:tabs>
      <w:adjustRightInd w:val="0"/>
      <w:snapToGrid w:val="0"/>
      <w:spacing w:line="360" w:lineRule="auto"/>
      <w:ind w:firstLineChars="200" w:firstLine="200"/>
    </w:pPr>
    <w:rPr>
      <w:rFonts w:ascii="宋体" w:hAnsi="宋体" w:cs="宋体"/>
      <w:color w:val="000000"/>
      <w:sz w:val="28"/>
      <w:szCs w:val="20"/>
    </w:rPr>
  </w:style>
  <w:style w:type="paragraph" w:customStyle="1" w:styleId="4-25">
    <w:name w:val="4-25正"/>
    <w:basedOn w:val="af3"/>
    <w:qFormat/>
    <w:rsid w:val="009964C3"/>
    <w:pPr>
      <w:widowControl/>
      <w:spacing w:line="360" w:lineRule="auto"/>
      <w:ind w:firstLineChars="150" w:firstLine="360"/>
    </w:pPr>
    <w:rPr>
      <w:rFonts w:cs="宋体"/>
      <w:kern w:val="0"/>
      <w:sz w:val="24"/>
      <w:szCs w:val="20"/>
    </w:rPr>
  </w:style>
  <w:style w:type="paragraph" w:customStyle="1" w:styleId="CharCharCharChar1CharCharChar2">
    <w:name w:val="Char Char Char Char1 Char Char Char2"/>
    <w:basedOn w:val="af3"/>
    <w:rsid w:val="009964C3"/>
    <w:pPr>
      <w:widowControl/>
      <w:spacing w:after="160" w:line="240" w:lineRule="exact"/>
      <w:jc w:val="left"/>
    </w:pPr>
    <w:rPr>
      <w:rFonts w:ascii="Verdana" w:hAnsi="Verdana"/>
      <w:kern w:val="0"/>
      <w:sz w:val="20"/>
      <w:szCs w:val="20"/>
      <w:lang w:eastAsia="en-US"/>
    </w:rPr>
  </w:style>
  <w:style w:type="paragraph" w:customStyle="1" w:styleId="4ff2">
    <w:name w:val="正文4"/>
    <w:rsid w:val="009964C3"/>
    <w:pPr>
      <w:widowControl w:val="0"/>
      <w:adjustRightInd w:val="0"/>
      <w:spacing w:line="360" w:lineRule="atLeast"/>
      <w:jc w:val="both"/>
    </w:pPr>
    <w:rPr>
      <w:rFonts w:ascii="宋体" w:hint="eastAsia"/>
      <w:sz w:val="24"/>
    </w:rPr>
  </w:style>
  <w:style w:type="paragraph" w:customStyle="1" w:styleId="CharChar1CharCharCharCharCharCharChar2">
    <w:name w:val="Char Char1 Char Char Char Char Char Char Char2"/>
    <w:basedOn w:val="af3"/>
    <w:rsid w:val="009964C3"/>
  </w:style>
  <w:style w:type="paragraph" w:customStyle="1" w:styleId="CM14">
    <w:name w:val="CM14"/>
    <w:basedOn w:val="Default"/>
    <w:next w:val="Default"/>
    <w:rsid w:val="009964C3"/>
    <w:pPr>
      <w:spacing w:after="87"/>
    </w:pPr>
    <w:rPr>
      <w:rFonts w:ascii=".." w:eastAsia="Times New Roman" w:hAnsi=".." w:cs="Times New Roman"/>
      <w:color w:val="auto"/>
    </w:rPr>
  </w:style>
  <w:style w:type="paragraph" w:customStyle="1" w:styleId="5155Char21Char2Char2521221">
    <w:name w:val="样式 标题 51)项标5标题 5 Char21) Char2项 Char2一级项标题 521)2项2标题 ...1"/>
    <w:basedOn w:val="51"/>
    <w:rsid w:val="009964C3"/>
    <w:pPr>
      <w:keepNext/>
      <w:keepLines/>
      <w:tabs>
        <w:tab w:val="left" w:pos="992"/>
      </w:tabs>
      <w:adjustRightInd w:val="0"/>
      <w:spacing w:line="360" w:lineRule="auto"/>
      <w:ind w:left="-367" w:firstLine="567"/>
      <w:jc w:val="both"/>
      <w:textAlignment w:val="baseline"/>
    </w:pPr>
    <w:rPr>
      <w:rFonts w:ascii="宋体" w:eastAsia="宋体" w:hAnsi="宋体"/>
      <w:spacing w:val="0"/>
      <w:kern w:val="24"/>
      <w:position w:val="0"/>
      <w:szCs w:val="28"/>
    </w:rPr>
  </w:style>
  <w:style w:type="paragraph" w:customStyle="1" w:styleId="word3">
    <w:name w:val="word3"/>
    <w:basedOn w:val="af3"/>
    <w:qFormat/>
    <w:rsid w:val="009964C3"/>
    <w:pPr>
      <w:widowControl/>
      <w:spacing w:before="100" w:beforeAutospacing="1" w:after="100" w:afterAutospacing="1"/>
      <w:jc w:val="left"/>
    </w:pPr>
    <w:rPr>
      <w:rFonts w:ascii="宋体" w:hAnsi="宋体" w:cs="宋体"/>
      <w:color w:val="555555"/>
      <w:kern w:val="0"/>
      <w:sz w:val="18"/>
      <w:szCs w:val="18"/>
    </w:rPr>
  </w:style>
  <w:style w:type="paragraph" w:customStyle="1" w:styleId="10115">
    <w:name w:val="样式 (中文) 华文楷体 四号 首行缩进:  1.01 厘米 行距: 1.5 倍行距"/>
    <w:basedOn w:val="af3"/>
    <w:link w:val="10115Char"/>
    <w:semiHidden/>
    <w:rsid w:val="009964C3"/>
    <w:pPr>
      <w:snapToGrid w:val="0"/>
      <w:spacing w:line="360" w:lineRule="auto"/>
      <w:ind w:firstLineChars="200" w:firstLine="200"/>
    </w:pPr>
    <w:rPr>
      <w:sz w:val="28"/>
    </w:rPr>
  </w:style>
  <w:style w:type="paragraph" w:customStyle="1" w:styleId="CharCharChar7">
    <w:name w:val="Char Char Char"/>
    <w:basedOn w:val="af3"/>
    <w:rsid w:val="009964C3"/>
  </w:style>
  <w:style w:type="paragraph" w:customStyle="1" w:styleId="affffffffffffffffffffff0">
    <w:name w:val="农业部一"/>
    <w:next w:val="afff"/>
    <w:rsid w:val="009964C3"/>
    <w:pPr>
      <w:widowControl w:val="0"/>
      <w:topLinePunct/>
      <w:spacing w:line="480" w:lineRule="atLeast"/>
      <w:jc w:val="center"/>
    </w:pPr>
    <w:rPr>
      <w:kern w:val="2"/>
      <w:sz w:val="21"/>
      <w:szCs w:val="24"/>
    </w:rPr>
  </w:style>
  <w:style w:type="paragraph" w:customStyle="1" w:styleId="291">
    <w:name w:val="表题29"/>
    <w:basedOn w:val="af3"/>
    <w:rsid w:val="009964C3"/>
    <w:pPr>
      <w:widowControl/>
      <w:adjustRightInd w:val="0"/>
      <w:snapToGrid w:val="0"/>
      <w:jc w:val="center"/>
    </w:pPr>
    <w:rPr>
      <w:rFonts w:ascii="黑体" w:eastAsia="黑体" w:hAnsi="宋体" w:cs="宋体"/>
      <w:kern w:val="0"/>
      <w:sz w:val="24"/>
    </w:rPr>
  </w:style>
  <w:style w:type="paragraph" w:customStyle="1" w:styleId="Char4CharCharChar2">
    <w:name w:val="Char4 Char Char Char2"/>
    <w:basedOn w:val="af3"/>
    <w:rsid w:val="009964C3"/>
  </w:style>
  <w:style w:type="paragraph" w:customStyle="1" w:styleId="affffffffffffffffffffff1">
    <w:name w:val="样式 宋体 右"/>
    <w:basedOn w:val="af3"/>
    <w:rsid w:val="009964C3"/>
    <w:pPr>
      <w:jc w:val="right"/>
    </w:pPr>
    <w:rPr>
      <w:rFonts w:ascii="Arial" w:hAnsi="Arial" w:cs="宋体"/>
      <w:szCs w:val="20"/>
    </w:rPr>
  </w:style>
  <w:style w:type="paragraph" w:customStyle="1" w:styleId="528">
    <w:name w:val="标题 52"/>
    <w:basedOn w:val="af3"/>
    <w:next w:val="af3"/>
    <w:rsid w:val="009964C3"/>
    <w:pPr>
      <w:adjustRightInd w:val="0"/>
      <w:snapToGrid w:val="0"/>
      <w:spacing w:line="440" w:lineRule="atLeast"/>
      <w:ind w:firstLine="567"/>
      <w:textAlignment w:val="baseline"/>
    </w:pPr>
    <w:rPr>
      <w:rFonts w:hint="eastAsia"/>
      <w:kern w:val="0"/>
      <w:sz w:val="24"/>
      <w:szCs w:val="20"/>
    </w:rPr>
  </w:style>
  <w:style w:type="paragraph" w:customStyle="1" w:styleId="Tableheader">
    <w:name w:val="Table header"/>
    <w:basedOn w:val="af3"/>
    <w:rsid w:val="009964C3"/>
    <w:pPr>
      <w:widowControl/>
      <w:spacing w:before="80" w:after="80"/>
      <w:jc w:val="left"/>
    </w:pPr>
    <w:rPr>
      <w:rFonts w:ascii="Arial" w:hAnsi="Arial"/>
      <w:kern w:val="0"/>
      <w:sz w:val="20"/>
      <w:szCs w:val="20"/>
      <w:lang w:val="en-GB" w:eastAsia="ja-JP"/>
    </w:rPr>
  </w:style>
  <w:style w:type="paragraph" w:customStyle="1" w:styleId="2fffc">
    <w:name w:val="表格2"/>
    <w:basedOn w:val="af3"/>
    <w:rsid w:val="009964C3"/>
    <w:pPr>
      <w:adjustRightInd w:val="0"/>
      <w:spacing w:line="400" w:lineRule="exact"/>
      <w:jc w:val="center"/>
      <w:textAlignment w:val="baseline"/>
    </w:pPr>
    <w:rPr>
      <w:rFonts w:ascii="宋体"/>
      <w:kern w:val="0"/>
      <w:szCs w:val="21"/>
    </w:rPr>
  </w:style>
  <w:style w:type="paragraph" w:customStyle="1" w:styleId="428">
    <w:name w:val="标题 42"/>
    <w:basedOn w:val="af3"/>
    <w:next w:val="af3"/>
    <w:rsid w:val="009964C3"/>
    <w:pPr>
      <w:adjustRightInd w:val="0"/>
      <w:spacing w:line="440" w:lineRule="atLeast"/>
      <w:ind w:left="198" w:firstLine="567"/>
      <w:textAlignment w:val="baseline"/>
    </w:pPr>
    <w:rPr>
      <w:rFonts w:hAnsi="宋体" w:hint="eastAsia"/>
      <w:kern w:val="28"/>
      <w:sz w:val="24"/>
      <w:szCs w:val="20"/>
    </w:rPr>
  </w:style>
  <w:style w:type="paragraph" w:customStyle="1" w:styleId="5240">
    <w:name w:val="表内宋524"/>
    <w:basedOn w:val="5f9"/>
    <w:rsid w:val="009964C3"/>
    <w:pPr>
      <w:jc w:val="both"/>
    </w:pPr>
  </w:style>
  <w:style w:type="paragraph" w:customStyle="1" w:styleId="CharChar1CharCharChar2">
    <w:name w:val="Char Char1 Char Char Char2"/>
    <w:basedOn w:val="af3"/>
    <w:rsid w:val="009964C3"/>
  </w:style>
  <w:style w:type="paragraph" w:customStyle="1" w:styleId="1f2">
    <w:name w:val="明显引用1"/>
    <w:basedOn w:val="af3"/>
    <w:next w:val="af3"/>
    <w:link w:val="Charfff2"/>
    <w:qFormat/>
    <w:rsid w:val="009964C3"/>
    <w:pPr>
      <w:pBdr>
        <w:bottom w:val="single" w:sz="4" w:space="4" w:color="4F81BD"/>
      </w:pBdr>
      <w:spacing w:before="200" w:after="280"/>
      <w:ind w:left="936" w:right="936"/>
    </w:pPr>
    <w:rPr>
      <w:b/>
      <w:bCs/>
      <w:i/>
      <w:iCs/>
      <w:color w:val="4F81BD"/>
      <w:sz w:val="20"/>
      <w:szCs w:val="20"/>
    </w:rPr>
  </w:style>
  <w:style w:type="paragraph" w:customStyle="1" w:styleId="CharCharChar1CharCharCharCharCharCharCharCharCharChar1">
    <w:name w:val="Char Char Char1 Char Char Char Char Char Char Char Char Char Char1"/>
    <w:basedOn w:val="af3"/>
    <w:rsid w:val="009964C3"/>
  </w:style>
  <w:style w:type="paragraph" w:customStyle="1" w:styleId="650">
    <w:name w:val="表内文字小65"/>
    <w:basedOn w:val="af3"/>
    <w:rsid w:val="009964C3"/>
    <w:pPr>
      <w:adjustRightInd w:val="0"/>
      <w:snapToGrid w:val="0"/>
      <w:jc w:val="center"/>
    </w:pPr>
    <w:rPr>
      <w:rFonts w:ascii="宋体" w:hAnsi="Times"/>
      <w:szCs w:val="20"/>
    </w:rPr>
  </w:style>
  <w:style w:type="paragraph" w:customStyle="1" w:styleId="dxj3">
    <w:name w:val="dxj标题3"/>
    <w:basedOn w:val="31"/>
    <w:semiHidden/>
    <w:rsid w:val="009964C3"/>
    <w:pPr>
      <w:numPr>
        <w:ilvl w:val="2"/>
      </w:numPr>
      <w:spacing w:before="0" w:after="0" w:line="360" w:lineRule="auto"/>
    </w:pPr>
    <w:rPr>
      <w:rFonts w:eastAsia="黑体"/>
      <w:b w:val="0"/>
      <w:sz w:val="24"/>
    </w:rPr>
  </w:style>
  <w:style w:type="paragraph" w:customStyle="1" w:styleId="1010">
    <w:name w:val="样式 宋体 小四 黑色 首行缩进:  1.01 厘米"/>
    <w:basedOn w:val="af3"/>
    <w:next w:val="af3"/>
    <w:rsid w:val="009964C3"/>
    <w:pPr>
      <w:spacing w:line="360" w:lineRule="auto"/>
      <w:ind w:firstLineChars="200" w:firstLine="480"/>
    </w:pPr>
    <w:rPr>
      <w:rFonts w:ascii="宋体" w:hAnsi="宋体" w:cs="宋体"/>
      <w:color w:val="000000"/>
      <w:sz w:val="24"/>
      <w:szCs w:val="20"/>
    </w:rPr>
  </w:style>
  <w:style w:type="paragraph" w:customStyle="1" w:styleId="affffd">
    <w:name w:val="三级目录"/>
    <w:basedOn w:val="af3"/>
    <w:link w:val="Charffd"/>
    <w:rsid w:val="009964C3"/>
    <w:pPr>
      <w:keepNext/>
      <w:keepLines/>
      <w:spacing w:before="60" w:after="60" w:line="360" w:lineRule="auto"/>
      <w:outlineLvl w:val="2"/>
    </w:pPr>
    <w:rPr>
      <w:sz w:val="24"/>
      <w:szCs w:val="28"/>
    </w:rPr>
  </w:style>
  <w:style w:type="paragraph" w:customStyle="1" w:styleId="2fffd">
    <w:name w:val="表2"/>
    <w:basedOn w:val="af3"/>
    <w:semiHidden/>
    <w:rsid w:val="009964C3"/>
    <w:pPr>
      <w:adjustRightInd w:val="0"/>
      <w:snapToGrid w:val="0"/>
      <w:jc w:val="center"/>
    </w:pPr>
    <w:rPr>
      <w:rFonts w:ascii="宋体" w:eastAsia="仿宋_GB2312" w:hAnsi="宋体"/>
      <w:sz w:val="24"/>
      <w:szCs w:val="20"/>
    </w:rPr>
  </w:style>
  <w:style w:type="paragraph" w:customStyle="1" w:styleId="5211">
    <w:name w:val="表内宋5中21"/>
    <w:basedOn w:val="af3"/>
    <w:rsid w:val="009964C3"/>
    <w:pPr>
      <w:adjustRightInd w:val="0"/>
      <w:snapToGrid w:val="0"/>
      <w:jc w:val="center"/>
      <w:textAlignment w:val="baseline"/>
    </w:pPr>
    <w:rPr>
      <w:rFonts w:ascii="宋体" w:hAnsi="宋体"/>
      <w:kern w:val="0"/>
      <w:szCs w:val="20"/>
    </w:rPr>
  </w:style>
  <w:style w:type="paragraph" w:customStyle="1" w:styleId="2f6">
    <w:name w:val="云龙样式 正文首行缩进 + 首行缩进:  2 字符"/>
    <w:basedOn w:val="aff7"/>
    <w:link w:val="2Charf2"/>
    <w:semiHidden/>
    <w:rsid w:val="009964C3"/>
    <w:pPr>
      <w:tabs>
        <w:tab w:val="left" w:pos="1021"/>
      </w:tabs>
      <w:overflowPunct/>
      <w:autoSpaceDE/>
      <w:autoSpaceDN/>
      <w:snapToGrid w:val="0"/>
      <w:ind w:firstLineChars="200" w:firstLine="200"/>
      <w:jc w:val="left"/>
      <w:textAlignment w:val="auto"/>
    </w:pPr>
    <w:rPr>
      <w:rFonts w:ascii="Arial" w:hAnsi="Arial"/>
      <w:sz w:val="24"/>
      <w:szCs w:val="20"/>
    </w:rPr>
  </w:style>
  <w:style w:type="paragraph" w:customStyle="1" w:styleId="NumberedList1">
    <w:name w:val="Numbered List 1"/>
    <w:basedOn w:val="af4"/>
    <w:rsid w:val="009964C3"/>
    <w:pPr>
      <w:widowControl/>
      <w:tabs>
        <w:tab w:val="left" w:pos="780"/>
      </w:tabs>
      <w:spacing w:after="120" w:line="0" w:lineRule="atLeast"/>
      <w:ind w:leftChars="200" w:left="780" w:hangingChars="200" w:hanging="360"/>
      <w:jc w:val="left"/>
    </w:pPr>
    <w:rPr>
      <w:kern w:val="0"/>
      <w:sz w:val="24"/>
      <w:szCs w:val="20"/>
      <w:u w:val="single"/>
      <w:lang w:val="en-GB"/>
    </w:rPr>
  </w:style>
  <w:style w:type="paragraph" w:customStyle="1" w:styleId="affffffffffffffffffffff2">
    <w:name w:val="正文正文正文"/>
    <w:basedOn w:val="af3"/>
    <w:next w:val="af3"/>
    <w:qFormat/>
    <w:rsid w:val="009964C3"/>
    <w:pPr>
      <w:keepNext/>
      <w:keepLines/>
      <w:widowControl/>
      <w:adjustRightInd w:val="0"/>
      <w:spacing w:before="40" w:after="40" w:line="360" w:lineRule="auto"/>
      <w:ind w:firstLineChars="200" w:firstLine="200"/>
      <w:textAlignment w:val="baseline"/>
    </w:pPr>
    <w:rPr>
      <w:rFonts w:cs="宋体"/>
      <w:bCs/>
      <w:kern w:val="0"/>
      <w:sz w:val="24"/>
      <w:szCs w:val="28"/>
    </w:rPr>
  </w:style>
  <w:style w:type="paragraph" w:customStyle="1" w:styleId="afffffffa">
    <w:name w:val="表格编号"/>
    <w:basedOn w:val="af3"/>
    <w:next w:val="af3"/>
    <w:link w:val="Charfffff2"/>
    <w:rsid w:val="009964C3"/>
    <w:pPr>
      <w:tabs>
        <w:tab w:val="left" w:pos="720"/>
      </w:tabs>
      <w:spacing w:before="300" w:after="200"/>
      <w:jc w:val="center"/>
    </w:pPr>
    <w:rPr>
      <w:sz w:val="24"/>
      <w:szCs w:val="20"/>
    </w:rPr>
  </w:style>
  <w:style w:type="paragraph" w:customStyle="1" w:styleId="2TimesNewRoman">
    <w:name w:val="样式 样式 首行缩进:  2 字符 + (符号) Times New Roman"/>
    <w:basedOn w:val="af3"/>
    <w:link w:val="2TimesNewRomanChar"/>
    <w:rsid w:val="009964C3"/>
    <w:pPr>
      <w:autoSpaceDE w:val="0"/>
      <w:autoSpaceDN w:val="0"/>
      <w:adjustRightInd w:val="0"/>
      <w:snapToGrid w:val="0"/>
      <w:ind w:firstLine="482"/>
    </w:pPr>
    <w:rPr>
      <w:rFonts w:hAnsi="宋体"/>
      <w:kern w:val="0"/>
      <w:sz w:val="24"/>
    </w:rPr>
  </w:style>
  <w:style w:type="paragraph" w:customStyle="1" w:styleId="GB23120">
    <w:name w:val="样式 楷体_GB2312 小四 红色"/>
    <w:basedOn w:val="af3"/>
    <w:next w:val="af3"/>
    <w:link w:val="GB2312Char"/>
    <w:rsid w:val="009964C3"/>
    <w:pPr>
      <w:spacing w:line="360" w:lineRule="auto"/>
      <w:ind w:firstLineChars="200" w:firstLine="200"/>
    </w:pPr>
    <w:rPr>
      <w:rFonts w:ascii="楷体_GB2312"/>
      <w:color w:val="FF0000"/>
      <w:kern w:val="0"/>
      <w:sz w:val="24"/>
    </w:rPr>
  </w:style>
  <w:style w:type="paragraph" w:customStyle="1" w:styleId="Affffffffffffffffffffff3">
    <w:name w:val="A章标题"/>
    <w:next w:val="af3"/>
    <w:semiHidden/>
    <w:rsid w:val="009964C3"/>
    <w:pPr>
      <w:spacing w:beforeLines="50" w:afterLines="50"/>
      <w:ind w:left="315"/>
      <w:jc w:val="both"/>
      <w:outlineLvl w:val="1"/>
    </w:pPr>
    <w:rPr>
      <w:rFonts w:ascii="黑体" w:eastAsia="黑体"/>
      <w:sz w:val="21"/>
    </w:rPr>
  </w:style>
  <w:style w:type="paragraph" w:customStyle="1" w:styleId="CharCharCharChar1CharCharChar">
    <w:name w:val="Char Char Char Char1 Char Char Char"/>
    <w:basedOn w:val="af3"/>
    <w:rsid w:val="009964C3"/>
    <w:pPr>
      <w:widowControl/>
      <w:spacing w:after="160" w:line="240" w:lineRule="exact"/>
      <w:jc w:val="left"/>
    </w:pPr>
    <w:rPr>
      <w:rFonts w:ascii="Verdana" w:hAnsi="Verdana"/>
      <w:kern w:val="0"/>
      <w:sz w:val="20"/>
      <w:szCs w:val="20"/>
      <w:lang w:eastAsia="en-US"/>
    </w:rPr>
  </w:style>
  <w:style w:type="paragraph" w:customStyle="1" w:styleId="3TimesNewRoman1">
    <w:name w:val="样式 标题 3 + Times New Roman1"/>
    <w:basedOn w:val="31"/>
    <w:semiHidden/>
    <w:rsid w:val="009964C3"/>
    <w:pPr>
      <w:numPr>
        <w:ilvl w:val="2"/>
      </w:numPr>
      <w:tabs>
        <w:tab w:val="left" w:pos="720"/>
        <w:tab w:val="left" w:pos="1021"/>
      </w:tabs>
      <w:adjustRightInd w:val="0"/>
      <w:snapToGrid w:val="0"/>
      <w:spacing w:before="0" w:after="0" w:line="360" w:lineRule="auto"/>
      <w:ind w:left="720" w:firstLineChars="200" w:firstLine="482"/>
    </w:pPr>
    <w:rPr>
      <w:rFonts w:eastAsia="黑体"/>
      <w:bCs w:val="0"/>
      <w:color w:val="000000"/>
      <w:sz w:val="24"/>
      <w:szCs w:val="20"/>
    </w:rPr>
  </w:style>
  <w:style w:type="paragraph" w:customStyle="1" w:styleId="023">
    <w:name w:val="0列表2 改"/>
    <w:basedOn w:val="2fe"/>
    <w:semiHidden/>
    <w:rsid w:val="009964C3"/>
    <w:pPr>
      <w:widowControl/>
      <w:ind w:leftChars="0" w:left="0" w:firstLineChars="0" w:firstLine="0"/>
      <w:jc w:val="center"/>
    </w:pPr>
    <w:rPr>
      <w:kern w:val="0"/>
      <w:sz w:val="21"/>
    </w:rPr>
  </w:style>
  <w:style w:type="paragraph" w:customStyle="1" w:styleId="381">
    <w:name w:val="表题38"/>
    <w:basedOn w:val="afffffff4"/>
    <w:rsid w:val="009964C3"/>
    <w:pPr>
      <w:tabs>
        <w:tab w:val="clear" w:pos="4305"/>
      </w:tabs>
      <w:spacing w:line="240" w:lineRule="auto"/>
      <w:ind w:firstLine="0"/>
      <w:jc w:val="center"/>
    </w:pPr>
    <w:rPr>
      <w:rFonts w:ascii="黑体" w:eastAsia="黑体" w:hAnsi="Times" w:cs="Times New Roman"/>
    </w:rPr>
  </w:style>
  <w:style w:type="paragraph" w:customStyle="1" w:styleId="1ffffd">
    <w:name w:val="页眉1"/>
    <w:basedOn w:val="af3"/>
    <w:semiHidden/>
    <w:rsid w:val="009964C3"/>
    <w:pPr>
      <w:widowControl/>
      <w:spacing w:before="100" w:beforeAutospacing="1" w:after="100" w:afterAutospacing="1"/>
      <w:jc w:val="left"/>
    </w:pPr>
    <w:rPr>
      <w:rFonts w:ascii="宋体" w:hAnsi="宋体" w:cs="宋体"/>
      <w:b/>
      <w:bCs/>
      <w:color w:val="CC3300"/>
      <w:kern w:val="0"/>
      <w:sz w:val="24"/>
    </w:rPr>
  </w:style>
  <w:style w:type="paragraph" w:customStyle="1" w:styleId="7a">
    <w:name w:val="表题7"/>
    <w:basedOn w:val="afffffff4"/>
    <w:rsid w:val="009964C3"/>
    <w:pPr>
      <w:spacing w:line="240" w:lineRule="auto"/>
      <w:ind w:firstLine="0"/>
      <w:jc w:val="center"/>
    </w:pPr>
    <w:rPr>
      <w:rFonts w:ascii="黑体" w:eastAsia="黑体" w:cs="Times New Roman"/>
      <w:color w:val="auto"/>
    </w:rPr>
  </w:style>
  <w:style w:type="paragraph" w:customStyle="1" w:styleId="Char1CharCharCharCharCharChar0">
    <w:name w:val="Char1 Char Char Char Char Char Char"/>
    <w:basedOn w:val="af3"/>
    <w:semiHidden/>
    <w:rsid w:val="009964C3"/>
    <w:pPr>
      <w:spacing w:beforeLines="100" w:afterLines="50" w:line="600" w:lineRule="exact"/>
      <w:ind w:firstLineChars="200" w:firstLine="200"/>
    </w:pPr>
    <w:rPr>
      <w:rFonts w:eastAsia="黑体"/>
      <w:sz w:val="28"/>
    </w:rPr>
  </w:style>
  <w:style w:type="paragraph" w:customStyle="1" w:styleId="1CharCharCharCharCharCharCharCharCharChar0">
    <w:name w:val="1 Char Char Char Char Char Char Char Char Char Char"/>
    <w:basedOn w:val="af3"/>
    <w:qFormat/>
    <w:rsid w:val="009964C3"/>
    <w:pPr>
      <w:spacing w:beforeLines="50" w:afterLines="50" w:line="480" w:lineRule="exact"/>
      <w:ind w:firstLineChars="200" w:firstLine="200"/>
    </w:pPr>
    <w:rPr>
      <w:sz w:val="28"/>
      <w:szCs w:val="28"/>
    </w:rPr>
  </w:style>
  <w:style w:type="paragraph" w:customStyle="1" w:styleId="affffffffffffffffffffff4">
    <w:name w:val="正文标准样式"/>
    <w:basedOn w:val="af3"/>
    <w:semiHidden/>
    <w:rsid w:val="009964C3"/>
    <w:pPr>
      <w:adjustRightInd w:val="0"/>
      <w:spacing w:line="300" w:lineRule="auto"/>
      <w:ind w:firstLine="482"/>
      <w:textAlignment w:val="baseline"/>
    </w:pPr>
    <w:rPr>
      <w:kern w:val="0"/>
      <w:sz w:val="24"/>
      <w:szCs w:val="20"/>
    </w:rPr>
  </w:style>
  <w:style w:type="paragraph" w:customStyle="1" w:styleId="07">
    <w:name w:val="正文0"/>
    <w:basedOn w:val="af3"/>
    <w:semiHidden/>
    <w:rsid w:val="009964C3"/>
    <w:pPr>
      <w:ind w:firstLineChars="200" w:firstLine="200"/>
    </w:pPr>
    <w:rPr>
      <w:rFonts w:ascii="仿宋_GB2312" w:eastAsia="仿宋_GB2312"/>
      <w:sz w:val="28"/>
      <w:szCs w:val="28"/>
    </w:rPr>
  </w:style>
  <w:style w:type="paragraph" w:customStyle="1" w:styleId="2c">
    <w:name w:val="样式 样式 标题2 + 小四 + 非加粗"/>
    <w:basedOn w:val="af3"/>
    <w:link w:val="2Char8"/>
    <w:rsid w:val="009964C3"/>
    <w:pPr>
      <w:keepNext/>
      <w:keepLines/>
      <w:spacing w:before="100" w:after="100" w:line="360" w:lineRule="auto"/>
      <w:outlineLvl w:val="0"/>
    </w:pPr>
    <w:rPr>
      <w:rFonts w:ascii="黑体" w:eastAsia="黑体"/>
      <w:kern w:val="44"/>
      <w:sz w:val="24"/>
      <w:szCs w:val="44"/>
    </w:rPr>
  </w:style>
  <w:style w:type="paragraph" w:customStyle="1" w:styleId="41111">
    <w:name w:val="样式 标题 4条款款标题1.1.1.1 + 黑色"/>
    <w:basedOn w:val="43"/>
    <w:next w:val="2f"/>
    <w:link w:val="41111Char"/>
    <w:rsid w:val="009964C3"/>
    <w:rPr>
      <w:color w:val="000000"/>
      <w:sz w:val="24"/>
    </w:rPr>
  </w:style>
  <w:style w:type="paragraph" w:customStyle="1" w:styleId="3b">
    <w:name w:val="章鸿3"/>
    <w:basedOn w:val="31"/>
    <w:link w:val="3Char9"/>
    <w:semiHidden/>
    <w:rsid w:val="009964C3"/>
    <w:pPr>
      <w:keepNext w:val="0"/>
      <w:keepLines w:val="0"/>
      <w:numPr>
        <w:ilvl w:val="2"/>
      </w:numPr>
      <w:overflowPunct w:val="0"/>
      <w:autoSpaceDE w:val="0"/>
      <w:autoSpaceDN w:val="0"/>
      <w:adjustRightInd w:val="0"/>
      <w:snapToGrid w:val="0"/>
      <w:spacing w:before="20" w:after="20" w:line="360" w:lineRule="auto"/>
      <w:textAlignment w:val="baseline"/>
    </w:pPr>
    <w:rPr>
      <w:rFonts w:ascii="Arial" w:hAnsi="Arial"/>
      <w:bCs w:val="0"/>
      <w:kern w:val="20"/>
      <w:sz w:val="24"/>
      <w:szCs w:val="21"/>
    </w:rPr>
  </w:style>
  <w:style w:type="paragraph" w:customStyle="1" w:styleId="xl42">
    <w:name w:val="xl42"/>
    <w:basedOn w:val="af3"/>
    <w:rsid w:val="009964C3"/>
    <w:pPr>
      <w:widowControl/>
      <w:pBdr>
        <w:top w:val="single" w:sz="12" w:space="0" w:color="auto"/>
        <w:left w:val="single" w:sz="8" w:space="0" w:color="auto"/>
        <w:right w:val="single" w:sz="12" w:space="0" w:color="auto"/>
      </w:pBdr>
      <w:spacing w:before="100" w:beforeAutospacing="1" w:after="100" w:afterAutospacing="1"/>
      <w:jc w:val="center"/>
    </w:pPr>
    <w:rPr>
      <w:rFonts w:ascii="仿宋_GB2312" w:eastAsia="仿宋_GB2312" w:hAnsi="宋体" w:cs="宋体"/>
      <w:kern w:val="0"/>
      <w:szCs w:val="21"/>
    </w:rPr>
  </w:style>
  <w:style w:type="paragraph" w:customStyle="1" w:styleId="52a">
    <w:name w:val="表内宋52"/>
    <w:basedOn w:val="5f9"/>
    <w:rsid w:val="009964C3"/>
    <w:pPr>
      <w:jc w:val="both"/>
    </w:pPr>
  </w:style>
  <w:style w:type="paragraph" w:customStyle="1" w:styleId="4G">
    <w:name w:val="标题4(G)"/>
    <w:basedOn w:val="43"/>
    <w:link w:val="4GCharChar0"/>
    <w:semiHidden/>
    <w:rsid w:val="009964C3"/>
    <w:pPr>
      <w:keepNext w:val="0"/>
      <w:keepLines w:val="0"/>
      <w:tabs>
        <w:tab w:val="left" w:pos="1021"/>
      </w:tabs>
      <w:spacing w:before="0" w:after="0" w:line="360" w:lineRule="auto"/>
      <w:ind w:left="1984" w:hanging="708"/>
      <w:jc w:val="left"/>
    </w:pPr>
    <w:rPr>
      <w:rFonts w:ascii="楷体" w:hAnsi="楷体"/>
      <w:b w:val="0"/>
      <w:bCs w:val="0"/>
      <w:sz w:val="24"/>
      <w:szCs w:val="24"/>
    </w:rPr>
  </w:style>
  <w:style w:type="paragraph" w:customStyle="1" w:styleId="5241">
    <w:name w:val="表内524"/>
    <w:basedOn w:val="af3"/>
    <w:rsid w:val="009964C3"/>
    <w:pPr>
      <w:adjustRightInd w:val="0"/>
      <w:snapToGrid w:val="0"/>
      <w:ind w:right="32"/>
      <w:jc w:val="center"/>
    </w:pPr>
    <w:rPr>
      <w:rFonts w:ascii="宋体"/>
      <w:color w:val="000000"/>
      <w:kern w:val="0"/>
      <w:szCs w:val="21"/>
    </w:rPr>
  </w:style>
  <w:style w:type="paragraph" w:customStyle="1" w:styleId="xl127">
    <w:name w:val="xl127"/>
    <w:basedOn w:val="af3"/>
    <w:semiHidden/>
    <w:rsid w:val="009964C3"/>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kern w:val="0"/>
      <w:sz w:val="20"/>
      <w:szCs w:val="20"/>
    </w:rPr>
  </w:style>
  <w:style w:type="paragraph" w:customStyle="1" w:styleId="55b">
    <w:name w:val="页眉中55"/>
    <w:basedOn w:val="af3"/>
    <w:rsid w:val="009964C3"/>
    <w:pPr>
      <w:adjustRightInd w:val="0"/>
      <w:snapToGrid w:val="0"/>
      <w:spacing w:line="300" w:lineRule="auto"/>
      <w:jc w:val="center"/>
    </w:pPr>
    <w:rPr>
      <w:rFonts w:ascii="黑体" w:eastAsia="黑体"/>
      <w:bCs/>
      <w:sz w:val="24"/>
      <w:szCs w:val="20"/>
    </w:rPr>
  </w:style>
  <w:style w:type="paragraph" w:customStyle="1" w:styleId="Char2CharCharCharCharCharChar">
    <w:name w:val="Char2 Char Char Char Char Char Char"/>
    <w:basedOn w:val="af3"/>
    <w:rsid w:val="009964C3"/>
  </w:style>
  <w:style w:type="paragraph" w:customStyle="1" w:styleId="xl126">
    <w:name w:val="xl126"/>
    <w:basedOn w:val="af3"/>
    <w:semiHidden/>
    <w:rsid w:val="009964C3"/>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kern w:val="0"/>
      <w:sz w:val="20"/>
      <w:szCs w:val="20"/>
    </w:rPr>
  </w:style>
  <w:style w:type="paragraph" w:customStyle="1" w:styleId="affffffffffffffffffffff5">
    <w:name w:val="编制日期"/>
    <w:basedOn w:val="af3"/>
    <w:rsid w:val="009964C3"/>
    <w:pPr>
      <w:overflowPunct w:val="0"/>
      <w:adjustRightInd w:val="0"/>
      <w:snapToGrid w:val="0"/>
      <w:spacing w:line="600" w:lineRule="exact"/>
      <w:jc w:val="center"/>
    </w:pPr>
    <w:rPr>
      <w:rFonts w:ascii="宋体" w:eastAsia="黑体" w:hAnsi="Arial"/>
      <w:bCs/>
      <w:spacing w:val="20"/>
      <w:kern w:val="0"/>
      <w:sz w:val="36"/>
      <w:szCs w:val="20"/>
    </w:rPr>
  </w:style>
  <w:style w:type="paragraph" w:customStyle="1" w:styleId="2SeHeadwsa2ChapterChapterTitle25">
    <w:name w:val="样式 标题 2SeHead wsa2ChapterChapter Title + 四号 段后: 2.5 磅 行距: ..."/>
    <w:basedOn w:val="22"/>
    <w:semiHidden/>
    <w:rsid w:val="009964C3"/>
    <w:pPr>
      <w:numPr>
        <w:ilvl w:val="1"/>
      </w:numPr>
      <w:tabs>
        <w:tab w:val="left" w:pos="576"/>
      </w:tabs>
      <w:adjustRightInd w:val="0"/>
      <w:spacing w:before="240" w:after="50" w:line="360" w:lineRule="auto"/>
      <w:ind w:left="576" w:hanging="576"/>
      <w:textAlignment w:val="baseline"/>
    </w:pPr>
    <w:rPr>
      <w:rFonts w:ascii="宋体" w:eastAsia="宋体" w:hAnsi="宋体" w:cs="宋体"/>
      <w:b w:val="0"/>
      <w:kern w:val="0"/>
      <w:sz w:val="28"/>
      <w:szCs w:val="20"/>
    </w:rPr>
  </w:style>
  <w:style w:type="paragraph" w:customStyle="1" w:styleId="448">
    <w:name w:val="标题44"/>
    <w:basedOn w:val="af3"/>
    <w:rsid w:val="009964C3"/>
    <w:pPr>
      <w:adjustRightInd w:val="0"/>
      <w:snapToGrid w:val="0"/>
      <w:spacing w:line="300" w:lineRule="auto"/>
      <w:jc w:val="left"/>
    </w:pPr>
    <w:rPr>
      <w:rFonts w:ascii="黑体" w:eastAsia="黑体"/>
      <w:bCs/>
      <w:color w:val="000000"/>
      <w:sz w:val="24"/>
    </w:rPr>
  </w:style>
  <w:style w:type="paragraph" w:customStyle="1" w:styleId="FooterRight">
    <w:name w:val="Footer Right"/>
    <w:basedOn w:val="affe"/>
    <w:semiHidden/>
    <w:rsid w:val="009964C3"/>
    <w:pPr>
      <w:pBdr>
        <w:top w:val="dashed" w:sz="4" w:space="18" w:color="7F7F7F"/>
      </w:pBdr>
      <w:tabs>
        <w:tab w:val="clear" w:pos="4153"/>
        <w:tab w:val="clear" w:pos="8306"/>
        <w:tab w:val="center" w:pos="4320"/>
        <w:tab w:val="right" w:pos="8640"/>
      </w:tabs>
      <w:snapToGrid/>
      <w:spacing w:after="200"/>
      <w:jc w:val="right"/>
    </w:pPr>
    <w:rPr>
      <w:rFonts w:ascii="Calibri" w:hAnsi="Calibri" w:cs="Times New Roman"/>
      <w:color w:val="7F7F7F"/>
      <w:sz w:val="20"/>
      <w:szCs w:val="20"/>
    </w:rPr>
  </w:style>
  <w:style w:type="paragraph" w:customStyle="1" w:styleId="125-11">
    <w:name w:val="样式 表标题12.5-1 + 段前: 1 行"/>
    <w:basedOn w:val="125-1"/>
    <w:rsid w:val="009964C3"/>
    <w:pPr>
      <w:tabs>
        <w:tab w:val="clear" w:pos="851"/>
        <w:tab w:val="left" w:pos="780"/>
      </w:tabs>
      <w:spacing w:before="240"/>
      <w:ind w:leftChars="200" w:left="780" w:hangingChars="200" w:hanging="360"/>
    </w:pPr>
  </w:style>
  <w:style w:type="paragraph" w:customStyle="1" w:styleId="titleoftable">
    <w:name w:val="title of table"/>
    <w:basedOn w:val="af3"/>
    <w:semiHidden/>
    <w:rsid w:val="009964C3"/>
    <w:pPr>
      <w:adjustRightInd w:val="0"/>
      <w:snapToGrid w:val="0"/>
      <w:spacing w:line="360" w:lineRule="auto"/>
      <w:jc w:val="center"/>
    </w:pPr>
    <w:rPr>
      <w:rFonts w:ascii="宋体" w:hAnsi="宋体"/>
      <w:b/>
      <w:snapToGrid w:val="0"/>
      <w:color w:val="000000"/>
      <w:sz w:val="24"/>
      <w:szCs w:val="20"/>
    </w:rPr>
  </w:style>
  <w:style w:type="paragraph" w:customStyle="1" w:styleId="CM9">
    <w:name w:val="CM9"/>
    <w:basedOn w:val="Default"/>
    <w:next w:val="Default"/>
    <w:semiHidden/>
    <w:rsid w:val="009964C3"/>
    <w:pPr>
      <w:spacing w:line="546" w:lineRule="atLeast"/>
    </w:pPr>
    <w:rPr>
      <w:rFonts w:ascii="仿宋_GB2312" w:eastAsia="仿宋_GB2312" w:hAnsi="Calibri" w:cs="Times New Roman"/>
      <w:color w:val="auto"/>
    </w:rPr>
  </w:style>
  <w:style w:type="paragraph" w:customStyle="1" w:styleId="affffffffffffffffffffff6">
    <w:name w:val="标准样式"/>
    <w:basedOn w:val="af3"/>
    <w:rsid w:val="009964C3"/>
    <w:pPr>
      <w:spacing w:line="600" w:lineRule="exact"/>
      <w:ind w:firstLine="567"/>
    </w:pPr>
    <w:rPr>
      <w:sz w:val="20"/>
      <w:szCs w:val="20"/>
    </w:rPr>
  </w:style>
  <w:style w:type="paragraph" w:customStyle="1" w:styleId="37">
    <w:name w:val="表标题3.7"/>
    <w:basedOn w:val="af3"/>
    <w:rsid w:val="009964C3"/>
    <w:pPr>
      <w:numPr>
        <w:numId w:val="47"/>
      </w:numPr>
      <w:tabs>
        <w:tab w:val="left" w:pos="2444"/>
        <w:tab w:val="center" w:pos="4060"/>
        <w:tab w:val="right" w:pos="8261"/>
      </w:tabs>
      <w:suppressAutoHyphens/>
      <w:adjustRightInd w:val="0"/>
      <w:spacing w:before="240" w:line="0" w:lineRule="atLeast"/>
    </w:pPr>
    <w:rPr>
      <w:rFonts w:ascii="黑体" w:eastAsia="黑体"/>
      <w:b/>
      <w:spacing w:val="6"/>
      <w:kern w:val="0"/>
      <w:sz w:val="26"/>
      <w:szCs w:val="26"/>
    </w:rPr>
  </w:style>
  <w:style w:type="paragraph" w:customStyle="1" w:styleId="affffffffffffffffffffff7">
    <w:name w:val="样式 宋体 居中"/>
    <w:basedOn w:val="af3"/>
    <w:semiHidden/>
    <w:rsid w:val="009964C3"/>
    <w:pPr>
      <w:adjustRightInd w:val="0"/>
      <w:spacing w:line="360" w:lineRule="auto"/>
      <w:jc w:val="center"/>
      <w:textAlignment w:val="baseline"/>
    </w:pPr>
    <w:rPr>
      <w:rFonts w:ascii="宋体" w:eastAsia="仿宋_GB2312" w:hAnsi="宋体"/>
      <w:kern w:val="21"/>
      <w:sz w:val="24"/>
      <w:szCs w:val="20"/>
    </w:rPr>
  </w:style>
  <w:style w:type="paragraph" w:customStyle="1" w:styleId="Affffffffffffffffffffff8">
    <w:name w:val="A二级条标题"/>
    <w:basedOn w:val="Affffffffffffffffffffff9"/>
    <w:next w:val="af3"/>
    <w:semiHidden/>
    <w:rsid w:val="009964C3"/>
    <w:pPr>
      <w:ind w:left="735"/>
      <w:outlineLvl w:val="3"/>
    </w:pPr>
  </w:style>
  <w:style w:type="paragraph" w:customStyle="1" w:styleId="xl99">
    <w:name w:val="xl99"/>
    <w:basedOn w:val="af3"/>
    <w:rsid w:val="009964C3"/>
    <w:pPr>
      <w:widowControl/>
      <w:pBdr>
        <w:top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2223">
    <w:name w:val="样式 正文首行缩进 2 + 左侧:  2 字符 首行缩进:  2 字符 +"/>
    <w:basedOn w:val="2224"/>
    <w:semiHidden/>
    <w:rsid w:val="009964C3"/>
    <w:pPr>
      <w:snapToGrid/>
      <w:spacing w:beforeLines="0"/>
      <w:ind w:firstLine="0"/>
    </w:pPr>
    <w:rPr>
      <w:rFonts w:cs="Times New Roman"/>
      <w:sz w:val="28"/>
      <w:szCs w:val="24"/>
    </w:rPr>
  </w:style>
  <w:style w:type="paragraph" w:customStyle="1" w:styleId="1142">
    <w:name w:val="表题114"/>
    <w:basedOn w:val="afffffff4"/>
    <w:rsid w:val="009964C3"/>
    <w:pPr>
      <w:tabs>
        <w:tab w:val="clear" w:pos="4305"/>
      </w:tabs>
      <w:spacing w:line="240" w:lineRule="auto"/>
      <w:ind w:firstLine="0"/>
      <w:jc w:val="center"/>
    </w:pPr>
    <w:rPr>
      <w:rFonts w:ascii="黑体" w:eastAsia="黑体" w:hAnsi="Times" w:cs="Times New Roman"/>
    </w:rPr>
  </w:style>
  <w:style w:type="paragraph" w:customStyle="1" w:styleId="2224">
    <w:name w:val="正文首行缩进 2 + 左侧:  2 字符 首行缩进:  2 字符"/>
    <w:basedOn w:val="af3"/>
    <w:semiHidden/>
    <w:rsid w:val="009964C3"/>
    <w:pPr>
      <w:snapToGrid w:val="0"/>
      <w:spacing w:beforeLines="50"/>
      <w:ind w:firstLine="561"/>
    </w:pPr>
    <w:rPr>
      <w:rFonts w:cs="宋体"/>
      <w:sz w:val="24"/>
      <w:szCs w:val="20"/>
    </w:rPr>
  </w:style>
  <w:style w:type="paragraph" w:customStyle="1" w:styleId="affffffffffffffffffffffa">
    <w:name w:val="－正文"/>
    <w:basedOn w:val="af3"/>
    <w:rsid w:val="009964C3"/>
    <w:pPr>
      <w:spacing w:line="360" w:lineRule="auto"/>
      <w:ind w:firstLineChars="200" w:firstLine="200"/>
    </w:pPr>
    <w:rPr>
      <w:sz w:val="24"/>
      <w:szCs w:val="20"/>
    </w:rPr>
  </w:style>
  <w:style w:type="paragraph" w:customStyle="1" w:styleId="CUCD-10">
    <w:name w:val="CUCD-1"/>
    <w:next w:val="CUCD-00"/>
    <w:semiHidden/>
    <w:rsid w:val="009964C3"/>
    <w:pPr>
      <w:pageBreakBefore/>
      <w:spacing w:beforeLines="50" w:afterLines="50"/>
      <w:ind w:left="432" w:hanging="432"/>
      <w:jc w:val="center"/>
      <w:outlineLvl w:val="0"/>
    </w:pPr>
    <w:rPr>
      <w:rFonts w:ascii="Arial" w:eastAsia="黑体" w:hAnsi="Arial"/>
      <w:b/>
      <w:kern w:val="2"/>
      <w:sz w:val="32"/>
      <w:szCs w:val="21"/>
    </w:rPr>
  </w:style>
  <w:style w:type="paragraph" w:customStyle="1" w:styleId="xl74">
    <w:name w:val="xl74"/>
    <w:basedOn w:val="af3"/>
    <w:qFormat/>
    <w:rsid w:val="009964C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affffffffffffffffffffffb">
    <w:name w:val="章"/>
    <w:basedOn w:val="af3"/>
    <w:next w:val="af3"/>
    <w:semiHidden/>
    <w:rsid w:val="009964C3"/>
    <w:pPr>
      <w:pageBreakBefore/>
      <w:tabs>
        <w:tab w:val="left" w:pos="720"/>
      </w:tabs>
      <w:spacing w:before="360" w:line="360" w:lineRule="auto"/>
      <w:ind w:left="720" w:hanging="360"/>
      <w:jc w:val="center"/>
      <w:outlineLvl w:val="0"/>
    </w:pPr>
    <w:rPr>
      <w:rFonts w:ascii="宋体"/>
      <w:b/>
      <w:sz w:val="28"/>
      <w:szCs w:val="20"/>
    </w:rPr>
  </w:style>
  <w:style w:type="paragraph" w:customStyle="1" w:styleId="xl30">
    <w:name w:val="xl30"/>
    <w:basedOn w:val="af3"/>
    <w:rsid w:val="009964C3"/>
    <w:pPr>
      <w:widowControl/>
      <w:pBdr>
        <w:left w:val="single" w:sz="12" w:space="0" w:color="auto"/>
        <w:bottom w:val="single" w:sz="8" w:space="0" w:color="auto"/>
        <w:right w:val="single" w:sz="8" w:space="0" w:color="auto"/>
      </w:pBdr>
      <w:spacing w:before="100" w:beforeAutospacing="1" w:after="100" w:afterAutospacing="1"/>
      <w:jc w:val="center"/>
    </w:pPr>
    <w:rPr>
      <w:kern w:val="0"/>
      <w:szCs w:val="21"/>
    </w:rPr>
  </w:style>
  <w:style w:type="paragraph" w:customStyle="1" w:styleId="affffffffffffffffffffffc">
    <w:name w:val="正文（我的报告）"/>
    <w:basedOn w:val="af3"/>
    <w:semiHidden/>
    <w:rsid w:val="009964C3"/>
    <w:pPr>
      <w:adjustRightInd w:val="0"/>
      <w:snapToGrid w:val="0"/>
      <w:spacing w:line="360" w:lineRule="auto"/>
      <w:ind w:firstLineChars="200" w:firstLine="480"/>
    </w:pPr>
    <w:rPr>
      <w:rFonts w:eastAsia="仿宋_GB2312"/>
      <w:sz w:val="24"/>
      <w:szCs w:val="28"/>
    </w:rPr>
  </w:style>
  <w:style w:type="paragraph" w:customStyle="1" w:styleId="1f6">
    <w:name w:val="正缩1"/>
    <w:basedOn w:val="af3"/>
    <w:link w:val="1Charf"/>
    <w:semiHidden/>
    <w:rsid w:val="009964C3"/>
    <w:pPr>
      <w:widowControl/>
      <w:snapToGrid w:val="0"/>
      <w:spacing w:line="500" w:lineRule="exact"/>
      <w:ind w:firstLine="567"/>
    </w:pPr>
    <w:rPr>
      <w:rFonts w:ascii="仿宋_GB2312" w:eastAsia="仿宋_GB2312" w:hAnsi="Arial"/>
      <w:snapToGrid w:val="0"/>
      <w:color w:val="000000"/>
      <w:kern w:val="20"/>
      <w:sz w:val="28"/>
      <w:szCs w:val="20"/>
    </w:rPr>
  </w:style>
  <w:style w:type="paragraph" w:customStyle="1" w:styleId="Char1Char1">
    <w:name w:val="Char1 Char1"/>
    <w:basedOn w:val="af3"/>
    <w:next w:val="af3"/>
    <w:semiHidden/>
    <w:rsid w:val="009964C3"/>
    <w:pPr>
      <w:keepNext/>
      <w:keepLines/>
      <w:tabs>
        <w:tab w:val="left" w:pos="-63"/>
        <w:tab w:val="left" w:pos="900"/>
      </w:tabs>
      <w:ind w:left="-63" w:firstLine="538"/>
      <w:outlineLvl w:val="3"/>
    </w:pPr>
    <w:rPr>
      <w:rFonts w:ascii="Arial" w:hAnsi="Arial"/>
      <w:bCs/>
    </w:rPr>
  </w:style>
  <w:style w:type="paragraph" w:customStyle="1" w:styleId="CM86">
    <w:name w:val="CM86"/>
    <w:basedOn w:val="Default"/>
    <w:next w:val="Default"/>
    <w:semiHidden/>
    <w:rsid w:val="009964C3"/>
    <w:pPr>
      <w:spacing w:after="80"/>
    </w:pPr>
    <w:rPr>
      <w:color w:val="auto"/>
    </w:rPr>
  </w:style>
  <w:style w:type="paragraph" w:customStyle="1" w:styleId="aff4">
    <w:name w:val="江正文"/>
    <w:basedOn w:val="af3"/>
    <w:link w:val="Char2"/>
    <w:semiHidden/>
    <w:rsid w:val="009964C3"/>
    <w:pPr>
      <w:spacing w:line="440" w:lineRule="exact"/>
      <w:ind w:firstLineChars="200" w:firstLine="200"/>
    </w:pPr>
    <w:rPr>
      <w:kern w:val="0"/>
      <w:sz w:val="24"/>
      <w:szCs w:val="28"/>
    </w:rPr>
  </w:style>
  <w:style w:type="paragraph" w:customStyle="1" w:styleId="1311">
    <w:name w:val="页眉中131"/>
    <w:basedOn w:val="af3"/>
    <w:rsid w:val="009964C3"/>
    <w:pPr>
      <w:adjustRightInd w:val="0"/>
      <w:snapToGrid w:val="0"/>
      <w:spacing w:line="300" w:lineRule="auto"/>
      <w:jc w:val="left"/>
    </w:pPr>
    <w:rPr>
      <w:rFonts w:ascii="黑体" w:eastAsia="黑体"/>
      <w:bCs/>
      <w:sz w:val="24"/>
      <w:szCs w:val="20"/>
    </w:rPr>
  </w:style>
  <w:style w:type="paragraph" w:customStyle="1" w:styleId="1ffffe">
    <w:name w:val="正文修改1"/>
    <w:basedOn w:val="affffffffb"/>
    <w:rsid w:val="009964C3"/>
    <w:pPr>
      <w:ind w:rightChars="100" w:right="210" w:firstLineChars="87" w:firstLine="209"/>
    </w:pPr>
    <w:rPr>
      <w:rFonts w:cs="Times New Roman"/>
      <w:bCs w:val="0"/>
    </w:rPr>
  </w:style>
  <w:style w:type="paragraph" w:customStyle="1" w:styleId="315TimesNewRoman">
    <w:name w:val="样式 标题 3四号宋体左齐行距1.5倍 + Times New Roman"/>
    <w:basedOn w:val="31"/>
    <w:semiHidden/>
    <w:rsid w:val="009964C3"/>
    <w:pPr>
      <w:keepNext w:val="0"/>
      <w:keepLines w:val="0"/>
      <w:numPr>
        <w:ilvl w:val="2"/>
      </w:numPr>
      <w:tabs>
        <w:tab w:val="left" w:pos="720"/>
      </w:tabs>
      <w:spacing w:beforeLines="30" w:afterLines="20" w:line="240" w:lineRule="auto"/>
      <w:ind w:left="720" w:hanging="720"/>
      <w:jc w:val="left"/>
    </w:pPr>
    <w:rPr>
      <w:rFonts w:eastAsia="黑体"/>
      <w:kern w:val="0"/>
      <w:sz w:val="28"/>
      <w:szCs w:val="24"/>
    </w:rPr>
  </w:style>
  <w:style w:type="paragraph" w:customStyle="1" w:styleId="ST2045">
    <w:name w:val="ST20_45"/>
    <w:basedOn w:val="ST2020"/>
    <w:rsid w:val="009964C3"/>
    <w:pPr>
      <w:ind w:left="2160"/>
    </w:pPr>
  </w:style>
  <w:style w:type="paragraph" w:customStyle="1" w:styleId="1fffff">
    <w:name w:val="待核实小1"/>
    <w:basedOn w:val="affffffffff"/>
    <w:rsid w:val="009964C3"/>
    <w:rPr>
      <w:rFonts w:cs="Times New Roman"/>
      <w:color w:val="000080"/>
      <w:sz w:val="21"/>
    </w:rPr>
  </w:style>
  <w:style w:type="paragraph" w:customStyle="1" w:styleId="51c">
    <w:name w:val="表内小51"/>
    <w:basedOn w:val="af3"/>
    <w:rsid w:val="009964C3"/>
    <w:pPr>
      <w:adjustRightInd w:val="0"/>
      <w:snapToGrid w:val="0"/>
      <w:spacing w:line="300" w:lineRule="auto"/>
    </w:pPr>
    <w:rPr>
      <w:rFonts w:ascii="宋体" w:hAnsi="宋体"/>
      <w:sz w:val="18"/>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13"/>
    <w:semiHidden/>
    <w:rsid w:val="009964C3"/>
    <w:pPr>
      <w:pageBreakBefore/>
      <w:tabs>
        <w:tab w:val="left" w:pos="1021"/>
        <w:tab w:val="left" w:pos="4380"/>
      </w:tabs>
      <w:snapToGrid w:val="0"/>
      <w:spacing w:before="240" w:after="120" w:line="348" w:lineRule="auto"/>
      <w:ind w:left="3372" w:hanging="432"/>
      <w:jc w:val="center"/>
    </w:pPr>
    <w:rPr>
      <w:rFonts w:ascii="Tahoma" w:hAnsi="Tahoma"/>
      <w:kern w:val="2"/>
      <w:sz w:val="24"/>
      <w:szCs w:val="20"/>
    </w:rPr>
  </w:style>
  <w:style w:type="paragraph" w:customStyle="1" w:styleId="4ff3">
    <w:name w:val="样式 标题 4 + 五号"/>
    <w:basedOn w:val="43"/>
    <w:semiHidden/>
    <w:rsid w:val="009964C3"/>
    <w:pPr>
      <w:tabs>
        <w:tab w:val="left" w:pos="2945"/>
      </w:tabs>
      <w:adjustRightInd w:val="0"/>
      <w:snapToGrid w:val="0"/>
      <w:spacing w:before="0" w:after="0" w:line="360" w:lineRule="auto"/>
      <w:ind w:left="862" w:hanging="862"/>
    </w:pPr>
    <w:rPr>
      <w:rFonts w:ascii="Times New Roman" w:eastAsia="宋体" w:hAnsi="Times New Roman"/>
      <w:b w:val="0"/>
      <w:sz w:val="24"/>
    </w:rPr>
  </w:style>
  <w:style w:type="paragraph" w:customStyle="1" w:styleId="439">
    <w:name w:val="表内小43"/>
    <w:basedOn w:val="affffffffff"/>
    <w:rsid w:val="009964C3"/>
    <w:pPr>
      <w:ind w:left="240" w:hanging="240"/>
      <w:jc w:val="both"/>
    </w:pPr>
    <w:rPr>
      <w:rFonts w:cs="Times New Roman"/>
    </w:rPr>
  </w:style>
  <w:style w:type="paragraph" w:customStyle="1" w:styleId="CM83">
    <w:name w:val="CM83"/>
    <w:basedOn w:val="Default"/>
    <w:next w:val="Default"/>
    <w:semiHidden/>
    <w:rsid w:val="009964C3"/>
    <w:pPr>
      <w:spacing w:after="723"/>
    </w:pPr>
    <w:rPr>
      <w:color w:val="auto"/>
    </w:rPr>
  </w:style>
  <w:style w:type="paragraph" w:customStyle="1" w:styleId="1113">
    <w:name w:val="三级标题1.1.1"/>
    <w:basedOn w:val="af3"/>
    <w:rsid w:val="009964C3"/>
    <w:pPr>
      <w:spacing w:before="80" w:after="80" w:line="360" w:lineRule="auto"/>
      <w:outlineLvl w:val="2"/>
    </w:pPr>
    <w:rPr>
      <w:rFonts w:eastAsia="黑体" w:cs="宋体"/>
      <w:b/>
      <w:bCs/>
      <w:sz w:val="28"/>
      <w:szCs w:val="20"/>
    </w:rPr>
  </w:style>
  <w:style w:type="paragraph" w:customStyle="1" w:styleId="CharCharCharCharCharCharCharCharCharChar2">
    <w:name w:val="Char Char Char Char Char Char Char Char Char Char2"/>
    <w:basedOn w:val="af3"/>
    <w:rsid w:val="009964C3"/>
  </w:style>
  <w:style w:type="paragraph" w:customStyle="1" w:styleId="CR-0">
    <w:name w:val="CR-表正文"/>
    <w:basedOn w:val="cucd-TB"/>
    <w:link w:val="CR-Char0"/>
    <w:semiHidden/>
    <w:rsid w:val="009964C3"/>
    <w:pPr>
      <w:spacing w:line="240" w:lineRule="auto"/>
    </w:pPr>
    <w:rPr>
      <w:rFonts w:ascii="Arial" w:eastAsia="黑体" w:hAnsi="Arial"/>
      <w:kern w:val="20"/>
      <w:szCs w:val="21"/>
    </w:rPr>
  </w:style>
  <w:style w:type="paragraph" w:customStyle="1" w:styleId="1fffff0">
    <w:name w:val="报告封面标题1"/>
    <w:basedOn w:val="afff"/>
    <w:next w:val="af3"/>
    <w:rsid w:val="009964C3"/>
    <w:pPr>
      <w:spacing w:beforeLines="100" w:after="0"/>
    </w:pPr>
    <w:rPr>
      <w:b/>
      <w:bCs/>
      <w:sz w:val="48"/>
      <w:szCs w:val="20"/>
    </w:rPr>
  </w:style>
  <w:style w:type="paragraph" w:customStyle="1" w:styleId="Char1Char1CharCharCha">
    <w:name w:val="样式 正文缩进正文缩进 Char正文缩进1 Char正文缩进1正文（首行缩进两字） Char正文缩进 Char Cha..."/>
    <w:basedOn w:val="af4"/>
    <w:semiHidden/>
    <w:rsid w:val="009964C3"/>
    <w:pPr>
      <w:widowControl/>
      <w:spacing w:beforeLines="50" w:after="200" w:line="360" w:lineRule="auto"/>
      <w:ind w:firstLineChars="0" w:firstLine="567"/>
      <w:jc w:val="left"/>
    </w:pPr>
    <w:rPr>
      <w:rFonts w:ascii="Cambria" w:hAnsi="Cambria" w:cs="宋体"/>
      <w:kern w:val="0"/>
      <w:sz w:val="24"/>
      <w:szCs w:val="20"/>
      <w:lang w:eastAsia="en-US" w:bidi="en-US"/>
    </w:rPr>
  </w:style>
  <w:style w:type="paragraph" w:customStyle="1" w:styleId="332">
    <w:name w:val="页眉中33"/>
    <w:basedOn w:val="4a"/>
    <w:qFormat/>
    <w:rsid w:val="009964C3"/>
    <w:pPr>
      <w:snapToGrid w:val="0"/>
      <w:spacing w:line="300" w:lineRule="auto"/>
      <w:textAlignment w:val="auto"/>
    </w:pPr>
    <w:rPr>
      <w:rFonts w:ascii="黑体" w:eastAsia="黑体" w:hAnsi="宋体"/>
    </w:rPr>
  </w:style>
  <w:style w:type="paragraph" w:customStyle="1" w:styleId="014">
    <w:name w:val="表格标题01"/>
    <w:basedOn w:val="af3"/>
    <w:semiHidden/>
    <w:rsid w:val="009964C3"/>
    <w:pPr>
      <w:overflowPunct w:val="0"/>
      <w:autoSpaceDE w:val="0"/>
      <w:autoSpaceDN w:val="0"/>
      <w:adjustRightInd w:val="0"/>
      <w:spacing w:line="480" w:lineRule="exact"/>
      <w:jc w:val="center"/>
      <w:textAlignment w:val="baseline"/>
    </w:pPr>
    <w:rPr>
      <w:rFonts w:eastAsia="仿宋_GB2312"/>
      <w:snapToGrid w:val="0"/>
      <w:kern w:val="0"/>
      <w:sz w:val="28"/>
      <w:szCs w:val="28"/>
    </w:rPr>
  </w:style>
  <w:style w:type="paragraph" w:customStyle="1" w:styleId="3520">
    <w:name w:val="样式 燕山正文 + 首行缩进:  3.5 字符2"/>
    <w:basedOn w:val="af3"/>
    <w:rsid w:val="009964C3"/>
    <w:pPr>
      <w:tabs>
        <w:tab w:val="left" w:pos="4680"/>
      </w:tabs>
      <w:adjustRightInd w:val="0"/>
      <w:snapToGrid w:val="0"/>
      <w:spacing w:line="360" w:lineRule="auto"/>
      <w:ind w:firstLineChars="200" w:firstLine="200"/>
    </w:pPr>
    <w:rPr>
      <w:rFonts w:ascii="宋体" w:hAnsi="宋体" w:cs="宋体"/>
      <w:color w:val="000000"/>
      <w:sz w:val="28"/>
      <w:szCs w:val="20"/>
    </w:rPr>
  </w:style>
  <w:style w:type="paragraph" w:customStyle="1" w:styleId="CR-">
    <w:name w:val="CR-图表正文"/>
    <w:basedOn w:val="cucd-TB"/>
    <w:link w:val="CR-Char"/>
    <w:semiHidden/>
    <w:rsid w:val="009964C3"/>
    <w:pPr>
      <w:spacing w:line="240" w:lineRule="auto"/>
    </w:pPr>
    <w:rPr>
      <w:rFonts w:ascii="Arial" w:eastAsia="黑体" w:hAnsi="Arial"/>
      <w:kern w:val="20"/>
      <w:szCs w:val="21"/>
    </w:rPr>
  </w:style>
  <w:style w:type="paragraph" w:customStyle="1" w:styleId="affffffffffffffffffffffd">
    <w:name w:val="表中文字中修改"/>
    <w:basedOn w:val="affffffffffffa"/>
    <w:rsid w:val="009964C3"/>
    <w:pPr>
      <w:adjustRightInd w:val="0"/>
    </w:pPr>
    <w:rPr>
      <w:color w:val="000000"/>
    </w:rPr>
  </w:style>
  <w:style w:type="paragraph" w:customStyle="1" w:styleId="11123">
    <w:name w:val="1.1.123级"/>
    <w:basedOn w:val="af3"/>
    <w:link w:val="11123CharChar"/>
    <w:semiHidden/>
    <w:rsid w:val="009964C3"/>
    <w:pPr>
      <w:outlineLvl w:val="2"/>
    </w:pPr>
    <w:rPr>
      <w:rFonts w:ascii="楷体_GB2312" w:eastAsia="楷体_GB2312" w:hAnsi="宋体"/>
      <w:b/>
      <w:bCs/>
      <w:sz w:val="28"/>
      <w:szCs w:val="28"/>
    </w:rPr>
  </w:style>
  <w:style w:type="paragraph" w:customStyle="1" w:styleId="xl123">
    <w:name w:val="xl123"/>
    <w:basedOn w:val="af3"/>
    <w:semiHidden/>
    <w:rsid w:val="009964C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kern w:val="0"/>
      <w:sz w:val="20"/>
      <w:szCs w:val="20"/>
    </w:rPr>
  </w:style>
  <w:style w:type="paragraph" w:customStyle="1" w:styleId="3ffe">
    <w:name w:val="等核实3"/>
    <w:basedOn w:val="afffffff4"/>
    <w:rsid w:val="009964C3"/>
    <w:pPr>
      <w:ind w:firstLineChars="200" w:firstLine="480"/>
    </w:pPr>
    <w:rPr>
      <w:rFonts w:cs="Times New Roman"/>
      <w:color w:val="0000FF"/>
      <w:szCs w:val="20"/>
    </w:rPr>
  </w:style>
  <w:style w:type="paragraph" w:customStyle="1" w:styleId="CharCharChar1Char">
    <w:name w:val="Char Char Char1 Char"/>
    <w:basedOn w:val="af3"/>
    <w:semiHidden/>
    <w:rsid w:val="009964C3"/>
  </w:style>
  <w:style w:type="paragraph" w:customStyle="1" w:styleId="affffffffffffffffffffffe">
    <w:name w:val="注意"/>
    <w:basedOn w:val="af3"/>
    <w:rsid w:val="009964C3"/>
    <w:pPr>
      <w:ind w:firstLine="200"/>
    </w:pPr>
    <w:rPr>
      <w:rFonts w:ascii="宋体" w:eastAsia="楷体_GB2312" w:hAnsi="宋体"/>
      <w:color w:val="000000"/>
    </w:rPr>
  </w:style>
  <w:style w:type="paragraph" w:customStyle="1" w:styleId="point">
    <w:name w:val="_point"/>
    <w:rsid w:val="009964C3"/>
    <w:pPr>
      <w:ind w:left="1418" w:hanging="284"/>
      <w:jc w:val="both"/>
    </w:pPr>
    <w:rPr>
      <w:sz w:val="24"/>
      <w:lang w:val="fr-FR"/>
    </w:rPr>
  </w:style>
  <w:style w:type="paragraph" w:customStyle="1" w:styleId="12b">
    <w:name w:val="条(三级)12"/>
    <w:basedOn w:val="af3"/>
    <w:next w:val="af3"/>
    <w:rsid w:val="009964C3"/>
    <w:pPr>
      <w:keepNext/>
      <w:keepLines/>
      <w:adjustRightInd w:val="0"/>
      <w:snapToGrid w:val="0"/>
      <w:spacing w:line="460" w:lineRule="exact"/>
      <w:textAlignment w:val="baseline"/>
    </w:pPr>
    <w:rPr>
      <w:rFonts w:hAnsi="Arial"/>
      <w:spacing w:val="3"/>
      <w:kern w:val="24"/>
      <w:sz w:val="18"/>
      <w:szCs w:val="20"/>
    </w:rPr>
  </w:style>
  <w:style w:type="paragraph" w:customStyle="1" w:styleId="3fff">
    <w:name w:val="洋3"/>
    <w:basedOn w:val="31"/>
    <w:next w:val="af3"/>
    <w:rsid w:val="009964C3"/>
    <w:pPr>
      <w:spacing w:before="100" w:beforeAutospacing="1" w:after="100" w:afterAutospacing="1" w:line="360" w:lineRule="auto"/>
    </w:pPr>
    <w:rPr>
      <w:bCs w:val="0"/>
      <w:sz w:val="24"/>
      <w:szCs w:val="20"/>
    </w:rPr>
  </w:style>
  <w:style w:type="paragraph" w:customStyle="1" w:styleId="CharChar1CharCharCharCharCharCharCharCharCharCharCharCharCharCharCharCharCharChar">
    <w:name w:val="Char Char1 Char Char Char Char Char Char Char Char Char Char Char Char Char Char Char Char Char Char"/>
    <w:basedOn w:val="af3"/>
    <w:semiHidden/>
    <w:rsid w:val="009964C3"/>
    <w:pPr>
      <w:spacing w:line="360" w:lineRule="auto"/>
      <w:ind w:firstLineChars="200" w:firstLine="200"/>
    </w:pPr>
    <w:rPr>
      <w:rFonts w:ascii="宋体" w:hAnsi="宋体" w:cs="宋体"/>
      <w:sz w:val="24"/>
    </w:rPr>
  </w:style>
  <w:style w:type="paragraph" w:customStyle="1" w:styleId="651">
    <w:name w:val="表题65"/>
    <w:basedOn w:val="afffffff4"/>
    <w:qFormat/>
    <w:rsid w:val="009964C3"/>
    <w:pPr>
      <w:spacing w:line="240" w:lineRule="auto"/>
      <w:ind w:firstLineChars="200" w:firstLine="480"/>
      <w:jc w:val="center"/>
    </w:pPr>
    <w:rPr>
      <w:rFonts w:ascii="黑体" w:eastAsia="黑体" w:cs="Times New Roman"/>
      <w:color w:val="auto"/>
      <w:szCs w:val="20"/>
    </w:rPr>
  </w:style>
  <w:style w:type="paragraph" w:customStyle="1" w:styleId="5370">
    <w:name w:val="表内537"/>
    <w:basedOn w:val="af3"/>
    <w:rsid w:val="009964C3"/>
    <w:pPr>
      <w:adjustRightInd w:val="0"/>
      <w:snapToGrid w:val="0"/>
      <w:spacing w:line="300" w:lineRule="auto"/>
      <w:jc w:val="left"/>
    </w:pPr>
    <w:rPr>
      <w:rFonts w:ascii="宋体"/>
      <w:szCs w:val="20"/>
    </w:rPr>
  </w:style>
  <w:style w:type="paragraph" w:customStyle="1" w:styleId="CharChar2CharChar1">
    <w:name w:val="Char Char2 Char Char1"/>
    <w:basedOn w:val="af3"/>
    <w:semiHidden/>
    <w:rsid w:val="009964C3"/>
  </w:style>
  <w:style w:type="paragraph" w:customStyle="1" w:styleId="afffffffffffffffffffffff">
    <w:name w:val="居中表内文"/>
    <w:basedOn w:val="af3"/>
    <w:semiHidden/>
    <w:rsid w:val="009964C3"/>
    <w:pPr>
      <w:jc w:val="center"/>
    </w:pPr>
    <w:rPr>
      <w:rFonts w:cs="宋体"/>
      <w:szCs w:val="21"/>
    </w:rPr>
  </w:style>
  <w:style w:type="paragraph" w:customStyle="1" w:styleId="2150">
    <w:name w:val="样式 首行缩进:  2 字符 行距: 1.5 倍行距"/>
    <w:basedOn w:val="af3"/>
    <w:rsid w:val="009964C3"/>
    <w:pPr>
      <w:spacing w:line="440" w:lineRule="exact"/>
      <w:ind w:firstLineChars="200" w:firstLine="200"/>
    </w:pPr>
    <w:rPr>
      <w:sz w:val="24"/>
      <w:szCs w:val="20"/>
    </w:rPr>
  </w:style>
  <w:style w:type="paragraph" w:customStyle="1" w:styleId="031">
    <w:name w:val="0列表3"/>
    <w:basedOn w:val="3fff0"/>
    <w:semiHidden/>
    <w:rsid w:val="009964C3"/>
    <w:pPr>
      <w:ind w:firstLine="561"/>
    </w:pPr>
  </w:style>
  <w:style w:type="paragraph" w:customStyle="1" w:styleId="2051">
    <w:name w:val="样式 标题 2 + 段后: 0.5 行1"/>
    <w:basedOn w:val="22"/>
    <w:rsid w:val="009964C3"/>
    <w:pPr>
      <w:widowControl/>
      <w:autoSpaceDN w:val="0"/>
      <w:adjustRightInd w:val="0"/>
      <w:snapToGrid w:val="0"/>
      <w:spacing w:before="120" w:after="0" w:line="360" w:lineRule="auto"/>
      <w:jc w:val="left"/>
      <w:textAlignment w:val="baseline"/>
    </w:pPr>
    <w:rPr>
      <w:rFonts w:ascii="黑体" w:cs="宋体"/>
      <w:b w:val="0"/>
      <w:bCs w:val="0"/>
      <w:kern w:val="0"/>
      <w:sz w:val="30"/>
      <w:szCs w:val="30"/>
    </w:rPr>
  </w:style>
  <w:style w:type="paragraph" w:customStyle="1" w:styleId="TY">
    <w:name w:val="TY"/>
    <w:basedOn w:val="af3"/>
    <w:semiHidden/>
    <w:rsid w:val="009964C3"/>
    <w:pPr>
      <w:adjustRightInd w:val="0"/>
      <w:snapToGrid w:val="0"/>
      <w:spacing w:before="40" w:after="40"/>
    </w:pPr>
    <w:rPr>
      <w:szCs w:val="20"/>
    </w:rPr>
  </w:style>
  <w:style w:type="paragraph" w:customStyle="1" w:styleId="41a">
    <w:name w:val="样式 标题 4 + 黑体 小四1"/>
    <w:basedOn w:val="43"/>
    <w:rsid w:val="009964C3"/>
    <w:pPr>
      <w:keepNext w:val="0"/>
      <w:keepLines w:val="0"/>
      <w:adjustRightInd w:val="0"/>
      <w:snapToGrid w:val="0"/>
      <w:spacing w:before="0" w:after="0" w:line="480" w:lineRule="exact"/>
    </w:pPr>
    <w:rPr>
      <w:rFonts w:ascii="Times New Roman" w:hAnsi="黑体"/>
      <w:sz w:val="24"/>
    </w:rPr>
  </w:style>
  <w:style w:type="paragraph" w:customStyle="1" w:styleId="unnamed1">
    <w:name w:val="unnamed1"/>
    <w:basedOn w:val="af3"/>
    <w:rsid w:val="009964C3"/>
    <w:pPr>
      <w:widowControl/>
      <w:spacing w:before="100" w:beforeAutospacing="1" w:after="100" w:afterAutospacing="1"/>
      <w:jc w:val="left"/>
    </w:pPr>
    <w:rPr>
      <w:rFonts w:ascii="宋体" w:hAnsi="宋体" w:cs="宋体"/>
      <w:kern w:val="0"/>
      <w:sz w:val="18"/>
      <w:szCs w:val="18"/>
    </w:rPr>
  </w:style>
  <w:style w:type="paragraph" w:customStyle="1" w:styleId="5ff9">
    <w:name w:val="表内文字边5"/>
    <w:basedOn w:val="affffffffffffa"/>
    <w:rsid w:val="009964C3"/>
    <w:pPr>
      <w:adjustRightInd w:val="0"/>
      <w:snapToGrid w:val="0"/>
      <w:jc w:val="both"/>
    </w:pPr>
  </w:style>
  <w:style w:type="paragraph" w:customStyle="1" w:styleId="CM67">
    <w:name w:val="CM67"/>
    <w:basedOn w:val="Default"/>
    <w:next w:val="Default"/>
    <w:semiHidden/>
    <w:rsid w:val="009964C3"/>
    <w:rPr>
      <w:rFonts w:ascii="黑体" w:eastAsia="黑体" w:hAnsi="Calibri" w:cs="Times New Roman"/>
      <w:color w:val="auto"/>
    </w:rPr>
  </w:style>
  <w:style w:type="paragraph" w:customStyle="1" w:styleId="19">
    <w:name w:val="标标题1.9"/>
    <w:basedOn w:val="af3"/>
    <w:qFormat/>
    <w:rsid w:val="009964C3"/>
    <w:pPr>
      <w:numPr>
        <w:numId w:val="48"/>
      </w:numPr>
      <w:tabs>
        <w:tab w:val="left" w:pos="3780"/>
        <w:tab w:val="center" w:pos="4060"/>
        <w:tab w:val="right" w:pos="8261"/>
      </w:tabs>
      <w:suppressAutoHyphens/>
      <w:adjustRightInd w:val="0"/>
      <w:spacing w:before="240" w:line="0" w:lineRule="atLeast"/>
      <w:jc w:val="center"/>
    </w:pPr>
    <w:rPr>
      <w:rFonts w:ascii="黑体" w:eastAsia="黑体"/>
      <w:b/>
      <w:spacing w:val="6"/>
      <w:kern w:val="0"/>
      <w:sz w:val="26"/>
      <w:szCs w:val="26"/>
    </w:rPr>
  </w:style>
  <w:style w:type="paragraph" w:customStyle="1" w:styleId="afffffffffffffffffffffff0">
    <w:name w:val="表、图名"/>
    <w:basedOn w:val="af3"/>
    <w:rsid w:val="009964C3"/>
    <w:pPr>
      <w:adjustRightInd w:val="0"/>
      <w:snapToGrid w:val="0"/>
      <w:spacing w:line="312" w:lineRule="atLeast"/>
      <w:jc w:val="center"/>
    </w:pPr>
    <w:rPr>
      <w:rFonts w:ascii="宋体" w:hAnsi="宋体"/>
      <w:sz w:val="24"/>
    </w:rPr>
  </w:style>
  <w:style w:type="paragraph" w:customStyle="1" w:styleId="xl25">
    <w:name w:val="xl25"/>
    <w:basedOn w:val="af3"/>
    <w:rsid w:val="009964C3"/>
    <w:pPr>
      <w:widowControl/>
      <w:pBdr>
        <w:bottom w:val="single" w:sz="8" w:space="0" w:color="auto"/>
        <w:right w:val="single" w:sz="12" w:space="0" w:color="auto"/>
      </w:pBdr>
      <w:spacing w:before="100" w:beforeAutospacing="1" w:after="100" w:afterAutospacing="1"/>
      <w:jc w:val="center"/>
    </w:pPr>
    <w:rPr>
      <w:kern w:val="0"/>
      <w:szCs w:val="21"/>
    </w:rPr>
  </w:style>
  <w:style w:type="paragraph" w:customStyle="1" w:styleId="52b">
    <w:name w:val="表内宋5中2"/>
    <w:basedOn w:val="af3"/>
    <w:rsid w:val="009964C3"/>
    <w:pPr>
      <w:adjustRightInd w:val="0"/>
      <w:snapToGrid w:val="0"/>
      <w:jc w:val="center"/>
      <w:textAlignment w:val="baseline"/>
    </w:pPr>
    <w:rPr>
      <w:rFonts w:ascii="宋体" w:hAnsi="宋体"/>
      <w:kern w:val="0"/>
      <w:szCs w:val="20"/>
    </w:rPr>
  </w:style>
  <w:style w:type="paragraph" w:customStyle="1" w:styleId="4ff4">
    <w:name w:val="4"/>
    <w:basedOn w:val="af3"/>
    <w:next w:val="affffffffff5"/>
    <w:semiHidden/>
    <w:rsid w:val="009964C3"/>
    <w:rPr>
      <w:sz w:val="24"/>
    </w:rPr>
  </w:style>
  <w:style w:type="paragraph" w:customStyle="1" w:styleId="1fffff1">
    <w:name w:val="表内序号1"/>
    <w:basedOn w:val="af3"/>
    <w:rsid w:val="009964C3"/>
    <w:pPr>
      <w:widowControl/>
      <w:adjustRightInd w:val="0"/>
      <w:snapToGrid w:val="0"/>
      <w:spacing w:line="360" w:lineRule="auto"/>
      <w:ind w:firstLine="288"/>
    </w:pPr>
    <w:rPr>
      <w:kern w:val="0"/>
      <w:sz w:val="18"/>
      <w:szCs w:val="20"/>
    </w:rPr>
  </w:style>
  <w:style w:type="paragraph" w:customStyle="1" w:styleId="5320">
    <w:name w:val="表内532"/>
    <w:basedOn w:val="af3"/>
    <w:rsid w:val="009964C3"/>
    <w:pPr>
      <w:adjustRightInd w:val="0"/>
      <w:snapToGrid w:val="0"/>
      <w:spacing w:line="300" w:lineRule="auto"/>
      <w:jc w:val="left"/>
    </w:pPr>
    <w:rPr>
      <w:rFonts w:ascii="宋体"/>
      <w:szCs w:val="20"/>
    </w:rPr>
  </w:style>
  <w:style w:type="paragraph" w:customStyle="1" w:styleId="2fb">
    <w:name w:val="样式 （正文） + 首行缩进:  2 字符"/>
    <w:basedOn w:val="afffffffff1"/>
    <w:link w:val="2Charf8"/>
    <w:semiHidden/>
    <w:rsid w:val="009964C3"/>
    <w:pPr>
      <w:ind w:firstLine="480"/>
    </w:pPr>
  </w:style>
  <w:style w:type="paragraph" w:customStyle="1" w:styleId="3ff3">
    <w:name w:val="标题（3）"/>
    <w:basedOn w:val="31"/>
    <w:next w:val="afffffffff1"/>
    <w:semiHidden/>
    <w:rsid w:val="009964C3"/>
    <w:pPr>
      <w:keepNext w:val="0"/>
      <w:keepLines w:val="0"/>
      <w:numPr>
        <w:ilvl w:val="2"/>
      </w:numPr>
      <w:adjustRightInd w:val="0"/>
      <w:spacing w:beforeLines="50" w:after="0" w:line="360" w:lineRule="auto"/>
      <w:jc w:val="left"/>
    </w:pPr>
    <w:rPr>
      <w:bCs w:val="0"/>
      <w:snapToGrid w:val="0"/>
      <w:kern w:val="28"/>
      <w:sz w:val="24"/>
      <w:szCs w:val="20"/>
    </w:rPr>
  </w:style>
  <w:style w:type="paragraph" w:customStyle="1" w:styleId="017">
    <w:name w:val="表格01"/>
    <w:basedOn w:val="af3"/>
    <w:semiHidden/>
    <w:rsid w:val="009964C3"/>
    <w:pPr>
      <w:tabs>
        <w:tab w:val="left" w:pos="720"/>
      </w:tabs>
      <w:spacing w:before="100" w:beforeAutospacing="1" w:line="240" w:lineRule="atLeast"/>
    </w:pPr>
    <w:rPr>
      <w:bCs/>
      <w:sz w:val="24"/>
    </w:rPr>
  </w:style>
  <w:style w:type="paragraph" w:customStyle="1" w:styleId="afffffffff1">
    <w:name w:val="（正文）"/>
    <w:basedOn w:val="af3"/>
    <w:link w:val="Charffffff8"/>
    <w:semiHidden/>
    <w:rsid w:val="009964C3"/>
    <w:pPr>
      <w:spacing w:line="360" w:lineRule="auto"/>
      <w:ind w:firstLineChars="200" w:firstLine="200"/>
    </w:pPr>
    <w:rPr>
      <w:rFonts w:ascii="Arial" w:hAnsi="Arial"/>
      <w:sz w:val="24"/>
      <w:szCs w:val="21"/>
    </w:rPr>
  </w:style>
  <w:style w:type="paragraph" w:customStyle="1" w:styleId="2fffe">
    <w:name w:val="正文居中2"/>
    <w:basedOn w:val="af3"/>
    <w:qFormat/>
    <w:rsid w:val="009964C3"/>
    <w:pPr>
      <w:adjustRightInd w:val="0"/>
      <w:snapToGrid w:val="0"/>
      <w:spacing w:line="480" w:lineRule="atLeast"/>
      <w:jc w:val="center"/>
    </w:pPr>
    <w:rPr>
      <w:rFonts w:ascii="宋体"/>
      <w:snapToGrid w:val="0"/>
      <w:spacing w:val="6"/>
      <w:kern w:val="0"/>
      <w:sz w:val="28"/>
    </w:rPr>
  </w:style>
  <w:style w:type="paragraph" w:customStyle="1" w:styleId="afffffffffffffffffffffff1">
    <w:name w:val="表格备注"/>
    <w:basedOn w:val="7"/>
    <w:next w:val="aff7"/>
    <w:rsid w:val="009964C3"/>
    <w:pPr>
      <w:keepLines w:val="0"/>
      <w:widowControl w:val="0"/>
      <w:tabs>
        <w:tab w:val="left" w:pos="560"/>
      </w:tabs>
      <w:spacing w:before="0" w:after="0" w:line="336" w:lineRule="auto"/>
      <w:jc w:val="center"/>
    </w:pPr>
    <w:rPr>
      <w:rFonts w:ascii="黑体" w:hAnsi="Times New Roman" w:cs="Times New Roman"/>
      <w:b w:val="0"/>
      <w:bCs w:val="0"/>
      <w:kern w:val="2"/>
      <w:sz w:val="21"/>
      <w:szCs w:val="21"/>
    </w:rPr>
  </w:style>
  <w:style w:type="paragraph" w:customStyle="1" w:styleId="4TimesNewRoman10">
    <w:name w:val="样式 样式 标题 4 + (西文) Times New Roman + 字距调整10 磅"/>
    <w:basedOn w:val="4TimesNewRoman"/>
    <w:rsid w:val="009964C3"/>
    <w:rPr>
      <w:kern w:val="20"/>
    </w:rPr>
  </w:style>
  <w:style w:type="paragraph" w:customStyle="1" w:styleId="4411">
    <w:name w:val="表内小441"/>
    <w:basedOn w:val="affffffffff"/>
    <w:rsid w:val="009964C3"/>
    <w:pPr>
      <w:ind w:left="240" w:hanging="240"/>
      <w:jc w:val="both"/>
    </w:pPr>
    <w:rPr>
      <w:rFonts w:cs="Times New Roman"/>
    </w:rPr>
  </w:style>
  <w:style w:type="paragraph" w:customStyle="1" w:styleId="4TimesNewRoman">
    <w:name w:val="样式 标题 4 + (西文) Times New Roman"/>
    <w:basedOn w:val="43"/>
    <w:rsid w:val="009964C3"/>
    <w:pPr>
      <w:keepNext w:val="0"/>
      <w:keepLines w:val="0"/>
      <w:numPr>
        <w:ilvl w:val="3"/>
      </w:numPr>
      <w:tabs>
        <w:tab w:val="left" w:pos="1224"/>
      </w:tabs>
      <w:spacing w:before="0" w:after="0" w:line="360" w:lineRule="auto"/>
      <w:ind w:left="1224" w:hanging="864"/>
      <w:jc w:val="left"/>
    </w:pPr>
    <w:rPr>
      <w:rFonts w:ascii="Times New Roman" w:eastAsia="楷体" w:hAnsi="Times New Roman"/>
      <w:b w:val="0"/>
      <w:bCs w:val="0"/>
      <w:sz w:val="24"/>
      <w:szCs w:val="24"/>
    </w:rPr>
  </w:style>
  <w:style w:type="paragraph" w:customStyle="1" w:styleId="227">
    <w:name w:val="页眉中22"/>
    <w:basedOn w:val="af3"/>
    <w:rsid w:val="009964C3"/>
    <w:pPr>
      <w:adjustRightInd w:val="0"/>
      <w:snapToGrid w:val="0"/>
      <w:jc w:val="center"/>
    </w:pPr>
    <w:rPr>
      <w:rFonts w:ascii="黑体" w:eastAsia="黑体"/>
      <w:bCs/>
      <w:szCs w:val="20"/>
    </w:rPr>
  </w:style>
  <w:style w:type="paragraph" w:customStyle="1" w:styleId="wangjunbobullet">
    <w:name w:val="wangjunbo.bullet"/>
    <w:basedOn w:val="af3"/>
    <w:semiHidden/>
    <w:rsid w:val="009964C3"/>
    <w:pPr>
      <w:adjustRightInd w:val="0"/>
      <w:snapToGrid w:val="0"/>
      <w:spacing w:line="360" w:lineRule="atLeast"/>
      <w:jc w:val="center"/>
    </w:pPr>
    <w:rPr>
      <w:kern w:val="0"/>
      <w:szCs w:val="20"/>
    </w:rPr>
  </w:style>
  <w:style w:type="paragraph" w:customStyle="1" w:styleId="afffffffffffffffffffffff2">
    <w:name w:val="南车正文"/>
    <w:basedOn w:val="aff7"/>
    <w:semiHidden/>
    <w:rsid w:val="009964C3"/>
    <w:pPr>
      <w:snapToGrid w:val="0"/>
      <w:ind w:rightChars="8" w:right="17" w:firstLineChars="200" w:firstLine="480"/>
      <w:jc w:val="left"/>
    </w:pPr>
    <w:rPr>
      <w:rFonts w:ascii="Arial" w:hAnsi="Arial" w:cs="宋体"/>
      <w:sz w:val="24"/>
      <w:szCs w:val="20"/>
    </w:rPr>
  </w:style>
  <w:style w:type="paragraph" w:customStyle="1" w:styleId="CharCharffb">
    <w:name w:val="表格文本 五号 居中 单倍行距 Char Char"/>
    <w:basedOn w:val="af3"/>
    <w:rsid w:val="009964C3"/>
    <w:pPr>
      <w:keepNext/>
      <w:adjustRightInd w:val="0"/>
      <w:snapToGrid w:val="0"/>
      <w:jc w:val="center"/>
      <w:textAlignment w:val="baseline"/>
    </w:pPr>
    <w:rPr>
      <w:szCs w:val="21"/>
    </w:rPr>
  </w:style>
  <w:style w:type="paragraph" w:customStyle="1" w:styleId="7b">
    <w:name w:val="燕山正文7"/>
    <w:basedOn w:val="af3"/>
    <w:rsid w:val="009964C3"/>
    <w:pPr>
      <w:tabs>
        <w:tab w:val="left" w:pos="4680"/>
      </w:tabs>
      <w:adjustRightInd w:val="0"/>
      <w:snapToGrid w:val="0"/>
      <w:spacing w:line="360" w:lineRule="auto"/>
      <w:ind w:firstLineChars="200" w:firstLine="480"/>
      <w:jc w:val="left"/>
    </w:pPr>
    <w:rPr>
      <w:rFonts w:ascii="宋体"/>
      <w:color w:val="000000"/>
      <w:sz w:val="24"/>
    </w:rPr>
  </w:style>
  <w:style w:type="paragraph" w:customStyle="1" w:styleId="1-0">
    <w:name w:val="1-表内"/>
    <w:basedOn w:val="af3"/>
    <w:semiHidden/>
    <w:rsid w:val="009964C3"/>
    <w:rPr>
      <w:rFonts w:ascii="宋体" w:hAnsi="宋体" w:cs="宋体"/>
      <w:szCs w:val="21"/>
    </w:rPr>
  </w:style>
  <w:style w:type="paragraph" w:customStyle="1" w:styleId="460">
    <w:name w:val="页眉中46"/>
    <w:basedOn w:val="af3"/>
    <w:rsid w:val="009964C3"/>
    <w:pPr>
      <w:adjustRightInd w:val="0"/>
      <w:snapToGrid w:val="0"/>
      <w:spacing w:line="300" w:lineRule="auto"/>
      <w:jc w:val="left"/>
    </w:pPr>
    <w:rPr>
      <w:rFonts w:ascii="黑体" w:eastAsia="黑体"/>
      <w:bCs/>
      <w:sz w:val="24"/>
      <w:szCs w:val="20"/>
    </w:rPr>
  </w:style>
  <w:style w:type="paragraph" w:customStyle="1" w:styleId="760">
    <w:name w:val="图题76"/>
    <w:basedOn w:val="af3"/>
    <w:rsid w:val="009964C3"/>
    <w:pPr>
      <w:adjustRightInd w:val="0"/>
      <w:snapToGrid w:val="0"/>
      <w:ind w:firstLineChars="222" w:firstLine="533"/>
      <w:jc w:val="center"/>
    </w:pPr>
    <w:rPr>
      <w:rFonts w:ascii="黑体" w:eastAsia="黑体" w:hAnsi="宋体"/>
      <w:snapToGrid w:val="0"/>
      <w:kern w:val="0"/>
      <w:sz w:val="24"/>
    </w:rPr>
  </w:style>
  <w:style w:type="paragraph" w:customStyle="1" w:styleId="xl152">
    <w:name w:val="xl152"/>
    <w:basedOn w:val="af3"/>
    <w:rsid w:val="009964C3"/>
    <w:pPr>
      <w:widowControl/>
      <w:pBdr>
        <w:left w:val="single" w:sz="8" w:space="0" w:color="auto"/>
        <w:right w:val="single" w:sz="8" w:space="0" w:color="auto"/>
      </w:pBdr>
      <w:spacing w:before="100" w:beforeAutospacing="1" w:after="100" w:afterAutospacing="1"/>
      <w:jc w:val="left"/>
    </w:pPr>
    <w:rPr>
      <w:rFonts w:ascii="宋体" w:hAnsi="宋体" w:cs="宋体"/>
      <w:color w:val="0000FF"/>
      <w:kern w:val="0"/>
      <w:sz w:val="18"/>
      <w:szCs w:val="18"/>
    </w:rPr>
  </w:style>
  <w:style w:type="paragraph" w:customStyle="1" w:styleId="1060">
    <w:name w:val="表题106"/>
    <w:basedOn w:val="af4"/>
    <w:rsid w:val="009964C3"/>
    <w:pPr>
      <w:ind w:firstLineChars="0" w:firstLine="0"/>
      <w:jc w:val="center"/>
    </w:pPr>
    <w:rPr>
      <w:rFonts w:ascii="黑体" w:eastAsia="黑体"/>
      <w:sz w:val="24"/>
      <w:szCs w:val="24"/>
    </w:rPr>
  </w:style>
  <w:style w:type="paragraph" w:customStyle="1" w:styleId="41b">
    <w:name w:val="表内文字大41"/>
    <w:basedOn w:val="af3"/>
    <w:rsid w:val="009964C3"/>
    <w:pPr>
      <w:adjustRightInd w:val="0"/>
      <w:snapToGrid w:val="0"/>
      <w:jc w:val="center"/>
    </w:pPr>
    <w:rPr>
      <w:rFonts w:ascii="宋体" w:hAnsi="Times"/>
      <w:sz w:val="24"/>
      <w:szCs w:val="20"/>
    </w:rPr>
  </w:style>
  <w:style w:type="paragraph" w:customStyle="1" w:styleId="492">
    <w:name w:val="标题49"/>
    <w:basedOn w:val="af3"/>
    <w:rsid w:val="009964C3"/>
    <w:pPr>
      <w:adjustRightInd w:val="0"/>
      <w:snapToGrid w:val="0"/>
      <w:spacing w:line="300" w:lineRule="auto"/>
      <w:jc w:val="left"/>
    </w:pPr>
    <w:rPr>
      <w:rFonts w:ascii="宋体" w:hAnsi="宋体"/>
      <w:sz w:val="24"/>
      <w:szCs w:val="20"/>
    </w:rPr>
  </w:style>
  <w:style w:type="paragraph" w:customStyle="1" w:styleId="5114">
    <w:name w:val="表内宋511"/>
    <w:basedOn w:val="affffffffff5"/>
    <w:rsid w:val="009964C3"/>
    <w:pPr>
      <w:adjustRightInd w:val="0"/>
      <w:snapToGrid w:val="0"/>
      <w:jc w:val="both"/>
    </w:pPr>
    <w:rPr>
      <w:color w:val="000000"/>
      <w:sz w:val="21"/>
    </w:rPr>
  </w:style>
  <w:style w:type="paragraph" w:customStyle="1" w:styleId="xl141">
    <w:name w:val="xl141"/>
    <w:basedOn w:val="af3"/>
    <w:rsid w:val="009964C3"/>
    <w:pPr>
      <w:widowControl/>
      <w:pBdr>
        <w:left w:val="single" w:sz="8" w:space="0" w:color="auto"/>
        <w:right w:val="single" w:sz="8" w:space="0" w:color="auto"/>
      </w:pBdr>
      <w:spacing w:before="100" w:beforeAutospacing="1" w:after="100" w:afterAutospacing="1"/>
      <w:jc w:val="left"/>
    </w:pPr>
    <w:rPr>
      <w:rFonts w:ascii="宋体" w:hAnsi="宋体" w:cs="宋体"/>
      <w:kern w:val="0"/>
      <w:sz w:val="18"/>
      <w:szCs w:val="18"/>
    </w:rPr>
  </w:style>
  <w:style w:type="paragraph" w:customStyle="1" w:styleId="Style1">
    <w:name w:val="Style1"/>
    <w:basedOn w:val="af3"/>
    <w:rsid w:val="009964C3"/>
    <w:pPr>
      <w:widowControl/>
      <w:tabs>
        <w:tab w:val="left" w:pos="1440"/>
        <w:tab w:val="left" w:pos="3280"/>
      </w:tabs>
      <w:ind w:left="90" w:hanging="420"/>
      <w:jc w:val="left"/>
    </w:pPr>
    <w:rPr>
      <w:rFonts w:ascii="Arial" w:hAnsi="Arial"/>
      <w:b/>
      <w:kern w:val="0"/>
      <w:sz w:val="20"/>
      <w:szCs w:val="20"/>
    </w:rPr>
  </w:style>
  <w:style w:type="paragraph" w:customStyle="1" w:styleId="ST206">
    <w:name w:val="ST20_6"/>
    <w:basedOn w:val="ST202"/>
    <w:rsid w:val="009964C3"/>
    <w:pPr>
      <w:keepNext/>
    </w:pPr>
    <w:rPr>
      <w:szCs w:val="28"/>
    </w:rPr>
  </w:style>
  <w:style w:type="paragraph" w:customStyle="1" w:styleId="afffffffffffffffffffffff3">
    <w:name w:val="表内文字小"/>
    <w:basedOn w:val="af3"/>
    <w:rsid w:val="009964C3"/>
    <w:pPr>
      <w:adjustRightInd w:val="0"/>
      <w:snapToGrid w:val="0"/>
      <w:jc w:val="center"/>
    </w:pPr>
    <w:rPr>
      <w:rFonts w:ascii="宋体" w:hAnsi="Times" w:cs="宋体"/>
      <w:bCs/>
      <w:color w:val="003366"/>
      <w:szCs w:val="20"/>
    </w:rPr>
  </w:style>
  <w:style w:type="paragraph" w:customStyle="1" w:styleId="xl143">
    <w:name w:val="xl143"/>
    <w:basedOn w:val="af3"/>
    <w:rsid w:val="009964C3"/>
    <w:pPr>
      <w:widowControl/>
      <w:pBdr>
        <w:left w:val="single" w:sz="8" w:space="0" w:color="auto"/>
        <w:right w:val="single" w:sz="8" w:space="0" w:color="auto"/>
      </w:pBdr>
      <w:spacing w:before="100" w:beforeAutospacing="1" w:after="100" w:afterAutospacing="1"/>
      <w:jc w:val="left"/>
    </w:pPr>
    <w:rPr>
      <w:kern w:val="0"/>
      <w:sz w:val="18"/>
      <w:szCs w:val="18"/>
    </w:rPr>
  </w:style>
  <w:style w:type="paragraph" w:customStyle="1" w:styleId="481">
    <w:name w:val="标题48"/>
    <w:basedOn w:val="af3"/>
    <w:rsid w:val="009964C3"/>
    <w:pPr>
      <w:adjustRightInd w:val="0"/>
      <w:snapToGrid w:val="0"/>
      <w:spacing w:line="300" w:lineRule="auto"/>
      <w:jc w:val="left"/>
    </w:pPr>
    <w:rPr>
      <w:rFonts w:ascii="黑体" w:eastAsia="黑体" w:hAnsi="宋体" w:cs="宋体"/>
      <w:bCs/>
      <w:sz w:val="24"/>
      <w:szCs w:val="20"/>
    </w:rPr>
  </w:style>
  <w:style w:type="paragraph" w:customStyle="1" w:styleId="xl144">
    <w:name w:val="xl144"/>
    <w:basedOn w:val="af3"/>
    <w:rsid w:val="009964C3"/>
    <w:pPr>
      <w:widowControl/>
      <w:pBdr>
        <w:top w:val="single" w:sz="8" w:space="0" w:color="auto"/>
        <w:right w:val="single" w:sz="8" w:space="0" w:color="auto"/>
      </w:pBdr>
      <w:spacing w:before="100" w:beforeAutospacing="1" w:after="100" w:afterAutospacing="1"/>
      <w:jc w:val="left"/>
    </w:pPr>
    <w:rPr>
      <w:kern w:val="0"/>
      <w:sz w:val="18"/>
      <w:szCs w:val="18"/>
    </w:rPr>
  </w:style>
  <w:style w:type="paragraph" w:customStyle="1" w:styleId="2Charfa">
    <w:name w:val="样式 样式2 + (符号) 宋体 Char"/>
    <w:basedOn w:val="af3"/>
    <w:qFormat/>
    <w:rsid w:val="009964C3"/>
    <w:pPr>
      <w:adjustRightInd w:val="0"/>
      <w:snapToGrid w:val="0"/>
      <w:spacing w:line="480" w:lineRule="exact"/>
      <w:ind w:firstLineChars="200" w:firstLine="480"/>
    </w:pPr>
    <w:rPr>
      <w:sz w:val="24"/>
      <w:szCs w:val="28"/>
    </w:rPr>
  </w:style>
  <w:style w:type="paragraph" w:customStyle="1" w:styleId="afffffffffffffffffffffff4">
    <w:name w:val="表编号文字"/>
    <w:basedOn w:val="afff"/>
    <w:semiHidden/>
    <w:rsid w:val="009964C3"/>
    <w:pPr>
      <w:spacing w:after="0"/>
    </w:pPr>
    <w:rPr>
      <w:sz w:val="20"/>
      <w:szCs w:val="20"/>
    </w:rPr>
  </w:style>
  <w:style w:type="paragraph" w:customStyle="1" w:styleId="5260">
    <w:name w:val="表内宋526"/>
    <w:basedOn w:val="5f9"/>
    <w:rsid w:val="009964C3"/>
    <w:pPr>
      <w:jc w:val="both"/>
    </w:pPr>
  </w:style>
  <w:style w:type="paragraph" w:customStyle="1" w:styleId="ST2017">
    <w:name w:val="ST20_17"/>
    <w:basedOn w:val="ST2011"/>
    <w:rsid w:val="009964C3"/>
    <w:pPr>
      <w:ind w:right="5040"/>
    </w:pPr>
  </w:style>
  <w:style w:type="paragraph" w:customStyle="1" w:styleId="33Char1Char3CharChar1Char3Char13Cha2">
    <w:name w:val="样式 标题 3标题 3 Char1 Char标题 3 Char Char1 Char标题 3 Char1标题 3 Cha...2"/>
    <w:basedOn w:val="af3"/>
    <w:semiHidden/>
    <w:rsid w:val="009964C3"/>
    <w:pPr>
      <w:spacing w:line="360" w:lineRule="auto"/>
    </w:pPr>
    <w:rPr>
      <w:sz w:val="24"/>
    </w:rPr>
  </w:style>
  <w:style w:type="paragraph" w:customStyle="1" w:styleId="228">
    <w:name w:val="样式 样式 注意 + 首行缩进:  2 字符 + 首行缩进:  2 字符"/>
    <w:basedOn w:val="aff7"/>
    <w:next w:val="aff7"/>
    <w:rsid w:val="009964C3"/>
    <w:pPr>
      <w:tabs>
        <w:tab w:val="left" w:pos="628"/>
        <w:tab w:val="left" w:pos="1727"/>
        <w:tab w:val="left" w:pos="1884"/>
        <w:tab w:val="left" w:pos="2514"/>
        <w:tab w:val="left" w:pos="4900"/>
      </w:tabs>
      <w:overflowPunct/>
      <w:snapToGrid w:val="0"/>
      <w:ind w:leftChars="-1" w:left="-2" w:rightChars="-47" w:right="-99" w:firstLine="480"/>
      <w:textAlignment w:val="auto"/>
    </w:pPr>
    <w:rPr>
      <w:rFonts w:ascii="宋体" w:hAnsi="宋体" w:cs="宋体"/>
      <w:color w:val="000000"/>
      <w:sz w:val="21"/>
      <w:szCs w:val="21"/>
      <w:lang w:val="zh-CN"/>
    </w:rPr>
  </w:style>
  <w:style w:type="paragraph" w:customStyle="1" w:styleId="51010">
    <w:name w:val="表内5101"/>
    <w:basedOn w:val="5f2"/>
    <w:rsid w:val="009964C3"/>
    <w:pPr>
      <w:jc w:val="both"/>
    </w:pPr>
    <w:rPr>
      <w:szCs w:val="24"/>
    </w:rPr>
  </w:style>
  <w:style w:type="paragraph" w:customStyle="1" w:styleId="afffffffffffffffffffffff5">
    <w:name w:val="图解"/>
    <w:basedOn w:val="af3"/>
    <w:next w:val="af4"/>
    <w:semiHidden/>
    <w:rsid w:val="009964C3"/>
    <w:pPr>
      <w:widowControl/>
      <w:spacing w:line="360" w:lineRule="auto"/>
      <w:jc w:val="center"/>
    </w:pPr>
    <w:rPr>
      <w:rFonts w:ascii="仿宋_GB2312" w:eastAsia="仿宋_GB2312" w:cs="新宋体-18030"/>
      <w:kern w:val="0"/>
      <w:sz w:val="28"/>
      <w:szCs w:val="21"/>
    </w:rPr>
  </w:style>
  <w:style w:type="paragraph" w:customStyle="1" w:styleId="812">
    <w:name w:val="页眉中81"/>
    <w:basedOn w:val="4a"/>
    <w:rsid w:val="009964C3"/>
    <w:pPr>
      <w:snapToGrid w:val="0"/>
      <w:spacing w:line="360" w:lineRule="auto"/>
      <w:textAlignment w:val="auto"/>
    </w:pPr>
    <w:rPr>
      <w:rFonts w:ascii="黑体" w:eastAsia="黑体"/>
      <w:szCs w:val="24"/>
    </w:rPr>
  </w:style>
  <w:style w:type="paragraph" w:customStyle="1" w:styleId="ST2049">
    <w:name w:val="ST20_49"/>
    <w:basedOn w:val="ST2019"/>
    <w:rsid w:val="009964C3"/>
    <w:pPr>
      <w:tabs>
        <w:tab w:val="clear" w:pos="720"/>
        <w:tab w:val="left" w:pos="1440"/>
      </w:tabs>
      <w:ind w:left="1440"/>
    </w:pPr>
  </w:style>
  <w:style w:type="paragraph" w:customStyle="1" w:styleId="afffffffffffffffffffffff6">
    <w:name w:val="字母编号列项（一级）"/>
    <w:basedOn w:val="af3"/>
    <w:rsid w:val="009964C3"/>
    <w:pPr>
      <w:tabs>
        <w:tab w:val="left" w:pos="1320"/>
      </w:tabs>
      <w:ind w:left="1320" w:hanging="420"/>
    </w:pPr>
  </w:style>
  <w:style w:type="paragraph" w:customStyle="1" w:styleId="puce">
    <w:name w:val="puce"/>
    <w:basedOn w:val="af3"/>
    <w:rsid w:val="009964C3"/>
    <w:pPr>
      <w:adjustRightInd w:val="0"/>
      <w:snapToGrid w:val="0"/>
      <w:spacing w:line="360" w:lineRule="auto"/>
      <w:ind w:firstLine="425"/>
    </w:pPr>
    <w:rPr>
      <w:rFonts w:ascii="宋体" w:hAnsi="宋体"/>
      <w:spacing w:val="20"/>
      <w:sz w:val="24"/>
    </w:rPr>
  </w:style>
  <w:style w:type="paragraph" w:customStyle="1" w:styleId="55c">
    <w:name w:val="表内5中5"/>
    <w:basedOn w:val="af3"/>
    <w:rsid w:val="009964C3"/>
    <w:pPr>
      <w:adjustRightInd w:val="0"/>
      <w:snapToGrid w:val="0"/>
      <w:jc w:val="center"/>
    </w:pPr>
    <w:rPr>
      <w:rFonts w:ascii="宋体"/>
    </w:rPr>
  </w:style>
  <w:style w:type="paragraph" w:customStyle="1" w:styleId="12c">
    <w:name w:val="表内文字12"/>
    <w:basedOn w:val="af3"/>
    <w:rsid w:val="009964C3"/>
    <w:pPr>
      <w:widowControl/>
      <w:adjustRightInd w:val="0"/>
      <w:snapToGrid w:val="0"/>
      <w:spacing w:line="420" w:lineRule="exact"/>
      <w:jc w:val="center"/>
    </w:pPr>
    <w:rPr>
      <w:rFonts w:ascii="宋体"/>
      <w:spacing w:val="10"/>
      <w:kern w:val="0"/>
      <w:sz w:val="18"/>
      <w:szCs w:val="20"/>
    </w:rPr>
  </w:style>
  <w:style w:type="paragraph" w:customStyle="1" w:styleId="5510">
    <w:name w:val="表内宋5中51"/>
    <w:basedOn w:val="af3"/>
    <w:rsid w:val="009964C3"/>
    <w:pPr>
      <w:adjustRightInd w:val="0"/>
      <w:snapToGrid w:val="0"/>
      <w:spacing w:line="360" w:lineRule="auto"/>
      <w:textAlignment w:val="baseline"/>
    </w:pPr>
    <w:rPr>
      <w:rFonts w:ascii="宋体" w:hAnsi="宋体"/>
      <w:kern w:val="0"/>
      <w:szCs w:val="21"/>
    </w:rPr>
  </w:style>
  <w:style w:type="paragraph" w:customStyle="1" w:styleId="5511">
    <w:name w:val="表内5中51"/>
    <w:basedOn w:val="af3"/>
    <w:rsid w:val="009964C3"/>
    <w:pPr>
      <w:adjustRightInd w:val="0"/>
      <w:snapToGrid w:val="0"/>
      <w:jc w:val="center"/>
    </w:pPr>
    <w:rPr>
      <w:rFonts w:ascii="宋体"/>
    </w:rPr>
  </w:style>
  <w:style w:type="paragraph" w:customStyle="1" w:styleId="318">
    <w:name w:val="正文文本缩进 31"/>
    <w:basedOn w:val="af3"/>
    <w:rsid w:val="009964C3"/>
    <w:pPr>
      <w:adjustRightInd w:val="0"/>
      <w:ind w:firstLine="538"/>
      <w:textAlignment w:val="baseline"/>
    </w:pPr>
    <w:rPr>
      <w:rFonts w:ascii="仿宋_GB2312" w:eastAsia="仿宋_GB2312" w:hAnsi="宋体"/>
      <w:kern w:val="28"/>
      <w:sz w:val="28"/>
      <w:szCs w:val="20"/>
    </w:rPr>
  </w:style>
  <w:style w:type="paragraph" w:customStyle="1" w:styleId="16711">
    <w:name w:val="表标题16.7.1.1"/>
    <w:basedOn w:val="43"/>
    <w:rsid w:val="009964C3"/>
    <w:pPr>
      <w:keepNext w:val="0"/>
      <w:keepLines w:val="0"/>
      <w:numPr>
        <w:ilvl w:val="3"/>
        <w:numId w:val="49"/>
      </w:numPr>
      <w:tabs>
        <w:tab w:val="left" w:pos="1800"/>
      </w:tabs>
      <w:spacing w:before="120" w:after="120" w:line="312" w:lineRule="auto"/>
    </w:pPr>
    <w:rPr>
      <w:sz w:val="24"/>
      <w:szCs w:val="24"/>
    </w:rPr>
  </w:style>
  <w:style w:type="paragraph" w:customStyle="1" w:styleId="2ffff">
    <w:name w:val="列出段落2"/>
    <w:basedOn w:val="af3"/>
    <w:semiHidden/>
    <w:rsid w:val="009964C3"/>
    <w:pPr>
      <w:ind w:firstLineChars="200" w:firstLine="420"/>
    </w:pPr>
    <w:rPr>
      <w:rFonts w:ascii="Calibri" w:hAnsi="Calibri"/>
      <w:szCs w:val="22"/>
    </w:rPr>
  </w:style>
  <w:style w:type="paragraph" w:customStyle="1" w:styleId="5ffa">
    <w:name w:val="燕山正文5"/>
    <w:basedOn w:val="af3"/>
    <w:rsid w:val="009964C3"/>
    <w:pPr>
      <w:tabs>
        <w:tab w:val="left" w:pos="4680"/>
      </w:tabs>
      <w:adjustRightInd w:val="0"/>
      <w:snapToGrid w:val="0"/>
      <w:spacing w:line="360" w:lineRule="auto"/>
      <w:ind w:firstLineChars="200" w:firstLine="480"/>
    </w:pPr>
    <w:rPr>
      <w:rFonts w:ascii="宋体" w:hAnsi="宋体" w:cs="宋体"/>
      <w:bCs/>
      <w:color w:val="000000"/>
      <w:sz w:val="24"/>
    </w:rPr>
  </w:style>
  <w:style w:type="paragraph" w:customStyle="1" w:styleId="732">
    <w:name w:val="表内文字小73"/>
    <w:basedOn w:val="af3"/>
    <w:rsid w:val="009964C3"/>
    <w:pPr>
      <w:adjustRightInd w:val="0"/>
      <w:snapToGrid w:val="0"/>
      <w:jc w:val="center"/>
    </w:pPr>
    <w:rPr>
      <w:rFonts w:ascii="宋体" w:hAnsi="Times"/>
      <w:szCs w:val="20"/>
    </w:rPr>
  </w:style>
  <w:style w:type="paragraph" w:customStyle="1" w:styleId="5118">
    <w:name w:val="样式 表内5 + (符号) 宋体 两端对齐 行距: 单倍行距11"/>
    <w:basedOn w:val="af3"/>
    <w:rsid w:val="009964C3"/>
    <w:pPr>
      <w:adjustRightInd w:val="0"/>
      <w:snapToGrid w:val="0"/>
      <w:jc w:val="center"/>
    </w:pPr>
    <w:rPr>
      <w:rFonts w:ascii="宋体" w:hAnsi="宋体" w:cs="宋体"/>
      <w:kern w:val="0"/>
      <w:szCs w:val="20"/>
    </w:rPr>
  </w:style>
  <w:style w:type="paragraph" w:customStyle="1" w:styleId="NormalNumbered">
    <w:name w:val="Normal Numbered"/>
    <w:basedOn w:val="af4"/>
    <w:semiHidden/>
    <w:rsid w:val="009964C3"/>
    <w:pPr>
      <w:widowControl/>
      <w:spacing w:line="360" w:lineRule="auto"/>
      <w:ind w:firstLineChars="0" w:hanging="907"/>
      <w:jc w:val="left"/>
    </w:pPr>
    <w:rPr>
      <w:rFonts w:ascii="Arial" w:hAnsi="Arial"/>
      <w:kern w:val="0"/>
      <w:sz w:val="28"/>
      <w:szCs w:val="20"/>
    </w:rPr>
  </w:style>
  <w:style w:type="paragraph" w:customStyle="1" w:styleId="471">
    <w:name w:val="标题471"/>
    <w:basedOn w:val="af3"/>
    <w:rsid w:val="009964C3"/>
    <w:pPr>
      <w:adjustRightInd w:val="0"/>
      <w:snapToGrid w:val="0"/>
      <w:spacing w:line="300" w:lineRule="auto"/>
    </w:pPr>
    <w:rPr>
      <w:rFonts w:ascii="黑体" w:eastAsia="黑体"/>
      <w:sz w:val="24"/>
      <w:szCs w:val="20"/>
    </w:rPr>
  </w:style>
  <w:style w:type="paragraph" w:customStyle="1" w:styleId="c94">
    <w:name w:val="c94"/>
    <w:basedOn w:val="af3"/>
    <w:rsid w:val="009964C3"/>
    <w:pPr>
      <w:spacing w:line="240" w:lineRule="atLeast"/>
      <w:jc w:val="center"/>
    </w:pPr>
    <w:rPr>
      <w:kern w:val="0"/>
      <w:sz w:val="24"/>
      <w:szCs w:val="20"/>
      <w:lang w:eastAsia="en-US"/>
    </w:rPr>
  </w:style>
  <w:style w:type="paragraph" w:customStyle="1" w:styleId="137">
    <w:name w:val="页眉中13"/>
    <w:basedOn w:val="af3"/>
    <w:rsid w:val="009964C3"/>
    <w:pPr>
      <w:adjustRightInd w:val="0"/>
      <w:snapToGrid w:val="0"/>
      <w:spacing w:line="300" w:lineRule="auto"/>
      <w:jc w:val="left"/>
    </w:pPr>
    <w:rPr>
      <w:rFonts w:ascii="黑体" w:eastAsia="黑体"/>
      <w:bCs/>
      <w:sz w:val="24"/>
      <w:szCs w:val="20"/>
    </w:rPr>
  </w:style>
  <w:style w:type="paragraph" w:customStyle="1" w:styleId="CharCharCharCharCharCharCharCharCharCharCharCharCharCharCharChar0">
    <w:name w:val="Char Char Char Char Char Char Char Char Char Char Char Char Char Char Char Char"/>
    <w:basedOn w:val="af3"/>
    <w:rsid w:val="009964C3"/>
    <w:pPr>
      <w:keepNext/>
      <w:keepLines/>
      <w:tabs>
        <w:tab w:val="left" w:pos="2160"/>
      </w:tabs>
      <w:adjustRightInd w:val="0"/>
      <w:snapToGrid w:val="0"/>
      <w:spacing w:before="120" w:after="120" w:line="360" w:lineRule="auto"/>
      <w:ind w:left="2160" w:hanging="420"/>
      <w:outlineLvl w:val="3"/>
    </w:pPr>
    <w:rPr>
      <w:rFonts w:ascii="Arial" w:hAnsi="Arial"/>
      <w:bCs/>
      <w:sz w:val="28"/>
      <w:szCs w:val="21"/>
    </w:rPr>
  </w:style>
  <w:style w:type="paragraph" w:customStyle="1" w:styleId="15f2">
    <w:name w:val="条(三级)15"/>
    <w:basedOn w:val="af3"/>
    <w:next w:val="af3"/>
    <w:rsid w:val="009964C3"/>
    <w:pPr>
      <w:keepNext/>
      <w:keepLines/>
      <w:adjustRightInd w:val="0"/>
      <w:snapToGrid w:val="0"/>
      <w:spacing w:line="460" w:lineRule="exact"/>
      <w:textAlignment w:val="baseline"/>
    </w:pPr>
    <w:rPr>
      <w:rFonts w:hAnsi="Arial"/>
      <w:spacing w:val="3"/>
      <w:kern w:val="24"/>
      <w:sz w:val="18"/>
      <w:szCs w:val="20"/>
    </w:rPr>
  </w:style>
  <w:style w:type="paragraph" w:customStyle="1" w:styleId="afffffffffffffffffffffff7">
    <w:name w:val="图下文字"/>
    <w:basedOn w:val="afff3"/>
    <w:rsid w:val="009964C3"/>
  </w:style>
  <w:style w:type="paragraph" w:customStyle="1" w:styleId="184">
    <w:name w:val="表题18"/>
    <w:basedOn w:val="afffffff4"/>
    <w:rsid w:val="009964C3"/>
    <w:pPr>
      <w:spacing w:line="240" w:lineRule="auto"/>
      <w:ind w:firstLine="0"/>
      <w:jc w:val="center"/>
    </w:pPr>
    <w:rPr>
      <w:rFonts w:ascii="黑体" w:eastAsia="黑体" w:cs="Times New Roman"/>
      <w:szCs w:val="20"/>
    </w:rPr>
  </w:style>
  <w:style w:type="paragraph" w:customStyle="1" w:styleId="1312">
    <w:name w:val="表题131"/>
    <w:basedOn w:val="afffffff4"/>
    <w:rsid w:val="009964C3"/>
    <w:pPr>
      <w:spacing w:line="240" w:lineRule="auto"/>
      <w:ind w:firstLineChars="200" w:firstLine="480"/>
      <w:jc w:val="center"/>
    </w:pPr>
    <w:rPr>
      <w:rFonts w:ascii="黑体" w:eastAsia="黑体" w:cs="Times New Roman"/>
      <w:color w:val="auto"/>
      <w:szCs w:val="20"/>
    </w:rPr>
  </w:style>
  <w:style w:type="paragraph" w:customStyle="1" w:styleId="afffffffffffffffffffffff8">
    <w:name w:val="数字编号列项（二级）"/>
    <w:rsid w:val="009964C3"/>
    <w:pPr>
      <w:tabs>
        <w:tab w:val="left" w:pos="1259"/>
      </w:tabs>
      <w:ind w:left="1259" w:hanging="420"/>
      <w:jc w:val="both"/>
    </w:pPr>
    <w:rPr>
      <w:rFonts w:ascii="宋体"/>
      <w:sz w:val="21"/>
    </w:rPr>
  </w:style>
  <w:style w:type="paragraph" w:customStyle="1" w:styleId="afffffffffffffffffffffff9">
    <w:name w:val="洋"/>
    <w:basedOn w:val="af3"/>
    <w:next w:val="af3"/>
    <w:rsid w:val="009964C3"/>
    <w:pPr>
      <w:spacing w:line="360" w:lineRule="auto"/>
      <w:ind w:firstLineChars="200" w:firstLine="200"/>
    </w:pPr>
    <w:rPr>
      <w:color w:val="000000"/>
      <w:kern w:val="0"/>
      <w:sz w:val="24"/>
      <w:szCs w:val="20"/>
    </w:rPr>
  </w:style>
  <w:style w:type="paragraph" w:customStyle="1" w:styleId="255">
    <w:name w:val="样式 四号 行距: 固定值 25 磅"/>
    <w:basedOn w:val="af3"/>
    <w:rsid w:val="009964C3"/>
    <w:pPr>
      <w:spacing w:line="480" w:lineRule="atLeast"/>
      <w:ind w:firstLineChars="200" w:firstLine="200"/>
    </w:pPr>
    <w:rPr>
      <w:sz w:val="24"/>
    </w:rPr>
  </w:style>
  <w:style w:type="paragraph" w:customStyle="1" w:styleId="5144">
    <w:name w:val="表内5中14"/>
    <w:basedOn w:val="affffffffff3"/>
    <w:rsid w:val="009964C3"/>
    <w:pPr>
      <w:widowControl/>
    </w:pPr>
    <w:rPr>
      <w:kern w:val="0"/>
      <w:sz w:val="21"/>
      <w:szCs w:val="21"/>
    </w:rPr>
  </w:style>
  <w:style w:type="paragraph" w:customStyle="1" w:styleId="afffffffffffffffffffffffa">
    <w:name w:val="表格内容居中"/>
    <w:qFormat/>
    <w:rsid w:val="009964C3"/>
    <w:pPr>
      <w:adjustRightInd w:val="0"/>
      <w:snapToGrid w:val="0"/>
      <w:jc w:val="center"/>
    </w:pPr>
    <w:rPr>
      <w:snapToGrid w:val="0"/>
      <w:sz w:val="21"/>
      <w:szCs w:val="21"/>
    </w:rPr>
  </w:style>
  <w:style w:type="paragraph" w:customStyle="1" w:styleId="zwb-0">
    <w:name w:val="zwb-图表标题"/>
    <w:basedOn w:val="af3"/>
    <w:link w:val="zwb-Char0"/>
    <w:semiHidden/>
    <w:rsid w:val="009964C3"/>
    <w:pPr>
      <w:spacing w:line="360" w:lineRule="auto"/>
      <w:jc w:val="center"/>
    </w:pPr>
    <w:rPr>
      <w:b/>
      <w:sz w:val="24"/>
    </w:rPr>
  </w:style>
  <w:style w:type="paragraph" w:customStyle="1" w:styleId="afffffffffffffffffffffffb">
    <w:name w:val="章节"/>
    <w:basedOn w:val="13"/>
    <w:semiHidden/>
    <w:rsid w:val="009964C3"/>
    <w:pPr>
      <w:keepNext w:val="0"/>
      <w:keepLines w:val="0"/>
      <w:pageBreakBefore/>
      <w:tabs>
        <w:tab w:val="left" w:pos="1021"/>
        <w:tab w:val="left" w:pos="4380"/>
      </w:tabs>
      <w:adjustRightInd w:val="0"/>
      <w:spacing w:before="360" w:after="360" w:line="315" w:lineRule="atLeast"/>
      <w:ind w:left="425" w:hanging="432"/>
      <w:jc w:val="center"/>
      <w:textAlignment w:val="baseline"/>
    </w:pPr>
    <w:rPr>
      <w:rFonts w:ascii="仿宋_GB2312" w:hAnsi="宋体"/>
      <w:b w:val="0"/>
      <w:kern w:val="0"/>
      <w:szCs w:val="36"/>
    </w:rPr>
  </w:style>
  <w:style w:type="paragraph" w:customStyle="1" w:styleId="01">
    <w:name w:val="正文01"/>
    <w:basedOn w:val="af3"/>
    <w:link w:val="01Char"/>
    <w:rsid w:val="009964C3"/>
    <w:pPr>
      <w:adjustRightInd w:val="0"/>
      <w:spacing w:line="360" w:lineRule="auto"/>
      <w:ind w:firstLineChars="200" w:firstLine="200"/>
    </w:pPr>
    <w:rPr>
      <w:sz w:val="28"/>
    </w:rPr>
  </w:style>
  <w:style w:type="paragraph" w:customStyle="1" w:styleId="1252">
    <w:name w:val="样式 (中文) 华文楷体 四号 行距: 多倍行距 1.25 字行"/>
    <w:basedOn w:val="af3"/>
    <w:semiHidden/>
    <w:qFormat/>
    <w:rsid w:val="009964C3"/>
    <w:pPr>
      <w:spacing w:line="360" w:lineRule="auto"/>
    </w:pPr>
    <w:rPr>
      <w:rFonts w:eastAsia="华文楷体"/>
      <w:sz w:val="28"/>
    </w:rPr>
  </w:style>
  <w:style w:type="paragraph" w:customStyle="1" w:styleId="style10">
    <w:name w:val="style1"/>
    <w:basedOn w:val="af3"/>
    <w:rsid w:val="009964C3"/>
    <w:pPr>
      <w:widowControl/>
      <w:spacing w:before="100" w:beforeAutospacing="1" w:after="100" w:afterAutospacing="1" w:line="480" w:lineRule="exact"/>
      <w:jc w:val="left"/>
    </w:pPr>
    <w:rPr>
      <w:rFonts w:ascii="宋体" w:hAnsi="宋体" w:cs="宋体"/>
      <w:kern w:val="0"/>
      <w:sz w:val="18"/>
      <w:szCs w:val="18"/>
    </w:rPr>
  </w:style>
  <w:style w:type="paragraph" w:customStyle="1" w:styleId="L18">
    <w:name w:val="表格文字L18"/>
    <w:basedOn w:val="2f3"/>
    <w:link w:val="L18CharChar"/>
    <w:semiHidden/>
    <w:rsid w:val="009964C3"/>
    <w:pPr>
      <w:spacing w:line="360" w:lineRule="exact"/>
      <w:ind w:leftChars="0" w:left="0"/>
    </w:pPr>
    <w:rPr>
      <w:rFonts w:ascii="Times New Roman" w:eastAsia="宋体" w:hAnsi="Times New Roman"/>
      <w:color w:val="000000"/>
      <w:kern w:val="32"/>
      <w:szCs w:val="20"/>
    </w:rPr>
  </w:style>
  <w:style w:type="paragraph" w:customStyle="1" w:styleId="10510">
    <w:name w:val="样式 标题 1 + 段前: 0.5 行 段后: 1 行"/>
    <w:basedOn w:val="13"/>
    <w:rsid w:val="009964C3"/>
    <w:pPr>
      <w:keepLines w:val="0"/>
      <w:adjustRightInd w:val="0"/>
      <w:snapToGrid w:val="0"/>
      <w:spacing w:beforeLines="50" w:after="0" w:line="360" w:lineRule="auto"/>
      <w:jc w:val="center"/>
    </w:pPr>
    <w:rPr>
      <w:rFonts w:ascii="黑体" w:cs="宋体"/>
      <w:bCs w:val="0"/>
      <w:kern w:val="2"/>
      <w:sz w:val="32"/>
      <w:szCs w:val="20"/>
    </w:rPr>
  </w:style>
  <w:style w:type="paragraph" w:customStyle="1" w:styleId="ST2035">
    <w:name w:val="ST20_35"/>
    <w:basedOn w:val="affffff"/>
    <w:rsid w:val="009964C3"/>
    <w:pPr>
      <w:keepLines/>
      <w:pBdr>
        <w:bottom w:val="none" w:sz="0" w:space="0" w:color="auto"/>
      </w:pBdr>
      <w:tabs>
        <w:tab w:val="clear" w:pos="4153"/>
        <w:tab w:val="clear" w:pos="8306"/>
        <w:tab w:val="center" w:pos="4320"/>
      </w:tabs>
      <w:autoSpaceDE w:val="0"/>
      <w:autoSpaceDN w:val="0"/>
      <w:adjustRightInd w:val="0"/>
      <w:snapToGrid/>
      <w:spacing w:line="360" w:lineRule="atLeast"/>
      <w:textAlignment w:val="baseline"/>
    </w:pPr>
    <w:rPr>
      <w:rFonts w:ascii="宋体" w:hAnsi="Tms Rmn"/>
      <w:kern w:val="0"/>
      <w:sz w:val="28"/>
      <w:szCs w:val="28"/>
    </w:rPr>
  </w:style>
  <w:style w:type="paragraph" w:styleId="z-0">
    <w:name w:val="HTML Bottom of Form"/>
    <w:basedOn w:val="af3"/>
    <w:next w:val="af3"/>
    <w:link w:val="z-Char0"/>
    <w:rsid w:val="009964C3"/>
    <w:pPr>
      <w:widowControl/>
      <w:pBdr>
        <w:top w:val="single" w:sz="6" w:space="1" w:color="auto"/>
      </w:pBdr>
      <w:spacing w:line="480" w:lineRule="exact"/>
      <w:jc w:val="center"/>
    </w:pPr>
    <w:rPr>
      <w:rFonts w:ascii="Arial" w:hAnsi="Arial"/>
      <w:vanish/>
      <w:kern w:val="0"/>
      <w:sz w:val="16"/>
      <w:szCs w:val="16"/>
    </w:rPr>
  </w:style>
  <w:style w:type="paragraph" w:customStyle="1" w:styleId="21e">
    <w:name w:val="等核实21"/>
    <w:basedOn w:val="afffffff4"/>
    <w:rsid w:val="009964C3"/>
  </w:style>
  <w:style w:type="paragraph" w:customStyle="1" w:styleId="xl103">
    <w:name w:val="xl103"/>
    <w:basedOn w:val="af3"/>
    <w:rsid w:val="009964C3"/>
    <w:pPr>
      <w:widowControl/>
      <w:pBdr>
        <w:top w:val="single" w:sz="4" w:space="0" w:color="auto"/>
        <w:bottom w:val="single" w:sz="4" w:space="0" w:color="auto"/>
        <w:right w:val="single" w:sz="4" w:space="0" w:color="auto"/>
      </w:pBdr>
      <w:spacing w:before="100" w:after="100"/>
      <w:jc w:val="center"/>
      <w:textAlignment w:val="center"/>
    </w:pPr>
    <w:rPr>
      <w:rFonts w:ascii="Arial" w:hAnsi="Arial"/>
      <w:kern w:val="0"/>
      <w:sz w:val="20"/>
      <w:szCs w:val="20"/>
    </w:rPr>
  </w:style>
  <w:style w:type="paragraph" w:customStyle="1" w:styleId="1fffff2">
    <w:name w:val="表内文字1"/>
    <w:basedOn w:val="af3"/>
    <w:rsid w:val="009964C3"/>
    <w:pPr>
      <w:widowControl/>
      <w:adjustRightInd w:val="0"/>
      <w:snapToGrid w:val="0"/>
      <w:spacing w:line="420" w:lineRule="exact"/>
      <w:jc w:val="center"/>
    </w:pPr>
    <w:rPr>
      <w:rFonts w:ascii="宋体"/>
      <w:spacing w:val="10"/>
      <w:kern w:val="0"/>
      <w:sz w:val="18"/>
      <w:szCs w:val="20"/>
    </w:rPr>
  </w:style>
  <w:style w:type="paragraph" w:customStyle="1" w:styleId="Bullet10">
    <w:name w:val="Bullet1"/>
    <w:basedOn w:val="af3"/>
    <w:rsid w:val="009964C3"/>
    <w:pPr>
      <w:ind w:firstLine="288"/>
    </w:pPr>
  </w:style>
  <w:style w:type="paragraph" w:customStyle="1" w:styleId="1fffff3">
    <w:name w:val="页眉中1"/>
    <w:basedOn w:val="4a"/>
    <w:rsid w:val="009964C3"/>
    <w:pPr>
      <w:snapToGrid w:val="0"/>
      <w:spacing w:line="300" w:lineRule="auto"/>
      <w:textAlignment w:val="auto"/>
    </w:pPr>
    <w:rPr>
      <w:rFonts w:ascii="黑体" w:eastAsia="黑体" w:hAnsi="宋体" w:cs="宋体"/>
    </w:rPr>
  </w:style>
  <w:style w:type="paragraph" w:customStyle="1" w:styleId="afffffffffffffffffffffffc">
    <w:name w:val="标题后正文"/>
    <w:basedOn w:val="af3"/>
    <w:rsid w:val="009964C3"/>
    <w:pPr>
      <w:adjustRightInd w:val="0"/>
      <w:spacing w:line="360" w:lineRule="auto"/>
      <w:ind w:firstLineChars="200" w:firstLine="200"/>
      <w:textAlignment w:val="baseline"/>
    </w:pPr>
    <w:rPr>
      <w:rFonts w:ascii="Arial" w:hAnsi="Arial"/>
      <w:snapToGrid w:val="0"/>
      <w:kern w:val="28"/>
      <w:sz w:val="24"/>
      <w:szCs w:val="20"/>
    </w:rPr>
  </w:style>
  <w:style w:type="paragraph" w:customStyle="1" w:styleId="0011">
    <w:name w:val="正文001"/>
    <w:basedOn w:val="af3"/>
    <w:rsid w:val="009964C3"/>
    <w:pPr>
      <w:spacing w:line="440" w:lineRule="atLeast"/>
      <w:ind w:firstLineChars="200" w:firstLine="200"/>
    </w:pPr>
    <w:rPr>
      <w:sz w:val="24"/>
      <w:szCs w:val="20"/>
    </w:rPr>
  </w:style>
  <w:style w:type="paragraph" w:customStyle="1" w:styleId="1151">
    <w:name w:val="样式115"/>
    <w:basedOn w:val="af3"/>
    <w:rsid w:val="009964C3"/>
    <w:pPr>
      <w:adjustRightInd w:val="0"/>
      <w:snapToGrid w:val="0"/>
      <w:spacing w:line="300" w:lineRule="auto"/>
      <w:jc w:val="center"/>
      <w:textAlignment w:val="baseline"/>
    </w:pPr>
    <w:rPr>
      <w:rFonts w:ascii="仿宋_GB2312" w:eastAsia="仿宋_GB2312" w:hAnsi="Courier New"/>
      <w:b/>
      <w:kern w:val="0"/>
      <w:sz w:val="28"/>
      <w:szCs w:val="20"/>
    </w:rPr>
  </w:style>
  <w:style w:type="paragraph" w:customStyle="1" w:styleId="2225">
    <w:name w:val="样式 样式 样式 样式 样式 首行缩进:  2 字符 + 首行缩进:  2 字符 + + 首行缩进:  2 字符 + 首行缩进:..."/>
    <w:basedOn w:val="afff"/>
    <w:next w:val="afff"/>
    <w:rsid w:val="009964C3"/>
    <w:pPr>
      <w:widowControl/>
      <w:spacing w:after="0" w:line="360" w:lineRule="auto"/>
      <w:ind w:firstLine="480"/>
    </w:pPr>
    <w:rPr>
      <w:kern w:val="0"/>
      <w:sz w:val="30"/>
      <w:szCs w:val="20"/>
    </w:rPr>
  </w:style>
  <w:style w:type="paragraph" w:customStyle="1" w:styleId="2ffff0">
    <w:name w:val="正文样式2"/>
    <w:basedOn w:val="af3"/>
    <w:rsid w:val="009964C3"/>
    <w:pPr>
      <w:adjustRightInd w:val="0"/>
      <w:snapToGrid w:val="0"/>
      <w:spacing w:line="360" w:lineRule="auto"/>
      <w:ind w:firstLine="510"/>
      <w:textAlignment w:val="baseline"/>
    </w:pPr>
    <w:rPr>
      <w:rFonts w:ascii="宋体"/>
      <w:kern w:val="24"/>
      <w:sz w:val="24"/>
      <w:szCs w:val="20"/>
    </w:rPr>
  </w:style>
  <w:style w:type="paragraph" w:customStyle="1" w:styleId="429">
    <w:name w:val="等核实42"/>
    <w:basedOn w:val="afffffff4"/>
    <w:rsid w:val="009964C3"/>
    <w:pPr>
      <w:spacing w:line="300" w:lineRule="auto"/>
      <w:ind w:firstLine="567"/>
    </w:pPr>
    <w:rPr>
      <w:rFonts w:cs="Times New Roman"/>
      <w:color w:val="0000FF"/>
      <w:sz w:val="28"/>
      <w:szCs w:val="20"/>
    </w:rPr>
  </w:style>
  <w:style w:type="paragraph" w:customStyle="1" w:styleId="264">
    <w:name w:val="表题26"/>
    <w:basedOn w:val="af3"/>
    <w:qFormat/>
    <w:rsid w:val="009964C3"/>
    <w:pPr>
      <w:widowControl/>
      <w:adjustRightInd w:val="0"/>
      <w:snapToGrid w:val="0"/>
      <w:jc w:val="center"/>
    </w:pPr>
    <w:rPr>
      <w:rFonts w:ascii="黑体" w:eastAsia="黑体" w:hAnsi="宋体" w:cs="宋体"/>
      <w:kern w:val="0"/>
      <w:sz w:val="24"/>
    </w:rPr>
  </w:style>
  <w:style w:type="paragraph" w:customStyle="1" w:styleId="3fff0">
    <w:name w:val="列表3"/>
    <w:basedOn w:val="1ffa"/>
    <w:semiHidden/>
    <w:rsid w:val="009964C3"/>
    <w:pPr>
      <w:tabs>
        <w:tab w:val="clear" w:pos="1727"/>
        <w:tab w:val="clear" w:pos="1884"/>
      </w:tabs>
      <w:spacing w:before="0" w:beforeAutospacing="0"/>
      <w:jc w:val="right"/>
      <w:outlineLvl w:val="9"/>
    </w:pPr>
    <w:rPr>
      <w:rFonts w:ascii="Times New Roman"/>
      <w:sz w:val="21"/>
    </w:rPr>
  </w:style>
  <w:style w:type="paragraph" w:customStyle="1" w:styleId="afffffffffffffffffffffffd">
    <w:name w:val="表格内容自定"/>
    <w:basedOn w:val="af3"/>
    <w:rsid w:val="009964C3"/>
    <w:pPr>
      <w:spacing w:line="280" w:lineRule="exact"/>
      <w:jc w:val="center"/>
    </w:pPr>
    <w:rPr>
      <w:kern w:val="0"/>
      <w:sz w:val="18"/>
      <w:szCs w:val="21"/>
    </w:rPr>
  </w:style>
  <w:style w:type="paragraph" w:customStyle="1" w:styleId="GB23121521">
    <w:name w:val="样式 楷体_GB2312 小四 行距: 1.5 倍行距 首行缩进:  2 字符"/>
    <w:basedOn w:val="af3"/>
    <w:rsid w:val="009964C3"/>
    <w:pPr>
      <w:spacing w:line="360" w:lineRule="auto"/>
      <w:ind w:firstLineChars="200" w:firstLine="480"/>
    </w:pPr>
    <w:rPr>
      <w:rFonts w:ascii="楷体_GB2312" w:cs="宋体"/>
      <w:sz w:val="24"/>
      <w:szCs w:val="20"/>
    </w:rPr>
  </w:style>
  <w:style w:type="paragraph" w:customStyle="1" w:styleId="2ffff1">
    <w:name w:val="中文报告书样式2"/>
    <w:basedOn w:val="af3"/>
    <w:rsid w:val="009964C3"/>
    <w:pPr>
      <w:adjustRightInd w:val="0"/>
      <w:spacing w:line="480" w:lineRule="atLeast"/>
      <w:ind w:firstLine="482"/>
      <w:textAlignment w:val="baseline"/>
    </w:pPr>
    <w:rPr>
      <w:rFonts w:ascii="宋体" w:hAnsi="宋体"/>
      <w:kern w:val="24"/>
      <w:sz w:val="24"/>
      <w:szCs w:val="20"/>
    </w:rPr>
  </w:style>
  <w:style w:type="paragraph" w:customStyle="1" w:styleId="40420421">
    <w:name w:val="样式 标题 4 + 左侧:  0.42 厘米 右侧:  0.42 厘米1"/>
    <w:basedOn w:val="43"/>
    <w:semiHidden/>
    <w:rsid w:val="009964C3"/>
    <w:pPr>
      <w:keepNext w:val="0"/>
      <w:tabs>
        <w:tab w:val="left" w:pos="2945"/>
      </w:tabs>
      <w:adjustRightInd w:val="0"/>
      <w:snapToGrid w:val="0"/>
      <w:spacing w:beforeLines="50" w:after="0" w:line="240" w:lineRule="auto"/>
      <w:ind w:left="862" w:firstLineChars="200" w:firstLine="474"/>
    </w:pPr>
    <w:rPr>
      <w:rFonts w:ascii="Times New Roman" w:eastAsia="宋体" w:hAnsi="Times New Roman" w:cs="宋体"/>
      <w:kern w:val="0"/>
      <w:sz w:val="21"/>
    </w:rPr>
  </w:style>
  <w:style w:type="paragraph" w:customStyle="1" w:styleId="1fffff4">
    <w:name w:val="等核实1"/>
    <w:basedOn w:val="afffffff4"/>
    <w:rsid w:val="009964C3"/>
    <w:pPr>
      <w:ind w:firstLine="567"/>
    </w:pPr>
    <w:rPr>
      <w:rFonts w:cs="Times New Roman"/>
      <w:color w:val="0000FF"/>
      <w:szCs w:val="20"/>
    </w:rPr>
  </w:style>
  <w:style w:type="paragraph" w:customStyle="1" w:styleId="344">
    <w:name w:val="样式 目录 3 + 左侧:  4 字符"/>
    <w:basedOn w:val="3e"/>
    <w:semiHidden/>
    <w:rsid w:val="009964C3"/>
    <w:pPr>
      <w:tabs>
        <w:tab w:val="right" w:leader="dot" w:pos="8494"/>
      </w:tabs>
      <w:spacing w:beforeLines="50"/>
      <w:ind w:left="945"/>
    </w:pPr>
    <w:rPr>
      <w:rFonts w:cs="宋体"/>
      <w:sz w:val="24"/>
    </w:rPr>
  </w:style>
  <w:style w:type="paragraph" w:customStyle="1" w:styleId="1340">
    <w:name w:val="表题134"/>
    <w:basedOn w:val="afffffff4"/>
    <w:rsid w:val="009964C3"/>
    <w:pPr>
      <w:spacing w:line="240" w:lineRule="auto"/>
      <w:ind w:firstLineChars="200" w:firstLine="480"/>
      <w:jc w:val="center"/>
    </w:pPr>
    <w:rPr>
      <w:rFonts w:ascii="黑体" w:eastAsia="黑体" w:cs="Times New Roman"/>
      <w:color w:val="auto"/>
      <w:szCs w:val="20"/>
    </w:rPr>
  </w:style>
  <w:style w:type="paragraph" w:customStyle="1" w:styleId="200">
    <w:name w:val="页眉中20"/>
    <w:basedOn w:val="af3"/>
    <w:rsid w:val="009964C3"/>
    <w:pPr>
      <w:adjustRightInd w:val="0"/>
      <w:snapToGrid w:val="0"/>
      <w:spacing w:line="300" w:lineRule="auto"/>
      <w:jc w:val="center"/>
    </w:pPr>
    <w:rPr>
      <w:rFonts w:ascii="黑体" w:eastAsia="黑体"/>
      <w:bCs/>
      <w:sz w:val="24"/>
      <w:szCs w:val="20"/>
    </w:rPr>
  </w:style>
  <w:style w:type="paragraph" w:customStyle="1" w:styleId="2052">
    <w:name w:val="样式 标题 2 + 段后: 0.5 行"/>
    <w:basedOn w:val="22"/>
    <w:rsid w:val="009964C3"/>
    <w:pPr>
      <w:widowControl/>
      <w:autoSpaceDN w:val="0"/>
      <w:adjustRightInd w:val="0"/>
      <w:snapToGrid w:val="0"/>
      <w:spacing w:before="120" w:after="0" w:line="360" w:lineRule="auto"/>
      <w:jc w:val="left"/>
      <w:textAlignment w:val="baseline"/>
    </w:pPr>
    <w:rPr>
      <w:rFonts w:ascii="黑体" w:cs="宋体"/>
      <w:b w:val="0"/>
      <w:bCs w:val="0"/>
      <w:kern w:val="0"/>
      <w:sz w:val="30"/>
      <w:szCs w:val="30"/>
    </w:rPr>
  </w:style>
  <w:style w:type="paragraph" w:customStyle="1" w:styleId="11d">
    <w:name w:val="正文首行缩进11"/>
    <w:basedOn w:val="2223"/>
    <w:semiHidden/>
    <w:rsid w:val="009964C3"/>
    <w:pPr>
      <w:snapToGrid w:val="0"/>
      <w:spacing w:beforeLines="50"/>
      <w:ind w:firstLine="480"/>
    </w:pPr>
    <w:rPr>
      <w:rFonts w:cs="宋体"/>
      <w:sz w:val="24"/>
      <w:szCs w:val="20"/>
    </w:rPr>
  </w:style>
  <w:style w:type="paragraph" w:customStyle="1" w:styleId="577">
    <w:name w:val="表5.7"/>
    <w:basedOn w:val="21f"/>
    <w:rsid w:val="009964C3"/>
    <w:pPr>
      <w:tabs>
        <w:tab w:val="clear" w:pos="1080"/>
        <w:tab w:val="left" w:pos="510"/>
      </w:tabs>
      <w:ind w:left="510" w:firstLineChars="0" w:hanging="397"/>
    </w:pPr>
  </w:style>
  <w:style w:type="paragraph" w:customStyle="1" w:styleId="21f">
    <w:name w:val="样式 表2.1 + 居中"/>
    <w:basedOn w:val="21"/>
    <w:rsid w:val="009964C3"/>
    <w:pPr>
      <w:numPr>
        <w:numId w:val="0"/>
      </w:numPr>
      <w:tabs>
        <w:tab w:val="clear" w:pos="4060"/>
        <w:tab w:val="clear" w:pos="8261"/>
        <w:tab w:val="left" w:pos="360"/>
        <w:tab w:val="left" w:pos="1080"/>
        <w:tab w:val="left" w:pos="3765"/>
      </w:tabs>
      <w:ind w:left="360" w:hangingChars="200" w:hanging="360"/>
      <w:jc w:val="center"/>
    </w:pPr>
    <w:rPr>
      <w:rFonts w:cs="宋体"/>
      <w:bCs/>
      <w:szCs w:val="20"/>
    </w:rPr>
  </w:style>
  <w:style w:type="paragraph" w:customStyle="1" w:styleId="4-0505">
    <w:name w:val="样式 样式 标题4- + 段前: 0.5 行 + 段前: 0.5 行"/>
    <w:basedOn w:val="af3"/>
    <w:rsid w:val="009964C3"/>
    <w:pPr>
      <w:tabs>
        <w:tab w:val="left" w:pos="1205"/>
        <w:tab w:val="left" w:pos="2315"/>
      </w:tabs>
      <w:autoSpaceDE w:val="0"/>
      <w:autoSpaceDN w:val="0"/>
      <w:adjustRightInd w:val="0"/>
      <w:snapToGrid w:val="0"/>
      <w:spacing w:beforeLines="50"/>
      <w:ind w:left="1405" w:hanging="170"/>
      <w:jc w:val="left"/>
      <w:textAlignment w:val="baseline"/>
      <w:outlineLvl w:val="3"/>
    </w:pPr>
    <w:rPr>
      <w:rFonts w:eastAsia="黑体" w:cs="宋体"/>
      <w:snapToGrid w:val="0"/>
      <w:spacing w:val="20"/>
      <w:kern w:val="0"/>
      <w:sz w:val="20"/>
      <w:szCs w:val="20"/>
    </w:rPr>
  </w:style>
  <w:style w:type="paragraph" w:customStyle="1" w:styleId="2211">
    <w:name w:val="样式 目录 2 + 左侧:  2 字符1"/>
    <w:basedOn w:val="2ff2"/>
    <w:semiHidden/>
    <w:rsid w:val="009964C3"/>
    <w:pPr>
      <w:tabs>
        <w:tab w:val="clear" w:pos="8296"/>
        <w:tab w:val="right" w:leader="dot" w:pos="8494"/>
      </w:tabs>
      <w:spacing w:beforeLines="50"/>
      <w:ind w:left="472"/>
    </w:pPr>
    <w:rPr>
      <w:rFonts w:cs="宋体"/>
      <w:sz w:val="24"/>
    </w:rPr>
  </w:style>
  <w:style w:type="paragraph" w:customStyle="1" w:styleId="21f0">
    <w:name w:val="燕山正文21"/>
    <w:basedOn w:val="af3"/>
    <w:rsid w:val="009964C3"/>
    <w:pPr>
      <w:tabs>
        <w:tab w:val="left" w:pos="4680"/>
      </w:tabs>
      <w:adjustRightInd w:val="0"/>
      <w:snapToGrid w:val="0"/>
      <w:spacing w:line="360" w:lineRule="auto"/>
      <w:ind w:firstLineChars="200" w:firstLine="480"/>
      <w:jc w:val="left"/>
    </w:pPr>
    <w:rPr>
      <w:rFonts w:ascii="宋体" w:hAnsi="宋体"/>
      <w:bCs/>
      <w:color w:val="000000"/>
      <w:sz w:val="24"/>
    </w:rPr>
  </w:style>
  <w:style w:type="paragraph" w:customStyle="1" w:styleId="afffffffffffffffffffffffe">
    <w:name w:val="我的正文"/>
    <w:basedOn w:val="af3"/>
    <w:rsid w:val="009964C3"/>
    <w:pPr>
      <w:ind w:firstLineChars="192" w:firstLine="538"/>
    </w:pPr>
    <w:rPr>
      <w:sz w:val="28"/>
      <w:szCs w:val="20"/>
    </w:rPr>
  </w:style>
  <w:style w:type="paragraph" w:customStyle="1" w:styleId="1040">
    <w:name w:val="表题104"/>
    <w:basedOn w:val="af4"/>
    <w:rsid w:val="009964C3"/>
    <w:pPr>
      <w:ind w:firstLineChars="0" w:firstLine="0"/>
      <w:jc w:val="center"/>
    </w:pPr>
    <w:rPr>
      <w:rFonts w:ascii="黑体" w:eastAsia="黑体"/>
      <w:sz w:val="24"/>
      <w:szCs w:val="24"/>
    </w:rPr>
  </w:style>
  <w:style w:type="paragraph" w:customStyle="1" w:styleId="Bullet4">
    <w:name w:val="Bullet 4"/>
    <w:basedOn w:val="af3"/>
    <w:next w:val="af3"/>
    <w:rsid w:val="009964C3"/>
    <w:pPr>
      <w:widowControl/>
      <w:numPr>
        <w:numId w:val="50"/>
      </w:numPr>
      <w:tabs>
        <w:tab w:val="left" w:pos="720"/>
        <w:tab w:val="left" w:pos="1440"/>
      </w:tabs>
      <w:ind w:left="4320"/>
      <w:jc w:val="left"/>
    </w:pPr>
    <w:rPr>
      <w:rFonts w:ascii="Arial"/>
      <w:kern w:val="0"/>
      <w:sz w:val="20"/>
    </w:rPr>
  </w:style>
  <w:style w:type="paragraph" w:customStyle="1" w:styleId="1fffff5">
    <w:name w:val="福建正文缩进1"/>
    <w:basedOn w:val="af4"/>
    <w:rsid w:val="009964C3"/>
    <w:pPr>
      <w:autoSpaceDE w:val="0"/>
      <w:autoSpaceDN w:val="0"/>
      <w:adjustRightInd w:val="0"/>
      <w:snapToGrid w:val="0"/>
      <w:spacing w:line="360" w:lineRule="auto"/>
      <w:ind w:firstLineChars="0" w:firstLine="539"/>
    </w:pPr>
    <w:rPr>
      <w:rFonts w:ascii="宋体" w:hAnsi="宋体"/>
      <w:b/>
      <w:sz w:val="24"/>
      <w:szCs w:val="24"/>
    </w:rPr>
  </w:style>
  <w:style w:type="paragraph" w:customStyle="1" w:styleId="xl22">
    <w:name w:val="xl22"/>
    <w:basedOn w:val="af3"/>
    <w:rsid w:val="009964C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4"/>
    </w:rPr>
  </w:style>
  <w:style w:type="paragraph" w:customStyle="1" w:styleId="220510">
    <w:name w:val="样式 标题 2 + 首行缩进:  2 字符 段前: 0.5 行1"/>
    <w:basedOn w:val="22"/>
    <w:next w:val="2fd"/>
    <w:semiHidden/>
    <w:rsid w:val="009964C3"/>
    <w:pPr>
      <w:tabs>
        <w:tab w:val="left" w:pos="959"/>
      </w:tabs>
      <w:adjustRightInd w:val="0"/>
      <w:snapToGrid w:val="0"/>
      <w:spacing w:before="181" w:after="0" w:line="240" w:lineRule="auto"/>
      <w:ind w:left="576"/>
    </w:pPr>
    <w:rPr>
      <w:rFonts w:ascii="黑体"/>
      <w:sz w:val="24"/>
      <w:szCs w:val="20"/>
    </w:rPr>
  </w:style>
  <w:style w:type="paragraph" w:customStyle="1" w:styleId="5ffb">
    <w:name w:val="环评正文5"/>
    <w:rsid w:val="009964C3"/>
    <w:pPr>
      <w:spacing w:line="360" w:lineRule="exact"/>
      <w:ind w:firstLineChars="200" w:firstLine="200"/>
    </w:pPr>
    <w:rPr>
      <w:color w:val="000000"/>
      <w:kern w:val="21"/>
      <w:sz w:val="24"/>
      <w:szCs w:val="24"/>
    </w:rPr>
  </w:style>
  <w:style w:type="paragraph" w:customStyle="1" w:styleId="21121122Char12Heading2-2Ch">
    <w:name w:val="样式 标题 21.1标题 21.1标题2标题 2 Char1节标2_Heading 2可研-标题 2节 Ch..."/>
    <w:basedOn w:val="22"/>
    <w:rsid w:val="009964C3"/>
    <w:pPr>
      <w:tabs>
        <w:tab w:val="left" w:pos="1200"/>
      </w:tabs>
      <w:spacing w:before="120" w:after="120" w:line="240" w:lineRule="auto"/>
      <w:ind w:leftChars="400" w:left="1200" w:hangingChars="200" w:hanging="360"/>
    </w:pPr>
    <w:rPr>
      <w:rFonts w:cs="宋体"/>
      <w:color w:val="000000"/>
      <w:sz w:val="24"/>
      <w:szCs w:val="20"/>
    </w:rPr>
  </w:style>
  <w:style w:type="paragraph" w:customStyle="1" w:styleId="5820">
    <w:name w:val="表内582"/>
    <w:basedOn w:val="af3"/>
    <w:rsid w:val="009964C3"/>
    <w:pPr>
      <w:adjustRightInd w:val="0"/>
      <w:snapToGrid w:val="0"/>
      <w:spacing w:line="300" w:lineRule="auto"/>
      <w:jc w:val="left"/>
    </w:pPr>
    <w:rPr>
      <w:rFonts w:ascii="宋体"/>
      <w:szCs w:val="20"/>
    </w:rPr>
  </w:style>
  <w:style w:type="paragraph" w:customStyle="1" w:styleId="6d">
    <w:name w:val="燕山正文6"/>
    <w:basedOn w:val="af3"/>
    <w:rsid w:val="009964C3"/>
    <w:pPr>
      <w:tabs>
        <w:tab w:val="left" w:pos="4680"/>
      </w:tabs>
      <w:adjustRightInd w:val="0"/>
      <w:snapToGrid w:val="0"/>
      <w:spacing w:line="360" w:lineRule="auto"/>
      <w:ind w:firstLineChars="200" w:firstLine="200"/>
      <w:jc w:val="left"/>
    </w:pPr>
    <w:rPr>
      <w:rFonts w:ascii="宋体" w:hAnsi="宋体" w:cs="宋体"/>
      <w:color w:val="000000"/>
      <w:sz w:val="28"/>
      <w:szCs w:val="28"/>
    </w:rPr>
  </w:style>
  <w:style w:type="paragraph" w:customStyle="1" w:styleId="dandan6-133">
    <w:name w:val="dandan6-13标题3"/>
    <w:basedOn w:val="31"/>
    <w:qFormat/>
    <w:rsid w:val="009964C3"/>
    <w:pPr>
      <w:keepNext w:val="0"/>
      <w:keepLines w:val="0"/>
      <w:spacing w:before="80" w:after="80" w:line="360" w:lineRule="auto"/>
    </w:pPr>
    <w:rPr>
      <w:rFonts w:eastAsia="黑体"/>
      <w:bCs w:val="0"/>
      <w:sz w:val="28"/>
    </w:rPr>
  </w:style>
  <w:style w:type="paragraph" w:customStyle="1" w:styleId="2ffff2">
    <w:name w:val="节标题2"/>
    <w:basedOn w:val="aff8"/>
    <w:rsid w:val="009964C3"/>
    <w:pPr>
      <w:widowControl w:val="0"/>
      <w:overflowPunct/>
      <w:autoSpaceDE/>
      <w:autoSpaceDN/>
      <w:adjustRightInd/>
      <w:spacing w:before="120" w:after="120" w:line="560" w:lineRule="exact"/>
      <w:jc w:val="both"/>
      <w:textAlignment w:val="auto"/>
      <w:outlineLvl w:val="0"/>
    </w:pPr>
    <w:rPr>
      <w:rFonts w:ascii="宋体" w:eastAsia="宋体" w:hAnsi="宋体"/>
      <w:b/>
      <w:kern w:val="28"/>
    </w:rPr>
  </w:style>
  <w:style w:type="paragraph" w:customStyle="1" w:styleId="aff8">
    <w:name w:val="节标题"/>
    <w:basedOn w:val="af3"/>
    <w:link w:val="Char8"/>
    <w:semiHidden/>
    <w:rsid w:val="009964C3"/>
    <w:pPr>
      <w:widowControl/>
      <w:overflowPunct w:val="0"/>
      <w:autoSpaceDE w:val="0"/>
      <w:autoSpaceDN w:val="0"/>
      <w:adjustRightInd w:val="0"/>
      <w:spacing w:line="289" w:lineRule="atLeast"/>
      <w:jc w:val="center"/>
      <w:textAlignment w:val="baseline"/>
    </w:pPr>
    <w:rPr>
      <w:rFonts w:ascii="Arial" w:eastAsia="仿宋_GB2312" w:hAnsi="Arial"/>
      <w:color w:val="000000"/>
      <w:kern w:val="20"/>
      <w:sz w:val="28"/>
      <w:szCs w:val="20"/>
    </w:rPr>
  </w:style>
  <w:style w:type="paragraph" w:customStyle="1" w:styleId="CharCharChar1CharCharCharCharCharCharCharCharCharCharCharChar1CharCharCharCharCharCharCharCharCharCharCharCharCharCharCharCharCharCharCharCharCharCharCharChar1">
    <w:name w:val="Char Char Char1 Char Char Char Char Char Char Char Char Char Char Char Char1 Char Char Char Char Char Char Char Char Char Char Char Char Char Char Char Char Char Char Char Char Char Char Char Char1"/>
    <w:basedOn w:val="af3"/>
    <w:qFormat/>
    <w:rsid w:val="009964C3"/>
  </w:style>
  <w:style w:type="paragraph" w:customStyle="1" w:styleId="12d">
    <w:name w:val="图题12"/>
    <w:basedOn w:val="af4"/>
    <w:rsid w:val="009964C3"/>
    <w:pPr>
      <w:adjustRightInd w:val="0"/>
      <w:snapToGrid w:val="0"/>
      <w:ind w:firstLineChars="0" w:firstLine="0"/>
      <w:jc w:val="center"/>
    </w:pPr>
    <w:rPr>
      <w:rFonts w:ascii="方正大标宋简体" w:eastAsia="方正大标宋简体" w:hAnsi="宋体"/>
      <w:sz w:val="24"/>
      <w:szCs w:val="24"/>
    </w:rPr>
  </w:style>
  <w:style w:type="paragraph" w:customStyle="1" w:styleId="4110">
    <w:name w:val="标题411"/>
    <w:basedOn w:val="af3"/>
    <w:rsid w:val="009964C3"/>
    <w:pPr>
      <w:adjustRightInd w:val="0"/>
      <w:snapToGrid w:val="0"/>
      <w:spacing w:line="300" w:lineRule="auto"/>
      <w:jc w:val="left"/>
    </w:pPr>
    <w:rPr>
      <w:rFonts w:ascii="黑体" w:eastAsia="黑体" w:hAnsi="宋体" w:cs="宋体"/>
      <w:bCs/>
      <w:sz w:val="24"/>
      <w:szCs w:val="20"/>
    </w:rPr>
  </w:style>
  <w:style w:type="paragraph" w:customStyle="1" w:styleId="affffffffffffffffffffffff">
    <w:name w:val="框图内容"/>
    <w:basedOn w:val="afffffffff2"/>
    <w:qFormat/>
    <w:rsid w:val="009964C3"/>
    <w:pPr>
      <w:spacing w:line="320" w:lineRule="exact"/>
      <w:jc w:val="center"/>
    </w:pPr>
    <w:rPr>
      <w:rFonts w:hAnsi="宋体" w:cs="Times New Roman"/>
      <w:b/>
      <w:bCs/>
      <w:szCs w:val="24"/>
    </w:rPr>
  </w:style>
  <w:style w:type="paragraph" w:customStyle="1" w:styleId="tiret2eniveau">
    <w:name w:val="_tiret (2e niveau)"/>
    <w:rsid w:val="009964C3"/>
    <w:pPr>
      <w:spacing w:before="120"/>
      <w:ind w:left="1134" w:hanging="284"/>
      <w:jc w:val="both"/>
    </w:pPr>
    <w:rPr>
      <w:sz w:val="24"/>
      <w:lang w:val="fr-FR"/>
    </w:rPr>
  </w:style>
  <w:style w:type="paragraph" w:customStyle="1" w:styleId="21121122Char12Heading2">
    <w:name w:val="样式 样式 样式 样式 标题 21.1标题 21.1标题2标题 2 Char1节标2_Heading 2一级条二级标题，黑粗，...."/>
    <w:basedOn w:val="af3"/>
    <w:rsid w:val="009964C3"/>
    <w:pPr>
      <w:keepNext/>
      <w:widowControl/>
      <w:numPr>
        <w:ilvl w:val="1"/>
        <w:numId w:val="51"/>
      </w:numPr>
      <w:snapToGrid w:val="0"/>
      <w:spacing w:beforeLines="50" w:afterLines="50"/>
      <w:outlineLvl w:val="1"/>
    </w:pPr>
    <w:rPr>
      <w:rFonts w:ascii="黑体" w:eastAsia="黑体" w:hAnsi="Arial" w:cs="宋体"/>
      <w:color w:val="000000"/>
      <w:kern w:val="24"/>
      <w:sz w:val="28"/>
      <w:szCs w:val="20"/>
      <w:lang w:val="zh-CN"/>
    </w:rPr>
  </w:style>
  <w:style w:type="paragraph" w:customStyle="1" w:styleId="CharCharChar1CharCharCharCharCharCharCharCharCharCharCharChar1CharCharCharCharCharCharCharCharCharCharCharCharCharCharCharCharCharChar">
    <w:name w:val="Char Char Char1 Char Char Char Char Char Char Char Char Char Char Char Char1 Char Char Char Char Char Char Char Char Char Char Char Char Char Char Char Char Char Char"/>
    <w:basedOn w:val="af3"/>
    <w:qFormat/>
    <w:rsid w:val="009964C3"/>
  </w:style>
  <w:style w:type="paragraph" w:customStyle="1" w:styleId="Items">
    <w:name w:val="Items"/>
    <w:basedOn w:val="af3"/>
    <w:rsid w:val="009964C3"/>
    <w:pPr>
      <w:tabs>
        <w:tab w:val="left" w:pos="720"/>
        <w:tab w:val="left" w:pos="992"/>
      </w:tabs>
      <w:spacing w:before="10" w:after="20" w:line="460" w:lineRule="atLeast"/>
      <w:ind w:left="992" w:hanging="425"/>
    </w:pPr>
    <w:rPr>
      <w:rFonts w:ascii="Tahoma" w:eastAsia="华文中宋" w:hAnsi="Tahoma"/>
      <w:sz w:val="28"/>
      <w:szCs w:val="20"/>
    </w:rPr>
  </w:style>
  <w:style w:type="paragraph" w:customStyle="1" w:styleId="1052">
    <w:name w:val="页眉中105"/>
    <w:basedOn w:val="af3"/>
    <w:rsid w:val="009964C3"/>
    <w:pPr>
      <w:adjustRightInd w:val="0"/>
      <w:snapToGrid w:val="0"/>
      <w:spacing w:line="300" w:lineRule="auto"/>
      <w:jc w:val="left"/>
    </w:pPr>
    <w:rPr>
      <w:rFonts w:ascii="黑体" w:eastAsia="黑体"/>
      <w:bCs/>
      <w:sz w:val="24"/>
      <w:szCs w:val="20"/>
    </w:rPr>
  </w:style>
  <w:style w:type="paragraph" w:customStyle="1" w:styleId="2ffff3">
    <w:name w:val="待核实小2"/>
    <w:basedOn w:val="affffffffff"/>
    <w:rsid w:val="009964C3"/>
    <w:rPr>
      <w:rFonts w:cs="Times New Roman"/>
      <w:color w:val="000080"/>
      <w:sz w:val="21"/>
    </w:rPr>
  </w:style>
  <w:style w:type="paragraph" w:customStyle="1" w:styleId="3fff1">
    <w:name w:val="图题3"/>
    <w:basedOn w:val="af4"/>
    <w:rsid w:val="009964C3"/>
    <w:pPr>
      <w:adjustRightInd w:val="0"/>
      <w:snapToGrid w:val="0"/>
      <w:ind w:firstLineChars="0" w:firstLine="0"/>
      <w:jc w:val="center"/>
    </w:pPr>
    <w:rPr>
      <w:rFonts w:ascii="方正大标宋简体" w:eastAsia="方正大标宋简体"/>
      <w:b/>
      <w:sz w:val="24"/>
      <w:szCs w:val="24"/>
    </w:rPr>
  </w:style>
  <w:style w:type="paragraph" w:customStyle="1" w:styleId="229">
    <w:name w:val="表题22"/>
    <w:basedOn w:val="af3"/>
    <w:rsid w:val="009964C3"/>
    <w:pPr>
      <w:widowControl/>
      <w:adjustRightInd w:val="0"/>
      <w:snapToGrid w:val="0"/>
      <w:jc w:val="center"/>
    </w:pPr>
    <w:rPr>
      <w:rFonts w:ascii="黑体" w:eastAsia="黑体" w:hAnsi="宋体" w:cs="宋体"/>
      <w:kern w:val="0"/>
      <w:sz w:val="24"/>
    </w:rPr>
  </w:style>
  <w:style w:type="paragraph" w:customStyle="1" w:styleId="6e">
    <w:name w:val="等核实6"/>
    <w:basedOn w:val="afffffff4"/>
    <w:rsid w:val="009964C3"/>
  </w:style>
  <w:style w:type="paragraph" w:customStyle="1" w:styleId="af0">
    <w:name w:val="_三级标题"/>
    <w:qFormat/>
    <w:rsid w:val="009964C3"/>
    <w:pPr>
      <w:numPr>
        <w:ilvl w:val="5"/>
        <w:numId w:val="17"/>
      </w:numPr>
      <w:jc w:val="both"/>
    </w:pPr>
    <w:rPr>
      <w:rFonts w:ascii="宋体" w:hAnsi="宋体" w:cs="宋体"/>
      <w:color w:val="000000"/>
      <w:kern w:val="2"/>
      <w:sz w:val="28"/>
      <w:szCs w:val="28"/>
      <w:lang w:val="zh-CN"/>
    </w:rPr>
  </w:style>
  <w:style w:type="paragraph" w:customStyle="1" w:styleId="4ff5">
    <w:name w:val="宏福4"/>
    <w:basedOn w:val="af3"/>
    <w:rsid w:val="009964C3"/>
    <w:pPr>
      <w:snapToGrid w:val="0"/>
      <w:spacing w:line="400" w:lineRule="atLeast"/>
      <w:ind w:firstLine="567"/>
    </w:pPr>
    <w:rPr>
      <w:sz w:val="28"/>
      <w:szCs w:val="20"/>
    </w:rPr>
  </w:style>
  <w:style w:type="paragraph" w:customStyle="1" w:styleId="3fff2">
    <w:name w:val="样式 标题 3 + 四号"/>
    <w:basedOn w:val="31"/>
    <w:rsid w:val="009964C3"/>
    <w:pPr>
      <w:spacing w:before="120" w:after="120" w:line="240" w:lineRule="auto"/>
    </w:pPr>
    <w:rPr>
      <w:rFonts w:eastAsia="黑体" w:cs="宋体"/>
      <w:b w:val="0"/>
      <w:bCs w:val="0"/>
      <w:sz w:val="28"/>
      <w:szCs w:val="20"/>
    </w:rPr>
  </w:style>
  <w:style w:type="paragraph" w:customStyle="1" w:styleId="ST2064">
    <w:name w:val="ST20_64"/>
    <w:basedOn w:val="ST2054"/>
    <w:rsid w:val="009964C3"/>
    <w:pPr>
      <w:ind w:left="2160"/>
    </w:pPr>
  </w:style>
  <w:style w:type="paragraph" w:customStyle="1" w:styleId="860">
    <w:name w:val="页眉中86"/>
    <w:basedOn w:val="4a"/>
    <w:rsid w:val="009964C3"/>
    <w:pPr>
      <w:snapToGrid w:val="0"/>
      <w:spacing w:line="360" w:lineRule="auto"/>
      <w:textAlignment w:val="auto"/>
    </w:pPr>
    <w:rPr>
      <w:rFonts w:ascii="宋体" w:hAnsi="宋体"/>
      <w:szCs w:val="24"/>
    </w:rPr>
  </w:style>
  <w:style w:type="paragraph" w:customStyle="1" w:styleId="affffffffffffffffffffffff0">
    <w:name w:val="表"/>
    <w:rsid w:val="009964C3"/>
    <w:pPr>
      <w:jc w:val="center"/>
    </w:pPr>
    <w:rPr>
      <w:sz w:val="21"/>
    </w:rPr>
  </w:style>
  <w:style w:type="paragraph" w:customStyle="1" w:styleId="ST201">
    <w:name w:val="ST20_1"/>
    <w:basedOn w:val="af3"/>
    <w:rsid w:val="009964C3"/>
    <w:pPr>
      <w:keepNext/>
      <w:keepLines/>
      <w:autoSpaceDE w:val="0"/>
      <w:autoSpaceDN w:val="0"/>
      <w:adjustRightInd w:val="0"/>
      <w:spacing w:before="240" w:after="120" w:line="360" w:lineRule="atLeast"/>
      <w:jc w:val="left"/>
      <w:textAlignment w:val="baseline"/>
    </w:pPr>
    <w:rPr>
      <w:rFonts w:ascii="宋体" w:hAnsi="Tms Rmn"/>
      <w:b/>
      <w:bCs/>
      <w:kern w:val="0"/>
      <w:sz w:val="36"/>
      <w:szCs w:val="36"/>
    </w:rPr>
  </w:style>
  <w:style w:type="paragraph" w:customStyle="1" w:styleId="405051">
    <w:name w:val="样式 标题 4 + 段前: 0.5 行 段后: 0.5 行1"/>
    <w:basedOn w:val="43"/>
    <w:semiHidden/>
    <w:rsid w:val="009964C3"/>
    <w:pPr>
      <w:tabs>
        <w:tab w:val="left" w:pos="2945"/>
      </w:tabs>
      <w:adjustRightInd w:val="0"/>
      <w:snapToGrid w:val="0"/>
      <w:spacing w:beforeLines="50" w:after="0" w:line="360" w:lineRule="auto"/>
      <w:ind w:left="862" w:hanging="862"/>
    </w:pPr>
    <w:rPr>
      <w:rFonts w:ascii="Times New Roman" w:eastAsia="宋体" w:hAnsi="Times New Roman" w:cs="宋体"/>
      <w:b w:val="0"/>
      <w:sz w:val="24"/>
      <w:szCs w:val="20"/>
    </w:rPr>
  </w:style>
  <w:style w:type="paragraph" w:customStyle="1" w:styleId="138">
    <w:name w:val="样式13"/>
    <w:basedOn w:val="afffffff4"/>
    <w:rsid w:val="009964C3"/>
    <w:pPr>
      <w:tabs>
        <w:tab w:val="clear" w:pos="4305"/>
      </w:tabs>
      <w:spacing w:line="240" w:lineRule="auto"/>
      <w:ind w:firstLine="0"/>
    </w:pPr>
    <w:rPr>
      <w:rFonts w:ascii="方正大标宋简体" w:eastAsia="方正大标宋简体"/>
      <w:color w:val="0000FF"/>
    </w:rPr>
  </w:style>
  <w:style w:type="paragraph" w:customStyle="1" w:styleId="15f3">
    <w:name w:val="图题15"/>
    <w:basedOn w:val="af3"/>
    <w:rsid w:val="009964C3"/>
    <w:pPr>
      <w:jc w:val="center"/>
    </w:pPr>
    <w:rPr>
      <w:rFonts w:ascii="方正大标宋简体" w:eastAsia="方正大标宋简体"/>
      <w:sz w:val="24"/>
    </w:rPr>
  </w:style>
  <w:style w:type="paragraph" w:customStyle="1" w:styleId="TextBody">
    <w:name w:val="Text Body"/>
    <w:basedOn w:val="af3"/>
    <w:rsid w:val="009964C3"/>
    <w:pPr>
      <w:widowControl/>
      <w:spacing w:line="360" w:lineRule="atLeast"/>
      <w:jc w:val="left"/>
    </w:pPr>
    <w:rPr>
      <w:rFonts w:ascii="Arial" w:hAnsi="Arial"/>
      <w:kern w:val="0"/>
      <w:sz w:val="22"/>
      <w:szCs w:val="20"/>
      <w:lang w:val="en-GB"/>
    </w:rPr>
  </w:style>
  <w:style w:type="paragraph" w:customStyle="1" w:styleId="042042">
    <w:name w:val="样式 左侧:  0.42 厘米 右侧:  0.42 厘米"/>
    <w:basedOn w:val="af3"/>
    <w:semiHidden/>
    <w:rsid w:val="009964C3"/>
    <w:pPr>
      <w:snapToGrid w:val="0"/>
      <w:spacing w:beforeLines="50"/>
    </w:pPr>
    <w:rPr>
      <w:rFonts w:ascii="黑体" w:eastAsia="黑体" w:cs="宋体"/>
      <w:sz w:val="24"/>
      <w:szCs w:val="20"/>
    </w:rPr>
  </w:style>
  <w:style w:type="paragraph" w:customStyle="1" w:styleId="affffffffffffffffffffffff1">
    <w:name w:val="小节标题"/>
    <w:basedOn w:val="af3"/>
    <w:next w:val="af3"/>
    <w:rsid w:val="009964C3"/>
    <w:pPr>
      <w:widowControl/>
      <w:spacing w:before="175" w:after="102" w:line="566" w:lineRule="atLeast"/>
      <w:textAlignment w:val="baseline"/>
    </w:pPr>
    <w:rPr>
      <w:rFonts w:eastAsia="黑体"/>
      <w:color w:val="000000"/>
      <w:kern w:val="0"/>
      <w:szCs w:val="20"/>
    </w:rPr>
  </w:style>
  <w:style w:type="paragraph" w:customStyle="1" w:styleId="ENFI1">
    <w:name w:val="ENFI正文"/>
    <w:basedOn w:val="af3"/>
    <w:link w:val="ENFICharChar0"/>
    <w:qFormat/>
    <w:rsid w:val="009964C3"/>
    <w:pPr>
      <w:adjustRightInd w:val="0"/>
      <w:snapToGrid w:val="0"/>
      <w:spacing w:line="500" w:lineRule="exact"/>
      <w:ind w:firstLine="567"/>
    </w:pPr>
    <w:rPr>
      <w:rFonts w:eastAsia="仿宋_GB2312"/>
      <w:snapToGrid w:val="0"/>
      <w:color w:val="000000"/>
      <w:kern w:val="0"/>
      <w:sz w:val="28"/>
      <w:szCs w:val="20"/>
    </w:rPr>
  </w:style>
  <w:style w:type="paragraph" w:customStyle="1" w:styleId="139">
    <w:name w:val="图题13"/>
    <w:basedOn w:val="af3"/>
    <w:rsid w:val="009964C3"/>
    <w:pPr>
      <w:jc w:val="center"/>
    </w:pPr>
    <w:rPr>
      <w:rFonts w:ascii="方正大标宋简体" w:eastAsia="方正大标宋简体"/>
      <w:sz w:val="24"/>
    </w:rPr>
  </w:style>
  <w:style w:type="paragraph" w:customStyle="1" w:styleId="4ff6">
    <w:name w:val="样式 标题 4 + 小四"/>
    <w:basedOn w:val="43"/>
    <w:next w:val="2f"/>
    <w:rsid w:val="009964C3"/>
    <w:pPr>
      <w:widowControl/>
      <w:spacing w:before="240" w:after="240" w:line="240" w:lineRule="auto"/>
      <w:jc w:val="left"/>
    </w:pPr>
    <w:rPr>
      <w:rFonts w:cs="Arial"/>
      <w:w w:val="105"/>
      <w:kern w:val="0"/>
      <w:sz w:val="24"/>
    </w:rPr>
  </w:style>
  <w:style w:type="paragraph" w:customStyle="1" w:styleId="--">
    <w:name w:val="益阳--表格文字"/>
    <w:basedOn w:val="af3"/>
    <w:rsid w:val="009964C3"/>
    <w:pPr>
      <w:jc w:val="center"/>
      <w:textAlignment w:val="center"/>
    </w:pPr>
    <w:rPr>
      <w:color w:val="000000"/>
      <w:szCs w:val="20"/>
      <w:lang w:val="de-DE"/>
    </w:rPr>
  </w:style>
  <w:style w:type="paragraph" w:customStyle="1" w:styleId="xl108">
    <w:name w:val="xl108"/>
    <w:basedOn w:val="af3"/>
    <w:rsid w:val="009964C3"/>
    <w:pPr>
      <w:widowControl/>
      <w:pBdr>
        <w:left w:val="single" w:sz="4" w:space="0" w:color="auto"/>
        <w:bottom w:val="single" w:sz="8" w:space="0" w:color="auto"/>
      </w:pBdr>
      <w:spacing w:before="100" w:after="100"/>
      <w:jc w:val="center"/>
      <w:textAlignment w:val="center"/>
    </w:pPr>
    <w:rPr>
      <w:rFonts w:ascii="Arial" w:hAnsi="Arial"/>
      <w:kern w:val="0"/>
      <w:sz w:val="20"/>
      <w:szCs w:val="20"/>
    </w:rPr>
  </w:style>
  <w:style w:type="paragraph" w:customStyle="1" w:styleId="CharCharffc">
    <w:name w:val="热电厂正文 Char Char"/>
    <w:basedOn w:val="af3"/>
    <w:rsid w:val="009964C3"/>
    <w:pPr>
      <w:spacing w:line="440" w:lineRule="exact"/>
      <w:ind w:firstLineChars="200" w:firstLine="480"/>
    </w:pPr>
    <w:rPr>
      <w:sz w:val="24"/>
    </w:rPr>
  </w:style>
  <w:style w:type="paragraph" w:customStyle="1" w:styleId="234">
    <w:name w:val="图题23"/>
    <w:basedOn w:val="31"/>
    <w:rsid w:val="009964C3"/>
    <w:pPr>
      <w:keepNext w:val="0"/>
      <w:keepLines w:val="0"/>
      <w:adjustRightInd w:val="0"/>
      <w:snapToGrid w:val="0"/>
      <w:spacing w:before="120" w:after="0" w:line="360" w:lineRule="auto"/>
      <w:jc w:val="center"/>
    </w:pPr>
    <w:rPr>
      <w:rFonts w:ascii="黑体" w:eastAsia="黑体" w:hAnsi="宋体" w:cs="宋体"/>
      <w:b w:val="0"/>
      <w:sz w:val="28"/>
      <w:szCs w:val="28"/>
    </w:rPr>
  </w:style>
  <w:style w:type="paragraph" w:customStyle="1" w:styleId="235">
    <w:name w:val="表题23"/>
    <w:basedOn w:val="af3"/>
    <w:rsid w:val="009964C3"/>
    <w:pPr>
      <w:widowControl/>
      <w:adjustRightInd w:val="0"/>
      <w:snapToGrid w:val="0"/>
      <w:jc w:val="center"/>
    </w:pPr>
    <w:rPr>
      <w:rFonts w:ascii="黑体" w:eastAsia="黑体" w:hAnsi="宋体" w:cs="宋体"/>
      <w:kern w:val="0"/>
      <w:sz w:val="24"/>
    </w:rPr>
  </w:style>
  <w:style w:type="paragraph" w:customStyle="1" w:styleId="7c">
    <w:name w:val="表内文字小7"/>
    <w:basedOn w:val="af3"/>
    <w:rsid w:val="009964C3"/>
    <w:pPr>
      <w:adjustRightInd w:val="0"/>
      <w:snapToGrid w:val="0"/>
      <w:jc w:val="center"/>
    </w:pPr>
    <w:rPr>
      <w:rFonts w:ascii="宋体" w:hAnsi="Times"/>
      <w:szCs w:val="20"/>
    </w:rPr>
  </w:style>
  <w:style w:type="paragraph" w:customStyle="1" w:styleId="13a">
    <w:name w:val="燕山正文13"/>
    <w:basedOn w:val="af3"/>
    <w:rsid w:val="009964C3"/>
    <w:pPr>
      <w:tabs>
        <w:tab w:val="left" w:pos="4680"/>
      </w:tabs>
      <w:adjustRightInd w:val="0"/>
      <w:snapToGrid w:val="0"/>
      <w:spacing w:line="360" w:lineRule="auto"/>
      <w:ind w:firstLineChars="200" w:firstLine="480"/>
    </w:pPr>
    <w:rPr>
      <w:rFonts w:ascii="宋体" w:hAnsi="宋体" w:cs="宋体"/>
      <w:bCs/>
      <w:color w:val="000000"/>
      <w:sz w:val="24"/>
    </w:rPr>
  </w:style>
  <w:style w:type="paragraph" w:customStyle="1" w:styleId="3fff3">
    <w:name w:val="页眉3"/>
    <w:basedOn w:val="af3"/>
    <w:rsid w:val="009964C3"/>
    <w:pPr>
      <w:widowControl/>
      <w:pBdr>
        <w:bottom w:val="single" w:sz="6" w:space="1" w:color="auto"/>
      </w:pBdr>
      <w:tabs>
        <w:tab w:val="center" w:pos="4153"/>
        <w:tab w:val="right" w:pos="8306"/>
      </w:tabs>
      <w:adjustRightInd w:val="0"/>
      <w:spacing w:line="240" w:lineRule="atLeast"/>
      <w:jc w:val="center"/>
    </w:pPr>
    <w:rPr>
      <w:rFonts w:ascii="宋体"/>
      <w:b/>
      <w:kern w:val="0"/>
      <w:sz w:val="11"/>
      <w:szCs w:val="20"/>
    </w:rPr>
  </w:style>
  <w:style w:type="paragraph" w:customStyle="1" w:styleId="CharCharChar1Char0">
    <w:name w:val="Char Char Char1 Char"/>
    <w:basedOn w:val="af3"/>
    <w:semiHidden/>
    <w:rsid w:val="009964C3"/>
  </w:style>
  <w:style w:type="paragraph" w:customStyle="1" w:styleId="Char45">
    <w:name w:val="Char4"/>
    <w:basedOn w:val="af3"/>
    <w:rsid w:val="009964C3"/>
    <w:pPr>
      <w:ind w:left="-48"/>
    </w:pPr>
  </w:style>
  <w:style w:type="paragraph" w:customStyle="1" w:styleId="ENFI">
    <w:name w:val="ENFI表体"/>
    <w:basedOn w:val="af3"/>
    <w:link w:val="ENFICharChar"/>
    <w:qFormat/>
    <w:rsid w:val="009964C3"/>
    <w:pPr>
      <w:widowControl/>
      <w:adjustRightInd w:val="0"/>
      <w:snapToGrid w:val="0"/>
      <w:spacing w:line="240" w:lineRule="atLeast"/>
      <w:jc w:val="center"/>
    </w:pPr>
    <w:rPr>
      <w:rFonts w:eastAsia="仿宋_GB2312"/>
      <w:kern w:val="0"/>
      <w:sz w:val="24"/>
      <w:szCs w:val="20"/>
    </w:rPr>
  </w:style>
  <w:style w:type="paragraph" w:customStyle="1" w:styleId="595">
    <w:name w:val="表内595"/>
    <w:basedOn w:val="af3"/>
    <w:rsid w:val="009964C3"/>
    <w:pPr>
      <w:adjustRightInd w:val="0"/>
      <w:snapToGrid w:val="0"/>
      <w:spacing w:line="300" w:lineRule="auto"/>
      <w:jc w:val="center"/>
    </w:pPr>
    <w:rPr>
      <w:rFonts w:ascii="宋体"/>
      <w:snapToGrid w:val="0"/>
      <w:szCs w:val="21"/>
    </w:rPr>
  </w:style>
  <w:style w:type="paragraph" w:customStyle="1" w:styleId="457">
    <w:name w:val="等核实45"/>
    <w:basedOn w:val="afffffff4"/>
    <w:rsid w:val="009964C3"/>
    <w:pPr>
      <w:spacing w:line="300" w:lineRule="auto"/>
      <w:ind w:firstLine="567"/>
    </w:pPr>
    <w:rPr>
      <w:rFonts w:cs="Times New Roman"/>
      <w:color w:val="0000FF"/>
      <w:sz w:val="28"/>
      <w:szCs w:val="20"/>
    </w:rPr>
  </w:style>
  <w:style w:type="paragraph" w:customStyle="1" w:styleId="5ffc">
    <w:name w:val="表内文字5"/>
    <w:basedOn w:val="af3"/>
    <w:rsid w:val="009964C3"/>
    <w:pPr>
      <w:widowControl/>
      <w:adjustRightInd w:val="0"/>
      <w:snapToGrid w:val="0"/>
      <w:jc w:val="center"/>
    </w:pPr>
    <w:rPr>
      <w:rFonts w:ascii="宋体" w:hAnsi="宋体" w:cs="宋体"/>
      <w:color w:val="000000"/>
      <w:kern w:val="0"/>
      <w:sz w:val="24"/>
      <w:szCs w:val="20"/>
    </w:rPr>
  </w:style>
  <w:style w:type="paragraph" w:customStyle="1" w:styleId="HeadingBlock">
    <w:name w:val="Heading Block"/>
    <w:basedOn w:val="af3"/>
    <w:rsid w:val="009964C3"/>
    <w:pPr>
      <w:widowControl/>
      <w:jc w:val="left"/>
    </w:pPr>
    <w:rPr>
      <w:rFonts w:ascii="Arial" w:hAnsi="Arial" w:cs="Arial"/>
      <w:b/>
      <w:kern w:val="0"/>
      <w:sz w:val="32"/>
      <w:szCs w:val="20"/>
    </w:rPr>
  </w:style>
  <w:style w:type="paragraph" w:customStyle="1" w:styleId="5411">
    <w:name w:val="表内541"/>
    <w:basedOn w:val="af3"/>
    <w:rsid w:val="009964C3"/>
    <w:pPr>
      <w:adjustRightInd w:val="0"/>
      <w:snapToGrid w:val="0"/>
      <w:ind w:left="-89"/>
      <w:jc w:val="center"/>
    </w:pPr>
    <w:rPr>
      <w:rFonts w:ascii="宋体" w:hAnsi="宋体" w:cs="宋体"/>
      <w:sz w:val="24"/>
    </w:rPr>
  </w:style>
  <w:style w:type="paragraph" w:customStyle="1" w:styleId="CharCharChar1CharCharCharCharCharCharCharCharCharCharCharChar1CharCharCharCharCharCharCharCharCharCharCharCharCharCharCharCharCharChar1">
    <w:name w:val="Char Char Char1 Char Char Char Char Char Char Char Char Char Char Char Char1 Char Char Char Char Char Char Char Char Char Char Char Char Char Char Char Char Char Char1"/>
    <w:basedOn w:val="af3"/>
    <w:rsid w:val="009964C3"/>
  </w:style>
  <w:style w:type="paragraph" w:customStyle="1" w:styleId="tan">
    <w:name w:val="正文tan"/>
    <w:basedOn w:val="af3"/>
    <w:rsid w:val="009964C3"/>
    <w:pPr>
      <w:spacing w:line="480" w:lineRule="exact"/>
      <w:ind w:firstLineChars="200" w:firstLine="480"/>
    </w:pPr>
    <w:rPr>
      <w:rFonts w:hAnsi="宋体" w:cs="宋体"/>
      <w:sz w:val="24"/>
    </w:rPr>
  </w:style>
  <w:style w:type="paragraph" w:customStyle="1" w:styleId="21f1">
    <w:name w:val="表内文字小21"/>
    <w:basedOn w:val="af3"/>
    <w:rsid w:val="009964C3"/>
    <w:pPr>
      <w:adjustRightInd w:val="0"/>
      <w:snapToGrid w:val="0"/>
      <w:jc w:val="center"/>
    </w:pPr>
    <w:rPr>
      <w:rFonts w:ascii="宋体" w:hAnsi="Times"/>
      <w:bCs/>
      <w:color w:val="000000"/>
      <w:szCs w:val="20"/>
    </w:rPr>
  </w:style>
  <w:style w:type="paragraph" w:customStyle="1" w:styleId="Char1CharCharCharCharCharChar1">
    <w:name w:val="Char1 Char Char Char Char Char Char"/>
    <w:basedOn w:val="af3"/>
    <w:semiHidden/>
    <w:rsid w:val="009964C3"/>
    <w:pPr>
      <w:spacing w:beforeLines="100" w:afterLines="50" w:line="600" w:lineRule="exact"/>
      <w:ind w:firstLineChars="200" w:firstLine="200"/>
    </w:pPr>
    <w:rPr>
      <w:rFonts w:eastAsia="黑体"/>
      <w:sz w:val="28"/>
    </w:rPr>
  </w:style>
  <w:style w:type="paragraph" w:customStyle="1" w:styleId="CharCharChar1CharCharCharCharCharCharCharCharCharCharCharChar1CharCharCharCharCharCharCharCharCharCharCharCharCharCharCharCharCharCharCharCharCharCharCharCharChar1">
    <w:name w:val="Char Char Char1 Char Char Char Char Char Char Char Char Char Char Char Char1 Char Char Char Char Char Char Char Char Char Char Char Char Char Char Char Char Char Char Char Char Char Char Char Char Char1"/>
    <w:basedOn w:val="af3"/>
    <w:rsid w:val="009964C3"/>
  </w:style>
  <w:style w:type="paragraph" w:customStyle="1" w:styleId="2ffff4">
    <w:name w:val="样式 标题 2节 + 宋体 加粗"/>
    <w:basedOn w:val="22"/>
    <w:rsid w:val="009964C3"/>
    <w:pPr>
      <w:spacing w:beforeLines="50" w:after="0" w:line="360" w:lineRule="auto"/>
    </w:pPr>
    <w:rPr>
      <w:rFonts w:ascii="宋体" w:eastAsia="宋体" w:hAnsi="宋体"/>
      <w:sz w:val="24"/>
      <w:szCs w:val="20"/>
    </w:rPr>
  </w:style>
  <w:style w:type="paragraph" w:customStyle="1" w:styleId="ENFI0">
    <w:name w:val="ENFI图表标题"/>
    <w:basedOn w:val="af3"/>
    <w:link w:val="ENFIChar"/>
    <w:qFormat/>
    <w:rsid w:val="009964C3"/>
    <w:pPr>
      <w:widowControl/>
      <w:adjustRightInd w:val="0"/>
      <w:snapToGrid w:val="0"/>
      <w:spacing w:before="120" w:line="240" w:lineRule="atLeast"/>
      <w:jc w:val="center"/>
    </w:pPr>
    <w:rPr>
      <w:rFonts w:eastAsia="仿宋_GB2312"/>
      <w:b/>
      <w:kern w:val="0"/>
      <w:sz w:val="28"/>
      <w:szCs w:val="20"/>
    </w:rPr>
  </w:style>
  <w:style w:type="paragraph" w:customStyle="1" w:styleId="4141">
    <w:name w:val="标题414"/>
    <w:basedOn w:val="af3"/>
    <w:rsid w:val="009964C3"/>
    <w:pPr>
      <w:adjustRightInd w:val="0"/>
      <w:snapToGrid w:val="0"/>
      <w:spacing w:line="300" w:lineRule="auto"/>
      <w:jc w:val="left"/>
    </w:pPr>
    <w:rPr>
      <w:rFonts w:ascii="黑体" w:eastAsia="黑体" w:hAnsi="宋体" w:cs="宋体"/>
      <w:bCs/>
      <w:sz w:val="24"/>
      <w:szCs w:val="20"/>
    </w:rPr>
  </w:style>
  <w:style w:type="paragraph" w:customStyle="1" w:styleId="713">
    <w:name w:val="表题71"/>
    <w:basedOn w:val="afffffff4"/>
    <w:rsid w:val="009964C3"/>
    <w:pPr>
      <w:spacing w:line="240" w:lineRule="auto"/>
      <w:ind w:firstLine="0"/>
      <w:jc w:val="center"/>
    </w:pPr>
    <w:rPr>
      <w:rFonts w:ascii="黑体" w:eastAsia="黑体" w:cs="Times New Roman"/>
      <w:color w:val="auto"/>
    </w:rPr>
  </w:style>
  <w:style w:type="paragraph" w:customStyle="1" w:styleId="13b">
    <w:name w:val="1标题3"/>
    <w:basedOn w:val="af3"/>
    <w:rsid w:val="009964C3"/>
    <w:pPr>
      <w:spacing w:line="520" w:lineRule="atLeast"/>
      <w:ind w:firstLineChars="200" w:firstLine="560"/>
    </w:pPr>
    <w:rPr>
      <w:rFonts w:ascii="仿宋_GB2312" w:eastAsia="仿宋_GB2312" w:hAnsi="仿宋_GB2312"/>
      <w:b/>
      <w:bCs/>
      <w:kern w:val="0"/>
      <w:sz w:val="28"/>
      <w:szCs w:val="21"/>
    </w:rPr>
  </w:style>
  <w:style w:type="paragraph" w:customStyle="1" w:styleId="6f">
    <w:name w:val="表内文字大6"/>
    <w:basedOn w:val="af3"/>
    <w:rsid w:val="009964C3"/>
    <w:pPr>
      <w:adjustRightInd w:val="0"/>
      <w:snapToGrid w:val="0"/>
      <w:jc w:val="center"/>
    </w:pPr>
    <w:rPr>
      <w:rFonts w:ascii="宋体" w:hAnsi="Times" w:cs="宋体"/>
      <w:sz w:val="24"/>
      <w:szCs w:val="20"/>
    </w:rPr>
  </w:style>
  <w:style w:type="paragraph" w:customStyle="1" w:styleId="5191">
    <w:name w:val="表内519"/>
    <w:basedOn w:val="af3"/>
    <w:rsid w:val="009964C3"/>
    <w:pPr>
      <w:adjustRightInd w:val="0"/>
      <w:snapToGrid w:val="0"/>
      <w:spacing w:line="300" w:lineRule="auto"/>
      <w:jc w:val="left"/>
    </w:pPr>
    <w:rPr>
      <w:rFonts w:ascii="宋体" w:hAnsi="宋体" w:cs="宋体"/>
      <w:szCs w:val="20"/>
    </w:rPr>
  </w:style>
  <w:style w:type="paragraph" w:customStyle="1" w:styleId="193">
    <w:name w:val="页眉中19"/>
    <w:basedOn w:val="4a"/>
    <w:rsid w:val="009964C3"/>
    <w:pPr>
      <w:snapToGrid w:val="0"/>
      <w:spacing w:line="300" w:lineRule="auto"/>
      <w:textAlignment w:val="auto"/>
    </w:pPr>
    <w:rPr>
      <w:rFonts w:ascii="黑体" w:eastAsia="黑体" w:hAnsi="宋体" w:cs="宋体"/>
      <w:szCs w:val="24"/>
    </w:rPr>
  </w:style>
  <w:style w:type="paragraph" w:customStyle="1" w:styleId="affffffffffffd">
    <w:name w:val="条(三级)"/>
    <w:basedOn w:val="af3"/>
    <w:next w:val="af3"/>
    <w:rsid w:val="009964C3"/>
    <w:pPr>
      <w:keepNext/>
      <w:keepLines/>
      <w:adjustRightInd w:val="0"/>
      <w:spacing w:line="460" w:lineRule="exact"/>
      <w:jc w:val="left"/>
      <w:textAlignment w:val="baseline"/>
    </w:pPr>
    <w:rPr>
      <w:rFonts w:ascii="宋体" w:hAnsi="Arial" w:cs="宋体"/>
      <w:spacing w:val="3"/>
      <w:kern w:val="24"/>
      <w:sz w:val="24"/>
      <w:szCs w:val="20"/>
    </w:rPr>
  </w:style>
  <w:style w:type="paragraph" w:customStyle="1" w:styleId="1fffff6">
    <w:name w:val="正文 1"/>
    <w:basedOn w:val="af3"/>
    <w:rsid w:val="009964C3"/>
    <w:pPr>
      <w:adjustRightInd w:val="0"/>
      <w:spacing w:before="60" w:after="60" w:line="312" w:lineRule="auto"/>
      <w:ind w:firstLine="601"/>
      <w:jc w:val="left"/>
      <w:textAlignment w:val="baseline"/>
    </w:pPr>
    <w:rPr>
      <w:kern w:val="0"/>
      <w:sz w:val="28"/>
      <w:szCs w:val="20"/>
    </w:rPr>
  </w:style>
  <w:style w:type="paragraph" w:customStyle="1" w:styleId="22210">
    <w:name w:val="样式 样式 正文首行缩进 + 首行缩进:  2 字符2 + 首行缩进:  2 字符1"/>
    <w:basedOn w:val="af3"/>
    <w:rsid w:val="009964C3"/>
    <w:pPr>
      <w:tabs>
        <w:tab w:val="left" w:pos="628"/>
        <w:tab w:val="left" w:pos="1727"/>
        <w:tab w:val="left" w:pos="1884"/>
        <w:tab w:val="left" w:pos="2660"/>
        <w:tab w:val="left" w:pos="5460"/>
      </w:tabs>
      <w:snapToGrid w:val="0"/>
      <w:spacing w:line="360" w:lineRule="auto"/>
      <w:ind w:firstLineChars="200" w:firstLine="200"/>
      <w:jc w:val="left"/>
    </w:pPr>
    <w:rPr>
      <w:rFonts w:ascii="宋体" w:hAnsi="宋体" w:cs="宋体"/>
      <w:color w:val="000000"/>
      <w:kern w:val="0"/>
      <w:sz w:val="28"/>
      <w:szCs w:val="20"/>
    </w:rPr>
  </w:style>
  <w:style w:type="paragraph" w:customStyle="1" w:styleId="578">
    <w:name w:val="表内5中7"/>
    <w:basedOn w:val="affffffffff3"/>
    <w:rsid w:val="009964C3"/>
    <w:rPr>
      <w:sz w:val="21"/>
      <w:szCs w:val="21"/>
    </w:rPr>
  </w:style>
  <w:style w:type="paragraph" w:customStyle="1" w:styleId="1fffff7">
    <w:name w:val="首缩1"/>
    <w:basedOn w:val="af3"/>
    <w:rsid w:val="009964C3"/>
    <w:pPr>
      <w:adjustRightInd w:val="0"/>
      <w:snapToGrid w:val="0"/>
      <w:spacing w:line="500" w:lineRule="exact"/>
      <w:ind w:firstLineChars="200" w:firstLine="200"/>
    </w:pPr>
    <w:rPr>
      <w:rFonts w:eastAsia="仿宋_GB2312"/>
      <w:snapToGrid w:val="0"/>
      <w:kern w:val="0"/>
      <w:sz w:val="28"/>
      <w:szCs w:val="20"/>
    </w:rPr>
  </w:style>
  <w:style w:type="paragraph" w:customStyle="1" w:styleId="821">
    <w:name w:val="样式 表标题8.2 + 段前: 1 行"/>
    <w:basedOn w:val="822"/>
    <w:rsid w:val="009964C3"/>
    <w:pPr>
      <w:numPr>
        <w:numId w:val="52"/>
      </w:numPr>
      <w:tabs>
        <w:tab w:val="left" w:pos="2190"/>
      </w:tabs>
      <w:spacing w:before="240"/>
    </w:pPr>
    <w:rPr>
      <w:rFonts w:cs="宋体"/>
      <w:bCs/>
    </w:rPr>
  </w:style>
  <w:style w:type="paragraph" w:customStyle="1" w:styleId="822">
    <w:name w:val="表标题8.2"/>
    <w:basedOn w:val="af3"/>
    <w:rsid w:val="009964C3"/>
    <w:pPr>
      <w:spacing w:beforeLines="100" w:line="0" w:lineRule="atLeast"/>
    </w:pPr>
    <w:rPr>
      <w:rFonts w:eastAsia="黑体"/>
      <w:b/>
      <w:sz w:val="24"/>
    </w:rPr>
  </w:style>
  <w:style w:type="paragraph" w:customStyle="1" w:styleId="6f0">
    <w:name w:val="图题6"/>
    <w:basedOn w:val="af3"/>
    <w:rsid w:val="009964C3"/>
    <w:pPr>
      <w:jc w:val="center"/>
    </w:pPr>
    <w:rPr>
      <w:rFonts w:ascii="黑体" w:eastAsia="黑体"/>
      <w:sz w:val="24"/>
    </w:rPr>
  </w:style>
  <w:style w:type="paragraph" w:customStyle="1" w:styleId="4ff7">
    <w:name w:val="图题注4"/>
    <w:basedOn w:val="afff2"/>
    <w:rsid w:val="009964C3"/>
    <w:pPr>
      <w:jc w:val="center"/>
    </w:pPr>
    <w:rPr>
      <w:rFonts w:ascii="黑体" w:cs="宋体"/>
      <w:b/>
      <w:bCs/>
      <w:sz w:val="24"/>
      <w:szCs w:val="24"/>
    </w:rPr>
  </w:style>
  <w:style w:type="paragraph" w:customStyle="1" w:styleId="affffffffffffffffffffffff2">
    <w:name w:val="待核实小"/>
    <w:basedOn w:val="affffffffff"/>
    <w:rsid w:val="009964C3"/>
    <w:rPr>
      <w:rFonts w:cs="Times New Roman"/>
      <w:color w:val="000080"/>
      <w:sz w:val="21"/>
    </w:rPr>
  </w:style>
  <w:style w:type="paragraph" w:customStyle="1" w:styleId="CharCharChar1CharCharCharCharCharCharCharCharCharCharCharChar1CharCharCharCharCharCharCharCharCharChar1">
    <w:name w:val="Char Char Char1 Char Char Char Char Char Char Char Char Char Char Char Char1 Char Char Char Char Char Char Char Char Char Char1"/>
    <w:basedOn w:val="af3"/>
    <w:rsid w:val="009964C3"/>
  </w:style>
  <w:style w:type="paragraph" w:customStyle="1" w:styleId="ST2061">
    <w:name w:val="ST20_61"/>
    <w:basedOn w:val="ST202"/>
    <w:rsid w:val="009964C3"/>
    <w:pPr>
      <w:keepNext/>
    </w:pPr>
    <w:rPr>
      <w:szCs w:val="28"/>
    </w:rPr>
  </w:style>
  <w:style w:type="paragraph" w:customStyle="1" w:styleId="CharCharCharCharCharChar20">
    <w:name w:val="Char Char Char Char Char Char2"/>
    <w:basedOn w:val="af3"/>
    <w:rsid w:val="009964C3"/>
    <w:rPr>
      <w:sz w:val="24"/>
    </w:rPr>
  </w:style>
  <w:style w:type="paragraph" w:customStyle="1" w:styleId="CharCharCharChar10">
    <w:name w:val="Char Char Char Char1"/>
    <w:basedOn w:val="af3"/>
    <w:rsid w:val="009964C3"/>
  </w:style>
  <w:style w:type="paragraph" w:customStyle="1" w:styleId="affffffffffffffffffffffff3">
    <w:name w:val="待定小"/>
    <w:basedOn w:val="afffffffffffffffffffffff3"/>
    <w:rsid w:val="009964C3"/>
    <w:rPr>
      <w:color w:val="000000"/>
    </w:rPr>
  </w:style>
  <w:style w:type="paragraph" w:customStyle="1" w:styleId="4111">
    <w:name w:val="表内小411"/>
    <w:basedOn w:val="affffffffff"/>
    <w:rsid w:val="009964C3"/>
    <w:pPr>
      <w:ind w:left="240" w:hanging="240"/>
      <w:jc w:val="both"/>
    </w:pPr>
    <w:rPr>
      <w:rFonts w:cs="Times New Roman"/>
    </w:rPr>
  </w:style>
  <w:style w:type="paragraph" w:customStyle="1" w:styleId="4042042">
    <w:name w:val="样式 标题 4 + 左侧:  0.42 厘米 右侧:  0.42 厘米"/>
    <w:basedOn w:val="43"/>
    <w:semiHidden/>
    <w:rsid w:val="009964C3"/>
    <w:pPr>
      <w:keepNext w:val="0"/>
      <w:tabs>
        <w:tab w:val="left" w:pos="2945"/>
      </w:tabs>
      <w:adjustRightInd w:val="0"/>
      <w:snapToGrid w:val="0"/>
      <w:spacing w:beforeLines="50" w:after="0" w:line="240" w:lineRule="auto"/>
      <w:ind w:left="862" w:firstLineChars="200" w:firstLine="474"/>
    </w:pPr>
    <w:rPr>
      <w:rFonts w:ascii="Times New Roman" w:eastAsia="宋体" w:hAnsi="Times New Roman" w:cs="宋体"/>
      <w:kern w:val="0"/>
      <w:sz w:val="21"/>
    </w:rPr>
  </w:style>
  <w:style w:type="paragraph" w:customStyle="1" w:styleId="461">
    <w:name w:val="标题46"/>
    <w:basedOn w:val="af3"/>
    <w:rsid w:val="009964C3"/>
    <w:pPr>
      <w:adjustRightInd w:val="0"/>
      <w:snapToGrid w:val="0"/>
      <w:spacing w:line="360" w:lineRule="auto"/>
      <w:jc w:val="left"/>
    </w:pPr>
    <w:rPr>
      <w:rFonts w:ascii="黑体" w:eastAsia="黑体"/>
      <w:bCs/>
      <w:sz w:val="24"/>
    </w:rPr>
  </w:style>
  <w:style w:type="paragraph" w:customStyle="1" w:styleId="4ff8">
    <w:name w:val="表中文字中修改4"/>
    <w:basedOn w:val="affffffffffffa"/>
    <w:qFormat/>
    <w:rsid w:val="009964C3"/>
    <w:pPr>
      <w:adjustRightInd w:val="0"/>
    </w:pPr>
    <w:rPr>
      <w:color w:val="000000"/>
    </w:rPr>
  </w:style>
  <w:style w:type="paragraph" w:customStyle="1" w:styleId="319">
    <w:name w:val="表题31"/>
    <w:basedOn w:val="afffffff4"/>
    <w:rsid w:val="009964C3"/>
    <w:pPr>
      <w:spacing w:line="240" w:lineRule="auto"/>
      <w:ind w:firstLine="0"/>
      <w:jc w:val="center"/>
    </w:pPr>
    <w:rPr>
      <w:rFonts w:cs="Times New Roman"/>
      <w:color w:val="auto"/>
      <w:szCs w:val="20"/>
    </w:rPr>
  </w:style>
  <w:style w:type="paragraph" w:customStyle="1" w:styleId="anum1erniveau">
    <w:name w:val="_a) énum. (1er niveau)"/>
    <w:qFormat/>
    <w:rsid w:val="009964C3"/>
    <w:pPr>
      <w:spacing w:after="120" w:line="280" w:lineRule="atLeast"/>
      <w:ind w:left="993" w:hanging="426"/>
      <w:jc w:val="both"/>
    </w:pPr>
    <w:rPr>
      <w:b/>
      <w:sz w:val="24"/>
      <w:lang w:val="fr-FR"/>
    </w:rPr>
  </w:style>
  <w:style w:type="paragraph" w:customStyle="1" w:styleId="08">
    <w:name w:val="0表头"/>
    <w:basedOn w:val="afffff2"/>
    <w:semiHidden/>
    <w:rsid w:val="009964C3"/>
    <w:pPr>
      <w:suppressAutoHyphens/>
      <w:overflowPunct/>
      <w:autoSpaceDN/>
      <w:adjustRightInd/>
      <w:spacing w:before="240" w:line="400" w:lineRule="exact"/>
      <w:ind w:firstLineChars="200" w:firstLine="561"/>
      <w:jc w:val="left"/>
      <w:textAlignment w:val="auto"/>
    </w:pPr>
    <w:rPr>
      <w:rFonts w:ascii="Arial" w:hAnsi="Arial"/>
      <w:b/>
      <w:bCs/>
      <w:kern w:val="2"/>
      <w:szCs w:val="20"/>
    </w:rPr>
  </w:style>
  <w:style w:type="paragraph" w:customStyle="1" w:styleId="1fffff8">
    <w:name w:val="图题注1"/>
    <w:basedOn w:val="afff2"/>
    <w:rsid w:val="009964C3"/>
    <w:pPr>
      <w:jc w:val="center"/>
    </w:pPr>
    <w:rPr>
      <w:rFonts w:ascii="黑体" w:cs="宋体"/>
      <w:b/>
      <w:bCs/>
      <w:sz w:val="24"/>
      <w:szCs w:val="24"/>
    </w:rPr>
  </w:style>
  <w:style w:type="paragraph" w:customStyle="1" w:styleId="3fff4">
    <w:name w:val="樣式3"/>
    <w:basedOn w:val="af3"/>
    <w:semiHidden/>
    <w:rsid w:val="009964C3"/>
    <w:pPr>
      <w:adjustRightInd w:val="0"/>
      <w:snapToGrid w:val="0"/>
      <w:spacing w:line="240" w:lineRule="exact"/>
    </w:pPr>
    <w:rPr>
      <w:spacing w:val="-20"/>
      <w:sz w:val="28"/>
    </w:rPr>
  </w:style>
  <w:style w:type="paragraph" w:customStyle="1" w:styleId="affffffffffffffffffffffff4">
    <w:name w:val="字元 字元"/>
    <w:basedOn w:val="af3"/>
    <w:rsid w:val="009964C3"/>
  </w:style>
  <w:style w:type="paragraph" w:customStyle="1" w:styleId="1fffff9">
    <w:name w:val="页眉1"/>
    <w:basedOn w:val="af3"/>
    <w:rsid w:val="009964C3"/>
    <w:pPr>
      <w:widowControl/>
      <w:pBdr>
        <w:bottom w:val="single" w:sz="6" w:space="1" w:color="auto"/>
      </w:pBdr>
      <w:tabs>
        <w:tab w:val="center" w:pos="4153"/>
        <w:tab w:val="right" w:pos="8306"/>
      </w:tabs>
      <w:adjustRightInd w:val="0"/>
      <w:spacing w:line="240" w:lineRule="atLeast"/>
      <w:jc w:val="center"/>
    </w:pPr>
    <w:rPr>
      <w:rFonts w:ascii="宋体"/>
      <w:b/>
      <w:kern w:val="0"/>
      <w:sz w:val="11"/>
      <w:szCs w:val="20"/>
    </w:rPr>
  </w:style>
  <w:style w:type="paragraph" w:customStyle="1" w:styleId="2ffff5">
    <w:name w:val="条(三级)2"/>
    <w:basedOn w:val="af3"/>
    <w:next w:val="af3"/>
    <w:rsid w:val="009964C3"/>
    <w:pPr>
      <w:keepNext/>
      <w:keepLines/>
      <w:adjustRightInd w:val="0"/>
      <w:spacing w:line="460" w:lineRule="exact"/>
      <w:jc w:val="left"/>
      <w:textAlignment w:val="baseline"/>
    </w:pPr>
    <w:rPr>
      <w:rFonts w:ascii="宋体" w:hAnsi="Arial" w:cs="宋体"/>
      <w:spacing w:val="3"/>
      <w:kern w:val="24"/>
      <w:sz w:val="24"/>
      <w:szCs w:val="20"/>
    </w:rPr>
  </w:style>
  <w:style w:type="paragraph" w:customStyle="1" w:styleId="DocumentLabel">
    <w:name w:val="Document Label"/>
    <w:basedOn w:val="af3"/>
    <w:next w:val="af3"/>
    <w:rsid w:val="009964C3"/>
    <w:pPr>
      <w:widowControl/>
      <w:spacing w:after="220"/>
      <w:ind w:right="-360"/>
      <w:jc w:val="left"/>
    </w:pPr>
    <w:rPr>
      <w:spacing w:val="-20"/>
      <w:kern w:val="0"/>
      <w:sz w:val="48"/>
      <w:szCs w:val="20"/>
    </w:rPr>
  </w:style>
  <w:style w:type="paragraph" w:customStyle="1" w:styleId="CharCharCharCharCharCharCharCharCharCharCharCharCharCharCharCharCharChar1CharCharCharCharCharCharChar1">
    <w:name w:val="Char Char Char Char Char Char Char Char Char Char Char Char Char Char Char Char Char Char1 Char Char Char Char Char Char Char1"/>
    <w:basedOn w:val="af3"/>
    <w:next w:val="af3"/>
    <w:rsid w:val="009964C3"/>
    <w:pPr>
      <w:keepNext/>
      <w:keepLines/>
      <w:widowControl/>
      <w:adjustRightInd w:val="0"/>
      <w:spacing w:before="40" w:after="40" w:line="360" w:lineRule="auto"/>
      <w:ind w:firstLineChars="200" w:firstLine="482"/>
    </w:pPr>
    <w:rPr>
      <w:rFonts w:cs="宋体"/>
      <w:b/>
      <w:kern w:val="0"/>
      <w:sz w:val="24"/>
      <w:szCs w:val="28"/>
    </w:rPr>
  </w:style>
  <w:style w:type="paragraph" w:customStyle="1" w:styleId="2ffff6">
    <w:name w:val="表内文字小2"/>
    <w:basedOn w:val="af3"/>
    <w:rsid w:val="009964C3"/>
    <w:pPr>
      <w:adjustRightInd w:val="0"/>
      <w:snapToGrid w:val="0"/>
      <w:jc w:val="center"/>
    </w:pPr>
    <w:rPr>
      <w:rFonts w:ascii="宋体" w:hAnsi="Times"/>
      <w:bCs/>
      <w:color w:val="003366"/>
      <w:szCs w:val="20"/>
    </w:rPr>
  </w:style>
  <w:style w:type="paragraph" w:customStyle="1" w:styleId="168">
    <w:name w:val="表题16"/>
    <w:basedOn w:val="afffffff4"/>
    <w:rsid w:val="009964C3"/>
    <w:pPr>
      <w:spacing w:line="240" w:lineRule="auto"/>
      <w:ind w:firstLine="0"/>
      <w:jc w:val="center"/>
    </w:pPr>
    <w:rPr>
      <w:rFonts w:ascii="黑体" w:eastAsia="黑体"/>
    </w:rPr>
  </w:style>
  <w:style w:type="paragraph" w:customStyle="1" w:styleId="1fffffa">
    <w:name w:val="表题1"/>
    <w:basedOn w:val="afffffff4"/>
    <w:rsid w:val="009964C3"/>
    <w:pPr>
      <w:tabs>
        <w:tab w:val="clear" w:pos="4305"/>
      </w:tabs>
      <w:spacing w:line="240" w:lineRule="auto"/>
      <w:ind w:firstLine="0"/>
      <w:jc w:val="center"/>
    </w:pPr>
    <w:rPr>
      <w:rFonts w:ascii="黑体" w:eastAsia="黑体" w:hAnsi="Times" w:cs="Times New Roman"/>
    </w:rPr>
  </w:style>
  <w:style w:type="paragraph" w:customStyle="1" w:styleId="xl32">
    <w:name w:val="xl32"/>
    <w:basedOn w:val="af3"/>
    <w:rsid w:val="009964C3"/>
    <w:pPr>
      <w:widowControl/>
      <w:pBdr>
        <w:top w:val="single" w:sz="8" w:space="0" w:color="auto"/>
        <w:left w:val="single" w:sz="12" w:space="0" w:color="auto"/>
        <w:bottom w:val="single" w:sz="12" w:space="0" w:color="auto"/>
      </w:pBdr>
      <w:spacing w:before="100" w:beforeAutospacing="1" w:after="100" w:afterAutospacing="1"/>
      <w:jc w:val="center"/>
    </w:pPr>
    <w:rPr>
      <w:rFonts w:ascii="仿宋_GB2312" w:eastAsia="仿宋_GB2312" w:hAnsi="宋体" w:cs="宋体"/>
      <w:kern w:val="0"/>
      <w:szCs w:val="21"/>
    </w:rPr>
  </w:style>
  <w:style w:type="paragraph" w:customStyle="1" w:styleId="3fff5">
    <w:name w:val="页眉中3"/>
    <w:basedOn w:val="4a"/>
    <w:rsid w:val="009964C3"/>
    <w:pPr>
      <w:snapToGrid w:val="0"/>
      <w:spacing w:line="300" w:lineRule="auto"/>
      <w:textAlignment w:val="auto"/>
    </w:pPr>
    <w:rPr>
      <w:rFonts w:ascii="黑体" w:eastAsia="黑体" w:hAnsi="宋体"/>
    </w:rPr>
  </w:style>
  <w:style w:type="paragraph" w:customStyle="1" w:styleId="31a">
    <w:name w:val="样式31"/>
    <w:basedOn w:val="afff"/>
    <w:rsid w:val="009964C3"/>
    <w:pPr>
      <w:widowControl/>
      <w:overflowPunct w:val="0"/>
      <w:autoSpaceDE w:val="0"/>
      <w:autoSpaceDN w:val="0"/>
      <w:adjustRightInd w:val="0"/>
      <w:snapToGrid w:val="0"/>
      <w:spacing w:after="0" w:line="360" w:lineRule="auto"/>
      <w:ind w:firstLine="567"/>
      <w:textAlignment w:val="baseline"/>
    </w:pPr>
    <w:rPr>
      <w:rFonts w:ascii="宋体"/>
      <w:spacing w:val="20"/>
      <w:kern w:val="0"/>
      <w:sz w:val="24"/>
      <w:szCs w:val="20"/>
    </w:rPr>
  </w:style>
  <w:style w:type="paragraph" w:customStyle="1" w:styleId="affffffffffffffffffffffff5">
    <w:name w:val="样式 宋体 四号 居中"/>
    <w:basedOn w:val="af3"/>
    <w:rsid w:val="009964C3"/>
    <w:pPr>
      <w:jc w:val="center"/>
    </w:pPr>
    <w:rPr>
      <w:rFonts w:ascii="Arial" w:hAnsi="Arial" w:cs="宋体"/>
      <w:sz w:val="28"/>
      <w:szCs w:val="20"/>
    </w:rPr>
  </w:style>
  <w:style w:type="paragraph" w:customStyle="1" w:styleId="11e">
    <w:name w:val="表内文字11"/>
    <w:basedOn w:val="af3"/>
    <w:rsid w:val="009964C3"/>
    <w:pPr>
      <w:widowControl/>
      <w:adjustRightInd w:val="0"/>
      <w:snapToGrid w:val="0"/>
      <w:spacing w:line="420" w:lineRule="exact"/>
      <w:jc w:val="center"/>
    </w:pPr>
    <w:rPr>
      <w:rFonts w:ascii="宋体"/>
      <w:spacing w:val="10"/>
      <w:kern w:val="0"/>
      <w:sz w:val="18"/>
      <w:szCs w:val="20"/>
    </w:rPr>
  </w:style>
  <w:style w:type="paragraph" w:customStyle="1" w:styleId="51d">
    <w:name w:val="表内51"/>
    <w:basedOn w:val="af3"/>
    <w:rsid w:val="009964C3"/>
    <w:pPr>
      <w:adjustRightInd w:val="0"/>
      <w:snapToGrid w:val="0"/>
      <w:spacing w:line="300" w:lineRule="auto"/>
      <w:jc w:val="left"/>
    </w:pPr>
    <w:rPr>
      <w:rFonts w:ascii="宋体" w:hAnsi="宋体" w:cs="宋体"/>
      <w:szCs w:val="20"/>
    </w:rPr>
  </w:style>
  <w:style w:type="paragraph" w:customStyle="1" w:styleId="305">
    <w:name w:val="样式 标题 3 + 段后: 0.5 行"/>
    <w:basedOn w:val="31"/>
    <w:next w:val="aff7"/>
    <w:rsid w:val="009964C3"/>
    <w:pPr>
      <w:widowControl/>
      <w:spacing w:beforeLines="50" w:afterLines="50" w:line="480" w:lineRule="auto"/>
      <w:jc w:val="left"/>
    </w:pPr>
    <w:rPr>
      <w:rFonts w:eastAsia="黑体"/>
      <w:b w:val="0"/>
      <w:kern w:val="0"/>
      <w:sz w:val="28"/>
      <w:szCs w:val="28"/>
    </w:rPr>
  </w:style>
  <w:style w:type="paragraph" w:customStyle="1" w:styleId="1212">
    <w:name w:val="样式121"/>
    <w:basedOn w:val="4a"/>
    <w:rsid w:val="009964C3"/>
    <w:pPr>
      <w:snapToGrid w:val="0"/>
      <w:spacing w:line="300" w:lineRule="auto"/>
      <w:ind w:firstLineChars="200" w:firstLine="560"/>
      <w:jc w:val="both"/>
      <w:textAlignment w:val="auto"/>
    </w:pPr>
    <w:rPr>
      <w:rFonts w:ascii="黑体" w:eastAsia="黑体"/>
      <w:sz w:val="28"/>
    </w:rPr>
  </w:style>
  <w:style w:type="paragraph" w:customStyle="1" w:styleId="xl73">
    <w:name w:val="xl73"/>
    <w:basedOn w:val="af3"/>
    <w:rsid w:val="009964C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CM13">
    <w:name w:val="CM13"/>
    <w:basedOn w:val="Default"/>
    <w:next w:val="Default"/>
    <w:semiHidden/>
    <w:rsid w:val="009964C3"/>
    <w:pPr>
      <w:spacing w:line="473" w:lineRule="atLeast"/>
    </w:pPr>
    <w:rPr>
      <w:rFonts w:cs="Times New Roman"/>
      <w:color w:val="auto"/>
    </w:rPr>
  </w:style>
  <w:style w:type="paragraph" w:customStyle="1" w:styleId="1fffffb">
    <w:name w:val="表样式1"/>
    <w:basedOn w:val="af3"/>
    <w:qFormat/>
    <w:rsid w:val="009964C3"/>
    <w:pPr>
      <w:spacing w:beforeLines="20"/>
      <w:jc w:val="center"/>
    </w:pPr>
    <w:rPr>
      <w:color w:val="000000"/>
      <w:spacing w:val="-10"/>
      <w:kern w:val="0"/>
      <w:sz w:val="24"/>
      <w:u w:val="single"/>
    </w:rPr>
  </w:style>
  <w:style w:type="paragraph" w:customStyle="1" w:styleId="441">
    <w:name w:val="样式 样式 表标题4.4 + 居中 + 段前: 1 行"/>
    <w:basedOn w:val="449"/>
    <w:rsid w:val="009964C3"/>
    <w:pPr>
      <w:numPr>
        <w:numId w:val="53"/>
      </w:numPr>
      <w:tabs>
        <w:tab w:val="left" w:pos="1080"/>
      </w:tabs>
      <w:spacing w:before="240"/>
    </w:pPr>
  </w:style>
  <w:style w:type="paragraph" w:customStyle="1" w:styleId="449">
    <w:name w:val="样式 表标题4.4 + 居中"/>
    <w:basedOn w:val="af3"/>
    <w:rsid w:val="009964C3"/>
    <w:pPr>
      <w:spacing w:beforeLines="100" w:line="0" w:lineRule="atLeast"/>
      <w:jc w:val="center"/>
    </w:pPr>
    <w:rPr>
      <w:rFonts w:eastAsia="黑体" w:cs="宋体"/>
      <w:b/>
      <w:bCs/>
      <w:color w:val="000000"/>
      <w:sz w:val="24"/>
      <w:szCs w:val="20"/>
    </w:rPr>
  </w:style>
  <w:style w:type="paragraph" w:customStyle="1" w:styleId="3511">
    <w:name w:val="样式 燕山正文 + 首行缩进:  3.5 字符11"/>
    <w:basedOn w:val="af3"/>
    <w:rsid w:val="009964C3"/>
    <w:pPr>
      <w:tabs>
        <w:tab w:val="left" w:pos="4680"/>
      </w:tabs>
      <w:adjustRightInd w:val="0"/>
      <w:snapToGrid w:val="0"/>
      <w:spacing w:line="360" w:lineRule="auto"/>
      <w:ind w:firstLineChars="200" w:firstLine="200"/>
    </w:pPr>
    <w:rPr>
      <w:rFonts w:ascii="宋体" w:hAnsi="宋体" w:cs="宋体"/>
      <w:color w:val="000000"/>
      <w:sz w:val="28"/>
      <w:szCs w:val="20"/>
    </w:rPr>
  </w:style>
  <w:style w:type="paragraph" w:customStyle="1" w:styleId="CharCharffd">
    <w:name w:val="表格文字居中 Char Char"/>
    <w:basedOn w:val="aff7"/>
    <w:rsid w:val="009964C3"/>
    <w:pPr>
      <w:keepNext/>
      <w:widowControl/>
      <w:tabs>
        <w:tab w:val="left" w:pos="628"/>
        <w:tab w:val="left" w:pos="1727"/>
        <w:tab w:val="left" w:pos="1884"/>
        <w:tab w:val="left" w:pos="4900"/>
      </w:tabs>
      <w:overflowPunct/>
      <w:autoSpaceDE/>
      <w:autoSpaceDN/>
      <w:adjustRightInd/>
      <w:snapToGrid w:val="0"/>
      <w:spacing w:before="100" w:beforeAutospacing="1" w:line="240" w:lineRule="auto"/>
      <w:ind w:firstLine="0"/>
      <w:jc w:val="center"/>
      <w:textAlignment w:val="auto"/>
    </w:pPr>
    <w:rPr>
      <w:rFonts w:ascii="宋体" w:hAnsi="宋体"/>
      <w:color w:val="000000"/>
      <w:sz w:val="24"/>
      <w:szCs w:val="24"/>
    </w:rPr>
  </w:style>
  <w:style w:type="paragraph" w:customStyle="1" w:styleId="12e">
    <w:name w:val="样式12"/>
    <w:basedOn w:val="4a"/>
    <w:rsid w:val="009964C3"/>
    <w:pPr>
      <w:snapToGrid w:val="0"/>
      <w:spacing w:line="300" w:lineRule="auto"/>
      <w:ind w:firstLineChars="200" w:firstLine="560"/>
      <w:jc w:val="both"/>
      <w:textAlignment w:val="auto"/>
    </w:pPr>
    <w:rPr>
      <w:rFonts w:ascii="黑体" w:eastAsia="黑体"/>
      <w:sz w:val="28"/>
    </w:rPr>
  </w:style>
  <w:style w:type="paragraph" w:customStyle="1" w:styleId="4101">
    <w:name w:val="标题410"/>
    <w:basedOn w:val="af3"/>
    <w:rsid w:val="009964C3"/>
    <w:pPr>
      <w:adjustRightInd w:val="0"/>
      <w:snapToGrid w:val="0"/>
      <w:spacing w:line="300" w:lineRule="auto"/>
      <w:jc w:val="left"/>
    </w:pPr>
    <w:rPr>
      <w:rFonts w:ascii="黑体" w:eastAsia="黑体" w:hAnsi="宋体" w:cs="宋体"/>
      <w:sz w:val="24"/>
    </w:rPr>
  </w:style>
  <w:style w:type="paragraph" w:customStyle="1" w:styleId="CM28">
    <w:name w:val="CM28"/>
    <w:basedOn w:val="Default"/>
    <w:next w:val="Default"/>
    <w:semiHidden/>
    <w:rsid w:val="009964C3"/>
    <w:pPr>
      <w:spacing w:line="471" w:lineRule="atLeast"/>
    </w:pPr>
    <w:rPr>
      <w:rFonts w:cs="Times New Roman"/>
      <w:color w:val="auto"/>
    </w:rPr>
  </w:style>
  <w:style w:type="paragraph" w:customStyle="1" w:styleId="xl23">
    <w:name w:val="xl23"/>
    <w:basedOn w:val="af3"/>
    <w:rsid w:val="009964C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4"/>
    </w:rPr>
  </w:style>
  <w:style w:type="paragraph" w:customStyle="1" w:styleId="affffffffffffffffffffffff6">
    <w:name w:val="三级条"/>
    <w:basedOn w:val="affffffffffff4"/>
    <w:rsid w:val="009964C3"/>
    <w:pPr>
      <w:ind w:left="0"/>
    </w:pPr>
  </w:style>
  <w:style w:type="paragraph" w:customStyle="1" w:styleId="42a">
    <w:name w:val="图题42"/>
    <w:basedOn w:val="af4"/>
    <w:rsid w:val="009964C3"/>
    <w:pPr>
      <w:tabs>
        <w:tab w:val="left" w:pos="5837"/>
      </w:tabs>
      <w:adjustRightInd w:val="0"/>
      <w:snapToGrid w:val="0"/>
      <w:ind w:firstLineChars="0" w:firstLine="0"/>
      <w:jc w:val="center"/>
    </w:pPr>
    <w:rPr>
      <w:rFonts w:ascii="方正大标宋简体" w:eastAsia="方正大标宋简体" w:hAnsi="宋体" w:cs="宋体"/>
      <w:sz w:val="24"/>
      <w:szCs w:val="24"/>
    </w:rPr>
  </w:style>
  <w:style w:type="paragraph" w:customStyle="1" w:styleId="affffffffffff4">
    <w:name w:val="二级条"/>
    <w:next w:val="af3"/>
    <w:rsid w:val="009964C3"/>
    <w:pPr>
      <w:widowControl w:val="0"/>
      <w:spacing w:line="440" w:lineRule="exact"/>
      <w:ind w:left="2340"/>
    </w:pPr>
    <w:rPr>
      <w:rFonts w:ascii="宋体"/>
      <w:sz w:val="24"/>
    </w:rPr>
  </w:style>
  <w:style w:type="paragraph" w:customStyle="1" w:styleId="Char1CharCharCharChar">
    <w:name w:val="段落 Char1 Char Char Char Char"/>
    <w:basedOn w:val="af3"/>
    <w:rsid w:val="009964C3"/>
    <w:pPr>
      <w:tabs>
        <w:tab w:val="left" w:pos="1021"/>
      </w:tabs>
      <w:spacing w:line="326" w:lineRule="auto"/>
      <w:ind w:firstLineChars="200" w:firstLine="480"/>
    </w:pPr>
    <w:rPr>
      <w:color w:val="000000"/>
      <w:kern w:val="24"/>
      <w:sz w:val="24"/>
    </w:rPr>
  </w:style>
  <w:style w:type="paragraph" w:customStyle="1" w:styleId="3fff6">
    <w:name w:val="燕山正文3"/>
    <w:basedOn w:val="af3"/>
    <w:rsid w:val="009964C3"/>
    <w:pPr>
      <w:tabs>
        <w:tab w:val="left" w:pos="4680"/>
      </w:tabs>
      <w:adjustRightInd w:val="0"/>
      <w:snapToGrid w:val="0"/>
      <w:spacing w:line="360" w:lineRule="auto"/>
      <w:ind w:firstLineChars="200" w:firstLine="560"/>
    </w:pPr>
    <w:rPr>
      <w:rFonts w:ascii="宋体" w:hAnsi="宋体"/>
      <w:color w:val="000000"/>
      <w:sz w:val="28"/>
      <w:szCs w:val="28"/>
    </w:rPr>
  </w:style>
  <w:style w:type="paragraph" w:customStyle="1" w:styleId="CharCharCharCharCharCharCharCharCharChar0">
    <w:name w:val="Char Char Char Char Char Char Char Char Char Char"/>
    <w:basedOn w:val="af3"/>
    <w:rsid w:val="009964C3"/>
  </w:style>
  <w:style w:type="paragraph" w:customStyle="1" w:styleId="affffffffffffffffffffffff7">
    <w:name w:val="文本框内文字"/>
    <w:basedOn w:val="af3"/>
    <w:rsid w:val="009964C3"/>
    <w:pPr>
      <w:spacing w:line="240" w:lineRule="exact"/>
      <w:ind w:leftChars="-50" w:left="-120" w:right="-120"/>
      <w:jc w:val="center"/>
    </w:pPr>
    <w:rPr>
      <w:rFonts w:ascii="仿宋_GB2312" w:eastAsia="仿宋_GB2312"/>
      <w:sz w:val="24"/>
      <w:szCs w:val="20"/>
    </w:rPr>
  </w:style>
  <w:style w:type="paragraph" w:customStyle="1" w:styleId="CharCharChar1CharCharCharCharCharCharCharCharCharCharCharChar1CharCharCharCharCharCharCharCharCharChar">
    <w:name w:val="Char Char Char1 Char Char Char Char Char Char Char Char Char Char Char Char1 Char Char Char Char Char Char Char Char Char Char"/>
    <w:basedOn w:val="af3"/>
    <w:rsid w:val="009964C3"/>
  </w:style>
  <w:style w:type="paragraph" w:customStyle="1" w:styleId="CharChar1CharCharChar1">
    <w:name w:val="Char Char1 Char Char Char1"/>
    <w:basedOn w:val="af3"/>
    <w:rsid w:val="009964C3"/>
  </w:style>
  <w:style w:type="paragraph" w:customStyle="1" w:styleId="2ffff7">
    <w:name w:val="样式 标题 2 + 宋体 四号"/>
    <w:basedOn w:val="22"/>
    <w:rsid w:val="009964C3"/>
    <w:pPr>
      <w:spacing w:line="240" w:lineRule="auto"/>
    </w:pPr>
    <w:rPr>
      <w:rFonts w:ascii="宋体" w:hAnsi="宋体"/>
      <w:b w:val="0"/>
      <w:sz w:val="28"/>
    </w:rPr>
  </w:style>
  <w:style w:type="paragraph" w:customStyle="1" w:styleId="Char2f8">
    <w:name w:val="Char2"/>
    <w:basedOn w:val="af3"/>
    <w:rsid w:val="009964C3"/>
    <w:pPr>
      <w:ind w:left="-48"/>
    </w:pPr>
  </w:style>
  <w:style w:type="paragraph" w:customStyle="1" w:styleId="CharCharChar1CharCharCharChar">
    <w:name w:val="Char Char Char1 Char Char Char Char"/>
    <w:basedOn w:val="af3"/>
    <w:qFormat/>
    <w:rsid w:val="009964C3"/>
  </w:style>
  <w:style w:type="paragraph" w:customStyle="1" w:styleId="heading1">
    <w:name w:val="heading1"/>
    <w:basedOn w:val="af3"/>
    <w:next w:val="af3"/>
    <w:rsid w:val="009964C3"/>
    <w:pPr>
      <w:tabs>
        <w:tab w:val="left" w:pos="720"/>
      </w:tabs>
      <w:spacing w:before="60" w:line="360" w:lineRule="auto"/>
      <w:ind w:left="720" w:hanging="720"/>
      <w:outlineLvl w:val="2"/>
    </w:pPr>
    <w:rPr>
      <w:rFonts w:ascii="宋体" w:hAnsi="华文中宋"/>
      <w:b/>
      <w:bCs/>
      <w:color w:val="000000"/>
      <w:sz w:val="24"/>
    </w:rPr>
  </w:style>
  <w:style w:type="paragraph" w:customStyle="1" w:styleId="xl64">
    <w:name w:val="xl64"/>
    <w:basedOn w:val="af3"/>
    <w:qFormat/>
    <w:rsid w:val="009964C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148">
    <w:name w:val="图题14"/>
    <w:basedOn w:val="31"/>
    <w:rsid w:val="009964C3"/>
    <w:pPr>
      <w:keepNext w:val="0"/>
      <w:keepLines w:val="0"/>
      <w:adjustRightInd w:val="0"/>
      <w:snapToGrid w:val="0"/>
      <w:spacing w:before="120" w:after="0" w:line="360" w:lineRule="auto"/>
      <w:jc w:val="center"/>
    </w:pPr>
    <w:rPr>
      <w:rFonts w:ascii="黑体" w:eastAsia="黑体"/>
      <w:b w:val="0"/>
      <w:sz w:val="24"/>
      <w:szCs w:val="24"/>
    </w:rPr>
  </w:style>
  <w:style w:type="paragraph" w:customStyle="1" w:styleId="CM90">
    <w:name w:val="CM90"/>
    <w:basedOn w:val="Default"/>
    <w:next w:val="Default"/>
    <w:semiHidden/>
    <w:rsid w:val="009964C3"/>
    <w:pPr>
      <w:spacing w:after="80"/>
    </w:pPr>
    <w:rPr>
      <w:rFonts w:cs="Times New Roman"/>
      <w:color w:val="auto"/>
    </w:rPr>
  </w:style>
  <w:style w:type="paragraph" w:customStyle="1" w:styleId="CharCharCharCharCharCharCharCh3">
    <w:name w:val="样式 纯文本表内文字普通文字 Char普通文字 Char Char Char普通文字 Char Char Char Ch...3"/>
    <w:basedOn w:val="af3"/>
    <w:next w:val="af3"/>
    <w:qFormat/>
    <w:rsid w:val="009964C3"/>
    <w:pPr>
      <w:spacing w:line="360" w:lineRule="auto"/>
      <w:ind w:firstLineChars="200" w:firstLine="200"/>
      <w:jc w:val="left"/>
    </w:pPr>
    <w:rPr>
      <w:rFonts w:ascii="楷体_GB2312" w:cs="宋体"/>
      <w:sz w:val="24"/>
    </w:rPr>
  </w:style>
  <w:style w:type="paragraph" w:customStyle="1" w:styleId="3fff7">
    <w:name w:val="表题3"/>
    <w:basedOn w:val="afffffff4"/>
    <w:rsid w:val="009964C3"/>
    <w:pPr>
      <w:spacing w:line="240" w:lineRule="auto"/>
      <w:ind w:firstLine="0"/>
      <w:jc w:val="center"/>
    </w:pPr>
    <w:rPr>
      <w:rFonts w:cs="Times New Roman"/>
      <w:color w:val="auto"/>
      <w:szCs w:val="20"/>
    </w:rPr>
  </w:style>
  <w:style w:type="paragraph" w:customStyle="1" w:styleId="10511">
    <w:name w:val="样式 标题 1 + 段前: 0.5 行 段后: 1 行1"/>
    <w:basedOn w:val="13"/>
    <w:rsid w:val="009964C3"/>
    <w:pPr>
      <w:keepLines w:val="0"/>
      <w:adjustRightInd w:val="0"/>
      <w:snapToGrid w:val="0"/>
      <w:spacing w:beforeLines="50" w:after="0" w:line="360" w:lineRule="auto"/>
      <w:jc w:val="center"/>
    </w:pPr>
    <w:rPr>
      <w:rFonts w:ascii="黑体" w:cs="宋体"/>
      <w:bCs w:val="0"/>
      <w:kern w:val="2"/>
      <w:sz w:val="32"/>
      <w:szCs w:val="20"/>
    </w:rPr>
  </w:style>
  <w:style w:type="paragraph" w:customStyle="1" w:styleId="Char1ffa">
    <w:name w:val="Char1"/>
    <w:basedOn w:val="af3"/>
    <w:rsid w:val="009964C3"/>
    <w:pPr>
      <w:ind w:left="-48"/>
    </w:pPr>
  </w:style>
  <w:style w:type="paragraph" w:customStyle="1" w:styleId="10a">
    <w:name w:val="页眉中10"/>
    <w:basedOn w:val="af3"/>
    <w:rsid w:val="009964C3"/>
    <w:pPr>
      <w:adjustRightInd w:val="0"/>
      <w:snapToGrid w:val="0"/>
      <w:spacing w:line="300" w:lineRule="auto"/>
      <w:jc w:val="left"/>
    </w:pPr>
    <w:rPr>
      <w:rFonts w:ascii="黑体" w:eastAsia="黑体"/>
      <w:bCs/>
      <w:sz w:val="24"/>
      <w:szCs w:val="20"/>
    </w:rPr>
  </w:style>
  <w:style w:type="paragraph" w:customStyle="1" w:styleId="CharCharCharChar4">
    <w:name w:val="热电厂正文 Char Char Char Char"/>
    <w:basedOn w:val="af3"/>
    <w:rsid w:val="009964C3"/>
    <w:pPr>
      <w:spacing w:line="440" w:lineRule="exact"/>
      <w:ind w:firstLineChars="200" w:firstLine="480"/>
    </w:pPr>
    <w:rPr>
      <w:sz w:val="24"/>
    </w:rPr>
  </w:style>
  <w:style w:type="paragraph" w:customStyle="1" w:styleId="16951">
    <w:name w:val="16.9.5.1"/>
    <w:basedOn w:val="43"/>
    <w:rsid w:val="009964C3"/>
    <w:pPr>
      <w:keepNext w:val="0"/>
      <w:keepLines w:val="0"/>
      <w:numPr>
        <w:ilvl w:val="3"/>
        <w:numId w:val="54"/>
      </w:numPr>
      <w:tabs>
        <w:tab w:val="left" w:pos="1800"/>
      </w:tabs>
      <w:spacing w:before="120" w:after="120" w:line="312" w:lineRule="auto"/>
    </w:pPr>
    <w:rPr>
      <w:sz w:val="24"/>
      <w:szCs w:val="24"/>
    </w:rPr>
  </w:style>
  <w:style w:type="paragraph" w:customStyle="1" w:styleId="149">
    <w:name w:val="页眉中14"/>
    <w:basedOn w:val="af3"/>
    <w:rsid w:val="009964C3"/>
    <w:pPr>
      <w:adjustRightInd w:val="0"/>
      <w:snapToGrid w:val="0"/>
      <w:spacing w:line="300" w:lineRule="auto"/>
      <w:jc w:val="left"/>
    </w:pPr>
    <w:rPr>
      <w:rFonts w:ascii="黑体" w:eastAsia="黑体"/>
      <w:bCs/>
      <w:sz w:val="24"/>
      <w:szCs w:val="20"/>
    </w:rPr>
  </w:style>
  <w:style w:type="paragraph" w:customStyle="1" w:styleId="xl76">
    <w:name w:val="xl76"/>
    <w:basedOn w:val="af3"/>
    <w:rsid w:val="009964C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13c">
    <w:name w:val="表内文字13"/>
    <w:basedOn w:val="af3"/>
    <w:rsid w:val="009964C3"/>
    <w:pPr>
      <w:widowControl/>
      <w:adjustRightInd w:val="0"/>
      <w:snapToGrid w:val="0"/>
      <w:spacing w:line="420" w:lineRule="exact"/>
      <w:jc w:val="center"/>
    </w:pPr>
    <w:rPr>
      <w:rFonts w:ascii="宋体"/>
      <w:spacing w:val="10"/>
      <w:kern w:val="0"/>
      <w:sz w:val="18"/>
      <w:szCs w:val="20"/>
    </w:rPr>
  </w:style>
  <w:style w:type="paragraph" w:customStyle="1" w:styleId="CcList">
    <w:name w:val="Cc List"/>
    <w:basedOn w:val="af3"/>
    <w:rsid w:val="009964C3"/>
    <w:pPr>
      <w:widowControl/>
    </w:pPr>
    <w:rPr>
      <w:rFonts w:ascii="Arial" w:hAnsi="Arial"/>
      <w:kern w:val="0"/>
      <w:sz w:val="22"/>
      <w:szCs w:val="20"/>
    </w:rPr>
  </w:style>
  <w:style w:type="paragraph" w:customStyle="1" w:styleId="333">
    <w:name w:val="样式 标题 3 + 段前: 3 磅 段后: 3 磅"/>
    <w:basedOn w:val="31"/>
    <w:rsid w:val="009964C3"/>
    <w:pPr>
      <w:widowControl/>
      <w:snapToGrid w:val="0"/>
      <w:spacing w:before="120" w:after="360" w:line="360" w:lineRule="auto"/>
      <w:jc w:val="left"/>
    </w:pPr>
    <w:rPr>
      <w:rFonts w:cs="宋体"/>
      <w:bCs w:val="0"/>
      <w:w w:val="105"/>
      <w:kern w:val="0"/>
      <w:sz w:val="28"/>
      <w:szCs w:val="28"/>
    </w:rPr>
  </w:style>
  <w:style w:type="paragraph" w:customStyle="1" w:styleId="4ff9">
    <w:name w:val="条(三级)4"/>
    <w:basedOn w:val="af3"/>
    <w:next w:val="af3"/>
    <w:rsid w:val="009964C3"/>
    <w:pPr>
      <w:keepNext/>
      <w:keepLines/>
      <w:adjustRightInd w:val="0"/>
      <w:spacing w:line="460" w:lineRule="exact"/>
      <w:jc w:val="left"/>
      <w:textAlignment w:val="baseline"/>
    </w:pPr>
    <w:rPr>
      <w:rFonts w:ascii="宋体" w:hAnsi="Arial" w:cs="宋体"/>
      <w:spacing w:val="3"/>
      <w:kern w:val="24"/>
      <w:sz w:val="24"/>
      <w:szCs w:val="20"/>
    </w:rPr>
  </w:style>
  <w:style w:type="paragraph" w:customStyle="1" w:styleId="345">
    <w:name w:val="页眉中34"/>
    <w:basedOn w:val="4a"/>
    <w:rsid w:val="009964C3"/>
    <w:pPr>
      <w:snapToGrid w:val="0"/>
      <w:spacing w:line="300" w:lineRule="auto"/>
      <w:textAlignment w:val="auto"/>
    </w:pPr>
    <w:rPr>
      <w:rFonts w:ascii="黑体" w:eastAsia="黑体" w:hAnsi="宋体"/>
    </w:rPr>
  </w:style>
  <w:style w:type="paragraph" w:customStyle="1" w:styleId="affffffffffffffffffffffff8">
    <w:name w:val="表内文字边"/>
    <w:basedOn w:val="affffffffffffa"/>
    <w:rsid w:val="009964C3"/>
    <w:pPr>
      <w:adjustRightInd w:val="0"/>
      <w:snapToGrid w:val="0"/>
      <w:jc w:val="both"/>
    </w:pPr>
  </w:style>
  <w:style w:type="paragraph" w:customStyle="1" w:styleId="1101">
    <w:name w:val="表题110"/>
    <w:basedOn w:val="afffffff4"/>
    <w:rsid w:val="009964C3"/>
    <w:pPr>
      <w:tabs>
        <w:tab w:val="clear" w:pos="4305"/>
      </w:tabs>
      <w:spacing w:line="240" w:lineRule="auto"/>
      <w:ind w:firstLine="0"/>
      <w:jc w:val="center"/>
    </w:pPr>
    <w:rPr>
      <w:rFonts w:ascii="黑体" w:eastAsia="黑体" w:hAnsi="Times" w:cs="Times New Roman"/>
    </w:rPr>
  </w:style>
  <w:style w:type="paragraph" w:customStyle="1" w:styleId="4ffa">
    <w:name w:val="说明书4级标题"/>
    <w:basedOn w:val="afffffffffff1"/>
    <w:next w:val="af3"/>
    <w:rsid w:val="009964C3"/>
  </w:style>
  <w:style w:type="paragraph" w:customStyle="1" w:styleId="afffffffffff1">
    <w:name w:val="说明书小节标题"/>
    <w:basedOn w:val="31"/>
    <w:next w:val="af3"/>
    <w:rsid w:val="009964C3"/>
    <w:pPr>
      <w:spacing w:before="0" w:after="0" w:line="560" w:lineRule="exact"/>
    </w:pPr>
    <w:rPr>
      <w:rFonts w:ascii="幼圆" w:eastAsia="华文中宋" w:hAnsi="幼圆"/>
      <w:sz w:val="30"/>
    </w:rPr>
  </w:style>
  <w:style w:type="paragraph" w:customStyle="1" w:styleId="3fff8">
    <w:name w:val="表内文字小3"/>
    <w:basedOn w:val="af3"/>
    <w:rsid w:val="009964C3"/>
    <w:pPr>
      <w:adjustRightInd w:val="0"/>
      <w:snapToGrid w:val="0"/>
      <w:jc w:val="center"/>
    </w:pPr>
    <w:rPr>
      <w:rFonts w:ascii="宋体" w:hAnsi="Times" w:cs="宋体"/>
      <w:bCs/>
      <w:color w:val="003366"/>
      <w:szCs w:val="20"/>
    </w:rPr>
  </w:style>
  <w:style w:type="paragraph" w:customStyle="1" w:styleId="194">
    <w:name w:val="表题19"/>
    <w:basedOn w:val="afffffff4"/>
    <w:rsid w:val="009964C3"/>
    <w:pPr>
      <w:tabs>
        <w:tab w:val="clear" w:pos="4305"/>
      </w:tabs>
      <w:spacing w:line="240" w:lineRule="auto"/>
      <w:ind w:firstLine="0"/>
      <w:jc w:val="center"/>
    </w:pPr>
    <w:rPr>
      <w:rFonts w:ascii="黑体" w:eastAsia="黑体" w:hAnsi="Times" w:cs="Times New Roman"/>
    </w:rPr>
  </w:style>
  <w:style w:type="paragraph" w:customStyle="1" w:styleId="CharCharChar2Char1">
    <w:name w:val="Char Char Char2 Char1"/>
    <w:basedOn w:val="af3"/>
    <w:rsid w:val="009964C3"/>
  </w:style>
  <w:style w:type="paragraph" w:customStyle="1" w:styleId="13d">
    <w:name w:val="表题13"/>
    <w:basedOn w:val="afffffff4"/>
    <w:rsid w:val="009964C3"/>
    <w:pPr>
      <w:spacing w:line="240" w:lineRule="auto"/>
      <w:ind w:firstLineChars="200" w:firstLine="480"/>
      <w:jc w:val="center"/>
    </w:pPr>
    <w:rPr>
      <w:rFonts w:ascii="黑体" w:eastAsia="黑体" w:cs="Times New Roman"/>
      <w:color w:val="auto"/>
      <w:szCs w:val="20"/>
    </w:rPr>
  </w:style>
  <w:style w:type="paragraph" w:customStyle="1" w:styleId="1222">
    <w:name w:val="样式122"/>
    <w:basedOn w:val="4a"/>
    <w:rsid w:val="009964C3"/>
    <w:pPr>
      <w:snapToGrid w:val="0"/>
      <w:spacing w:line="300" w:lineRule="auto"/>
      <w:ind w:firstLineChars="200" w:firstLine="560"/>
      <w:jc w:val="both"/>
      <w:textAlignment w:val="auto"/>
    </w:pPr>
    <w:rPr>
      <w:rFonts w:ascii="黑体" w:eastAsia="黑体"/>
      <w:sz w:val="28"/>
    </w:rPr>
  </w:style>
  <w:style w:type="paragraph" w:customStyle="1" w:styleId="52c">
    <w:name w:val="样式 5号表文 + 首行缩进:  2 字符"/>
    <w:next w:val="af3"/>
    <w:rsid w:val="009964C3"/>
    <w:pPr>
      <w:widowControl w:val="0"/>
      <w:adjustRightInd w:val="0"/>
      <w:snapToGrid w:val="0"/>
      <w:spacing w:line="500" w:lineRule="atLeast"/>
      <w:ind w:firstLineChars="200" w:firstLine="420"/>
      <w:jc w:val="both"/>
    </w:pPr>
    <w:rPr>
      <w:rFonts w:ascii="仿宋_GB2312" w:eastAsia="仿宋_GB2312" w:cs="仿宋_GB2312"/>
      <w:sz w:val="21"/>
      <w:szCs w:val="21"/>
    </w:rPr>
  </w:style>
  <w:style w:type="paragraph" w:customStyle="1" w:styleId="affffffffffffffffffffffff9">
    <w:name w:val="列表头"/>
    <w:basedOn w:val="af3"/>
    <w:rsid w:val="009964C3"/>
    <w:pPr>
      <w:spacing w:line="600" w:lineRule="exact"/>
      <w:jc w:val="center"/>
    </w:pPr>
    <w:rPr>
      <w:rFonts w:ascii="仿宋_GB2312" w:eastAsia="仿宋_GB2312" w:hAnsi="Plotter"/>
      <w:sz w:val="28"/>
      <w:szCs w:val="20"/>
    </w:rPr>
  </w:style>
  <w:style w:type="paragraph" w:customStyle="1" w:styleId="20742">
    <w:name w:val="样式 正文首行缩进 2 + 左侧:  0.74 厘米 首行缩进:  2 字符"/>
    <w:basedOn w:val="2f"/>
    <w:rsid w:val="009964C3"/>
    <w:pPr>
      <w:adjustRightInd/>
      <w:snapToGrid/>
      <w:ind w:firstLine="200"/>
      <w:jc w:val="both"/>
    </w:pPr>
    <w:rPr>
      <w:rFonts w:cs="宋体"/>
    </w:rPr>
  </w:style>
  <w:style w:type="paragraph" w:customStyle="1" w:styleId="1510">
    <w:name w:val="字元 字元151"/>
    <w:basedOn w:val="af3"/>
    <w:rsid w:val="009964C3"/>
    <w:rPr>
      <w:sz w:val="24"/>
    </w:rPr>
  </w:style>
  <w:style w:type="paragraph" w:customStyle="1" w:styleId="affffffffffffffffffffffffa">
    <w:name w:val="表内文字"/>
    <w:basedOn w:val="af3"/>
    <w:rsid w:val="009964C3"/>
    <w:pPr>
      <w:widowControl/>
      <w:adjustRightInd w:val="0"/>
      <w:snapToGrid w:val="0"/>
      <w:jc w:val="center"/>
    </w:pPr>
    <w:rPr>
      <w:rFonts w:ascii="宋体" w:hAnsi="宋体" w:cs="宋体"/>
      <w:color w:val="000000"/>
      <w:kern w:val="0"/>
      <w:sz w:val="24"/>
      <w:szCs w:val="20"/>
    </w:rPr>
  </w:style>
  <w:style w:type="paragraph" w:customStyle="1" w:styleId="21521">
    <w:name w:val="样式 样式 首行缩进:  2 字符 行距: 1.5 倍行距 + 首行缩进:  2 字符1"/>
    <w:basedOn w:val="af3"/>
    <w:rsid w:val="009964C3"/>
    <w:pPr>
      <w:widowControl/>
      <w:adjustRightInd w:val="0"/>
      <w:snapToGrid w:val="0"/>
      <w:spacing w:line="560" w:lineRule="exact"/>
      <w:ind w:firstLineChars="200" w:firstLine="584"/>
    </w:pPr>
    <w:rPr>
      <w:rFonts w:ascii="宋体" w:hAnsi="宋体" w:cs="宋体"/>
      <w:spacing w:val="6"/>
      <w:kern w:val="0"/>
      <w:sz w:val="28"/>
      <w:szCs w:val="28"/>
    </w:rPr>
  </w:style>
  <w:style w:type="paragraph" w:customStyle="1" w:styleId="xl27">
    <w:name w:val="xl27"/>
    <w:basedOn w:val="af3"/>
    <w:rsid w:val="009964C3"/>
    <w:pPr>
      <w:widowControl/>
      <w:pBdr>
        <w:bottom w:val="single" w:sz="12" w:space="0" w:color="auto"/>
        <w:right w:val="single" w:sz="12" w:space="0" w:color="auto"/>
      </w:pBdr>
      <w:spacing w:before="100" w:beforeAutospacing="1" w:after="100" w:afterAutospacing="1"/>
      <w:jc w:val="center"/>
    </w:pPr>
    <w:rPr>
      <w:kern w:val="0"/>
      <w:szCs w:val="21"/>
    </w:rPr>
  </w:style>
  <w:style w:type="paragraph" w:customStyle="1" w:styleId="affffffffffffffffffffffffb">
    <w:name w:val="项目号"/>
    <w:basedOn w:val="af3"/>
    <w:rsid w:val="009964C3"/>
    <w:pPr>
      <w:tabs>
        <w:tab w:val="left" w:pos="780"/>
      </w:tabs>
      <w:spacing w:line="300" w:lineRule="auto"/>
      <w:ind w:leftChars="200" w:left="780" w:hangingChars="200" w:hanging="360"/>
      <w:jc w:val="left"/>
    </w:pPr>
    <w:rPr>
      <w:sz w:val="24"/>
      <w:szCs w:val="20"/>
    </w:rPr>
  </w:style>
  <w:style w:type="paragraph" w:customStyle="1" w:styleId="CharCharffe">
    <w:name w:val="表头 Char Char"/>
    <w:basedOn w:val="af3"/>
    <w:rsid w:val="009964C3"/>
    <w:pPr>
      <w:spacing w:line="440" w:lineRule="exact"/>
      <w:jc w:val="center"/>
    </w:pPr>
    <w:rPr>
      <w:spacing w:val="34"/>
      <w:sz w:val="24"/>
    </w:rPr>
  </w:style>
  <w:style w:type="paragraph" w:customStyle="1" w:styleId="53a">
    <w:name w:val="表内宋5中3"/>
    <w:basedOn w:val="af3"/>
    <w:rsid w:val="009964C3"/>
    <w:pPr>
      <w:adjustRightInd w:val="0"/>
      <w:snapToGrid w:val="0"/>
      <w:spacing w:line="360" w:lineRule="auto"/>
      <w:jc w:val="center"/>
      <w:textAlignment w:val="baseline"/>
    </w:pPr>
    <w:rPr>
      <w:rFonts w:ascii="宋体" w:hAnsi="宋体"/>
      <w:kern w:val="0"/>
      <w:szCs w:val="21"/>
    </w:rPr>
  </w:style>
  <w:style w:type="paragraph" w:customStyle="1" w:styleId="3530">
    <w:name w:val="样式 燕山正文 + 首行缩进:  3.5 字符3"/>
    <w:basedOn w:val="affffffffb"/>
    <w:rsid w:val="009964C3"/>
    <w:pPr>
      <w:ind w:firstLine="560"/>
    </w:pPr>
    <w:rPr>
      <w:bCs w:val="0"/>
      <w:sz w:val="28"/>
      <w:szCs w:val="20"/>
    </w:rPr>
  </w:style>
  <w:style w:type="paragraph" w:customStyle="1" w:styleId="ST2018">
    <w:name w:val="ST20_18"/>
    <w:basedOn w:val="ST202"/>
    <w:rsid w:val="009964C3"/>
    <w:pPr>
      <w:keepLines/>
      <w:tabs>
        <w:tab w:val="left" w:pos="720"/>
      </w:tabs>
      <w:spacing w:after="240"/>
      <w:ind w:left="1080" w:right="2880" w:hanging="1080"/>
    </w:pPr>
    <w:rPr>
      <w:szCs w:val="28"/>
    </w:rPr>
  </w:style>
  <w:style w:type="paragraph" w:customStyle="1" w:styleId="1CharCharCharChar0">
    <w:name w:val="正文1 Char Char Char Char"/>
    <w:basedOn w:val="af3"/>
    <w:rsid w:val="009964C3"/>
    <w:pPr>
      <w:tabs>
        <w:tab w:val="left" w:pos="5327"/>
        <w:tab w:val="left" w:pos="6326"/>
        <w:tab w:val="left" w:pos="7230"/>
        <w:tab w:val="left" w:pos="9301"/>
      </w:tabs>
      <w:autoSpaceDE w:val="0"/>
      <w:autoSpaceDN w:val="0"/>
      <w:adjustRightInd w:val="0"/>
      <w:snapToGrid w:val="0"/>
      <w:spacing w:line="600" w:lineRule="exact"/>
      <w:ind w:firstLineChars="200" w:firstLine="200"/>
      <w:jc w:val="left"/>
    </w:pPr>
    <w:rPr>
      <w:rFonts w:ascii="Arial Narrow" w:eastAsia="仿宋_GB2312" w:hAnsi="Arial Narrow"/>
      <w:color w:val="000000"/>
      <w:kern w:val="10"/>
      <w:sz w:val="28"/>
      <w:szCs w:val="20"/>
    </w:rPr>
  </w:style>
  <w:style w:type="paragraph" w:customStyle="1" w:styleId="Char1CharCharChar1">
    <w:name w:val="Char1 Char Char Char1"/>
    <w:basedOn w:val="af3"/>
    <w:rsid w:val="009964C3"/>
    <w:pPr>
      <w:spacing w:line="360" w:lineRule="auto"/>
      <w:ind w:firstLineChars="200" w:firstLine="200"/>
    </w:pPr>
    <w:rPr>
      <w:rFonts w:ascii="宋体" w:hAnsi="宋体" w:cs="宋体"/>
      <w:sz w:val="24"/>
    </w:rPr>
  </w:style>
  <w:style w:type="paragraph" w:customStyle="1" w:styleId="4610">
    <w:name w:val="标题461"/>
    <w:basedOn w:val="af3"/>
    <w:rsid w:val="009964C3"/>
    <w:pPr>
      <w:adjustRightInd w:val="0"/>
      <w:snapToGrid w:val="0"/>
      <w:spacing w:line="360" w:lineRule="auto"/>
      <w:jc w:val="left"/>
    </w:pPr>
    <w:rPr>
      <w:rFonts w:ascii="黑体" w:eastAsia="黑体"/>
      <w:bCs/>
      <w:sz w:val="24"/>
    </w:rPr>
  </w:style>
  <w:style w:type="paragraph" w:customStyle="1" w:styleId="1fffffc">
    <w:name w:val="条(三级)1"/>
    <w:basedOn w:val="af3"/>
    <w:next w:val="af3"/>
    <w:rsid w:val="009964C3"/>
    <w:pPr>
      <w:keepNext/>
      <w:keepLines/>
      <w:adjustRightInd w:val="0"/>
      <w:snapToGrid w:val="0"/>
      <w:spacing w:line="460" w:lineRule="exact"/>
      <w:textAlignment w:val="baseline"/>
    </w:pPr>
    <w:rPr>
      <w:rFonts w:hAnsi="Arial"/>
      <w:spacing w:val="3"/>
      <w:kern w:val="24"/>
      <w:sz w:val="18"/>
      <w:szCs w:val="20"/>
    </w:rPr>
  </w:style>
  <w:style w:type="paragraph" w:customStyle="1" w:styleId="6f1">
    <w:name w:val="页眉中6"/>
    <w:basedOn w:val="4a"/>
    <w:rsid w:val="009964C3"/>
    <w:pPr>
      <w:snapToGrid w:val="0"/>
      <w:spacing w:line="360" w:lineRule="auto"/>
      <w:textAlignment w:val="auto"/>
    </w:pPr>
    <w:rPr>
      <w:rFonts w:ascii="黑体" w:eastAsia="黑体"/>
      <w:szCs w:val="24"/>
    </w:rPr>
  </w:style>
  <w:style w:type="paragraph" w:customStyle="1" w:styleId="222222">
    <w:name w:val="目录222222"/>
    <w:basedOn w:val="2222"/>
    <w:rsid w:val="009964C3"/>
    <w:pPr>
      <w:ind w:left="0"/>
    </w:pPr>
  </w:style>
  <w:style w:type="paragraph" w:customStyle="1" w:styleId="affffffffffffffffffffffffc">
    <w:name w:val="列表标"/>
    <w:basedOn w:val="af3"/>
    <w:rsid w:val="009964C3"/>
    <w:pPr>
      <w:spacing w:line="300" w:lineRule="exact"/>
      <w:ind w:firstLineChars="200" w:firstLine="200"/>
      <w:jc w:val="right"/>
    </w:pPr>
    <w:rPr>
      <w:rFonts w:ascii="仿宋_GB2312" w:eastAsia="仿宋_GB2312" w:hAnsi="Plotter"/>
      <w:sz w:val="24"/>
      <w:szCs w:val="20"/>
    </w:rPr>
  </w:style>
  <w:style w:type="paragraph" w:customStyle="1" w:styleId="ST2022">
    <w:name w:val="ST20_22"/>
    <w:basedOn w:val="ST202"/>
    <w:rsid w:val="009964C3"/>
    <w:pPr>
      <w:spacing w:after="120"/>
    </w:pPr>
    <w:rPr>
      <w:szCs w:val="28"/>
    </w:rPr>
  </w:style>
  <w:style w:type="paragraph" w:customStyle="1" w:styleId="affffffffffffffffffffffffd">
    <w:name w:val="标题文字"/>
    <w:next w:val="af3"/>
    <w:rsid w:val="009964C3"/>
    <w:pPr>
      <w:adjustRightInd w:val="0"/>
      <w:snapToGrid w:val="0"/>
      <w:spacing w:beforeLines="50" w:afterLines="50"/>
      <w:jc w:val="center"/>
    </w:pPr>
    <w:rPr>
      <w:rFonts w:eastAsia="黑体"/>
      <w:b/>
      <w:bCs/>
      <w:kern w:val="28"/>
      <w:sz w:val="26"/>
      <w:szCs w:val="26"/>
    </w:rPr>
  </w:style>
  <w:style w:type="paragraph" w:customStyle="1" w:styleId="13e">
    <w:name w:val="福建正文缩进13"/>
    <w:basedOn w:val="af4"/>
    <w:rsid w:val="009964C3"/>
    <w:pPr>
      <w:autoSpaceDE w:val="0"/>
      <w:autoSpaceDN w:val="0"/>
      <w:adjustRightInd w:val="0"/>
      <w:snapToGrid w:val="0"/>
      <w:spacing w:line="360" w:lineRule="auto"/>
      <w:ind w:firstLineChars="0" w:firstLine="539"/>
    </w:pPr>
    <w:rPr>
      <w:rFonts w:ascii="宋体" w:hAnsi="宋体"/>
      <w:sz w:val="24"/>
      <w:szCs w:val="24"/>
    </w:rPr>
  </w:style>
  <w:style w:type="paragraph" w:customStyle="1" w:styleId="3fff9">
    <w:name w:val="待定小3"/>
    <w:basedOn w:val="afffffffffffffffffffffff3"/>
    <w:rsid w:val="009964C3"/>
    <w:rPr>
      <w:color w:val="000000"/>
    </w:rPr>
  </w:style>
  <w:style w:type="paragraph" w:customStyle="1" w:styleId="22CharCharCharChar05">
    <w:name w:val="样式 标题 2标题 2 Char Char Char Char + 段后: 0.5 行"/>
    <w:basedOn w:val="22"/>
    <w:next w:val="aff7"/>
    <w:rsid w:val="009964C3"/>
    <w:pPr>
      <w:keepLines w:val="0"/>
      <w:widowControl/>
      <w:spacing w:beforeLines="50" w:afterLines="50" w:line="360" w:lineRule="auto"/>
      <w:jc w:val="left"/>
    </w:pPr>
    <w:rPr>
      <w:rFonts w:ascii="仿宋_GB2312" w:eastAsia="仿宋_GB2312" w:hAnsi="华文中宋"/>
      <w:b w:val="0"/>
      <w:bCs w:val="0"/>
      <w:kern w:val="0"/>
      <w:sz w:val="28"/>
      <w:szCs w:val="28"/>
    </w:rPr>
  </w:style>
  <w:style w:type="paragraph" w:customStyle="1" w:styleId="affffffffffffffffffffffffe">
    <w:name w:val="调研内容"/>
    <w:basedOn w:val="af3"/>
    <w:rsid w:val="009964C3"/>
    <w:pPr>
      <w:spacing w:line="360" w:lineRule="auto"/>
    </w:pPr>
    <w:rPr>
      <w:szCs w:val="20"/>
    </w:rPr>
  </w:style>
  <w:style w:type="paragraph" w:customStyle="1" w:styleId="52d">
    <w:name w:val="表标题5.2"/>
    <w:basedOn w:val="582"/>
    <w:rsid w:val="009964C3"/>
    <w:pPr>
      <w:tabs>
        <w:tab w:val="clear" w:pos="720"/>
        <w:tab w:val="clear" w:pos="8207"/>
        <w:tab w:val="left" w:pos="3060"/>
      </w:tabs>
      <w:ind w:left="2400" w:hanging="420"/>
    </w:pPr>
  </w:style>
  <w:style w:type="paragraph" w:customStyle="1" w:styleId="afffffffffffffffffffffffff">
    <w:name w:val="编制人员"/>
    <w:basedOn w:val="af3"/>
    <w:rsid w:val="009964C3"/>
    <w:pPr>
      <w:adjustRightInd w:val="0"/>
      <w:snapToGrid w:val="0"/>
      <w:spacing w:beforeLines="50" w:afterLines="50"/>
      <w:ind w:firstLineChars="200" w:firstLine="200"/>
    </w:pPr>
    <w:rPr>
      <w:rFonts w:ascii="Arial Unicode MS" w:eastAsia="Arial Unicode MS" w:hAnsi="Arial Unicode MS"/>
      <w:b/>
      <w:sz w:val="28"/>
    </w:rPr>
  </w:style>
  <w:style w:type="paragraph" w:customStyle="1" w:styleId="42b">
    <w:name w:val="表内小42"/>
    <w:basedOn w:val="affffffffff"/>
    <w:rsid w:val="009964C3"/>
    <w:pPr>
      <w:ind w:left="240" w:hanging="240"/>
      <w:jc w:val="both"/>
    </w:pPr>
  </w:style>
  <w:style w:type="paragraph" w:customStyle="1" w:styleId="3521">
    <w:name w:val="样式 燕山正文 + 首行缩进:  3.5 字符21"/>
    <w:basedOn w:val="af3"/>
    <w:rsid w:val="009964C3"/>
    <w:pPr>
      <w:tabs>
        <w:tab w:val="left" w:pos="4680"/>
      </w:tabs>
      <w:adjustRightInd w:val="0"/>
      <w:snapToGrid w:val="0"/>
      <w:spacing w:line="360" w:lineRule="auto"/>
      <w:ind w:firstLineChars="200" w:firstLine="200"/>
    </w:pPr>
    <w:rPr>
      <w:rFonts w:ascii="宋体" w:hAnsi="宋体" w:cs="宋体"/>
      <w:color w:val="000000"/>
      <w:sz w:val="28"/>
      <w:szCs w:val="20"/>
    </w:rPr>
  </w:style>
  <w:style w:type="paragraph" w:customStyle="1" w:styleId="10514">
    <w:name w:val="样式 标题 1 + 段前: 0.5 行 段后: 1 行4"/>
    <w:basedOn w:val="13"/>
    <w:rsid w:val="009964C3"/>
    <w:pPr>
      <w:keepLines w:val="0"/>
      <w:adjustRightInd w:val="0"/>
      <w:snapToGrid w:val="0"/>
      <w:spacing w:beforeLines="50" w:after="0" w:line="360" w:lineRule="auto"/>
      <w:jc w:val="center"/>
    </w:pPr>
    <w:rPr>
      <w:rFonts w:ascii="黑体" w:cs="宋体"/>
      <w:bCs w:val="0"/>
      <w:kern w:val="2"/>
      <w:sz w:val="32"/>
      <w:szCs w:val="20"/>
    </w:rPr>
  </w:style>
  <w:style w:type="paragraph" w:customStyle="1" w:styleId="afffffffffffffffffffffffff0">
    <w:name w:val="说明书章标题"/>
    <w:basedOn w:val="13"/>
    <w:next w:val="afffffffffff0"/>
    <w:rsid w:val="009964C3"/>
    <w:pPr>
      <w:tabs>
        <w:tab w:val="left" w:pos="425"/>
      </w:tabs>
      <w:snapToGrid w:val="0"/>
      <w:spacing w:before="0" w:after="0" w:line="560" w:lineRule="exact"/>
      <w:ind w:left="425" w:hanging="425"/>
    </w:pPr>
    <w:rPr>
      <w:rFonts w:ascii="Arial Unicode MS" w:eastAsia="华文中宋" w:hAnsi="Arial Unicode MS"/>
      <w:szCs w:val="36"/>
    </w:rPr>
  </w:style>
  <w:style w:type="paragraph" w:customStyle="1" w:styleId="41111411114Char1116621">
    <w:name w:val="样式 样式 标题 41.1.1.1标题 4.1.1.1.1标题 4 Char款1.116.6.2.1"/>
    <w:basedOn w:val="16911"/>
    <w:rsid w:val="009964C3"/>
    <w:pPr>
      <w:numPr>
        <w:ilvl w:val="0"/>
        <w:numId w:val="0"/>
      </w:numPr>
      <w:tabs>
        <w:tab w:val="left" w:pos="425"/>
        <w:tab w:val="left" w:pos="2160"/>
      </w:tabs>
      <w:spacing w:after="0"/>
      <w:ind w:left="2160" w:hanging="420"/>
    </w:pPr>
  </w:style>
  <w:style w:type="paragraph" w:customStyle="1" w:styleId="afffffffffffffffffffffffff1">
    <w:name w:val="小四正文"/>
    <w:rsid w:val="009964C3"/>
    <w:pPr>
      <w:widowControl w:val="0"/>
      <w:snapToGrid w:val="0"/>
      <w:spacing w:line="360" w:lineRule="auto"/>
      <w:ind w:firstLineChars="200" w:firstLine="200"/>
      <w:jc w:val="both"/>
    </w:pPr>
    <w:rPr>
      <w:color w:val="000000"/>
      <w:spacing w:val="8"/>
      <w:kern w:val="2"/>
      <w:sz w:val="24"/>
      <w:szCs w:val="24"/>
      <w:lang w:val="en-GB"/>
    </w:rPr>
  </w:style>
  <w:style w:type="paragraph" w:customStyle="1" w:styleId="1232">
    <w:name w:val="1.2.3"/>
    <w:basedOn w:val="af3"/>
    <w:rsid w:val="009964C3"/>
    <w:pPr>
      <w:spacing w:line="520" w:lineRule="exact"/>
      <w:ind w:firstLine="540"/>
    </w:pPr>
    <w:rPr>
      <w:sz w:val="28"/>
    </w:rPr>
  </w:style>
  <w:style w:type="paragraph" w:customStyle="1" w:styleId="1fffffd">
    <w:name w:val="燕山正文1"/>
    <w:basedOn w:val="af3"/>
    <w:rsid w:val="009964C3"/>
    <w:pPr>
      <w:tabs>
        <w:tab w:val="left" w:pos="4680"/>
      </w:tabs>
      <w:adjustRightInd w:val="0"/>
      <w:snapToGrid w:val="0"/>
      <w:spacing w:line="360" w:lineRule="auto"/>
      <w:ind w:firstLineChars="200" w:firstLine="480"/>
    </w:pPr>
    <w:rPr>
      <w:rFonts w:ascii="宋体" w:hAnsi="宋体" w:cs="宋体"/>
      <w:bCs/>
      <w:color w:val="000000"/>
      <w:sz w:val="24"/>
    </w:rPr>
  </w:style>
  <w:style w:type="paragraph" w:customStyle="1" w:styleId="24b">
    <w:name w:val="表题24"/>
    <w:basedOn w:val="af3"/>
    <w:rsid w:val="009964C3"/>
    <w:pPr>
      <w:widowControl/>
      <w:adjustRightInd w:val="0"/>
      <w:snapToGrid w:val="0"/>
      <w:jc w:val="center"/>
    </w:pPr>
    <w:rPr>
      <w:rFonts w:ascii="黑体" w:eastAsia="黑体" w:hAnsi="宋体" w:cs="宋体"/>
      <w:kern w:val="0"/>
      <w:sz w:val="24"/>
    </w:rPr>
  </w:style>
  <w:style w:type="paragraph" w:customStyle="1" w:styleId="afffffffffffffffffffffffff2">
    <w:name w:val="表内式样"/>
    <w:rsid w:val="009964C3"/>
    <w:pPr>
      <w:widowControl w:val="0"/>
      <w:jc w:val="center"/>
    </w:pPr>
    <w:rPr>
      <w:kern w:val="2"/>
      <w:sz w:val="21"/>
    </w:rPr>
  </w:style>
  <w:style w:type="paragraph" w:customStyle="1" w:styleId="6124">
    <w:name w:val="612三级标题"/>
    <w:basedOn w:val="31"/>
    <w:semiHidden/>
    <w:rsid w:val="009964C3"/>
    <w:pPr>
      <w:spacing w:before="120" w:after="120" w:line="360" w:lineRule="exact"/>
      <w:jc w:val="left"/>
    </w:pPr>
    <w:rPr>
      <w:rFonts w:ascii="Arial" w:eastAsia="黑体" w:hAnsi="Arial"/>
      <w:sz w:val="24"/>
      <w:szCs w:val="24"/>
    </w:rPr>
  </w:style>
  <w:style w:type="paragraph" w:customStyle="1" w:styleId="5620">
    <w:name w:val="表内562"/>
    <w:basedOn w:val="af3"/>
    <w:rsid w:val="009964C3"/>
    <w:pPr>
      <w:adjustRightInd w:val="0"/>
      <w:snapToGrid w:val="0"/>
      <w:spacing w:line="300" w:lineRule="auto"/>
      <w:jc w:val="left"/>
    </w:pPr>
    <w:rPr>
      <w:rFonts w:ascii="宋体"/>
      <w:szCs w:val="20"/>
    </w:rPr>
  </w:style>
  <w:style w:type="paragraph" w:customStyle="1" w:styleId="21-001001">
    <w:name w:val="样式 样式 表2.1 + 居中 + 右 左侧:  -0.01 厘米 首行缩进:  0.01 厘米"/>
    <w:basedOn w:val="21f"/>
    <w:rsid w:val="009964C3"/>
    <w:pPr>
      <w:tabs>
        <w:tab w:val="left" w:pos="1287"/>
        <w:tab w:val="left" w:pos="6000"/>
      </w:tabs>
      <w:ind w:left="1287" w:firstLineChars="0" w:hanging="720"/>
      <w:jc w:val="right"/>
    </w:pPr>
  </w:style>
  <w:style w:type="paragraph" w:customStyle="1" w:styleId="CM138">
    <w:name w:val="CM138"/>
    <w:basedOn w:val="af3"/>
    <w:next w:val="af3"/>
    <w:rsid w:val="009964C3"/>
    <w:pPr>
      <w:autoSpaceDE w:val="0"/>
      <w:autoSpaceDN w:val="0"/>
      <w:adjustRightInd w:val="0"/>
      <w:spacing w:after="130"/>
      <w:jc w:val="left"/>
    </w:pPr>
    <w:rPr>
      <w:rFonts w:ascii="宋体" w:cs="宋体"/>
      <w:kern w:val="0"/>
      <w:sz w:val="24"/>
    </w:rPr>
  </w:style>
  <w:style w:type="paragraph" w:customStyle="1" w:styleId="5412">
    <w:name w:val="表内5中41"/>
    <w:basedOn w:val="54"/>
    <w:rsid w:val="009964C3"/>
    <w:pPr>
      <w:spacing w:line="240" w:lineRule="auto"/>
    </w:pPr>
    <w:rPr>
      <w:rFonts w:hAnsi="Times New Roman" w:cs="Times New Roman"/>
      <w:bCs/>
    </w:rPr>
  </w:style>
  <w:style w:type="paragraph" w:customStyle="1" w:styleId="afffffffffffffffffffffffff3">
    <w:name w:val="首缩"/>
    <w:basedOn w:val="af3"/>
    <w:rsid w:val="009964C3"/>
    <w:pPr>
      <w:adjustRightInd w:val="0"/>
      <w:snapToGrid w:val="0"/>
      <w:spacing w:line="500" w:lineRule="exact"/>
      <w:ind w:firstLineChars="200" w:firstLine="200"/>
    </w:pPr>
    <w:rPr>
      <w:rFonts w:eastAsia="仿宋_GB2312"/>
      <w:snapToGrid w:val="0"/>
      <w:kern w:val="0"/>
      <w:sz w:val="28"/>
      <w:szCs w:val="20"/>
    </w:rPr>
  </w:style>
  <w:style w:type="paragraph" w:customStyle="1" w:styleId="afffffffffffffffffffffffff4">
    <w:name w:val="图片"/>
    <w:basedOn w:val="af3"/>
    <w:rsid w:val="009964C3"/>
    <w:pPr>
      <w:adjustRightInd w:val="0"/>
      <w:snapToGrid w:val="0"/>
      <w:spacing w:line="400" w:lineRule="atLeast"/>
      <w:jc w:val="center"/>
      <w:textAlignment w:val="baseline"/>
    </w:pPr>
    <w:rPr>
      <w:kern w:val="0"/>
      <w:sz w:val="28"/>
      <w:szCs w:val="20"/>
    </w:rPr>
  </w:style>
  <w:style w:type="paragraph" w:customStyle="1" w:styleId="2ffff8">
    <w:name w:val="待定小2"/>
    <w:basedOn w:val="afffffffffffffffffffffff3"/>
    <w:rsid w:val="009964C3"/>
    <w:rPr>
      <w:color w:val="000000"/>
    </w:rPr>
  </w:style>
  <w:style w:type="paragraph" w:customStyle="1" w:styleId="afffffffffffffffffffffffff5">
    <w:name w:val="报告正文版式"/>
    <w:basedOn w:val="TimesNewRomanGB2312260"/>
    <w:semiHidden/>
    <w:locked/>
    <w:rsid w:val="009964C3"/>
    <w:pPr>
      <w:ind w:firstLine="480"/>
    </w:pPr>
    <w:rPr>
      <w:rFonts w:ascii="Arial" w:hAnsi="Arial"/>
      <w:szCs w:val="24"/>
    </w:rPr>
  </w:style>
  <w:style w:type="paragraph" w:customStyle="1" w:styleId="TimesNewRomanGB231226">
    <w:name w:val="样式 (西文) Times New Roman (中文) 仿宋_GB2312 黑色 首行缩进:  2 字符 段前: 6 ..."/>
    <w:basedOn w:val="af3"/>
    <w:link w:val="TimesNewRomanGB231226Char"/>
    <w:semiHidden/>
    <w:locked/>
    <w:rsid w:val="009964C3"/>
    <w:pPr>
      <w:spacing w:before="120" w:after="120" w:line="360" w:lineRule="exact"/>
      <w:ind w:firstLineChars="200" w:firstLine="480"/>
    </w:pPr>
    <w:rPr>
      <w:rFonts w:ascii="Arial Unicode MS" w:eastAsia="仿宋_GB2312" w:hAnsi="Arial Unicode MS"/>
      <w:color w:val="000000"/>
      <w:kern w:val="0"/>
      <w:sz w:val="24"/>
      <w:szCs w:val="20"/>
    </w:rPr>
  </w:style>
  <w:style w:type="paragraph" w:customStyle="1" w:styleId="2ffff9">
    <w:name w:val="福建正文缩进2"/>
    <w:basedOn w:val="af3"/>
    <w:rsid w:val="009964C3"/>
    <w:pPr>
      <w:tabs>
        <w:tab w:val="left" w:pos="4305"/>
      </w:tabs>
      <w:adjustRightInd w:val="0"/>
      <w:snapToGrid w:val="0"/>
      <w:spacing w:line="360" w:lineRule="auto"/>
      <w:ind w:firstLine="567"/>
    </w:pPr>
    <w:rPr>
      <w:rFonts w:ascii="宋体" w:hAnsi="宋体"/>
      <w:color w:val="000000"/>
      <w:sz w:val="24"/>
    </w:rPr>
  </w:style>
  <w:style w:type="paragraph" w:customStyle="1" w:styleId="584">
    <w:name w:val="表内宋5中8"/>
    <w:basedOn w:val="af3"/>
    <w:rsid w:val="009964C3"/>
    <w:pPr>
      <w:adjustRightInd w:val="0"/>
      <w:snapToGrid w:val="0"/>
      <w:jc w:val="center"/>
      <w:textAlignment w:val="baseline"/>
    </w:pPr>
    <w:rPr>
      <w:rFonts w:ascii="宋体" w:hAnsi="宋体"/>
      <w:kern w:val="0"/>
      <w:szCs w:val="20"/>
    </w:rPr>
  </w:style>
  <w:style w:type="paragraph" w:customStyle="1" w:styleId="31b">
    <w:name w:val="图题31"/>
    <w:basedOn w:val="af4"/>
    <w:rsid w:val="009964C3"/>
    <w:pPr>
      <w:adjustRightInd w:val="0"/>
      <w:snapToGrid w:val="0"/>
      <w:ind w:firstLineChars="0" w:firstLine="0"/>
      <w:jc w:val="center"/>
    </w:pPr>
    <w:rPr>
      <w:rFonts w:ascii="方正大标宋简体" w:eastAsia="方正大标宋简体"/>
      <w:sz w:val="24"/>
      <w:szCs w:val="24"/>
    </w:rPr>
  </w:style>
  <w:style w:type="paragraph" w:customStyle="1" w:styleId="ST2050">
    <w:name w:val="ST20_50"/>
    <w:basedOn w:val="ST2019"/>
    <w:rsid w:val="009964C3"/>
    <w:pPr>
      <w:tabs>
        <w:tab w:val="clear" w:pos="720"/>
        <w:tab w:val="left" w:pos="1800"/>
      </w:tabs>
      <w:ind w:left="1800"/>
    </w:pPr>
  </w:style>
  <w:style w:type="paragraph" w:customStyle="1" w:styleId="CharCharCharCharCharCharChar10">
    <w:name w:val="Char Char Char Char Char Char Char1"/>
    <w:basedOn w:val="af3"/>
    <w:next w:val="af3"/>
    <w:rsid w:val="009964C3"/>
    <w:pPr>
      <w:keepNext/>
      <w:keepLines/>
      <w:widowControl/>
      <w:adjustRightInd w:val="0"/>
      <w:spacing w:before="40" w:after="40" w:line="360" w:lineRule="auto"/>
      <w:ind w:firstLineChars="200" w:firstLine="200"/>
    </w:pPr>
    <w:rPr>
      <w:rFonts w:cs="宋体"/>
      <w:kern w:val="0"/>
      <w:sz w:val="24"/>
      <w:szCs w:val="28"/>
    </w:rPr>
  </w:style>
  <w:style w:type="paragraph" w:customStyle="1" w:styleId="1CharCharChar">
    <w:name w:val="正文1 Char Char Char"/>
    <w:basedOn w:val="af3"/>
    <w:rsid w:val="009964C3"/>
    <w:pPr>
      <w:tabs>
        <w:tab w:val="left" w:pos="5327"/>
        <w:tab w:val="left" w:pos="6326"/>
        <w:tab w:val="left" w:pos="7230"/>
        <w:tab w:val="left" w:pos="9301"/>
      </w:tabs>
      <w:autoSpaceDE w:val="0"/>
      <w:autoSpaceDN w:val="0"/>
      <w:adjustRightInd w:val="0"/>
      <w:snapToGrid w:val="0"/>
      <w:spacing w:line="600" w:lineRule="exact"/>
      <w:ind w:firstLineChars="200" w:firstLine="200"/>
      <w:jc w:val="left"/>
    </w:pPr>
    <w:rPr>
      <w:rFonts w:ascii="Arial Narrow" w:eastAsia="仿宋_GB2312" w:hAnsi="Arial Narrow"/>
      <w:color w:val="000000"/>
      <w:kern w:val="10"/>
      <w:sz w:val="28"/>
      <w:szCs w:val="28"/>
    </w:rPr>
  </w:style>
  <w:style w:type="paragraph" w:customStyle="1" w:styleId="SectionSubtitle">
    <w:name w:val="Section Subtitle"/>
    <w:basedOn w:val="SectionTitle"/>
    <w:next w:val="af3"/>
    <w:rsid w:val="009964C3"/>
    <w:pPr>
      <w:pBdr>
        <w:top w:val="none" w:sz="0" w:space="0" w:color="auto"/>
      </w:pBdr>
    </w:pPr>
    <w:rPr>
      <w:b w:val="0"/>
      <w:spacing w:val="0"/>
      <w:position w:val="6"/>
    </w:rPr>
  </w:style>
  <w:style w:type="paragraph" w:customStyle="1" w:styleId="xl36">
    <w:name w:val="xl36"/>
    <w:basedOn w:val="af3"/>
    <w:rsid w:val="009964C3"/>
    <w:pPr>
      <w:widowControl/>
      <w:pBdr>
        <w:bottom w:val="single" w:sz="8" w:space="0" w:color="auto"/>
        <w:right w:val="single" w:sz="12" w:space="0" w:color="auto"/>
      </w:pBdr>
      <w:spacing w:before="100" w:beforeAutospacing="1" w:after="100" w:afterAutospacing="1"/>
      <w:jc w:val="center"/>
      <w:textAlignment w:val="bottom"/>
    </w:pPr>
    <w:rPr>
      <w:kern w:val="0"/>
      <w:szCs w:val="21"/>
    </w:rPr>
  </w:style>
  <w:style w:type="paragraph" w:customStyle="1" w:styleId="1320">
    <w:name w:val="页眉中132"/>
    <w:basedOn w:val="af3"/>
    <w:rsid w:val="009964C3"/>
    <w:pPr>
      <w:adjustRightInd w:val="0"/>
      <w:snapToGrid w:val="0"/>
      <w:spacing w:line="300" w:lineRule="auto"/>
      <w:jc w:val="left"/>
    </w:pPr>
    <w:rPr>
      <w:rFonts w:ascii="黑体" w:eastAsia="黑体"/>
      <w:bCs/>
      <w:sz w:val="24"/>
      <w:szCs w:val="20"/>
    </w:rPr>
  </w:style>
  <w:style w:type="paragraph" w:customStyle="1" w:styleId="Charfffffff4">
    <w:name w:val="Char"/>
    <w:basedOn w:val="af3"/>
    <w:rsid w:val="009964C3"/>
    <w:pPr>
      <w:widowControl/>
      <w:spacing w:after="160" w:line="240" w:lineRule="exact"/>
      <w:jc w:val="left"/>
    </w:pPr>
    <w:rPr>
      <w:rFonts w:ascii="Verdana" w:eastAsia="仿宋_GB2312" w:hAnsi="Verdana" w:cs="”“Times New Roman”“"/>
      <w:kern w:val="0"/>
      <w:sz w:val="24"/>
      <w:szCs w:val="20"/>
      <w:lang w:eastAsia="en-US"/>
    </w:rPr>
  </w:style>
  <w:style w:type="paragraph" w:customStyle="1" w:styleId="GB23124">
    <w:name w:val="正文 + (中文) 仿宋_GB2312"/>
    <w:basedOn w:val="af3"/>
    <w:link w:val="GB2312Char2"/>
    <w:semiHidden/>
    <w:rsid w:val="009964C3"/>
    <w:pPr>
      <w:spacing w:line="360" w:lineRule="auto"/>
      <w:ind w:firstLineChars="200" w:firstLine="480"/>
    </w:pPr>
    <w:rPr>
      <w:rFonts w:ascii="Arial" w:eastAsia="仿宋_GB2312" w:hAnsi="Arial"/>
      <w:caps/>
      <w:sz w:val="24"/>
    </w:rPr>
  </w:style>
  <w:style w:type="paragraph" w:customStyle="1" w:styleId="h">
    <w:name w:val="h"/>
    <w:basedOn w:val="af3"/>
    <w:next w:val="af4"/>
    <w:rsid w:val="009964C3"/>
    <w:pPr>
      <w:keepNext/>
      <w:keepLines/>
      <w:spacing w:before="260" w:after="260" w:line="415" w:lineRule="auto"/>
      <w:ind w:firstLine="567"/>
    </w:pPr>
    <w:rPr>
      <w:rFonts w:ascii="Arial" w:eastAsia="黑体" w:hAnsi="Arial" w:cs="Arial"/>
      <w:sz w:val="30"/>
      <w:szCs w:val="30"/>
    </w:rPr>
  </w:style>
  <w:style w:type="paragraph" w:customStyle="1" w:styleId="2ffffa">
    <w:name w:val="样式 表格文字 + 居中 首行缩进:  2 字符"/>
    <w:basedOn w:val="af3"/>
    <w:semiHidden/>
    <w:rsid w:val="009964C3"/>
    <w:pPr>
      <w:tabs>
        <w:tab w:val="left" w:pos="1960"/>
      </w:tabs>
      <w:spacing w:line="400" w:lineRule="exact"/>
      <w:jc w:val="center"/>
    </w:pPr>
    <w:rPr>
      <w:rFonts w:eastAsia="仿宋_GB2312"/>
      <w:kern w:val="24"/>
      <w:sz w:val="24"/>
      <w:szCs w:val="20"/>
    </w:rPr>
  </w:style>
  <w:style w:type="paragraph" w:customStyle="1" w:styleId="h2">
    <w:name w:val="h2"/>
    <w:basedOn w:val="af3"/>
    <w:next w:val="af4"/>
    <w:rsid w:val="009964C3"/>
    <w:pPr>
      <w:keepNext/>
      <w:keepLines/>
      <w:spacing w:line="360" w:lineRule="auto"/>
    </w:pPr>
    <w:rPr>
      <w:rFonts w:ascii="Arial" w:eastAsia="黑体" w:hAnsi="Arial" w:cs="Arial"/>
      <w:sz w:val="30"/>
      <w:szCs w:val="30"/>
    </w:rPr>
  </w:style>
  <w:style w:type="paragraph" w:customStyle="1" w:styleId="10b">
    <w:name w:val="样式10"/>
    <w:basedOn w:val="afff0"/>
    <w:rsid w:val="009964C3"/>
    <w:pPr>
      <w:keepNext/>
      <w:keepLines/>
      <w:widowControl/>
      <w:tabs>
        <w:tab w:val="left" w:pos="1727"/>
        <w:tab w:val="left" w:pos="1884"/>
      </w:tabs>
      <w:spacing w:before="120" w:after="120" w:line="313" w:lineRule="exact"/>
      <w:outlineLvl w:val="1"/>
    </w:pPr>
    <w:rPr>
      <w:rFonts w:eastAsia="黑体"/>
      <w:b/>
      <w:kern w:val="0"/>
      <w:szCs w:val="20"/>
    </w:rPr>
  </w:style>
  <w:style w:type="paragraph" w:customStyle="1" w:styleId="33Char111H3BHeadBSH-3h33rdlevel">
    <w:name w:val="样式 标题 3标题 3 Char小标题条标题1.1.1H3B HeadBSH-3二级节名h33rd level..."/>
    <w:basedOn w:val="h2"/>
    <w:rsid w:val="009964C3"/>
    <w:pPr>
      <w:tabs>
        <w:tab w:val="left" w:pos="1021"/>
      </w:tabs>
      <w:snapToGrid w:val="0"/>
      <w:outlineLvl w:val="2"/>
    </w:pPr>
    <w:rPr>
      <w:rFonts w:ascii="Times New Roman" w:eastAsia="宋体" w:hAnsi="Times New Roman" w:cs="Times New Roman"/>
      <w:b/>
      <w:sz w:val="24"/>
      <w:szCs w:val="24"/>
    </w:rPr>
  </w:style>
  <w:style w:type="paragraph" w:customStyle="1" w:styleId="09924">
    <w:name w:val="样式 黑色 全部大写 首行缩进:  0.99 厘米 行距: 固定值 24 磅"/>
    <w:basedOn w:val="af3"/>
    <w:rsid w:val="009964C3"/>
    <w:pPr>
      <w:spacing w:line="480" w:lineRule="exact"/>
      <w:ind w:firstLine="560"/>
    </w:pPr>
    <w:rPr>
      <w:color w:val="000000"/>
      <w:sz w:val="28"/>
      <w:szCs w:val="20"/>
    </w:rPr>
  </w:style>
  <w:style w:type="paragraph" w:customStyle="1" w:styleId="51e">
    <w:name w:val="表内小5中1"/>
    <w:basedOn w:val="af3"/>
    <w:rsid w:val="009964C3"/>
    <w:pPr>
      <w:adjustRightInd w:val="0"/>
      <w:snapToGrid w:val="0"/>
      <w:jc w:val="center"/>
    </w:pPr>
    <w:rPr>
      <w:rFonts w:ascii="宋体" w:hAnsi="宋体"/>
      <w:sz w:val="18"/>
      <w:szCs w:val="20"/>
    </w:rPr>
  </w:style>
  <w:style w:type="paragraph" w:customStyle="1" w:styleId="3540">
    <w:name w:val="样式 燕山正文 + 首行缩进:  3.5 字符4"/>
    <w:basedOn w:val="affffffffb"/>
    <w:rsid w:val="009964C3"/>
    <w:pPr>
      <w:ind w:firstLine="560"/>
    </w:pPr>
    <w:rPr>
      <w:bCs w:val="0"/>
      <w:sz w:val="28"/>
      <w:szCs w:val="20"/>
    </w:rPr>
  </w:style>
  <w:style w:type="paragraph" w:customStyle="1" w:styleId="1231">
    <w:name w:val="标题12.3.1"/>
    <w:basedOn w:val="31"/>
    <w:rsid w:val="009964C3"/>
    <w:pPr>
      <w:keepNext w:val="0"/>
      <w:keepLines w:val="0"/>
      <w:numPr>
        <w:ilvl w:val="3"/>
        <w:numId w:val="55"/>
      </w:numPr>
      <w:tabs>
        <w:tab w:val="left" w:pos="709"/>
        <w:tab w:val="left" w:pos="2945"/>
      </w:tabs>
      <w:spacing w:before="120" w:after="120" w:line="324" w:lineRule="auto"/>
      <w:ind w:left="709" w:hanging="709"/>
    </w:pPr>
    <w:rPr>
      <w:rFonts w:eastAsia="黑体"/>
      <w:bCs w:val="0"/>
      <w:sz w:val="24"/>
      <w:szCs w:val="24"/>
    </w:rPr>
  </w:style>
  <w:style w:type="paragraph" w:customStyle="1" w:styleId="049">
    <w:name w:val="样式 小四 居中 右侧:  0.49 厘米"/>
    <w:basedOn w:val="af3"/>
    <w:rsid w:val="009964C3"/>
    <w:pPr>
      <w:snapToGrid w:val="0"/>
      <w:jc w:val="center"/>
    </w:pPr>
    <w:rPr>
      <w:sz w:val="24"/>
      <w:szCs w:val="20"/>
    </w:rPr>
  </w:style>
  <w:style w:type="paragraph" w:customStyle="1" w:styleId="Date1">
    <w:name w:val="Date1"/>
    <w:basedOn w:val="af3"/>
    <w:next w:val="af3"/>
    <w:rsid w:val="009964C3"/>
    <w:pPr>
      <w:adjustRightInd w:val="0"/>
      <w:textAlignment w:val="baseline"/>
    </w:pPr>
    <w:rPr>
      <w:snapToGrid w:val="0"/>
      <w:sz w:val="24"/>
      <w:szCs w:val="20"/>
    </w:rPr>
  </w:style>
  <w:style w:type="paragraph" w:customStyle="1" w:styleId="3TimesNewRoman12155">
    <w:name w:val="样式 标题 3 + (符号) Times New Roman 四号 两端对齐 段前: 12 磅 行距: 1.5 倍行距5"/>
    <w:basedOn w:val="31"/>
    <w:rsid w:val="009964C3"/>
    <w:pPr>
      <w:keepNext w:val="0"/>
      <w:keepLines w:val="0"/>
      <w:adjustRightInd w:val="0"/>
      <w:snapToGrid w:val="0"/>
      <w:spacing w:before="120" w:afterLines="50" w:line="360" w:lineRule="auto"/>
    </w:pPr>
    <w:rPr>
      <w:rFonts w:ascii="黑体" w:eastAsia="黑体" w:cs="宋体"/>
      <w:bCs w:val="0"/>
      <w:sz w:val="28"/>
      <w:szCs w:val="28"/>
    </w:rPr>
  </w:style>
  <w:style w:type="paragraph" w:customStyle="1" w:styleId="wcontent">
    <w:name w:val="wcontent"/>
    <w:basedOn w:val="af3"/>
    <w:rsid w:val="009964C3"/>
    <w:pPr>
      <w:widowControl/>
      <w:spacing w:before="100" w:beforeAutospacing="1" w:after="100" w:afterAutospacing="1" w:line="330" w:lineRule="atLeast"/>
      <w:jc w:val="left"/>
    </w:pPr>
    <w:rPr>
      <w:rFonts w:ascii="宋体" w:hAnsi="宋体"/>
      <w:kern w:val="0"/>
      <w:szCs w:val="21"/>
    </w:rPr>
  </w:style>
  <w:style w:type="paragraph" w:customStyle="1" w:styleId="472">
    <w:name w:val="表内小47"/>
    <w:basedOn w:val="affffffffff"/>
    <w:rsid w:val="009964C3"/>
    <w:pPr>
      <w:ind w:left="240" w:hanging="240"/>
      <w:jc w:val="both"/>
    </w:pPr>
    <w:rPr>
      <w:rFonts w:cs="Times New Roman"/>
    </w:rPr>
  </w:style>
  <w:style w:type="paragraph" w:customStyle="1" w:styleId="Lara">
    <w:name w:val="Lara"/>
    <w:basedOn w:val="13"/>
    <w:rsid w:val="009964C3"/>
    <w:pPr>
      <w:keepLines w:val="0"/>
      <w:widowControl/>
      <w:spacing w:before="240" w:after="60" w:line="480" w:lineRule="atLeast"/>
    </w:pPr>
    <w:rPr>
      <w:rFonts w:ascii="Arial" w:eastAsia="宋体" w:hAnsi="Arial"/>
      <w:bCs w:val="0"/>
      <w:kern w:val="24"/>
      <w:sz w:val="22"/>
      <w:szCs w:val="20"/>
      <w:u w:val="words"/>
    </w:rPr>
  </w:style>
  <w:style w:type="paragraph" w:customStyle="1" w:styleId="afffffffffffffffffffffffff6">
    <w:name w:val="表格内格式"/>
    <w:basedOn w:val="af3"/>
    <w:rsid w:val="009964C3"/>
    <w:pPr>
      <w:spacing w:line="240" w:lineRule="exact"/>
      <w:jc w:val="center"/>
    </w:pPr>
    <w:rPr>
      <w:rFonts w:ascii="宋体"/>
    </w:rPr>
  </w:style>
  <w:style w:type="paragraph" w:customStyle="1" w:styleId="55d">
    <w:name w:val="表内宋5中5"/>
    <w:basedOn w:val="af3"/>
    <w:rsid w:val="009964C3"/>
    <w:pPr>
      <w:adjustRightInd w:val="0"/>
      <w:snapToGrid w:val="0"/>
      <w:spacing w:line="360" w:lineRule="auto"/>
      <w:textAlignment w:val="baseline"/>
    </w:pPr>
    <w:rPr>
      <w:rFonts w:ascii="宋体" w:hAnsi="宋体"/>
      <w:kern w:val="0"/>
      <w:szCs w:val="21"/>
    </w:rPr>
  </w:style>
  <w:style w:type="paragraph" w:customStyle="1" w:styleId="7d">
    <w:name w:val="等核实7"/>
    <w:basedOn w:val="afffffff4"/>
    <w:rsid w:val="009964C3"/>
    <w:pPr>
      <w:tabs>
        <w:tab w:val="clear" w:pos="4305"/>
      </w:tabs>
      <w:spacing w:line="240" w:lineRule="auto"/>
      <w:ind w:firstLine="0"/>
      <w:jc w:val="center"/>
    </w:pPr>
    <w:rPr>
      <w:rFonts w:hAnsi="Times" w:cs="Times New Roman"/>
      <w:color w:val="0000FF"/>
      <w:sz w:val="21"/>
      <w:szCs w:val="21"/>
    </w:rPr>
  </w:style>
  <w:style w:type="paragraph" w:customStyle="1" w:styleId="ljw">
    <w:name w:val="ljw子标题"/>
    <w:basedOn w:val="af3"/>
    <w:next w:val="afff"/>
    <w:rsid w:val="009964C3"/>
    <w:pPr>
      <w:adjustRightInd w:val="0"/>
      <w:snapToGrid w:val="0"/>
      <w:spacing w:beforeLines="50" w:afterLines="50"/>
      <w:jc w:val="left"/>
    </w:pPr>
    <w:rPr>
      <w:rFonts w:ascii="宋体" w:hAnsi="宋体"/>
      <w:b/>
      <w:sz w:val="24"/>
      <w:szCs w:val="28"/>
    </w:rPr>
  </w:style>
  <w:style w:type="paragraph" w:customStyle="1" w:styleId="90">
    <w:name w:val="样式9"/>
    <w:basedOn w:val="afffffffffffffffffffff3"/>
    <w:link w:val="9Char0"/>
    <w:qFormat/>
    <w:rsid w:val="009964C3"/>
    <w:pPr>
      <w:keepLines w:val="0"/>
      <w:widowControl w:val="0"/>
      <w:pBdr>
        <w:top w:val="single" w:sz="4" w:space="1" w:color="auto"/>
      </w:pBdr>
      <w:tabs>
        <w:tab w:val="clear" w:pos="4320"/>
      </w:tabs>
      <w:overflowPunct/>
      <w:autoSpaceDE/>
      <w:autoSpaceDN/>
      <w:adjustRightInd/>
      <w:spacing w:line="240" w:lineRule="auto"/>
      <w:textAlignment w:val="auto"/>
    </w:pPr>
    <w:rPr>
      <w:kern w:val="2"/>
      <w:szCs w:val="24"/>
    </w:rPr>
  </w:style>
  <w:style w:type="paragraph" w:customStyle="1" w:styleId="751">
    <w:name w:val="页眉中75"/>
    <w:basedOn w:val="af3"/>
    <w:rsid w:val="009964C3"/>
    <w:pPr>
      <w:adjustRightInd w:val="0"/>
      <w:snapToGrid w:val="0"/>
      <w:spacing w:line="300" w:lineRule="auto"/>
      <w:jc w:val="left"/>
    </w:pPr>
    <w:rPr>
      <w:rFonts w:ascii="黑体" w:eastAsia="黑体"/>
      <w:bCs/>
      <w:sz w:val="24"/>
      <w:szCs w:val="20"/>
    </w:rPr>
  </w:style>
  <w:style w:type="paragraph" w:customStyle="1" w:styleId="2-1">
    <w:name w:val="标题2-1"/>
    <w:basedOn w:val="22"/>
    <w:rsid w:val="009964C3"/>
    <w:pPr>
      <w:keepNext w:val="0"/>
      <w:keepLines w:val="0"/>
      <w:tabs>
        <w:tab w:val="left" w:pos="0"/>
        <w:tab w:val="left" w:pos="576"/>
      </w:tabs>
      <w:snapToGrid w:val="0"/>
      <w:spacing w:before="0" w:after="120" w:line="360" w:lineRule="auto"/>
      <w:ind w:left="576" w:firstLineChars="200" w:firstLine="200"/>
    </w:pPr>
    <w:rPr>
      <w:rFonts w:ascii="宋体" w:eastAsia="华文细黑" w:hAnsi="宋体" w:cs="宋体"/>
      <w:b w:val="0"/>
      <w:bCs w:val="0"/>
      <w:color w:val="000000"/>
      <w:kern w:val="32"/>
      <w:sz w:val="28"/>
      <w:szCs w:val="24"/>
    </w:rPr>
  </w:style>
  <w:style w:type="paragraph" w:customStyle="1" w:styleId="5351">
    <w:name w:val="表内5中35"/>
    <w:basedOn w:val="af3"/>
    <w:rsid w:val="009964C3"/>
    <w:pPr>
      <w:adjustRightInd w:val="0"/>
      <w:snapToGrid w:val="0"/>
      <w:jc w:val="center"/>
    </w:pPr>
    <w:rPr>
      <w:rFonts w:ascii="宋体"/>
    </w:rPr>
  </w:style>
  <w:style w:type="paragraph" w:customStyle="1" w:styleId="afffffffffffffffffffffffff7">
    <w:name w:val="基本段落"/>
    <w:basedOn w:val="af3"/>
    <w:rsid w:val="009964C3"/>
    <w:pPr>
      <w:widowControl/>
      <w:autoSpaceDE w:val="0"/>
      <w:autoSpaceDN w:val="0"/>
      <w:adjustRightInd w:val="0"/>
      <w:spacing w:line="440" w:lineRule="atLeast"/>
      <w:ind w:firstLine="567"/>
      <w:textAlignment w:val="bottom"/>
    </w:pPr>
    <w:rPr>
      <w:rFonts w:ascii="Arial" w:hAnsi="Arial"/>
      <w:kern w:val="0"/>
      <w:sz w:val="26"/>
      <w:szCs w:val="20"/>
    </w:rPr>
  </w:style>
  <w:style w:type="paragraph" w:customStyle="1" w:styleId="Qzy1">
    <w:name w:val="Qzy样式1"/>
    <w:basedOn w:val="13"/>
    <w:rsid w:val="009964C3"/>
    <w:pPr>
      <w:keepNext w:val="0"/>
      <w:spacing w:beforeLines="50" w:afterLines="50" w:line="240" w:lineRule="auto"/>
    </w:pPr>
    <w:rPr>
      <w:rFonts w:eastAsia="宋体"/>
      <w:bCs w:val="0"/>
      <w:sz w:val="28"/>
      <w:szCs w:val="20"/>
    </w:rPr>
  </w:style>
  <w:style w:type="paragraph" w:customStyle="1" w:styleId="55e">
    <w:name w:val="样式 表内小5 + 黑体 加粗 倾斜 下划线5"/>
    <w:basedOn w:val="af3"/>
    <w:qFormat/>
    <w:rsid w:val="009964C3"/>
    <w:pPr>
      <w:adjustRightInd w:val="0"/>
      <w:snapToGrid w:val="0"/>
      <w:spacing w:line="300" w:lineRule="auto"/>
    </w:pPr>
    <w:rPr>
      <w:rFonts w:ascii="黑体" w:eastAsia="黑体" w:hAnsi="黑体"/>
      <w:b/>
      <w:bCs/>
      <w:i/>
      <w:iCs/>
      <w:sz w:val="18"/>
      <w:u w:val="single"/>
    </w:rPr>
  </w:style>
  <w:style w:type="paragraph" w:customStyle="1" w:styleId="CM8">
    <w:name w:val="CM8"/>
    <w:basedOn w:val="Default"/>
    <w:next w:val="Default"/>
    <w:rsid w:val="009964C3"/>
    <w:pPr>
      <w:spacing w:line="388" w:lineRule="atLeast"/>
    </w:pPr>
    <w:rPr>
      <w:rFonts w:ascii=".." w:eastAsia="Times New Roman" w:hAnsi=".." w:cs="Times New Roman"/>
      <w:color w:val="auto"/>
    </w:rPr>
  </w:style>
  <w:style w:type="paragraph" w:customStyle="1" w:styleId="afffffffffffffffffffffffff8">
    <w:name w:val="图格式"/>
    <w:basedOn w:val="af3"/>
    <w:rsid w:val="009964C3"/>
    <w:pPr>
      <w:spacing w:line="480" w:lineRule="exact"/>
      <w:jc w:val="center"/>
    </w:pPr>
    <w:rPr>
      <w:rFonts w:eastAsia="仿宋_GB2312"/>
      <w:sz w:val="28"/>
    </w:rPr>
  </w:style>
  <w:style w:type="paragraph" w:customStyle="1" w:styleId="5182">
    <w:name w:val="表内宋5中18"/>
    <w:basedOn w:val="af3"/>
    <w:rsid w:val="009964C3"/>
    <w:pPr>
      <w:adjustRightInd w:val="0"/>
      <w:snapToGrid w:val="0"/>
      <w:jc w:val="center"/>
      <w:textAlignment w:val="baseline"/>
    </w:pPr>
    <w:rPr>
      <w:rFonts w:ascii="宋体" w:hAnsi="宋体"/>
      <w:kern w:val="0"/>
      <w:szCs w:val="20"/>
    </w:rPr>
  </w:style>
  <w:style w:type="paragraph" w:customStyle="1" w:styleId="2ffffb">
    <w:name w:val="表头2"/>
    <w:basedOn w:val="afffffff4"/>
    <w:rsid w:val="009964C3"/>
    <w:pPr>
      <w:tabs>
        <w:tab w:val="clear" w:pos="4305"/>
      </w:tabs>
      <w:spacing w:line="240" w:lineRule="auto"/>
      <w:ind w:firstLine="0"/>
      <w:jc w:val="center"/>
    </w:pPr>
    <w:rPr>
      <w:rFonts w:ascii="黑体" w:eastAsia="黑体" w:hAnsi="Times" w:cs="Times New Roman"/>
    </w:rPr>
  </w:style>
  <w:style w:type="paragraph" w:customStyle="1" w:styleId="10">
    <w:name w:val="样式1"/>
    <w:basedOn w:val="af3"/>
    <w:qFormat/>
    <w:rsid w:val="009964C3"/>
    <w:pPr>
      <w:numPr>
        <w:numId w:val="56"/>
      </w:numPr>
      <w:tabs>
        <w:tab w:val="left" w:pos="432"/>
      </w:tabs>
      <w:adjustRightInd w:val="0"/>
      <w:spacing w:line="360" w:lineRule="auto"/>
      <w:textAlignment w:val="baseline"/>
    </w:pPr>
    <w:rPr>
      <w:rFonts w:ascii="Arial" w:hAnsi="Arial"/>
      <w:kern w:val="0"/>
      <w:sz w:val="24"/>
      <w:szCs w:val="20"/>
    </w:rPr>
  </w:style>
  <w:style w:type="paragraph" w:customStyle="1" w:styleId="1223">
    <w:name w:val="表题122"/>
    <w:basedOn w:val="afffffff4"/>
    <w:rsid w:val="009964C3"/>
    <w:pPr>
      <w:tabs>
        <w:tab w:val="clear" w:pos="4305"/>
      </w:tabs>
      <w:spacing w:line="240" w:lineRule="auto"/>
      <w:ind w:firstLine="0"/>
      <w:jc w:val="center"/>
    </w:pPr>
    <w:rPr>
      <w:rFonts w:ascii="黑体" w:eastAsia="黑体" w:hAnsi="Times" w:cs="Times New Roman"/>
    </w:rPr>
  </w:style>
  <w:style w:type="paragraph" w:customStyle="1" w:styleId="C0">
    <w:name w:val="图(C)"/>
    <w:basedOn w:val="af3"/>
    <w:link w:val="CCharChar"/>
    <w:rsid w:val="009964C3"/>
    <w:pPr>
      <w:tabs>
        <w:tab w:val="left" w:pos="1021"/>
      </w:tabs>
      <w:spacing w:line="288" w:lineRule="auto"/>
      <w:jc w:val="center"/>
    </w:pPr>
    <w:rPr>
      <w:rFonts w:ascii="Arial" w:eastAsia="黑体" w:hAnsi="Arial"/>
      <w:kern w:val="24"/>
      <w:sz w:val="24"/>
    </w:rPr>
  </w:style>
  <w:style w:type="paragraph" w:customStyle="1" w:styleId="358">
    <w:name w:val="样式35"/>
    <w:basedOn w:val="afff"/>
    <w:rsid w:val="009964C3"/>
    <w:pPr>
      <w:widowControl/>
      <w:overflowPunct w:val="0"/>
      <w:autoSpaceDE w:val="0"/>
      <w:autoSpaceDN w:val="0"/>
      <w:adjustRightInd w:val="0"/>
      <w:snapToGrid w:val="0"/>
      <w:spacing w:after="0" w:line="360" w:lineRule="auto"/>
      <w:ind w:firstLine="567"/>
      <w:textAlignment w:val="baseline"/>
    </w:pPr>
    <w:rPr>
      <w:rFonts w:ascii="宋体"/>
      <w:spacing w:val="20"/>
      <w:kern w:val="0"/>
      <w:sz w:val="24"/>
      <w:szCs w:val="20"/>
    </w:rPr>
  </w:style>
  <w:style w:type="paragraph" w:customStyle="1" w:styleId="548">
    <w:name w:val="表内宋54"/>
    <w:basedOn w:val="affffffffff5"/>
    <w:rsid w:val="009964C3"/>
    <w:pPr>
      <w:adjustRightInd w:val="0"/>
      <w:snapToGrid w:val="0"/>
      <w:spacing w:before="100" w:beforeAutospacing="1" w:after="100" w:afterAutospacing="1"/>
      <w:jc w:val="both"/>
    </w:pPr>
    <w:rPr>
      <w:rFonts w:cs="Times New Roman"/>
      <w:color w:val="000000"/>
      <w:sz w:val="21"/>
    </w:rPr>
  </w:style>
  <w:style w:type="paragraph" w:customStyle="1" w:styleId="-50">
    <w:name w:val="标-5"/>
    <w:basedOn w:val="af3"/>
    <w:rsid w:val="009964C3"/>
    <w:pPr>
      <w:tabs>
        <w:tab w:val="right" w:leader="dot" w:pos="8789"/>
      </w:tabs>
      <w:spacing w:before="120"/>
      <w:ind w:left="1276" w:hanging="425"/>
    </w:pPr>
    <w:rPr>
      <w:sz w:val="24"/>
      <w:szCs w:val="20"/>
    </w:rPr>
  </w:style>
  <w:style w:type="paragraph" w:customStyle="1" w:styleId="5710">
    <w:name w:val="表内571"/>
    <w:basedOn w:val="5f2"/>
    <w:rsid w:val="009964C3"/>
    <w:pPr>
      <w:jc w:val="both"/>
    </w:pPr>
    <w:rPr>
      <w:szCs w:val="24"/>
    </w:rPr>
  </w:style>
  <w:style w:type="paragraph" w:customStyle="1" w:styleId="721">
    <w:name w:val="表题72"/>
    <w:basedOn w:val="afffffff4"/>
    <w:rsid w:val="009964C3"/>
    <w:pPr>
      <w:spacing w:line="240" w:lineRule="auto"/>
      <w:ind w:firstLine="0"/>
      <w:jc w:val="center"/>
    </w:pPr>
    <w:rPr>
      <w:rFonts w:ascii="黑体" w:eastAsia="黑体" w:cs="Times New Roman"/>
      <w:color w:val="auto"/>
    </w:rPr>
  </w:style>
  <w:style w:type="paragraph" w:customStyle="1" w:styleId="ST2055">
    <w:name w:val="ST20_55"/>
    <w:basedOn w:val="ST2019"/>
    <w:rsid w:val="009964C3"/>
    <w:pPr>
      <w:tabs>
        <w:tab w:val="clear" w:pos="720"/>
        <w:tab w:val="left" w:pos="2160"/>
      </w:tabs>
      <w:ind w:left="2160"/>
    </w:pPr>
  </w:style>
  <w:style w:type="paragraph" w:customStyle="1" w:styleId="afffffffffffffffffffffffff9">
    <w:name w:val="样式 小四"/>
    <w:basedOn w:val="af3"/>
    <w:rsid w:val="009964C3"/>
    <w:pPr>
      <w:widowControl/>
      <w:spacing w:before="100" w:beforeAutospacing="1"/>
      <w:ind w:firstLineChars="147" w:firstLine="413"/>
      <w:jc w:val="left"/>
    </w:pPr>
    <w:rPr>
      <w:color w:val="000000"/>
      <w:sz w:val="24"/>
      <w:szCs w:val="21"/>
    </w:rPr>
  </w:style>
  <w:style w:type="paragraph" w:customStyle="1" w:styleId="861">
    <w:name w:val="表题86"/>
    <w:basedOn w:val="afffffff4"/>
    <w:rsid w:val="009964C3"/>
    <w:pPr>
      <w:spacing w:line="240" w:lineRule="auto"/>
      <w:ind w:firstLine="0"/>
      <w:jc w:val="center"/>
    </w:pPr>
    <w:rPr>
      <w:rFonts w:ascii="黑体" w:eastAsia="黑体" w:cs="Times New Roman"/>
      <w:color w:val="auto"/>
      <w:szCs w:val="20"/>
    </w:rPr>
  </w:style>
  <w:style w:type="paragraph" w:customStyle="1" w:styleId="172">
    <w:name w:val="表标题1.7－2"/>
    <w:basedOn w:val="af3"/>
    <w:rsid w:val="009964C3"/>
    <w:pPr>
      <w:numPr>
        <w:numId w:val="57"/>
      </w:numPr>
      <w:tabs>
        <w:tab w:val="left" w:pos="1931"/>
      </w:tabs>
      <w:spacing w:beforeLines="100" w:line="0" w:lineRule="atLeast"/>
    </w:pPr>
    <w:rPr>
      <w:color w:val="000000"/>
      <w:sz w:val="24"/>
    </w:rPr>
  </w:style>
  <w:style w:type="paragraph" w:customStyle="1" w:styleId="GB231224">
    <w:name w:val="样式 列表项目符号 + 仿宋_GB2312 小四 行距: 固定值 24 磅"/>
    <w:basedOn w:val="af3"/>
    <w:semiHidden/>
    <w:rsid w:val="009964C3"/>
    <w:pPr>
      <w:numPr>
        <w:numId w:val="58"/>
      </w:numPr>
      <w:tabs>
        <w:tab w:val="left" w:pos="1099"/>
      </w:tabs>
      <w:spacing w:line="480" w:lineRule="exact"/>
      <w:jc w:val="left"/>
    </w:pPr>
    <w:rPr>
      <w:rFonts w:ascii="宋体" w:hAnsi="宋体" w:cs="宋体"/>
      <w:color w:val="000000"/>
      <w:sz w:val="24"/>
      <w:szCs w:val="20"/>
    </w:rPr>
  </w:style>
  <w:style w:type="paragraph" w:customStyle="1" w:styleId="3fffa">
    <w:name w:val="表内文字3"/>
    <w:basedOn w:val="af3"/>
    <w:rsid w:val="009964C3"/>
    <w:pPr>
      <w:widowControl/>
      <w:adjustRightInd w:val="0"/>
      <w:snapToGrid w:val="0"/>
      <w:jc w:val="center"/>
    </w:pPr>
    <w:rPr>
      <w:rFonts w:ascii="宋体" w:hAnsi="宋体" w:cs="宋体"/>
      <w:color w:val="000000"/>
      <w:kern w:val="0"/>
      <w:sz w:val="24"/>
      <w:szCs w:val="20"/>
    </w:rPr>
  </w:style>
  <w:style w:type="paragraph" w:customStyle="1" w:styleId="Char211">
    <w:name w:val="样式 样式 正文首行缩进正文首行缩进 Char + 首行缩进:  2 字符1 + (中文) 宋体"/>
    <w:basedOn w:val="af3"/>
    <w:rsid w:val="009964C3"/>
    <w:pPr>
      <w:adjustRightInd w:val="0"/>
      <w:spacing w:line="360" w:lineRule="auto"/>
      <w:ind w:firstLineChars="200" w:firstLine="200"/>
    </w:pPr>
    <w:rPr>
      <w:rFonts w:cs="宋体"/>
      <w:sz w:val="24"/>
      <w:szCs w:val="20"/>
    </w:rPr>
  </w:style>
  <w:style w:type="paragraph" w:customStyle="1" w:styleId="256">
    <w:name w:val="表内文字25"/>
    <w:basedOn w:val="af3"/>
    <w:rsid w:val="009964C3"/>
    <w:pPr>
      <w:widowControl/>
      <w:adjustRightInd w:val="0"/>
      <w:snapToGrid w:val="0"/>
      <w:jc w:val="center"/>
    </w:pPr>
    <w:rPr>
      <w:kern w:val="0"/>
      <w:szCs w:val="21"/>
    </w:rPr>
  </w:style>
  <w:style w:type="paragraph" w:customStyle="1" w:styleId="5520">
    <w:name w:val="表内552"/>
    <w:basedOn w:val="5f2"/>
    <w:rsid w:val="009964C3"/>
    <w:pPr>
      <w:jc w:val="both"/>
    </w:pPr>
    <w:rPr>
      <w:color w:val="000000"/>
    </w:rPr>
  </w:style>
  <w:style w:type="paragraph" w:customStyle="1" w:styleId="5132">
    <w:name w:val="表内5中13"/>
    <w:basedOn w:val="affffffffff3"/>
    <w:rsid w:val="009964C3"/>
    <w:pPr>
      <w:widowControl/>
    </w:pPr>
    <w:rPr>
      <w:kern w:val="0"/>
      <w:sz w:val="21"/>
      <w:szCs w:val="21"/>
    </w:rPr>
  </w:style>
  <w:style w:type="paragraph" w:customStyle="1" w:styleId="16211">
    <w:name w:val="16.2.1.1"/>
    <w:basedOn w:val="43"/>
    <w:rsid w:val="009964C3"/>
    <w:pPr>
      <w:keepNext w:val="0"/>
      <w:keepLines w:val="0"/>
      <w:numPr>
        <w:ilvl w:val="3"/>
        <w:numId w:val="59"/>
      </w:numPr>
      <w:spacing w:before="120" w:after="120" w:line="312" w:lineRule="auto"/>
    </w:pPr>
    <w:rPr>
      <w:rFonts w:cs="宋体"/>
      <w:sz w:val="24"/>
      <w:szCs w:val="20"/>
    </w:rPr>
  </w:style>
  <w:style w:type="paragraph" w:customStyle="1" w:styleId="52e">
    <w:name w:val="表内文字小52"/>
    <w:basedOn w:val="af3"/>
    <w:rsid w:val="009964C3"/>
    <w:pPr>
      <w:adjustRightInd w:val="0"/>
      <w:snapToGrid w:val="0"/>
      <w:jc w:val="center"/>
    </w:pPr>
    <w:rPr>
      <w:rFonts w:ascii="宋体" w:hAnsi="Times"/>
      <w:szCs w:val="20"/>
    </w:rPr>
  </w:style>
  <w:style w:type="paragraph" w:customStyle="1" w:styleId="52f">
    <w:name w:val="表内5中2"/>
    <w:basedOn w:val="af3"/>
    <w:rsid w:val="009964C3"/>
    <w:pPr>
      <w:adjustRightInd w:val="0"/>
      <w:snapToGrid w:val="0"/>
      <w:jc w:val="center"/>
    </w:pPr>
    <w:rPr>
      <w:rFonts w:ascii="宋体"/>
      <w:color w:val="000000"/>
      <w:szCs w:val="21"/>
    </w:rPr>
  </w:style>
  <w:style w:type="paragraph" w:customStyle="1" w:styleId="1540">
    <w:name w:val="样式 标题 1 + 左侧:  5.4 厘米"/>
    <w:basedOn w:val="13"/>
    <w:rsid w:val="009964C3"/>
    <w:pPr>
      <w:spacing w:after="600" w:line="360" w:lineRule="auto"/>
      <w:ind w:firstLine="510"/>
      <w:jc w:val="center"/>
    </w:pPr>
    <w:rPr>
      <w:rFonts w:cs="宋体"/>
      <w:b w:val="0"/>
      <w:w w:val="105"/>
      <w:sz w:val="48"/>
      <w:szCs w:val="20"/>
    </w:rPr>
  </w:style>
  <w:style w:type="paragraph" w:customStyle="1" w:styleId="950">
    <w:name w:val="页眉中95"/>
    <w:basedOn w:val="af3"/>
    <w:rsid w:val="009964C3"/>
    <w:pPr>
      <w:adjustRightInd w:val="0"/>
      <w:snapToGrid w:val="0"/>
      <w:spacing w:line="300" w:lineRule="auto"/>
      <w:jc w:val="left"/>
    </w:pPr>
    <w:rPr>
      <w:rFonts w:ascii="黑体" w:eastAsia="黑体"/>
      <w:bCs/>
      <w:sz w:val="24"/>
      <w:szCs w:val="20"/>
    </w:rPr>
  </w:style>
  <w:style w:type="paragraph" w:customStyle="1" w:styleId="591">
    <w:name w:val="表内59"/>
    <w:basedOn w:val="af3"/>
    <w:rsid w:val="009964C3"/>
    <w:pPr>
      <w:adjustRightInd w:val="0"/>
      <w:snapToGrid w:val="0"/>
    </w:pPr>
    <w:rPr>
      <w:rFonts w:ascii="宋体"/>
      <w:szCs w:val="20"/>
    </w:rPr>
  </w:style>
  <w:style w:type="paragraph" w:customStyle="1" w:styleId="085150">
    <w:name w:val="样式 小四 首行缩进:  0.85 厘米 行距: 1.5 倍行距"/>
    <w:basedOn w:val="af3"/>
    <w:rsid w:val="009964C3"/>
    <w:pPr>
      <w:spacing w:line="360" w:lineRule="auto"/>
      <w:ind w:firstLine="482"/>
    </w:pPr>
    <w:rPr>
      <w:sz w:val="24"/>
    </w:rPr>
  </w:style>
  <w:style w:type="paragraph" w:customStyle="1" w:styleId="53b">
    <w:name w:val="表内宋53"/>
    <w:basedOn w:val="affffffffff5"/>
    <w:rsid w:val="009964C3"/>
    <w:pPr>
      <w:adjustRightInd w:val="0"/>
      <w:snapToGrid w:val="0"/>
      <w:jc w:val="both"/>
    </w:pPr>
    <w:rPr>
      <w:color w:val="000000"/>
      <w:sz w:val="21"/>
    </w:rPr>
  </w:style>
  <w:style w:type="paragraph" w:customStyle="1" w:styleId="CM21">
    <w:name w:val="CM21"/>
    <w:basedOn w:val="Default"/>
    <w:next w:val="Default"/>
    <w:rsid w:val="009964C3"/>
    <w:pPr>
      <w:spacing w:line="666" w:lineRule="atLeast"/>
    </w:pPr>
    <w:rPr>
      <w:rFonts w:ascii="á￥êé" w:eastAsia="á￥êé" w:cs="Times New Roman"/>
      <w:color w:val="auto"/>
      <w:sz w:val="20"/>
      <w:szCs w:val="20"/>
    </w:rPr>
  </w:style>
  <w:style w:type="paragraph" w:customStyle="1" w:styleId="2ffffc">
    <w:name w:val="正文首行缩进2"/>
    <w:basedOn w:val="af3"/>
    <w:semiHidden/>
    <w:rsid w:val="009964C3"/>
    <w:pPr>
      <w:widowControl/>
      <w:adjustRightInd w:val="0"/>
      <w:snapToGrid w:val="0"/>
      <w:spacing w:line="360" w:lineRule="auto"/>
      <w:ind w:firstLineChars="200" w:firstLine="200"/>
      <w:jc w:val="left"/>
    </w:pPr>
    <w:rPr>
      <w:sz w:val="24"/>
      <w:szCs w:val="20"/>
    </w:rPr>
  </w:style>
  <w:style w:type="paragraph" w:customStyle="1" w:styleId="3TimesNewRoman12151">
    <w:name w:val="样式 标题 3 + (符号) Times New Roman 四号 两端对齐 段前: 12 磅 行距: 1.5 倍行距1"/>
    <w:basedOn w:val="31"/>
    <w:rsid w:val="009964C3"/>
    <w:pPr>
      <w:keepNext w:val="0"/>
      <w:keepLines w:val="0"/>
      <w:adjustRightInd w:val="0"/>
      <w:snapToGrid w:val="0"/>
      <w:spacing w:before="120" w:afterLines="50" w:line="360" w:lineRule="auto"/>
    </w:pPr>
    <w:rPr>
      <w:rFonts w:ascii="黑体" w:eastAsia="黑体" w:cs="宋体"/>
      <w:bCs w:val="0"/>
      <w:sz w:val="28"/>
      <w:szCs w:val="28"/>
    </w:rPr>
  </w:style>
  <w:style w:type="paragraph" w:customStyle="1" w:styleId="T1">
    <w:name w:val="T1"/>
    <w:basedOn w:val="af3"/>
    <w:rsid w:val="009964C3"/>
    <w:pPr>
      <w:keepNext/>
      <w:keepLines/>
      <w:tabs>
        <w:tab w:val="left" w:pos="360"/>
      </w:tabs>
      <w:adjustRightInd w:val="0"/>
      <w:spacing w:beforeLines="50" w:afterLines="50" w:line="312" w:lineRule="auto"/>
      <w:ind w:left="360" w:hanging="360"/>
      <w:textAlignment w:val="baseline"/>
      <w:outlineLvl w:val="0"/>
    </w:pPr>
    <w:rPr>
      <w:rFonts w:ascii="Arial" w:hAnsi="Arial" w:cs="宋体"/>
      <w:b/>
      <w:bCs/>
      <w:kern w:val="44"/>
      <w:sz w:val="24"/>
      <w:szCs w:val="20"/>
    </w:rPr>
  </w:style>
  <w:style w:type="paragraph" w:customStyle="1" w:styleId="462">
    <w:name w:val="表内小46"/>
    <w:basedOn w:val="affffffffff"/>
    <w:qFormat/>
    <w:rsid w:val="009964C3"/>
    <w:pPr>
      <w:ind w:left="240" w:hanging="240"/>
      <w:jc w:val="both"/>
    </w:pPr>
  </w:style>
  <w:style w:type="paragraph" w:customStyle="1" w:styleId="752">
    <w:name w:val="图题75"/>
    <w:basedOn w:val="af3"/>
    <w:rsid w:val="009964C3"/>
    <w:pPr>
      <w:adjustRightInd w:val="0"/>
      <w:snapToGrid w:val="0"/>
      <w:ind w:firstLineChars="222" w:firstLine="533"/>
      <w:jc w:val="center"/>
    </w:pPr>
    <w:rPr>
      <w:rFonts w:ascii="黑体" w:eastAsia="黑体" w:hAnsi="宋体"/>
      <w:snapToGrid w:val="0"/>
      <w:kern w:val="0"/>
      <w:sz w:val="24"/>
    </w:rPr>
  </w:style>
  <w:style w:type="paragraph" w:customStyle="1" w:styleId="910">
    <w:name w:val="页眉中91"/>
    <w:basedOn w:val="af3"/>
    <w:rsid w:val="009964C3"/>
    <w:pPr>
      <w:adjustRightInd w:val="0"/>
      <w:snapToGrid w:val="0"/>
      <w:spacing w:line="300" w:lineRule="auto"/>
      <w:jc w:val="left"/>
    </w:pPr>
    <w:rPr>
      <w:rFonts w:ascii="黑体" w:eastAsia="黑体"/>
      <w:bCs/>
      <w:sz w:val="24"/>
      <w:szCs w:val="20"/>
    </w:rPr>
  </w:style>
  <w:style w:type="paragraph" w:customStyle="1" w:styleId="032">
    <w:name w:val="表格03"/>
    <w:basedOn w:val="af3"/>
    <w:rsid w:val="009964C3"/>
    <w:pPr>
      <w:spacing w:line="400" w:lineRule="exact"/>
      <w:jc w:val="center"/>
    </w:pPr>
    <w:rPr>
      <w:szCs w:val="21"/>
    </w:rPr>
  </w:style>
  <w:style w:type="paragraph" w:customStyle="1" w:styleId="2ffffd">
    <w:name w:val="正文格式2"/>
    <w:basedOn w:val="af3"/>
    <w:rsid w:val="009964C3"/>
    <w:pPr>
      <w:adjustRightInd w:val="0"/>
      <w:snapToGrid w:val="0"/>
      <w:spacing w:line="360" w:lineRule="auto"/>
      <w:ind w:firstLineChars="200" w:firstLine="480"/>
    </w:pPr>
    <w:rPr>
      <w:rFonts w:ascii="宋体" w:cs="宋体"/>
      <w:sz w:val="24"/>
    </w:rPr>
  </w:style>
  <w:style w:type="paragraph" w:customStyle="1" w:styleId="CUCD-B">
    <w:name w:val="CUCD-B"/>
    <w:next w:val="CUCD-00"/>
    <w:semiHidden/>
    <w:rsid w:val="009964C3"/>
    <w:pPr>
      <w:jc w:val="both"/>
      <w:outlineLvl w:val="1"/>
    </w:pPr>
    <w:rPr>
      <w:rFonts w:ascii="Arial" w:eastAsia="黑体" w:hAnsi="Arial"/>
      <w:b/>
      <w:kern w:val="2"/>
      <w:sz w:val="32"/>
      <w:szCs w:val="21"/>
    </w:rPr>
  </w:style>
  <w:style w:type="paragraph" w:customStyle="1" w:styleId="CM104">
    <w:name w:val="CM104"/>
    <w:basedOn w:val="Default"/>
    <w:next w:val="Default"/>
    <w:qFormat/>
    <w:rsid w:val="009964C3"/>
    <w:pPr>
      <w:spacing w:line="626" w:lineRule="atLeast"/>
    </w:pPr>
    <w:rPr>
      <w:rFonts w:ascii="á￥êé" w:eastAsia="á￥êé" w:cs="Times New Roman"/>
      <w:color w:val="auto"/>
      <w:sz w:val="20"/>
      <w:szCs w:val="20"/>
    </w:rPr>
  </w:style>
  <w:style w:type="paragraph" w:customStyle="1" w:styleId="CharChar1CharCharCharChar0">
    <w:name w:val="Char Char1 Char Char Char Char"/>
    <w:basedOn w:val="af3"/>
    <w:rsid w:val="009964C3"/>
  </w:style>
  <w:style w:type="paragraph" w:customStyle="1" w:styleId="1fffffe">
    <w:name w:val="无间隔1"/>
    <w:qFormat/>
    <w:rsid w:val="009964C3"/>
    <w:pPr>
      <w:widowControl w:val="0"/>
      <w:jc w:val="both"/>
    </w:pPr>
    <w:rPr>
      <w:kern w:val="2"/>
    </w:rPr>
  </w:style>
  <w:style w:type="paragraph" w:customStyle="1" w:styleId="14a">
    <w:name w:val="表题14"/>
    <w:basedOn w:val="af3"/>
    <w:rsid w:val="009964C3"/>
    <w:pPr>
      <w:widowControl/>
      <w:adjustRightInd w:val="0"/>
      <w:snapToGrid w:val="0"/>
      <w:jc w:val="center"/>
    </w:pPr>
    <w:rPr>
      <w:rFonts w:ascii="黑体" w:eastAsia="黑体" w:hAnsi="宋体" w:cs="宋体"/>
      <w:kern w:val="0"/>
      <w:sz w:val="24"/>
    </w:rPr>
  </w:style>
  <w:style w:type="paragraph" w:customStyle="1" w:styleId="CharChar1CharCharCharCharCharCharCharCharCharCharCharCharCharCharCharCharCharChar0">
    <w:name w:val="Char Char1 Char Char Char Char Char Char Char Char Char Char Char Char Char Char Char Char Char Char"/>
    <w:basedOn w:val="af3"/>
    <w:semiHidden/>
    <w:rsid w:val="009964C3"/>
    <w:pPr>
      <w:spacing w:line="360" w:lineRule="auto"/>
      <w:ind w:firstLineChars="200" w:firstLine="200"/>
    </w:pPr>
    <w:rPr>
      <w:rFonts w:ascii="宋体" w:hAnsi="宋体" w:cs="宋体"/>
      <w:sz w:val="24"/>
    </w:rPr>
  </w:style>
  <w:style w:type="paragraph" w:customStyle="1" w:styleId="2ffffe">
    <w:name w:val="标题2（桑）"/>
    <w:basedOn w:val="22"/>
    <w:semiHidden/>
    <w:rsid w:val="009964C3"/>
    <w:pPr>
      <w:keepNext w:val="0"/>
      <w:keepLines w:val="0"/>
      <w:numPr>
        <w:ilvl w:val="1"/>
      </w:numPr>
      <w:tabs>
        <w:tab w:val="left" w:pos="576"/>
      </w:tabs>
      <w:overflowPunct w:val="0"/>
      <w:autoSpaceDE w:val="0"/>
      <w:autoSpaceDN w:val="0"/>
      <w:adjustRightInd w:val="0"/>
      <w:spacing w:before="240" w:after="120" w:line="360" w:lineRule="auto"/>
      <w:textAlignment w:val="baseline"/>
    </w:pPr>
    <w:rPr>
      <w:rFonts w:cs="宋体"/>
      <w:bCs w:val="0"/>
      <w:kern w:val="20"/>
      <w:sz w:val="28"/>
      <w:szCs w:val="20"/>
    </w:rPr>
  </w:style>
  <w:style w:type="paragraph" w:customStyle="1" w:styleId="41c">
    <w:name w:val="图题41"/>
    <w:basedOn w:val="af4"/>
    <w:rsid w:val="009964C3"/>
    <w:pPr>
      <w:tabs>
        <w:tab w:val="left" w:pos="5837"/>
      </w:tabs>
      <w:adjustRightInd w:val="0"/>
      <w:snapToGrid w:val="0"/>
      <w:ind w:firstLineChars="0" w:firstLine="0"/>
      <w:jc w:val="center"/>
    </w:pPr>
    <w:rPr>
      <w:rFonts w:ascii="方正大标宋简体" w:eastAsia="方正大标宋简体" w:hAnsi="宋体" w:cs="宋体"/>
      <w:sz w:val="24"/>
      <w:szCs w:val="24"/>
    </w:rPr>
  </w:style>
  <w:style w:type="paragraph" w:customStyle="1" w:styleId="ST2034">
    <w:name w:val="ST20_34"/>
    <w:basedOn w:val="affe"/>
    <w:rsid w:val="009964C3"/>
    <w:pPr>
      <w:keepLines/>
      <w:widowControl w:val="0"/>
      <w:tabs>
        <w:tab w:val="clear" w:pos="4153"/>
        <w:tab w:val="clear" w:pos="8306"/>
        <w:tab w:val="right" w:pos="0"/>
        <w:tab w:val="center" w:pos="4320"/>
        <w:tab w:val="right" w:pos="8640"/>
      </w:tabs>
      <w:autoSpaceDE w:val="0"/>
      <w:autoSpaceDN w:val="0"/>
      <w:adjustRightInd w:val="0"/>
      <w:snapToGrid/>
      <w:spacing w:line="360" w:lineRule="atLeast"/>
      <w:jc w:val="right"/>
      <w:textAlignment w:val="baseline"/>
    </w:pPr>
    <w:rPr>
      <w:rFonts w:hAnsi="Tms Rmn" w:cs="Times New Roman"/>
      <w:sz w:val="28"/>
      <w:szCs w:val="28"/>
    </w:rPr>
  </w:style>
  <w:style w:type="paragraph" w:customStyle="1" w:styleId="afffffffffffffffffffffffffa">
    <w:name w:val="题图"/>
    <w:basedOn w:val="af3"/>
    <w:rsid w:val="009964C3"/>
    <w:pPr>
      <w:adjustRightInd w:val="0"/>
      <w:snapToGrid w:val="0"/>
      <w:jc w:val="center"/>
    </w:pPr>
    <w:rPr>
      <w:rFonts w:ascii="宋体" w:hAnsi="宋体" w:cs="宋体"/>
      <w:sz w:val="28"/>
    </w:rPr>
  </w:style>
  <w:style w:type="paragraph" w:customStyle="1" w:styleId="41d">
    <w:name w:val="表题41"/>
    <w:basedOn w:val="afffffff4"/>
    <w:rsid w:val="009964C3"/>
    <w:pPr>
      <w:spacing w:line="300" w:lineRule="auto"/>
      <w:ind w:firstLine="0"/>
      <w:jc w:val="center"/>
    </w:pPr>
    <w:rPr>
      <w:rFonts w:ascii="黑体" w:eastAsia="黑体"/>
      <w:color w:val="auto"/>
      <w:szCs w:val="21"/>
    </w:rPr>
  </w:style>
  <w:style w:type="paragraph" w:customStyle="1" w:styleId="1ffffff">
    <w:name w:val="样式 目录 1 + 小四"/>
    <w:basedOn w:val="1fc"/>
    <w:rsid w:val="009964C3"/>
    <w:pPr>
      <w:tabs>
        <w:tab w:val="right" w:leader="dot" w:pos="9240"/>
      </w:tabs>
      <w:spacing w:line="360" w:lineRule="auto"/>
    </w:pPr>
    <w:rPr>
      <w:rFonts w:ascii="宋体"/>
      <w:b w:val="0"/>
      <w:bCs w:val="0"/>
      <w:caps w:val="0"/>
      <w:sz w:val="28"/>
      <w:szCs w:val="28"/>
    </w:rPr>
  </w:style>
  <w:style w:type="paragraph" w:customStyle="1" w:styleId="1ffffff0">
    <w:name w:val="表内文字小1"/>
    <w:basedOn w:val="af3"/>
    <w:rsid w:val="009964C3"/>
    <w:pPr>
      <w:adjustRightInd w:val="0"/>
      <w:snapToGrid w:val="0"/>
      <w:jc w:val="center"/>
    </w:pPr>
    <w:rPr>
      <w:rFonts w:ascii="宋体" w:hAnsi="Times" w:cs="宋体"/>
      <w:szCs w:val="20"/>
    </w:rPr>
  </w:style>
  <w:style w:type="paragraph" w:customStyle="1" w:styleId="5610">
    <w:name w:val="表内561"/>
    <w:basedOn w:val="af3"/>
    <w:rsid w:val="009964C3"/>
    <w:pPr>
      <w:adjustRightInd w:val="0"/>
      <w:snapToGrid w:val="0"/>
      <w:spacing w:line="300" w:lineRule="auto"/>
      <w:jc w:val="left"/>
    </w:pPr>
    <w:rPr>
      <w:rFonts w:ascii="宋体"/>
      <w:szCs w:val="20"/>
    </w:rPr>
  </w:style>
  <w:style w:type="paragraph" w:customStyle="1" w:styleId="12f">
    <w:name w:val="燕山正文12"/>
    <w:basedOn w:val="af3"/>
    <w:rsid w:val="009964C3"/>
    <w:pPr>
      <w:tabs>
        <w:tab w:val="left" w:pos="4680"/>
      </w:tabs>
      <w:adjustRightInd w:val="0"/>
      <w:snapToGrid w:val="0"/>
      <w:spacing w:line="360" w:lineRule="auto"/>
      <w:ind w:firstLineChars="200" w:firstLine="480"/>
    </w:pPr>
    <w:rPr>
      <w:rFonts w:ascii="宋体" w:hAnsi="宋体" w:cs="宋体"/>
      <w:bCs/>
      <w:color w:val="000000"/>
      <w:sz w:val="24"/>
    </w:rPr>
  </w:style>
  <w:style w:type="paragraph" w:customStyle="1" w:styleId="afffffffffffffffffffffffffb">
    <w:name w:val="高表内"/>
    <w:basedOn w:val="afffffffff2"/>
    <w:rsid w:val="009964C3"/>
    <w:pPr>
      <w:autoSpaceDE w:val="0"/>
      <w:adjustRightInd w:val="0"/>
      <w:snapToGrid w:val="0"/>
      <w:jc w:val="center"/>
      <w:textAlignment w:val="baseline"/>
    </w:pPr>
    <w:rPr>
      <w:rFonts w:ascii="Arial" w:eastAsia="楷体_GB2312" w:hAnsi="Arial" w:cs="Times New Roman"/>
      <w:sz w:val="24"/>
      <w:szCs w:val="24"/>
    </w:rPr>
  </w:style>
  <w:style w:type="paragraph" w:customStyle="1" w:styleId="024">
    <w:name w:val="样式 表头 + 居中 段后: 0.2 行"/>
    <w:basedOn w:val="afffff2"/>
    <w:rsid w:val="009964C3"/>
    <w:pPr>
      <w:overflowPunct/>
      <w:autoSpaceDE/>
      <w:autoSpaceDN/>
      <w:adjustRightInd/>
      <w:spacing w:before="120" w:afterLines="10" w:line="240" w:lineRule="auto"/>
      <w:ind w:firstLine="0"/>
      <w:textAlignment w:val="auto"/>
    </w:pPr>
    <w:rPr>
      <w:rFonts w:ascii="黑体" w:cs="宋体"/>
      <w:snapToGrid w:val="0"/>
      <w:kern w:val="24"/>
      <w:sz w:val="24"/>
      <w:szCs w:val="20"/>
    </w:rPr>
  </w:style>
  <w:style w:type="paragraph" w:customStyle="1" w:styleId="HeaderBase">
    <w:name w:val="Header Base"/>
    <w:basedOn w:val="af3"/>
    <w:rsid w:val="009964C3"/>
    <w:pPr>
      <w:widowControl/>
      <w:ind w:right="-360"/>
      <w:jc w:val="left"/>
    </w:pPr>
    <w:rPr>
      <w:kern w:val="0"/>
      <w:sz w:val="20"/>
      <w:szCs w:val="20"/>
    </w:rPr>
  </w:style>
  <w:style w:type="paragraph" w:customStyle="1" w:styleId="1ffffff1">
    <w:name w:val="正文格式1"/>
    <w:basedOn w:val="af3"/>
    <w:rsid w:val="009964C3"/>
    <w:pPr>
      <w:adjustRightInd w:val="0"/>
      <w:snapToGrid w:val="0"/>
      <w:spacing w:line="360" w:lineRule="auto"/>
      <w:ind w:firstLineChars="200" w:firstLine="480"/>
    </w:pPr>
    <w:rPr>
      <w:rFonts w:ascii="宋体" w:cs="宋体"/>
      <w:sz w:val="24"/>
    </w:rPr>
  </w:style>
  <w:style w:type="paragraph" w:customStyle="1" w:styleId="12f0">
    <w:name w:val="表内文字小12"/>
    <w:basedOn w:val="af3"/>
    <w:rsid w:val="009964C3"/>
    <w:pPr>
      <w:adjustRightInd w:val="0"/>
      <w:snapToGrid w:val="0"/>
      <w:jc w:val="center"/>
    </w:pPr>
    <w:rPr>
      <w:rFonts w:ascii="宋体" w:hAnsi="Times" w:cs="宋体"/>
      <w:szCs w:val="20"/>
    </w:rPr>
  </w:style>
  <w:style w:type="paragraph" w:customStyle="1" w:styleId="056">
    <w:name w:val="样式 正文首行缩进 + 首行缩进:  0.56 厘米"/>
    <w:basedOn w:val="aff7"/>
    <w:rsid w:val="009964C3"/>
    <w:pPr>
      <w:overflowPunct/>
      <w:autoSpaceDE/>
      <w:autoSpaceDN/>
      <w:ind w:firstLine="482"/>
      <w:textAlignment w:val="auto"/>
    </w:pPr>
    <w:rPr>
      <w:rFonts w:cs="宋体"/>
      <w:snapToGrid w:val="0"/>
      <w:kern w:val="28"/>
      <w:sz w:val="24"/>
      <w:szCs w:val="20"/>
    </w:rPr>
  </w:style>
  <w:style w:type="paragraph" w:customStyle="1" w:styleId="CharCharCharChar5">
    <w:name w:val="样式 题注 + 居中 Char Char Char Char"/>
    <w:basedOn w:val="afff2"/>
    <w:next w:val="af3"/>
    <w:rsid w:val="009964C3"/>
    <w:pPr>
      <w:spacing w:before="120" w:after="120"/>
      <w:jc w:val="center"/>
    </w:pPr>
    <w:rPr>
      <w:rFonts w:ascii="Times New Roman" w:hAnsi="Times New Roman" w:cs="Times New Roman"/>
      <w:sz w:val="24"/>
      <w:szCs w:val="24"/>
    </w:rPr>
  </w:style>
  <w:style w:type="paragraph" w:customStyle="1" w:styleId="412">
    <w:name w:val="标题41"/>
    <w:basedOn w:val="af3"/>
    <w:link w:val="41Char"/>
    <w:rsid w:val="009964C3"/>
    <w:pPr>
      <w:adjustRightInd w:val="0"/>
      <w:snapToGrid w:val="0"/>
      <w:spacing w:line="300" w:lineRule="auto"/>
      <w:jc w:val="left"/>
    </w:pPr>
    <w:rPr>
      <w:rFonts w:ascii="黑体" w:eastAsia="黑体" w:hAnsi="宋体"/>
      <w:bCs/>
      <w:sz w:val="24"/>
      <w:szCs w:val="20"/>
    </w:rPr>
  </w:style>
  <w:style w:type="paragraph" w:customStyle="1" w:styleId="CharCharChar1CharCharCharCharCharCharCharCharCharCharCharChar1CharCharCharChar1">
    <w:name w:val="Char Char Char1 Char Char Char Char Char Char Char Char Char Char Char Char1 Char Char Char Char1"/>
    <w:basedOn w:val="af3"/>
    <w:qFormat/>
    <w:rsid w:val="009964C3"/>
  </w:style>
  <w:style w:type="paragraph" w:customStyle="1" w:styleId="CharCharChar1CharCharCharCharCharCharCharCharCharCharCharChar1CharCharCharCharCharCharCharCharCharCharCharCharCharCharCharCharCharCharCharCharChar1">
    <w:name w:val="Char Char Char1 Char Char Char Char Char Char Char Char Char Char Char Char1 Char Char Char Char Char Char Char Char Char Char Char Char Char Char Char Char Char Char Char Char Char1"/>
    <w:basedOn w:val="af3"/>
    <w:rsid w:val="009964C3"/>
  </w:style>
  <w:style w:type="paragraph" w:customStyle="1" w:styleId="2fffff">
    <w:name w:val="图题2"/>
    <w:basedOn w:val="31"/>
    <w:rsid w:val="009964C3"/>
    <w:pPr>
      <w:keepNext w:val="0"/>
      <w:keepLines w:val="0"/>
      <w:adjustRightInd w:val="0"/>
      <w:snapToGrid w:val="0"/>
      <w:spacing w:before="120" w:after="0" w:line="360" w:lineRule="auto"/>
      <w:jc w:val="center"/>
    </w:pPr>
    <w:rPr>
      <w:rFonts w:ascii="黑体" w:eastAsia="黑体" w:hAnsi="宋体" w:cs="宋体"/>
      <w:b w:val="0"/>
      <w:sz w:val="28"/>
      <w:szCs w:val="28"/>
    </w:rPr>
  </w:style>
  <w:style w:type="paragraph" w:customStyle="1" w:styleId="3fffb">
    <w:name w:val="列出段落3"/>
    <w:basedOn w:val="af3"/>
    <w:qFormat/>
    <w:rsid w:val="009964C3"/>
    <w:pPr>
      <w:widowControl/>
      <w:ind w:left="720"/>
      <w:contextualSpacing/>
      <w:jc w:val="left"/>
    </w:pPr>
    <w:rPr>
      <w:rFonts w:ascii="Calibri" w:hAnsi="Calibri"/>
      <w:kern w:val="0"/>
      <w:sz w:val="24"/>
      <w:lang w:eastAsia="en-US" w:bidi="en-US"/>
    </w:rPr>
  </w:style>
  <w:style w:type="paragraph" w:customStyle="1" w:styleId="afffffffffffffffffffffffffc">
    <w:name w:val="图号"/>
    <w:basedOn w:val="af3"/>
    <w:rsid w:val="009964C3"/>
    <w:pPr>
      <w:jc w:val="center"/>
    </w:pPr>
    <w:rPr>
      <w:rFonts w:ascii="黑体" w:eastAsia="黑体"/>
      <w:sz w:val="24"/>
    </w:rPr>
  </w:style>
  <w:style w:type="paragraph" w:customStyle="1" w:styleId="1ffffff2">
    <w:name w:val="图题1"/>
    <w:basedOn w:val="af3"/>
    <w:rsid w:val="009964C3"/>
    <w:pPr>
      <w:jc w:val="center"/>
    </w:pPr>
    <w:rPr>
      <w:rFonts w:ascii="方正大标宋简体" w:eastAsia="方正大标宋简体"/>
      <w:sz w:val="24"/>
    </w:rPr>
  </w:style>
  <w:style w:type="paragraph" w:customStyle="1" w:styleId="53c">
    <w:name w:val="表内5中3"/>
    <w:basedOn w:val="af3"/>
    <w:rsid w:val="009964C3"/>
    <w:pPr>
      <w:adjustRightInd w:val="0"/>
      <w:snapToGrid w:val="0"/>
      <w:jc w:val="center"/>
    </w:pPr>
    <w:rPr>
      <w:rFonts w:ascii="宋体"/>
    </w:rPr>
  </w:style>
  <w:style w:type="paragraph" w:customStyle="1" w:styleId="1ffffff3">
    <w:name w:val="表内文字大1"/>
    <w:basedOn w:val="af3"/>
    <w:rsid w:val="009964C3"/>
    <w:pPr>
      <w:adjustRightInd w:val="0"/>
      <w:snapToGrid w:val="0"/>
      <w:jc w:val="center"/>
    </w:pPr>
    <w:rPr>
      <w:rFonts w:ascii="宋体" w:hAnsi="Times"/>
      <w:sz w:val="24"/>
      <w:szCs w:val="20"/>
    </w:rPr>
  </w:style>
  <w:style w:type="paragraph" w:customStyle="1" w:styleId="ST2059">
    <w:name w:val="ST20_59"/>
    <w:basedOn w:val="ST2021"/>
    <w:rsid w:val="009964C3"/>
    <w:pPr>
      <w:ind w:left="1800"/>
    </w:pPr>
  </w:style>
  <w:style w:type="paragraph" w:customStyle="1" w:styleId="xl89">
    <w:name w:val="xl89"/>
    <w:basedOn w:val="af3"/>
    <w:rsid w:val="009964C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Char1110">
    <w:name w:val="Char111"/>
    <w:basedOn w:val="af3"/>
    <w:rsid w:val="009964C3"/>
    <w:pPr>
      <w:ind w:left="-48"/>
    </w:pPr>
  </w:style>
  <w:style w:type="paragraph" w:customStyle="1" w:styleId="4ffb">
    <w:name w:val="表题4"/>
    <w:basedOn w:val="afffffff4"/>
    <w:rsid w:val="009964C3"/>
    <w:pPr>
      <w:spacing w:line="240" w:lineRule="auto"/>
      <w:ind w:firstLine="0"/>
      <w:jc w:val="center"/>
    </w:pPr>
    <w:rPr>
      <w:rFonts w:ascii="黑体" w:eastAsia="黑体"/>
    </w:rPr>
  </w:style>
  <w:style w:type="paragraph" w:customStyle="1" w:styleId="4H4H413H42h40202">
    <w:name w:val="样式 标题 4H4H41标题3H42h4 + 段前: 0.2 行 段后: 0.2 行"/>
    <w:basedOn w:val="43"/>
    <w:rsid w:val="009964C3"/>
    <w:pPr>
      <w:keepNext w:val="0"/>
      <w:keepLines w:val="0"/>
      <w:overflowPunct w:val="0"/>
      <w:autoSpaceDE w:val="0"/>
      <w:autoSpaceDN w:val="0"/>
      <w:adjustRightInd w:val="0"/>
      <w:spacing w:beforeLines="20" w:afterLines="20" w:line="240" w:lineRule="auto"/>
      <w:textAlignment w:val="baseline"/>
    </w:pPr>
    <w:rPr>
      <w:rFonts w:ascii="Times New Roman" w:eastAsia="宋体" w:hAnsi="Times New Roman" w:cs="宋体"/>
      <w:kern w:val="20"/>
      <w:sz w:val="24"/>
      <w:szCs w:val="20"/>
    </w:rPr>
  </w:style>
  <w:style w:type="paragraph" w:customStyle="1" w:styleId="4ffc">
    <w:name w:val="图题4"/>
    <w:basedOn w:val="af4"/>
    <w:rsid w:val="009964C3"/>
    <w:pPr>
      <w:tabs>
        <w:tab w:val="left" w:pos="5837"/>
      </w:tabs>
      <w:adjustRightInd w:val="0"/>
      <w:snapToGrid w:val="0"/>
      <w:ind w:firstLineChars="0" w:firstLine="0"/>
      <w:jc w:val="center"/>
    </w:pPr>
    <w:rPr>
      <w:rFonts w:ascii="方正大标宋简体" w:eastAsia="方正大标宋简体" w:hAnsi="宋体" w:cs="宋体"/>
      <w:b/>
      <w:sz w:val="24"/>
      <w:szCs w:val="24"/>
    </w:rPr>
  </w:style>
  <w:style w:type="paragraph" w:customStyle="1" w:styleId="xl134">
    <w:name w:val="xl134"/>
    <w:basedOn w:val="af3"/>
    <w:semiHidden/>
    <w:rsid w:val="009964C3"/>
    <w:pPr>
      <w:widowControl/>
      <w:pBdr>
        <w:top w:val="single" w:sz="12" w:space="0" w:color="auto"/>
        <w:left w:val="single" w:sz="4" w:space="0" w:color="auto"/>
        <w:right w:val="single" w:sz="12" w:space="0" w:color="auto"/>
      </w:pBdr>
      <w:spacing w:before="100" w:beforeAutospacing="1" w:after="100" w:afterAutospacing="1"/>
      <w:jc w:val="center"/>
      <w:textAlignment w:val="center"/>
    </w:pPr>
    <w:rPr>
      <w:rFonts w:ascii="宋体" w:hAnsi="宋体" w:cs="宋体"/>
      <w:kern w:val="0"/>
      <w:sz w:val="24"/>
    </w:rPr>
  </w:style>
  <w:style w:type="paragraph" w:customStyle="1" w:styleId="2fffff0">
    <w:name w:val="表内文字大2"/>
    <w:basedOn w:val="af3"/>
    <w:rsid w:val="009964C3"/>
    <w:pPr>
      <w:adjustRightInd w:val="0"/>
      <w:snapToGrid w:val="0"/>
      <w:jc w:val="center"/>
    </w:pPr>
    <w:rPr>
      <w:rFonts w:ascii="宋体" w:hAnsi="Times" w:cs="宋体"/>
      <w:sz w:val="24"/>
      <w:szCs w:val="20"/>
    </w:rPr>
  </w:style>
  <w:style w:type="paragraph" w:customStyle="1" w:styleId="afffffffffffffffffffffffffd">
    <w:name w:val="样式 隶书 三号 居中 行距: 单倍行距"/>
    <w:basedOn w:val="af3"/>
    <w:next w:val="af3"/>
    <w:rsid w:val="009964C3"/>
    <w:pPr>
      <w:spacing w:line="440" w:lineRule="exact"/>
      <w:jc w:val="center"/>
    </w:pPr>
    <w:rPr>
      <w:rFonts w:ascii="隶书" w:eastAsia="隶书" w:cs="宋体"/>
      <w:color w:val="000000"/>
      <w:sz w:val="32"/>
    </w:rPr>
  </w:style>
  <w:style w:type="paragraph" w:customStyle="1" w:styleId="CharCharCharCharCharCharCharCharCharCharCharCharChar">
    <w:name w:val="Char Char Char Char Char Char Char Char Char Char Char Char Char"/>
    <w:basedOn w:val="af3"/>
    <w:rsid w:val="009964C3"/>
  </w:style>
  <w:style w:type="paragraph" w:customStyle="1" w:styleId="21f2">
    <w:name w:val="标准文本 首行缩进:2 字符 行距1倍"/>
    <w:basedOn w:val="af3"/>
    <w:rsid w:val="009964C3"/>
    <w:pPr>
      <w:adjustRightInd w:val="0"/>
      <w:snapToGrid w:val="0"/>
      <w:spacing w:line="470" w:lineRule="exact"/>
      <w:ind w:firstLineChars="225" w:firstLine="540"/>
      <w:textAlignment w:val="center"/>
    </w:pPr>
    <w:rPr>
      <w:rFonts w:cs="宋体"/>
      <w:sz w:val="24"/>
      <w:szCs w:val="20"/>
    </w:rPr>
  </w:style>
  <w:style w:type="paragraph" w:customStyle="1" w:styleId="325">
    <w:name w:val="表题32"/>
    <w:basedOn w:val="afffffff4"/>
    <w:rsid w:val="009964C3"/>
    <w:pPr>
      <w:spacing w:line="240" w:lineRule="auto"/>
      <w:ind w:firstLine="0"/>
      <w:jc w:val="center"/>
    </w:pPr>
    <w:rPr>
      <w:rFonts w:cs="Times New Roman"/>
      <w:color w:val="auto"/>
      <w:szCs w:val="20"/>
    </w:rPr>
  </w:style>
  <w:style w:type="paragraph" w:customStyle="1" w:styleId="Name">
    <w:name w:val="Name"/>
    <w:basedOn w:val="af3"/>
    <w:next w:val="af3"/>
    <w:rsid w:val="009964C3"/>
    <w:pPr>
      <w:widowControl/>
      <w:spacing w:after="440" w:line="240" w:lineRule="atLeast"/>
      <w:ind w:left="2160"/>
      <w:jc w:val="left"/>
    </w:pPr>
    <w:rPr>
      <w:spacing w:val="-20"/>
      <w:kern w:val="0"/>
      <w:sz w:val="48"/>
      <w:szCs w:val="20"/>
    </w:rPr>
  </w:style>
  <w:style w:type="paragraph" w:customStyle="1" w:styleId="ST2051">
    <w:name w:val="ST20_51"/>
    <w:basedOn w:val="ST2020"/>
    <w:rsid w:val="009964C3"/>
    <w:pPr>
      <w:ind w:left="1080"/>
    </w:pPr>
  </w:style>
  <w:style w:type="paragraph" w:customStyle="1" w:styleId="afffffffffffffffffffffffffe">
    <w:name w:val="段标"/>
    <w:basedOn w:val="af3"/>
    <w:rsid w:val="009964C3"/>
    <w:pPr>
      <w:adjustRightInd w:val="0"/>
      <w:spacing w:line="360" w:lineRule="auto"/>
      <w:ind w:firstLine="567"/>
      <w:jc w:val="left"/>
      <w:textAlignment w:val="baseline"/>
    </w:pPr>
    <w:rPr>
      <w:kern w:val="0"/>
      <w:sz w:val="28"/>
      <w:szCs w:val="20"/>
    </w:rPr>
  </w:style>
  <w:style w:type="paragraph" w:customStyle="1" w:styleId="2226">
    <w:name w:val="样式 样式 正文文本缩进 2 + 首行缩进:  2 字符 + 首行缩进:  2 字符"/>
    <w:basedOn w:val="af3"/>
    <w:next w:val="af3"/>
    <w:rsid w:val="009964C3"/>
    <w:pPr>
      <w:spacing w:line="360" w:lineRule="auto"/>
      <w:ind w:firstLineChars="200" w:firstLine="200"/>
    </w:pPr>
    <w:rPr>
      <w:sz w:val="24"/>
    </w:rPr>
  </w:style>
  <w:style w:type="paragraph" w:customStyle="1" w:styleId="CM110">
    <w:name w:val="CM110"/>
    <w:basedOn w:val="Default"/>
    <w:next w:val="Default"/>
    <w:rsid w:val="009964C3"/>
    <w:pPr>
      <w:spacing w:line="626" w:lineRule="atLeast"/>
    </w:pPr>
    <w:rPr>
      <w:rFonts w:ascii="á￥êé" w:eastAsia="á￥êé" w:cs="Times New Roman"/>
      <w:color w:val="auto"/>
      <w:sz w:val="20"/>
      <w:szCs w:val="20"/>
    </w:rPr>
  </w:style>
  <w:style w:type="paragraph" w:customStyle="1" w:styleId="593">
    <w:name w:val="表内宋5中9"/>
    <w:basedOn w:val="af3"/>
    <w:rsid w:val="009964C3"/>
    <w:pPr>
      <w:adjustRightInd w:val="0"/>
      <w:snapToGrid w:val="0"/>
      <w:spacing w:line="360" w:lineRule="auto"/>
      <w:jc w:val="center"/>
      <w:textAlignment w:val="baseline"/>
    </w:pPr>
    <w:rPr>
      <w:rFonts w:ascii="宋体" w:hAnsi="宋体"/>
      <w:kern w:val="0"/>
      <w:szCs w:val="21"/>
    </w:rPr>
  </w:style>
  <w:style w:type="paragraph" w:customStyle="1" w:styleId="affffffffffffffffffffffffff">
    <w:name w:val="表体宋旭峰"/>
    <w:basedOn w:val="af3"/>
    <w:semiHidden/>
    <w:rsid w:val="009964C3"/>
    <w:pPr>
      <w:overflowPunct w:val="0"/>
      <w:jc w:val="left"/>
      <w:textAlignment w:val="baseline"/>
    </w:pPr>
    <w:rPr>
      <w:rFonts w:cs="Courier New"/>
      <w:snapToGrid w:val="0"/>
      <w:kern w:val="24"/>
      <w:sz w:val="18"/>
      <w:szCs w:val="18"/>
    </w:rPr>
  </w:style>
  <w:style w:type="paragraph" w:customStyle="1" w:styleId="xl69">
    <w:name w:val="xl69"/>
    <w:basedOn w:val="af3"/>
    <w:rsid w:val="009964C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334">
    <w:name w:val="表题33"/>
    <w:basedOn w:val="afffffff4"/>
    <w:rsid w:val="009964C3"/>
    <w:pPr>
      <w:spacing w:line="240" w:lineRule="auto"/>
      <w:ind w:firstLine="0"/>
      <w:jc w:val="center"/>
    </w:pPr>
    <w:rPr>
      <w:rFonts w:cs="Times New Roman"/>
      <w:color w:val="auto"/>
      <w:szCs w:val="20"/>
    </w:rPr>
  </w:style>
  <w:style w:type="paragraph" w:customStyle="1" w:styleId="5ffd">
    <w:name w:val="页眉中5"/>
    <w:basedOn w:val="af3"/>
    <w:rsid w:val="009964C3"/>
    <w:pPr>
      <w:adjustRightInd w:val="0"/>
      <w:snapToGrid w:val="0"/>
      <w:spacing w:line="300" w:lineRule="auto"/>
      <w:jc w:val="center"/>
    </w:pPr>
    <w:rPr>
      <w:rFonts w:ascii="黑体" w:eastAsia="黑体"/>
      <w:bCs/>
      <w:sz w:val="24"/>
      <w:szCs w:val="20"/>
    </w:rPr>
  </w:style>
  <w:style w:type="paragraph" w:customStyle="1" w:styleId="22a">
    <w:name w:val="福建正文缩进22"/>
    <w:basedOn w:val="af3"/>
    <w:rsid w:val="009964C3"/>
    <w:pPr>
      <w:tabs>
        <w:tab w:val="left" w:pos="4305"/>
      </w:tabs>
      <w:adjustRightInd w:val="0"/>
      <w:snapToGrid w:val="0"/>
      <w:spacing w:line="360" w:lineRule="auto"/>
      <w:ind w:firstLine="567"/>
    </w:pPr>
    <w:rPr>
      <w:rFonts w:ascii="宋体" w:hAnsi="宋体"/>
      <w:color w:val="000000"/>
      <w:sz w:val="24"/>
    </w:rPr>
  </w:style>
  <w:style w:type="paragraph" w:customStyle="1" w:styleId="CM15">
    <w:name w:val="CM15"/>
    <w:basedOn w:val="af3"/>
    <w:next w:val="af3"/>
    <w:rsid w:val="009964C3"/>
    <w:pPr>
      <w:autoSpaceDE w:val="0"/>
      <w:autoSpaceDN w:val="0"/>
      <w:adjustRightInd w:val="0"/>
      <w:spacing w:line="456" w:lineRule="atLeast"/>
      <w:jc w:val="left"/>
    </w:pPr>
    <w:rPr>
      <w:rFonts w:ascii="宋体" w:cs="宋体"/>
      <w:kern w:val="0"/>
      <w:sz w:val="24"/>
    </w:rPr>
  </w:style>
  <w:style w:type="paragraph" w:customStyle="1" w:styleId="3120">
    <w:name w:val="页眉中312"/>
    <w:basedOn w:val="af3"/>
    <w:rsid w:val="009964C3"/>
    <w:pPr>
      <w:adjustRightInd w:val="0"/>
      <w:snapToGrid w:val="0"/>
      <w:spacing w:line="360" w:lineRule="auto"/>
      <w:jc w:val="center"/>
    </w:pPr>
    <w:rPr>
      <w:rFonts w:ascii="黑体" w:eastAsia="黑体"/>
      <w:bCs/>
      <w:sz w:val="24"/>
      <w:szCs w:val="28"/>
    </w:rPr>
  </w:style>
  <w:style w:type="paragraph" w:customStyle="1" w:styleId="57">
    <w:name w:val="表标题5.7"/>
    <w:basedOn w:val="af3"/>
    <w:rsid w:val="009964C3"/>
    <w:pPr>
      <w:numPr>
        <w:numId w:val="60"/>
      </w:numPr>
      <w:tabs>
        <w:tab w:val="left" w:pos="1653"/>
      </w:tabs>
      <w:spacing w:beforeLines="100" w:line="0" w:lineRule="atLeast"/>
      <w:jc w:val="center"/>
    </w:pPr>
    <w:rPr>
      <w:rFonts w:eastAsia="黑体"/>
      <w:b/>
      <w:sz w:val="24"/>
    </w:rPr>
  </w:style>
  <w:style w:type="paragraph" w:customStyle="1" w:styleId="4121">
    <w:name w:val="表内小412"/>
    <w:basedOn w:val="affffffffff"/>
    <w:rsid w:val="009964C3"/>
    <w:pPr>
      <w:ind w:left="240" w:hanging="240"/>
      <w:jc w:val="both"/>
    </w:pPr>
    <w:rPr>
      <w:rFonts w:cs="Times New Roman"/>
    </w:rPr>
  </w:style>
  <w:style w:type="paragraph" w:customStyle="1" w:styleId="476">
    <w:name w:val="标题476"/>
    <w:basedOn w:val="af3"/>
    <w:rsid w:val="009964C3"/>
    <w:pPr>
      <w:adjustRightInd w:val="0"/>
      <w:snapToGrid w:val="0"/>
      <w:spacing w:line="300" w:lineRule="auto"/>
      <w:ind w:firstLineChars="343" w:firstLine="823"/>
      <w:jc w:val="center"/>
    </w:pPr>
    <w:rPr>
      <w:rFonts w:ascii="黑体" w:eastAsia="黑体" w:hAnsi="宋体"/>
      <w:bCs/>
      <w:sz w:val="24"/>
    </w:rPr>
  </w:style>
  <w:style w:type="paragraph" w:customStyle="1" w:styleId="41">
    <w:name w:val="表格样式4"/>
    <w:basedOn w:val="affffffffffffffffffffffffff0"/>
    <w:qFormat/>
    <w:rsid w:val="009964C3"/>
    <w:pPr>
      <w:numPr>
        <w:numId w:val="61"/>
      </w:numPr>
      <w:tabs>
        <w:tab w:val="left" w:pos="420"/>
      </w:tabs>
      <w:spacing w:line="120" w:lineRule="atLeast"/>
      <w:ind w:left="0" w:firstLine="0"/>
      <w:jc w:val="center"/>
    </w:pPr>
    <w:rPr>
      <w:rFonts w:eastAsia="仿宋_GB2312"/>
      <w:sz w:val="21"/>
      <w:szCs w:val="20"/>
    </w:rPr>
  </w:style>
  <w:style w:type="paragraph" w:customStyle="1" w:styleId="a30">
    <w:name w:val="a3"/>
    <w:basedOn w:val="af3"/>
    <w:rsid w:val="009964C3"/>
    <w:pPr>
      <w:widowControl/>
      <w:spacing w:before="100" w:beforeAutospacing="1" w:after="100" w:afterAutospacing="1"/>
      <w:jc w:val="left"/>
    </w:pPr>
    <w:rPr>
      <w:rFonts w:ascii="宋体" w:hAnsi="宋体"/>
      <w:color w:val="000000"/>
      <w:kern w:val="0"/>
      <w:sz w:val="24"/>
    </w:rPr>
  </w:style>
  <w:style w:type="paragraph" w:customStyle="1" w:styleId="3522">
    <w:name w:val="样式 燕山正文 + 首行缩进:  3.5 字符22"/>
    <w:basedOn w:val="af3"/>
    <w:rsid w:val="009964C3"/>
    <w:pPr>
      <w:tabs>
        <w:tab w:val="left" w:pos="4680"/>
      </w:tabs>
      <w:adjustRightInd w:val="0"/>
      <w:snapToGrid w:val="0"/>
      <w:spacing w:line="360" w:lineRule="auto"/>
      <w:ind w:firstLineChars="200" w:firstLine="200"/>
    </w:pPr>
    <w:rPr>
      <w:rFonts w:ascii="宋体" w:hAnsi="宋体" w:cs="宋体"/>
      <w:color w:val="000000"/>
      <w:sz w:val="28"/>
      <w:szCs w:val="20"/>
    </w:rPr>
  </w:style>
  <w:style w:type="paragraph" w:customStyle="1" w:styleId="11f">
    <w:name w:val="表题11"/>
    <w:basedOn w:val="af3"/>
    <w:rsid w:val="009964C3"/>
    <w:pPr>
      <w:adjustRightInd w:val="0"/>
      <w:snapToGrid w:val="0"/>
      <w:jc w:val="center"/>
      <w:textAlignment w:val="baseline"/>
    </w:pPr>
    <w:rPr>
      <w:rFonts w:ascii="黑体" w:eastAsia="黑体" w:hAnsi="宋体"/>
      <w:kern w:val="0"/>
      <w:sz w:val="24"/>
    </w:rPr>
  </w:style>
  <w:style w:type="paragraph" w:customStyle="1" w:styleId="affffffffffffffffffffffffff1">
    <w:name w:val="环表头"/>
    <w:basedOn w:val="af3"/>
    <w:next w:val="af3"/>
    <w:qFormat/>
    <w:rsid w:val="009964C3"/>
    <w:pPr>
      <w:widowControl/>
      <w:suppressAutoHyphens/>
      <w:adjustRightInd w:val="0"/>
      <w:spacing w:before="60" w:after="60" w:line="312" w:lineRule="atLeast"/>
      <w:ind w:right="28"/>
      <w:jc w:val="center"/>
      <w:textAlignment w:val="baseline"/>
    </w:pPr>
    <w:rPr>
      <w:rFonts w:hAnsi="宋体"/>
      <w:b/>
      <w:kern w:val="0"/>
      <w:sz w:val="24"/>
      <w:szCs w:val="20"/>
    </w:rPr>
  </w:style>
  <w:style w:type="paragraph" w:customStyle="1" w:styleId="4260">
    <w:name w:val="标题426"/>
    <w:basedOn w:val="af3"/>
    <w:rsid w:val="009964C3"/>
    <w:pPr>
      <w:adjustRightInd w:val="0"/>
      <w:snapToGrid w:val="0"/>
      <w:spacing w:line="300" w:lineRule="auto"/>
    </w:pPr>
    <w:rPr>
      <w:rFonts w:ascii="黑体" w:eastAsia="黑体"/>
      <w:sz w:val="24"/>
      <w:szCs w:val="20"/>
    </w:rPr>
  </w:style>
  <w:style w:type="paragraph" w:customStyle="1" w:styleId="CM106">
    <w:name w:val="CM106"/>
    <w:basedOn w:val="Default"/>
    <w:next w:val="Default"/>
    <w:rsid w:val="009964C3"/>
    <w:pPr>
      <w:spacing w:line="626" w:lineRule="atLeast"/>
    </w:pPr>
    <w:rPr>
      <w:rFonts w:ascii="á￥êé" w:eastAsia="á￥êé" w:cs="Times New Roman"/>
      <w:color w:val="auto"/>
      <w:sz w:val="20"/>
      <w:szCs w:val="20"/>
    </w:rPr>
  </w:style>
  <w:style w:type="paragraph" w:customStyle="1" w:styleId="affffffffffffffffffffffffff0">
    <w:name w:val="表格内容"/>
    <w:basedOn w:val="af3"/>
    <w:rsid w:val="009964C3"/>
    <w:pPr>
      <w:overflowPunct w:val="0"/>
      <w:adjustRightInd w:val="0"/>
      <w:snapToGrid w:val="0"/>
      <w:spacing w:line="0" w:lineRule="atLeast"/>
      <w:jc w:val="left"/>
      <w:textAlignment w:val="baseline"/>
    </w:pPr>
    <w:rPr>
      <w:rFonts w:ascii="Arial" w:hAnsi="Arial"/>
      <w:kern w:val="0"/>
      <w:sz w:val="18"/>
      <w:szCs w:val="18"/>
    </w:rPr>
  </w:style>
  <w:style w:type="paragraph" w:customStyle="1" w:styleId="5ffe">
    <w:name w:val="正文修改5"/>
    <w:basedOn w:val="affffffffb"/>
    <w:rsid w:val="009964C3"/>
    <w:pPr>
      <w:ind w:rightChars="100" w:right="210" w:firstLineChars="87" w:firstLine="209"/>
    </w:pPr>
    <w:rPr>
      <w:rFonts w:cs="Times New Roman"/>
      <w:bCs w:val="0"/>
    </w:rPr>
  </w:style>
  <w:style w:type="paragraph" w:customStyle="1" w:styleId="458">
    <w:name w:val="标题45"/>
    <w:basedOn w:val="af3"/>
    <w:rsid w:val="009964C3"/>
    <w:pPr>
      <w:adjustRightInd w:val="0"/>
      <w:snapToGrid w:val="0"/>
      <w:spacing w:line="360" w:lineRule="auto"/>
      <w:jc w:val="left"/>
    </w:pPr>
    <w:rPr>
      <w:rFonts w:ascii="黑体" w:eastAsia="黑体"/>
      <w:bCs/>
      <w:sz w:val="24"/>
    </w:rPr>
  </w:style>
  <w:style w:type="paragraph" w:customStyle="1" w:styleId="CharChar2CharCharCharChar">
    <w:name w:val="段落 Char Char2 Char Char Char Char"/>
    <w:basedOn w:val="af3"/>
    <w:rsid w:val="009964C3"/>
    <w:pPr>
      <w:tabs>
        <w:tab w:val="left" w:pos="1021"/>
      </w:tabs>
      <w:spacing w:line="326" w:lineRule="auto"/>
      <w:ind w:firstLineChars="200" w:firstLine="480"/>
    </w:pPr>
    <w:rPr>
      <w:kern w:val="24"/>
      <w:sz w:val="24"/>
    </w:rPr>
  </w:style>
  <w:style w:type="paragraph" w:customStyle="1" w:styleId="3fffc">
    <w:name w:val="条(三级)3"/>
    <w:basedOn w:val="af3"/>
    <w:next w:val="af3"/>
    <w:rsid w:val="009964C3"/>
    <w:pPr>
      <w:keepNext/>
      <w:keepLines/>
      <w:adjustRightInd w:val="0"/>
      <w:spacing w:line="460" w:lineRule="exact"/>
      <w:jc w:val="left"/>
      <w:textAlignment w:val="baseline"/>
    </w:pPr>
    <w:rPr>
      <w:rFonts w:ascii="宋体" w:hAnsi="Arial" w:cs="宋体"/>
      <w:spacing w:val="3"/>
      <w:kern w:val="24"/>
      <w:sz w:val="24"/>
      <w:szCs w:val="20"/>
    </w:rPr>
  </w:style>
  <w:style w:type="paragraph" w:customStyle="1" w:styleId="affffffffffffffffffffffffff2">
    <w:name w:val="档案号"/>
    <w:basedOn w:val="affffff"/>
    <w:rsid w:val="009964C3"/>
    <w:pPr>
      <w:pBdr>
        <w:bottom w:val="none" w:sz="0" w:space="0" w:color="auto"/>
      </w:pBdr>
      <w:tabs>
        <w:tab w:val="clear" w:pos="4153"/>
        <w:tab w:val="clear" w:pos="8306"/>
        <w:tab w:val="center" w:pos="4320"/>
        <w:tab w:val="right" w:pos="8640"/>
      </w:tabs>
      <w:adjustRightInd w:val="0"/>
      <w:snapToGrid/>
      <w:spacing w:line="460" w:lineRule="exact"/>
      <w:jc w:val="right"/>
      <w:textAlignment w:val="baseline"/>
    </w:pPr>
    <w:rPr>
      <w:rFonts w:ascii="宋体" w:hAnsi="Arial"/>
      <w:spacing w:val="3"/>
      <w:kern w:val="24"/>
      <w:sz w:val="24"/>
      <w:szCs w:val="20"/>
    </w:rPr>
  </w:style>
  <w:style w:type="paragraph" w:customStyle="1" w:styleId="kkk">
    <w:name w:val="kkk"/>
    <w:basedOn w:val="43"/>
    <w:rsid w:val="009964C3"/>
    <w:pPr>
      <w:keepNext w:val="0"/>
      <w:keepLines w:val="0"/>
      <w:widowControl/>
      <w:spacing w:before="0" w:after="0" w:line="360" w:lineRule="auto"/>
      <w:ind w:firstLine="200"/>
      <w:outlineLvl w:val="9"/>
    </w:pPr>
    <w:rPr>
      <w:rFonts w:ascii="宋体" w:eastAsia="宋体" w:hAnsi="宋体"/>
      <w:b w:val="0"/>
      <w:bCs w:val="0"/>
      <w:spacing w:val="16"/>
      <w:sz w:val="24"/>
      <w:szCs w:val="20"/>
    </w:rPr>
  </w:style>
  <w:style w:type="paragraph" w:customStyle="1" w:styleId="Heading31">
    <w:name w:val="Heading3(1.)"/>
    <w:basedOn w:val="af3"/>
    <w:rsid w:val="009964C3"/>
    <w:pPr>
      <w:keepLines/>
      <w:widowControl/>
      <w:tabs>
        <w:tab w:val="left" w:pos="1440"/>
      </w:tabs>
      <w:ind w:left="990"/>
      <w:jc w:val="left"/>
    </w:pPr>
    <w:rPr>
      <w:kern w:val="0"/>
      <w:sz w:val="20"/>
      <w:szCs w:val="20"/>
      <w:lang w:eastAsia="en-US"/>
    </w:rPr>
  </w:style>
  <w:style w:type="paragraph" w:customStyle="1" w:styleId="13f">
    <w:name w:val="正文13"/>
    <w:basedOn w:val="af3"/>
    <w:rsid w:val="009964C3"/>
    <w:pPr>
      <w:adjustRightInd w:val="0"/>
      <w:spacing w:after="120" w:line="360" w:lineRule="atLeast"/>
      <w:jc w:val="center"/>
      <w:textAlignment w:val="baseline"/>
    </w:pPr>
    <w:rPr>
      <w:rFonts w:ascii="宋体" w:hAnsi="宋体" w:cs="宋体"/>
      <w:kern w:val="0"/>
      <w:sz w:val="24"/>
      <w:szCs w:val="20"/>
    </w:rPr>
  </w:style>
  <w:style w:type="paragraph" w:customStyle="1" w:styleId="911">
    <w:name w:val="表题91"/>
    <w:basedOn w:val="afffffffff2"/>
    <w:rsid w:val="009964C3"/>
    <w:pPr>
      <w:adjustRightInd w:val="0"/>
      <w:snapToGrid w:val="0"/>
      <w:spacing w:line="300" w:lineRule="auto"/>
      <w:jc w:val="center"/>
    </w:pPr>
    <w:rPr>
      <w:rFonts w:ascii="黑体" w:eastAsia="黑体" w:cs="Times New Roman"/>
      <w:sz w:val="24"/>
      <w:szCs w:val="20"/>
    </w:rPr>
  </w:style>
  <w:style w:type="paragraph" w:customStyle="1" w:styleId="xl117">
    <w:name w:val="xl117"/>
    <w:basedOn w:val="af3"/>
    <w:rsid w:val="009964C3"/>
    <w:pPr>
      <w:widowControl/>
      <w:pBdr>
        <w:top w:val="single" w:sz="4" w:space="0" w:color="auto"/>
        <w:bottom w:val="single" w:sz="8" w:space="0" w:color="auto"/>
      </w:pBdr>
      <w:spacing w:before="100" w:beforeAutospacing="1" w:after="100" w:afterAutospacing="1"/>
      <w:jc w:val="center"/>
    </w:pPr>
    <w:rPr>
      <w:rFonts w:eastAsia="Arial Unicode MS"/>
      <w:kern w:val="0"/>
      <w:sz w:val="18"/>
      <w:szCs w:val="18"/>
    </w:rPr>
  </w:style>
  <w:style w:type="paragraph" w:customStyle="1" w:styleId="affffffffffffffffffffffffff3">
    <w:name w:val="表格式"/>
    <w:basedOn w:val="afffffd"/>
    <w:rsid w:val="009964C3"/>
    <w:pPr>
      <w:spacing w:line="340" w:lineRule="exact"/>
      <w:ind w:left="0" w:firstLineChars="0" w:firstLine="0"/>
      <w:jc w:val="center"/>
    </w:pPr>
    <w:rPr>
      <w:rFonts w:ascii="宋体" w:hAnsi="宋体"/>
      <w:sz w:val="21"/>
      <w:szCs w:val="24"/>
    </w:rPr>
  </w:style>
  <w:style w:type="paragraph" w:customStyle="1" w:styleId="affffffffffffffffffffffffff4">
    <w:name w:val="电化表头"/>
    <w:basedOn w:val="af3"/>
    <w:qFormat/>
    <w:rsid w:val="009964C3"/>
    <w:pPr>
      <w:tabs>
        <w:tab w:val="left" w:pos="1021"/>
      </w:tabs>
      <w:spacing w:line="288" w:lineRule="auto"/>
      <w:jc w:val="center"/>
    </w:pPr>
    <w:rPr>
      <w:rFonts w:eastAsia="黑体"/>
      <w:color w:val="000000"/>
      <w:kern w:val="24"/>
      <w:sz w:val="24"/>
    </w:rPr>
  </w:style>
  <w:style w:type="paragraph" w:customStyle="1" w:styleId="Heading4a">
    <w:name w:val="Heading4(a.)"/>
    <w:basedOn w:val="Heading31"/>
    <w:rsid w:val="009964C3"/>
    <w:pPr>
      <w:tabs>
        <w:tab w:val="clear" w:pos="1440"/>
        <w:tab w:val="left" w:pos="1800"/>
      </w:tabs>
      <w:ind w:left="1440"/>
    </w:pPr>
  </w:style>
  <w:style w:type="paragraph" w:customStyle="1" w:styleId="5321">
    <w:name w:val="表内宋5中32"/>
    <w:basedOn w:val="af3"/>
    <w:rsid w:val="009964C3"/>
    <w:pPr>
      <w:adjustRightInd w:val="0"/>
      <w:snapToGrid w:val="0"/>
      <w:spacing w:line="360" w:lineRule="auto"/>
      <w:jc w:val="center"/>
      <w:textAlignment w:val="baseline"/>
    </w:pPr>
    <w:rPr>
      <w:rFonts w:ascii="宋体" w:hAnsi="宋体"/>
      <w:kern w:val="0"/>
      <w:szCs w:val="21"/>
    </w:rPr>
  </w:style>
  <w:style w:type="paragraph" w:customStyle="1" w:styleId="xl51">
    <w:name w:val="xl51"/>
    <w:basedOn w:val="af3"/>
    <w:rsid w:val="009964C3"/>
    <w:pPr>
      <w:widowControl/>
      <w:pBdr>
        <w:left w:val="single" w:sz="4" w:space="0" w:color="auto"/>
        <w:bottom w:val="single" w:sz="4" w:space="0" w:color="auto"/>
      </w:pBdr>
      <w:spacing w:before="100" w:beforeAutospacing="1" w:after="100" w:afterAutospacing="1"/>
      <w:jc w:val="left"/>
    </w:pPr>
    <w:rPr>
      <w:rFonts w:ascii="宋体" w:hAnsi="宋体" w:cs="宋体"/>
      <w:kern w:val="0"/>
      <w:sz w:val="18"/>
      <w:szCs w:val="18"/>
    </w:rPr>
  </w:style>
  <w:style w:type="paragraph" w:customStyle="1" w:styleId="21111222Char1Heading2211">
    <w:name w:val="样式 标题 21.11.1标题 2标题2标题 2 Char1节_Heading 2标2编号标题1.1 + 四号"/>
    <w:basedOn w:val="22"/>
    <w:rsid w:val="009964C3"/>
    <w:pPr>
      <w:spacing w:before="0" w:after="0" w:line="360" w:lineRule="auto"/>
      <w:ind w:left="-482" w:firstLine="482"/>
    </w:pPr>
    <w:rPr>
      <w:b w:val="0"/>
      <w:sz w:val="24"/>
    </w:rPr>
  </w:style>
  <w:style w:type="paragraph" w:customStyle="1" w:styleId="affffffffffffffffffffffffff5">
    <w:name w:val="图表名称"/>
    <w:basedOn w:val="aff7"/>
    <w:rsid w:val="009964C3"/>
    <w:pPr>
      <w:overflowPunct/>
      <w:autoSpaceDE/>
      <w:autoSpaceDN/>
      <w:snapToGrid w:val="0"/>
      <w:spacing w:line="240" w:lineRule="auto"/>
      <w:ind w:firstLine="0"/>
      <w:jc w:val="center"/>
      <w:textAlignment w:val="auto"/>
    </w:pPr>
    <w:rPr>
      <w:rFonts w:ascii="宋体" w:hAnsi="宋体"/>
      <w:sz w:val="24"/>
      <w:szCs w:val="21"/>
    </w:rPr>
  </w:style>
  <w:style w:type="paragraph" w:customStyle="1" w:styleId="Affffffffffffffffffffffffff6">
    <w:name w:val="正文文本缩进A"/>
    <w:basedOn w:val="af3"/>
    <w:rsid w:val="009964C3"/>
    <w:pPr>
      <w:spacing w:line="360" w:lineRule="auto"/>
      <w:ind w:firstLine="567"/>
      <w:jc w:val="left"/>
    </w:pPr>
    <w:rPr>
      <w:rFonts w:ascii="Arial" w:hAnsi="Arial" w:cs="宋体"/>
      <w:sz w:val="28"/>
      <w:szCs w:val="20"/>
    </w:rPr>
  </w:style>
  <w:style w:type="paragraph" w:customStyle="1" w:styleId="555Char1CharChar15Char">
    <w:name w:val="样式 标题 5标5标题 5 Char1) Char项 Char1)项标5 Char + 黑色"/>
    <w:basedOn w:val="51"/>
    <w:rsid w:val="009964C3"/>
    <w:pPr>
      <w:widowControl/>
      <w:tabs>
        <w:tab w:val="left" w:pos="425"/>
      </w:tabs>
      <w:spacing w:line="336" w:lineRule="auto"/>
      <w:ind w:hanging="425"/>
      <w:jc w:val="left"/>
    </w:pPr>
    <w:rPr>
      <w:rFonts w:ascii="宋体" w:eastAsia="宋体" w:hAnsi="宋体"/>
      <w:b/>
      <w:spacing w:val="0"/>
      <w:kern w:val="0"/>
      <w:position w:val="0"/>
      <w:szCs w:val="24"/>
    </w:rPr>
  </w:style>
  <w:style w:type="paragraph" w:customStyle="1" w:styleId="09">
    <w:name w:val="样式 段落 + 首行缩进:  0 字符"/>
    <w:basedOn w:val="affffffff7"/>
    <w:qFormat/>
    <w:rsid w:val="009964C3"/>
    <w:pPr>
      <w:tabs>
        <w:tab w:val="clear" w:pos="1021"/>
      </w:tabs>
      <w:spacing w:line="300" w:lineRule="auto"/>
      <w:ind w:firstLineChars="0" w:firstLine="0"/>
    </w:pPr>
    <w:rPr>
      <w:rFonts w:ascii="Times New Roman" w:hAnsi="Times New Roman" w:cs="宋体"/>
      <w:color w:val="auto"/>
      <w:kern w:val="2"/>
      <w:szCs w:val="20"/>
    </w:rPr>
  </w:style>
  <w:style w:type="paragraph" w:customStyle="1" w:styleId="21121122Char1Heading2205">
    <w:name w:val="样式 样式 样式 样式 标题 21.1标题 21.1标题2标题 2 Char1节_Heading 2标2 + 段前: 0.5 行..."/>
    <w:basedOn w:val="af3"/>
    <w:rsid w:val="009964C3"/>
    <w:pPr>
      <w:keepNext/>
      <w:keepLines/>
      <w:numPr>
        <w:ilvl w:val="1"/>
        <w:numId w:val="62"/>
      </w:numPr>
      <w:spacing w:beforeLines="50" w:afterLines="50"/>
      <w:jc w:val="left"/>
      <w:outlineLvl w:val="1"/>
    </w:pPr>
    <w:rPr>
      <w:rFonts w:ascii="黑体" w:eastAsia="黑体" w:hAnsi="Arial"/>
      <w:color w:val="000000"/>
      <w:sz w:val="28"/>
      <w:szCs w:val="20"/>
    </w:rPr>
  </w:style>
  <w:style w:type="paragraph" w:customStyle="1" w:styleId="13f0">
    <w:name w:val="待定小13"/>
    <w:basedOn w:val="afffffffffe"/>
    <w:rsid w:val="009964C3"/>
    <w:pPr>
      <w:spacing w:line="240" w:lineRule="auto"/>
      <w:ind w:firstLine="0"/>
    </w:pPr>
    <w:rPr>
      <w:color w:val="0000FF"/>
      <w:sz w:val="21"/>
      <w:szCs w:val="20"/>
    </w:rPr>
  </w:style>
  <w:style w:type="paragraph" w:customStyle="1" w:styleId="1ffffff4">
    <w:name w:val="样式 （1）"/>
    <w:basedOn w:val="1ff1"/>
    <w:semiHidden/>
    <w:rsid w:val="009964C3"/>
    <w:pPr>
      <w:tabs>
        <w:tab w:val="clear" w:pos="420"/>
        <w:tab w:val="left" w:pos="1021"/>
      </w:tabs>
      <w:ind w:left="0" w:firstLine="0"/>
    </w:pPr>
    <w:rPr>
      <w:rFonts w:cs="宋体"/>
      <w:b/>
    </w:rPr>
  </w:style>
  <w:style w:type="paragraph" w:customStyle="1" w:styleId="affffffffffffffffffffffffff7">
    <w:name w:val="环评正文"/>
    <w:rsid w:val="009964C3"/>
    <w:pPr>
      <w:spacing w:line="360" w:lineRule="exact"/>
      <w:ind w:firstLineChars="200" w:firstLine="200"/>
    </w:pPr>
    <w:rPr>
      <w:color w:val="000000"/>
      <w:kern w:val="21"/>
      <w:sz w:val="24"/>
      <w:szCs w:val="24"/>
    </w:rPr>
  </w:style>
  <w:style w:type="paragraph" w:customStyle="1" w:styleId="11f0">
    <w:name w:val="页眉中11"/>
    <w:basedOn w:val="af3"/>
    <w:rsid w:val="009964C3"/>
    <w:pPr>
      <w:adjustRightInd w:val="0"/>
      <w:snapToGrid w:val="0"/>
      <w:spacing w:line="300" w:lineRule="auto"/>
      <w:jc w:val="left"/>
    </w:pPr>
    <w:rPr>
      <w:rFonts w:ascii="黑体" w:eastAsia="黑体" w:hAnsi="宋体"/>
      <w:sz w:val="24"/>
    </w:rPr>
  </w:style>
  <w:style w:type="paragraph" w:customStyle="1" w:styleId="5107">
    <w:name w:val="表内510"/>
    <w:basedOn w:val="5f2"/>
    <w:rsid w:val="009964C3"/>
    <w:pPr>
      <w:jc w:val="both"/>
    </w:pPr>
    <w:rPr>
      <w:szCs w:val="24"/>
    </w:rPr>
  </w:style>
  <w:style w:type="paragraph" w:customStyle="1" w:styleId="NoTitle">
    <w:name w:val="No Title"/>
    <w:basedOn w:val="af3"/>
    <w:rsid w:val="009964C3"/>
    <w:pPr>
      <w:widowControl/>
      <w:pBdr>
        <w:top w:val="single" w:sz="6" w:space="2" w:color="FFFFFF"/>
        <w:left w:val="single" w:sz="6" w:space="2" w:color="FFFFFF"/>
        <w:bottom w:val="single" w:sz="6" w:space="2" w:color="FFFFFF"/>
        <w:right w:val="single" w:sz="6" w:space="2" w:color="FFFFFF"/>
      </w:pBdr>
      <w:spacing w:before="120" w:line="280" w:lineRule="atLeast"/>
      <w:jc w:val="left"/>
    </w:pPr>
    <w:rPr>
      <w:rFonts w:ascii="Arial" w:hAnsi="Arial"/>
      <w:b/>
      <w:spacing w:val="-10"/>
      <w:kern w:val="0"/>
      <w:position w:val="7"/>
      <w:sz w:val="20"/>
      <w:szCs w:val="20"/>
    </w:rPr>
  </w:style>
  <w:style w:type="paragraph" w:customStyle="1" w:styleId="52f0">
    <w:name w:val="表题52"/>
    <w:basedOn w:val="afffffff4"/>
    <w:rsid w:val="009964C3"/>
    <w:pPr>
      <w:spacing w:line="240" w:lineRule="auto"/>
      <w:ind w:firstLine="0"/>
      <w:jc w:val="center"/>
    </w:pPr>
    <w:rPr>
      <w:rFonts w:ascii="黑体" w:eastAsia="黑体" w:cs="Times New Roman"/>
      <w:szCs w:val="20"/>
    </w:rPr>
  </w:style>
  <w:style w:type="paragraph" w:customStyle="1" w:styleId="CharCharChar1Char1">
    <w:name w:val="Char Char Char1 Char1"/>
    <w:basedOn w:val="af3"/>
    <w:semiHidden/>
    <w:rsid w:val="009964C3"/>
  </w:style>
  <w:style w:type="paragraph" w:customStyle="1" w:styleId="Charfffffff5">
    <w:name w:val="正文缩近 Char"/>
    <w:basedOn w:val="af3"/>
    <w:rsid w:val="009964C3"/>
    <w:pPr>
      <w:widowControl/>
      <w:adjustRightInd w:val="0"/>
      <w:snapToGrid w:val="0"/>
      <w:spacing w:line="360" w:lineRule="auto"/>
      <w:ind w:firstLineChars="200" w:firstLine="200"/>
      <w:jc w:val="left"/>
    </w:pPr>
    <w:rPr>
      <w:rFonts w:ascii="Arial" w:hAnsi="Arial"/>
      <w:kern w:val="0"/>
      <w:sz w:val="28"/>
    </w:rPr>
  </w:style>
  <w:style w:type="paragraph" w:customStyle="1" w:styleId="52f1">
    <w:name w:val="图题52"/>
    <w:basedOn w:val="af4"/>
    <w:rsid w:val="009964C3"/>
    <w:pPr>
      <w:adjustRightInd w:val="0"/>
      <w:snapToGrid w:val="0"/>
      <w:ind w:firstLineChars="0" w:firstLine="0"/>
      <w:jc w:val="center"/>
    </w:pPr>
    <w:rPr>
      <w:rFonts w:ascii="宋体" w:hAnsi="宋体"/>
    </w:rPr>
  </w:style>
  <w:style w:type="paragraph" w:customStyle="1" w:styleId="614">
    <w:name w:val="表题61"/>
    <w:basedOn w:val="afffffff4"/>
    <w:rsid w:val="009964C3"/>
    <w:pPr>
      <w:spacing w:line="240" w:lineRule="auto"/>
      <w:ind w:firstLineChars="200" w:firstLine="480"/>
      <w:jc w:val="center"/>
    </w:pPr>
    <w:rPr>
      <w:rFonts w:ascii="黑体" w:eastAsia="黑体" w:cs="Times New Roman"/>
      <w:color w:val="auto"/>
      <w:szCs w:val="20"/>
    </w:rPr>
  </w:style>
  <w:style w:type="paragraph" w:customStyle="1" w:styleId="affffffffffffffffffffffffff8">
    <w:name w:val="特殊文字"/>
    <w:basedOn w:val="af3"/>
    <w:semiHidden/>
    <w:qFormat/>
    <w:rsid w:val="009964C3"/>
    <w:pPr>
      <w:overflowPunct w:val="0"/>
      <w:autoSpaceDE w:val="0"/>
      <w:autoSpaceDN w:val="0"/>
      <w:adjustRightInd w:val="0"/>
      <w:spacing w:line="360" w:lineRule="auto"/>
      <w:textAlignment w:val="baseline"/>
    </w:pPr>
    <w:rPr>
      <w:rFonts w:eastAsia="仿宋_GB2312"/>
      <w:kern w:val="0"/>
      <w:sz w:val="28"/>
      <w:szCs w:val="20"/>
    </w:rPr>
  </w:style>
  <w:style w:type="paragraph" w:customStyle="1" w:styleId="3TimesNewRoman1215">
    <w:name w:val="样式 标题 3 + (符号) Times New Roman 四号 两端对齐 段前: 12 磅 行距: 1.5 倍行距"/>
    <w:basedOn w:val="31"/>
    <w:rsid w:val="009964C3"/>
    <w:pPr>
      <w:keepNext w:val="0"/>
      <w:keepLines w:val="0"/>
      <w:adjustRightInd w:val="0"/>
      <w:snapToGrid w:val="0"/>
      <w:spacing w:before="120" w:afterLines="50" w:line="360" w:lineRule="auto"/>
    </w:pPr>
    <w:rPr>
      <w:rFonts w:ascii="黑体" w:eastAsia="黑体" w:cs="宋体"/>
      <w:bCs w:val="0"/>
      <w:sz w:val="28"/>
      <w:szCs w:val="28"/>
    </w:rPr>
  </w:style>
  <w:style w:type="paragraph" w:customStyle="1" w:styleId="549">
    <w:name w:val="样式 表内5 + (符号) 宋体 两端对齐 行距: 单倍行距4"/>
    <w:basedOn w:val="54"/>
    <w:rsid w:val="009964C3"/>
    <w:pPr>
      <w:spacing w:line="240" w:lineRule="auto"/>
    </w:pPr>
    <w:rPr>
      <w:kern w:val="0"/>
    </w:rPr>
  </w:style>
  <w:style w:type="paragraph" w:customStyle="1" w:styleId="2fffff1">
    <w:name w:val="图表名称2"/>
    <w:basedOn w:val="aff7"/>
    <w:rsid w:val="009964C3"/>
    <w:pPr>
      <w:overflowPunct/>
      <w:autoSpaceDE/>
      <w:autoSpaceDN/>
      <w:snapToGrid w:val="0"/>
      <w:spacing w:line="240" w:lineRule="auto"/>
      <w:ind w:firstLine="0"/>
      <w:jc w:val="center"/>
      <w:textAlignment w:val="auto"/>
    </w:pPr>
    <w:rPr>
      <w:rFonts w:ascii="宋体" w:hAnsi="宋体"/>
      <w:sz w:val="24"/>
      <w:szCs w:val="21"/>
    </w:rPr>
  </w:style>
  <w:style w:type="paragraph" w:customStyle="1" w:styleId="9b">
    <w:name w:val="表内文字小9"/>
    <w:basedOn w:val="af3"/>
    <w:rsid w:val="009964C3"/>
    <w:pPr>
      <w:adjustRightInd w:val="0"/>
      <w:snapToGrid w:val="0"/>
      <w:jc w:val="center"/>
    </w:pPr>
    <w:rPr>
      <w:rFonts w:ascii="宋体" w:hAnsi="Times"/>
      <w:bCs/>
      <w:color w:val="003366"/>
      <w:szCs w:val="20"/>
    </w:rPr>
  </w:style>
  <w:style w:type="paragraph" w:customStyle="1" w:styleId="acee01">
    <w:name w:val="acee01"/>
    <w:basedOn w:val="af3"/>
    <w:rsid w:val="009964C3"/>
    <w:pPr>
      <w:spacing w:line="440" w:lineRule="exact"/>
      <w:ind w:firstLineChars="200" w:firstLine="560"/>
      <w:outlineLvl w:val="0"/>
    </w:pPr>
    <w:rPr>
      <w:rFonts w:ascii="仿宋_GB2312" w:eastAsia="仿宋_GB2312" w:hAnsi="宋体"/>
      <w:bCs/>
      <w:color w:val="000000"/>
      <w:kern w:val="40"/>
      <w:sz w:val="28"/>
      <w:szCs w:val="28"/>
    </w:rPr>
  </w:style>
  <w:style w:type="paragraph" w:customStyle="1" w:styleId="13f1">
    <w:name w:val="13点"/>
    <w:basedOn w:val="af3"/>
    <w:rsid w:val="009964C3"/>
    <w:pPr>
      <w:adjustRightInd w:val="0"/>
      <w:snapToGrid w:val="0"/>
      <w:jc w:val="center"/>
    </w:pPr>
    <w:rPr>
      <w:rFonts w:ascii="宋体" w:hAnsi="宋体"/>
      <w:sz w:val="24"/>
      <w:szCs w:val="28"/>
    </w:rPr>
  </w:style>
  <w:style w:type="paragraph" w:customStyle="1" w:styleId="5221">
    <w:name w:val="表内宋5中22"/>
    <w:basedOn w:val="af3"/>
    <w:rsid w:val="009964C3"/>
    <w:pPr>
      <w:adjustRightInd w:val="0"/>
      <w:snapToGrid w:val="0"/>
      <w:jc w:val="center"/>
      <w:textAlignment w:val="baseline"/>
    </w:pPr>
    <w:rPr>
      <w:rFonts w:ascii="宋体" w:hAnsi="宋体"/>
      <w:kern w:val="0"/>
      <w:szCs w:val="20"/>
    </w:rPr>
  </w:style>
  <w:style w:type="paragraph" w:customStyle="1" w:styleId="6f2">
    <w:name w:val="表内文字6"/>
    <w:basedOn w:val="af3"/>
    <w:rsid w:val="009964C3"/>
    <w:pPr>
      <w:widowControl/>
      <w:adjustRightInd w:val="0"/>
      <w:snapToGrid w:val="0"/>
      <w:spacing w:line="420" w:lineRule="exact"/>
      <w:jc w:val="center"/>
    </w:pPr>
    <w:rPr>
      <w:rFonts w:ascii="宋体"/>
      <w:spacing w:val="10"/>
      <w:kern w:val="0"/>
      <w:sz w:val="18"/>
      <w:szCs w:val="20"/>
    </w:rPr>
  </w:style>
  <w:style w:type="paragraph" w:customStyle="1" w:styleId="font11">
    <w:name w:val="font11"/>
    <w:basedOn w:val="af3"/>
    <w:rsid w:val="009964C3"/>
    <w:pPr>
      <w:widowControl/>
      <w:spacing w:before="100" w:beforeAutospacing="1" w:after="100" w:afterAutospacing="1"/>
      <w:jc w:val="left"/>
    </w:pPr>
    <w:rPr>
      <w:color w:val="000000"/>
      <w:kern w:val="0"/>
      <w:sz w:val="20"/>
      <w:szCs w:val="20"/>
    </w:rPr>
  </w:style>
  <w:style w:type="paragraph" w:customStyle="1" w:styleId="1ffffff5">
    <w:name w:val="表内文字边1"/>
    <w:basedOn w:val="affffffffffffa"/>
    <w:rsid w:val="009964C3"/>
    <w:pPr>
      <w:adjustRightInd w:val="0"/>
      <w:snapToGrid w:val="0"/>
      <w:jc w:val="both"/>
    </w:pPr>
  </w:style>
  <w:style w:type="paragraph" w:customStyle="1" w:styleId="1ffffff6">
    <w:name w:val="表格段落1"/>
    <w:basedOn w:val="af3"/>
    <w:semiHidden/>
    <w:rsid w:val="009964C3"/>
    <w:pPr>
      <w:spacing w:line="360" w:lineRule="auto"/>
      <w:ind w:firstLine="480"/>
      <w:jc w:val="center"/>
    </w:pPr>
    <w:rPr>
      <w:sz w:val="24"/>
      <w:szCs w:val="20"/>
    </w:rPr>
  </w:style>
  <w:style w:type="paragraph" w:customStyle="1" w:styleId="579">
    <w:name w:val="表内57"/>
    <w:basedOn w:val="5f2"/>
    <w:qFormat/>
    <w:rsid w:val="009964C3"/>
    <w:pPr>
      <w:jc w:val="both"/>
    </w:pPr>
    <w:rPr>
      <w:szCs w:val="24"/>
    </w:rPr>
  </w:style>
  <w:style w:type="paragraph" w:customStyle="1" w:styleId="4620">
    <w:name w:val="标题462"/>
    <w:basedOn w:val="af3"/>
    <w:rsid w:val="009964C3"/>
    <w:pPr>
      <w:adjustRightInd w:val="0"/>
      <w:snapToGrid w:val="0"/>
      <w:spacing w:line="360" w:lineRule="auto"/>
      <w:jc w:val="left"/>
    </w:pPr>
    <w:rPr>
      <w:rFonts w:ascii="黑体" w:eastAsia="黑体"/>
      <w:bCs/>
      <w:sz w:val="24"/>
    </w:rPr>
  </w:style>
  <w:style w:type="paragraph" w:customStyle="1" w:styleId="CharChar2Char">
    <w:name w:val="段落 Char Char2 Char"/>
    <w:basedOn w:val="af3"/>
    <w:rsid w:val="009964C3"/>
    <w:pPr>
      <w:tabs>
        <w:tab w:val="left" w:pos="1021"/>
      </w:tabs>
      <w:spacing w:line="326" w:lineRule="auto"/>
      <w:ind w:firstLineChars="200" w:firstLine="480"/>
    </w:pPr>
    <w:rPr>
      <w:kern w:val="24"/>
      <w:sz w:val="24"/>
    </w:rPr>
  </w:style>
  <w:style w:type="paragraph" w:customStyle="1" w:styleId="1ffffff7">
    <w:name w:val="中文报告书样式1"/>
    <w:basedOn w:val="af3"/>
    <w:rsid w:val="009964C3"/>
    <w:pPr>
      <w:adjustRightInd w:val="0"/>
      <w:spacing w:line="480" w:lineRule="atLeast"/>
      <w:ind w:firstLine="482"/>
      <w:textAlignment w:val="baseline"/>
    </w:pPr>
    <w:rPr>
      <w:rFonts w:ascii="宋体" w:hAnsi="宋体"/>
      <w:kern w:val="24"/>
      <w:sz w:val="24"/>
      <w:szCs w:val="20"/>
    </w:rPr>
  </w:style>
  <w:style w:type="paragraph" w:customStyle="1" w:styleId="12f1">
    <w:name w:val="正文12"/>
    <w:basedOn w:val="af3"/>
    <w:rsid w:val="009964C3"/>
    <w:pPr>
      <w:adjustRightInd w:val="0"/>
      <w:spacing w:after="120" w:line="360" w:lineRule="atLeast"/>
      <w:jc w:val="center"/>
      <w:textAlignment w:val="baseline"/>
    </w:pPr>
    <w:rPr>
      <w:rFonts w:ascii="宋体" w:hAnsi="宋体" w:cs="宋体"/>
      <w:kern w:val="0"/>
      <w:sz w:val="24"/>
      <w:szCs w:val="20"/>
    </w:rPr>
  </w:style>
  <w:style w:type="paragraph" w:customStyle="1" w:styleId="21f3">
    <w:name w:val="样式 样式 表2.1 + 居中 + 黑色"/>
    <w:basedOn w:val="21f"/>
    <w:rsid w:val="009964C3"/>
    <w:pPr>
      <w:tabs>
        <w:tab w:val="clear" w:pos="360"/>
      </w:tabs>
      <w:ind w:left="3041" w:firstLineChars="0" w:firstLine="4"/>
    </w:pPr>
    <w:rPr>
      <w:color w:val="000000"/>
    </w:rPr>
  </w:style>
  <w:style w:type="paragraph" w:customStyle="1" w:styleId="11f1">
    <w:name w:val="正文11"/>
    <w:basedOn w:val="af3"/>
    <w:rsid w:val="009964C3"/>
    <w:pPr>
      <w:adjustRightInd w:val="0"/>
      <w:snapToGrid w:val="0"/>
      <w:spacing w:after="120"/>
      <w:jc w:val="center"/>
      <w:textAlignment w:val="baseline"/>
    </w:pPr>
    <w:rPr>
      <w:kern w:val="0"/>
      <w:sz w:val="18"/>
      <w:szCs w:val="20"/>
    </w:rPr>
  </w:style>
  <w:style w:type="paragraph" w:customStyle="1" w:styleId="12051">
    <w:name w:val="样式 样式1 + 首行缩进:  2 字符 段前: 0.5 行1"/>
    <w:basedOn w:val="10"/>
    <w:semiHidden/>
    <w:rsid w:val="009964C3"/>
    <w:pPr>
      <w:numPr>
        <w:numId w:val="0"/>
      </w:numPr>
      <w:tabs>
        <w:tab w:val="left" w:pos="432"/>
      </w:tabs>
      <w:adjustRightInd/>
      <w:spacing w:line="240" w:lineRule="auto"/>
      <w:textAlignment w:val="auto"/>
    </w:pPr>
    <w:rPr>
      <w:rFonts w:ascii="Times New Roman" w:hAnsi="Times New Roman"/>
      <w:kern w:val="2"/>
      <w:sz w:val="28"/>
    </w:rPr>
  </w:style>
  <w:style w:type="paragraph" w:customStyle="1" w:styleId="563">
    <w:name w:val="表内563"/>
    <w:basedOn w:val="af3"/>
    <w:rsid w:val="009964C3"/>
    <w:pPr>
      <w:adjustRightInd w:val="0"/>
      <w:snapToGrid w:val="0"/>
      <w:spacing w:line="300" w:lineRule="auto"/>
      <w:jc w:val="left"/>
    </w:pPr>
    <w:rPr>
      <w:rFonts w:ascii="宋体"/>
      <w:szCs w:val="20"/>
    </w:rPr>
  </w:style>
  <w:style w:type="paragraph" w:customStyle="1" w:styleId="Arial">
    <w:name w:val="样式 (西文) Arial (中文) 黑体 二号 加粗 居中"/>
    <w:basedOn w:val="af3"/>
    <w:rsid w:val="009964C3"/>
    <w:pPr>
      <w:jc w:val="center"/>
    </w:pPr>
    <w:rPr>
      <w:rFonts w:ascii="黑体" w:eastAsia="黑体" w:hAnsi="Arial" w:cs="宋体"/>
      <w:bCs/>
      <w:sz w:val="28"/>
      <w:szCs w:val="28"/>
    </w:rPr>
  </w:style>
  <w:style w:type="paragraph" w:customStyle="1" w:styleId="affffffffffffffffffffffffff9">
    <w:name w:val="表内序号"/>
    <w:basedOn w:val="af3"/>
    <w:rsid w:val="009964C3"/>
    <w:pPr>
      <w:widowControl/>
      <w:adjustRightInd w:val="0"/>
      <w:snapToGrid w:val="0"/>
      <w:spacing w:line="360" w:lineRule="auto"/>
      <w:ind w:firstLine="288"/>
    </w:pPr>
    <w:rPr>
      <w:kern w:val="0"/>
      <w:sz w:val="18"/>
      <w:szCs w:val="20"/>
    </w:rPr>
  </w:style>
  <w:style w:type="paragraph" w:customStyle="1" w:styleId="2fffff2">
    <w:name w:val="表中文字中修改2"/>
    <w:basedOn w:val="affffffffffffa"/>
    <w:rsid w:val="009964C3"/>
    <w:pPr>
      <w:adjustRightInd w:val="0"/>
    </w:pPr>
    <w:rPr>
      <w:color w:val="000000"/>
    </w:rPr>
  </w:style>
  <w:style w:type="paragraph" w:customStyle="1" w:styleId="1ffa">
    <w:name w:val="列表1"/>
    <w:basedOn w:val="af3"/>
    <w:rsid w:val="009964C3"/>
    <w:pPr>
      <w:tabs>
        <w:tab w:val="left" w:pos="1727"/>
        <w:tab w:val="left" w:pos="1884"/>
      </w:tabs>
      <w:spacing w:before="100" w:beforeAutospacing="1"/>
      <w:jc w:val="center"/>
      <w:outlineLvl w:val="0"/>
    </w:pPr>
    <w:rPr>
      <w:rFonts w:ascii="宋体"/>
      <w:sz w:val="32"/>
      <w:szCs w:val="20"/>
    </w:rPr>
  </w:style>
  <w:style w:type="paragraph" w:customStyle="1" w:styleId="3fffd">
    <w:name w:val="样式3"/>
    <w:basedOn w:val="afff"/>
    <w:rsid w:val="009964C3"/>
    <w:pPr>
      <w:widowControl/>
      <w:overflowPunct w:val="0"/>
      <w:autoSpaceDE w:val="0"/>
      <w:autoSpaceDN w:val="0"/>
      <w:adjustRightInd w:val="0"/>
      <w:snapToGrid w:val="0"/>
      <w:spacing w:after="0" w:line="360" w:lineRule="auto"/>
      <w:ind w:firstLine="567"/>
      <w:textAlignment w:val="baseline"/>
    </w:pPr>
    <w:rPr>
      <w:rFonts w:ascii="宋体"/>
      <w:spacing w:val="20"/>
      <w:kern w:val="0"/>
      <w:sz w:val="24"/>
      <w:szCs w:val="20"/>
    </w:rPr>
  </w:style>
  <w:style w:type="paragraph" w:customStyle="1" w:styleId="xl83">
    <w:name w:val="xl83"/>
    <w:basedOn w:val="af3"/>
    <w:rsid w:val="009964C3"/>
    <w:pPr>
      <w:widowControl/>
      <w:pBdr>
        <w:top w:val="single" w:sz="4" w:space="0" w:color="auto"/>
        <w:left w:val="single" w:sz="4" w:space="0" w:color="auto"/>
      </w:pBdr>
      <w:spacing w:before="100" w:beforeAutospacing="1" w:after="100" w:afterAutospacing="1"/>
      <w:jc w:val="center"/>
    </w:pPr>
    <w:rPr>
      <w:rFonts w:ascii="宋体" w:hAnsi="宋体" w:cs="宋体"/>
      <w:b/>
      <w:bCs/>
      <w:kern w:val="0"/>
      <w:sz w:val="24"/>
    </w:rPr>
  </w:style>
  <w:style w:type="paragraph" w:customStyle="1" w:styleId="3111111">
    <w:name w:val="样式 样式 样式 标题 3条标题1.1.1 + + 段后: 1 行 + 段后: 1 行1"/>
    <w:basedOn w:val="31111"/>
    <w:rsid w:val="009964C3"/>
  </w:style>
  <w:style w:type="paragraph" w:customStyle="1" w:styleId="8b">
    <w:name w:val="表内文字小8"/>
    <w:basedOn w:val="af3"/>
    <w:rsid w:val="009964C3"/>
    <w:pPr>
      <w:adjustRightInd w:val="0"/>
      <w:snapToGrid w:val="0"/>
      <w:jc w:val="center"/>
    </w:pPr>
    <w:rPr>
      <w:rFonts w:ascii="宋体" w:hAnsi="Times" w:cs="宋体"/>
      <w:szCs w:val="20"/>
    </w:rPr>
  </w:style>
  <w:style w:type="paragraph" w:customStyle="1" w:styleId="2fffff3">
    <w:name w:val="环评正文2"/>
    <w:rsid w:val="009964C3"/>
    <w:pPr>
      <w:spacing w:line="360" w:lineRule="exact"/>
      <w:ind w:firstLineChars="200" w:firstLine="200"/>
    </w:pPr>
    <w:rPr>
      <w:color w:val="000000"/>
      <w:kern w:val="21"/>
      <w:sz w:val="24"/>
      <w:szCs w:val="24"/>
    </w:rPr>
  </w:style>
  <w:style w:type="paragraph" w:customStyle="1" w:styleId="51f">
    <w:name w:val="样式 表内小5 + 黑体 加粗 倾斜 下划线1"/>
    <w:basedOn w:val="af3"/>
    <w:rsid w:val="009964C3"/>
    <w:pPr>
      <w:adjustRightInd w:val="0"/>
      <w:snapToGrid w:val="0"/>
      <w:spacing w:line="300" w:lineRule="auto"/>
    </w:pPr>
    <w:rPr>
      <w:rFonts w:ascii="黑体" w:eastAsia="黑体" w:hAnsi="黑体"/>
      <w:b/>
      <w:bCs/>
      <w:i/>
      <w:iCs/>
      <w:sz w:val="18"/>
      <w:u w:val="single"/>
    </w:rPr>
  </w:style>
  <w:style w:type="paragraph" w:customStyle="1" w:styleId="CM107">
    <w:name w:val="CM107"/>
    <w:basedOn w:val="Default"/>
    <w:next w:val="Default"/>
    <w:rsid w:val="009964C3"/>
    <w:pPr>
      <w:spacing w:line="626" w:lineRule="atLeast"/>
    </w:pPr>
    <w:rPr>
      <w:rFonts w:ascii="á￥êé" w:eastAsia="á￥êé" w:cs="Times New Roman"/>
      <w:color w:val="auto"/>
      <w:sz w:val="20"/>
      <w:szCs w:val="20"/>
    </w:rPr>
  </w:style>
  <w:style w:type="paragraph" w:customStyle="1" w:styleId="ST2048">
    <w:name w:val="ST20_48"/>
    <w:basedOn w:val="ST2019"/>
    <w:rsid w:val="009964C3"/>
    <w:pPr>
      <w:tabs>
        <w:tab w:val="clear" w:pos="720"/>
        <w:tab w:val="left" w:pos="1080"/>
      </w:tabs>
      <w:ind w:left="1080"/>
    </w:pPr>
  </w:style>
  <w:style w:type="paragraph" w:customStyle="1" w:styleId="1420">
    <w:name w:val="页眉中142"/>
    <w:basedOn w:val="af3"/>
    <w:rsid w:val="009964C3"/>
    <w:pPr>
      <w:adjustRightInd w:val="0"/>
      <w:snapToGrid w:val="0"/>
      <w:spacing w:line="300" w:lineRule="auto"/>
      <w:jc w:val="left"/>
    </w:pPr>
    <w:rPr>
      <w:rFonts w:ascii="黑体" w:eastAsia="黑体"/>
      <w:bCs/>
      <w:sz w:val="24"/>
      <w:szCs w:val="20"/>
    </w:rPr>
  </w:style>
  <w:style w:type="paragraph" w:customStyle="1" w:styleId="4211">
    <w:name w:val="标题421"/>
    <w:basedOn w:val="af3"/>
    <w:rsid w:val="009964C3"/>
    <w:pPr>
      <w:adjustRightInd w:val="0"/>
      <w:snapToGrid w:val="0"/>
      <w:spacing w:line="300" w:lineRule="auto"/>
      <w:jc w:val="left"/>
    </w:pPr>
    <w:rPr>
      <w:rFonts w:ascii="宋体" w:hAnsi="宋体"/>
      <w:sz w:val="24"/>
      <w:szCs w:val="20"/>
    </w:rPr>
  </w:style>
  <w:style w:type="paragraph" w:customStyle="1" w:styleId="50098">
    <w:name w:val="样式 表内小5 + 左侧:  0 厘米 悬挂缩进: 0.98 字符"/>
    <w:basedOn w:val="af3"/>
    <w:rsid w:val="009964C3"/>
    <w:pPr>
      <w:adjustRightInd w:val="0"/>
      <w:snapToGrid w:val="0"/>
      <w:spacing w:line="300" w:lineRule="auto"/>
      <w:ind w:leftChars="-200" w:left="289" w:hanging="769"/>
    </w:pPr>
    <w:rPr>
      <w:rFonts w:ascii="宋体" w:hAnsi="宋体" w:cs="宋体"/>
      <w:sz w:val="18"/>
      <w:szCs w:val="20"/>
    </w:rPr>
  </w:style>
  <w:style w:type="paragraph" w:customStyle="1" w:styleId="affffffffffffffffffffffffffa">
    <w:name w:val="自定义表格文字"/>
    <w:basedOn w:val="af3"/>
    <w:rsid w:val="009964C3"/>
    <w:pPr>
      <w:topLinePunct/>
      <w:adjustRightInd w:val="0"/>
      <w:snapToGrid w:val="0"/>
      <w:jc w:val="center"/>
      <w:textAlignment w:val="center"/>
    </w:pPr>
    <w:rPr>
      <w:sz w:val="18"/>
      <w:szCs w:val="18"/>
    </w:rPr>
  </w:style>
  <w:style w:type="paragraph" w:customStyle="1" w:styleId="51f0">
    <w:name w:val="表题51"/>
    <w:basedOn w:val="afffffff4"/>
    <w:rsid w:val="009964C3"/>
    <w:pPr>
      <w:spacing w:line="240" w:lineRule="auto"/>
      <w:ind w:firstLine="0"/>
      <w:jc w:val="center"/>
    </w:pPr>
    <w:rPr>
      <w:rFonts w:ascii="黑体" w:eastAsia="黑体" w:cs="Times New Roman"/>
      <w:szCs w:val="20"/>
    </w:rPr>
  </w:style>
  <w:style w:type="paragraph" w:customStyle="1" w:styleId="621">
    <w:name w:val="标题 62"/>
    <w:basedOn w:val="af3"/>
    <w:next w:val="af3"/>
    <w:rsid w:val="009964C3"/>
    <w:pPr>
      <w:adjustRightInd w:val="0"/>
      <w:snapToGrid w:val="0"/>
      <w:spacing w:line="480" w:lineRule="atLeast"/>
      <w:ind w:left="3" w:firstLine="567"/>
      <w:textAlignment w:val="baseline"/>
    </w:pPr>
    <w:rPr>
      <w:rFonts w:ascii="Arial" w:hAnsi="Arial" w:hint="eastAsia"/>
      <w:kern w:val="0"/>
      <w:sz w:val="24"/>
      <w:szCs w:val="20"/>
    </w:rPr>
  </w:style>
  <w:style w:type="paragraph" w:customStyle="1" w:styleId="4ffd">
    <w:name w:val="福建正文缩进4"/>
    <w:basedOn w:val="af4"/>
    <w:rsid w:val="009964C3"/>
    <w:pPr>
      <w:adjustRightInd w:val="0"/>
      <w:snapToGrid w:val="0"/>
      <w:spacing w:line="360" w:lineRule="auto"/>
      <w:ind w:firstLineChars="0" w:firstLine="539"/>
    </w:pPr>
    <w:rPr>
      <w:rFonts w:ascii="宋体"/>
      <w:b/>
      <w:sz w:val="24"/>
      <w:szCs w:val="24"/>
    </w:rPr>
  </w:style>
  <w:style w:type="paragraph" w:customStyle="1" w:styleId="Char1CharCharCharCharChar">
    <w:name w:val="段落 Char1 Char Char Char Char Char"/>
    <w:basedOn w:val="af3"/>
    <w:rsid w:val="009964C3"/>
    <w:pPr>
      <w:tabs>
        <w:tab w:val="left" w:pos="1021"/>
      </w:tabs>
      <w:spacing w:line="326" w:lineRule="auto"/>
      <w:ind w:firstLineChars="200" w:firstLine="480"/>
    </w:pPr>
    <w:rPr>
      <w:color w:val="000000"/>
      <w:kern w:val="24"/>
      <w:sz w:val="24"/>
    </w:rPr>
  </w:style>
  <w:style w:type="paragraph" w:customStyle="1" w:styleId="622">
    <w:name w:val="图题62"/>
    <w:basedOn w:val="af3"/>
    <w:qFormat/>
    <w:rsid w:val="009964C3"/>
    <w:pPr>
      <w:jc w:val="center"/>
    </w:pPr>
    <w:rPr>
      <w:rFonts w:ascii="黑体" w:eastAsia="黑体"/>
      <w:sz w:val="24"/>
    </w:rPr>
  </w:style>
  <w:style w:type="paragraph" w:customStyle="1" w:styleId="xl105">
    <w:name w:val="xl105"/>
    <w:basedOn w:val="af3"/>
    <w:rsid w:val="009964C3"/>
    <w:pPr>
      <w:widowControl/>
      <w:pBdr>
        <w:top w:val="single" w:sz="4" w:space="0" w:color="auto"/>
        <w:left w:val="single" w:sz="4" w:space="0" w:color="auto"/>
        <w:bottom w:val="single" w:sz="4" w:space="0" w:color="auto"/>
      </w:pBdr>
      <w:spacing w:before="100" w:after="100"/>
      <w:jc w:val="center"/>
      <w:textAlignment w:val="center"/>
    </w:pPr>
    <w:rPr>
      <w:rFonts w:ascii="Arial" w:hAnsi="Arial"/>
      <w:b/>
      <w:kern w:val="0"/>
      <w:sz w:val="20"/>
      <w:szCs w:val="20"/>
    </w:rPr>
  </w:style>
  <w:style w:type="paragraph" w:customStyle="1" w:styleId="11f2">
    <w:name w:val="等核实11"/>
    <w:basedOn w:val="afffffff4"/>
    <w:rsid w:val="009964C3"/>
    <w:pPr>
      <w:ind w:firstLine="567"/>
    </w:pPr>
    <w:rPr>
      <w:rFonts w:cs="Times New Roman"/>
      <w:color w:val="0000FF"/>
      <w:szCs w:val="20"/>
    </w:rPr>
  </w:style>
  <w:style w:type="paragraph" w:customStyle="1" w:styleId="GB23121522">
    <w:name w:val="样式 样式 楷体_GB2312 小四 左 行距: 1.5 倍行距 + 首行缩进:  2 字符"/>
    <w:basedOn w:val="af3"/>
    <w:rsid w:val="009964C3"/>
    <w:pPr>
      <w:spacing w:line="360" w:lineRule="auto"/>
      <w:ind w:firstLineChars="200" w:firstLine="560"/>
      <w:jc w:val="left"/>
    </w:pPr>
    <w:rPr>
      <w:rFonts w:ascii="楷体_GB2312" w:cs="宋体"/>
      <w:spacing w:val="20"/>
      <w:sz w:val="24"/>
      <w:szCs w:val="20"/>
    </w:rPr>
  </w:style>
  <w:style w:type="paragraph" w:customStyle="1" w:styleId="22b">
    <w:name w:val="图题22"/>
    <w:basedOn w:val="31"/>
    <w:rsid w:val="009964C3"/>
    <w:pPr>
      <w:keepNext w:val="0"/>
      <w:keepLines w:val="0"/>
      <w:adjustRightInd w:val="0"/>
      <w:snapToGrid w:val="0"/>
      <w:spacing w:before="120" w:after="0" w:line="360" w:lineRule="auto"/>
      <w:jc w:val="center"/>
    </w:pPr>
    <w:rPr>
      <w:rFonts w:ascii="黑体" w:eastAsia="黑体" w:hAnsi="宋体" w:cs="宋体"/>
      <w:b w:val="0"/>
      <w:sz w:val="28"/>
      <w:szCs w:val="28"/>
    </w:rPr>
  </w:style>
  <w:style w:type="paragraph" w:customStyle="1" w:styleId="1ffffff8">
    <w:name w:val="正文居中1"/>
    <w:basedOn w:val="af3"/>
    <w:rsid w:val="009964C3"/>
    <w:pPr>
      <w:adjustRightInd w:val="0"/>
      <w:snapToGrid w:val="0"/>
      <w:spacing w:line="480" w:lineRule="atLeast"/>
      <w:jc w:val="center"/>
    </w:pPr>
    <w:rPr>
      <w:rFonts w:ascii="宋体"/>
      <w:snapToGrid w:val="0"/>
      <w:spacing w:val="6"/>
      <w:kern w:val="0"/>
      <w:sz w:val="28"/>
    </w:rPr>
  </w:style>
  <w:style w:type="paragraph" w:customStyle="1" w:styleId="5151">
    <w:name w:val="表内515"/>
    <w:basedOn w:val="af3"/>
    <w:rsid w:val="009964C3"/>
    <w:pPr>
      <w:adjustRightInd w:val="0"/>
      <w:snapToGrid w:val="0"/>
      <w:spacing w:line="300" w:lineRule="auto"/>
      <w:jc w:val="left"/>
    </w:pPr>
    <w:rPr>
      <w:rFonts w:ascii="宋体"/>
      <w:szCs w:val="20"/>
    </w:rPr>
  </w:style>
  <w:style w:type="paragraph" w:customStyle="1" w:styleId="xl70">
    <w:name w:val="xl70"/>
    <w:basedOn w:val="af3"/>
    <w:rsid w:val="009964C3"/>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6f3">
    <w:name w:val="表内文字小6"/>
    <w:basedOn w:val="af3"/>
    <w:rsid w:val="009964C3"/>
    <w:pPr>
      <w:adjustRightInd w:val="0"/>
      <w:snapToGrid w:val="0"/>
      <w:jc w:val="center"/>
    </w:pPr>
    <w:rPr>
      <w:rFonts w:ascii="宋体" w:hAnsi="Times"/>
      <w:szCs w:val="20"/>
    </w:rPr>
  </w:style>
  <w:style w:type="paragraph" w:customStyle="1" w:styleId="9c">
    <w:name w:val="页眉中9"/>
    <w:basedOn w:val="af3"/>
    <w:rsid w:val="009964C3"/>
    <w:pPr>
      <w:adjustRightInd w:val="0"/>
      <w:snapToGrid w:val="0"/>
      <w:spacing w:line="300" w:lineRule="auto"/>
      <w:jc w:val="left"/>
    </w:pPr>
    <w:rPr>
      <w:rFonts w:ascii="黑体" w:eastAsia="黑体"/>
      <w:bCs/>
      <w:sz w:val="24"/>
      <w:szCs w:val="20"/>
    </w:rPr>
  </w:style>
  <w:style w:type="paragraph" w:customStyle="1" w:styleId="affffffffffffffffffffffffffb">
    <w:name w:val="内文"/>
    <w:basedOn w:val="af3"/>
    <w:rsid w:val="009964C3"/>
    <w:pPr>
      <w:snapToGrid w:val="0"/>
      <w:spacing w:line="312" w:lineRule="auto"/>
      <w:ind w:left="2240" w:firstLine="570"/>
    </w:pPr>
    <w:rPr>
      <w:rFonts w:ascii="幼圆" w:eastAsia="幼圆"/>
      <w:sz w:val="28"/>
      <w:szCs w:val="20"/>
    </w:rPr>
  </w:style>
  <w:style w:type="paragraph" w:customStyle="1" w:styleId="4ffe">
    <w:name w:val="表内文字大4"/>
    <w:basedOn w:val="af3"/>
    <w:rsid w:val="009964C3"/>
    <w:pPr>
      <w:adjustRightInd w:val="0"/>
      <w:snapToGrid w:val="0"/>
      <w:jc w:val="center"/>
    </w:pPr>
    <w:rPr>
      <w:rFonts w:ascii="宋体" w:hAnsi="Times"/>
      <w:sz w:val="24"/>
      <w:szCs w:val="20"/>
    </w:rPr>
  </w:style>
  <w:style w:type="paragraph" w:customStyle="1" w:styleId="5108">
    <w:name w:val="表内5中10"/>
    <w:basedOn w:val="af3"/>
    <w:rsid w:val="009964C3"/>
    <w:pPr>
      <w:adjustRightInd w:val="0"/>
      <w:snapToGrid w:val="0"/>
      <w:jc w:val="center"/>
    </w:pPr>
    <w:rPr>
      <w:rFonts w:ascii="宋体"/>
    </w:rPr>
  </w:style>
  <w:style w:type="paragraph" w:customStyle="1" w:styleId="823">
    <w:name w:val="表题82"/>
    <w:basedOn w:val="afffffff4"/>
    <w:rsid w:val="009964C3"/>
    <w:pPr>
      <w:spacing w:line="240" w:lineRule="auto"/>
      <w:ind w:firstLine="0"/>
      <w:jc w:val="center"/>
    </w:pPr>
    <w:rPr>
      <w:rFonts w:ascii="黑体" w:eastAsia="黑体" w:cs="Times New Roman"/>
      <w:color w:val="auto"/>
      <w:szCs w:val="20"/>
    </w:rPr>
  </w:style>
  <w:style w:type="paragraph" w:customStyle="1" w:styleId="5431">
    <w:name w:val="表内宋5中43"/>
    <w:basedOn w:val="af3"/>
    <w:rsid w:val="009964C3"/>
    <w:pPr>
      <w:adjustRightInd w:val="0"/>
      <w:snapToGrid w:val="0"/>
      <w:jc w:val="center"/>
      <w:textAlignment w:val="baseline"/>
    </w:pPr>
    <w:rPr>
      <w:rFonts w:ascii="宋体" w:hAnsi="宋体"/>
      <w:kern w:val="0"/>
      <w:szCs w:val="20"/>
    </w:rPr>
  </w:style>
  <w:style w:type="paragraph" w:customStyle="1" w:styleId="12f2">
    <w:name w:val="正文首行缩进12"/>
    <w:basedOn w:val="af4"/>
    <w:rsid w:val="009964C3"/>
    <w:pPr>
      <w:tabs>
        <w:tab w:val="left" w:pos="0"/>
      </w:tabs>
      <w:overflowPunct w:val="0"/>
      <w:autoSpaceDE w:val="0"/>
      <w:autoSpaceDN w:val="0"/>
      <w:adjustRightInd w:val="0"/>
      <w:spacing w:before="120" w:line="360" w:lineRule="auto"/>
      <w:ind w:firstLineChars="0" w:firstLine="567"/>
    </w:pPr>
    <w:rPr>
      <w:rFonts w:ascii="宋体" w:hAnsi="Garamond" w:hint="eastAsia"/>
      <w:sz w:val="28"/>
      <w:szCs w:val="20"/>
    </w:rPr>
  </w:style>
  <w:style w:type="paragraph" w:customStyle="1" w:styleId="42c">
    <w:name w:val="表内文字大42"/>
    <w:basedOn w:val="af3"/>
    <w:rsid w:val="009964C3"/>
    <w:pPr>
      <w:adjustRightInd w:val="0"/>
      <w:snapToGrid w:val="0"/>
      <w:jc w:val="center"/>
    </w:pPr>
    <w:rPr>
      <w:rFonts w:ascii="宋体" w:hAnsi="Times"/>
      <w:sz w:val="24"/>
      <w:szCs w:val="20"/>
    </w:rPr>
  </w:style>
  <w:style w:type="paragraph" w:customStyle="1" w:styleId="9d">
    <w:name w:val="表题9"/>
    <w:basedOn w:val="afffffffff2"/>
    <w:rsid w:val="009964C3"/>
    <w:pPr>
      <w:adjustRightInd w:val="0"/>
      <w:snapToGrid w:val="0"/>
      <w:spacing w:line="300" w:lineRule="auto"/>
      <w:jc w:val="center"/>
    </w:pPr>
    <w:rPr>
      <w:rFonts w:ascii="黑体" w:eastAsia="黑体" w:cs="Times New Roman"/>
      <w:sz w:val="24"/>
      <w:szCs w:val="20"/>
    </w:rPr>
  </w:style>
  <w:style w:type="paragraph" w:customStyle="1" w:styleId="Charfffffff6">
    <w:name w:val="我的正文首行缩进 Char"/>
    <w:basedOn w:val="2f"/>
    <w:semiHidden/>
    <w:rsid w:val="009964C3"/>
    <w:pPr>
      <w:widowControl/>
      <w:tabs>
        <w:tab w:val="clear" w:pos="4532"/>
        <w:tab w:val="left" w:pos="1021"/>
      </w:tabs>
      <w:adjustRightInd/>
      <w:snapToGrid/>
      <w:spacing w:afterLines="50" w:line="360" w:lineRule="auto"/>
      <w:ind w:leftChars="200" w:left="420" w:firstLine="420"/>
      <w:jc w:val="left"/>
    </w:pPr>
    <w:rPr>
      <w:spacing w:val="0"/>
      <w:kern w:val="0"/>
      <w:szCs w:val="22"/>
      <w:lang w:eastAsia="en-US" w:bidi="en-US"/>
    </w:rPr>
  </w:style>
  <w:style w:type="paragraph" w:customStyle="1" w:styleId="11f3">
    <w:name w:val="福建正文缩进11"/>
    <w:basedOn w:val="af4"/>
    <w:rsid w:val="009964C3"/>
    <w:pPr>
      <w:autoSpaceDE w:val="0"/>
      <w:autoSpaceDN w:val="0"/>
      <w:adjustRightInd w:val="0"/>
      <w:snapToGrid w:val="0"/>
      <w:spacing w:line="360" w:lineRule="auto"/>
      <w:ind w:firstLineChars="0" w:firstLine="539"/>
    </w:pPr>
    <w:rPr>
      <w:rFonts w:ascii="宋体" w:hAnsi="宋体"/>
      <w:b/>
      <w:sz w:val="24"/>
      <w:szCs w:val="24"/>
    </w:rPr>
  </w:style>
  <w:style w:type="paragraph" w:customStyle="1" w:styleId="0115">
    <w:name w:val="0115段落"/>
    <w:basedOn w:val="af3"/>
    <w:semiHidden/>
    <w:rsid w:val="009964C3"/>
    <w:pPr>
      <w:adjustRightInd w:val="0"/>
      <w:spacing w:line="360" w:lineRule="auto"/>
      <w:ind w:firstLineChars="200" w:firstLine="200"/>
      <w:textAlignment w:val="baseline"/>
    </w:pPr>
    <w:rPr>
      <w:sz w:val="24"/>
      <w:szCs w:val="20"/>
    </w:rPr>
  </w:style>
  <w:style w:type="paragraph" w:customStyle="1" w:styleId="5fff">
    <w:name w:val="福建正文缩进5"/>
    <w:basedOn w:val="af4"/>
    <w:qFormat/>
    <w:rsid w:val="009964C3"/>
    <w:pPr>
      <w:adjustRightInd w:val="0"/>
      <w:snapToGrid w:val="0"/>
      <w:spacing w:line="360" w:lineRule="auto"/>
      <w:ind w:firstLineChars="0" w:firstLine="539"/>
    </w:pPr>
    <w:rPr>
      <w:rFonts w:ascii="宋体"/>
      <w:sz w:val="24"/>
      <w:szCs w:val="24"/>
    </w:rPr>
  </w:style>
  <w:style w:type="paragraph" w:customStyle="1" w:styleId="ST2012">
    <w:name w:val="ST20_12"/>
    <w:basedOn w:val="af3"/>
    <w:next w:val="ST2013"/>
    <w:rsid w:val="009964C3"/>
    <w:pPr>
      <w:autoSpaceDE w:val="0"/>
      <w:autoSpaceDN w:val="0"/>
      <w:adjustRightInd w:val="0"/>
      <w:spacing w:before="160" w:line="360" w:lineRule="atLeast"/>
      <w:jc w:val="left"/>
      <w:textAlignment w:val="baseline"/>
    </w:pPr>
    <w:rPr>
      <w:rFonts w:ascii="宋体" w:hAnsi="Tms Rmn"/>
      <w:b/>
      <w:bCs/>
      <w:i/>
      <w:iCs/>
      <w:kern w:val="0"/>
      <w:sz w:val="28"/>
      <w:szCs w:val="28"/>
    </w:rPr>
  </w:style>
  <w:style w:type="paragraph" w:customStyle="1" w:styleId="4530">
    <w:name w:val="标题453"/>
    <w:basedOn w:val="af3"/>
    <w:rsid w:val="009964C3"/>
    <w:pPr>
      <w:adjustRightInd w:val="0"/>
      <w:snapToGrid w:val="0"/>
      <w:spacing w:line="360" w:lineRule="auto"/>
      <w:jc w:val="left"/>
    </w:pPr>
    <w:rPr>
      <w:rFonts w:ascii="黑体" w:eastAsia="黑体"/>
      <w:bCs/>
      <w:sz w:val="24"/>
    </w:rPr>
  </w:style>
  <w:style w:type="paragraph" w:customStyle="1" w:styleId="44a">
    <w:name w:val="表内小44"/>
    <w:basedOn w:val="affffffffff"/>
    <w:rsid w:val="009964C3"/>
    <w:pPr>
      <w:ind w:left="240" w:hanging="240"/>
      <w:jc w:val="both"/>
    </w:pPr>
    <w:rPr>
      <w:rFonts w:cs="Times New Roman"/>
    </w:rPr>
  </w:style>
  <w:style w:type="paragraph" w:customStyle="1" w:styleId="c3">
    <w:name w:val="c_"/>
    <w:rsid w:val="009964C3"/>
    <w:pPr>
      <w:widowControl w:val="0"/>
      <w:autoSpaceDE w:val="0"/>
      <w:autoSpaceDN w:val="0"/>
      <w:adjustRightInd w:val="0"/>
      <w:jc w:val="both"/>
    </w:pPr>
    <w:rPr>
      <w:rFonts w:ascii="五" w:eastAsia="五"/>
      <w:sz w:val="24"/>
    </w:rPr>
  </w:style>
  <w:style w:type="paragraph" w:customStyle="1" w:styleId="585">
    <w:name w:val="表内58"/>
    <w:basedOn w:val="af3"/>
    <w:rsid w:val="009964C3"/>
    <w:pPr>
      <w:adjustRightInd w:val="0"/>
      <w:snapToGrid w:val="0"/>
      <w:spacing w:line="300" w:lineRule="auto"/>
      <w:jc w:val="left"/>
    </w:pPr>
    <w:rPr>
      <w:rFonts w:ascii="宋体"/>
      <w:szCs w:val="20"/>
    </w:rPr>
  </w:style>
  <w:style w:type="paragraph" w:customStyle="1" w:styleId="54a">
    <w:name w:val="表内5中4"/>
    <w:basedOn w:val="54"/>
    <w:rsid w:val="009964C3"/>
    <w:pPr>
      <w:spacing w:line="240" w:lineRule="auto"/>
    </w:pPr>
    <w:rPr>
      <w:rFonts w:hAnsi="Times New Roman" w:cs="Times New Roman"/>
      <w:bCs/>
    </w:rPr>
  </w:style>
  <w:style w:type="paragraph" w:customStyle="1" w:styleId="Char2f9">
    <w:name w:val="样式 正文首行缩进正文首行缩进 Char + 首行缩进:  2 字符"/>
    <w:basedOn w:val="aff7"/>
    <w:semiHidden/>
    <w:rsid w:val="009964C3"/>
    <w:pPr>
      <w:overflowPunct/>
      <w:autoSpaceDE/>
      <w:autoSpaceDN/>
      <w:adjustRightInd/>
      <w:ind w:firstLineChars="200" w:firstLine="420"/>
      <w:textAlignment w:val="auto"/>
    </w:pPr>
    <w:rPr>
      <w:rFonts w:ascii="Arial" w:hAnsi="Arial" w:cs="宋体"/>
      <w:sz w:val="24"/>
      <w:szCs w:val="20"/>
    </w:rPr>
  </w:style>
  <w:style w:type="paragraph" w:customStyle="1" w:styleId="1ffffff9">
    <w:name w:val="样式 样式 标题 1 + 两端对齐 + 居中"/>
    <w:basedOn w:val="1fff7"/>
    <w:rsid w:val="009964C3"/>
    <w:pPr>
      <w:tabs>
        <w:tab w:val="left" w:pos="851"/>
      </w:tabs>
      <w:jc w:val="center"/>
    </w:pPr>
  </w:style>
  <w:style w:type="paragraph" w:customStyle="1" w:styleId="10851">
    <w:name w:val="样式 目录 1 + 首行缩进:  0.85 厘米1"/>
    <w:basedOn w:val="1fc"/>
    <w:rsid w:val="009964C3"/>
    <w:pPr>
      <w:ind w:firstLine="482"/>
      <w:jc w:val="both"/>
    </w:pPr>
    <w:rPr>
      <w:rFonts w:ascii="Calibri" w:hAnsi="Calibri" w:cs="宋体"/>
    </w:rPr>
  </w:style>
  <w:style w:type="paragraph" w:customStyle="1" w:styleId="cauc-C">
    <w:name w:val="cauc-C"/>
    <w:next w:val="cauc-0"/>
    <w:semiHidden/>
    <w:rsid w:val="009964C3"/>
    <w:pPr>
      <w:spacing w:line="360" w:lineRule="auto"/>
      <w:outlineLvl w:val="2"/>
    </w:pPr>
    <w:rPr>
      <w:b/>
      <w:kern w:val="2"/>
      <w:sz w:val="28"/>
      <w:szCs w:val="24"/>
    </w:rPr>
  </w:style>
  <w:style w:type="paragraph" w:customStyle="1" w:styleId="xl85">
    <w:name w:val="xl85"/>
    <w:basedOn w:val="af3"/>
    <w:rsid w:val="009964C3"/>
    <w:pPr>
      <w:widowControl/>
      <w:pBdr>
        <w:left w:val="single" w:sz="4" w:space="0" w:color="auto"/>
        <w:bottom w:val="single" w:sz="4" w:space="0" w:color="auto"/>
      </w:pBdr>
      <w:spacing w:before="100" w:beforeAutospacing="1" w:after="100" w:afterAutospacing="1"/>
      <w:jc w:val="center"/>
    </w:pPr>
    <w:rPr>
      <w:rFonts w:ascii="宋体" w:hAnsi="宋体" w:cs="宋体"/>
      <w:b/>
      <w:bCs/>
      <w:kern w:val="0"/>
      <w:sz w:val="24"/>
    </w:rPr>
  </w:style>
  <w:style w:type="paragraph" w:customStyle="1" w:styleId="Char1ffb">
    <w:name w:val="表题 Char1"/>
    <w:basedOn w:val="af3"/>
    <w:rsid w:val="009964C3"/>
    <w:pPr>
      <w:spacing w:line="360" w:lineRule="auto"/>
      <w:jc w:val="center"/>
    </w:pPr>
    <w:rPr>
      <w:rFonts w:ascii="黑体" w:eastAsia="黑体"/>
      <w:bCs/>
      <w:sz w:val="28"/>
      <w:szCs w:val="28"/>
    </w:rPr>
  </w:style>
  <w:style w:type="paragraph" w:customStyle="1" w:styleId="affffffffffffffffffffffffffc">
    <w:name w:val="说明书宋体正文"/>
    <w:basedOn w:val="af3"/>
    <w:semiHidden/>
    <w:rsid w:val="009964C3"/>
    <w:pPr>
      <w:topLinePunct/>
      <w:spacing w:line="560" w:lineRule="exact"/>
      <w:ind w:firstLineChars="200" w:firstLine="200"/>
    </w:pPr>
    <w:rPr>
      <w:sz w:val="28"/>
      <w:szCs w:val="28"/>
    </w:rPr>
  </w:style>
  <w:style w:type="paragraph" w:customStyle="1" w:styleId="169">
    <w:name w:val="页眉中16"/>
    <w:basedOn w:val="4a"/>
    <w:rsid w:val="009964C3"/>
    <w:pPr>
      <w:snapToGrid w:val="0"/>
      <w:spacing w:line="300" w:lineRule="auto"/>
      <w:textAlignment w:val="auto"/>
    </w:pPr>
    <w:rPr>
      <w:rFonts w:ascii="黑体" w:eastAsia="黑体" w:hAnsi="宋体" w:cs="宋体"/>
    </w:rPr>
  </w:style>
  <w:style w:type="paragraph" w:customStyle="1" w:styleId="t0">
    <w:name w:val="t"/>
    <w:basedOn w:val="af3"/>
    <w:semiHidden/>
    <w:rsid w:val="009964C3"/>
    <w:pPr>
      <w:widowControl/>
      <w:tabs>
        <w:tab w:val="left" w:pos="-1440"/>
        <w:tab w:val="left" w:pos="-720"/>
      </w:tabs>
      <w:spacing w:before="120" w:after="120"/>
    </w:pPr>
    <w:rPr>
      <w:kern w:val="0"/>
      <w:sz w:val="24"/>
      <w:szCs w:val="20"/>
      <w:lang w:val="en-GB" w:eastAsia="en-US"/>
    </w:rPr>
  </w:style>
  <w:style w:type="paragraph" w:customStyle="1" w:styleId="459">
    <w:name w:val="表内小45"/>
    <w:basedOn w:val="affffffffff"/>
    <w:rsid w:val="009964C3"/>
    <w:pPr>
      <w:ind w:left="240" w:hanging="240"/>
      <w:jc w:val="both"/>
    </w:pPr>
    <w:rPr>
      <w:rFonts w:cs="Times New Roman"/>
    </w:rPr>
  </w:style>
  <w:style w:type="paragraph" w:customStyle="1" w:styleId="cucd-TB">
    <w:name w:val="cucd-TB"/>
    <w:link w:val="cucd-TBChar"/>
    <w:rsid w:val="009964C3"/>
    <w:pPr>
      <w:spacing w:line="360" w:lineRule="auto"/>
      <w:jc w:val="center"/>
    </w:pPr>
    <w:rPr>
      <w:kern w:val="2"/>
      <w:sz w:val="21"/>
      <w:szCs w:val="24"/>
    </w:rPr>
  </w:style>
  <w:style w:type="paragraph" w:customStyle="1" w:styleId="2fffff4">
    <w:name w:val="需要资料2"/>
    <w:basedOn w:val="af3"/>
    <w:rsid w:val="009964C3"/>
    <w:pPr>
      <w:adjustRightInd w:val="0"/>
      <w:snapToGrid w:val="0"/>
      <w:spacing w:line="360" w:lineRule="auto"/>
      <w:ind w:firstLineChars="200" w:firstLine="480"/>
    </w:pPr>
    <w:rPr>
      <w:rFonts w:ascii="黑体" w:eastAsia="黑体"/>
      <w:color w:val="0000FF"/>
      <w:sz w:val="24"/>
    </w:rPr>
  </w:style>
  <w:style w:type="paragraph" w:customStyle="1" w:styleId="CharCharCharChar6">
    <w:name w:val="段落 Char Char Char Char"/>
    <w:basedOn w:val="af3"/>
    <w:rsid w:val="009964C3"/>
    <w:pPr>
      <w:tabs>
        <w:tab w:val="left" w:pos="1021"/>
      </w:tabs>
      <w:adjustRightInd w:val="0"/>
      <w:spacing w:line="326" w:lineRule="auto"/>
      <w:ind w:firstLineChars="200" w:firstLine="480"/>
    </w:pPr>
    <w:rPr>
      <w:rFonts w:ascii="ˎ̥" w:hAnsi="ˎ̥"/>
      <w:kern w:val="24"/>
      <w:sz w:val="24"/>
    </w:rPr>
  </w:style>
  <w:style w:type="paragraph" w:customStyle="1" w:styleId="564">
    <w:name w:val="表内5中6"/>
    <w:basedOn w:val="affffffffff3"/>
    <w:rsid w:val="009964C3"/>
    <w:pPr>
      <w:widowControl/>
    </w:pPr>
    <w:rPr>
      <w:kern w:val="0"/>
      <w:sz w:val="21"/>
      <w:szCs w:val="21"/>
    </w:rPr>
  </w:style>
  <w:style w:type="paragraph" w:customStyle="1" w:styleId="31c">
    <w:name w:val="等核实31"/>
    <w:basedOn w:val="afffffff4"/>
    <w:qFormat/>
    <w:rsid w:val="009964C3"/>
    <w:pPr>
      <w:ind w:firstLineChars="200" w:firstLine="480"/>
    </w:pPr>
    <w:rPr>
      <w:rFonts w:cs="Times New Roman"/>
      <w:color w:val="0000FF"/>
      <w:szCs w:val="20"/>
    </w:rPr>
  </w:style>
  <w:style w:type="paragraph" w:customStyle="1" w:styleId="335">
    <w:name w:val="样式33"/>
    <w:basedOn w:val="afff"/>
    <w:rsid w:val="009964C3"/>
    <w:pPr>
      <w:widowControl/>
      <w:overflowPunct w:val="0"/>
      <w:autoSpaceDE w:val="0"/>
      <w:autoSpaceDN w:val="0"/>
      <w:adjustRightInd w:val="0"/>
      <w:snapToGrid w:val="0"/>
      <w:spacing w:after="0" w:line="360" w:lineRule="auto"/>
      <w:ind w:firstLine="567"/>
      <w:textAlignment w:val="baseline"/>
    </w:pPr>
    <w:rPr>
      <w:rFonts w:ascii="宋体"/>
      <w:spacing w:val="20"/>
      <w:kern w:val="0"/>
      <w:sz w:val="24"/>
      <w:szCs w:val="20"/>
    </w:rPr>
  </w:style>
  <w:style w:type="paragraph" w:customStyle="1" w:styleId="615">
    <w:name w:val="页眉中61"/>
    <w:basedOn w:val="4a"/>
    <w:qFormat/>
    <w:rsid w:val="009964C3"/>
    <w:pPr>
      <w:snapToGrid w:val="0"/>
      <w:spacing w:line="360" w:lineRule="auto"/>
      <w:textAlignment w:val="auto"/>
    </w:pPr>
    <w:rPr>
      <w:rFonts w:ascii="黑体" w:eastAsia="黑体"/>
      <w:szCs w:val="24"/>
    </w:rPr>
  </w:style>
  <w:style w:type="paragraph" w:customStyle="1" w:styleId="52f2">
    <w:name w:val="表内小52"/>
    <w:basedOn w:val="af3"/>
    <w:rsid w:val="009964C3"/>
    <w:pPr>
      <w:adjustRightInd w:val="0"/>
      <w:snapToGrid w:val="0"/>
      <w:spacing w:line="300" w:lineRule="auto"/>
    </w:pPr>
    <w:rPr>
      <w:rFonts w:ascii="宋体" w:hAnsi="宋体"/>
      <w:sz w:val="18"/>
    </w:rPr>
  </w:style>
  <w:style w:type="paragraph" w:customStyle="1" w:styleId="2fffff5">
    <w:name w:val="图题注2"/>
    <w:basedOn w:val="afff2"/>
    <w:qFormat/>
    <w:rsid w:val="009964C3"/>
    <w:pPr>
      <w:jc w:val="center"/>
    </w:pPr>
    <w:rPr>
      <w:rFonts w:ascii="黑体" w:cs="宋体"/>
      <w:b/>
      <w:bCs/>
      <w:sz w:val="24"/>
      <w:szCs w:val="24"/>
    </w:rPr>
  </w:style>
  <w:style w:type="paragraph" w:customStyle="1" w:styleId="411110202">
    <w:name w:val="样式 标题 4条款款标题1.1.1.1 + 左 段前: 0.2 行 段后: 0.2 行"/>
    <w:basedOn w:val="43"/>
    <w:rsid w:val="009964C3"/>
    <w:pPr>
      <w:keepNext w:val="0"/>
      <w:keepLines w:val="0"/>
      <w:overflowPunct w:val="0"/>
      <w:autoSpaceDE w:val="0"/>
      <w:autoSpaceDN w:val="0"/>
      <w:adjustRightInd w:val="0"/>
      <w:spacing w:beforeLines="20" w:afterLines="20" w:line="360" w:lineRule="auto"/>
      <w:jc w:val="left"/>
      <w:textAlignment w:val="baseline"/>
    </w:pPr>
    <w:rPr>
      <w:rFonts w:ascii="Times New Roman" w:eastAsia="宋体" w:hAnsi="Times New Roman" w:cs="宋体"/>
      <w:kern w:val="20"/>
      <w:sz w:val="24"/>
      <w:szCs w:val="20"/>
    </w:rPr>
  </w:style>
  <w:style w:type="paragraph" w:customStyle="1" w:styleId="336">
    <w:name w:val="燕山正文33"/>
    <w:basedOn w:val="af3"/>
    <w:rsid w:val="009964C3"/>
    <w:pPr>
      <w:tabs>
        <w:tab w:val="left" w:pos="4680"/>
      </w:tabs>
      <w:adjustRightInd w:val="0"/>
      <w:snapToGrid w:val="0"/>
      <w:spacing w:line="360" w:lineRule="auto"/>
      <w:ind w:firstLineChars="200" w:firstLine="560"/>
    </w:pPr>
    <w:rPr>
      <w:rFonts w:ascii="宋体" w:hAnsi="宋体"/>
      <w:color w:val="000000"/>
      <w:sz w:val="28"/>
      <w:szCs w:val="28"/>
    </w:rPr>
  </w:style>
  <w:style w:type="paragraph" w:customStyle="1" w:styleId="Style44">
    <w:name w:val="_Style 44"/>
    <w:basedOn w:val="af3"/>
    <w:semiHidden/>
    <w:rsid w:val="009964C3"/>
    <w:rPr>
      <w:rFonts w:eastAsia="仿宋_GB2312"/>
      <w:sz w:val="28"/>
      <w:szCs w:val="20"/>
    </w:rPr>
  </w:style>
  <w:style w:type="paragraph" w:customStyle="1" w:styleId="CharCharChar8">
    <w:name w:val="段落 Char Char Char"/>
    <w:basedOn w:val="af3"/>
    <w:rsid w:val="009964C3"/>
    <w:pPr>
      <w:tabs>
        <w:tab w:val="left" w:pos="1021"/>
      </w:tabs>
      <w:adjustRightInd w:val="0"/>
      <w:spacing w:line="326" w:lineRule="auto"/>
      <w:ind w:firstLineChars="200" w:firstLine="480"/>
    </w:pPr>
    <w:rPr>
      <w:rFonts w:ascii="ˎ̥" w:hAnsi="ˎ̥"/>
      <w:kern w:val="24"/>
      <w:sz w:val="24"/>
    </w:rPr>
  </w:style>
  <w:style w:type="paragraph" w:customStyle="1" w:styleId="44444444">
    <w:name w:val="目录44444444"/>
    <w:basedOn w:val="222222"/>
    <w:rsid w:val="009964C3"/>
    <w:rPr>
      <w:rFonts w:ascii="宋体" w:hAnsi="宋体"/>
    </w:rPr>
  </w:style>
  <w:style w:type="paragraph" w:customStyle="1" w:styleId="Char2fa">
    <w:name w:val="表题 Char2"/>
    <w:basedOn w:val="af3"/>
    <w:rsid w:val="009964C3"/>
    <w:pPr>
      <w:spacing w:line="360" w:lineRule="auto"/>
      <w:jc w:val="center"/>
    </w:pPr>
    <w:rPr>
      <w:rFonts w:ascii="黑体" w:eastAsia="黑体"/>
      <w:bCs/>
      <w:sz w:val="28"/>
      <w:szCs w:val="28"/>
    </w:rPr>
  </w:style>
  <w:style w:type="paragraph" w:customStyle="1" w:styleId="3523">
    <w:name w:val="样式 燕山正文 + 首行缩进:  3.5 字符23"/>
    <w:basedOn w:val="af3"/>
    <w:rsid w:val="009964C3"/>
    <w:pPr>
      <w:tabs>
        <w:tab w:val="left" w:pos="4680"/>
      </w:tabs>
      <w:adjustRightInd w:val="0"/>
      <w:snapToGrid w:val="0"/>
      <w:spacing w:line="360" w:lineRule="auto"/>
      <w:ind w:firstLineChars="200" w:firstLine="200"/>
    </w:pPr>
    <w:rPr>
      <w:rFonts w:ascii="宋体" w:hAnsi="宋体" w:cs="宋体"/>
      <w:color w:val="000000"/>
      <w:sz w:val="28"/>
      <w:szCs w:val="20"/>
    </w:rPr>
  </w:style>
  <w:style w:type="paragraph" w:customStyle="1" w:styleId="930">
    <w:name w:val="页眉中93"/>
    <w:basedOn w:val="af3"/>
    <w:rsid w:val="009964C3"/>
    <w:pPr>
      <w:adjustRightInd w:val="0"/>
      <w:snapToGrid w:val="0"/>
      <w:spacing w:line="300" w:lineRule="auto"/>
      <w:jc w:val="left"/>
    </w:pPr>
    <w:rPr>
      <w:rFonts w:ascii="黑体" w:eastAsia="黑体"/>
      <w:bCs/>
      <w:sz w:val="24"/>
      <w:szCs w:val="20"/>
    </w:rPr>
  </w:style>
  <w:style w:type="paragraph" w:customStyle="1" w:styleId="xl121">
    <w:name w:val="xl121"/>
    <w:basedOn w:val="af3"/>
    <w:semiHidden/>
    <w:rsid w:val="009964C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kern w:val="0"/>
      <w:sz w:val="20"/>
      <w:szCs w:val="20"/>
    </w:rPr>
  </w:style>
  <w:style w:type="paragraph" w:customStyle="1" w:styleId="035">
    <w:name w:val="样式 表头 + 加宽量  0.35 磅"/>
    <w:basedOn w:val="af3"/>
    <w:rsid w:val="009964C3"/>
    <w:pPr>
      <w:overflowPunct w:val="0"/>
      <w:autoSpaceDE w:val="0"/>
      <w:autoSpaceDN w:val="0"/>
      <w:adjustRightInd w:val="0"/>
      <w:spacing w:before="60"/>
      <w:jc w:val="center"/>
      <w:textAlignment w:val="baseline"/>
    </w:pPr>
    <w:rPr>
      <w:rFonts w:eastAsia="黑体"/>
      <w:color w:val="000000"/>
      <w:kern w:val="0"/>
      <w:sz w:val="24"/>
    </w:rPr>
  </w:style>
  <w:style w:type="paragraph" w:customStyle="1" w:styleId="359">
    <w:name w:val="样式 燕山正文 + 首行缩进:  3.5 字符"/>
    <w:basedOn w:val="affffffffb"/>
    <w:rsid w:val="009964C3"/>
    <w:pPr>
      <w:ind w:firstLine="560"/>
    </w:pPr>
    <w:rPr>
      <w:bCs w:val="0"/>
      <w:sz w:val="28"/>
      <w:szCs w:val="20"/>
    </w:rPr>
  </w:style>
  <w:style w:type="paragraph" w:customStyle="1" w:styleId="11f4">
    <w:name w:val="样式11"/>
    <w:basedOn w:val="af3"/>
    <w:rsid w:val="009964C3"/>
    <w:pPr>
      <w:adjustRightInd w:val="0"/>
      <w:snapToGrid w:val="0"/>
      <w:spacing w:line="300" w:lineRule="auto"/>
      <w:jc w:val="center"/>
      <w:textAlignment w:val="baseline"/>
    </w:pPr>
    <w:rPr>
      <w:rFonts w:ascii="仿宋_GB2312" w:eastAsia="仿宋_GB2312" w:hAnsi="Courier New"/>
      <w:b/>
      <w:kern w:val="0"/>
      <w:sz w:val="28"/>
      <w:szCs w:val="20"/>
    </w:rPr>
  </w:style>
  <w:style w:type="paragraph" w:customStyle="1" w:styleId="2fffff6">
    <w:name w:val="表内序号2"/>
    <w:basedOn w:val="af3"/>
    <w:rsid w:val="009964C3"/>
    <w:pPr>
      <w:widowControl/>
      <w:tabs>
        <w:tab w:val="left" w:pos="840"/>
      </w:tabs>
      <w:adjustRightInd w:val="0"/>
      <w:snapToGrid w:val="0"/>
      <w:spacing w:line="360" w:lineRule="auto"/>
      <w:ind w:left="840" w:hanging="840"/>
    </w:pPr>
    <w:rPr>
      <w:kern w:val="0"/>
      <w:sz w:val="18"/>
      <w:szCs w:val="20"/>
    </w:rPr>
  </w:style>
  <w:style w:type="paragraph" w:customStyle="1" w:styleId="2115">
    <w:name w:val="样式 正文文本缩进特点标题正文文字 21 + (中文) 宋体 五号 居中 行距: 固定值 15 磅"/>
    <w:basedOn w:val="afffffff4"/>
    <w:qFormat/>
    <w:rsid w:val="009964C3"/>
    <w:pPr>
      <w:tabs>
        <w:tab w:val="clear" w:pos="4305"/>
      </w:tabs>
      <w:overflowPunct w:val="0"/>
      <w:autoSpaceDE w:val="0"/>
      <w:autoSpaceDN w:val="0"/>
      <w:snapToGrid/>
      <w:spacing w:after="120" w:line="300" w:lineRule="exact"/>
      <w:ind w:leftChars="-50" w:left="-120" w:rightChars="-50" w:right="-120" w:firstLine="0"/>
      <w:jc w:val="center"/>
      <w:textAlignment w:val="baseline"/>
    </w:pPr>
    <w:rPr>
      <w:rFonts w:ascii="Times New Roman" w:hAnsi="Times New Roman"/>
      <w:color w:val="auto"/>
      <w:kern w:val="0"/>
      <w:sz w:val="21"/>
      <w:szCs w:val="20"/>
    </w:rPr>
  </w:style>
  <w:style w:type="paragraph" w:customStyle="1" w:styleId="54b">
    <w:name w:val="表内宋5中4"/>
    <w:basedOn w:val="af3"/>
    <w:rsid w:val="009964C3"/>
    <w:pPr>
      <w:adjustRightInd w:val="0"/>
      <w:snapToGrid w:val="0"/>
      <w:jc w:val="center"/>
      <w:textAlignment w:val="baseline"/>
    </w:pPr>
    <w:rPr>
      <w:rFonts w:ascii="宋体" w:hAnsi="宋体"/>
      <w:kern w:val="0"/>
      <w:szCs w:val="20"/>
    </w:rPr>
  </w:style>
  <w:style w:type="paragraph" w:customStyle="1" w:styleId="11110">
    <w:name w:val="样式 样式 标题 1 + 段后: 1 行1 + 段后: 1 行"/>
    <w:basedOn w:val="1114"/>
    <w:rsid w:val="009964C3"/>
  </w:style>
  <w:style w:type="paragraph" w:customStyle="1" w:styleId="12f3">
    <w:name w:val="页眉中12"/>
    <w:basedOn w:val="af3"/>
    <w:rsid w:val="009964C3"/>
    <w:pPr>
      <w:adjustRightInd w:val="0"/>
      <w:snapToGrid w:val="0"/>
      <w:spacing w:line="300" w:lineRule="auto"/>
      <w:jc w:val="left"/>
    </w:pPr>
    <w:rPr>
      <w:rFonts w:ascii="黑体" w:eastAsia="黑体"/>
      <w:bCs/>
      <w:sz w:val="24"/>
      <w:szCs w:val="20"/>
    </w:rPr>
  </w:style>
  <w:style w:type="paragraph" w:customStyle="1" w:styleId="09215">
    <w:name w:val="样式 (中文) 黑体 小四 加粗 黑色 居中 首行缩进:  0.92 厘米 行距: 1.5 倍行距"/>
    <w:basedOn w:val="af3"/>
    <w:rsid w:val="009964C3"/>
    <w:pPr>
      <w:overflowPunct w:val="0"/>
      <w:autoSpaceDE w:val="0"/>
      <w:autoSpaceDN w:val="0"/>
      <w:adjustRightInd w:val="0"/>
      <w:snapToGrid w:val="0"/>
      <w:spacing w:line="360" w:lineRule="auto"/>
      <w:ind w:firstLine="521"/>
      <w:jc w:val="center"/>
      <w:textAlignment w:val="baseline"/>
    </w:pPr>
    <w:rPr>
      <w:rFonts w:eastAsia="黑体"/>
      <w:bCs/>
      <w:color w:val="000000"/>
      <w:kern w:val="0"/>
      <w:sz w:val="24"/>
      <w:szCs w:val="20"/>
    </w:rPr>
  </w:style>
  <w:style w:type="paragraph" w:customStyle="1" w:styleId="51f1">
    <w:name w:val="表内文字小51"/>
    <w:basedOn w:val="af3"/>
    <w:rsid w:val="009964C3"/>
    <w:pPr>
      <w:adjustRightInd w:val="0"/>
      <w:snapToGrid w:val="0"/>
      <w:jc w:val="center"/>
    </w:pPr>
    <w:rPr>
      <w:rFonts w:ascii="宋体" w:hAnsi="Times"/>
      <w:szCs w:val="20"/>
    </w:rPr>
  </w:style>
  <w:style w:type="paragraph" w:customStyle="1" w:styleId="affffffffffffffffffffffffffd">
    <w:name w:val="中间小标题"/>
    <w:basedOn w:val="af3"/>
    <w:semiHidden/>
    <w:rsid w:val="009964C3"/>
    <w:pPr>
      <w:tabs>
        <w:tab w:val="left" w:pos="5327"/>
        <w:tab w:val="left" w:pos="6326"/>
        <w:tab w:val="left" w:pos="7230"/>
        <w:tab w:val="left" w:pos="9301"/>
      </w:tabs>
      <w:adjustRightInd w:val="0"/>
      <w:spacing w:before="120"/>
      <w:ind w:firstLineChars="200" w:firstLine="200"/>
      <w:jc w:val="left"/>
      <w:textAlignment w:val="baseline"/>
    </w:pPr>
    <w:rPr>
      <w:rFonts w:ascii="Arial Narrow" w:eastAsia="仿宋_GB2312" w:hAnsi="Arial Narrow"/>
      <w:bCs/>
      <w:kern w:val="24"/>
      <w:sz w:val="24"/>
    </w:rPr>
  </w:style>
  <w:style w:type="paragraph" w:customStyle="1" w:styleId="51f2">
    <w:name w:val="样式 表内5 + (符号) 宋体 两端对齐 行距: 单倍行距1"/>
    <w:basedOn w:val="af3"/>
    <w:rsid w:val="009964C3"/>
    <w:pPr>
      <w:adjustRightInd w:val="0"/>
      <w:snapToGrid w:val="0"/>
      <w:jc w:val="center"/>
    </w:pPr>
    <w:rPr>
      <w:rFonts w:ascii="宋体" w:hAnsi="宋体" w:cs="宋体"/>
      <w:kern w:val="0"/>
      <w:szCs w:val="20"/>
    </w:rPr>
  </w:style>
  <w:style w:type="paragraph" w:customStyle="1" w:styleId="CUCD-C">
    <w:name w:val="CUCD-C"/>
    <w:next w:val="CUCD-00"/>
    <w:semiHidden/>
    <w:rsid w:val="009964C3"/>
    <w:pPr>
      <w:jc w:val="both"/>
      <w:outlineLvl w:val="2"/>
    </w:pPr>
    <w:rPr>
      <w:rFonts w:ascii="Arial" w:eastAsia="黑体" w:hAnsi="Arial"/>
      <w:b/>
      <w:kern w:val="2"/>
      <w:sz w:val="28"/>
      <w:szCs w:val="28"/>
    </w:rPr>
  </w:style>
  <w:style w:type="paragraph" w:customStyle="1" w:styleId="1133">
    <w:name w:val="页眉中113"/>
    <w:basedOn w:val="af3"/>
    <w:rsid w:val="009964C3"/>
    <w:pPr>
      <w:adjustRightInd w:val="0"/>
      <w:snapToGrid w:val="0"/>
      <w:spacing w:line="300" w:lineRule="auto"/>
      <w:jc w:val="left"/>
    </w:pPr>
    <w:rPr>
      <w:rFonts w:ascii="黑体" w:eastAsia="黑体" w:hAnsi="宋体"/>
      <w:sz w:val="24"/>
    </w:rPr>
  </w:style>
  <w:style w:type="paragraph" w:customStyle="1" w:styleId="5311">
    <w:name w:val="表内5中31"/>
    <w:basedOn w:val="af3"/>
    <w:rsid w:val="009964C3"/>
    <w:pPr>
      <w:adjustRightInd w:val="0"/>
      <w:snapToGrid w:val="0"/>
      <w:jc w:val="center"/>
    </w:pPr>
    <w:rPr>
      <w:rFonts w:ascii="宋体"/>
    </w:rPr>
  </w:style>
  <w:style w:type="paragraph" w:customStyle="1" w:styleId="Char1CharChar0">
    <w:name w:val="段落 Char1 Char Char"/>
    <w:basedOn w:val="af3"/>
    <w:rsid w:val="009964C3"/>
    <w:pPr>
      <w:tabs>
        <w:tab w:val="left" w:pos="1021"/>
        <w:tab w:val="left" w:pos="4232"/>
      </w:tabs>
      <w:adjustRightInd w:val="0"/>
      <w:spacing w:line="317" w:lineRule="auto"/>
      <w:ind w:firstLineChars="200" w:firstLine="480"/>
    </w:pPr>
    <w:rPr>
      <w:snapToGrid w:val="0"/>
      <w:kern w:val="24"/>
      <w:sz w:val="24"/>
    </w:rPr>
  </w:style>
  <w:style w:type="paragraph" w:customStyle="1" w:styleId="31d">
    <w:name w:val="表内文字大31"/>
    <w:basedOn w:val="af3"/>
    <w:rsid w:val="009964C3"/>
    <w:pPr>
      <w:adjustRightInd w:val="0"/>
      <w:snapToGrid w:val="0"/>
      <w:jc w:val="center"/>
    </w:pPr>
    <w:rPr>
      <w:rFonts w:ascii="宋体" w:hAnsi="Times"/>
      <w:sz w:val="24"/>
      <w:szCs w:val="20"/>
    </w:rPr>
  </w:style>
  <w:style w:type="paragraph" w:customStyle="1" w:styleId="affffffffffffffffffffffffffe">
    <w:name w:val="报告书"/>
    <w:basedOn w:val="af3"/>
    <w:semiHidden/>
    <w:rsid w:val="009964C3"/>
    <w:pPr>
      <w:spacing w:line="360" w:lineRule="auto"/>
      <w:ind w:firstLineChars="200" w:firstLine="482"/>
    </w:pPr>
    <w:rPr>
      <w:sz w:val="24"/>
    </w:rPr>
  </w:style>
  <w:style w:type="paragraph" w:customStyle="1" w:styleId="1021">
    <w:name w:val="表题102"/>
    <w:basedOn w:val="af4"/>
    <w:rsid w:val="009964C3"/>
    <w:pPr>
      <w:ind w:firstLineChars="0" w:firstLine="0"/>
      <w:jc w:val="center"/>
    </w:pPr>
    <w:rPr>
      <w:rFonts w:ascii="黑体" w:eastAsia="黑体"/>
      <w:sz w:val="24"/>
      <w:szCs w:val="24"/>
    </w:rPr>
  </w:style>
  <w:style w:type="paragraph" w:customStyle="1" w:styleId="5222">
    <w:name w:val="表内宋522"/>
    <w:basedOn w:val="5f9"/>
    <w:rsid w:val="009964C3"/>
    <w:pPr>
      <w:jc w:val="both"/>
    </w:pPr>
  </w:style>
  <w:style w:type="paragraph" w:customStyle="1" w:styleId="1011">
    <w:name w:val="页眉中101"/>
    <w:basedOn w:val="af3"/>
    <w:qFormat/>
    <w:rsid w:val="009964C3"/>
    <w:pPr>
      <w:adjustRightInd w:val="0"/>
      <w:snapToGrid w:val="0"/>
      <w:spacing w:line="300" w:lineRule="auto"/>
      <w:jc w:val="left"/>
    </w:pPr>
    <w:rPr>
      <w:rFonts w:ascii="黑体" w:eastAsia="黑体"/>
      <w:bCs/>
      <w:sz w:val="24"/>
      <w:szCs w:val="20"/>
    </w:rPr>
  </w:style>
  <w:style w:type="paragraph" w:customStyle="1" w:styleId="10c">
    <w:name w:val="图题10"/>
    <w:basedOn w:val="af4"/>
    <w:rsid w:val="009964C3"/>
    <w:pPr>
      <w:tabs>
        <w:tab w:val="left" w:pos="5837"/>
      </w:tabs>
      <w:adjustRightInd w:val="0"/>
      <w:snapToGrid w:val="0"/>
      <w:ind w:firstLineChars="0" w:firstLine="0"/>
      <w:jc w:val="center"/>
    </w:pPr>
    <w:rPr>
      <w:rFonts w:ascii="方正大标宋简体" w:eastAsia="方正大标宋简体" w:hAnsi="宋体" w:cs="宋体"/>
      <w:b/>
      <w:sz w:val="24"/>
      <w:szCs w:val="24"/>
    </w:rPr>
  </w:style>
  <w:style w:type="paragraph" w:customStyle="1" w:styleId="1690">
    <w:name w:val="表标题16.9"/>
    <w:basedOn w:val="af3"/>
    <w:rsid w:val="009964C3"/>
    <w:pPr>
      <w:tabs>
        <w:tab w:val="left" w:pos="2444"/>
        <w:tab w:val="center" w:pos="4060"/>
        <w:tab w:val="right" w:pos="8261"/>
      </w:tabs>
      <w:suppressAutoHyphens/>
      <w:adjustRightInd w:val="0"/>
      <w:spacing w:before="240" w:line="0" w:lineRule="atLeast"/>
      <w:ind w:left="1720" w:firstLine="4"/>
    </w:pPr>
    <w:rPr>
      <w:rFonts w:ascii="黑体" w:eastAsia="黑体"/>
      <w:b/>
      <w:spacing w:val="6"/>
      <w:kern w:val="0"/>
      <w:sz w:val="26"/>
      <w:szCs w:val="26"/>
    </w:rPr>
  </w:style>
  <w:style w:type="paragraph" w:customStyle="1" w:styleId="257">
    <w:name w:val="页眉中25"/>
    <w:basedOn w:val="af3"/>
    <w:rsid w:val="009964C3"/>
    <w:pPr>
      <w:adjustRightInd w:val="0"/>
      <w:snapToGrid w:val="0"/>
      <w:jc w:val="center"/>
    </w:pPr>
    <w:rPr>
      <w:rFonts w:ascii="黑体" w:eastAsia="黑体"/>
      <w:bCs/>
      <w:szCs w:val="20"/>
    </w:rPr>
  </w:style>
  <w:style w:type="paragraph" w:customStyle="1" w:styleId="722">
    <w:name w:val="页眉中72"/>
    <w:basedOn w:val="af3"/>
    <w:rsid w:val="009964C3"/>
    <w:pPr>
      <w:adjustRightInd w:val="0"/>
      <w:snapToGrid w:val="0"/>
      <w:spacing w:line="300" w:lineRule="auto"/>
      <w:jc w:val="left"/>
    </w:pPr>
    <w:rPr>
      <w:rFonts w:ascii="黑体" w:eastAsia="黑体"/>
      <w:bCs/>
      <w:sz w:val="24"/>
      <w:szCs w:val="20"/>
    </w:rPr>
  </w:style>
  <w:style w:type="paragraph" w:customStyle="1" w:styleId="20520">
    <w:name w:val="样式 标题 2 + 段后: 0.5 行2"/>
    <w:basedOn w:val="22"/>
    <w:rsid w:val="009964C3"/>
    <w:pPr>
      <w:widowControl/>
      <w:autoSpaceDN w:val="0"/>
      <w:adjustRightInd w:val="0"/>
      <w:snapToGrid w:val="0"/>
      <w:spacing w:before="120" w:after="0" w:line="360" w:lineRule="auto"/>
      <w:jc w:val="left"/>
      <w:textAlignment w:val="baseline"/>
    </w:pPr>
    <w:rPr>
      <w:rFonts w:ascii="黑体" w:cs="宋体"/>
      <w:b w:val="0"/>
      <w:bCs w:val="0"/>
      <w:kern w:val="0"/>
      <w:sz w:val="30"/>
      <w:szCs w:val="30"/>
    </w:rPr>
  </w:style>
  <w:style w:type="paragraph" w:customStyle="1" w:styleId="813">
    <w:name w:val="表题81"/>
    <w:basedOn w:val="afffffff4"/>
    <w:rsid w:val="009964C3"/>
    <w:pPr>
      <w:spacing w:line="240" w:lineRule="auto"/>
      <w:ind w:firstLine="0"/>
      <w:jc w:val="center"/>
    </w:pPr>
    <w:rPr>
      <w:rFonts w:ascii="黑体" w:eastAsia="黑体" w:cs="Times New Roman"/>
      <w:color w:val="auto"/>
      <w:szCs w:val="20"/>
    </w:rPr>
  </w:style>
  <w:style w:type="paragraph" w:customStyle="1" w:styleId="346">
    <w:name w:val="表题34"/>
    <w:basedOn w:val="afffffff4"/>
    <w:rsid w:val="009964C3"/>
    <w:pPr>
      <w:spacing w:line="240" w:lineRule="auto"/>
      <w:ind w:firstLine="0"/>
      <w:jc w:val="center"/>
    </w:pPr>
    <w:rPr>
      <w:rFonts w:cs="Times New Roman"/>
      <w:color w:val="auto"/>
      <w:szCs w:val="20"/>
    </w:rPr>
  </w:style>
  <w:style w:type="paragraph" w:customStyle="1" w:styleId="Charffff1">
    <w:name w:val="表头 + 带序号 Char"/>
    <w:basedOn w:val="af3"/>
    <w:link w:val="CharCharf8"/>
    <w:semiHidden/>
    <w:rsid w:val="009964C3"/>
    <w:pPr>
      <w:spacing w:line="360" w:lineRule="auto"/>
      <w:jc w:val="center"/>
    </w:pPr>
    <w:rPr>
      <w:b/>
      <w:bCs/>
      <w:sz w:val="28"/>
      <w:szCs w:val="21"/>
    </w:rPr>
  </w:style>
  <w:style w:type="paragraph" w:customStyle="1" w:styleId="52f3">
    <w:name w:val="页眉中52"/>
    <w:basedOn w:val="af3"/>
    <w:qFormat/>
    <w:rsid w:val="009964C3"/>
    <w:pPr>
      <w:adjustRightInd w:val="0"/>
      <w:snapToGrid w:val="0"/>
      <w:spacing w:line="300" w:lineRule="auto"/>
      <w:jc w:val="center"/>
    </w:pPr>
    <w:rPr>
      <w:rFonts w:ascii="黑体" w:eastAsia="黑体"/>
      <w:bCs/>
      <w:sz w:val="24"/>
      <w:szCs w:val="20"/>
    </w:rPr>
  </w:style>
  <w:style w:type="paragraph" w:customStyle="1" w:styleId="4fff">
    <w:name w:val="燕山正文4"/>
    <w:basedOn w:val="af3"/>
    <w:rsid w:val="009964C3"/>
    <w:pPr>
      <w:tabs>
        <w:tab w:val="left" w:pos="4680"/>
      </w:tabs>
      <w:adjustRightInd w:val="0"/>
      <w:snapToGrid w:val="0"/>
      <w:spacing w:line="360" w:lineRule="auto"/>
      <w:ind w:firstLineChars="200" w:firstLine="200"/>
      <w:jc w:val="left"/>
    </w:pPr>
    <w:rPr>
      <w:rFonts w:ascii="宋体" w:hAnsi="宋体" w:cs="宋体"/>
      <w:color w:val="000000"/>
      <w:sz w:val="28"/>
      <w:szCs w:val="28"/>
    </w:rPr>
  </w:style>
  <w:style w:type="paragraph" w:customStyle="1" w:styleId="51f3">
    <w:name w:val="图题51"/>
    <w:basedOn w:val="af4"/>
    <w:rsid w:val="009964C3"/>
    <w:pPr>
      <w:adjustRightInd w:val="0"/>
      <w:snapToGrid w:val="0"/>
      <w:ind w:firstLineChars="0" w:firstLine="0"/>
      <w:jc w:val="center"/>
    </w:pPr>
    <w:rPr>
      <w:rFonts w:ascii="方正大标宋简体" w:eastAsia="方正大标宋简体" w:hAnsi="宋体"/>
      <w:b/>
      <w:sz w:val="24"/>
      <w:szCs w:val="24"/>
    </w:rPr>
  </w:style>
  <w:style w:type="paragraph" w:customStyle="1" w:styleId="1102">
    <w:name w:val="页眉中110"/>
    <w:basedOn w:val="4a"/>
    <w:rsid w:val="009964C3"/>
    <w:pPr>
      <w:snapToGrid w:val="0"/>
      <w:spacing w:line="300" w:lineRule="auto"/>
      <w:textAlignment w:val="auto"/>
    </w:pPr>
    <w:rPr>
      <w:rFonts w:ascii="黑体" w:eastAsia="黑体" w:hAnsi="宋体" w:cs="宋体"/>
    </w:rPr>
  </w:style>
  <w:style w:type="paragraph" w:customStyle="1" w:styleId="3140">
    <w:name w:val="页眉中314"/>
    <w:basedOn w:val="af3"/>
    <w:rsid w:val="009964C3"/>
    <w:pPr>
      <w:adjustRightInd w:val="0"/>
      <w:snapToGrid w:val="0"/>
      <w:spacing w:line="360" w:lineRule="auto"/>
      <w:jc w:val="center"/>
    </w:pPr>
    <w:rPr>
      <w:rFonts w:ascii="黑体" w:eastAsia="黑体"/>
      <w:bCs/>
      <w:sz w:val="24"/>
      <w:szCs w:val="28"/>
    </w:rPr>
  </w:style>
  <w:style w:type="paragraph" w:customStyle="1" w:styleId="2CharCharCharCharCharCharCharCharChar1CharCharChar1CharCharCharChar">
    <w:name w:val="2 Char Char Char Char Char Char Char Char Char1 Char Char Char1 Char Char Char Char"/>
    <w:basedOn w:val="affff7"/>
    <w:semiHidden/>
    <w:rsid w:val="009964C3"/>
    <w:rPr>
      <w:sz w:val="28"/>
      <w:szCs w:val="20"/>
    </w:rPr>
  </w:style>
  <w:style w:type="paragraph" w:customStyle="1" w:styleId="3220">
    <w:name w:val="样式 表格 32 + 首行缩进:  2 字符"/>
    <w:basedOn w:val="af3"/>
    <w:rsid w:val="009964C3"/>
    <w:pPr>
      <w:autoSpaceDE w:val="0"/>
      <w:autoSpaceDN w:val="0"/>
      <w:adjustRightInd w:val="0"/>
      <w:spacing w:line="0" w:lineRule="atLeast"/>
      <w:jc w:val="center"/>
      <w:textAlignment w:val="baseline"/>
    </w:pPr>
    <w:rPr>
      <w:rFonts w:cs="宋体"/>
      <w:kern w:val="0"/>
      <w:szCs w:val="21"/>
    </w:rPr>
  </w:style>
  <w:style w:type="paragraph" w:customStyle="1" w:styleId="4102">
    <w:name w:val="样式 标题 4段条款 + 字距调整10 磅2"/>
    <w:basedOn w:val="43"/>
    <w:qFormat/>
    <w:rsid w:val="009964C3"/>
    <w:pPr>
      <w:spacing w:before="0" w:after="0" w:line="377" w:lineRule="auto"/>
    </w:pPr>
    <w:rPr>
      <w:kern w:val="20"/>
    </w:rPr>
  </w:style>
  <w:style w:type="paragraph" w:customStyle="1" w:styleId="afffffffffffffffffffffffffff">
    <w:name w:val="封面日期"/>
    <w:basedOn w:val="af3"/>
    <w:semiHidden/>
    <w:rsid w:val="009964C3"/>
    <w:pPr>
      <w:spacing w:line="400" w:lineRule="exact"/>
      <w:jc w:val="center"/>
    </w:pPr>
    <w:rPr>
      <w:rFonts w:eastAsia="仿宋_GB2312"/>
      <w:sz w:val="24"/>
      <w:szCs w:val="20"/>
    </w:rPr>
  </w:style>
  <w:style w:type="paragraph" w:customStyle="1" w:styleId="3fffe">
    <w:name w:val="福建正文缩进3"/>
    <w:basedOn w:val="af4"/>
    <w:rsid w:val="009964C3"/>
    <w:pPr>
      <w:autoSpaceDE w:val="0"/>
      <w:autoSpaceDN w:val="0"/>
      <w:adjustRightInd w:val="0"/>
      <w:snapToGrid w:val="0"/>
      <w:spacing w:line="360" w:lineRule="auto"/>
      <w:ind w:firstLineChars="0" w:firstLine="539"/>
    </w:pPr>
    <w:rPr>
      <w:rFonts w:ascii="宋体" w:hAnsi="宋体"/>
      <w:b/>
      <w:sz w:val="24"/>
      <w:szCs w:val="24"/>
    </w:rPr>
  </w:style>
  <w:style w:type="paragraph" w:customStyle="1" w:styleId="1ffffffa">
    <w:name w:val="需要资料1"/>
    <w:basedOn w:val="af3"/>
    <w:rsid w:val="009964C3"/>
    <w:pPr>
      <w:adjustRightInd w:val="0"/>
      <w:snapToGrid w:val="0"/>
      <w:spacing w:line="360" w:lineRule="auto"/>
      <w:ind w:firstLineChars="200" w:firstLine="480"/>
    </w:pPr>
    <w:rPr>
      <w:rFonts w:ascii="黑体" w:eastAsia="黑体"/>
      <w:color w:val="0000FF"/>
      <w:sz w:val="24"/>
    </w:rPr>
  </w:style>
  <w:style w:type="paragraph" w:customStyle="1" w:styleId="12f4">
    <w:name w:val="等核实12"/>
    <w:basedOn w:val="afffffff4"/>
    <w:rsid w:val="009964C3"/>
    <w:pPr>
      <w:ind w:firstLine="567"/>
    </w:pPr>
    <w:rPr>
      <w:rFonts w:cs="Times New Roman"/>
      <w:color w:val="0000FF"/>
      <w:szCs w:val="20"/>
    </w:rPr>
  </w:style>
  <w:style w:type="paragraph" w:customStyle="1" w:styleId="51020">
    <w:name w:val="表内5102"/>
    <w:basedOn w:val="5f2"/>
    <w:rsid w:val="009964C3"/>
    <w:pPr>
      <w:jc w:val="both"/>
    </w:pPr>
    <w:rPr>
      <w:szCs w:val="24"/>
    </w:rPr>
  </w:style>
  <w:style w:type="paragraph" w:customStyle="1" w:styleId="Char34">
    <w:name w:val="Char3"/>
    <w:basedOn w:val="af3"/>
    <w:rsid w:val="009964C3"/>
    <w:pPr>
      <w:ind w:left="-48"/>
    </w:pPr>
  </w:style>
  <w:style w:type="paragraph" w:customStyle="1" w:styleId="0a">
    <w:name w:val="0正文"/>
    <w:basedOn w:val="af3"/>
    <w:semiHidden/>
    <w:rsid w:val="009964C3"/>
    <w:pPr>
      <w:spacing w:line="480" w:lineRule="exact"/>
      <w:ind w:firstLineChars="200" w:firstLine="561"/>
    </w:pPr>
    <w:rPr>
      <w:rFonts w:eastAsia="仿宋_GB2312"/>
      <w:sz w:val="28"/>
      <w:szCs w:val="20"/>
    </w:rPr>
  </w:style>
  <w:style w:type="paragraph" w:customStyle="1" w:styleId="4fff0">
    <w:name w:val="样式 标题 4段 + 左"/>
    <w:basedOn w:val="43"/>
    <w:rsid w:val="009964C3"/>
    <w:pPr>
      <w:keepNext w:val="0"/>
      <w:keepLines w:val="0"/>
      <w:tabs>
        <w:tab w:val="left" w:pos="0"/>
        <w:tab w:val="left" w:pos="960"/>
      </w:tabs>
      <w:spacing w:before="0" w:after="0" w:line="440" w:lineRule="exact"/>
      <w:ind w:left="862" w:hanging="862"/>
      <w:jc w:val="left"/>
    </w:pPr>
    <w:rPr>
      <w:rFonts w:ascii="黑体" w:eastAsia="宋体" w:hAnsi="Times New Roman" w:cs="宋体"/>
      <w:b w:val="0"/>
      <w:bCs w:val="0"/>
      <w:color w:val="000000"/>
      <w:sz w:val="24"/>
      <w:szCs w:val="24"/>
    </w:rPr>
  </w:style>
  <w:style w:type="paragraph" w:customStyle="1" w:styleId="30505">
    <w:name w:val="样式 标题 3 + 段前: 0.5 行 段后: 0.5 行"/>
    <w:basedOn w:val="31"/>
    <w:rsid w:val="009964C3"/>
    <w:pPr>
      <w:tabs>
        <w:tab w:val="left" w:pos="-700"/>
      </w:tabs>
      <w:spacing w:beforeLines="50" w:afterLines="50" w:line="500" w:lineRule="exact"/>
      <w:ind w:left="-700"/>
    </w:pPr>
    <w:rPr>
      <w:rFonts w:ascii="华文中宋" w:hAnsi="华文中宋" w:cs="宋体"/>
      <w:color w:val="000000"/>
      <w:sz w:val="24"/>
      <w:szCs w:val="20"/>
    </w:rPr>
  </w:style>
  <w:style w:type="paragraph" w:customStyle="1" w:styleId="5125">
    <w:name w:val="表内512"/>
    <w:basedOn w:val="af3"/>
    <w:rsid w:val="009964C3"/>
    <w:pPr>
      <w:adjustRightInd w:val="0"/>
      <w:snapToGrid w:val="0"/>
      <w:spacing w:line="300" w:lineRule="auto"/>
      <w:jc w:val="left"/>
    </w:pPr>
    <w:rPr>
      <w:rFonts w:ascii="宋体" w:hAnsi="宋体" w:cs="宋体"/>
      <w:szCs w:val="20"/>
    </w:rPr>
  </w:style>
  <w:style w:type="paragraph" w:customStyle="1" w:styleId="CompanyName">
    <w:name w:val="Company Name"/>
    <w:basedOn w:val="af3"/>
    <w:next w:val="af3"/>
    <w:rsid w:val="009964C3"/>
    <w:pPr>
      <w:widowControl/>
      <w:tabs>
        <w:tab w:val="left" w:pos="2160"/>
        <w:tab w:val="right" w:pos="6480"/>
      </w:tabs>
      <w:spacing w:before="220" w:after="40" w:line="220" w:lineRule="atLeast"/>
      <w:ind w:right="-360"/>
      <w:jc w:val="left"/>
    </w:pPr>
    <w:rPr>
      <w:kern w:val="0"/>
      <w:sz w:val="20"/>
      <w:szCs w:val="20"/>
    </w:rPr>
  </w:style>
  <w:style w:type="paragraph" w:customStyle="1" w:styleId="1121">
    <w:name w:val="正文112"/>
    <w:basedOn w:val="af3"/>
    <w:qFormat/>
    <w:rsid w:val="009964C3"/>
    <w:pPr>
      <w:adjustRightInd w:val="0"/>
      <w:snapToGrid w:val="0"/>
      <w:spacing w:after="120"/>
      <w:jc w:val="center"/>
      <w:textAlignment w:val="baseline"/>
    </w:pPr>
    <w:rPr>
      <w:kern w:val="0"/>
      <w:sz w:val="18"/>
      <w:szCs w:val="20"/>
    </w:rPr>
  </w:style>
  <w:style w:type="paragraph" w:customStyle="1" w:styleId="566">
    <w:name w:val="表内宋5中6"/>
    <w:basedOn w:val="af3"/>
    <w:rsid w:val="009964C3"/>
    <w:pPr>
      <w:adjustRightInd w:val="0"/>
      <w:snapToGrid w:val="0"/>
      <w:jc w:val="center"/>
      <w:textAlignment w:val="baseline"/>
    </w:pPr>
    <w:rPr>
      <w:rFonts w:ascii="宋体" w:hAnsi="宋体" w:cs="宋体"/>
      <w:kern w:val="0"/>
      <w:szCs w:val="20"/>
    </w:rPr>
  </w:style>
  <w:style w:type="paragraph" w:customStyle="1" w:styleId="Char121">
    <w:name w:val="Char121"/>
    <w:basedOn w:val="af3"/>
    <w:rsid w:val="009964C3"/>
    <w:pPr>
      <w:ind w:left="-48"/>
    </w:pPr>
  </w:style>
  <w:style w:type="paragraph" w:customStyle="1" w:styleId="1ffffffb">
    <w:name w:val="表格内容1"/>
    <w:basedOn w:val="af3"/>
    <w:rsid w:val="009964C3"/>
    <w:pPr>
      <w:adjustRightInd w:val="0"/>
      <w:snapToGrid w:val="0"/>
      <w:jc w:val="center"/>
    </w:pPr>
    <w:rPr>
      <w:snapToGrid w:val="0"/>
      <w:kern w:val="0"/>
    </w:rPr>
  </w:style>
  <w:style w:type="paragraph" w:customStyle="1" w:styleId="afffffffffffffffffffffffffff0">
    <w:name w:val="章名"/>
    <w:basedOn w:val="af3"/>
    <w:next w:val="af4"/>
    <w:semiHidden/>
    <w:rsid w:val="009964C3"/>
    <w:pPr>
      <w:snapToGrid w:val="0"/>
      <w:spacing w:before="240" w:after="60"/>
      <w:jc w:val="center"/>
      <w:outlineLvl w:val="0"/>
    </w:pPr>
    <w:rPr>
      <w:sz w:val="44"/>
      <w:szCs w:val="20"/>
    </w:rPr>
  </w:style>
  <w:style w:type="paragraph" w:customStyle="1" w:styleId="280">
    <w:name w:val="表题28"/>
    <w:basedOn w:val="afffffffff2"/>
    <w:rsid w:val="009964C3"/>
    <w:pPr>
      <w:adjustRightInd w:val="0"/>
      <w:snapToGrid w:val="0"/>
      <w:spacing w:line="300" w:lineRule="auto"/>
      <w:jc w:val="center"/>
    </w:pPr>
    <w:rPr>
      <w:rFonts w:ascii="黑体" w:eastAsia="黑体" w:cs="Times New Roman"/>
      <w:sz w:val="24"/>
      <w:szCs w:val="20"/>
    </w:rPr>
  </w:style>
  <w:style w:type="paragraph" w:customStyle="1" w:styleId="5212">
    <w:name w:val="表内5中21"/>
    <w:basedOn w:val="af3"/>
    <w:rsid w:val="009964C3"/>
    <w:pPr>
      <w:adjustRightInd w:val="0"/>
      <w:snapToGrid w:val="0"/>
      <w:jc w:val="center"/>
    </w:pPr>
    <w:rPr>
      <w:rFonts w:ascii="宋体"/>
      <w:color w:val="000000"/>
      <w:szCs w:val="21"/>
    </w:rPr>
  </w:style>
  <w:style w:type="paragraph" w:customStyle="1" w:styleId="afffffffffffffffffffffffffff1">
    <w:name w:val="正文."/>
    <w:rsid w:val="009964C3"/>
    <w:pPr>
      <w:widowControl w:val="0"/>
      <w:autoSpaceDE w:val="0"/>
      <w:autoSpaceDN w:val="0"/>
      <w:adjustRightInd w:val="0"/>
      <w:jc w:val="both"/>
    </w:pPr>
    <w:rPr>
      <w:rFonts w:ascii="Times New Roman;Symbol;Arial;婼" w:eastAsia="Times New Roman;Symbol;Arial;婼"/>
      <w:sz w:val="21"/>
    </w:rPr>
  </w:style>
  <w:style w:type="paragraph" w:customStyle="1" w:styleId="2fffff7">
    <w:name w:val="首缩2"/>
    <w:basedOn w:val="af3"/>
    <w:rsid w:val="009964C3"/>
    <w:pPr>
      <w:adjustRightInd w:val="0"/>
      <w:snapToGrid w:val="0"/>
      <w:spacing w:line="500" w:lineRule="exact"/>
      <w:ind w:firstLineChars="200" w:firstLine="200"/>
    </w:pPr>
    <w:rPr>
      <w:rFonts w:eastAsia="仿宋_GB2312"/>
      <w:snapToGrid w:val="0"/>
      <w:kern w:val="0"/>
      <w:sz w:val="28"/>
      <w:szCs w:val="20"/>
    </w:rPr>
  </w:style>
  <w:style w:type="paragraph" w:customStyle="1" w:styleId="afffffffffffffffffffffffffff2">
    <w:name w:val="标题居中"/>
    <w:rsid w:val="009964C3"/>
    <w:pPr>
      <w:adjustRightInd w:val="0"/>
      <w:snapToGrid w:val="0"/>
      <w:spacing w:line="480" w:lineRule="atLeast"/>
      <w:jc w:val="center"/>
    </w:pPr>
    <w:rPr>
      <w:rFonts w:ascii="黑体" w:eastAsia="黑体"/>
      <w:snapToGrid w:val="0"/>
      <w:sz w:val="32"/>
    </w:rPr>
  </w:style>
  <w:style w:type="paragraph" w:customStyle="1" w:styleId="11f5">
    <w:name w:val="表内文字小11"/>
    <w:basedOn w:val="af3"/>
    <w:qFormat/>
    <w:rsid w:val="009964C3"/>
    <w:pPr>
      <w:adjustRightInd w:val="0"/>
      <w:snapToGrid w:val="0"/>
      <w:jc w:val="center"/>
    </w:pPr>
    <w:rPr>
      <w:rFonts w:ascii="宋体" w:hAnsi="Times" w:cs="宋体"/>
      <w:szCs w:val="20"/>
    </w:rPr>
  </w:style>
  <w:style w:type="paragraph" w:customStyle="1" w:styleId="2252Char">
    <w:name w:val="样式 样式 样式 样式 正文首行缩进 2 + 首行缩进:  2.5 字符 + 首行缩进:  2 字符 Char + 首行缩进: ..."/>
    <w:basedOn w:val="af3"/>
    <w:semiHidden/>
    <w:rsid w:val="009964C3"/>
    <w:pPr>
      <w:tabs>
        <w:tab w:val="left" w:pos="5765"/>
        <w:tab w:val="left" w:pos="6170"/>
      </w:tabs>
      <w:adjustRightInd w:val="0"/>
      <w:spacing w:line="360" w:lineRule="auto"/>
      <w:ind w:firstLineChars="200" w:firstLine="480"/>
      <w:textAlignment w:val="baseline"/>
    </w:pPr>
    <w:rPr>
      <w:rFonts w:ascii="宋体" w:hAnsi="宋体"/>
      <w:sz w:val="24"/>
      <w:lang w:val="zh-CN"/>
    </w:rPr>
  </w:style>
  <w:style w:type="paragraph" w:customStyle="1" w:styleId="21f4">
    <w:name w:val="图题21"/>
    <w:basedOn w:val="31"/>
    <w:rsid w:val="009964C3"/>
    <w:pPr>
      <w:keepNext w:val="0"/>
      <w:keepLines w:val="0"/>
      <w:adjustRightInd w:val="0"/>
      <w:snapToGrid w:val="0"/>
      <w:spacing w:before="120" w:after="0" w:line="360" w:lineRule="auto"/>
      <w:jc w:val="center"/>
    </w:pPr>
    <w:rPr>
      <w:rFonts w:ascii="黑体" w:eastAsia="黑体" w:hAnsi="宋体" w:cs="宋体"/>
      <w:b w:val="0"/>
      <w:sz w:val="28"/>
      <w:szCs w:val="28"/>
    </w:rPr>
  </w:style>
  <w:style w:type="paragraph" w:customStyle="1" w:styleId="347">
    <w:name w:val="福建正文缩进34"/>
    <w:basedOn w:val="af4"/>
    <w:rsid w:val="009964C3"/>
    <w:pPr>
      <w:autoSpaceDE w:val="0"/>
      <w:autoSpaceDN w:val="0"/>
      <w:adjustRightInd w:val="0"/>
      <w:snapToGrid w:val="0"/>
      <w:spacing w:line="360" w:lineRule="auto"/>
      <w:ind w:firstLineChars="0" w:firstLine="539"/>
    </w:pPr>
    <w:rPr>
      <w:rFonts w:ascii="宋体" w:hAnsi="宋体"/>
      <w:sz w:val="24"/>
      <w:szCs w:val="24"/>
    </w:rPr>
  </w:style>
  <w:style w:type="paragraph" w:customStyle="1" w:styleId="326">
    <w:name w:val="图题32"/>
    <w:basedOn w:val="af4"/>
    <w:rsid w:val="009964C3"/>
    <w:pPr>
      <w:adjustRightInd w:val="0"/>
      <w:snapToGrid w:val="0"/>
      <w:ind w:firstLineChars="0" w:firstLine="0"/>
      <w:jc w:val="center"/>
    </w:pPr>
    <w:rPr>
      <w:rFonts w:ascii="方正大标宋简体" w:eastAsia="方正大标宋简体"/>
      <w:b/>
      <w:sz w:val="24"/>
      <w:szCs w:val="24"/>
    </w:rPr>
  </w:style>
  <w:style w:type="paragraph" w:customStyle="1" w:styleId="afffffffffffffffffffffffffff3">
    <w:name w:val="表下注释"/>
    <w:basedOn w:val="af3"/>
    <w:rsid w:val="009964C3"/>
    <w:pPr>
      <w:keepNext/>
      <w:keepLines/>
      <w:spacing w:before="60" w:after="60" w:line="240" w:lineRule="exact"/>
      <w:ind w:firstLine="200"/>
    </w:pPr>
    <w:rPr>
      <w:rFonts w:eastAsia="仿宋_GB2312"/>
      <w:kern w:val="44"/>
      <w:szCs w:val="20"/>
    </w:rPr>
  </w:style>
  <w:style w:type="paragraph" w:customStyle="1" w:styleId="afffffffffffffffffffffffffff4">
    <w:name w:val="送审稿"/>
    <w:basedOn w:val="af3"/>
    <w:semiHidden/>
    <w:rsid w:val="009964C3"/>
    <w:pPr>
      <w:tabs>
        <w:tab w:val="left" w:pos="1021"/>
      </w:tabs>
      <w:spacing w:line="300" w:lineRule="auto"/>
      <w:jc w:val="center"/>
    </w:pPr>
    <w:rPr>
      <w:rFonts w:cs="宋体"/>
      <w:sz w:val="36"/>
      <w:szCs w:val="20"/>
    </w:rPr>
  </w:style>
  <w:style w:type="paragraph" w:customStyle="1" w:styleId="FooterOdd">
    <w:name w:val="Footer Odd"/>
    <w:basedOn w:val="af3"/>
    <w:semiHidden/>
    <w:rsid w:val="009964C3"/>
    <w:pPr>
      <w:widowControl/>
      <w:pBdr>
        <w:top w:val="single" w:sz="4" w:space="1" w:color="4F81BD"/>
      </w:pBdr>
      <w:spacing w:after="180" w:line="264" w:lineRule="auto"/>
      <w:jc w:val="right"/>
    </w:pPr>
    <w:rPr>
      <w:rFonts w:ascii="Calibri" w:hAnsi="Calibri"/>
      <w:color w:val="1F497D"/>
      <w:kern w:val="0"/>
      <w:sz w:val="20"/>
      <w:szCs w:val="23"/>
    </w:rPr>
  </w:style>
  <w:style w:type="paragraph" w:customStyle="1" w:styleId="15f4">
    <w:name w:val="表题15"/>
    <w:basedOn w:val="afffffff4"/>
    <w:rsid w:val="009964C3"/>
    <w:pPr>
      <w:spacing w:line="240" w:lineRule="auto"/>
      <w:ind w:firstLine="0"/>
      <w:jc w:val="center"/>
    </w:pPr>
    <w:rPr>
      <w:rFonts w:cs="Times New Roman"/>
      <w:color w:val="auto"/>
      <w:szCs w:val="20"/>
    </w:rPr>
  </w:style>
  <w:style w:type="paragraph" w:customStyle="1" w:styleId="4720">
    <w:name w:val="标题472"/>
    <w:basedOn w:val="af3"/>
    <w:rsid w:val="009964C3"/>
    <w:pPr>
      <w:adjustRightInd w:val="0"/>
      <w:snapToGrid w:val="0"/>
      <w:spacing w:line="300" w:lineRule="auto"/>
    </w:pPr>
    <w:rPr>
      <w:rFonts w:ascii="黑体" w:eastAsia="黑体"/>
      <w:sz w:val="24"/>
      <w:szCs w:val="20"/>
    </w:rPr>
  </w:style>
  <w:style w:type="paragraph" w:customStyle="1" w:styleId="4310">
    <w:name w:val="表内小431"/>
    <w:basedOn w:val="affffffffff"/>
    <w:rsid w:val="009964C3"/>
    <w:pPr>
      <w:ind w:left="240" w:hanging="240"/>
      <w:jc w:val="both"/>
    </w:pPr>
    <w:rPr>
      <w:rFonts w:cs="Times New Roman"/>
    </w:rPr>
  </w:style>
  <w:style w:type="paragraph" w:customStyle="1" w:styleId="affffff1">
    <w:name w:val="鑫裕表头"/>
    <w:basedOn w:val="af3"/>
    <w:link w:val="CharCharfa"/>
    <w:rsid w:val="009964C3"/>
    <w:pPr>
      <w:tabs>
        <w:tab w:val="left" w:pos="1021"/>
      </w:tabs>
      <w:spacing w:before="60"/>
      <w:jc w:val="center"/>
    </w:pPr>
    <w:rPr>
      <w:rFonts w:eastAsia="黑体"/>
      <w:kern w:val="24"/>
      <w:sz w:val="24"/>
    </w:rPr>
  </w:style>
  <w:style w:type="paragraph" w:customStyle="1" w:styleId="5910">
    <w:name w:val="表内591"/>
    <w:basedOn w:val="af3"/>
    <w:rsid w:val="009964C3"/>
    <w:pPr>
      <w:adjustRightInd w:val="0"/>
      <w:snapToGrid w:val="0"/>
    </w:pPr>
    <w:rPr>
      <w:rFonts w:ascii="宋体"/>
      <w:szCs w:val="20"/>
    </w:rPr>
  </w:style>
  <w:style w:type="paragraph" w:customStyle="1" w:styleId="11f6">
    <w:name w:val="表内文字大11"/>
    <w:basedOn w:val="af3"/>
    <w:rsid w:val="009964C3"/>
    <w:pPr>
      <w:adjustRightInd w:val="0"/>
      <w:snapToGrid w:val="0"/>
      <w:jc w:val="center"/>
    </w:pPr>
    <w:rPr>
      <w:rFonts w:ascii="宋体" w:hAnsi="Times"/>
      <w:sz w:val="24"/>
      <w:szCs w:val="20"/>
    </w:rPr>
  </w:style>
  <w:style w:type="paragraph" w:customStyle="1" w:styleId="11f7">
    <w:name w:val="图题11"/>
    <w:basedOn w:val="af3"/>
    <w:rsid w:val="009964C3"/>
    <w:pPr>
      <w:jc w:val="center"/>
    </w:pPr>
    <w:rPr>
      <w:rFonts w:ascii="方正大标宋简体" w:eastAsia="方正大标宋简体"/>
      <w:sz w:val="24"/>
    </w:rPr>
  </w:style>
  <w:style w:type="paragraph" w:customStyle="1" w:styleId="afffffffffffffffffffffffffff5">
    <w:name w:val="奉读大示，心折殊深。"/>
    <w:rsid w:val="009964C3"/>
    <w:pPr>
      <w:widowControl w:val="0"/>
      <w:jc w:val="both"/>
    </w:pPr>
    <w:rPr>
      <w:kern w:val="2"/>
      <w:sz w:val="21"/>
    </w:rPr>
  </w:style>
  <w:style w:type="paragraph" w:customStyle="1" w:styleId="824">
    <w:name w:val="页眉中82"/>
    <w:basedOn w:val="4a"/>
    <w:rsid w:val="009964C3"/>
    <w:pPr>
      <w:snapToGrid w:val="0"/>
      <w:spacing w:line="360" w:lineRule="auto"/>
      <w:textAlignment w:val="auto"/>
    </w:pPr>
    <w:rPr>
      <w:rFonts w:ascii="黑体" w:eastAsia="黑体"/>
      <w:szCs w:val="24"/>
    </w:rPr>
  </w:style>
  <w:style w:type="paragraph" w:customStyle="1" w:styleId="4311">
    <w:name w:val="标题431"/>
    <w:basedOn w:val="af3"/>
    <w:rsid w:val="009964C3"/>
    <w:pPr>
      <w:adjustRightInd w:val="0"/>
      <w:snapToGrid w:val="0"/>
      <w:spacing w:line="300" w:lineRule="auto"/>
      <w:jc w:val="left"/>
    </w:pPr>
    <w:rPr>
      <w:rFonts w:ascii="黑体" w:eastAsia="黑体" w:hAnsi="宋体" w:cs="宋体"/>
      <w:sz w:val="24"/>
    </w:rPr>
  </w:style>
  <w:style w:type="paragraph" w:customStyle="1" w:styleId="5171">
    <w:name w:val="表内517"/>
    <w:basedOn w:val="af3"/>
    <w:rsid w:val="009964C3"/>
    <w:pPr>
      <w:adjustRightInd w:val="0"/>
      <w:snapToGrid w:val="0"/>
      <w:spacing w:line="300" w:lineRule="auto"/>
      <w:jc w:val="left"/>
    </w:pPr>
    <w:rPr>
      <w:rFonts w:ascii="宋体" w:hAnsi="宋体" w:cs="宋体"/>
      <w:szCs w:val="20"/>
    </w:rPr>
  </w:style>
  <w:style w:type="paragraph" w:customStyle="1" w:styleId="1ffffffc">
    <w:name w:val="正文缩1"/>
    <w:basedOn w:val="af3"/>
    <w:rsid w:val="009964C3"/>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174">
    <w:name w:val="页眉中17"/>
    <w:basedOn w:val="af3"/>
    <w:rsid w:val="009964C3"/>
    <w:pPr>
      <w:adjustRightInd w:val="0"/>
      <w:snapToGrid w:val="0"/>
      <w:jc w:val="center"/>
    </w:pPr>
    <w:rPr>
      <w:rFonts w:ascii="黑体" w:eastAsia="黑体"/>
      <w:bCs/>
      <w:szCs w:val="20"/>
    </w:rPr>
  </w:style>
  <w:style w:type="paragraph" w:customStyle="1" w:styleId="714">
    <w:name w:val="图题71"/>
    <w:basedOn w:val="af3"/>
    <w:rsid w:val="009964C3"/>
    <w:pPr>
      <w:adjustRightInd w:val="0"/>
      <w:snapToGrid w:val="0"/>
      <w:ind w:firstLineChars="222" w:firstLine="533"/>
      <w:jc w:val="center"/>
    </w:pPr>
    <w:rPr>
      <w:rFonts w:ascii="黑体" w:eastAsia="黑体" w:hAnsi="宋体"/>
      <w:snapToGrid w:val="0"/>
      <w:kern w:val="0"/>
      <w:sz w:val="24"/>
    </w:rPr>
  </w:style>
  <w:style w:type="paragraph" w:customStyle="1" w:styleId="1ffffffd">
    <w:name w:val="环评正文1"/>
    <w:rsid w:val="009964C3"/>
    <w:pPr>
      <w:spacing w:line="360" w:lineRule="exact"/>
      <w:ind w:firstLineChars="200" w:firstLine="200"/>
    </w:pPr>
    <w:rPr>
      <w:color w:val="000000"/>
      <w:kern w:val="21"/>
      <w:sz w:val="24"/>
      <w:szCs w:val="24"/>
    </w:rPr>
  </w:style>
  <w:style w:type="paragraph" w:customStyle="1" w:styleId="42d">
    <w:name w:val="页眉中42"/>
    <w:basedOn w:val="4a"/>
    <w:rsid w:val="009964C3"/>
    <w:pPr>
      <w:snapToGrid w:val="0"/>
      <w:spacing w:line="300" w:lineRule="auto"/>
      <w:textAlignment w:val="auto"/>
    </w:pPr>
    <w:rPr>
      <w:rFonts w:ascii="黑体" w:eastAsia="黑体" w:hAnsi="宋体" w:cs="宋体"/>
      <w:szCs w:val="24"/>
    </w:rPr>
  </w:style>
  <w:style w:type="paragraph" w:customStyle="1" w:styleId="xl86">
    <w:name w:val="xl86"/>
    <w:basedOn w:val="af3"/>
    <w:rsid w:val="009964C3"/>
    <w:pPr>
      <w:widowControl/>
      <w:pBdr>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11f8">
    <w:name w:val="待定小11"/>
    <w:basedOn w:val="afffffffffe"/>
    <w:rsid w:val="009964C3"/>
    <w:pPr>
      <w:spacing w:line="240" w:lineRule="auto"/>
      <w:ind w:firstLine="0"/>
    </w:pPr>
    <w:rPr>
      <w:color w:val="0000FF"/>
      <w:sz w:val="21"/>
      <w:szCs w:val="20"/>
    </w:rPr>
  </w:style>
  <w:style w:type="paragraph" w:customStyle="1" w:styleId="ST2013">
    <w:name w:val="ST20_13"/>
    <w:basedOn w:val="af3"/>
    <w:next w:val="ST2014"/>
    <w:rsid w:val="009964C3"/>
    <w:pPr>
      <w:autoSpaceDE w:val="0"/>
      <w:autoSpaceDN w:val="0"/>
      <w:adjustRightInd w:val="0"/>
      <w:spacing w:before="160" w:line="360" w:lineRule="atLeast"/>
      <w:jc w:val="left"/>
      <w:textAlignment w:val="baseline"/>
    </w:pPr>
    <w:rPr>
      <w:rFonts w:ascii="宋体" w:hAnsi="Tms Rmn"/>
      <w:kern w:val="0"/>
      <w:sz w:val="28"/>
      <w:szCs w:val="28"/>
    </w:rPr>
  </w:style>
  <w:style w:type="paragraph" w:customStyle="1" w:styleId="ST2014">
    <w:name w:val="ST20_14"/>
    <w:basedOn w:val="af3"/>
    <w:next w:val="af3"/>
    <w:rsid w:val="009964C3"/>
    <w:pPr>
      <w:autoSpaceDE w:val="0"/>
      <w:autoSpaceDN w:val="0"/>
      <w:adjustRightInd w:val="0"/>
      <w:spacing w:line="360" w:lineRule="atLeast"/>
      <w:jc w:val="left"/>
      <w:textAlignment w:val="baseline"/>
    </w:pPr>
    <w:rPr>
      <w:rFonts w:ascii="宋体" w:hAnsi="Tms Rmn"/>
      <w:i/>
      <w:iCs/>
      <w:kern w:val="0"/>
      <w:sz w:val="28"/>
      <w:szCs w:val="28"/>
      <w:u w:val="single"/>
    </w:rPr>
  </w:style>
  <w:style w:type="paragraph" w:customStyle="1" w:styleId="afffffffffffffffffffffffffff6">
    <w:name w:val="照片"/>
    <w:basedOn w:val="af3"/>
    <w:semiHidden/>
    <w:rsid w:val="009964C3"/>
    <w:pPr>
      <w:spacing w:line="360" w:lineRule="auto"/>
      <w:ind w:leftChars="100" w:left="210" w:rightChars="100" w:right="210" w:firstLineChars="200" w:firstLine="200"/>
      <w:jc w:val="center"/>
    </w:pPr>
    <w:rPr>
      <w:rFonts w:ascii="Times" w:eastAsia="黑体" w:hAnsi="Times"/>
      <w:b/>
      <w:snapToGrid w:val="0"/>
      <w:color w:val="000000"/>
      <w:spacing w:val="-4"/>
      <w:sz w:val="24"/>
      <w:szCs w:val="20"/>
    </w:rPr>
  </w:style>
  <w:style w:type="paragraph" w:customStyle="1" w:styleId="1Char0">
    <w:name w:val="1正文段落 Char"/>
    <w:basedOn w:val="af3"/>
    <w:link w:val="1CharChar"/>
    <w:semiHidden/>
    <w:rsid w:val="009964C3"/>
    <w:pPr>
      <w:spacing w:line="360" w:lineRule="auto"/>
      <w:ind w:firstLineChars="200" w:firstLine="200"/>
      <w:jc w:val="left"/>
    </w:pPr>
    <w:rPr>
      <w:rFonts w:ascii="Arial" w:hAnsi="Arial"/>
      <w:snapToGrid w:val="0"/>
      <w:sz w:val="24"/>
    </w:rPr>
  </w:style>
  <w:style w:type="paragraph" w:customStyle="1" w:styleId="5223">
    <w:name w:val="表内5中22"/>
    <w:basedOn w:val="af3"/>
    <w:rsid w:val="009964C3"/>
    <w:pPr>
      <w:adjustRightInd w:val="0"/>
      <w:snapToGrid w:val="0"/>
      <w:jc w:val="center"/>
    </w:pPr>
    <w:rPr>
      <w:rFonts w:ascii="宋体"/>
      <w:color w:val="000000"/>
      <w:szCs w:val="21"/>
    </w:rPr>
  </w:style>
  <w:style w:type="paragraph" w:customStyle="1" w:styleId="xl150">
    <w:name w:val="xl150"/>
    <w:basedOn w:val="af3"/>
    <w:rsid w:val="009964C3"/>
    <w:pPr>
      <w:widowControl/>
      <w:pBdr>
        <w:left w:val="single" w:sz="8" w:space="0" w:color="auto"/>
      </w:pBdr>
      <w:spacing w:before="100" w:beforeAutospacing="1" w:after="100" w:afterAutospacing="1"/>
      <w:jc w:val="left"/>
    </w:pPr>
    <w:rPr>
      <w:rFonts w:ascii="宋体" w:hAnsi="宋体" w:cs="宋体"/>
      <w:kern w:val="0"/>
      <w:sz w:val="18"/>
      <w:szCs w:val="18"/>
    </w:rPr>
  </w:style>
  <w:style w:type="paragraph" w:customStyle="1" w:styleId="zxj-">
    <w:name w:val="zxj-正文"/>
    <w:basedOn w:val="af3"/>
    <w:next w:val="af3"/>
    <w:rsid w:val="009964C3"/>
    <w:pPr>
      <w:tabs>
        <w:tab w:val="left" w:pos="420"/>
      </w:tabs>
      <w:overflowPunct w:val="0"/>
      <w:snapToGrid w:val="0"/>
      <w:spacing w:line="360" w:lineRule="auto"/>
      <w:ind w:left="420" w:hanging="420"/>
    </w:pPr>
    <w:rPr>
      <w:rFonts w:ascii="宋体" w:eastAsia="仿宋_GB2312" w:hAnsi="Arial"/>
      <w:sz w:val="24"/>
      <w:szCs w:val="20"/>
    </w:rPr>
  </w:style>
  <w:style w:type="paragraph" w:customStyle="1" w:styleId="2110">
    <w:name w:val="样式 样式 标题 2 + + 段前: 1 行 段后: 1 行"/>
    <w:basedOn w:val="af3"/>
    <w:rsid w:val="009964C3"/>
    <w:pPr>
      <w:overflowPunct w:val="0"/>
      <w:autoSpaceDE w:val="0"/>
      <w:autoSpaceDN w:val="0"/>
      <w:adjustRightInd w:val="0"/>
      <w:spacing w:beforeLines="100" w:afterLines="50"/>
      <w:jc w:val="left"/>
      <w:textAlignment w:val="baseline"/>
      <w:outlineLvl w:val="1"/>
    </w:pPr>
    <w:rPr>
      <w:rFonts w:ascii="Arial" w:eastAsia="黑体" w:hAnsi="Arial" w:cs="宋体"/>
      <w:kern w:val="20"/>
      <w:sz w:val="30"/>
      <w:szCs w:val="20"/>
    </w:rPr>
  </w:style>
  <w:style w:type="paragraph" w:customStyle="1" w:styleId="xl149">
    <w:name w:val="xl149"/>
    <w:basedOn w:val="af3"/>
    <w:rsid w:val="009964C3"/>
    <w:pPr>
      <w:widowControl/>
      <w:pBdr>
        <w:bottom w:val="single" w:sz="8" w:space="0" w:color="auto"/>
      </w:pBdr>
      <w:spacing w:before="100" w:beforeAutospacing="1" w:after="100" w:afterAutospacing="1"/>
      <w:jc w:val="left"/>
    </w:pPr>
    <w:rPr>
      <w:rFonts w:ascii="宋体" w:hAnsi="宋体" w:cs="宋体"/>
      <w:kern w:val="0"/>
      <w:sz w:val="18"/>
      <w:szCs w:val="18"/>
    </w:rPr>
  </w:style>
  <w:style w:type="paragraph" w:customStyle="1" w:styleId="8c">
    <w:name w:val="8"/>
    <w:basedOn w:val="af3"/>
    <w:next w:val="af4"/>
    <w:qFormat/>
    <w:rsid w:val="009964C3"/>
    <w:pPr>
      <w:widowControl/>
      <w:spacing w:line="520" w:lineRule="exact"/>
      <w:ind w:firstLineChars="200" w:firstLine="200"/>
    </w:pPr>
    <w:rPr>
      <w:rFonts w:ascii="Calibri" w:hAnsi="宋体"/>
      <w:sz w:val="28"/>
      <w:lang w:eastAsia="en-US" w:bidi="en-US"/>
    </w:rPr>
  </w:style>
  <w:style w:type="paragraph" w:customStyle="1" w:styleId="4fff1">
    <w:name w:val="表内文字4"/>
    <w:basedOn w:val="af3"/>
    <w:rsid w:val="009964C3"/>
    <w:pPr>
      <w:widowControl/>
      <w:adjustRightInd w:val="0"/>
      <w:snapToGrid w:val="0"/>
      <w:jc w:val="center"/>
    </w:pPr>
    <w:rPr>
      <w:rFonts w:ascii="宋体" w:hAnsi="宋体" w:cs="宋体"/>
      <w:color w:val="000000"/>
      <w:kern w:val="0"/>
      <w:sz w:val="24"/>
      <w:szCs w:val="20"/>
    </w:rPr>
  </w:style>
  <w:style w:type="paragraph" w:customStyle="1" w:styleId="5521">
    <w:name w:val="表内宋5中52"/>
    <w:basedOn w:val="af3"/>
    <w:rsid w:val="009964C3"/>
    <w:pPr>
      <w:adjustRightInd w:val="0"/>
      <w:snapToGrid w:val="0"/>
      <w:spacing w:line="360" w:lineRule="auto"/>
      <w:textAlignment w:val="baseline"/>
    </w:pPr>
    <w:rPr>
      <w:rFonts w:ascii="宋体" w:hAnsi="宋体"/>
      <w:kern w:val="0"/>
      <w:szCs w:val="21"/>
    </w:rPr>
  </w:style>
  <w:style w:type="paragraph" w:customStyle="1" w:styleId="BBBBBBBBBB">
    <w:name w:val="BBBBBBBBBB"/>
    <w:basedOn w:val="af3"/>
    <w:link w:val="BBBBBBBBBBChar"/>
    <w:semiHidden/>
    <w:rsid w:val="009964C3"/>
    <w:pPr>
      <w:spacing w:line="324" w:lineRule="auto"/>
      <w:jc w:val="center"/>
    </w:pPr>
    <w:rPr>
      <w:rFonts w:ascii="Arial" w:hAnsi="宋体"/>
      <w:b/>
      <w:szCs w:val="21"/>
    </w:rPr>
  </w:style>
  <w:style w:type="paragraph" w:customStyle="1" w:styleId="xl148">
    <w:name w:val="xl148"/>
    <w:basedOn w:val="af3"/>
    <w:rsid w:val="009964C3"/>
    <w:pPr>
      <w:widowControl/>
      <w:pBdr>
        <w:left w:val="single" w:sz="8" w:space="0" w:color="auto"/>
        <w:bottom w:val="single" w:sz="8" w:space="0" w:color="auto"/>
      </w:pBdr>
      <w:spacing w:before="100" w:beforeAutospacing="1" w:after="100" w:afterAutospacing="1"/>
      <w:jc w:val="left"/>
    </w:pPr>
    <w:rPr>
      <w:rFonts w:ascii="宋体" w:hAnsi="宋体" w:cs="宋体"/>
      <w:kern w:val="0"/>
      <w:sz w:val="18"/>
      <w:szCs w:val="18"/>
    </w:rPr>
  </w:style>
  <w:style w:type="paragraph" w:customStyle="1" w:styleId="5421">
    <w:name w:val="表内542"/>
    <w:basedOn w:val="af3"/>
    <w:rsid w:val="009964C3"/>
    <w:pPr>
      <w:adjustRightInd w:val="0"/>
      <w:snapToGrid w:val="0"/>
      <w:spacing w:line="300" w:lineRule="auto"/>
      <w:jc w:val="center"/>
    </w:pPr>
    <w:rPr>
      <w:rFonts w:ascii="宋体" w:hAnsi="宋体" w:cs="宋体"/>
      <w:szCs w:val="20"/>
    </w:rPr>
  </w:style>
  <w:style w:type="paragraph" w:customStyle="1" w:styleId="51f4">
    <w:name w:val="标题51"/>
    <w:basedOn w:val="af3"/>
    <w:rsid w:val="009964C3"/>
    <w:pPr>
      <w:keepNext/>
      <w:keepLines/>
      <w:widowControl/>
      <w:adjustRightInd w:val="0"/>
      <w:snapToGrid w:val="0"/>
      <w:spacing w:line="360" w:lineRule="auto"/>
      <w:outlineLvl w:val="2"/>
    </w:pPr>
    <w:rPr>
      <w:b/>
      <w:snapToGrid w:val="0"/>
      <w:color w:val="000000"/>
      <w:kern w:val="0"/>
      <w:sz w:val="18"/>
      <w:szCs w:val="20"/>
    </w:rPr>
  </w:style>
  <w:style w:type="paragraph" w:customStyle="1" w:styleId="afffffffffffffffffffffffffff7">
    <w:name w:val="居中正文"/>
    <w:basedOn w:val="aff7"/>
    <w:semiHidden/>
    <w:rsid w:val="009964C3"/>
    <w:pPr>
      <w:overflowPunct/>
      <w:autoSpaceDE/>
      <w:autoSpaceDN/>
      <w:ind w:firstLine="0"/>
      <w:jc w:val="center"/>
    </w:pPr>
    <w:rPr>
      <w:rFonts w:ascii="宋体" w:hAnsi="Arial"/>
      <w:kern w:val="28"/>
      <w:sz w:val="24"/>
      <w:szCs w:val="20"/>
    </w:rPr>
  </w:style>
  <w:style w:type="paragraph" w:customStyle="1" w:styleId="3TimesNewRoman12152">
    <w:name w:val="样式 标题 3 + (符号) Times New Roman 四号 两端对齐 段前: 12 磅 行距: 1.5 倍行距2"/>
    <w:basedOn w:val="31"/>
    <w:rsid w:val="009964C3"/>
    <w:pPr>
      <w:keepNext w:val="0"/>
      <w:keepLines w:val="0"/>
      <w:adjustRightInd w:val="0"/>
      <w:snapToGrid w:val="0"/>
      <w:spacing w:before="120" w:afterLines="50" w:line="360" w:lineRule="auto"/>
    </w:pPr>
    <w:rPr>
      <w:rFonts w:ascii="黑体" w:eastAsia="黑体" w:cs="宋体"/>
      <w:bCs w:val="0"/>
      <w:sz w:val="28"/>
      <w:szCs w:val="28"/>
    </w:rPr>
  </w:style>
  <w:style w:type="paragraph" w:customStyle="1" w:styleId="afffffffffffffffffffffffffff8">
    <w:name w:val="尾消息标题"/>
    <w:basedOn w:val="affffff6"/>
    <w:next w:val="afff"/>
    <w:rsid w:val="009964C3"/>
    <w:pPr>
      <w:keepLines/>
      <w:widowControl/>
      <w:pBdr>
        <w:top w:val="none" w:sz="0" w:space="0" w:color="auto"/>
        <w:left w:val="none" w:sz="0" w:space="0" w:color="auto"/>
        <w:bottom w:val="single" w:sz="6" w:space="19" w:color="auto"/>
        <w:right w:val="none" w:sz="0" w:space="0" w:color="auto"/>
        <w:between w:val="single" w:sz="6" w:space="19" w:color="auto"/>
      </w:pBdr>
      <w:shd w:val="clear" w:color="auto" w:fill="auto"/>
      <w:tabs>
        <w:tab w:val="left" w:pos="1260"/>
        <w:tab w:val="left" w:pos="2940"/>
        <w:tab w:val="left" w:pos="5040"/>
        <w:tab w:val="right" w:pos="8640"/>
      </w:tabs>
      <w:spacing w:before="120" w:after="120" w:line="440" w:lineRule="atLeast"/>
      <w:ind w:leftChars="0" w:left="0" w:firstLineChars="0" w:firstLine="0"/>
      <w:jc w:val="left"/>
    </w:pPr>
    <w:rPr>
      <w:b/>
      <w:bCs/>
      <w:kern w:val="0"/>
    </w:rPr>
  </w:style>
  <w:style w:type="paragraph" w:customStyle="1" w:styleId="afffffffffffffffffffffffffff9">
    <w:name w:val="表题格式"/>
    <w:basedOn w:val="af3"/>
    <w:qFormat/>
    <w:rsid w:val="009964C3"/>
    <w:pPr>
      <w:adjustRightInd w:val="0"/>
      <w:spacing w:line="400" w:lineRule="exact"/>
      <w:textAlignment w:val="baseline"/>
    </w:pPr>
    <w:rPr>
      <w:kern w:val="0"/>
      <w:sz w:val="24"/>
      <w:szCs w:val="20"/>
    </w:rPr>
  </w:style>
  <w:style w:type="paragraph" w:customStyle="1" w:styleId="xl147">
    <w:name w:val="xl147"/>
    <w:basedOn w:val="af3"/>
    <w:rsid w:val="009964C3"/>
    <w:pPr>
      <w:widowControl/>
      <w:pBdr>
        <w:left w:val="single" w:sz="8" w:space="0" w:color="auto"/>
        <w:bottom w:val="single" w:sz="8" w:space="0" w:color="auto"/>
        <w:right w:val="single" w:sz="8" w:space="0" w:color="auto"/>
      </w:pBdr>
      <w:spacing w:before="100" w:beforeAutospacing="1" w:after="100" w:afterAutospacing="1"/>
      <w:jc w:val="left"/>
    </w:pPr>
    <w:rPr>
      <w:kern w:val="0"/>
      <w:sz w:val="18"/>
      <w:szCs w:val="18"/>
    </w:rPr>
  </w:style>
  <w:style w:type="paragraph" w:customStyle="1" w:styleId="xl129">
    <w:name w:val="xl129"/>
    <w:basedOn w:val="af3"/>
    <w:semiHidden/>
    <w:rsid w:val="009964C3"/>
    <w:pPr>
      <w:widowControl/>
      <w:pBdr>
        <w:top w:val="single" w:sz="12" w:space="0" w:color="auto"/>
        <w:left w:val="single" w:sz="4" w:space="0" w:color="auto"/>
        <w:right w:val="single" w:sz="4" w:space="0" w:color="auto"/>
      </w:pBdr>
      <w:spacing w:before="100" w:beforeAutospacing="1" w:after="100" w:afterAutospacing="1"/>
      <w:textAlignment w:val="center"/>
    </w:pPr>
    <w:rPr>
      <w:rFonts w:ascii="宋体" w:hAnsi="宋体" w:cs="宋体"/>
      <w:kern w:val="0"/>
      <w:sz w:val="24"/>
    </w:rPr>
  </w:style>
  <w:style w:type="paragraph" w:customStyle="1" w:styleId="4130">
    <w:name w:val="标题413"/>
    <w:basedOn w:val="af3"/>
    <w:rsid w:val="009964C3"/>
    <w:pPr>
      <w:adjustRightInd w:val="0"/>
      <w:snapToGrid w:val="0"/>
      <w:spacing w:line="300" w:lineRule="auto"/>
      <w:jc w:val="left"/>
    </w:pPr>
    <w:rPr>
      <w:rFonts w:ascii="黑体" w:eastAsia="黑体"/>
      <w:bCs/>
      <w:color w:val="000000"/>
      <w:sz w:val="24"/>
    </w:rPr>
  </w:style>
  <w:style w:type="paragraph" w:customStyle="1" w:styleId="1ffffffe">
    <w:name w:val="标题（1）"/>
    <w:basedOn w:val="2f4"/>
    <w:next w:val="2f4"/>
    <w:semiHidden/>
    <w:rsid w:val="009964C3"/>
    <w:pPr>
      <w:tabs>
        <w:tab w:val="clear" w:pos="576"/>
        <w:tab w:val="left" w:pos="1021"/>
      </w:tabs>
      <w:outlineLvl w:val="0"/>
    </w:pPr>
    <w:rPr>
      <w:sz w:val="30"/>
    </w:rPr>
  </w:style>
  <w:style w:type="paragraph" w:customStyle="1" w:styleId="52f4">
    <w:name w:val="样式 表内5 + (符号) 宋体 两端对齐 行距: 单倍行距2"/>
    <w:basedOn w:val="54"/>
    <w:rsid w:val="009964C3"/>
    <w:pPr>
      <w:spacing w:line="240" w:lineRule="auto"/>
    </w:pPr>
    <w:rPr>
      <w:kern w:val="0"/>
    </w:rPr>
  </w:style>
  <w:style w:type="paragraph" w:customStyle="1" w:styleId="xl146">
    <w:name w:val="xl146"/>
    <w:basedOn w:val="af3"/>
    <w:rsid w:val="009964C3"/>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18"/>
      <w:szCs w:val="18"/>
    </w:rPr>
  </w:style>
  <w:style w:type="paragraph" w:customStyle="1" w:styleId="5312">
    <w:name w:val="表内宋5中31"/>
    <w:basedOn w:val="af3"/>
    <w:rsid w:val="009964C3"/>
    <w:pPr>
      <w:adjustRightInd w:val="0"/>
      <w:snapToGrid w:val="0"/>
      <w:spacing w:line="360" w:lineRule="auto"/>
      <w:jc w:val="center"/>
      <w:textAlignment w:val="baseline"/>
    </w:pPr>
    <w:rPr>
      <w:rFonts w:ascii="宋体" w:hAnsi="宋体"/>
      <w:kern w:val="0"/>
      <w:szCs w:val="21"/>
    </w:rPr>
  </w:style>
  <w:style w:type="paragraph" w:customStyle="1" w:styleId="CharCharChar1CharCharCharChar1">
    <w:name w:val="Char Char Char1 Char Char Char Char1"/>
    <w:basedOn w:val="af3"/>
    <w:rsid w:val="009964C3"/>
  </w:style>
  <w:style w:type="paragraph" w:customStyle="1" w:styleId="Char2CharCharCharCharCharChar1">
    <w:name w:val="Char2 Char Char Char Char Char Char1"/>
    <w:basedOn w:val="af3"/>
    <w:qFormat/>
    <w:rsid w:val="009964C3"/>
  </w:style>
  <w:style w:type="paragraph" w:customStyle="1" w:styleId="New1">
    <w:name w:val="New1"/>
    <w:basedOn w:val="af3"/>
    <w:rsid w:val="009964C3"/>
    <w:pPr>
      <w:tabs>
        <w:tab w:val="left" w:pos="2200"/>
        <w:tab w:val="left" w:pos="3960"/>
        <w:tab w:val="left" w:pos="5280"/>
      </w:tabs>
      <w:spacing w:line="0" w:lineRule="atLeast"/>
      <w:jc w:val="center"/>
    </w:pPr>
    <w:rPr>
      <w:rFonts w:ascii="Tahoma" w:eastAsia="黑体" w:hAnsi="Tahoma" w:cs="Arial"/>
      <w:bCs/>
      <w:sz w:val="22"/>
      <w:szCs w:val="20"/>
    </w:rPr>
  </w:style>
  <w:style w:type="paragraph" w:customStyle="1" w:styleId="Headerandtextblock">
    <w:name w:val="Header and text block"/>
    <w:basedOn w:val="af3"/>
    <w:next w:val="af3"/>
    <w:rsid w:val="009964C3"/>
    <w:pPr>
      <w:widowControl/>
      <w:jc w:val="center"/>
    </w:pPr>
    <w:rPr>
      <w:rFonts w:ascii="Arial" w:hAnsi="Arial"/>
      <w:b/>
      <w:kern w:val="0"/>
      <w:sz w:val="20"/>
      <w:szCs w:val="20"/>
    </w:rPr>
  </w:style>
  <w:style w:type="paragraph" w:customStyle="1" w:styleId="1213">
    <w:name w:val="表题121"/>
    <w:basedOn w:val="afffffff4"/>
    <w:rsid w:val="009964C3"/>
    <w:pPr>
      <w:tabs>
        <w:tab w:val="clear" w:pos="4305"/>
      </w:tabs>
      <w:spacing w:line="240" w:lineRule="auto"/>
      <w:ind w:firstLine="0"/>
      <w:jc w:val="center"/>
    </w:pPr>
    <w:rPr>
      <w:rFonts w:ascii="黑体" w:eastAsia="黑体" w:hAnsi="Times" w:cs="Times New Roman"/>
    </w:rPr>
  </w:style>
  <w:style w:type="paragraph" w:customStyle="1" w:styleId="afffffffffffffffffffffffffffa">
    <w:name w:val="表格居中"/>
    <w:basedOn w:val="af3"/>
    <w:semiHidden/>
    <w:rsid w:val="009964C3"/>
    <w:pPr>
      <w:autoSpaceDE w:val="0"/>
      <w:autoSpaceDN w:val="0"/>
      <w:adjustRightInd w:val="0"/>
      <w:ind w:leftChars="50" w:left="105" w:rightChars="50" w:right="105"/>
    </w:pPr>
    <w:rPr>
      <w:bCs/>
      <w:kern w:val="0"/>
      <w:szCs w:val="21"/>
      <w:u w:color="000000"/>
    </w:rPr>
  </w:style>
  <w:style w:type="paragraph" w:customStyle="1" w:styleId="2fffff8">
    <w:name w:val="日期2"/>
    <w:basedOn w:val="af3"/>
    <w:next w:val="af3"/>
    <w:semiHidden/>
    <w:rsid w:val="009964C3"/>
    <w:pPr>
      <w:adjustRightInd w:val="0"/>
      <w:textAlignment w:val="baseline"/>
    </w:pPr>
    <w:rPr>
      <w:rFonts w:ascii="宋体"/>
      <w:sz w:val="24"/>
      <w:szCs w:val="20"/>
    </w:rPr>
  </w:style>
  <w:style w:type="paragraph" w:customStyle="1" w:styleId="2fffff9">
    <w:name w:val="正文修改2"/>
    <w:basedOn w:val="affffffffb"/>
    <w:rsid w:val="009964C3"/>
    <w:pPr>
      <w:ind w:rightChars="100" w:right="210" w:firstLineChars="87" w:firstLine="209"/>
    </w:pPr>
    <w:rPr>
      <w:rFonts w:cs="Times New Roman"/>
      <w:bCs w:val="0"/>
    </w:rPr>
  </w:style>
  <w:style w:type="paragraph" w:customStyle="1" w:styleId="TitleofTable0">
    <w:name w:val="Title of Table"/>
    <w:basedOn w:val="1f0"/>
    <w:next w:val="1f0"/>
    <w:semiHidden/>
    <w:rsid w:val="009964C3"/>
    <w:pPr>
      <w:adjustRightInd/>
      <w:snapToGrid w:val="0"/>
      <w:spacing w:after="0" w:line="360" w:lineRule="auto"/>
      <w:textAlignment w:val="auto"/>
    </w:pPr>
    <w:rPr>
      <w:rFonts w:ascii="Times New Roman" w:hAnsi="Times New Roman"/>
      <w:b/>
      <w:color w:val="000000"/>
      <w:szCs w:val="24"/>
    </w:rPr>
  </w:style>
  <w:style w:type="paragraph" w:customStyle="1" w:styleId="afffffffffffffffffffffffffffb">
    <w:name w:val="样式 居中"/>
    <w:basedOn w:val="af3"/>
    <w:rsid w:val="009964C3"/>
    <w:pPr>
      <w:adjustRightInd w:val="0"/>
      <w:snapToGrid w:val="0"/>
      <w:spacing w:line="440" w:lineRule="atLeast"/>
      <w:ind w:firstLineChars="200" w:firstLine="200"/>
      <w:jc w:val="center"/>
    </w:pPr>
    <w:rPr>
      <w:sz w:val="24"/>
      <w:szCs w:val="20"/>
    </w:rPr>
  </w:style>
  <w:style w:type="paragraph" w:customStyle="1" w:styleId="xl88">
    <w:name w:val="xl88"/>
    <w:basedOn w:val="af3"/>
    <w:rsid w:val="009964C3"/>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15">
    <w:name w:val="标题 1 （桑）"/>
    <w:basedOn w:val="22c"/>
    <w:next w:val="22c"/>
    <w:link w:val="1CharChar0"/>
    <w:semiHidden/>
    <w:rsid w:val="009964C3"/>
    <w:pPr>
      <w:numPr>
        <w:ilvl w:val="0"/>
      </w:numPr>
      <w:tabs>
        <w:tab w:val="clear" w:pos="567"/>
        <w:tab w:val="left" w:pos="1021"/>
      </w:tabs>
      <w:snapToGrid w:val="0"/>
      <w:spacing w:before="60" w:after="60"/>
      <w:ind w:left="432" w:hanging="432"/>
    </w:pPr>
    <w:rPr>
      <w:spacing w:val="-10"/>
      <w:sz w:val="28"/>
    </w:rPr>
  </w:style>
  <w:style w:type="paragraph" w:customStyle="1" w:styleId="2111">
    <w:name w:val="正文文本缩进 211"/>
    <w:basedOn w:val="af3"/>
    <w:rsid w:val="009964C3"/>
    <w:pPr>
      <w:adjustRightInd w:val="0"/>
      <w:spacing w:after="120" w:line="480" w:lineRule="auto"/>
      <w:ind w:left="420"/>
      <w:textAlignment w:val="baseline"/>
    </w:pPr>
    <w:rPr>
      <w:sz w:val="28"/>
      <w:szCs w:val="20"/>
    </w:rPr>
  </w:style>
  <w:style w:type="paragraph" w:customStyle="1" w:styleId="22c">
    <w:name w:val="标题2（桑2）"/>
    <w:basedOn w:val="22"/>
    <w:semiHidden/>
    <w:rsid w:val="009964C3"/>
    <w:pPr>
      <w:keepNext w:val="0"/>
      <w:keepLines w:val="0"/>
      <w:numPr>
        <w:ilvl w:val="1"/>
      </w:numPr>
      <w:tabs>
        <w:tab w:val="left" w:pos="567"/>
      </w:tabs>
      <w:overflowPunct w:val="0"/>
      <w:autoSpaceDE w:val="0"/>
      <w:autoSpaceDN w:val="0"/>
      <w:adjustRightInd w:val="0"/>
      <w:spacing w:before="40" w:after="40" w:line="360" w:lineRule="auto"/>
      <w:jc w:val="left"/>
      <w:textAlignment w:val="baseline"/>
    </w:pPr>
    <w:rPr>
      <w:bCs w:val="0"/>
      <w:color w:val="000000"/>
      <w:kern w:val="20"/>
      <w:sz w:val="30"/>
      <w:szCs w:val="28"/>
    </w:rPr>
  </w:style>
  <w:style w:type="paragraph" w:customStyle="1" w:styleId="025">
    <w:name w:val="样式 表头 + 段后: 0.2 行"/>
    <w:basedOn w:val="afffff2"/>
    <w:rsid w:val="009964C3"/>
    <w:pPr>
      <w:overflowPunct/>
      <w:autoSpaceDE/>
      <w:autoSpaceDN/>
      <w:adjustRightInd/>
      <w:spacing w:before="240" w:afterLines="20" w:line="240" w:lineRule="auto"/>
      <w:ind w:firstLine="0"/>
      <w:textAlignment w:val="auto"/>
    </w:pPr>
    <w:rPr>
      <w:snapToGrid w:val="0"/>
      <w:kern w:val="24"/>
      <w:sz w:val="24"/>
      <w:szCs w:val="20"/>
    </w:rPr>
  </w:style>
  <w:style w:type="paragraph" w:customStyle="1" w:styleId="131">
    <w:name w:val="正文小四首缩1.3行距"/>
    <w:basedOn w:val="af3"/>
    <w:link w:val="13Char"/>
    <w:semiHidden/>
    <w:qFormat/>
    <w:rsid w:val="009964C3"/>
    <w:pPr>
      <w:spacing w:line="312" w:lineRule="auto"/>
      <w:ind w:firstLineChars="200" w:firstLine="420"/>
    </w:pPr>
    <w:rPr>
      <w:sz w:val="24"/>
    </w:rPr>
  </w:style>
  <w:style w:type="paragraph" w:customStyle="1" w:styleId="337">
    <w:name w:val="图题33"/>
    <w:basedOn w:val="af4"/>
    <w:rsid w:val="009964C3"/>
    <w:pPr>
      <w:adjustRightInd w:val="0"/>
      <w:snapToGrid w:val="0"/>
      <w:ind w:firstLineChars="0" w:firstLine="0"/>
      <w:jc w:val="center"/>
    </w:pPr>
    <w:rPr>
      <w:rFonts w:ascii="方正大标宋简体" w:eastAsia="方正大标宋简体"/>
      <w:sz w:val="24"/>
      <w:szCs w:val="24"/>
    </w:rPr>
  </w:style>
  <w:style w:type="paragraph" w:customStyle="1" w:styleId="ST2037">
    <w:name w:val="ST20_37"/>
    <w:basedOn w:val="affffff"/>
    <w:rsid w:val="009964C3"/>
    <w:pPr>
      <w:keepLines/>
      <w:pBdr>
        <w:bottom w:val="none" w:sz="0" w:space="0" w:color="auto"/>
      </w:pBdr>
      <w:tabs>
        <w:tab w:val="clear" w:pos="4153"/>
        <w:tab w:val="clear" w:pos="8306"/>
        <w:tab w:val="right" w:pos="0"/>
        <w:tab w:val="center" w:pos="4320"/>
        <w:tab w:val="right" w:pos="8640"/>
      </w:tabs>
      <w:autoSpaceDE w:val="0"/>
      <w:autoSpaceDN w:val="0"/>
      <w:adjustRightInd w:val="0"/>
      <w:snapToGrid/>
      <w:spacing w:line="360" w:lineRule="atLeast"/>
      <w:jc w:val="right"/>
      <w:textAlignment w:val="baseline"/>
    </w:pPr>
    <w:rPr>
      <w:rFonts w:ascii="宋体" w:hAnsi="Tms Rmn"/>
      <w:kern w:val="0"/>
      <w:sz w:val="28"/>
      <w:szCs w:val="28"/>
    </w:rPr>
  </w:style>
  <w:style w:type="paragraph" w:customStyle="1" w:styleId="11f9">
    <w:name w:val="条(三级)11"/>
    <w:basedOn w:val="af3"/>
    <w:next w:val="af3"/>
    <w:rsid w:val="009964C3"/>
    <w:pPr>
      <w:keepNext/>
      <w:keepLines/>
      <w:adjustRightInd w:val="0"/>
      <w:snapToGrid w:val="0"/>
      <w:spacing w:line="460" w:lineRule="exact"/>
      <w:textAlignment w:val="baseline"/>
    </w:pPr>
    <w:rPr>
      <w:rFonts w:hAnsi="Arial"/>
      <w:spacing w:val="3"/>
      <w:kern w:val="24"/>
      <w:sz w:val="18"/>
      <w:szCs w:val="20"/>
    </w:rPr>
  </w:style>
  <w:style w:type="paragraph" w:customStyle="1" w:styleId="ST2042">
    <w:name w:val="ST20_42"/>
    <w:basedOn w:val="ST2021"/>
    <w:next w:val="ST2021"/>
    <w:rsid w:val="009964C3"/>
    <w:pPr>
      <w:spacing w:before="80"/>
    </w:pPr>
  </w:style>
  <w:style w:type="paragraph" w:customStyle="1" w:styleId="1115">
    <w:name w:val="正文111"/>
    <w:basedOn w:val="af3"/>
    <w:rsid w:val="009964C3"/>
    <w:pPr>
      <w:adjustRightInd w:val="0"/>
      <w:snapToGrid w:val="0"/>
      <w:spacing w:after="120"/>
      <w:jc w:val="center"/>
      <w:textAlignment w:val="baseline"/>
    </w:pPr>
    <w:rPr>
      <w:kern w:val="0"/>
      <w:sz w:val="18"/>
      <w:szCs w:val="20"/>
    </w:rPr>
  </w:style>
  <w:style w:type="paragraph" w:customStyle="1" w:styleId="ParaCharCharCharChar">
    <w:name w:val="默认段落字体 Para Char Char Char Char"/>
    <w:basedOn w:val="af3"/>
    <w:rsid w:val="009964C3"/>
  </w:style>
  <w:style w:type="paragraph" w:customStyle="1" w:styleId="1410">
    <w:name w:val="页眉中141"/>
    <w:basedOn w:val="af3"/>
    <w:rsid w:val="009964C3"/>
    <w:pPr>
      <w:adjustRightInd w:val="0"/>
      <w:snapToGrid w:val="0"/>
      <w:spacing w:line="300" w:lineRule="auto"/>
      <w:jc w:val="left"/>
    </w:pPr>
    <w:rPr>
      <w:rFonts w:ascii="黑体" w:eastAsia="黑体"/>
      <w:bCs/>
      <w:sz w:val="24"/>
      <w:szCs w:val="20"/>
    </w:rPr>
  </w:style>
  <w:style w:type="paragraph" w:customStyle="1" w:styleId="4fff2">
    <w:name w:val="样式 标题 4 + 黑体 小四 黑色"/>
    <w:basedOn w:val="af3"/>
    <w:rsid w:val="009964C3"/>
    <w:pPr>
      <w:tabs>
        <w:tab w:val="left" w:pos="851"/>
        <w:tab w:val="left" w:pos="1021"/>
      </w:tabs>
      <w:spacing w:line="300" w:lineRule="auto"/>
      <w:ind w:left="851" w:hanging="851"/>
    </w:pPr>
    <w:rPr>
      <w:sz w:val="24"/>
      <w:szCs w:val="20"/>
    </w:rPr>
  </w:style>
  <w:style w:type="paragraph" w:customStyle="1" w:styleId="1013">
    <w:name w:val="表题101"/>
    <w:basedOn w:val="af4"/>
    <w:qFormat/>
    <w:rsid w:val="009964C3"/>
    <w:pPr>
      <w:ind w:firstLineChars="0" w:firstLine="0"/>
      <w:jc w:val="center"/>
    </w:pPr>
    <w:rPr>
      <w:rFonts w:ascii="黑体" w:eastAsia="黑体"/>
      <w:b/>
      <w:sz w:val="24"/>
      <w:szCs w:val="24"/>
    </w:rPr>
  </w:style>
  <w:style w:type="paragraph" w:customStyle="1" w:styleId="723">
    <w:name w:val="表内文字小72"/>
    <w:basedOn w:val="af3"/>
    <w:rsid w:val="009964C3"/>
    <w:pPr>
      <w:adjustRightInd w:val="0"/>
      <w:snapToGrid w:val="0"/>
      <w:jc w:val="center"/>
    </w:pPr>
    <w:rPr>
      <w:rFonts w:ascii="宋体" w:hAnsi="Times"/>
      <w:szCs w:val="20"/>
    </w:rPr>
  </w:style>
  <w:style w:type="paragraph" w:customStyle="1" w:styleId="2227">
    <w:name w:val="222表序号，无间隔"/>
    <w:basedOn w:val="6"/>
    <w:next w:val="affffff0"/>
    <w:semiHidden/>
    <w:rsid w:val="009964C3"/>
    <w:pPr>
      <w:spacing w:before="200" w:after="120" w:line="240" w:lineRule="auto"/>
    </w:pPr>
    <w:rPr>
      <w:rFonts w:ascii="Cambria" w:hAnsi="Cambria" w:cs="Times New Roman"/>
      <w:bCs w:val="0"/>
      <w:iCs/>
      <w:szCs w:val="20"/>
    </w:rPr>
  </w:style>
  <w:style w:type="paragraph" w:styleId="affffff0">
    <w:name w:val="No Spacing"/>
    <w:link w:val="Charffff2"/>
    <w:qFormat/>
    <w:rsid w:val="009964C3"/>
    <w:rPr>
      <w:rFonts w:ascii="Calibri" w:hAnsi="Calibri"/>
      <w:sz w:val="22"/>
      <w:szCs w:val="22"/>
    </w:rPr>
  </w:style>
  <w:style w:type="paragraph" w:customStyle="1" w:styleId="afffffffffffffffffffffffffffc">
    <w:name w:val="杜正文"/>
    <w:basedOn w:val="af3"/>
    <w:semiHidden/>
    <w:rsid w:val="009964C3"/>
    <w:pPr>
      <w:spacing w:line="500" w:lineRule="exact"/>
      <w:ind w:firstLine="556"/>
    </w:pPr>
    <w:rPr>
      <w:rFonts w:ascii="仿宋_GB2312" w:eastAsia="仿宋_GB2312"/>
      <w:sz w:val="28"/>
    </w:rPr>
  </w:style>
  <w:style w:type="paragraph" w:customStyle="1" w:styleId="Afffffffffffffffffffffffffffd">
    <w:name w:val="A四级条标题"/>
    <w:basedOn w:val="Afffffffffffffffffffffffffffe"/>
    <w:next w:val="af3"/>
    <w:semiHidden/>
    <w:rsid w:val="009964C3"/>
    <w:pPr>
      <w:ind w:left="0"/>
      <w:outlineLvl w:val="5"/>
    </w:pPr>
  </w:style>
  <w:style w:type="paragraph" w:customStyle="1" w:styleId="Afffffffffffffffffffffffffffe">
    <w:name w:val="A三级条标题"/>
    <w:basedOn w:val="Affffffffffffffffffffff8"/>
    <w:next w:val="af3"/>
    <w:semiHidden/>
    <w:rsid w:val="009964C3"/>
    <w:pPr>
      <w:ind w:left="840"/>
      <w:outlineLvl w:val="4"/>
    </w:pPr>
  </w:style>
  <w:style w:type="paragraph" w:customStyle="1" w:styleId="Affffffffffffffffffffff9">
    <w:name w:val="A一级条标题"/>
    <w:basedOn w:val="Affffffffffffffffffffff3"/>
    <w:next w:val="af3"/>
    <w:semiHidden/>
    <w:rsid w:val="009964C3"/>
    <w:pPr>
      <w:ind w:left="420"/>
      <w:outlineLvl w:val="2"/>
    </w:pPr>
  </w:style>
  <w:style w:type="paragraph" w:customStyle="1" w:styleId="43a">
    <w:name w:val="页眉中43"/>
    <w:basedOn w:val="4a"/>
    <w:rsid w:val="009964C3"/>
    <w:pPr>
      <w:snapToGrid w:val="0"/>
      <w:spacing w:line="300" w:lineRule="auto"/>
      <w:textAlignment w:val="auto"/>
    </w:pPr>
    <w:rPr>
      <w:rFonts w:ascii="黑体" w:eastAsia="黑体" w:hAnsi="宋体" w:cs="宋体"/>
      <w:szCs w:val="24"/>
    </w:rPr>
  </w:style>
  <w:style w:type="paragraph" w:customStyle="1" w:styleId="ST2025">
    <w:name w:val="ST20_25"/>
    <w:basedOn w:val="af3"/>
    <w:next w:val="ST2023"/>
    <w:rsid w:val="009964C3"/>
    <w:pPr>
      <w:autoSpaceDE w:val="0"/>
      <w:autoSpaceDN w:val="0"/>
      <w:adjustRightInd w:val="0"/>
      <w:spacing w:before="80" w:line="360" w:lineRule="atLeast"/>
      <w:jc w:val="left"/>
      <w:textAlignment w:val="baseline"/>
    </w:pPr>
    <w:rPr>
      <w:rFonts w:ascii="宋体" w:hAnsi="Tms Rmn"/>
      <w:b/>
      <w:bCs/>
      <w:kern w:val="0"/>
      <w:sz w:val="28"/>
      <w:szCs w:val="28"/>
    </w:rPr>
  </w:style>
  <w:style w:type="paragraph" w:customStyle="1" w:styleId="2fffffa">
    <w:name w:val="无间隔2"/>
    <w:semiHidden/>
    <w:rsid w:val="009964C3"/>
    <w:pPr>
      <w:spacing w:beforeLines="50" w:after="120"/>
      <w:ind w:firstLineChars="200" w:firstLine="200"/>
    </w:pPr>
    <w:rPr>
      <w:b/>
      <w:sz w:val="24"/>
      <w:szCs w:val="22"/>
    </w:rPr>
  </w:style>
  <w:style w:type="paragraph" w:customStyle="1" w:styleId="affffffffffffffffffffffffffff">
    <w:name w:val="表格文本 五号 居中 单倍行距"/>
    <w:basedOn w:val="af3"/>
    <w:rsid w:val="009964C3"/>
    <w:pPr>
      <w:spacing w:line="480" w:lineRule="exact"/>
    </w:pPr>
    <w:rPr>
      <w:rFonts w:ascii="黑体" w:eastAsia="黑体"/>
      <w:sz w:val="28"/>
      <w:szCs w:val="28"/>
    </w:rPr>
  </w:style>
  <w:style w:type="paragraph" w:customStyle="1" w:styleId="1116">
    <w:name w:val="页眉中111"/>
    <w:basedOn w:val="af3"/>
    <w:rsid w:val="009964C3"/>
    <w:pPr>
      <w:adjustRightInd w:val="0"/>
      <w:snapToGrid w:val="0"/>
      <w:spacing w:line="300" w:lineRule="auto"/>
      <w:jc w:val="left"/>
    </w:pPr>
    <w:rPr>
      <w:rFonts w:ascii="黑体" w:eastAsia="黑体" w:hAnsi="宋体"/>
      <w:sz w:val="24"/>
    </w:rPr>
  </w:style>
  <w:style w:type="paragraph" w:customStyle="1" w:styleId="CM74">
    <w:name w:val="CM74"/>
    <w:basedOn w:val="Default"/>
    <w:next w:val="Default"/>
    <w:semiHidden/>
    <w:rsid w:val="009964C3"/>
    <w:rPr>
      <w:rFonts w:ascii="黑体" w:eastAsia="黑体" w:hAnsi="Calibri" w:cs="Times New Roman"/>
      <w:color w:val="auto"/>
    </w:rPr>
  </w:style>
  <w:style w:type="paragraph" w:customStyle="1" w:styleId="1226105">
    <w:name w:val="样式 12.2.6.1 + 段后: 0.5 行"/>
    <w:basedOn w:val="12261"/>
    <w:rsid w:val="009964C3"/>
    <w:pPr>
      <w:numPr>
        <w:numId w:val="0"/>
      </w:numPr>
      <w:tabs>
        <w:tab w:val="left" w:pos="851"/>
        <w:tab w:val="left" w:pos="1620"/>
      </w:tabs>
      <w:spacing w:after="120"/>
      <w:ind w:leftChars="600" w:left="1620" w:hangingChars="200" w:hanging="360"/>
    </w:pPr>
    <w:rPr>
      <w:bCs/>
      <w:szCs w:val="20"/>
    </w:rPr>
  </w:style>
  <w:style w:type="paragraph" w:customStyle="1" w:styleId="affffffffffffffffffffffffffff0">
    <w:name w:val="报告书表格"/>
    <w:basedOn w:val="af3"/>
    <w:rsid w:val="009964C3"/>
    <w:pPr>
      <w:adjustRightInd w:val="0"/>
      <w:spacing w:before="60" w:after="60" w:line="240" w:lineRule="atLeast"/>
      <w:jc w:val="center"/>
      <w:textAlignment w:val="baseline"/>
    </w:pPr>
    <w:rPr>
      <w:kern w:val="0"/>
      <w:szCs w:val="20"/>
    </w:rPr>
  </w:style>
  <w:style w:type="paragraph" w:customStyle="1" w:styleId="CM68">
    <w:name w:val="CM68"/>
    <w:basedOn w:val="Default"/>
    <w:next w:val="Default"/>
    <w:semiHidden/>
    <w:rsid w:val="009964C3"/>
    <w:rPr>
      <w:rFonts w:ascii="仿宋_GB2312" w:eastAsia="仿宋_GB2312" w:hAnsi="Calibri" w:cs="Times New Roman"/>
      <w:color w:val="auto"/>
    </w:rPr>
  </w:style>
  <w:style w:type="paragraph" w:customStyle="1" w:styleId="ST2053">
    <w:name w:val="ST20_53"/>
    <w:basedOn w:val="ST2020"/>
    <w:rsid w:val="009964C3"/>
    <w:pPr>
      <w:ind w:left="1800"/>
    </w:pPr>
  </w:style>
  <w:style w:type="paragraph" w:customStyle="1" w:styleId="4420">
    <w:name w:val="表内小442"/>
    <w:basedOn w:val="affffffffff"/>
    <w:rsid w:val="009964C3"/>
    <w:pPr>
      <w:ind w:left="240" w:hanging="240"/>
      <w:jc w:val="both"/>
    </w:pPr>
    <w:rPr>
      <w:rFonts w:cs="Times New Roman"/>
    </w:rPr>
  </w:style>
  <w:style w:type="paragraph" w:customStyle="1" w:styleId="586">
    <w:name w:val="表内5中8"/>
    <w:basedOn w:val="af3"/>
    <w:rsid w:val="009964C3"/>
    <w:pPr>
      <w:adjustRightInd w:val="0"/>
      <w:snapToGrid w:val="0"/>
      <w:jc w:val="center"/>
    </w:pPr>
    <w:rPr>
      <w:rFonts w:ascii="宋体"/>
      <w:color w:val="000000"/>
      <w:szCs w:val="21"/>
    </w:rPr>
  </w:style>
  <w:style w:type="paragraph" w:customStyle="1" w:styleId="920">
    <w:name w:val="页眉中92"/>
    <w:basedOn w:val="af3"/>
    <w:rsid w:val="009964C3"/>
    <w:pPr>
      <w:adjustRightInd w:val="0"/>
      <w:snapToGrid w:val="0"/>
      <w:spacing w:line="300" w:lineRule="auto"/>
      <w:jc w:val="left"/>
    </w:pPr>
    <w:rPr>
      <w:rFonts w:ascii="黑体" w:eastAsia="黑体"/>
      <w:bCs/>
      <w:sz w:val="24"/>
      <w:szCs w:val="20"/>
    </w:rPr>
  </w:style>
  <w:style w:type="paragraph" w:customStyle="1" w:styleId="14b">
    <w:name w:val="表内文字小14"/>
    <w:basedOn w:val="af3"/>
    <w:rsid w:val="009964C3"/>
    <w:pPr>
      <w:adjustRightInd w:val="0"/>
      <w:snapToGrid w:val="0"/>
      <w:jc w:val="center"/>
    </w:pPr>
    <w:rPr>
      <w:rFonts w:ascii="宋体" w:hAnsi="Times" w:cs="宋体"/>
      <w:szCs w:val="20"/>
    </w:rPr>
  </w:style>
  <w:style w:type="paragraph" w:customStyle="1" w:styleId="5280">
    <w:name w:val="表内528"/>
    <w:basedOn w:val="af3"/>
    <w:rsid w:val="009964C3"/>
    <w:pPr>
      <w:adjustRightInd w:val="0"/>
      <w:snapToGrid w:val="0"/>
      <w:jc w:val="center"/>
    </w:pPr>
    <w:rPr>
      <w:rFonts w:ascii="宋体"/>
      <w:szCs w:val="20"/>
    </w:rPr>
  </w:style>
  <w:style w:type="paragraph" w:customStyle="1" w:styleId="13f2">
    <w:name w:val="表内文字小13"/>
    <w:basedOn w:val="af3"/>
    <w:rsid w:val="009964C3"/>
    <w:pPr>
      <w:adjustRightInd w:val="0"/>
      <w:snapToGrid w:val="0"/>
      <w:jc w:val="center"/>
    </w:pPr>
    <w:rPr>
      <w:rFonts w:ascii="宋体" w:hAnsi="Times"/>
      <w:szCs w:val="20"/>
    </w:rPr>
  </w:style>
  <w:style w:type="paragraph" w:customStyle="1" w:styleId="22d">
    <w:name w:val="等核实22"/>
    <w:basedOn w:val="afffffff4"/>
    <w:rsid w:val="009964C3"/>
  </w:style>
  <w:style w:type="paragraph" w:customStyle="1" w:styleId="1fffffff">
    <w:name w:val="节标题1"/>
    <w:basedOn w:val="aff8"/>
    <w:rsid w:val="009964C3"/>
    <w:pPr>
      <w:widowControl w:val="0"/>
      <w:overflowPunct/>
      <w:autoSpaceDE/>
      <w:autoSpaceDN/>
      <w:adjustRightInd/>
      <w:spacing w:before="120" w:after="120" w:line="500" w:lineRule="exact"/>
      <w:ind w:rightChars="107" w:right="107" w:firstLineChars="196" w:firstLine="549"/>
      <w:jc w:val="both"/>
      <w:textAlignment w:val="auto"/>
      <w:outlineLvl w:val="0"/>
    </w:pPr>
    <w:rPr>
      <w:rFonts w:eastAsia="宋体"/>
      <w:color w:val="auto"/>
      <w:kern w:val="28"/>
    </w:rPr>
  </w:style>
  <w:style w:type="paragraph" w:customStyle="1" w:styleId="7e">
    <w:name w:val="表内文字大7"/>
    <w:basedOn w:val="af3"/>
    <w:rsid w:val="009964C3"/>
    <w:pPr>
      <w:adjustRightInd w:val="0"/>
      <w:snapToGrid w:val="0"/>
      <w:jc w:val="center"/>
    </w:pPr>
    <w:rPr>
      <w:rFonts w:ascii="宋体" w:hAnsi="Times"/>
      <w:sz w:val="24"/>
      <w:szCs w:val="20"/>
    </w:rPr>
  </w:style>
  <w:style w:type="paragraph" w:customStyle="1" w:styleId="1fffffff0">
    <w:name w:val="圈1"/>
    <w:basedOn w:val="af3"/>
    <w:semiHidden/>
    <w:rsid w:val="009964C3"/>
    <w:pPr>
      <w:widowControl/>
      <w:tabs>
        <w:tab w:val="left" w:pos="-2160"/>
        <w:tab w:val="left" w:pos="9160"/>
        <w:tab w:val="left" w:pos="10080"/>
        <w:tab w:val="left" w:pos="10440"/>
        <w:tab w:val="left" w:pos="10992"/>
        <w:tab w:val="left" w:pos="11908"/>
        <w:tab w:val="left" w:pos="12824"/>
        <w:tab w:val="left" w:pos="13740"/>
        <w:tab w:val="left" w:pos="14656"/>
      </w:tabs>
      <w:snapToGrid w:val="0"/>
      <w:spacing w:beforeLines="100"/>
      <w:ind w:leftChars="375" w:left="1076" w:hangingChars="63" w:hanging="176"/>
      <w:jc w:val="left"/>
    </w:pPr>
    <w:rPr>
      <w:rFonts w:ascii="DFKai-SB" w:eastAsia="DFKai-SB" w:hAnsi="DFKai-SB" w:cs="Courier New"/>
      <w:color w:val="000000"/>
      <w:kern w:val="0"/>
      <w:sz w:val="28"/>
      <w:szCs w:val="20"/>
      <w:lang w:eastAsia="zh-TW"/>
    </w:rPr>
  </w:style>
  <w:style w:type="paragraph" w:customStyle="1" w:styleId="Char221">
    <w:name w:val="样式 样式 正文首行缩进正文首行缩进 Char + 首行缩进:  2 字符 + 首行缩进:  2 字符"/>
    <w:basedOn w:val="af3"/>
    <w:rsid w:val="009964C3"/>
    <w:pPr>
      <w:adjustRightInd w:val="0"/>
      <w:snapToGrid w:val="0"/>
      <w:spacing w:line="360" w:lineRule="auto"/>
      <w:ind w:firstLineChars="200" w:firstLine="480"/>
      <w:textAlignment w:val="baseline"/>
    </w:pPr>
    <w:rPr>
      <w:rFonts w:ascii="宋体" w:cs="宋体"/>
      <w:sz w:val="24"/>
      <w:szCs w:val="20"/>
      <w:lang w:val="zh-CN"/>
    </w:rPr>
  </w:style>
  <w:style w:type="paragraph" w:customStyle="1" w:styleId="afff6">
    <w:name w:val="南车表头"/>
    <w:basedOn w:val="af3"/>
    <w:link w:val="Charf8"/>
    <w:semiHidden/>
    <w:rsid w:val="009964C3"/>
    <w:pPr>
      <w:spacing w:line="312" w:lineRule="auto"/>
      <w:jc w:val="center"/>
    </w:pPr>
    <w:rPr>
      <w:rFonts w:ascii="Arial" w:eastAsia="黑体" w:hAnsi="Arial"/>
      <w:color w:val="000000"/>
      <w:kern w:val="10"/>
      <w:sz w:val="24"/>
      <w:szCs w:val="20"/>
    </w:rPr>
  </w:style>
  <w:style w:type="paragraph" w:customStyle="1" w:styleId="051">
    <w:name w:val="样式 表文字 + 四号 边框:: (单实线 自动设置  0.5 磅 行宽)"/>
    <w:basedOn w:val="af3"/>
    <w:next w:val="2f"/>
    <w:rsid w:val="009964C3"/>
    <w:pPr>
      <w:overflowPunct w:val="0"/>
      <w:autoSpaceDE w:val="0"/>
      <w:autoSpaceDN w:val="0"/>
      <w:adjustRightInd w:val="0"/>
      <w:textAlignment w:val="baseline"/>
    </w:pPr>
    <w:rPr>
      <w:kern w:val="0"/>
      <w:sz w:val="24"/>
      <w:szCs w:val="20"/>
      <w:bdr w:val="single" w:sz="4" w:space="0" w:color="auto"/>
    </w:rPr>
  </w:style>
  <w:style w:type="paragraph" w:customStyle="1" w:styleId="4450">
    <w:name w:val="表内小445"/>
    <w:basedOn w:val="affffffffff"/>
    <w:rsid w:val="009964C3"/>
    <w:pPr>
      <w:ind w:left="240" w:hanging="240"/>
      <w:jc w:val="both"/>
    </w:pPr>
    <w:rPr>
      <w:rFonts w:cs="Times New Roman"/>
    </w:rPr>
  </w:style>
  <w:style w:type="paragraph" w:customStyle="1" w:styleId="1fffffff1">
    <w:name w:val="样式 标题 1 + 小二"/>
    <w:basedOn w:val="13"/>
    <w:semiHidden/>
    <w:rsid w:val="009964C3"/>
    <w:pPr>
      <w:keepLines w:val="0"/>
      <w:pageBreakBefore/>
      <w:tabs>
        <w:tab w:val="left" w:pos="1021"/>
        <w:tab w:val="left" w:pos="4380"/>
      </w:tabs>
      <w:spacing w:before="80" w:after="80" w:line="240" w:lineRule="auto"/>
      <w:ind w:left="3372" w:hanging="432"/>
      <w:jc w:val="center"/>
    </w:pPr>
    <w:rPr>
      <w:bCs w:val="0"/>
      <w:kern w:val="2"/>
      <w:sz w:val="32"/>
      <w:szCs w:val="28"/>
    </w:rPr>
  </w:style>
  <w:style w:type="paragraph" w:customStyle="1" w:styleId="aff1">
    <w:name w:val="正文 + 宋体"/>
    <w:basedOn w:val="af3"/>
    <w:link w:val="Char"/>
    <w:semiHidden/>
    <w:rsid w:val="009964C3"/>
    <w:pPr>
      <w:ind w:firstLineChars="200" w:firstLine="560"/>
    </w:pPr>
    <w:rPr>
      <w:rFonts w:ascii="宋体" w:hAnsi="宋体"/>
      <w:sz w:val="28"/>
      <w:szCs w:val="20"/>
    </w:rPr>
  </w:style>
  <w:style w:type="paragraph" w:customStyle="1" w:styleId="22e">
    <w:name w:val="燕山正文22"/>
    <w:basedOn w:val="af3"/>
    <w:qFormat/>
    <w:rsid w:val="009964C3"/>
    <w:pPr>
      <w:tabs>
        <w:tab w:val="left" w:pos="4680"/>
      </w:tabs>
      <w:adjustRightInd w:val="0"/>
      <w:snapToGrid w:val="0"/>
      <w:spacing w:line="360" w:lineRule="auto"/>
      <w:ind w:firstLineChars="200" w:firstLine="480"/>
      <w:jc w:val="left"/>
    </w:pPr>
    <w:rPr>
      <w:rFonts w:ascii="宋体" w:hAnsi="宋体"/>
      <w:bCs/>
      <w:color w:val="000000"/>
      <w:sz w:val="24"/>
    </w:rPr>
  </w:style>
  <w:style w:type="paragraph" w:customStyle="1" w:styleId="5850">
    <w:name w:val="表内585"/>
    <w:basedOn w:val="af3"/>
    <w:rsid w:val="009964C3"/>
    <w:pPr>
      <w:adjustRightInd w:val="0"/>
      <w:snapToGrid w:val="0"/>
      <w:spacing w:line="300" w:lineRule="auto"/>
      <w:jc w:val="left"/>
    </w:pPr>
    <w:rPr>
      <w:rFonts w:ascii="宋体"/>
      <w:szCs w:val="20"/>
    </w:rPr>
  </w:style>
  <w:style w:type="paragraph" w:customStyle="1" w:styleId="281">
    <w:name w:val="页眉中28"/>
    <w:basedOn w:val="4a"/>
    <w:rsid w:val="009964C3"/>
    <w:pPr>
      <w:snapToGrid w:val="0"/>
      <w:spacing w:line="360" w:lineRule="auto"/>
      <w:textAlignment w:val="auto"/>
    </w:pPr>
    <w:rPr>
      <w:rFonts w:ascii="黑体" w:eastAsia="黑体"/>
      <w:szCs w:val="24"/>
    </w:rPr>
  </w:style>
  <w:style w:type="paragraph" w:customStyle="1" w:styleId="327">
    <w:name w:val="表内文字大32"/>
    <w:basedOn w:val="af3"/>
    <w:rsid w:val="009964C3"/>
    <w:pPr>
      <w:adjustRightInd w:val="0"/>
      <w:snapToGrid w:val="0"/>
      <w:jc w:val="center"/>
    </w:pPr>
    <w:rPr>
      <w:rFonts w:ascii="宋体" w:hAnsi="Times"/>
      <w:sz w:val="24"/>
      <w:szCs w:val="20"/>
    </w:rPr>
  </w:style>
  <w:style w:type="paragraph" w:customStyle="1" w:styleId="affffffffffffffffffffffffffff1">
    <w:name w:val="附录表标题"/>
    <w:next w:val="af3"/>
    <w:semiHidden/>
    <w:rsid w:val="009964C3"/>
    <w:pPr>
      <w:tabs>
        <w:tab w:val="left" w:pos="1680"/>
      </w:tabs>
      <w:adjustRightInd w:val="0"/>
      <w:snapToGrid w:val="0"/>
      <w:spacing w:line="400" w:lineRule="atLeast"/>
      <w:ind w:left="1680" w:hanging="420"/>
      <w:jc w:val="center"/>
      <w:textAlignment w:val="baseline"/>
    </w:pPr>
    <w:rPr>
      <w:rFonts w:ascii="宋体" w:hAnsi="宋体"/>
      <w:kern w:val="21"/>
      <w:sz w:val="24"/>
    </w:rPr>
  </w:style>
  <w:style w:type="paragraph" w:customStyle="1" w:styleId="5451">
    <w:name w:val="表内5中45"/>
    <w:basedOn w:val="54"/>
    <w:rsid w:val="009964C3"/>
    <w:pPr>
      <w:spacing w:line="240" w:lineRule="auto"/>
    </w:pPr>
    <w:rPr>
      <w:rFonts w:hAnsi="Times New Roman" w:cs="Times New Roman"/>
      <w:bCs/>
    </w:rPr>
  </w:style>
  <w:style w:type="paragraph" w:customStyle="1" w:styleId="1122">
    <w:name w:val="页眉中112"/>
    <w:basedOn w:val="4a"/>
    <w:rsid w:val="009964C3"/>
    <w:pPr>
      <w:snapToGrid w:val="0"/>
      <w:spacing w:line="300" w:lineRule="auto"/>
      <w:textAlignment w:val="auto"/>
    </w:pPr>
    <w:rPr>
      <w:rFonts w:ascii="黑体" w:eastAsia="黑体" w:hAnsi="宋体" w:cs="宋体"/>
    </w:rPr>
  </w:style>
  <w:style w:type="paragraph" w:customStyle="1" w:styleId="1-2">
    <w:name w:val="1-表头"/>
    <w:basedOn w:val="af3"/>
    <w:semiHidden/>
    <w:rsid w:val="009964C3"/>
    <w:pPr>
      <w:spacing w:beforeLines="50" w:afterLines="20"/>
      <w:jc w:val="center"/>
    </w:pPr>
    <w:rPr>
      <w:rFonts w:ascii="宋体" w:hAnsi="宋体" w:cs="宋体"/>
      <w:szCs w:val="21"/>
    </w:rPr>
  </w:style>
  <w:style w:type="paragraph" w:customStyle="1" w:styleId="35a">
    <w:name w:val="福建正文缩进35"/>
    <w:basedOn w:val="af4"/>
    <w:rsid w:val="009964C3"/>
    <w:pPr>
      <w:autoSpaceDE w:val="0"/>
      <w:autoSpaceDN w:val="0"/>
      <w:adjustRightInd w:val="0"/>
      <w:snapToGrid w:val="0"/>
      <w:spacing w:line="360" w:lineRule="auto"/>
      <w:ind w:firstLineChars="0" w:firstLine="539"/>
    </w:pPr>
    <w:rPr>
      <w:rFonts w:ascii="宋体" w:hAnsi="宋体"/>
      <w:sz w:val="24"/>
      <w:szCs w:val="24"/>
    </w:rPr>
  </w:style>
  <w:style w:type="paragraph" w:customStyle="1" w:styleId="CharChar4CharCharCharCharCharCharCharCharCharCharCharCharCharCharCharCharCharCharCharCharCharChar">
    <w:name w:val="Char Char4 Char Char Char Char Char Char Char Char Char Char Char Char Char Char Char Char Char Char Char Char Char Char"/>
    <w:basedOn w:val="af3"/>
    <w:semiHidden/>
    <w:rsid w:val="009964C3"/>
    <w:pPr>
      <w:tabs>
        <w:tab w:val="left" w:pos="1720"/>
      </w:tabs>
      <w:adjustRightInd w:val="0"/>
      <w:snapToGrid w:val="0"/>
      <w:ind w:left="1720" w:hanging="1080"/>
      <w:jc w:val="left"/>
    </w:pPr>
    <w:rPr>
      <w:rFonts w:eastAsia="黑体"/>
      <w:sz w:val="24"/>
    </w:rPr>
  </w:style>
  <w:style w:type="paragraph" w:customStyle="1" w:styleId="cucd-C0">
    <w:name w:val="cucd-C"/>
    <w:next w:val="cucd-0"/>
    <w:semiHidden/>
    <w:rsid w:val="009964C3"/>
    <w:pPr>
      <w:spacing w:line="360" w:lineRule="auto"/>
      <w:outlineLvl w:val="2"/>
    </w:pPr>
    <w:rPr>
      <w:rFonts w:ascii="Arial" w:hAnsi="Arial"/>
      <w:b/>
      <w:kern w:val="2"/>
      <w:sz w:val="28"/>
      <w:szCs w:val="28"/>
    </w:rPr>
  </w:style>
  <w:style w:type="paragraph" w:customStyle="1" w:styleId="Char00">
    <w:name w:val="样式 正文首行缩进正文首行缩进 Char + 段后: 0 磅"/>
    <w:basedOn w:val="aff7"/>
    <w:semiHidden/>
    <w:qFormat/>
    <w:rsid w:val="009964C3"/>
    <w:pPr>
      <w:overflowPunct/>
      <w:autoSpaceDE/>
      <w:autoSpaceDN/>
      <w:adjustRightInd/>
      <w:ind w:firstLine="482"/>
      <w:textAlignment w:val="auto"/>
    </w:pPr>
    <w:rPr>
      <w:kern w:val="10"/>
      <w:sz w:val="24"/>
      <w:szCs w:val="24"/>
    </w:rPr>
  </w:style>
  <w:style w:type="paragraph" w:customStyle="1" w:styleId="CM31">
    <w:name w:val="CM31"/>
    <w:basedOn w:val="Default"/>
    <w:next w:val="Default"/>
    <w:semiHidden/>
    <w:rsid w:val="009964C3"/>
    <w:pPr>
      <w:spacing w:line="473" w:lineRule="atLeast"/>
    </w:pPr>
    <w:rPr>
      <w:rFonts w:cs="Times New Roman"/>
      <w:color w:val="auto"/>
    </w:rPr>
  </w:style>
  <w:style w:type="paragraph" w:customStyle="1" w:styleId="4320">
    <w:name w:val="标题432"/>
    <w:basedOn w:val="af3"/>
    <w:rsid w:val="009964C3"/>
    <w:pPr>
      <w:adjustRightInd w:val="0"/>
      <w:snapToGrid w:val="0"/>
      <w:spacing w:line="300" w:lineRule="auto"/>
      <w:jc w:val="left"/>
    </w:pPr>
    <w:rPr>
      <w:rFonts w:ascii="黑体" w:eastAsia="黑体" w:hAnsi="宋体" w:cs="宋体"/>
      <w:sz w:val="24"/>
    </w:rPr>
  </w:style>
  <w:style w:type="paragraph" w:customStyle="1" w:styleId="4421">
    <w:name w:val="标题442"/>
    <w:basedOn w:val="af3"/>
    <w:rsid w:val="009964C3"/>
    <w:pPr>
      <w:adjustRightInd w:val="0"/>
      <w:snapToGrid w:val="0"/>
      <w:spacing w:line="300" w:lineRule="auto"/>
      <w:jc w:val="left"/>
    </w:pPr>
    <w:rPr>
      <w:rFonts w:ascii="黑体" w:eastAsia="黑体"/>
      <w:bCs/>
      <w:color w:val="000000"/>
      <w:sz w:val="24"/>
    </w:rPr>
  </w:style>
  <w:style w:type="paragraph" w:customStyle="1" w:styleId="236">
    <w:name w:val="表内文字小23"/>
    <w:basedOn w:val="af3"/>
    <w:rsid w:val="009964C3"/>
    <w:pPr>
      <w:adjustRightInd w:val="0"/>
      <w:snapToGrid w:val="0"/>
      <w:jc w:val="center"/>
    </w:pPr>
    <w:rPr>
      <w:rFonts w:ascii="宋体" w:hAnsi="Times"/>
      <w:bCs/>
      <w:color w:val="003366"/>
      <w:szCs w:val="20"/>
    </w:rPr>
  </w:style>
  <w:style w:type="paragraph" w:customStyle="1" w:styleId="affffffb">
    <w:name w:val="表粗"/>
    <w:basedOn w:val="612"/>
    <w:link w:val="Charffff8"/>
    <w:semiHidden/>
    <w:rsid w:val="009964C3"/>
    <w:rPr>
      <w:b/>
      <w:kern w:val="0"/>
    </w:rPr>
  </w:style>
  <w:style w:type="paragraph" w:customStyle="1" w:styleId="612">
    <w:name w:val="612表格"/>
    <w:basedOn w:val="af3"/>
    <w:link w:val="612Char"/>
    <w:semiHidden/>
    <w:rsid w:val="009964C3"/>
    <w:pPr>
      <w:spacing w:line="360" w:lineRule="exact"/>
      <w:jc w:val="center"/>
    </w:pPr>
    <w:rPr>
      <w:rFonts w:ascii="Arial Unicode MS" w:hAnsi="Arial Unicode MS"/>
      <w:szCs w:val="21"/>
    </w:rPr>
  </w:style>
  <w:style w:type="paragraph" w:customStyle="1" w:styleId="53d">
    <w:name w:val="样式 表内5 + (符号) 宋体 两端对齐 行距: 单倍行距3"/>
    <w:basedOn w:val="54"/>
    <w:rsid w:val="009964C3"/>
    <w:pPr>
      <w:spacing w:line="240" w:lineRule="auto"/>
    </w:pPr>
    <w:rPr>
      <w:kern w:val="0"/>
    </w:rPr>
  </w:style>
  <w:style w:type="paragraph" w:customStyle="1" w:styleId="14c">
    <w:name w:val="样式14"/>
    <w:basedOn w:val="afffffff4"/>
    <w:rsid w:val="009964C3"/>
    <w:pPr>
      <w:tabs>
        <w:tab w:val="clear" w:pos="4305"/>
      </w:tabs>
      <w:spacing w:line="240" w:lineRule="auto"/>
      <w:ind w:firstLine="0"/>
    </w:pPr>
    <w:rPr>
      <w:rFonts w:ascii="方正大标宋简体" w:eastAsia="方正大标宋简体"/>
      <w:color w:val="0000FF"/>
    </w:rPr>
  </w:style>
  <w:style w:type="paragraph" w:customStyle="1" w:styleId="2fffffb">
    <w:name w:val="题图2"/>
    <w:basedOn w:val="af3"/>
    <w:rsid w:val="009964C3"/>
    <w:pPr>
      <w:adjustRightInd w:val="0"/>
      <w:snapToGrid w:val="0"/>
      <w:jc w:val="center"/>
    </w:pPr>
    <w:rPr>
      <w:rFonts w:ascii="宋体" w:hAnsi="宋体" w:cs="宋体"/>
      <w:sz w:val="28"/>
    </w:rPr>
  </w:style>
  <w:style w:type="paragraph" w:customStyle="1" w:styleId="5126">
    <w:name w:val="表内宋512"/>
    <w:basedOn w:val="affffffffff5"/>
    <w:rsid w:val="009964C3"/>
    <w:pPr>
      <w:adjustRightInd w:val="0"/>
      <w:snapToGrid w:val="0"/>
      <w:jc w:val="both"/>
    </w:pPr>
    <w:rPr>
      <w:color w:val="000000"/>
      <w:sz w:val="21"/>
    </w:rPr>
  </w:style>
  <w:style w:type="paragraph" w:customStyle="1" w:styleId="2fffffc">
    <w:name w:val="表中文字2"/>
    <w:basedOn w:val="af3"/>
    <w:qFormat/>
    <w:rsid w:val="009964C3"/>
    <w:pPr>
      <w:widowControl/>
      <w:spacing w:line="240" w:lineRule="atLeast"/>
      <w:ind w:leftChars="-10" w:left="-24" w:rightChars="-20" w:right="-48"/>
      <w:jc w:val="center"/>
    </w:pPr>
    <w:rPr>
      <w:rFonts w:ascii="宋体"/>
      <w:kern w:val="0"/>
      <w:szCs w:val="21"/>
    </w:rPr>
  </w:style>
  <w:style w:type="paragraph" w:customStyle="1" w:styleId="42e">
    <w:name w:val="表内文字小42"/>
    <w:basedOn w:val="af3"/>
    <w:rsid w:val="009964C3"/>
    <w:pPr>
      <w:adjustRightInd w:val="0"/>
      <w:snapToGrid w:val="0"/>
      <w:jc w:val="center"/>
    </w:pPr>
    <w:rPr>
      <w:rFonts w:ascii="宋体" w:hAnsi="Times"/>
      <w:color w:val="000000"/>
      <w:sz w:val="18"/>
      <w:szCs w:val="18"/>
    </w:rPr>
  </w:style>
  <w:style w:type="paragraph" w:customStyle="1" w:styleId="affffffffffffffffffffffffffff2">
    <w:name w:val="正文加"/>
    <w:basedOn w:val="af3"/>
    <w:next w:val="af3"/>
    <w:rsid w:val="009964C3"/>
    <w:pPr>
      <w:spacing w:line="288" w:lineRule="auto"/>
      <w:ind w:firstLineChars="200" w:firstLine="560"/>
    </w:pPr>
    <w:rPr>
      <w:rFonts w:ascii="仿宋_GB2312" w:eastAsia="仿宋_GB2312"/>
      <w:sz w:val="28"/>
      <w:szCs w:val="28"/>
    </w:rPr>
  </w:style>
  <w:style w:type="paragraph" w:customStyle="1" w:styleId="4321">
    <w:name w:val="表内小432"/>
    <w:basedOn w:val="affffffffff"/>
    <w:rsid w:val="009964C3"/>
    <w:pPr>
      <w:ind w:left="240" w:hanging="240"/>
      <w:jc w:val="both"/>
    </w:pPr>
    <w:rPr>
      <w:rFonts w:cs="Times New Roman"/>
    </w:rPr>
  </w:style>
  <w:style w:type="paragraph" w:customStyle="1" w:styleId="623">
    <w:name w:val="表题62"/>
    <w:basedOn w:val="afffffff4"/>
    <w:rsid w:val="009964C3"/>
    <w:pPr>
      <w:spacing w:line="240" w:lineRule="auto"/>
      <w:ind w:firstLineChars="200" w:firstLine="480"/>
      <w:jc w:val="center"/>
    </w:pPr>
    <w:rPr>
      <w:rFonts w:ascii="黑体" w:eastAsia="黑体" w:cs="Times New Roman"/>
      <w:color w:val="auto"/>
      <w:szCs w:val="20"/>
    </w:rPr>
  </w:style>
  <w:style w:type="paragraph" w:customStyle="1" w:styleId="624">
    <w:name w:val="页眉中62"/>
    <w:basedOn w:val="4a"/>
    <w:rsid w:val="009964C3"/>
    <w:pPr>
      <w:snapToGrid w:val="0"/>
      <w:spacing w:line="360" w:lineRule="auto"/>
      <w:textAlignment w:val="auto"/>
    </w:pPr>
    <w:rPr>
      <w:rFonts w:ascii="黑体" w:eastAsia="黑体"/>
      <w:szCs w:val="24"/>
    </w:rPr>
  </w:style>
  <w:style w:type="paragraph" w:customStyle="1" w:styleId="15f5">
    <w:name w:val="样式 小四 行距: 1.5 倍行距"/>
    <w:basedOn w:val="af3"/>
    <w:rsid w:val="009964C3"/>
    <w:pPr>
      <w:spacing w:line="360" w:lineRule="auto"/>
      <w:ind w:firstLineChars="200" w:firstLine="200"/>
    </w:pPr>
    <w:rPr>
      <w:rFonts w:cs="宋体"/>
      <w:sz w:val="24"/>
      <w:szCs w:val="20"/>
    </w:rPr>
  </w:style>
  <w:style w:type="paragraph" w:customStyle="1" w:styleId="3ffff">
    <w:name w:val="正文3"/>
    <w:rsid w:val="009964C3"/>
    <w:pPr>
      <w:widowControl w:val="0"/>
      <w:adjustRightInd w:val="0"/>
      <w:spacing w:line="360" w:lineRule="atLeast"/>
      <w:jc w:val="both"/>
    </w:pPr>
    <w:rPr>
      <w:rFonts w:ascii="宋体" w:hint="eastAsia"/>
      <w:sz w:val="24"/>
    </w:rPr>
  </w:style>
  <w:style w:type="paragraph" w:customStyle="1" w:styleId="xx2">
    <w:name w:val="页眉xx2"/>
    <w:basedOn w:val="affffff"/>
    <w:rsid w:val="009964C3"/>
    <w:pPr>
      <w:framePr w:wrap="around" w:vAnchor="text" w:hAnchor="text" w:y="1"/>
      <w:pBdr>
        <w:bottom w:val="none" w:sz="0" w:space="0" w:color="auto"/>
      </w:pBdr>
      <w:tabs>
        <w:tab w:val="clear" w:pos="4153"/>
      </w:tabs>
      <w:adjustRightInd w:val="0"/>
    </w:pPr>
    <w:rPr>
      <w:rFonts w:ascii="宋体" w:hAnsi="宋体"/>
      <w:sz w:val="21"/>
      <w:szCs w:val="20"/>
    </w:rPr>
  </w:style>
  <w:style w:type="paragraph" w:customStyle="1" w:styleId="2fffffd">
    <w:name w:val="表内文字边2"/>
    <w:basedOn w:val="affffffffffffa"/>
    <w:rsid w:val="009964C3"/>
    <w:pPr>
      <w:adjustRightInd w:val="0"/>
      <w:snapToGrid w:val="0"/>
      <w:jc w:val="both"/>
    </w:pPr>
  </w:style>
  <w:style w:type="paragraph" w:customStyle="1" w:styleId="affffffffffffffffffffffffffff3">
    <w:name w:val="表第一列"/>
    <w:basedOn w:val="aff7"/>
    <w:rsid w:val="009964C3"/>
    <w:pPr>
      <w:keepNext/>
      <w:keepLines/>
      <w:widowControl/>
      <w:tabs>
        <w:tab w:val="left" w:pos="1727"/>
        <w:tab w:val="left" w:pos="1884"/>
        <w:tab w:val="left" w:pos="2940"/>
      </w:tabs>
      <w:overflowPunct/>
      <w:autoSpaceDE/>
      <w:autoSpaceDN/>
      <w:snapToGrid w:val="0"/>
      <w:spacing w:line="0" w:lineRule="atLeast"/>
      <w:ind w:firstLine="0"/>
      <w:jc w:val="center"/>
      <w:textAlignment w:val="auto"/>
    </w:pPr>
    <w:rPr>
      <w:rFonts w:ascii="宋体" w:hAnsi="宋体"/>
      <w:b/>
      <w:color w:val="000000"/>
      <w:spacing w:val="-4"/>
      <w:sz w:val="21"/>
      <w:szCs w:val="20"/>
    </w:rPr>
  </w:style>
  <w:style w:type="paragraph" w:customStyle="1" w:styleId="52f5">
    <w:name w:val="标题52"/>
    <w:basedOn w:val="af3"/>
    <w:rsid w:val="009964C3"/>
    <w:pPr>
      <w:keepNext/>
      <w:keepLines/>
      <w:widowControl/>
      <w:adjustRightInd w:val="0"/>
      <w:snapToGrid w:val="0"/>
      <w:spacing w:line="360" w:lineRule="auto"/>
      <w:outlineLvl w:val="2"/>
    </w:pPr>
    <w:rPr>
      <w:b/>
      <w:snapToGrid w:val="0"/>
      <w:color w:val="000000"/>
      <w:kern w:val="0"/>
      <w:sz w:val="18"/>
      <w:szCs w:val="20"/>
    </w:rPr>
  </w:style>
  <w:style w:type="paragraph" w:customStyle="1" w:styleId="5322">
    <w:name w:val="表内5中32"/>
    <w:basedOn w:val="af3"/>
    <w:qFormat/>
    <w:rsid w:val="009964C3"/>
    <w:pPr>
      <w:adjustRightInd w:val="0"/>
      <w:snapToGrid w:val="0"/>
      <w:jc w:val="center"/>
    </w:pPr>
    <w:rPr>
      <w:rFonts w:ascii="宋体"/>
    </w:rPr>
  </w:style>
  <w:style w:type="paragraph" w:customStyle="1" w:styleId="affffffffffffffffffffffffffff4">
    <w:name w:val="字母项"/>
    <w:basedOn w:val="43"/>
    <w:rsid w:val="009964C3"/>
    <w:pPr>
      <w:keepNext w:val="0"/>
      <w:keepLines w:val="0"/>
      <w:widowControl/>
      <w:tabs>
        <w:tab w:val="left" w:pos="425"/>
      </w:tabs>
      <w:spacing w:before="0" w:after="0" w:line="440" w:lineRule="exact"/>
      <w:ind w:left="425" w:hanging="425"/>
      <w:jc w:val="left"/>
      <w:outlineLvl w:val="9"/>
    </w:pPr>
    <w:rPr>
      <w:rFonts w:ascii="宋体" w:eastAsia="宋体" w:hAnsi="宋体"/>
      <w:b w:val="0"/>
      <w:bCs w:val="0"/>
      <w:kern w:val="0"/>
      <w:sz w:val="24"/>
      <w:szCs w:val="20"/>
    </w:rPr>
  </w:style>
  <w:style w:type="paragraph" w:customStyle="1" w:styleId="3H3BHead3Char11105">
    <w:name w:val="样式 标题 3H3B Head标题 3 Char条标题1.1.1 + 黑色 段前: 0.5 行"/>
    <w:basedOn w:val="31"/>
    <w:rsid w:val="009964C3"/>
    <w:pPr>
      <w:keepNext w:val="0"/>
      <w:keepLines w:val="0"/>
      <w:adjustRightInd w:val="0"/>
      <w:snapToGrid w:val="0"/>
      <w:spacing w:beforeLines="50" w:after="0" w:line="360" w:lineRule="auto"/>
      <w:ind w:left="720" w:hanging="720"/>
      <w:jc w:val="left"/>
    </w:pPr>
    <w:rPr>
      <w:rFonts w:cs="宋体"/>
      <w:snapToGrid w:val="0"/>
      <w:color w:val="000000"/>
      <w:kern w:val="24"/>
      <w:sz w:val="24"/>
      <w:szCs w:val="20"/>
    </w:rPr>
  </w:style>
  <w:style w:type="paragraph" w:customStyle="1" w:styleId="Bullet20">
    <w:name w:val="Bullet 2"/>
    <w:basedOn w:val="af3"/>
    <w:next w:val="af3"/>
    <w:rsid w:val="009964C3"/>
    <w:pPr>
      <w:widowControl/>
      <w:tabs>
        <w:tab w:val="left" w:pos="360"/>
        <w:tab w:val="left" w:pos="1440"/>
      </w:tabs>
      <w:ind w:left="2880" w:hangingChars="200" w:hanging="360"/>
      <w:jc w:val="left"/>
    </w:pPr>
    <w:rPr>
      <w:rFonts w:ascii="Arial" w:hAnsi="Arial"/>
      <w:kern w:val="0"/>
      <w:sz w:val="20"/>
      <w:szCs w:val="20"/>
    </w:rPr>
  </w:style>
  <w:style w:type="paragraph" w:customStyle="1" w:styleId="-1">
    <w:name w:val="表内-文字"/>
    <w:basedOn w:val="af3"/>
    <w:rsid w:val="009964C3"/>
    <w:pPr>
      <w:spacing w:line="320" w:lineRule="exact"/>
      <w:jc w:val="center"/>
    </w:pPr>
    <w:rPr>
      <w:rFonts w:eastAsia="楷体_GB2312" w:cs="宋体"/>
      <w:bCs/>
      <w:color w:val="000000"/>
      <w:szCs w:val="21"/>
    </w:rPr>
  </w:style>
  <w:style w:type="paragraph" w:customStyle="1" w:styleId="328">
    <w:name w:val="样式32"/>
    <w:basedOn w:val="afff"/>
    <w:qFormat/>
    <w:rsid w:val="009964C3"/>
    <w:pPr>
      <w:widowControl/>
      <w:overflowPunct w:val="0"/>
      <w:autoSpaceDE w:val="0"/>
      <w:autoSpaceDN w:val="0"/>
      <w:adjustRightInd w:val="0"/>
      <w:snapToGrid w:val="0"/>
      <w:spacing w:after="0" w:line="360" w:lineRule="auto"/>
      <w:ind w:firstLine="567"/>
      <w:textAlignment w:val="baseline"/>
    </w:pPr>
    <w:rPr>
      <w:rFonts w:ascii="宋体"/>
      <w:spacing w:val="20"/>
      <w:kern w:val="0"/>
      <w:sz w:val="24"/>
      <w:szCs w:val="20"/>
    </w:rPr>
  </w:style>
  <w:style w:type="paragraph" w:customStyle="1" w:styleId="affffffffffffffffffffffffffff5">
    <w:name w:val="特殊标题３"/>
    <w:basedOn w:val="af3"/>
    <w:semiHidden/>
    <w:qFormat/>
    <w:rsid w:val="009964C3"/>
    <w:pPr>
      <w:overflowPunct w:val="0"/>
      <w:autoSpaceDE w:val="0"/>
      <w:autoSpaceDN w:val="0"/>
      <w:adjustRightInd w:val="0"/>
      <w:spacing w:line="360" w:lineRule="auto"/>
      <w:textAlignment w:val="baseline"/>
    </w:pPr>
    <w:rPr>
      <w:rFonts w:eastAsia="仿宋_GB2312"/>
      <w:kern w:val="0"/>
      <w:sz w:val="28"/>
      <w:szCs w:val="20"/>
    </w:rPr>
  </w:style>
  <w:style w:type="paragraph" w:customStyle="1" w:styleId="Char2fb">
    <w:name w:val="样式 正文缩进正文缩进 Char + 首行缩进:  2 字符"/>
    <w:basedOn w:val="af4"/>
    <w:semiHidden/>
    <w:rsid w:val="009964C3"/>
    <w:pPr>
      <w:adjustRightInd w:val="0"/>
      <w:snapToGrid w:val="0"/>
      <w:spacing w:before="120" w:after="120" w:line="480" w:lineRule="exact"/>
      <w:ind w:firstLineChars="0" w:firstLine="0"/>
      <w:jc w:val="center"/>
    </w:pPr>
    <w:rPr>
      <w:rFonts w:ascii="宋体" w:hAnsi="宋体"/>
      <w:b/>
      <w:snapToGrid w:val="0"/>
      <w:kern w:val="0"/>
      <w:sz w:val="24"/>
      <w:szCs w:val="28"/>
    </w:rPr>
  </w:style>
  <w:style w:type="paragraph" w:customStyle="1" w:styleId="ST2033">
    <w:name w:val="ST20_33"/>
    <w:basedOn w:val="affe"/>
    <w:rsid w:val="009964C3"/>
    <w:pPr>
      <w:keepLines/>
      <w:widowControl w:val="0"/>
      <w:tabs>
        <w:tab w:val="clear" w:pos="4153"/>
        <w:tab w:val="clear" w:pos="8306"/>
        <w:tab w:val="center" w:pos="4320"/>
        <w:tab w:val="right" w:pos="8640"/>
      </w:tabs>
      <w:autoSpaceDE w:val="0"/>
      <w:autoSpaceDN w:val="0"/>
      <w:adjustRightInd w:val="0"/>
      <w:snapToGrid/>
      <w:spacing w:line="360" w:lineRule="atLeast"/>
      <w:textAlignment w:val="baseline"/>
    </w:pPr>
    <w:rPr>
      <w:rFonts w:hAnsi="Tms Rmn" w:cs="Times New Roman"/>
      <w:sz w:val="28"/>
      <w:szCs w:val="28"/>
    </w:rPr>
  </w:style>
  <w:style w:type="paragraph" w:customStyle="1" w:styleId="Char212">
    <w:name w:val="Char21"/>
    <w:basedOn w:val="af3"/>
    <w:rsid w:val="009964C3"/>
    <w:pPr>
      <w:adjustRightInd w:val="0"/>
      <w:snapToGrid w:val="0"/>
      <w:spacing w:line="360" w:lineRule="auto"/>
      <w:ind w:firstLineChars="200" w:firstLine="200"/>
    </w:pPr>
    <w:rPr>
      <w:rFonts w:ascii="黑体" w:eastAsia="黑体"/>
      <w:sz w:val="24"/>
    </w:rPr>
  </w:style>
  <w:style w:type="paragraph" w:customStyle="1" w:styleId="921">
    <w:name w:val="表题92"/>
    <w:basedOn w:val="afffffffff2"/>
    <w:rsid w:val="009964C3"/>
    <w:pPr>
      <w:adjustRightInd w:val="0"/>
      <w:snapToGrid w:val="0"/>
      <w:spacing w:line="300" w:lineRule="auto"/>
      <w:jc w:val="center"/>
    </w:pPr>
    <w:rPr>
      <w:rFonts w:ascii="黑体" w:eastAsia="黑体" w:cs="Times New Roman"/>
      <w:sz w:val="24"/>
      <w:szCs w:val="20"/>
    </w:rPr>
  </w:style>
  <w:style w:type="paragraph" w:customStyle="1" w:styleId="2fffffe">
    <w:name w:val="正文缩2"/>
    <w:basedOn w:val="af3"/>
    <w:qFormat/>
    <w:rsid w:val="009964C3"/>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1053">
    <w:name w:val="样式 样式1 + 段前: 0.5 行"/>
    <w:basedOn w:val="10"/>
    <w:semiHidden/>
    <w:qFormat/>
    <w:rsid w:val="009964C3"/>
    <w:pPr>
      <w:numPr>
        <w:numId w:val="0"/>
      </w:numPr>
      <w:tabs>
        <w:tab w:val="left" w:pos="432"/>
      </w:tabs>
      <w:adjustRightInd/>
      <w:spacing w:line="240" w:lineRule="auto"/>
      <w:textAlignment w:val="auto"/>
    </w:pPr>
    <w:rPr>
      <w:rFonts w:ascii="Times New Roman" w:hAnsi="Times New Roman"/>
      <w:kern w:val="2"/>
      <w:sz w:val="28"/>
    </w:rPr>
  </w:style>
  <w:style w:type="paragraph" w:customStyle="1" w:styleId="affffffffffffffffffffffffffff6">
    <w:name w:val="图文字"/>
    <w:basedOn w:val="af3"/>
    <w:next w:val="af3"/>
    <w:semiHidden/>
    <w:qFormat/>
    <w:rsid w:val="009964C3"/>
    <w:pPr>
      <w:snapToGrid w:val="0"/>
    </w:pPr>
    <w:rPr>
      <w:rFonts w:ascii="Arial" w:eastAsia="楷体_GB2312" w:hAnsi="Arial"/>
      <w:sz w:val="24"/>
      <w:szCs w:val="20"/>
    </w:rPr>
  </w:style>
  <w:style w:type="paragraph" w:customStyle="1" w:styleId="cucd-B0">
    <w:name w:val="cucd-B"/>
    <w:next w:val="cucd-0"/>
    <w:semiHidden/>
    <w:rsid w:val="009964C3"/>
    <w:pPr>
      <w:spacing w:line="360" w:lineRule="auto"/>
      <w:outlineLvl w:val="1"/>
    </w:pPr>
    <w:rPr>
      <w:rFonts w:ascii="Arial" w:eastAsia="黑体" w:hAnsi="Arial"/>
      <w:b/>
      <w:kern w:val="2"/>
      <w:sz w:val="30"/>
      <w:szCs w:val="30"/>
    </w:rPr>
  </w:style>
  <w:style w:type="paragraph" w:customStyle="1" w:styleId="CM84">
    <w:name w:val="CM84"/>
    <w:basedOn w:val="Default"/>
    <w:next w:val="Default"/>
    <w:semiHidden/>
    <w:rsid w:val="009964C3"/>
    <w:pPr>
      <w:spacing w:after="178"/>
    </w:pPr>
    <w:rPr>
      <w:rFonts w:cs="Times New Roman"/>
      <w:color w:val="auto"/>
    </w:rPr>
  </w:style>
  <w:style w:type="paragraph" w:customStyle="1" w:styleId="ST2016">
    <w:name w:val="ST20_16"/>
    <w:basedOn w:val="ST2011"/>
    <w:rsid w:val="009964C3"/>
    <w:pPr>
      <w:ind w:left="3240" w:right="0"/>
    </w:pPr>
  </w:style>
  <w:style w:type="paragraph" w:customStyle="1" w:styleId="5422">
    <w:name w:val="表内5中42"/>
    <w:basedOn w:val="54"/>
    <w:rsid w:val="009964C3"/>
    <w:pPr>
      <w:spacing w:line="240" w:lineRule="auto"/>
    </w:pPr>
    <w:rPr>
      <w:rFonts w:hAnsi="Times New Roman" w:cs="Times New Roman"/>
      <w:bCs/>
    </w:rPr>
  </w:style>
  <w:style w:type="paragraph" w:customStyle="1" w:styleId="z-10">
    <w:name w:val="z-窗体顶端1"/>
    <w:basedOn w:val="af3"/>
    <w:next w:val="af3"/>
    <w:rsid w:val="009964C3"/>
    <w:pPr>
      <w:widowControl/>
      <w:pBdr>
        <w:bottom w:val="single" w:sz="6" w:space="1" w:color="auto"/>
      </w:pBdr>
      <w:jc w:val="center"/>
    </w:pPr>
    <w:rPr>
      <w:rFonts w:ascii="Arial" w:hAnsi="Arial" w:cs="Arial"/>
      <w:vanish/>
      <w:kern w:val="0"/>
      <w:sz w:val="16"/>
      <w:szCs w:val="16"/>
    </w:rPr>
  </w:style>
  <w:style w:type="paragraph" w:customStyle="1" w:styleId="36">
    <w:name w:val="样式 样式 标题 3 + 四号 + 小四 加粗"/>
    <w:basedOn w:val="af3"/>
    <w:link w:val="3Char5"/>
    <w:semiHidden/>
    <w:rsid w:val="009964C3"/>
    <w:pPr>
      <w:adjustRightInd w:val="0"/>
      <w:snapToGrid w:val="0"/>
      <w:spacing w:line="360" w:lineRule="auto"/>
      <w:outlineLvl w:val="2"/>
    </w:pPr>
    <w:rPr>
      <w:rFonts w:eastAsia="黑体"/>
      <w:b/>
      <w:bCs/>
      <w:sz w:val="24"/>
      <w:szCs w:val="28"/>
    </w:rPr>
  </w:style>
  <w:style w:type="paragraph" w:customStyle="1" w:styleId="4fff3">
    <w:name w:val="样式 标题 4 + 两端对齐"/>
    <w:basedOn w:val="43"/>
    <w:semiHidden/>
    <w:rsid w:val="009964C3"/>
    <w:pPr>
      <w:numPr>
        <w:ilvl w:val="3"/>
      </w:numPr>
      <w:tabs>
        <w:tab w:val="left" w:pos="864"/>
        <w:tab w:val="left" w:pos="1021"/>
      </w:tabs>
      <w:adjustRightInd w:val="0"/>
      <w:spacing w:line="376" w:lineRule="atLeast"/>
      <w:ind w:left="864" w:hanging="864"/>
      <w:jc w:val="left"/>
      <w:textAlignment w:val="baseline"/>
    </w:pPr>
    <w:rPr>
      <w:rFonts w:ascii="宋体" w:eastAsia="宋体" w:hAnsi="宋体" w:cs="宋体"/>
      <w:b w:val="0"/>
      <w:sz w:val="24"/>
      <w:szCs w:val="20"/>
    </w:rPr>
  </w:style>
  <w:style w:type="paragraph" w:customStyle="1" w:styleId="ljw0">
    <w:name w:val="ljw表格"/>
    <w:basedOn w:val="af3"/>
    <w:next w:val="af3"/>
    <w:rsid w:val="009964C3"/>
    <w:pPr>
      <w:adjustRightInd w:val="0"/>
      <w:snapToGrid w:val="0"/>
      <w:spacing w:beforeLines="25" w:afterLines="25"/>
      <w:jc w:val="center"/>
    </w:pPr>
    <w:rPr>
      <w:rFonts w:ascii="宋体" w:hAnsi="宋体"/>
      <w:bCs/>
      <w:sz w:val="22"/>
      <w:szCs w:val="28"/>
    </w:rPr>
  </w:style>
  <w:style w:type="paragraph" w:customStyle="1" w:styleId="affffffffffffffffffffffffffff7">
    <w:name w:val="插图"/>
    <w:basedOn w:val="affffffffe"/>
    <w:next w:val="af3"/>
    <w:rsid w:val="009964C3"/>
    <w:pPr>
      <w:widowControl w:val="0"/>
      <w:spacing w:beforeLines="100" w:afterLines="50" w:line="360" w:lineRule="auto"/>
      <w:ind w:leftChars="0" w:left="0" w:firstLineChars="0" w:firstLine="0"/>
      <w:jc w:val="center"/>
    </w:pPr>
    <w:rPr>
      <w:rFonts w:ascii="Times New Roman" w:hAnsi="Times New Roman"/>
      <w:kern w:val="2"/>
      <w:sz w:val="28"/>
      <w:szCs w:val="20"/>
    </w:rPr>
  </w:style>
  <w:style w:type="paragraph" w:customStyle="1" w:styleId="329">
    <w:name w:val="燕山正文32"/>
    <w:basedOn w:val="af3"/>
    <w:rsid w:val="009964C3"/>
    <w:pPr>
      <w:tabs>
        <w:tab w:val="left" w:pos="4680"/>
      </w:tabs>
      <w:adjustRightInd w:val="0"/>
      <w:snapToGrid w:val="0"/>
      <w:spacing w:line="360" w:lineRule="auto"/>
      <w:ind w:firstLineChars="200" w:firstLine="560"/>
    </w:pPr>
    <w:rPr>
      <w:rFonts w:ascii="宋体" w:hAnsi="宋体"/>
      <w:color w:val="000000"/>
      <w:sz w:val="28"/>
      <w:szCs w:val="28"/>
    </w:rPr>
  </w:style>
  <w:style w:type="paragraph" w:customStyle="1" w:styleId="500982">
    <w:name w:val="样式 表内小5 + 左侧:  0 厘米 悬挂缩进: 0.98 字符2"/>
    <w:basedOn w:val="af3"/>
    <w:rsid w:val="009964C3"/>
    <w:pPr>
      <w:adjustRightInd w:val="0"/>
      <w:snapToGrid w:val="0"/>
      <w:spacing w:line="300" w:lineRule="auto"/>
      <w:ind w:leftChars="-200" w:left="289" w:hanging="769"/>
    </w:pPr>
    <w:rPr>
      <w:rFonts w:ascii="宋体" w:hAnsi="宋体" w:cs="宋体"/>
      <w:sz w:val="18"/>
      <w:szCs w:val="20"/>
    </w:rPr>
  </w:style>
  <w:style w:type="paragraph" w:customStyle="1" w:styleId="3512">
    <w:name w:val="样式 燕山正文 + 首行缩进:  3.5 字符12"/>
    <w:basedOn w:val="af3"/>
    <w:rsid w:val="009964C3"/>
    <w:pPr>
      <w:tabs>
        <w:tab w:val="left" w:pos="4680"/>
      </w:tabs>
      <w:adjustRightInd w:val="0"/>
      <w:snapToGrid w:val="0"/>
      <w:spacing w:line="360" w:lineRule="auto"/>
      <w:ind w:firstLineChars="200" w:firstLine="200"/>
    </w:pPr>
    <w:rPr>
      <w:rFonts w:ascii="宋体" w:hAnsi="宋体" w:cs="宋体"/>
      <w:color w:val="000000"/>
      <w:sz w:val="28"/>
      <w:szCs w:val="20"/>
    </w:rPr>
  </w:style>
  <w:style w:type="paragraph" w:customStyle="1" w:styleId="310">
    <w:name w:val="样式 标题 3 +1"/>
    <w:basedOn w:val="31"/>
    <w:link w:val="31Char"/>
    <w:semiHidden/>
    <w:rsid w:val="009964C3"/>
    <w:pPr>
      <w:numPr>
        <w:ilvl w:val="2"/>
      </w:numPr>
      <w:tabs>
        <w:tab w:val="left" w:pos="720"/>
        <w:tab w:val="left" w:pos="1021"/>
      </w:tabs>
      <w:adjustRightInd w:val="0"/>
      <w:snapToGrid w:val="0"/>
      <w:spacing w:before="0" w:after="0" w:line="360" w:lineRule="auto"/>
      <w:ind w:left="720" w:firstLineChars="200" w:firstLine="200"/>
    </w:pPr>
    <w:rPr>
      <w:rFonts w:ascii="宋体" w:eastAsia="黑体"/>
      <w:b w:val="0"/>
      <w:sz w:val="28"/>
    </w:rPr>
  </w:style>
  <w:style w:type="paragraph" w:customStyle="1" w:styleId="311111">
    <w:name w:val="样式 样式 样式 标题 3条标题1.1.1 + + 段后: 1 行 + 段后: 1 行"/>
    <w:basedOn w:val="31111"/>
    <w:rsid w:val="009964C3"/>
    <w:pPr>
      <w:spacing w:after="240"/>
    </w:pPr>
  </w:style>
  <w:style w:type="paragraph" w:customStyle="1" w:styleId="724">
    <w:name w:val="图题72"/>
    <w:basedOn w:val="af3"/>
    <w:rsid w:val="009964C3"/>
    <w:pPr>
      <w:adjustRightInd w:val="0"/>
      <w:snapToGrid w:val="0"/>
      <w:ind w:firstLineChars="222" w:firstLine="533"/>
      <w:jc w:val="center"/>
    </w:pPr>
    <w:rPr>
      <w:rFonts w:ascii="黑体" w:eastAsia="黑体" w:hAnsi="宋体"/>
      <w:snapToGrid w:val="0"/>
      <w:kern w:val="0"/>
      <w:sz w:val="24"/>
    </w:rPr>
  </w:style>
  <w:style w:type="paragraph" w:customStyle="1" w:styleId="afff1">
    <w:name w:val="正文对的"/>
    <w:basedOn w:val="af3"/>
    <w:link w:val="Charf3"/>
    <w:semiHidden/>
    <w:rsid w:val="009964C3"/>
    <w:pPr>
      <w:spacing w:line="400" w:lineRule="exact"/>
      <w:ind w:firstLineChars="200" w:firstLine="200"/>
    </w:pPr>
    <w:rPr>
      <w:rFonts w:hAnsi="宋体"/>
      <w:sz w:val="24"/>
    </w:rPr>
  </w:style>
  <w:style w:type="paragraph" w:customStyle="1" w:styleId="10512">
    <w:name w:val="样式 标题 1 + 段前: 0.5 行 段后: 1 行2"/>
    <w:basedOn w:val="13"/>
    <w:rsid w:val="009964C3"/>
    <w:pPr>
      <w:keepLines w:val="0"/>
      <w:adjustRightInd w:val="0"/>
      <w:snapToGrid w:val="0"/>
      <w:spacing w:beforeLines="50" w:after="0" w:line="360" w:lineRule="auto"/>
      <w:jc w:val="center"/>
    </w:pPr>
    <w:rPr>
      <w:rFonts w:ascii="黑体" w:cs="宋体"/>
      <w:bCs w:val="0"/>
      <w:kern w:val="2"/>
      <w:sz w:val="32"/>
      <w:szCs w:val="20"/>
    </w:rPr>
  </w:style>
  <w:style w:type="paragraph" w:customStyle="1" w:styleId="5fff0">
    <w:name w:val="5文章(治)"/>
    <w:basedOn w:val="af3"/>
    <w:semiHidden/>
    <w:rsid w:val="009964C3"/>
    <w:pPr>
      <w:spacing w:line="360" w:lineRule="auto"/>
      <w:ind w:firstLineChars="200" w:firstLine="560"/>
    </w:pPr>
    <w:rPr>
      <w:rFonts w:eastAsia="楷体_GB2312"/>
      <w:sz w:val="28"/>
      <w:szCs w:val="20"/>
    </w:rPr>
  </w:style>
  <w:style w:type="paragraph" w:customStyle="1" w:styleId="22f">
    <w:name w:val="表内文字22"/>
    <w:basedOn w:val="af3"/>
    <w:rsid w:val="009964C3"/>
    <w:pPr>
      <w:widowControl/>
      <w:adjustRightInd w:val="0"/>
      <w:snapToGrid w:val="0"/>
      <w:jc w:val="center"/>
    </w:pPr>
    <w:rPr>
      <w:kern w:val="0"/>
      <w:szCs w:val="21"/>
    </w:rPr>
  </w:style>
  <w:style w:type="paragraph" w:customStyle="1" w:styleId="xl139">
    <w:name w:val="xl139"/>
    <w:basedOn w:val="af3"/>
    <w:semiHidden/>
    <w:rsid w:val="009964C3"/>
    <w:pPr>
      <w:widowControl/>
      <w:pBdr>
        <w:top w:val="single" w:sz="12"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1114">
    <w:name w:val="样式 标题 1 + 段后: 1 行1"/>
    <w:basedOn w:val="13"/>
    <w:rsid w:val="009964C3"/>
    <w:pPr>
      <w:keepNext w:val="0"/>
      <w:keepLines w:val="0"/>
      <w:widowControl/>
      <w:overflowPunct w:val="0"/>
      <w:autoSpaceDE w:val="0"/>
      <w:autoSpaceDN w:val="0"/>
      <w:adjustRightInd w:val="0"/>
      <w:spacing w:before="60" w:afterLines="100" w:line="240" w:lineRule="auto"/>
      <w:textAlignment w:val="baseline"/>
    </w:pPr>
    <w:rPr>
      <w:rFonts w:ascii="Arial" w:hAnsi="Arial" w:cs="宋体"/>
      <w:b w:val="0"/>
      <w:bCs w:val="0"/>
      <w:snapToGrid w:val="0"/>
      <w:spacing w:val="-10"/>
      <w:kern w:val="28"/>
      <w:szCs w:val="20"/>
    </w:rPr>
  </w:style>
  <w:style w:type="paragraph" w:customStyle="1" w:styleId="affffffffffffffffffffffffffff8">
    <w:name w:val="说明书"/>
    <w:basedOn w:val="af3"/>
    <w:rsid w:val="009964C3"/>
    <w:pPr>
      <w:adjustRightInd w:val="0"/>
      <w:spacing w:line="400" w:lineRule="exact"/>
      <w:ind w:firstLine="567"/>
      <w:textAlignment w:val="baseline"/>
    </w:pPr>
    <w:rPr>
      <w:spacing w:val="20"/>
      <w:kern w:val="0"/>
      <w:sz w:val="24"/>
      <w:szCs w:val="20"/>
    </w:rPr>
  </w:style>
  <w:style w:type="paragraph" w:customStyle="1" w:styleId="xl145">
    <w:name w:val="xl145"/>
    <w:basedOn w:val="af3"/>
    <w:rsid w:val="009964C3"/>
    <w:pPr>
      <w:widowControl/>
      <w:pBdr>
        <w:left w:val="single" w:sz="8" w:space="0" w:color="auto"/>
        <w:right w:val="single" w:sz="8" w:space="0" w:color="auto"/>
      </w:pBdr>
      <w:spacing w:before="100" w:beforeAutospacing="1" w:after="100" w:afterAutospacing="1"/>
      <w:jc w:val="left"/>
    </w:pPr>
    <w:rPr>
      <w:rFonts w:ascii="宋体" w:hAnsi="宋体" w:cs="宋体"/>
      <w:color w:val="0000FF"/>
      <w:kern w:val="0"/>
      <w:sz w:val="18"/>
      <w:szCs w:val="18"/>
    </w:rPr>
  </w:style>
  <w:style w:type="paragraph" w:customStyle="1" w:styleId="12f5">
    <w:name w:val="福建正文缩进12"/>
    <w:basedOn w:val="af4"/>
    <w:rsid w:val="009964C3"/>
    <w:pPr>
      <w:autoSpaceDE w:val="0"/>
      <w:autoSpaceDN w:val="0"/>
      <w:adjustRightInd w:val="0"/>
      <w:snapToGrid w:val="0"/>
      <w:spacing w:line="360" w:lineRule="auto"/>
      <w:ind w:firstLineChars="0" w:firstLine="539"/>
    </w:pPr>
    <w:rPr>
      <w:rFonts w:ascii="宋体" w:hAnsi="宋体"/>
      <w:sz w:val="24"/>
      <w:szCs w:val="24"/>
    </w:rPr>
  </w:style>
  <w:style w:type="paragraph" w:customStyle="1" w:styleId="237">
    <w:name w:val="样式 首行缩进:  2 字符3"/>
    <w:basedOn w:val="af3"/>
    <w:semiHidden/>
    <w:rsid w:val="009964C3"/>
    <w:pPr>
      <w:adjustRightInd w:val="0"/>
      <w:snapToGrid w:val="0"/>
      <w:spacing w:line="360" w:lineRule="auto"/>
      <w:ind w:firstLineChars="200" w:firstLine="200"/>
    </w:pPr>
    <w:rPr>
      <w:rFonts w:ascii="宋体" w:cs="宋体"/>
      <w:sz w:val="24"/>
    </w:rPr>
  </w:style>
  <w:style w:type="paragraph" w:customStyle="1" w:styleId="affffffffffffffffffffffffffff9">
    <w:name w:val="样式 题注 + 居中"/>
    <w:basedOn w:val="afff2"/>
    <w:next w:val="af3"/>
    <w:rsid w:val="009964C3"/>
    <w:pPr>
      <w:spacing w:before="120" w:after="120"/>
      <w:jc w:val="center"/>
    </w:pPr>
    <w:rPr>
      <w:rFonts w:cs="Times New Roman"/>
      <w:sz w:val="24"/>
      <w:szCs w:val="24"/>
    </w:rPr>
  </w:style>
  <w:style w:type="paragraph" w:customStyle="1" w:styleId="afffffe">
    <w:name w:val="大丰申请报告正文"/>
    <w:basedOn w:val="af3"/>
    <w:link w:val="Charfffe"/>
    <w:semiHidden/>
    <w:rsid w:val="009964C3"/>
    <w:pPr>
      <w:spacing w:line="360" w:lineRule="auto"/>
      <w:ind w:firstLineChars="200" w:firstLine="200"/>
      <w:jc w:val="left"/>
    </w:pPr>
    <w:rPr>
      <w:rFonts w:ascii="Arial" w:hAnsi="Arial"/>
      <w:bCs/>
      <w:kern w:val="20"/>
      <w:sz w:val="24"/>
      <w:szCs w:val="28"/>
    </w:rPr>
  </w:style>
  <w:style w:type="paragraph" w:customStyle="1" w:styleId="Charfffffff7">
    <w:name w:val="Char"/>
    <w:basedOn w:val="af3"/>
    <w:rsid w:val="009964C3"/>
    <w:pPr>
      <w:widowControl/>
      <w:spacing w:after="160" w:line="240" w:lineRule="exact"/>
      <w:jc w:val="left"/>
    </w:pPr>
    <w:rPr>
      <w:rFonts w:ascii="Verdana" w:eastAsia="仿宋_GB2312" w:hAnsi="Verdana" w:cs="”“Times New Roman”“"/>
      <w:kern w:val="0"/>
      <w:sz w:val="24"/>
      <w:szCs w:val="20"/>
      <w:lang w:eastAsia="en-US"/>
    </w:rPr>
  </w:style>
  <w:style w:type="paragraph" w:customStyle="1" w:styleId="21Char0">
    <w:name w:val="标准文本 首行缩进:2 字符 行距1倍 Char"/>
    <w:basedOn w:val="af3"/>
    <w:rsid w:val="009964C3"/>
    <w:pPr>
      <w:adjustRightInd w:val="0"/>
      <w:snapToGrid w:val="0"/>
      <w:spacing w:line="480" w:lineRule="exact"/>
      <w:textAlignment w:val="center"/>
    </w:pPr>
    <w:rPr>
      <w:sz w:val="24"/>
    </w:rPr>
  </w:style>
  <w:style w:type="paragraph" w:customStyle="1" w:styleId="1c">
    <w:name w:val="样式 首行缩进:  1 字符"/>
    <w:basedOn w:val="af3"/>
    <w:link w:val="1Char8"/>
    <w:semiHidden/>
    <w:rsid w:val="009964C3"/>
    <w:pPr>
      <w:adjustRightInd w:val="0"/>
      <w:snapToGrid w:val="0"/>
      <w:spacing w:line="360" w:lineRule="auto"/>
      <w:ind w:firstLineChars="200" w:firstLine="200"/>
    </w:pPr>
    <w:rPr>
      <w:rFonts w:ascii="宋体"/>
      <w:snapToGrid w:val="0"/>
      <w:kern w:val="0"/>
      <w:sz w:val="24"/>
    </w:rPr>
  </w:style>
  <w:style w:type="paragraph" w:customStyle="1" w:styleId="affffffff8">
    <w:name w:val="表文（桑）"/>
    <w:basedOn w:val="af3"/>
    <w:link w:val="Charffffff0"/>
    <w:rsid w:val="009964C3"/>
    <w:pPr>
      <w:overflowPunct w:val="0"/>
      <w:autoSpaceDE w:val="0"/>
      <w:autoSpaceDN w:val="0"/>
      <w:adjustRightInd w:val="0"/>
      <w:spacing w:before="20" w:after="20"/>
      <w:jc w:val="center"/>
      <w:textAlignment w:val="baseline"/>
    </w:pPr>
    <w:rPr>
      <w:rFonts w:hAnsi="宋体"/>
      <w:kern w:val="0"/>
      <w:szCs w:val="20"/>
    </w:rPr>
  </w:style>
  <w:style w:type="paragraph" w:customStyle="1" w:styleId="5522">
    <w:name w:val="表内5中52"/>
    <w:basedOn w:val="af3"/>
    <w:rsid w:val="009964C3"/>
    <w:pPr>
      <w:adjustRightInd w:val="0"/>
      <w:snapToGrid w:val="0"/>
      <w:jc w:val="center"/>
    </w:pPr>
    <w:rPr>
      <w:rFonts w:ascii="宋体"/>
    </w:rPr>
  </w:style>
  <w:style w:type="paragraph" w:customStyle="1" w:styleId="CharCharCharCharCharCharCharCharChar1CharCharCharCharCharCharChar">
    <w:name w:val="Char Char Char Char Char Char Char Char Char1 Char Char Char Char Char Char Char"/>
    <w:basedOn w:val="af3"/>
    <w:semiHidden/>
    <w:rsid w:val="009964C3"/>
    <w:pPr>
      <w:spacing w:line="360" w:lineRule="auto"/>
      <w:ind w:firstLineChars="200" w:firstLine="200"/>
    </w:pPr>
    <w:rPr>
      <w:rFonts w:ascii="宋体" w:eastAsia="仿宋_GB2312" w:hAnsi="宋体" w:cs="宋体"/>
      <w:sz w:val="24"/>
      <w:szCs w:val="32"/>
    </w:rPr>
  </w:style>
  <w:style w:type="paragraph" w:customStyle="1" w:styleId="CUCD-30">
    <w:name w:val="CUCD-3"/>
    <w:next w:val="CUCD-00"/>
    <w:semiHidden/>
    <w:rsid w:val="009964C3"/>
    <w:pPr>
      <w:ind w:left="720" w:hanging="720"/>
      <w:jc w:val="both"/>
      <w:outlineLvl w:val="2"/>
    </w:pPr>
    <w:rPr>
      <w:rFonts w:ascii="Arial" w:hAnsi="Arial"/>
      <w:b/>
      <w:kern w:val="2"/>
      <w:sz w:val="28"/>
      <w:szCs w:val="21"/>
    </w:rPr>
  </w:style>
  <w:style w:type="paragraph" w:customStyle="1" w:styleId="1224">
    <w:name w:val="页眉中122"/>
    <w:basedOn w:val="af3"/>
    <w:rsid w:val="009964C3"/>
    <w:pPr>
      <w:adjustRightInd w:val="0"/>
      <w:snapToGrid w:val="0"/>
      <w:spacing w:line="300" w:lineRule="auto"/>
      <w:jc w:val="left"/>
    </w:pPr>
    <w:rPr>
      <w:rFonts w:ascii="黑体" w:eastAsia="黑体"/>
      <w:bCs/>
      <w:sz w:val="24"/>
      <w:szCs w:val="20"/>
    </w:rPr>
  </w:style>
  <w:style w:type="paragraph" w:customStyle="1" w:styleId="2TimesNewRoman1">
    <w:name w:val="样式 标题 2 + Times New Roman"/>
    <w:basedOn w:val="22"/>
    <w:link w:val="2TimesNewRomanChar2"/>
    <w:semiHidden/>
    <w:rsid w:val="009964C3"/>
    <w:pPr>
      <w:keepNext w:val="0"/>
      <w:keepLines w:val="0"/>
      <w:numPr>
        <w:ilvl w:val="1"/>
      </w:numPr>
      <w:tabs>
        <w:tab w:val="left" w:pos="576"/>
      </w:tabs>
      <w:adjustRightInd w:val="0"/>
      <w:snapToGrid w:val="0"/>
      <w:spacing w:before="140" w:after="140" w:line="415" w:lineRule="auto"/>
      <w:ind w:left="576" w:hanging="576"/>
    </w:pPr>
    <w:rPr>
      <w:rFonts w:ascii="Times New Roman" w:hAnsi="Times New Roman"/>
      <w:b w:val="0"/>
      <w:sz w:val="28"/>
    </w:rPr>
  </w:style>
  <w:style w:type="paragraph" w:customStyle="1" w:styleId="CompanyNameOne">
    <w:name w:val="Company Name One"/>
    <w:basedOn w:val="CompanyName"/>
    <w:next w:val="af3"/>
    <w:rsid w:val="009964C3"/>
  </w:style>
  <w:style w:type="paragraph" w:customStyle="1" w:styleId="CM71">
    <w:name w:val="CM71"/>
    <w:basedOn w:val="Default"/>
    <w:next w:val="Default"/>
    <w:semiHidden/>
    <w:rsid w:val="009964C3"/>
    <w:rPr>
      <w:rFonts w:ascii="黑体" w:eastAsia="黑体" w:hAnsi="Calibri" w:cs="Times New Roman"/>
      <w:color w:val="auto"/>
    </w:rPr>
  </w:style>
  <w:style w:type="paragraph" w:customStyle="1" w:styleId="2ffffff">
    <w:name w:val="文本块2"/>
    <w:basedOn w:val="af3"/>
    <w:rsid w:val="009964C3"/>
    <w:pPr>
      <w:tabs>
        <w:tab w:val="left" w:pos="0"/>
      </w:tabs>
      <w:adjustRightInd w:val="0"/>
      <w:spacing w:line="460" w:lineRule="exact"/>
      <w:ind w:left="130" w:right="202" w:firstLine="520"/>
      <w:textAlignment w:val="baseline"/>
    </w:pPr>
    <w:rPr>
      <w:rFonts w:ascii="Arial" w:hAnsi="Arial"/>
      <w:spacing w:val="10"/>
      <w:sz w:val="24"/>
      <w:szCs w:val="20"/>
    </w:rPr>
  </w:style>
  <w:style w:type="paragraph" w:customStyle="1" w:styleId="6f4">
    <w:name w:val="图号6"/>
    <w:basedOn w:val="af3"/>
    <w:rsid w:val="009964C3"/>
    <w:pPr>
      <w:jc w:val="center"/>
    </w:pPr>
    <w:rPr>
      <w:rFonts w:ascii="黑体" w:eastAsia="黑体"/>
      <w:sz w:val="24"/>
    </w:rPr>
  </w:style>
  <w:style w:type="paragraph" w:customStyle="1" w:styleId="22Arial2">
    <w:name w:val="样式 标题 2标题2 + (西文) Arial (中文) 黑体 居中 段后: 2 磅"/>
    <w:basedOn w:val="22"/>
    <w:rsid w:val="009964C3"/>
    <w:pPr>
      <w:tabs>
        <w:tab w:val="left" w:pos="360"/>
        <w:tab w:val="left" w:pos="800"/>
      </w:tabs>
      <w:adjustRightInd w:val="0"/>
      <w:snapToGrid w:val="0"/>
      <w:spacing w:before="240" w:after="0" w:line="360" w:lineRule="auto"/>
      <w:ind w:left="360" w:hangingChars="200" w:hanging="360"/>
      <w:textAlignment w:val="baseline"/>
    </w:pPr>
    <w:rPr>
      <w:rFonts w:eastAsia="宋体" w:hAnsi="宋体"/>
      <w:bCs w:val="0"/>
      <w:sz w:val="24"/>
      <w:szCs w:val="20"/>
    </w:rPr>
  </w:style>
  <w:style w:type="paragraph" w:customStyle="1" w:styleId="22f0">
    <w:name w:val="样式 目录 2 + 左侧:  2 字符"/>
    <w:basedOn w:val="2ff2"/>
    <w:semiHidden/>
    <w:rsid w:val="009964C3"/>
    <w:pPr>
      <w:tabs>
        <w:tab w:val="clear" w:pos="8296"/>
        <w:tab w:val="right" w:leader="dot" w:pos="8494"/>
      </w:tabs>
      <w:spacing w:beforeLines="50"/>
      <w:ind w:left="472"/>
    </w:pPr>
    <w:rPr>
      <w:rFonts w:cs="宋体"/>
      <w:sz w:val="24"/>
    </w:rPr>
  </w:style>
  <w:style w:type="paragraph" w:customStyle="1" w:styleId="5fff1">
    <w:name w:val="5"/>
    <w:basedOn w:val="af3"/>
    <w:next w:val="afffffff4"/>
    <w:rsid w:val="009964C3"/>
    <w:pPr>
      <w:overflowPunct w:val="0"/>
      <w:snapToGrid w:val="0"/>
      <w:spacing w:line="480" w:lineRule="exact"/>
      <w:ind w:firstLineChars="200" w:firstLine="560"/>
    </w:pPr>
    <w:rPr>
      <w:rFonts w:ascii="Arial" w:eastAsia="仿宋_GB2312" w:hAnsi="Arial"/>
      <w:sz w:val="28"/>
      <w:szCs w:val="20"/>
    </w:rPr>
  </w:style>
  <w:style w:type="paragraph" w:customStyle="1" w:styleId="bt2">
    <w:name w:val="bt2"/>
    <w:basedOn w:val="bt1"/>
    <w:rsid w:val="009964C3"/>
    <w:pPr>
      <w:keepNext/>
      <w:keepLines/>
      <w:adjustRightInd w:val="0"/>
      <w:spacing w:before="260" w:after="260" w:line="400" w:lineRule="exact"/>
      <w:ind w:firstLine="567"/>
      <w:jc w:val="left"/>
      <w:textAlignment w:val="baseline"/>
    </w:pPr>
    <w:rPr>
      <w:rFonts w:ascii="Arial" w:eastAsia="黑体" w:hAnsi="Arial"/>
      <w:b w:val="0"/>
      <w:kern w:val="0"/>
      <w:sz w:val="28"/>
    </w:rPr>
  </w:style>
  <w:style w:type="paragraph" w:customStyle="1" w:styleId="CharChar2CharCharCharCharCharChar0">
    <w:name w:val="Char Char2 Char Char Char Char Char Char"/>
    <w:basedOn w:val="af3"/>
    <w:rsid w:val="009964C3"/>
    <w:pPr>
      <w:spacing w:line="360" w:lineRule="auto"/>
    </w:pPr>
    <w:rPr>
      <w:rFonts w:ascii="宋体" w:hAnsi="宋体"/>
      <w:sz w:val="22"/>
    </w:rPr>
  </w:style>
  <w:style w:type="paragraph" w:customStyle="1" w:styleId="affffffffffffffffffffffffffffa">
    <w:name w:val="内文题"/>
    <w:basedOn w:val="af3"/>
    <w:rsid w:val="009964C3"/>
    <w:pPr>
      <w:adjustRightInd w:val="0"/>
      <w:snapToGrid w:val="0"/>
      <w:spacing w:line="312" w:lineRule="auto"/>
      <w:ind w:left="2240"/>
    </w:pPr>
    <w:rPr>
      <w:rFonts w:ascii="宋体"/>
      <w:b/>
      <w:sz w:val="28"/>
      <w:szCs w:val="20"/>
    </w:rPr>
  </w:style>
  <w:style w:type="paragraph" w:customStyle="1" w:styleId="CM87">
    <w:name w:val="CM87"/>
    <w:basedOn w:val="Default"/>
    <w:next w:val="Default"/>
    <w:semiHidden/>
    <w:rsid w:val="009964C3"/>
    <w:pPr>
      <w:spacing w:after="273"/>
    </w:pPr>
    <w:rPr>
      <w:rFonts w:cs="Times New Roman"/>
      <w:color w:val="auto"/>
    </w:rPr>
  </w:style>
  <w:style w:type="paragraph" w:styleId="TOC">
    <w:name w:val="TOC Heading"/>
    <w:basedOn w:val="13"/>
    <w:next w:val="af3"/>
    <w:qFormat/>
    <w:rsid w:val="009964C3"/>
    <w:pPr>
      <w:widowControl/>
      <w:spacing w:before="480" w:after="0" w:line="276" w:lineRule="auto"/>
      <w:jc w:val="left"/>
      <w:outlineLvl w:val="9"/>
    </w:pPr>
    <w:rPr>
      <w:rFonts w:ascii="Cambria" w:eastAsia="宋体" w:hAnsi="Cambria"/>
      <w:color w:val="365F91"/>
      <w:kern w:val="0"/>
      <w:sz w:val="28"/>
      <w:szCs w:val="28"/>
    </w:rPr>
  </w:style>
  <w:style w:type="paragraph" w:customStyle="1" w:styleId="affffffffffffffffffffffffffffb">
    <w:name w:val="南车表文"/>
    <w:basedOn w:val="afff7"/>
    <w:semiHidden/>
    <w:rsid w:val="009964C3"/>
    <w:pPr>
      <w:spacing w:before="24" w:after="24"/>
    </w:pPr>
    <w:rPr>
      <w:rFonts w:ascii="Arial" w:hAnsi="Arial" w:cs="宋体"/>
      <w:color w:val="000000"/>
      <w:sz w:val="21"/>
      <w:szCs w:val="20"/>
    </w:rPr>
  </w:style>
  <w:style w:type="paragraph" w:customStyle="1" w:styleId="CharCharfff">
    <w:name w:val="批注框文本 Char Char"/>
    <w:basedOn w:val="af3"/>
    <w:qFormat/>
    <w:rsid w:val="009964C3"/>
    <w:rPr>
      <w:sz w:val="18"/>
      <w:szCs w:val="20"/>
    </w:rPr>
  </w:style>
  <w:style w:type="paragraph" w:customStyle="1" w:styleId="affffffffffffffffffffffffffffc">
    <w:name w:val="正文报告"/>
    <w:basedOn w:val="af3"/>
    <w:semiHidden/>
    <w:locked/>
    <w:rsid w:val="009964C3"/>
    <w:pPr>
      <w:tabs>
        <w:tab w:val="left" w:pos="510"/>
      </w:tabs>
      <w:adjustRightInd w:val="0"/>
      <w:snapToGrid w:val="0"/>
      <w:spacing w:after="120" w:line="460" w:lineRule="exact"/>
      <w:ind w:firstLineChars="200" w:firstLine="482"/>
    </w:pPr>
    <w:rPr>
      <w:rFonts w:ascii="Arial Unicode MS" w:hAnsi="Arial Unicode MS"/>
      <w:kern w:val="0"/>
      <w:sz w:val="24"/>
      <w:szCs w:val="20"/>
    </w:rPr>
  </w:style>
  <w:style w:type="paragraph" w:customStyle="1" w:styleId="15f6">
    <w:name w:val="表内文字小15"/>
    <w:basedOn w:val="af3"/>
    <w:rsid w:val="009964C3"/>
    <w:pPr>
      <w:adjustRightInd w:val="0"/>
      <w:snapToGrid w:val="0"/>
      <w:jc w:val="center"/>
    </w:pPr>
    <w:rPr>
      <w:rFonts w:ascii="宋体" w:hAnsi="Times"/>
      <w:szCs w:val="20"/>
    </w:rPr>
  </w:style>
  <w:style w:type="paragraph" w:customStyle="1" w:styleId="201">
    <w:name w:val="表题20"/>
    <w:basedOn w:val="afffffff4"/>
    <w:rsid w:val="009964C3"/>
    <w:pPr>
      <w:spacing w:line="240" w:lineRule="auto"/>
      <w:ind w:firstLineChars="200" w:firstLine="480"/>
      <w:jc w:val="center"/>
    </w:pPr>
    <w:rPr>
      <w:rFonts w:ascii="黑体" w:eastAsia="黑体" w:cs="Times New Roman"/>
      <w:color w:val="auto"/>
      <w:szCs w:val="20"/>
    </w:rPr>
  </w:style>
  <w:style w:type="paragraph" w:customStyle="1" w:styleId="TimesNewRoman1">
    <w:name w:val="样式 报告书 + Times New Roman1"/>
    <w:basedOn w:val="affffffffffffffffffffffffffe"/>
    <w:semiHidden/>
    <w:rsid w:val="009964C3"/>
    <w:pPr>
      <w:adjustRightInd w:val="0"/>
      <w:snapToGrid w:val="0"/>
      <w:textAlignment w:val="baseline"/>
    </w:pPr>
    <w:rPr>
      <w:color w:val="000000"/>
      <w:kern w:val="24"/>
      <w:szCs w:val="20"/>
    </w:rPr>
  </w:style>
  <w:style w:type="paragraph" w:customStyle="1" w:styleId="affffffffffffffffffffffffffffd">
    <w:name w:val="表前"/>
    <w:basedOn w:val="af4"/>
    <w:rsid w:val="009964C3"/>
    <w:pPr>
      <w:tabs>
        <w:tab w:val="left" w:pos="5670"/>
      </w:tabs>
      <w:spacing w:after="120" w:line="460" w:lineRule="atLeast"/>
      <w:ind w:firstLineChars="0" w:firstLine="567"/>
    </w:pPr>
    <w:rPr>
      <w:rFonts w:ascii="Arial" w:hAnsi="Arial"/>
      <w:sz w:val="28"/>
      <w:szCs w:val="20"/>
    </w:rPr>
  </w:style>
  <w:style w:type="paragraph" w:customStyle="1" w:styleId="CharCharChar2Char0">
    <w:name w:val="Char Char Char2 Char"/>
    <w:basedOn w:val="af3"/>
    <w:semiHidden/>
    <w:rsid w:val="009964C3"/>
  </w:style>
  <w:style w:type="paragraph" w:customStyle="1" w:styleId="wang">
    <w:name w:val="正文wang"/>
    <w:basedOn w:val="af3"/>
    <w:rsid w:val="009964C3"/>
    <w:pPr>
      <w:spacing w:line="360" w:lineRule="auto"/>
      <w:ind w:firstLineChars="200" w:firstLine="480"/>
    </w:pPr>
    <w:rPr>
      <w:rFonts w:hAnsi="宋体" w:cs="宋体"/>
      <w:kern w:val="0"/>
      <w:sz w:val="24"/>
      <w:szCs w:val="20"/>
    </w:rPr>
  </w:style>
  <w:style w:type="paragraph" w:customStyle="1" w:styleId="Char92">
    <w:name w:val="Char92"/>
    <w:basedOn w:val="af3"/>
    <w:rsid w:val="009964C3"/>
    <w:pPr>
      <w:ind w:left="-48"/>
    </w:pPr>
  </w:style>
  <w:style w:type="paragraph" w:customStyle="1" w:styleId="427">
    <w:name w:val="表标题4.2"/>
    <w:basedOn w:val="af3"/>
    <w:rsid w:val="009964C3"/>
    <w:pPr>
      <w:spacing w:beforeLines="100" w:line="0" w:lineRule="atLeast"/>
      <w:jc w:val="left"/>
    </w:pPr>
    <w:rPr>
      <w:rFonts w:eastAsia="黑体"/>
      <w:b/>
      <w:sz w:val="24"/>
    </w:rPr>
  </w:style>
  <w:style w:type="paragraph" w:customStyle="1" w:styleId="24c">
    <w:name w:val="燕山正文24"/>
    <w:basedOn w:val="af3"/>
    <w:rsid w:val="009964C3"/>
    <w:pPr>
      <w:tabs>
        <w:tab w:val="left" w:pos="4680"/>
      </w:tabs>
      <w:adjustRightInd w:val="0"/>
      <w:snapToGrid w:val="0"/>
      <w:spacing w:line="360" w:lineRule="auto"/>
      <w:ind w:firstLineChars="200" w:firstLine="480"/>
      <w:jc w:val="left"/>
    </w:pPr>
    <w:rPr>
      <w:rFonts w:ascii="宋体" w:hAnsi="宋体"/>
      <w:bCs/>
      <w:color w:val="000000"/>
      <w:sz w:val="24"/>
    </w:rPr>
  </w:style>
  <w:style w:type="paragraph" w:customStyle="1" w:styleId="643">
    <w:name w:val="图题64"/>
    <w:basedOn w:val="af3"/>
    <w:rsid w:val="009964C3"/>
    <w:pPr>
      <w:jc w:val="center"/>
    </w:pPr>
    <w:rPr>
      <w:rFonts w:ascii="黑体" w:eastAsia="黑体"/>
      <w:sz w:val="24"/>
    </w:rPr>
  </w:style>
  <w:style w:type="paragraph" w:customStyle="1" w:styleId="affffffffffffffffffffffffffffe">
    <w:name w:val="表注"/>
    <w:next w:val="af3"/>
    <w:semiHidden/>
    <w:qFormat/>
    <w:rsid w:val="009964C3"/>
    <w:pPr>
      <w:adjustRightInd w:val="0"/>
      <w:snapToGrid w:val="0"/>
      <w:spacing w:line="160" w:lineRule="atLeast"/>
    </w:pPr>
    <w:rPr>
      <w:sz w:val="15"/>
    </w:rPr>
  </w:style>
  <w:style w:type="paragraph" w:customStyle="1" w:styleId="xl35">
    <w:name w:val="xl35"/>
    <w:basedOn w:val="af3"/>
    <w:rsid w:val="009964C3"/>
    <w:pPr>
      <w:widowControl/>
      <w:pBdr>
        <w:bottom w:val="single" w:sz="8" w:space="0" w:color="auto"/>
        <w:right w:val="single" w:sz="8" w:space="0" w:color="auto"/>
      </w:pBdr>
      <w:spacing w:before="100" w:beforeAutospacing="1" w:after="100" w:afterAutospacing="1"/>
      <w:jc w:val="center"/>
    </w:pPr>
    <w:rPr>
      <w:rFonts w:ascii="仿宋_GB2312" w:eastAsia="仿宋_GB2312" w:hAnsi="宋体" w:cs="宋体"/>
      <w:kern w:val="0"/>
      <w:szCs w:val="21"/>
    </w:rPr>
  </w:style>
  <w:style w:type="paragraph" w:customStyle="1" w:styleId="026">
    <w:name w:val="表格02"/>
    <w:basedOn w:val="af3"/>
    <w:semiHidden/>
    <w:rsid w:val="009964C3"/>
    <w:pPr>
      <w:overflowPunct w:val="0"/>
      <w:autoSpaceDE w:val="0"/>
      <w:autoSpaceDN w:val="0"/>
      <w:adjustRightInd w:val="0"/>
      <w:spacing w:line="400" w:lineRule="exact"/>
      <w:jc w:val="center"/>
      <w:textAlignment w:val="baseline"/>
    </w:pPr>
    <w:rPr>
      <w:rFonts w:eastAsia="仿宋_GB2312"/>
      <w:snapToGrid w:val="0"/>
      <w:kern w:val="0"/>
      <w:sz w:val="24"/>
      <w:szCs w:val="20"/>
      <w:lang w:val="en-GB"/>
    </w:rPr>
  </w:style>
  <w:style w:type="paragraph" w:customStyle="1" w:styleId="16a">
    <w:name w:val="表内文字小16"/>
    <w:basedOn w:val="af3"/>
    <w:rsid w:val="009964C3"/>
    <w:pPr>
      <w:adjustRightInd w:val="0"/>
      <w:snapToGrid w:val="0"/>
      <w:jc w:val="center"/>
    </w:pPr>
    <w:rPr>
      <w:rFonts w:ascii="宋体" w:hAnsi="Times" w:cs="宋体"/>
      <w:szCs w:val="20"/>
    </w:rPr>
  </w:style>
  <w:style w:type="paragraph" w:customStyle="1" w:styleId="style05001">
    <w:name w:val="style05001"/>
    <w:basedOn w:val="af3"/>
    <w:rsid w:val="009964C3"/>
    <w:pPr>
      <w:widowControl/>
      <w:spacing w:before="100" w:beforeAutospacing="1" w:after="100" w:afterAutospacing="1"/>
      <w:jc w:val="left"/>
    </w:pPr>
    <w:rPr>
      <w:rFonts w:ascii="ˎ̥" w:hAnsi="ˎ̥" w:cs="宋体"/>
      <w:color w:val="003100"/>
      <w:kern w:val="0"/>
      <w:sz w:val="20"/>
      <w:szCs w:val="20"/>
    </w:rPr>
  </w:style>
  <w:style w:type="paragraph" w:customStyle="1" w:styleId="kk">
    <w:name w:val="kk"/>
    <w:basedOn w:val="afff"/>
    <w:rsid w:val="009964C3"/>
    <w:pPr>
      <w:autoSpaceDE w:val="0"/>
      <w:autoSpaceDN w:val="0"/>
      <w:adjustRightInd w:val="0"/>
      <w:spacing w:after="0" w:line="360" w:lineRule="auto"/>
      <w:textAlignment w:val="baseline"/>
    </w:pPr>
    <w:rPr>
      <w:spacing w:val="10"/>
      <w:kern w:val="0"/>
      <w:sz w:val="24"/>
      <w:szCs w:val="20"/>
    </w:rPr>
  </w:style>
  <w:style w:type="paragraph" w:customStyle="1" w:styleId="1fffffff2">
    <w:name w:val="条文1"/>
    <w:basedOn w:val="43"/>
    <w:rsid w:val="009964C3"/>
    <w:pPr>
      <w:keepNext w:val="0"/>
      <w:keepLines w:val="0"/>
      <w:adjustRightInd w:val="0"/>
      <w:spacing w:before="0" w:after="0" w:line="460" w:lineRule="exact"/>
      <w:ind w:left="907" w:hanging="425"/>
      <w:textAlignment w:val="baseline"/>
      <w:outlineLvl w:val="9"/>
    </w:pPr>
    <w:rPr>
      <w:rFonts w:ascii="宋体" w:eastAsia="宋体" w:hAnsi="Times New Roman"/>
      <w:b w:val="0"/>
      <w:bCs w:val="0"/>
      <w:kern w:val="0"/>
      <w:sz w:val="26"/>
      <w:szCs w:val="20"/>
    </w:rPr>
  </w:style>
  <w:style w:type="paragraph" w:customStyle="1" w:styleId="0012">
    <w:name w:val="样式 页眉 + 宋体 黑色 段前: 0 磅 段后: 0 磅 行距: 固定值 12 磅"/>
    <w:basedOn w:val="affffff"/>
    <w:rsid w:val="009964C3"/>
    <w:pPr>
      <w:pBdr>
        <w:bottom w:val="none" w:sz="0" w:space="0" w:color="auto"/>
      </w:pBdr>
      <w:tabs>
        <w:tab w:val="clear" w:pos="4153"/>
        <w:tab w:val="clear" w:pos="8306"/>
      </w:tabs>
      <w:snapToGrid/>
      <w:spacing w:line="240" w:lineRule="exact"/>
    </w:pPr>
    <w:rPr>
      <w:rFonts w:ascii="宋体" w:hAnsi="宋体"/>
      <w:color w:val="000000"/>
      <w:kern w:val="0"/>
      <w:sz w:val="21"/>
      <w:szCs w:val="20"/>
    </w:rPr>
  </w:style>
  <w:style w:type="paragraph" w:customStyle="1" w:styleId="ST203">
    <w:name w:val="ST20_3"/>
    <w:basedOn w:val="af3"/>
    <w:rsid w:val="009964C3"/>
    <w:pPr>
      <w:keepLines/>
      <w:tabs>
        <w:tab w:val="center" w:pos="4320"/>
        <w:tab w:val="right" w:pos="8640"/>
      </w:tabs>
      <w:autoSpaceDE w:val="0"/>
      <w:autoSpaceDN w:val="0"/>
      <w:adjustRightInd w:val="0"/>
      <w:spacing w:line="360" w:lineRule="atLeast"/>
      <w:jc w:val="left"/>
      <w:textAlignment w:val="baseline"/>
    </w:pPr>
    <w:rPr>
      <w:rFonts w:ascii="宋体" w:hAnsi="Tms Rmn"/>
      <w:kern w:val="0"/>
      <w:sz w:val="28"/>
      <w:szCs w:val="28"/>
    </w:rPr>
  </w:style>
  <w:style w:type="paragraph" w:customStyle="1" w:styleId="Body1">
    <w:name w:val="Body1"/>
    <w:basedOn w:val="af3"/>
    <w:rsid w:val="009964C3"/>
    <w:pPr>
      <w:keepLines/>
      <w:widowControl/>
      <w:ind w:left="360"/>
      <w:jc w:val="left"/>
    </w:pPr>
    <w:rPr>
      <w:kern w:val="0"/>
      <w:sz w:val="20"/>
      <w:szCs w:val="20"/>
      <w:lang w:eastAsia="en-US"/>
    </w:rPr>
  </w:style>
  <w:style w:type="paragraph" w:customStyle="1" w:styleId="ST2040">
    <w:name w:val="ST20_40"/>
    <w:basedOn w:val="ST2020"/>
    <w:next w:val="ST2020"/>
    <w:rsid w:val="009964C3"/>
    <w:pPr>
      <w:spacing w:before="80"/>
    </w:pPr>
  </w:style>
  <w:style w:type="paragraph" w:customStyle="1" w:styleId="1CharChar7">
    <w:name w:val="字元 字元1 Char Char 字元 字元"/>
    <w:basedOn w:val="af3"/>
    <w:rsid w:val="009964C3"/>
  </w:style>
  <w:style w:type="paragraph" w:customStyle="1" w:styleId="4131">
    <w:name w:val="表内小413"/>
    <w:basedOn w:val="affffffffff"/>
    <w:rsid w:val="009964C3"/>
    <w:pPr>
      <w:ind w:left="240" w:hanging="240"/>
      <w:jc w:val="both"/>
    </w:pPr>
    <w:rPr>
      <w:rFonts w:cs="Times New Roman"/>
    </w:rPr>
  </w:style>
  <w:style w:type="paragraph" w:customStyle="1" w:styleId="348">
    <w:name w:val="图题34"/>
    <w:basedOn w:val="af4"/>
    <w:rsid w:val="009964C3"/>
    <w:pPr>
      <w:adjustRightInd w:val="0"/>
      <w:snapToGrid w:val="0"/>
      <w:ind w:firstLineChars="0" w:firstLine="0"/>
      <w:jc w:val="center"/>
    </w:pPr>
    <w:rPr>
      <w:rFonts w:ascii="方正大标宋简体" w:eastAsia="方正大标宋简体"/>
      <w:sz w:val="24"/>
      <w:szCs w:val="24"/>
    </w:rPr>
  </w:style>
  <w:style w:type="paragraph" w:customStyle="1" w:styleId="xl122">
    <w:name w:val="xl122"/>
    <w:basedOn w:val="af3"/>
    <w:semiHidden/>
    <w:rsid w:val="009964C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6941">
    <w:name w:val="16.9.4.1"/>
    <w:basedOn w:val="43"/>
    <w:rsid w:val="009964C3"/>
    <w:pPr>
      <w:keepNext w:val="0"/>
      <w:keepLines w:val="0"/>
      <w:numPr>
        <w:ilvl w:val="3"/>
        <w:numId w:val="63"/>
      </w:numPr>
      <w:tabs>
        <w:tab w:val="left" w:pos="1800"/>
      </w:tabs>
      <w:spacing w:before="120" w:after="120" w:line="312" w:lineRule="auto"/>
    </w:pPr>
    <w:rPr>
      <w:sz w:val="24"/>
      <w:szCs w:val="24"/>
    </w:rPr>
  </w:style>
  <w:style w:type="paragraph" w:customStyle="1" w:styleId="4152">
    <w:name w:val="样式 标题 4 + 行距: 1.5 倍行距"/>
    <w:basedOn w:val="43"/>
    <w:semiHidden/>
    <w:rsid w:val="009964C3"/>
    <w:pPr>
      <w:numPr>
        <w:ilvl w:val="3"/>
      </w:numPr>
      <w:tabs>
        <w:tab w:val="left" w:pos="1224"/>
      </w:tabs>
      <w:adjustRightInd w:val="0"/>
      <w:snapToGrid w:val="0"/>
      <w:spacing w:before="120" w:after="120" w:line="360" w:lineRule="auto"/>
      <w:ind w:left="1224" w:hanging="864"/>
      <w:jc w:val="left"/>
      <w:textAlignment w:val="baseline"/>
    </w:pPr>
    <w:rPr>
      <w:rFonts w:ascii="宋体" w:eastAsia="宋体" w:cs="宋体"/>
      <w:kern w:val="0"/>
      <w:sz w:val="24"/>
      <w:szCs w:val="20"/>
    </w:rPr>
  </w:style>
  <w:style w:type="paragraph" w:customStyle="1" w:styleId="21121122Char122">
    <w:name w:val="样式 标题 21.1标题 21.1标题2标题 2 Char1节标2_标题 2"/>
    <w:basedOn w:val="22"/>
    <w:rsid w:val="009964C3"/>
    <w:pPr>
      <w:numPr>
        <w:ilvl w:val="2"/>
        <w:numId w:val="64"/>
      </w:numPr>
      <w:tabs>
        <w:tab w:val="left" w:pos="567"/>
      </w:tabs>
      <w:spacing w:before="120" w:after="120" w:line="312" w:lineRule="auto"/>
      <w:ind w:left="238"/>
    </w:pPr>
    <w:rPr>
      <w:rFonts w:cs="宋体"/>
      <w:color w:val="000000"/>
      <w:sz w:val="24"/>
      <w:szCs w:val="20"/>
    </w:rPr>
  </w:style>
  <w:style w:type="paragraph" w:customStyle="1" w:styleId="afffffffffffffffffffffffffffff">
    <w:name w:val="说明正文"/>
    <w:basedOn w:val="afff"/>
    <w:rsid w:val="009964C3"/>
    <w:pPr>
      <w:spacing w:after="0"/>
    </w:pPr>
    <w:rPr>
      <w:sz w:val="24"/>
      <w:szCs w:val="20"/>
    </w:rPr>
  </w:style>
  <w:style w:type="paragraph" w:customStyle="1" w:styleId="8d">
    <w:name w:val="福建正文缩进8"/>
    <w:basedOn w:val="af4"/>
    <w:rsid w:val="009964C3"/>
    <w:pPr>
      <w:adjustRightInd w:val="0"/>
      <w:snapToGrid w:val="0"/>
      <w:spacing w:line="360" w:lineRule="auto"/>
      <w:ind w:firstLineChars="0" w:firstLine="539"/>
    </w:pPr>
    <w:rPr>
      <w:rFonts w:ascii="宋体"/>
      <w:sz w:val="24"/>
      <w:szCs w:val="24"/>
    </w:rPr>
  </w:style>
  <w:style w:type="paragraph" w:customStyle="1" w:styleId="afffffffffffffffffffffffffffff0">
    <w:name w:val="表注解"/>
    <w:basedOn w:val="af3"/>
    <w:next w:val="af3"/>
    <w:rsid w:val="009964C3"/>
    <w:pPr>
      <w:adjustRightInd w:val="0"/>
      <w:snapToGrid w:val="0"/>
    </w:pPr>
    <w:rPr>
      <w:b/>
      <w:snapToGrid w:val="0"/>
      <w:sz w:val="18"/>
    </w:rPr>
  </w:style>
  <w:style w:type="paragraph" w:customStyle="1" w:styleId="265">
    <w:name w:val="图题26"/>
    <w:basedOn w:val="31"/>
    <w:rsid w:val="009964C3"/>
    <w:pPr>
      <w:keepNext w:val="0"/>
      <w:keepLines w:val="0"/>
      <w:adjustRightInd w:val="0"/>
      <w:snapToGrid w:val="0"/>
      <w:spacing w:before="120" w:after="0" w:line="360" w:lineRule="auto"/>
      <w:jc w:val="center"/>
    </w:pPr>
    <w:rPr>
      <w:rFonts w:ascii="黑体" w:eastAsia="黑体" w:hAnsi="宋体" w:cs="宋体"/>
      <w:b w:val="0"/>
      <w:sz w:val="28"/>
      <w:szCs w:val="28"/>
    </w:rPr>
  </w:style>
  <w:style w:type="paragraph" w:customStyle="1" w:styleId="040">
    <w:name w:val="0标题4"/>
    <w:basedOn w:val="af3"/>
    <w:semiHidden/>
    <w:rsid w:val="009964C3"/>
    <w:pPr>
      <w:keepNext/>
      <w:keepLines/>
      <w:suppressAutoHyphens/>
      <w:autoSpaceDE w:val="0"/>
      <w:spacing w:line="480" w:lineRule="exact"/>
      <w:ind w:firstLineChars="100" w:firstLine="561"/>
      <w:jc w:val="left"/>
      <w:outlineLvl w:val="2"/>
    </w:pPr>
    <w:rPr>
      <w:sz w:val="28"/>
      <w:szCs w:val="20"/>
    </w:rPr>
  </w:style>
  <w:style w:type="paragraph" w:customStyle="1" w:styleId="dxj2">
    <w:name w:val="dxj表内容"/>
    <w:basedOn w:val="af3"/>
    <w:next w:val="af3"/>
    <w:semiHidden/>
    <w:rsid w:val="009964C3"/>
    <w:pPr>
      <w:spacing w:line="280" w:lineRule="exact"/>
      <w:jc w:val="center"/>
    </w:pPr>
    <w:rPr>
      <w:sz w:val="18"/>
      <w:szCs w:val="18"/>
    </w:rPr>
  </w:style>
  <w:style w:type="paragraph" w:customStyle="1" w:styleId="xl19">
    <w:name w:val="xl19"/>
    <w:basedOn w:val="af3"/>
    <w:rsid w:val="009964C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5133">
    <w:name w:val="表内宋513"/>
    <w:basedOn w:val="affffffffff5"/>
    <w:qFormat/>
    <w:rsid w:val="009964C3"/>
    <w:pPr>
      <w:adjustRightInd w:val="0"/>
      <w:snapToGrid w:val="0"/>
      <w:jc w:val="both"/>
    </w:pPr>
    <w:rPr>
      <w:color w:val="000000"/>
      <w:sz w:val="21"/>
    </w:rPr>
  </w:style>
  <w:style w:type="paragraph" w:customStyle="1" w:styleId="afffffffffffffffffffffffffffff1">
    <w:name w:val="样式 表格备注"/>
    <w:basedOn w:val="af3"/>
    <w:qFormat/>
    <w:rsid w:val="009964C3"/>
    <w:pPr>
      <w:keepNext/>
      <w:tabs>
        <w:tab w:val="left" w:pos="628"/>
        <w:tab w:val="left" w:pos="1727"/>
        <w:tab w:val="left" w:pos="1884"/>
        <w:tab w:val="left" w:pos="4680"/>
        <w:tab w:val="left" w:pos="4900"/>
      </w:tabs>
      <w:adjustRightInd w:val="0"/>
      <w:snapToGrid w:val="0"/>
      <w:spacing w:line="360" w:lineRule="auto"/>
      <w:ind w:firstLineChars="200" w:firstLine="480"/>
    </w:pPr>
    <w:rPr>
      <w:rFonts w:ascii="宋体" w:eastAsia="楷体_GB2312" w:hAnsi="宋体"/>
      <w:kern w:val="0"/>
      <w:sz w:val="24"/>
      <w:szCs w:val="20"/>
    </w:rPr>
  </w:style>
  <w:style w:type="paragraph" w:customStyle="1" w:styleId="3ffff0">
    <w:name w:val="正文居中3"/>
    <w:basedOn w:val="af3"/>
    <w:qFormat/>
    <w:rsid w:val="009964C3"/>
    <w:pPr>
      <w:adjustRightInd w:val="0"/>
      <w:snapToGrid w:val="0"/>
      <w:spacing w:line="480" w:lineRule="atLeast"/>
      <w:jc w:val="center"/>
    </w:pPr>
    <w:rPr>
      <w:rFonts w:ascii="宋体"/>
      <w:snapToGrid w:val="0"/>
      <w:spacing w:val="6"/>
      <w:kern w:val="0"/>
      <w:sz w:val="28"/>
    </w:rPr>
  </w:style>
  <w:style w:type="paragraph" w:customStyle="1" w:styleId="4161">
    <w:name w:val="表内小416"/>
    <w:basedOn w:val="affffffffff"/>
    <w:qFormat/>
    <w:rsid w:val="009964C3"/>
    <w:pPr>
      <w:ind w:left="240" w:hanging="240"/>
      <w:jc w:val="both"/>
    </w:pPr>
    <w:rPr>
      <w:rFonts w:cs="Times New Roman"/>
    </w:rPr>
  </w:style>
  <w:style w:type="paragraph" w:customStyle="1" w:styleId="afffffffffffffffffffffffffffff2">
    <w:name w:val="表粗中"/>
    <w:basedOn w:val="affffffb"/>
    <w:semiHidden/>
    <w:rsid w:val="009964C3"/>
    <w:pPr>
      <w:textAlignment w:val="baseline"/>
      <w:outlineLvl w:val="7"/>
    </w:pPr>
    <w:rPr>
      <w:rFonts w:ascii="Arial" w:hAnsi="Arial" w:cs="Arial"/>
      <w:b w:val="0"/>
      <w:bCs/>
      <w:szCs w:val="20"/>
    </w:rPr>
  </w:style>
  <w:style w:type="paragraph" w:customStyle="1" w:styleId="35b">
    <w:name w:val="表内文字小35"/>
    <w:basedOn w:val="af3"/>
    <w:qFormat/>
    <w:rsid w:val="009964C3"/>
    <w:pPr>
      <w:adjustRightInd w:val="0"/>
      <w:snapToGrid w:val="0"/>
      <w:jc w:val="center"/>
    </w:pPr>
    <w:rPr>
      <w:rFonts w:ascii="宋体" w:hAnsi="Times" w:cs="宋体"/>
      <w:bCs/>
      <w:color w:val="003366"/>
      <w:szCs w:val="20"/>
    </w:rPr>
  </w:style>
  <w:style w:type="paragraph" w:customStyle="1" w:styleId="-3">
    <w:name w:val="表格-项目"/>
    <w:basedOn w:val="af3"/>
    <w:rsid w:val="009964C3"/>
    <w:pPr>
      <w:widowControl/>
      <w:autoSpaceDE w:val="0"/>
      <w:autoSpaceDN w:val="0"/>
      <w:adjustRightInd w:val="0"/>
      <w:spacing w:line="0" w:lineRule="atLeast"/>
      <w:ind w:firstLine="57"/>
      <w:jc w:val="left"/>
      <w:textAlignment w:val="bottom"/>
    </w:pPr>
    <w:rPr>
      <w:rFonts w:ascii="Arial" w:hAnsi="Arial"/>
      <w:kern w:val="0"/>
      <w:sz w:val="26"/>
      <w:szCs w:val="20"/>
    </w:rPr>
  </w:style>
  <w:style w:type="paragraph" w:customStyle="1" w:styleId="CharCharChar21">
    <w:name w:val="Char Char Char2"/>
    <w:basedOn w:val="af3"/>
    <w:rsid w:val="009964C3"/>
  </w:style>
  <w:style w:type="paragraph" w:customStyle="1" w:styleId="475">
    <w:name w:val="标题475"/>
    <w:basedOn w:val="af3"/>
    <w:qFormat/>
    <w:rsid w:val="009964C3"/>
    <w:pPr>
      <w:adjustRightInd w:val="0"/>
      <w:snapToGrid w:val="0"/>
      <w:spacing w:line="300" w:lineRule="auto"/>
    </w:pPr>
    <w:rPr>
      <w:rFonts w:ascii="黑体" w:eastAsia="黑体"/>
      <w:sz w:val="24"/>
      <w:szCs w:val="20"/>
    </w:rPr>
  </w:style>
  <w:style w:type="paragraph" w:customStyle="1" w:styleId="3ffff1">
    <w:name w:val="首缩3"/>
    <w:basedOn w:val="af3"/>
    <w:qFormat/>
    <w:rsid w:val="009964C3"/>
    <w:pPr>
      <w:adjustRightInd w:val="0"/>
      <w:snapToGrid w:val="0"/>
      <w:spacing w:line="500" w:lineRule="exact"/>
      <w:ind w:firstLineChars="200" w:firstLine="200"/>
    </w:pPr>
    <w:rPr>
      <w:rFonts w:eastAsia="仿宋_GB2312"/>
      <w:snapToGrid w:val="0"/>
      <w:kern w:val="0"/>
      <w:sz w:val="28"/>
      <w:szCs w:val="20"/>
    </w:rPr>
  </w:style>
  <w:style w:type="paragraph" w:customStyle="1" w:styleId="CharChar1CharCharChar">
    <w:name w:val="Char Char1 Char Char Char"/>
    <w:basedOn w:val="af3"/>
    <w:rsid w:val="009964C3"/>
  </w:style>
  <w:style w:type="paragraph" w:customStyle="1" w:styleId="175">
    <w:name w:val="样式17"/>
    <w:basedOn w:val="afffffff4"/>
    <w:rsid w:val="009964C3"/>
    <w:pPr>
      <w:tabs>
        <w:tab w:val="clear" w:pos="4305"/>
      </w:tabs>
      <w:spacing w:line="240" w:lineRule="auto"/>
      <w:ind w:firstLine="0"/>
    </w:pPr>
    <w:rPr>
      <w:rFonts w:ascii="方正大标宋简体" w:eastAsia="方正大标宋简体"/>
      <w:color w:val="0000FF"/>
    </w:rPr>
  </w:style>
  <w:style w:type="paragraph" w:customStyle="1" w:styleId="44b">
    <w:name w:val="图题44"/>
    <w:basedOn w:val="af4"/>
    <w:qFormat/>
    <w:rsid w:val="009964C3"/>
    <w:pPr>
      <w:tabs>
        <w:tab w:val="left" w:pos="5837"/>
      </w:tabs>
      <w:adjustRightInd w:val="0"/>
      <w:snapToGrid w:val="0"/>
      <w:ind w:firstLineChars="0" w:firstLine="0"/>
      <w:jc w:val="center"/>
    </w:pPr>
    <w:rPr>
      <w:rFonts w:ascii="方正大标宋简体" w:eastAsia="方正大标宋简体" w:hAnsi="宋体" w:cs="宋体"/>
      <w:sz w:val="24"/>
      <w:szCs w:val="24"/>
    </w:rPr>
  </w:style>
  <w:style w:type="paragraph" w:customStyle="1" w:styleId="164-1">
    <w:name w:val="表16.4-1"/>
    <w:basedOn w:val="2410"/>
    <w:rsid w:val="009964C3"/>
    <w:pPr>
      <w:numPr>
        <w:numId w:val="65"/>
      </w:numPr>
      <w:tabs>
        <w:tab w:val="clear" w:pos="4060"/>
        <w:tab w:val="clear" w:pos="8261"/>
        <w:tab w:val="left" w:pos="360"/>
        <w:tab w:val="left" w:pos="720"/>
      </w:tabs>
      <w:ind w:left="0" w:firstLine="0"/>
    </w:pPr>
  </w:style>
  <w:style w:type="paragraph" w:customStyle="1" w:styleId="45a">
    <w:name w:val="表内文字大45"/>
    <w:basedOn w:val="af3"/>
    <w:rsid w:val="009964C3"/>
    <w:pPr>
      <w:adjustRightInd w:val="0"/>
      <w:snapToGrid w:val="0"/>
      <w:jc w:val="center"/>
    </w:pPr>
    <w:rPr>
      <w:rFonts w:ascii="宋体" w:hAnsi="Times"/>
      <w:sz w:val="24"/>
      <w:szCs w:val="20"/>
    </w:rPr>
  </w:style>
  <w:style w:type="paragraph" w:customStyle="1" w:styleId="CUCD-20">
    <w:name w:val="CUCD-2"/>
    <w:next w:val="CUCD-00"/>
    <w:semiHidden/>
    <w:rsid w:val="009964C3"/>
    <w:pPr>
      <w:ind w:left="576" w:hanging="576"/>
      <w:jc w:val="both"/>
      <w:outlineLvl w:val="1"/>
    </w:pPr>
    <w:rPr>
      <w:rFonts w:ascii="Arial" w:hAnsi="宋体" w:cs="Arial"/>
      <w:b/>
      <w:kern w:val="2"/>
      <w:sz w:val="28"/>
      <w:szCs w:val="28"/>
    </w:rPr>
  </w:style>
  <w:style w:type="paragraph" w:customStyle="1" w:styleId="xl112">
    <w:name w:val="xl112"/>
    <w:basedOn w:val="af3"/>
    <w:rsid w:val="009964C3"/>
    <w:pPr>
      <w:widowControl/>
      <w:pBdr>
        <w:top w:val="single" w:sz="4" w:space="0" w:color="auto"/>
        <w:left w:val="single" w:sz="4" w:space="0" w:color="auto"/>
        <w:bottom w:val="single" w:sz="8" w:space="0" w:color="auto"/>
      </w:pBdr>
      <w:shd w:val="clear" w:color="auto" w:fill="FFFFFF"/>
      <w:spacing w:before="100" w:beforeAutospacing="1" w:after="100" w:afterAutospacing="1"/>
      <w:jc w:val="center"/>
    </w:pPr>
    <w:rPr>
      <w:rFonts w:eastAsia="Arial Unicode MS"/>
      <w:color w:val="000000"/>
      <w:kern w:val="0"/>
      <w:sz w:val="18"/>
      <w:szCs w:val="18"/>
    </w:rPr>
  </w:style>
  <w:style w:type="paragraph" w:customStyle="1" w:styleId="1123">
    <w:name w:val="样式 11正文 + 首行缩进:  2 字符"/>
    <w:basedOn w:val="af3"/>
    <w:semiHidden/>
    <w:rsid w:val="009964C3"/>
    <w:pPr>
      <w:spacing w:line="360" w:lineRule="auto"/>
      <w:ind w:firstLineChars="200" w:firstLine="480"/>
    </w:pPr>
    <w:rPr>
      <w:sz w:val="24"/>
    </w:rPr>
  </w:style>
  <w:style w:type="paragraph" w:customStyle="1" w:styleId="3ffff2">
    <w:name w:val="正文缩3"/>
    <w:basedOn w:val="af3"/>
    <w:rsid w:val="009964C3"/>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1117">
    <w:name w:val="样式 样式 标题 1 + 段后: 1 行 + 段后: 1 行"/>
    <w:basedOn w:val="af3"/>
    <w:rsid w:val="009964C3"/>
    <w:pPr>
      <w:keepLines/>
      <w:widowControl/>
      <w:spacing w:afterLines="100"/>
      <w:jc w:val="left"/>
      <w:outlineLvl w:val="0"/>
    </w:pPr>
    <w:rPr>
      <w:rFonts w:eastAsia="黑体" w:cs="宋体"/>
      <w:b/>
      <w:bCs/>
      <w:snapToGrid w:val="0"/>
      <w:kern w:val="28"/>
      <w:sz w:val="36"/>
      <w:szCs w:val="20"/>
    </w:rPr>
  </w:style>
  <w:style w:type="paragraph" w:customStyle="1" w:styleId="cauc-TB">
    <w:name w:val="cauc-TB"/>
    <w:semiHidden/>
    <w:rsid w:val="009964C3"/>
    <w:pPr>
      <w:jc w:val="center"/>
    </w:pPr>
    <w:rPr>
      <w:kern w:val="2"/>
      <w:sz w:val="24"/>
      <w:szCs w:val="24"/>
    </w:rPr>
  </w:style>
  <w:style w:type="paragraph" w:customStyle="1" w:styleId="46">
    <w:name w:val="表4"/>
    <w:basedOn w:val="af3"/>
    <w:link w:val="Charfffb"/>
    <w:semiHidden/>
    <w:locked/>
    <w:rsid w:val="009964C3"/>
    <w:pPr>
      <w:keepNext/>
      <w:keepLines/>
      <w:adjustRightInd w:val="0"/>
      <w:snapToGrid w:val="0"/>
      <w:spacing w:before="120" w:after="120" w:line="240" w:lineRule="exact"/>
      <w:jc w:val="center"/>
    </w:pPr>
    <w:rPr>
      <w:rFonts w:eastAsia="仿宋_GB2312"/>
      <w:bCs/>
      <w:color w:val="000000"/>
      <w:kern w:val="21"/>
    </w:rPr>
  </w:style>
  <w:style w:type="paragraph" w:customStyle="1" w:styleId="16b">
    <w:name w:val="样式16"/>
    <w:basedOn w:val="afffffff4"/>
    <w:rsid w:val="009964C3"/>
    <w:pPr>
      <w:tabs>
        <w:tab w:val="clear" w:pos="4305"/>
      </w:tabs>
      <w:spacing w:line="240" w:lineRule="auto"/>
      <w:ind w:firstLine="0"/>
    </w:pPr>
    <w:rPr>
      <w:rFonts w:ascii="方正大标宋简体" w:eastAsia="方正大标宋简体"/>
      <w:color w:val="0000FF"/>
    </w:rPr>
  </w:style>
  <w:style w:type="paragraph" w:customStyle="1" w:styleId="163-11">
    <w:name w:val="表16.3-1 + 段前: 1 行"/>
    <w:basedOn w:val="164-1"/>
    <w:rsid w:val="009964C3"/>
    <w:pPr>
      <w:numPr>
        <w:numId w:val="0"/>
      </w:numPr>
      <w:tabs>
        <w:tab w:val="clear" w:pos="360"/>
        <w:tab w:val="left" w:pos="720"/>
      </w:tabs>
      <w:spacing w:before="240"/>
    </w:pPr>
  </w:style>
  <w:style w:type="paragraph" w:customStyle="1" w:styleId="CM24">
    <w:name w:val="CM24"/>
    <w:basedOn w:val="Default"/>
    <w:next w:val="Default"/>
    <w:semiHidden/>
    <w:rsid w:val="009964C3"/>
    <w:pPr>
      <w:spacing w:line="546" w:lineRule="atLeast"/>
    </w:pPr>
    <w:rPr>
      <w:rFonts w:ascii="仿宋_GB2312" w:eastAsia="仿宋_GB2312" w:hAnsi="Calibri" w:cs="Times New Roman"/>
      <w:color w:val="auto"/>
    </w:rPr>
  </w:style>
  <w:style w:type="paragraph" w:customStyle="1" w:styleId="4fff4">
    <w:name w:val="样式 标题 4 + 加粗"/>
    <w:basedOn w:val="43"/>
    <w:semiHidden/>
    <w:rsid w:val="009964C3"/>
    <w:pPr>
      <w:numPr>
        <w:ilvl w:val="3"/>
      </w:numPr>
      <w:tabs>
        <w:tab w:val="left" w:pos="0"/>
        <w:tab w:val="left" w:pos="864"/>
        <w:tab w:val="left" w:pos="1021"/>
      </w:tabs>
      <w:spacing w:line="376" w:lineRule="atLeast"/>
      <w:ind w:left="864" w:hanging="864"/>
      <w:jc w:val="left"/>
      <w:textAlignment w:val="baseline"/>
    </w:pPr>
    <w:rPr>
      <w:rFonts w:ascii="宋体" w:eastAsia="宋体" w:hAnsi="宋体"/>
      <w:b w:val="0"/>
      <w:bCs w:val="0"/>
      <w:sz w:val="24"/>
      <w:szCs w:val="20"/>
    </w:rPr>
  </w:style>
  <w:style w:type="paragraph" w:customStyle="1" w:styleId="41100">
    <w:name w:val="标题4110"/>
    <w:basedOn w:val="af3"/>
    <w:rsid w:val="009964C3"/>
    <w:pPr>
      <w:adjustRightInd w:val="0"/>
      <w:snapToGrid w:val="0"/>
      <w:spacing w:line="300" w:lineRule="auto"/>
      <w:jc w:val="left"/>
    </w:pPr>
    <w:rPr>
      <w:rFonts w:ascii="黑体" w:eastAsia="黑体" w:hAnsi="宋体" w:cs="宋体"/>
      <w:bCs/>
      <w:sz w:val="24"/>
      <w:szCs w:val="20"/>
    </w:rPr>
  </w:style>
  <w:style w:type="paragraph" w:customStyle="1" w:styleId="afffffffffffffffffffffffffffff3">
    <w:name w:val="五号框图文字"/>
    <w:basedOn w:val="af3"/>
    <w:rsid w:val="009964C3"/>
    <w:pPr>
      <w:tabs>
        <w:tab w:val="left" w:pos="567"/>
      </w:tabs>
      <w:jc w:val="center"/>
    </w:pPr>
    <w:rPr>
      <w:rFonts w:eastAsia="华文中宋"/>
      <w:szCs w:val="21"/>
    </w:rPr>
  </w:style>
  <w:style w:type="paragraph" w:customStyle="1" w:styleId="41111411114Char1111Char4">
    <w:name w:val="样式 标题 41.1.1.1标题 4.1.1.1.1标题 4 Char款1.1.1.1 Char标4 + 两端对齐"/>
    <w:basedOn w:val="43"/>
    <w:rsid w:val="009964C3"/>
    <w:pPr>
      <w:keepNext w:val="0"/>
      <w:keepLines w:val="0"/>
      <w:tabs>
        <w:tab w:val="left" w:pos="2514"/>
      </w:tabs>
      <w:spacing w:before="0" w:after="0" w:line="360" w:lineRule="auto"/>
      <w:ind w:rightChars="-47" w:right="-132" w:firstLineChars="238" w:firstLine="666"/>
    </w:pPr>
    <w:rPr>
      <w:rFonts w:ascii="宋体" w:eastAsia="宋体" w:cs="宋体"/>
      <w:b w:val="0"/>
      <w:bCs w:val="0"/>
      <w:color w:val="000000"/>
    </w:rPr>
  </w:style>
  <w:style w:type="paragraph" w:customStyle="1" w:styleId="53e">
    <w:name w:val="表内文字小53"/>
    <w:basedOn w:val="af3"/>
    <w:rsid w:val="009964C3"/>
    <w:pPr>
      <w:adjustRightInd w:val="0"/>
      <w:snapToGrid w:val="0"/>
      <w:jc w:val="center"/>
    </w:pPr>
    <w:rPr>
      <w:rFonts w:ascii="宋体" w:hAnsi="Times"/>
      <w:szCs w:val="20"/>
    </w:rPr>
  </w:style>
  <w:style w:type="paragraph" w:customStyle="1" w:styleId="47096">
    <w:name w:val="样式 标标题4.7 + 右侧:  0.96 厘米"/>
    <w:basedOn w:val="af3"/>
    <w:rsid w:val="009964C3"/>
    <w:pPr>
      <w:tabs>
        <w:tab w:val="left" w:pos="720"/>
        <w:tab w:val="center" w:pos="4060"/>
        <w:tab w:val="right" w:pos="8261"/>
      </w:tabs>
      <w:suppressAutoHyphens/>
      <w:adjustRightInd w:val="0"/>
      <w:spacing w:before="240" w:line="0" w:lineRule="atLeast"/>
      <w:ind w:left="-4" w:right="544" w:firstLine="4"/>
      <w:jc w:val="center"/>
    </w:pPr>
    <w:rPr>
      <w:rFonts w:ascii="黑体" w:eastAsia="黑体" w:cs="宋体"/>
      <w:b/>
      <w:bCs/>
      <w:spacing w:val="6"/>
      <w:kern w:val="0"/>
      <w:sz w:val="26"/>
      <w:szCs w:val="20"/>
    </w:rPr>
  </w:style>
  <w:style w:type="paragraph" w:customStyle="1" w:styleId="Char120">
    <w:name w:val="Char12"/>
    <w:basedOn w:val="af3"/>
    <w:rsid w:val="009964C3"/>
    <w:pPr>
      <w:ind w:left="-48"/>
    </w:pPr>
  </w:style>
  <w:style w:type="paragraph" w:customStyle="1" w:styleId="631">
    <w:name w:val="表题63"/>
    <w:basedOn w:val="afffffff4"/>
    <w:rsid w:val="009964C3"/>
    <w:pPr>
      <w:spacing w:line="240" w:lineRule="auto"/>
      <w:ind w:firstLineChars="200" w:firstLine="480"/>
      <w:jc w:val="center"/>
    </w:pPr>
    <w:rPr>
      <w:rFonts w:ascii="黑体" w:eastAsia="黑体" w:cs="Times New Roman"/>
      <w:color w:val="auto"/>
      <w:szCs w:val="20"/>
    </w:rPr>
  </w:style>
  <w:style w:type="paragraph" w:customStyle="1" w:styleId="1610-1">
    <w:name w:val="表标题16.10-1"/>
    <w:basedOn w:val="240"/>
    <w:rsid w:val="009964C3"/>
    <w:pPr>
      <w:numPr>
        <w:numId w:val="66"/>
      </w:numPr>
      <w:tabs>
        <w:tab w:val="clear" w:pos="4060"/>
        <w:tab w:val="clear" w:pos="8261"/>
        <w:tab w:val="left" w:pos="360"/>
        <w:tab w:val="left" w:pos="3360"/>
        <w:tab w:val="left" w:pos="6200"/>
      </w:tabs>
      <w:ind w:left="5540" w:firstLine="0"/>
    </w:pPr>
  </w:style>
  <w:style w:type="paragraph" w:customStyle="1" w:styleId="338">
    <w:name w:val="表内文字大33"/>
    <w:basedOn w:val="af3"/>
    <w:rsid w:val="009964C3"/>
    <w:pPr>
      <w:adjustRightInd w:val="0"/>
      <w:snapToGrid w:val="0"/>
      <w:jc w:val="center"/>
    </w:pPr>
    <w:rPr>
      <w:rFonts w:ascii="宋体" w:hAnsi="Times"/>
      <w:sz w:val="24"/>
      <w:szCs w:val="20"/>
    </w:rPr>
  </w:style>
  <w:style w:type="paragraph" w:customStyle="1" w:styleId="-01">
    <w:name w:val="样式 正文首行缩进 + 左侧:  -0.1 字符"/>
    <w:basedOn w:val="aff7"/>
    <w:rsid w:val="009964C3"/>
    <w:pPr>
      <w:keepNext/>
      <w:tabs>
        <w:tab w:val="left" w:pos="628"/>
        <w:tab w:val="left" w:pos="1727"/>
        <w:tab w:val="left" w:pos="1884"/>
        <w:tab w:val="left" w:pos="4900"/>
      </w:tabs>
      <w:overflowPunct/>
      <w:snapToGrid w:val="0"/>
      <w:ind w:firstLineChars="200" w:firstLine="200"/>
      <w:jc w:val="left"/>
      <w:textAlignment w:val="auto"/>
    </w:pPr>
    <w:rPr>
      <w:rFonts w:ascii="宋体" w:cs="宋体"/>
      <w:szCs w:val="20"/>
      <w:lang w:val="zh-CN"/>
    </w:rPr>
  </w:style>
  <w:style w:type="paragraph" w:customStyle="1" w:styleId="CharChar3CharCharCharChar1">
    <w:name w:val="Char Char3 Char Char Char Char1"/>
    <w:basedOn w:val="af3"/>
    <w:rsid w:val="009964C3"/>
    <w:pPr>
      <w:widowControl/>
      <w:spacing w:after="160" w:line="240" w:lineRule="exact"/>
      <w:jc w:val="left"/>
    </w:pPr>
    <w:rPr>
      <w:rFonts w:ascii="Verdana" w:hAnsi="Verdana"/>
      <w:kern w:val="0"/>
      <w:sz w:val="20"/>
      <w:szCs w:val="20"/>
      <w:lang w:eastAsia="en-US"/>
    </w:rPr>
  </w:style>
  <w:style w:type="paragraph" w:customStyle="1" w:styleId="31113CharChar3Char3-31111">
    <w:name w:val="样式 标题 31.1.1条标题 3 Char Char标题 3 Char标3可研-标题 3§1.1.1.. (1..."/>
    <w:basedOn w:val="31"/>
    <w:rsid w:val="009964C3"/>
    <w:pPr>
      <w:keepNext w:val="0"/>
      <w:keepLines w:val="0"/>
      <w:numPr>
        <w:ilvl w:val="2"/>
        <w:numId w:val="51"/>
      </w:numPr>
      <w:tabs>
        <w:tab w:val="left" w:pos="180"/>
        <w:tab w:val="left" w:pos="628"/>
      </w:tabs>
      <w:autoSpaceDE w:val="0"/>
      <w:autoSpaceDN w:val="0"/>
      <w:adjustRightInd w:val="0"/>
      <w:snapToGrid w:val="0"/>
      <w:spacing w:before="120" w:after="0" w:line="360" w:lineRule="auto"/>
    </w:pPr>
    <w:rPr>
      <w:rFonts w:ascii="宋体" w:hAnsi="宋体" w:cs="宋体"/>
      <w:b w:val="0"/>
      <w:bCs w:val="0"/>
      <w:spacing w:val="3"/>
      <w:sz w:val="28"/>
      <w:szCs w:val="28"/>
      <w:lang w:val="zh-CN"/>
    </w:rPr>
  </w:style>
  <w:style w:type="paragraph" w:customStyle="1" w:styleId="632">
    <w:name w:val="页眉中63"/>
    <w:basedOn w:val="4a"/>
    <w:rsid w:val="009964C3"/>
    <w:pPr>
      <w:snapToGrid w:val="0"/>
      <w:spacing w:line="360" w:lineRule="auto"/>
      <w:textAlignment w:val="auto"/>
    </w:pPr>
    <w:rPr>
      <w:rFonts w:ascii="黑体" w:eastAsia="黑体"/>
      <w:szCs w:val="24"/>
    </w:rPr>
  </w:style>
  <w:style w:type="paragraph" w:customStyle="1" w:styleId="16921">
    <w:name w:val="16.9.2.1"/>
    <w:basedOn w:val="16911"/>
    <w:rsid w:val="009964C3"/>
    <w:pPr>
      <w:numPr>
        <w:ilvl w:val="0"/>
        <w:numId w:val="0"/>
      </w:numPr>
      <w:tabs>
        <w:tab w:val="left" w:pos="425"/>
        <w:tab w:val="left" w:pos="1680"/>
      </w:tabs>
      <w:ind w:left="1680" w:hanging="420"/>
    </w:pPr>
  </w:style>
  <w:style w:type="paragraph" w:customStyle="1" w:styleId="2ffffff0">
    <w:name w:val="样式 自定义缩进 + 黑色 首行缩进:  2 字符"/>
    <w:basedOn w:val="af3"/>
    <w:rsid w:val="009964C3"/>
    <w:pPr>
      <w:widowControl/>
      <w:spacing w:line="336" w:lineRule="auto"/>
      <w:ind w:firstLine="480"/>
      <w:jc w:val="left"/>
    </w:pPr>
    <w:rPr>
      <w:rFonts w:ascii="宋体" w:hAnsi="宋体"/>
      <w:b/>
      <w:color w:val="000000"/>
      <w:kern w:val="0"/>
      <w:sz w:val="28"/>
      <w:szCs w:val="20"/>
    </w:rPr>
  </w:style>
  <w:style w:type="paragraph" w:customStyle="1" w:styleId="xl57">
    <w:name w:val="xl57"/>
    <w:basedOn w:val="af3"/>
    <w:rsid w:val="009964C3"/>
    <w:pPr>
      <w:widowControl/>
      <w:pBdr>
        <w:left w:val="single" w:sz="4" w:space="0" w:color="auto"/>
        <w:right w:val="single" w:sz="4" w:space="0" w:color="auto"/>
      </w:pBdr>
      <w:adjustRightInd w:val="0"/>
      <w:snapToGrid w:val="0"/>
      <w:spacing w:before="100" w:beforeAutospacing="1" w:after="100" w:afterAutospacing="1"/>
      <w:jc w:val="right"/>
      <w:textAlignment w:val="center"/>
    </w:pPr>
    <w:rPr>
      <w:rFonts w:ascii="宋体" w:hAnsi="宋体"/>
      <w:color w:val="000000"/>
      <w:kern w:val="0"/>
      <w:szCs w:val="20"/>
    </w:rPr>
  </w:style>
  <w:style w:type="paragraph" w:customStyle="1" w:styleId="238">
    <w:name w:val="燕山正文23"/>
    <w:basedOn w:val="af3"/>
    <w:rsid w:val="009964C3"/>
    <w:pPr>
      <w:tabs>
        <w:tab w:val="left" w:pos="4680"/>
      </w:tabs>
      <w:adjustRightInd w:val="0"/>
      <w:snapToGrid w:val="0"/>
      <w:spacing w:line="360" w:lineRule="auto"/>
      <w:ind w:firstLineChars="200" w:firstLine="480"/>
      <w:jc w:val="left"/>
    </w:pPr>
    <w:rPr>
      <w:rFonts w:ascii="宋体" w:hAnsi="宋体"/>
      <w:bCs/>
      <w:color w:val="000000"/>
      <w:sz w:val="24"/>
    </w:rPr>
  </w:style>
  <w:style w:type="paragraph" w:customStyle="1" w:styleId="afffffffffffffffffffffffffffff4">
    <w:name w:val="报告封面大标题"/>
    <w:basedOn w:val="afff"/>
    <w:next w:val="af3"/>
    <w:rsid w:val="009964C3"/>
    <w:pPr>
      <w:spacing w:beforeLines="200" w:afterLines="100"/>
    </w:pPr>
    <w:rPr>
      <w:b/>
      <w:bCs/>
      <w:sz w:val="72"/>
      <w:szCs w:val="20"/>
    </w:rPr>
  </w:style>
  <w:style w:type="paragraph" w:customStyle="1" w:styleId="301">
    <w:name w:val="页眉中30"/>
    <w:basedOn w:val="af3"/>
    <w:rsid w:val="009964C3"/>
    <w:pPr>
      <w:adjustRightInd w:val="0"/>
      <w:snapToGrid w:val="0"/>
      <w:spacing w:line="300" w:lineRule="auto"/>
      <w:jc w:val="left"/>
    </w:pPr>
    <w:rPr>
      <w:rFonts w:ascii="黑体" w:eastAsia="黑体"/>
      <w:bCs/>
      <w:sz w:val="24"/>
      <w:szCs w:val="20"/>
    </w:rPr>
  </w:style>
  <w:style w:type="paragraph" w:customStyle="1" w:styleId="afffffffffffffffffffffffffffff5">
    <w:name w:val="表号"/>
    <w:basedOn w:val="affffffffff7"/>
    <w:next w:val="affffffffff7"/>
    <w:rsid w:val="009964C3"/>
    <w:pPr>
      <w:spacing w:before="120" w:after="120" w:line="240" w:lineRule="atLeast"/>
    </w:pPr>
    <w:rPr>
      <w:rFonts w:ascii="黑体" w:eastAsia="黑体"/>
      <w:b/>
      <w:color w:val="auto"/>
      <w:sz w:val="24"/>
    </w:rPr>
  </w:style>
  <w:style w:type="paragraph" w:customStyle="1" w:styleId="185">
    <w:name w:val="样式18"/>
    <w:basedOn w:val="af3"/>
    <w:rsid w:val="009964C3"/>
    <w:pPr>
      <w:adjustRightInd w:val="0"/>
      <w:snapToGrid w:val="0"/>
      <w:spacing w:line="300" w:lineRule="auto"/>
      <w:jc w:val="center"/>
      <w:textAlignment w:val="baseline"/>
    </w:pPr>
    <w:rPr>
      <w:rFonts w:ascii="仿宋_GB2312" w:eastAsia="仿宋_GB2312" w:hAnsi="Courier New"/>
      <w:b/>
      <w:kern w:val="0"/>
      <w:sz w:val="28"/>
      <w:szCs w:val="20"/>
    </w:rPr>
  </w:style>
  <w:style w:type="paragraph" w:customStyle="1" w:styleId="5331">
    <w:name w:val="表内5中33"/>
    <w:basedOn w:val="af3"/>
    <w:rsid w:val="009964C3"/>
    <w:pPr>
      <w:adjustRightInd w:val="0"/>
      <w:snapToGrid w:val="0"/>
      <w:jc w:val="center"/>
    </w:pPr>
    <w:rPr>
      <w:rFonts w:ascii="宋体"/>
    </w:rPr>
  </w:style>
  <w:style w:type="paragraph" w:customStyle="1" w:styleId="1152">
    <w:name w:val="页眉中115"/>
    <w:basedOn w:val="af3"/>
    <w:rsid w:val="009964C3"/>
    <w:pPr>
      <w:adjustRightInd w:val="0"/>
      <w:snapToGrid w:val="0"/>
      <w:spacing w:line="300" w:lineRule="auto"/>
      <w:jc w:val="left"/>
    </w:pPr>
    <w:rPr>
      <w:rFonts w:ascii="黑体" w:eastAsia="黑体" w:hAnsi="宋体"/>
      <w:sz w:val="24"/>
    </w:rPr>
  </w:style>
  <w:style w:type="paragraph" w:customStyle="1" w:styleId="54c">
    <w:name w:val="样式 表内小5 + 黑体 加粗 倾斜 下划线4"/>
    <w:basedOn w:val="af3"/>
    <w:rsid w:val="009964C3"/>
    <w:pPr>
      <w:adjustRightInd w:val="0"/>
      <w:snapToGrid w:val="0"/>
      <w:spacing w:line="300" w:lineRule="auto"/>
    </w:pPr>
    <w:rPr>
      <w:rFonts w:ascii="黑体" w:eastAsia="黑体" w:hAnsi="黑体"/>
      <w:b/>
      <w:bCs/>
      <w:i/>
      <w:iCs/>
      <w:sz w:val="18"/>
      <w:u w:val="single"/>
    </w:rPr>
  </w:style>
  <w:style w:type="paragraph" w:customStyle="1" w:styleId="2ffffff1">
    <w:name w:val="样式 我要的文章主体 + 首行缩进:  2 字符"/>
    <w:basedOn w:val="afffffffffffff"/>
    <w:semiHidden/>
    <w:locked/>
    <w:rsid w:val="009964C3"/>
    <w:rPr>
      <w:rFonts w:cs="宋体"/>
      <w:szCs w:val="20"/>
    </w:rPr>
  </w:style>
  <w:style w:type="paragraph" w:customStyle="1" w:styleId="3ffff3">
    <w:name w:val="表内序号3"/>
    <w:basedOn w:val="af3"/>
    <w:rsid w:val="009964C3"/>
    <w:pPr>
      <w:widowControl/>
      <w:adjustRightInd w:val="0"/>
      <w:snapToGrid w:val="0"/>
      <w:spacing w:line="360" w:lineRule="auto"/>
      <w:ind w:firstLine="288"/>
    </w:pPr>
    <w:rPr>
      <w:kern w:val="0"/>
      <w:sz w:val="18"/>
      <w:szCs w:val="20"/>
    </w:rPr>
  </w:style>
  <w:style w:type="paragraph" w:customStyle="1" w:styleId="ParaCharCharCharCharCharCharChar">
    <w:name w:val="默认段落字体 Para Char Char Char Char Char Char Char"/>
    <w:basedOn w:val="af3"/>
    <w:rsid w:val="009964C3"/>
    <w:pPr>
      <w:spacing w:line="360" w:lineRule="auto"/>
    </w:pPr>
    <w:rPr>
      <w:sz w:val="24"/>
      <w:szCs w:val="20"/>
    </w:rPr>
  </w:style>
  <w:style w:type="paragraph" w:customStyle="1" w:styleId="13f3">
    <w:name w:val="条(三级)13"/>
    <w:basedOn w:val="af3"/>
    <w:next w:val="af3"/>
    <w:rsid w:val="009964C3"/>
    <w:pPr>
      <w:keepNext/>
      <w:keepLines/>
      <w:adjustRightInd w:val="0"/>
      <w:snapToGrid w:val="0"/>
      <w:spacing w:line="460" w:lineRule="exact"/>
      <w:textAlignment w:val="baseline"/>
    </w:pPr>
    <w:rPr>
      <w:rFonts w:hAnsi="Arial"/>
      <w:spacing w:val="3"/>
      <w:kern w:val="24"/>
      <w:sz w:val="18"/>
      <w:szCs w:val="20"/>
    </w:rPr>
  </w:style>
  <w:style w:type="paragraph" w:customStyle="1" w:styleId="371">
    <w:name w:val="表题37"/>
    <w:basedOn w:val="af3"/>
    <w:rsid w:val="009964C3"/>
    <w:pPr>
      <w:adjustRightInd w:val="0"/>
      <w:snapToGrid w:val="0"/>
      <w:jc w:val="center"/>
      <w:textAlignment w:val="baseline"/>
    </w:pPr>
    <w:rPr>
      <w:rFonts w:ascii="黑体" w:eastAsia="黑体" w:hAnsi="宋体"/>
      <w:kern w:val="0"/>
      <w:sz w:val="24"/>
    </w:rPr>
  </w:style>
  <w:style w:type="paragraph" w:customStyle="1" w:styleId="ReferenceInitials">
    <w:name w:val="Reference Initials"/>
    <w:basedOn w:val="af3"/>
    <w:rsid w:val="009964C3"/>
    <w:pPr>
      <w:widowControl/>
    </w:pPr>
    <w:rPr>
      <w:rFonts w:ascii="Arial" w:hAnsi="Arial"/>
      <w:kern w:val="0"/>
      <w:sz w:val="22"/>
      <w:szCs w:val="20"/>
    </w:rPr>
  </w:style>
  <w:style w:type="paragraph" w:customStyle="1" w:styleId="3ffff4">
    <w:name w:val="需要资料3"/>
    <w:basedOn w:val="af3"/>
    <w:rsid w:val="009964C3"/>
    <w:pPr>
      <w:adjustRightInd w:val="0"/>
      <w:snapToGrid w:val="0"/>
      <w:spacing w:line="360" w:lineRule="auto"/>
      <w:ind w:firstLineChars="200" w:firstLine="480"/>
    </w:pPr>
    <w:rPr>
      <w:rFonts w:ascii="黑体" w:eastAsia="黑体"/>
      <w:color w:val="0000FF"/>
      <w:sz w:val="24"/>
    </w:rPr>
  </w:style>
  <w:style w:type="paragraph" w:customStyle="1" w:styleId="CharChar2CharCharCharCharChar">
    <w:name w:val="段落 Char Char2 Char Char Char Char Char"/>
    <w:basedOn w:val="af3"/>
    <w:qFormat/>
    <w:rsid w:val="009964C3"/>
    <w:pPr>
      <w:tabs>
        <w:tab w:val="left" w:pos="1021"/>
      </w:tabs>
      <w:spacing w:line="326" w:lineRule="auto"/>
      <w:ind w:firstLineChars="200" w:firstLine="480"/>
    </w:pPr>
    <w:rPr>
      <w:kern w:val="24"/>
      <w:sz w:val="24"/>
    </w:rPr>
  </w:style>
  <w:style w:type="paragraph" w:customStyle="1" w:styleId="5232">
    <w:name w:val="表内宋523"/>
    <w:basedOn w:val="5f9"/>
    <w:rsid w:val="009964C3"/>
    <w:pPr>
      <w:jc w:val="both"/>
    </w:pPr>
  </w:style>
  <w:style w:type="paragraph" w:customStyle="1" w:styleId="2022">
    <w:name w:val="样式 正文文本 + 首行缩进:  2 字符 段后: 0.2 行2"/>
    <w:basedOn w:val="af3"/>
    <w:rsid w:val="009964C3"/>
    <w:pPr>
      <w:spacing w:afterLines="20" w:line="300" w:lineRule="auto"/>
      <w:ind w:firstLineChars="200" w:firstLine="480"/>
    </w:pPr>
    <w:rPr>
      <w:rFonts w:ascii="Arial" w:hAnsi="Arial"/>
      <w:sz w:val="24"/>
      <w:szCs w:val="28"/>
    </w:rPr>
  </w:style>
  <w:style w:type="paragraph" w:customStyle="1" w:styleId="afffffffffffffffffffffffffffff6">
    <w:name w:val="四级标题王"/>
    <w:basedOn w:val="af3"/>
    <w:rsid w:val="009964C3"/>
    <w:pPr>
      <w:adjustRightInd w:val="0"/>
      <w:snapToGrid w:val="0"/>
      <w:spacing w:line="360" w:lineRule="auto"/>
      <w:jc w:val="left"/>
      <w:outlineLvl w:val="3"/>
    </w:pPr>
    <w:rPr>
      <w:b/>
      <w:color w:val="000000"/>
      <w:sz w:val="24"/>
      <w:szCs w:val="20"/>
    </w:rPr>
  </w:style>
  <w:style w:type="paragraph" w:customStyle="1" w:styleId="afffffffffffffffffffffffffffff7">
    <w:name w:val="小四表文左齐"/>
    <w:basedOn w:val="af3"/>
    <w:rsid w:val="009964C3"/>
    <w:pPr>
      <w:jc w:val="center"/>
    </w:pPr>
    <w:rPr>
      <w:rFonts w:ascii="宋体" w:hAnsi="宋体"/>
    </w:rPr>
  </w:style>
  <w:style w:type="paragraph" w:customStyle="1" w:styleId="5930">
    <w:name w:val="表内593"/>
    <w:basedOn w:val="af3"/>
    <w:rsid w:val="009964C3"/>
    <w:pPr>
      <w:adjustRightInd w:val="0"/>
      <w:snapToGrid w:val="0"/>
    </w:pPr>
    <w:rPr>
      <w:rFonts w:ascii="宋体"/>
      <w:szCs w:val="20"/>
    </w:rPr>
  </w:style>
  <w:style w:type="paragraph" w:customStyle="1" w:styleId="CharCharCharCharChar30">
    <w:name w:val="Char Char Char Char Char3"/>
    <w:basedOn w:val="af3"/>
    <w:rsid w:val="009964C3"/>
    <w:pPr>
      <w:widowControl/>
      <w:spacing w:after="160" w:line="240" w:lineRule="exact"/>
      <w:jc w:val="left"/>
    </w:pPr>
    <w:rPr>
      <w:rFonts w:ascii="Arial" w:eastAsia="Times New Roman" w:hAnsi="Arial" w:cs="Verdana"/>
      <w:b/>
      <w:kern w:val="0"/>
      <w:sz w:val="24"/>
      <w:szCs w:val="20"/>
      <w:lang w:eastAsia="en-US"/>
    </w:rPr>
  </w:style>
  <w:style w:type="paragraph" w:customStyle="1" w:styleId="5fff2">
    <w:name w:val="标题样式5"/>
    <w:basedOn w:val="51"/>
    <w:rsid w:val="009964C3"/>
    <w:pPr>
      <w:keepNext/>
      <w:keepLines/>
      <w:spacing w:line="360" w:lineRule="auto"/>
      <w:jc w:val="both"/>
    </w:pPr>
    <w:rPr>
      <w:rFonts w:hAnsi="Times New Roman"/>
      <w:b/>
      <w:bCs/>
      <w:color w:val="auto"/>
      <w:spacing w:val="0"/>
      <w:position w:val="0"/>
      <w:szCs w:val="28"/>
    </w:rPr>
  </w:style>
  <w:style w:type="paragraph" w:customStyle="1" w:styleId="xl72">
    <w:name w:val="xl72"/>
    <w:basedOn w:val="af3"/>
    <w:rsid w:val="009964C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12510">
    <w:name w:val="样式 表1 + 行距: 固定值 25 磅1"/>
    <w:basedOn w:val="af3"/>
    <w:rsid w:val="009964C3"/>
    <w:pPr>
      <w:adjustRightInd w:val="0"/>
      <w:snapToGrid w:val="0"/>
      <w:jc w:val="center"/>
      <w:textAlignment w:val="baseline"/>
    </w:pPr>
    <w:rPr>
      <w:rFonts w:ascii="宋体" w:hAnsi="宋体" w:cs="宋体"/>
      <w:szCs w:val="20"/>
    </w:rPr>
  </w:style>
  <w:style w:type="paragraph" w:customStyle="1" w:styleId="afffffffffffffffffffffffffffff8">
    <w:name w:val="条(二级)"/>
    <w:basedOn w:val="22"/>
    <w:next w:val="affffffffffffd"/>
    <w:rsid w:val="009964C3"/>
    <w:pPr>
      <w:tabs>
        <w:tab w:val="left" w:pos="1246"/>
      </w:tabs>
      <w:adjustRightInd w:val="0"/>
      <w:spacing w:before="0" w:after="0" w:line="460" w:lineRule="exact"/>
      <w:textAlignment w:val="baseline"/>
      <w:outlineLvl w:val="9"/>
    </w:pPr>
    <w:rPr>
      <w:rFonts w:ascii="宋体" w:eastAsia="宋体" w:hAnsi="Times New Roman"/>
      <w:bCs w:val="0"/>
      <w:kern w:val="0"/>
      <w:sz w:val="26"/>
      <w:szCs w:val="20"/>
    </w:rPr>
  </w:style>
  <w:style w:type="paragraph" w:customStyle="1" w:styleId="1127">
    <w:name w:val="样式 标题 1 + 首行缩进:  1.27 厘米"/>
    <w:basedOn w:val="13"/>
    <w:rsid w:val="009964C3"/>
    <w:pPr>
      <w:spacing w:before="240" w:after="60" w:line="360" w:lineRule="auto"/>
      <w:jc w:val="left"/>
    </w:pPr>
    <w:rPr>
      <w:rFonts w:ascii="Arial" w:hAnsi="Arial" w:cs="宋体"/>
      <w:b w:val="0"/>
      <w:bCs w:val="0"/>
      <w:szCs w:val="20"/>
    </w:rPr>
  </w:style>
  <w:style w:type="paragraph" w:customStyle="1" w:styleId="463">
    <w:name w:val="标题463"/>
    <w:basedOn w:val="af3"/>
    <w:rsid w:val="009964C3"/>
    <w:pPr>
      <w:adjustRightInd w:val="0"/>
      <w:snapToGrid w:val="0"/>
      <w:spacing w:line="360" w:lineRule="auto"/>
      <w:jc w:val="left"/>
    </w:pPr>
    <w:rPr>
      <w:rFonts w:ascii="黑体" w:eastAsia="黑体"/>
      <w:bCs/>
      <w:sz w:val="24"/>
    </w:rPr>
  </w:style>
  <w:style w:type="paragraph" w:customStyle="1" w:styleId="ST2052">
    <w:name w:val="ST20_52"/>
    <w:basedOn w:val="ST2020"/>
    <w:rsid w:val="009964C3"/>
    <w:pPr>
      <w:ind w:left="1440"/>
    </w:pPr>
  </w:style>
  <w:style w:type="paragraph" w:customStyle="1" w:styleId="CM26">
    <w:name w:val="CM26"/>
    <w:basedOn w:val="Default"/>
    <w:next w:val="Default"/>
    <w:rsid w:val="009964C3"/>
    <w:pPr>
      <w:spacing w:after="885"/>
    </w:pPr>
    <w:rPr>
      <w:rFonts w:ascii="GE Inspira" w:eastAsia="GE Inspira" w:cs="Times New Roman"/>
      <w:color w:val="auto"/>
    </w:rPr>
  </w:style>
  <w:style w:type="paragraph" w:customStyle="1" w:styleId="1615">
    <w:name w:val="样式 标题 1 + 段前: 6 磅 行距: 1.5 倍行距"/>
    <w:basedOn w:val="13"/>
    <w:rsid w:val="009964C3"/>
    <w:pPr>
      <w:keepLines w:val="0"/>
      <w:widowControl/>
      <w:spacing w:before="240" w:after="480" w:line="360" w:lineRule="auto"/>
      <w:jc w:val="left"/>
    </w:pPr>
    <w:rPr>
      <w:b w:val="0"/>
      <w:bCs w:val="0"/>
      <w:kern w:val="0"/>
      <w:szCs w:val="36"/>
    </w:rPr>
  </w:style>
  <w:style w:type="paragraph" w:customStyle="1" w:styleId="633">
    <w:name w:val="图题63"/>
    <w:basedOn w:val="af3"/>
    <w:rsid w:val="009964C3"/>
    <w:pPr>
      <w:jc w:val="center"/>
    </w:pPr>
    <w:rPr>
      <w:rFonts w:ascii="黑体" w:eastAsia="黑体"/>
      <w:sz w:val="24"/>
    </w:rPr>
  </w:style>
  <w:style w:type="paragraph" w:customStyle="1" w:styleId="931">
    <w:name w:val="表题93"/>
    <w:basedOn w:val="afffffffff2"/>
    <w:rsid w:val="009964C3"/>
    <w:pPr>
      <w:adjustRightInd w:val="0"/>
      <w:snapToGrid w:val="0"/>
      <w:spacing w:line="300" w:lineRule="auto"/>
      <w:jc w:val="center"/>
    </w:pPr>
    <w:rPr>
      <w:rFonts w:ascii="黑体" w:eastAsia="黑体" w:cs="Times New Roman"/>
      <w:sz w:val="24"/>
      <w:szCs w:val="20"/>
    </w:rPr>
  </w:style>
  <w:style w:type="paragraph" w:customStyle="1" w:styleId="xl80">
    <w:name w:val="xl80"/>
    <w:basedOn w:val="af3"/>
    <w:rsid w:val="009964C3"/>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53f">
    <w:name w:val="样式 表内小5 + 黑体 加粗 倾斜 下划线3"/>
    <w:basedOn w:val="af3"/>
    <w:rsid w:val="009964C3"/>
    <w:pPr>
      <w:adjustRightInd w:val="0"/>
      <w:snapToGrid w:val="0"/>
      <w:spacing w:line="300" w:lineRule="auto"/>
    </w:pPr>
    <w:rPr>
      <w:rFonts w:ascii="黑体" w:eastAsia="黑体" w:hAnsi="黑体"/>
      <w:b/>
      <w:bCs/>
      <w:i/>
      <w:iCs/>
      <w:sz w:val="18"/>
      <w:u w:val="single"/>
    </w:rPr>
  </w:style>
  <w:style w:type="paragraph" w:customStyle="1" w:styleId="ST2058">
    <w:name w:val="ST20_58"/>
    <w:basedOn w:val="ST2021"/>
    <w:rsid w:val="009964C3"/>
    <w:pPr>
      <w:ind w:left="1440"/>
    </w:pPr>
  </w:style>
  <w:style w:type="paragraph" w:customStyle="1" w:styleId="3513">
    <w:name w:val="样式 燕山正文 + 首行缩进:  3.5 字符13"/>
    <w:basedOn w:val="af3"/>
    <w:rsid w:val="009964C3"/>
    <w:pPr>
      <w:tabs>
        <w:tab w:val="left" w:pos="4680"/>
      </w:tabs>
      <w:adjustRightInd w:val="0"/>
      <w:snapToGrid w:val="0"/>
      <w:spacing w:line="360" w:lineRule="auto"/>
      <w:ind w:firstLineChars="200" w:firstLine="200"/>
    </w:pPr>
    <w:rPr>
      <w:rFonts w:ascii="宋体" w:hAnsi="宋体" w:cs="宋体"/>
      <w:color w:val="000000"/>
      <w:sz w:val="28"/>
      <w:szCs w:val="20"/>
    </w:rPr>
  </w:style>
  <w:style w:type="paragraph" w:customStyle="1" w:styleId="xl94">
    <w:name w:val="xl94"/>
    <w:basedOn w:val="af3"/>
    <w:rsid w:val="009964C3"/>
    <w:pPr>
      <w:widowControl/>
      <w:pBdr>
        <w:left w:val="single" w:sz="4" w:space="0" w:color="auto"/>
        <w:bottom w:val="single" w:sz="4" w:space="0" w:color="auto"/>
      </w:pBdr>
      <w:spacing w:before="100" w:beforeAutospacing="1" w:after="100" w:afterAutospacing="1"/>
      <w:jc w:val="center"/>
    </w:pPr>
    <w:rPr>
      <w:rFonts w:ascii="宋体" w:hAnsi="宋体" w:cs="宋体"/>
      <w:kern w:val="0"/>
      <w:sz w:val="24"/>
    </w:rPr>
  </w:style>
  <w:style w:type="paragraph" w:customStyle="1" w:styleId="339">
    <w:name w:val="福建正文缩进33"/>
    <w:basedOn w:val="af4"/>
    <w:rsid w:val="009964C3"/>
    <w:pPr>
      <w:autoSpaceDE w:val="0"/>
      <w:autoSpaceDN w:val="0"/>
      <w:adjustRightInd w:val="0"/>
      <w:snapToGrid w:val="0"/>
      <w:spacing w:line="360" w:lineRule="auto"/>
      <w:ind w:firstLineChars="0" w:firstLine="539"/>
    </w:pPr>
    <w:rPr>
      <w:rFonts w:ascii="宋体" w:hAnsi="宋体"/>
      <w:sz w:val="24"/>
      <w:szCs w:val="24"/>
    </w:rPr>
  </w:style>
  <w:style w:type="paragraph" w:customStyle="1" w:styleId="ST2062">
    <w:name w:val="ST20_62"/>
    <w:basedOn w:val="ST2054"/>
    <w:rsid w:val="009964C3"/>
    <w:pPr>
      <w:ind w:left="1440"/>
    </w:pPr>
  </w:style>
  <w:style w:type="paragraph" w:customStyle="1" w:styleId="733">
    <w:name w:val="图题73"/>
    <w:basedOn w:val="af3"/>
    <w:rsid w:val="009964C3"/>
    <w:pPr>
      <w:adjustRightInd w:val="0"/>
      <w:snapToGrid w:val="0"/>
      <w:ind w:firstLineChars="222" w:firstLine="533"/>
      <w:jc w:val="center"/>
    </w:pPr>
    <w:rPr>
      <w:rFonts w:ascii="黑体" w:eastAsia="黑体" w:hAnsi="宋体"/>
      <w:snapToGrid w:val="0"/>
      <w:kern w:val="0"/>
      <w:sz w:val="24"/>
    </w:rPr>
  </w:style>
  <w:style w:type="paragraph" w:customStyle="1" w:styleId="ST2063">
    <w:name w:val="ST20_63"/>
    <w:basedOn w:val="ST2054"/>
    <w:rsid w:val="009964C3"/>
    <w:pPr>
      <w:ind w:left="1800"/>
    </w:pPr>
  </w:style>
  <w:style w:type="paragraph" w:customStyle="1" w:styleId="Char35">
    <w:name w:val="表题 Char3"/>
    <w:basedOn w:val="af3"/>
    <w:rsid w:val="009964C3"/>
    <w:pPr>
      <w:spacing w:line="360" w:lineRule="auto"/>
      <w:jc w:val="center"/>
    </w:pPr>
    <w:rPr>
      <w:rFonts w:ascii="黑体" w:eastAsia="黑体"/>
      <w:bCs/>
      <w:sz w:val="28"/>
      <w:szCs w:val="28"/>
    </w:rPr>
  </w:style>
  <w:style w:type="paragraph" w:customStyle="1" w:styleId="afffffffffffffffffffffffffffff9">
    <w:name w:val="标题间隔"/>
    <w:basedOn w:val="af3"/>
    <w:rsid w:val="009964C3"/>
    <w:pPr>
      <w:snapToGrid w:val="0"/>
      <w:jc w:val="left"/>
    </w:pPr>
    <w:rPr>
      <w:sz w:val="24"/>
      <w:szCs w:val="20"/>
    </w:rPr>
  </w:style>
  <w:style w:type="paragraph" w:customStyle="1" w:styleId="6f5">
    <w:name w:val="福建正文缩进6"/>
    <w:basedOn w:val="af4"/>
    <w:rsid w:val="009964C3"/>
    <w:pPr>
      <w:adjustRightInd w:val="0"/>
      <w:snapToGrid w:val="0"/>
      <w:spacing w:line="360" w:lineRule="auto"/>
      <w:ind w:firstLineChars="0" w:firstLine="539"/>
    </w:pPr>
    <w:rPr>
      <w:rFonts w:ascii="宋体"/>
      <w:sz w:val="24"/>
      <w:szCs w:val="24"/>
    </w:rPr>
  </w:style>
  <w:style w:type="paragraph" w:customStyle="1" w:styleId="afffffffffffffffffffffffffffffa">
    <w:name w:val="附录四级条"/>
    <w:basedOn w:val="afffffffffffffff7"/>
    <w:next w:val="43"/>
    <w:rsid w:val="009964C3"/>
    <w:pPr>
      <w:tabs>
        <w:tab w:val="clear" w:pos="1200"/>
        <w:tab w:val="left" w:pos="360"/>
      </w:tabs>
      <w:ind w:left="360"/>
    </w:pPr>
  </w:style>
  <w:style w:type="paragraph" w:customStyle="1" w:styleId="afffffffffffffffffffffffffffffb">
    <w:name w:val="正文段落（缩进）"/>
    <w:basedOn w:val="af3"/>
    <w:next w:val="afffffffff2"/>
    <w:rsid w:val="009964C3"/>
    <w:pPr>
      <w:spacing w:line="360" w:lineRule="auto"/>
      <w:jc w:val="left"/>
    </w:pPr>
    <w:rPr>
      <w:kern w:val="0"/>
      <w:sz w:val="24"/>
      <w:szCs w:val="20"/>
    </w:rPr>
  </w:style>
  <w:style w:type="paragraph" w:customStyle="1" w:styleId="afffffffffffffffffffffffffffffc">
    <w:name w:val="自定义表格文字居中"/>
    <w:basedOn w:val="af3"/>
    <w:rsid w:val="009964C3"/>
    <w:pPr>
      <w:widowControl/>
      <w:adjustRightInd w:val="0"/>
      <w:snapToGrid w:val="0"/>
      <w:ind w:left="4" w:hangingChars="2" w:hanging="4"/>
      <w:jc w:val="center"/>
      <w:outlineLvl w:val="0"/>
    </w:pPr>
    <w:rPr>
      <w:rFonts w:ascii="宋体" w:hAnsi="宋体"/>
      <w:b/>
      <w:kern w:val="0"/>
      <w:szCs w:val="21"/>
    </w:rPr>
  </w:style>
  <w:style w:type="paragraph" w:customStyle="1" w:styleId="10513">
    <w:name w:val="样式 标题 1 + 段前: 0.5 行 段后: 1 行3"/>
    <w:basedOn w:val="13"/>
    <w:rsid w:val="009964C3"/>
    <w:pPr>
      <w:keepLines w:val="0"/>
      <w:adjustRightInd w:val="0"/>
      <w:snapToGrid w:val="0"/>
      <w:spacing w:beforeLines="50" w:after="0" w:line="360" w:lineRule="auto"/>
      <w:jc w:val="center"/>
    </w:pPr>
    <w:rPr>
      <w:rFonts w:ascii="黑体" w:cs="宋体"/>
      <w:bCs w:val="0"/>
      <w:kern w:val="2"/>
      <w:sz w:val="32"/>
      <w:szCs w:val="20"/>
    </w:rPr>
  </w:style>
  <w:style w:type="paragraph" w:customStyle="1" w:styleId="111110">
    <w:name w:val="样式 样式 标题 1 + 段前: 1 行 段后: 1 行 + 段前: 1 行 段后: 1 行"/>
    <w:basedOn w:val="af3"/>
    <w:rsid w:val="009964C3"/>
    <w:pPr>
      <w:keepNext/>
      <w:keepLines/>
      <w:tabs>
        <w:tab w:val="left" w:pos="420"/>
      </w:tabs>
      <w:spacing w:beforeLines="100" w:afterLines="100" w:line="360" w:lineRule="auto"/>
      <w:ind w:left="420" w:hanging="420"/>
      <w:jc w:val="left"/>
      <w:outlineLvl w:val="0"/>
    </w:pPr>
    <w:rPr>
      <w:rFonts w:ascii="Arial" w:eastAsia="黑体" w:hAnsi="Arial" w:cs="宋体"/>
      <w:kern w:val="44"/>
      <w:sz w:val="24"/>
    </w:rPr>
  </w:style>
  <w:style w:type="paragraph" w:customStyle="1" w:styleId="1341">
    <w:name w:val="页眉中134"/>
    <w:basedOn w:val="af3"/>
    <w:rsid w:val="009964C3"/>
    <w:pPr>
      <w:adjustRightInd w:val="0"/>
      <w:snapToGrid w:val="0"/>
      <w:spacing w:line="300" w:lineRule="auto"/>
      <w:jc w:val="left"/>
    </w:pPr>
    <w:rPr>
      <w:rFonts w:ascii="黑体" w:eastAsia="黑体"/>
      <w:bCs/>
      <w:sz w:val="24"/>
      <w:szCs w:val="20"/>
    </w:rPr>
  </w:style>
  <w:style w:type="paragraph" w:customStyle="1" w:styleId="afffffffffffffffffffffffffffffd">
    <w:name w:val="样式 表头 + 黑体 小四"/>
    <w:basedOn w:val="af3"/>
    <w:rsid w:val="009964C3"/>
    <w:pPr>
      <w:overflowPunct w:val="0"/>
      <w:autoSpaceDE w:val="0"/>
      <w:autoSpaceDN w:val="0"/>
      <w:adjustRightInd w:val="0"/>
      <w:spacing w:before="120"/>
      <w:jc w:val="center"/>
      <w:textAlignment w:val="baseline"/>
    </w:pPr>
    <w:rPr>
      <w:rFonts w:eastAsia="黑体" w:hAnsi="Arial"/>
      <w:color w:val="000000"/>
      <w:kern w:val="0"/>
      <w:sz w:val="24"/>
    </w:rPr>
  </w:style>
  <w:style w:type="paragraph" w:customStyle="1" w:styleId="16811">
    <w:name w:val="16.8.1.1"/>
    <w:basedOn w:val="43"/>
    <w:rsid w:val="009964C3"/>
    <w:pPr>
      <w:keepNext w:val="0"/>
      <w:keepLines w:val="0"/>
      <w:numPr>
        <w:ilvl w:val="3"/>
        <w:numId w:val="67"/>
      </w:numPr>
      <w:tabs>
        <w:tab w:val="left" w:pos="1800"/>
      </w:tabs>
      <w:spacing w:before="120" w:after="120" w:line="312" w:lineRule="auto"/>
    </w:pPr>
    <w:rPr>
      <w:sz w:val="24"/>
      <w:szCs w:val="24"/>
    </w:rPr>
  </w:style>
  <w:style w:type="paragraph" w:customStyle="1" w:styleId="2H2Heading2HiddenHeading2CCBS2ndlevelh22Header">
    <w:name w:val="样式 标题 2H2Heading 2 HiddenHeading 2 CCBS2nd levelh22Header..."/>
    <w:basedOn w:val="h"/>
    <w:rsid w:val="009964C3"/>
    <w:pPr>
      <w:keepNext w:val="0"/>
      <w:keepLines w:val="0"/>
      <w:tabs>
        <w:tab w:val="left" w:pos="360"/>
      </w:tabs>
      <w:spacing w:beforeLines="50" w:after="0" w:line="360" w:lineRule="auto"/>
      <w:ind w:firstLine="0"/>
      <w:outlineLvl w:val="1"/>
    </w:pPr>
    <w:rPr>
      <w:rFonts w:ascii="Times New Roman" w:hAnsi="Times New Roman" w:cs="Times New Roman"/>
      <w:kern w:val="24"/>
      <w:sz w:val="28"/>
      <w:szCs w:val="28"/>
    </w:rPr>
  </w:style>
  <w:style w:type="paragraph" w:customStyle="1" w:styleId="41111411114Char1111Char41114">
    <w:name w:val="样式 标题 41.1.1.1标题 4.1.1.1.1标题 4 Char款1.1.1.1 Char标4段1.1.1...4"/>
    <w:basedOn w:val="43"/>
    <w:rsid w:val="009964C3"/>
    <w:pPr>
      <w:keepNext w:val="0"/>
      <w:keepLines w:val="0"/>
      <w:numPr>
        <w:ilvl w:val="3"/>
        <w:numId w:val="68"/>
      </w:numPr>
      <w:tabs>
        <w:tab w:val="left" w:pos="4582"/>
      </w:tabs>
      <w:spacing w:before="100" w:after="100" w:line="302" w:lineRule="auto"/>
    </w:pPr>
    <w:rPr>
      <w:color w:val="000000"/>
      <w:sz w:val="24"/>
      <w:szCs w:val="24"/>
    </w:rPr>
  </w:style>
  <w:style w:type="paragraph" w:customStyle="1" w:styleId="660">
    <w:name w:val="样式 标题 6标6无节 + 黑色"/>
    <w:basedOn w:val="6"/>
    <w:rsid w:val="009964C3"/>
    <w:pPr>
      <w:keepNext w:val="0"/>
      <w:tabs>
        <w:tab w:val="left" w:pos="840"/>
        <w:tab w:val="left" w:pos="3080"/>
      </w:tabs>
      <w:spacing w:before="0" w:after="0" w:line="336" w:lineRule="auto"/>
      <w:ind w:firstLine="480"/>
    </w:pPr>
    <w:rPr>
      <w:rFonts w:ascii="宋体" w:eastAsia="宋体" w:cs="Times New Roman"/>
      <w:bCs w:val="0"/>
      <w:color w:val="000000"/>
      <w:sz w:val="28"/>
    </w:rPr>
  </w:style>
  <w:style w:type="paragraph" w:customStyle="1" w:styleId="239">
    <w:name w:val="表内文字23"/>
    <w:basedOn w:val="af3"/>
    <w:rsid w:val="009964C3"/>
    <w:pPr>
      <w:widowControl/>
      <w:adjustRightInd w:val="0"/>
      <w:snapToGrid w:val="0"/>
      <w:jc w:val="center"/>
    </w:pPr>
    <w:rPr>
      <w:kern w:val="0"/>
      <w:szCs w:val="21"/>
    </w:rPr>
  </w:style>
  <w:style w:type="paragraph" w:customStyle="1" w:styleId="13131">
    <w:name w:val="13.1.3.1"/>
    <w:basedOn w:val="43"/>
    <w:rsid w:val="009964C3"/>
    <w:pPr>
      <w:keepNext w:val="0"/>
      <w:keepLines w:val="0"/>
      <w:numPr>
        <w:ilvl w:val="3"/>
        <w:numId w:val="69"/>
      </w:numPr>
      <w:tabs>
        <w:tab w:val="left" w:pos="284"/>
      </w:tabs>
      <w:spacing w:before="100" w:after="100" w:line="302" w:lineRule="auto"/>
    </w:pPr>
    <w:rPr>
      <w:sz w:val="24"/>
      <w:szCs w:val="24"/>
    </w:rPr>
  </w:style>
  <w:style w:type="paragraph" w:customStyle="1" w:styleId="Titre1sansSP">
    <w:name w:val="Titre 1 sans SP"/>
    <w:basedOn w:val="13"/>
    <w:rsid w:val="009964C3"/>
    <w:pPr>
      <w:keepNext w:val="0"/>
      <w:keepLines w:val="0"/>
      <w:widowControl/>
      <w:tabs>
        <w:tab w:val="left" w:pos="432"/>
      </w:tabs>
      <w:spacing w:before="720" w:after="120" w:line="280" w:lineRule="atLeast"/>
      <w:ind w:left="432" w:hanging="432"/>
      <w:jc w:val="left"/>
    </w:pPr>
    <w:rPr>
      <w:rFonts w:eastAsia="宋体"/>
      <w:b w:val="0"/>
      <w:bCs w:val="0"/>
      <w:caps/>
      <w:kern w:val="0"/>
      <w:sz w:val="32"/>
      <w:szCs w:val="20"/>
    </w:rPr>
  </w:style>
  <w:style w:type="paragraph" w:customStyle="1" w:styleId="3-1">
    <w:name w:val="标题3-1"/>
    <w:basedOn w:val="31"/>
    <w:rsid w:val="009964C3"/>
    <w:pPr>
      <w:keepNext w:val="0"/>
      <w:keepLines w:val="0"/>
      <w:tabs>
        <w:tab w:val="left" w:pos="0"/>
        <w:tab w:val="left" w:pos="720"/>
      </w:tabs>
      <w:spacing w:before="120" w:after="60" w:line="360" w:lineRule="auto"/>
      <w:ind w:left="720" w:hanging="720"/>
      <w:jc w:val="left"/>
    </w:pPr>
    <w:rPr>
      <w:rFonts w:eastAsia="华文细黑"/>
      <w:b w:val="0"/>
      <w:color w:val="000000"/>
      <w:sz w:val="24"/>
      <w:szCs w:val="30"/>
    </w:rPr>
  </w:style>
  <w:style w:type="paragraph" w:customStyle="1" w:styleId="5441">
    <w:name w:val="表内5中44"/>
    <w:basedOn w:val="54"/>
    <w:rsid w:val="009964C3"/>
    <w:pPr>
      <w:spacing w:line="240" w:lineRule="auto"/>
    </w:pPr>
    <w:rPr>
      <w:rFonts w:hAnsi="Times New Roman" w:cs="Times New Roman"/>
      <w:bCs/>
    </w:rPr>
  </w:style>
  <w:style w:type="paragraph" w:customStyle="1" w:styleId="1233">
    <w:name w:val="页眉中123"/>
    <w:basedOn w:val="af3"/>
    <w:rsid w:val="009964C3"/>
    <w:pPr>
      <w:adjustRightInd w:val="0"/>
      <w:snapToGrid w:val="0"/>
      <w:spacing w:line="300" w:lineRule="auto"/>
      <w:jc w:val="left"/>
    </w:pPr>
    <w:rPr>
      <w:rFonts w:ascii="黑体" w:eastAsia="黑体"/>
      <w:bCs/>
      <w:sz w:val="24"/>
      <w:szCs w:val="20"/>
    </w:rPr>
  </w:style>
  <w:style w:type="paragraph" w:customStyle="1" w:styleId="Char1CharCharCharCharCharCharCharCharCharCharCharChar">
    <w:name w:val="Char1 Char Char Char Char Char Char Char Char Char Char Char Char"/>
    <w:basedOn w:val="af3"/>
    <w:qFormat/>
    <w:rsid w:val="009964C3"/>
    <w:rPr>
      <w:szCs w:val="20"/>
    </w:rPr>
  </w:style>
  <w:style w:type="paragraph" w:customStyle="1" w:styleId="202">
    <w:name w:val="表内文字小20"/>
    <w:basedOn w:val="af3"/>
    <w:qFormat/>
    <w:rsid w:val="009964C3"/>
    <w:pPr>
      <w:adjustRightInd w:val="0"/>
      <w:snapToGrid w:val="0"/>
      <w:jc w:val="center"/>
    </w:pPr>
    <w:rPr>
      <w:rFonts w:ascii="宋体" w:hAnsi="Times"/>
      <w:szCs w:val="20"/>
    </w:rPr>
  </w:style>
  <w:style w:type="paragraph" w:customStyle="1" w:styleId="afffffffffffffffffffffffffffffe">
    <w:name w:val="附录标识"/>
    <w:next w:val="affffffffffffffffffffffffffffff"/>
    <w:rsid w:val="009964C3"/>
    <w:pPr>
      <w:tabs>
        <w:tab w:val="left" w:pos="1200"/>
      </w:tabs>
      <w:spacing w:before="100" w:line="440" w:lineRule="exact"/>
      <w:ind w:leftChars="400" w:left="400" w:hangingChars="200" w:hanging="360"/>
      <w:jc w:val="center"/>
      <w:outlineLvl w:val="0"/>
    </w:pPr>
    <w:rPr>
      <w:rFonts w:ascii="黑体" w:eastAsia="黑体"/>
      <w:sz w:val="24"/>
    </w:rPr>
  </w:style>
  <w:style w:type="paragraph" w:customStyle="1" w:styleId="10505">
    <w:name w:val="样式 样式1 + 段前: 0.5 行 段后: 0.5 行"/>
    <w:rsid w:val="009964C3"/>
    <w:pPr>
      <w:tabs>
        <w:tab w:val="left" w:pos="432"/>
      </w:tabs>
      <w:spacing w:before="120" w:after="120"/>
      <w:ind w:left="432" w:hanging="432"/>
    </w:pPr>
    <w:rPr>
      <w:rFonts w:ascii="Arial" w:hAnsi="Arial" w:cs="宋体"/>
      <w:b/>
      <w:bCs/>
      <w:sz w:val="24"/>
    </w:rPr>
  </w:style>
  <w:style w:type="paragraph" w:customStyle="1" w:styleId="3H3BHead3Char1113Char23Char1Char1">
    <w:name w:val="样式 标题 3H3B Head标题 3 Char条标题1.1.1标题 3 Char2标题 3 Char1 Char...1"/>
    <w:basedOn w:val="31"/>
    <w:rsid w:val="009964C3"/>
    <w:pPr>
      <w:keepNext w:val="0"/>
      <w:keepLines w:val="0"/>
      <w:tabs>
        <w:tab w:val="left" w:pos="709"/>
      </w:tabs>
      <w:overflowPunct w:val="0"/>
      <w:autoSpaceDE w:val="0"/>
      <w:autoSpaceDN w:val="0"/>
      <w:adjustRightInd w:val="0"/>
      <w:spacing w:before="156" w:after="0" w:line="360" w:lineRule="auto"/>
      <w:ind w:left="709" w:hanging="709"/>
      <w:jc w:val="left"/>
      <w:textAlignment w:val="baseline"/>
    </w:pPr>
    <w:rPr>
      <w:rFonts w:eastAsia="黑体"/>
      <w:b w:val="0"/>
      <w:bCs w:val="0"/>
      <w:color w:val="000000"/>
      <w:kern w:val="20"/>
      <w:sz w:val="24"/>
      <w:szCs w:val="20"/>
    </w:rPr>
  </w:style>
  <w:style w:type="paragraph" w:customStyle="1" w:styleId="1331">
    <w:name w:val="页眉中133"/>
    <w:basedOn w:val="af3"/>
    <w:rsid w:val="009964C3"/>
    <w:pPr>
      <w:adjustRightInd w:val="0"/>
      <w:snapToGrid w:val="0"/>
      <w:spacing w:line="300" w:lineRule="auto"/>
      <w:jc w:val="left"/>
    </w:pPr>
    <w:rPr>
      <w:rFonts w:ascii="黑体" w:eastAsia="黑体"/>
      <w:bCs/>
      <w:sz w:val="24"/>
      <w:szCs w:val="20"/>
    </w:rPr>
  </w:style>
  <w:style w:type="paragraph" w:customStyle="1" w:styleId="11Char6">
    <w:name w:val="样式 标题 1标题 1 Char + 段前: 6 磅"/>
    <w:basedOn w:val="13"/>
    <w:rsid w:val="009964C3"/>
    <w:pPr>
      <w:keepNext w:val="0"/>
      <w:adjustRightInd w:val="0"/>
      <w:spacing w:before="240" w:after="0" w:line="360" w:lineRule="auto"/>
      <w:jc w:val="left"/>
      <w:textAlignment w:val="baseline"/>
    </w:pPr>
    <w:rPr>
      <w:rFonts w:ascii="黑体" w:cs="Arial"/>
      <w:b w:val="0"/>
      <w:color w:val="000000"/>
      <w:kern w:val="2"/>
      <w:sz w:val="24"/>
      <w:szCs w:val="20"/>
    </w:rPr>
  </w:style>
  <w:style w:type="paragraph" w:customStyle="1" w:styleId="22f1">
    <w:name w:val="样式 样式 首行缩进:  2 字符 + 首行缩进:  2 字符"/>
    <w:basedOn w:val="2f2"/>
    <w:qFormat/>
    <w:rsid w:val="009964C3"/>
    <w:pPr>
      <w:adjustRightInd w:val="0"/>
      <w:snapToGrid w:val="0"/>
      <w:ind w:firstLine="480"/>
    </w:pPr>
    <w:rPr>
      <w:rFonts w:ascii="宋体" w:hAnsi="Times New Roman" w:cs="Times New Roman"/>
    </w:rPr>
  </w:style>
  <w:style w:type="paragraph" w:customStyle="1" w:styleId="affffffffffffffffffffffffffffff0">
    <w:name w:val="样式 表格标题 + 黑体"/>
    <w:basedOn w:val="afffffffff3"/>
    <w:qFormat/>
    <w:rsid w:val="009964C3"/>
    <w:pPr>
      <w:keepNext/>
      <w:widowControl/>
    </w:pPr>
    <w:rPr>
      <w:rFonts w:ascii="黑体" w:eastAsia="黑体" w:hAnsi="黑体" w:cs="Times New Roman"/>
      <w:bCs w:val="0"/>
      <w:kern w:val="2"/>
      <w:sz w:val="24"/>
      <w:szCs w:val="28"/>
    </w:rPr>
  </w:style>
  <w:style w:type="paragraph" w:customStyle="1" w:styleId="31113CharChar3Char3111111-">
    <w:name w:val="样式 标题 31.1.1条标题 3 Char Char标题 3 Char标3§1.1.1.. (1.1.1)- ..."/>
    <w:basedOn w:val="31"/>
    <w:rsid w:val="009964C3"/>
    <w:pPr>
      <w:keepNext w:val="0"/>
      <w:keepLines w:val="0"/>
      <w:numPr>
        <w:ilvl w:val="2"/>
        <w:numId w:val="69"/>
      </w:numPr>
      <w:tabs>
        <w:tab w:val="left" w:pos="284"/>
      </w:tabs>
      <w:spacing w:before="120" w:after="120" w:line="240" w:lineRule="auto"/>
    </w:pPr>
    <w:rPr>
      <w:rFonts w:eastAsia="黑体" w:cs="宋体"/>
      <w:sz w:val="24"/>
      <w:szCs w:val="20"/>
    </w:rPr>
  </w:style>
  <w:style w:type="paragraph" w:customStyle="1" w:styleId="--0">
    <w:name w:val="- 页码 -"/>
    <w:rsid w:val="009964C3"/>
    <w:pPr>
      <w:widowControl w:val="0"/>
      <w:spacing w:line="360" w:lineRule="auto"/>
      <w:ind w:leftChars="250" w:left="600" w:firstLineChars="14" w:firstLine="34"/>
      <w:jc w:val="center"/>
    </w:pPr>
    <w:rPr>
      <w:kern w:val="2"/>
      <w:sz w:val="21"/>
    </w:rPr>
  </w:style>
  <w:style w:type="paragraph" w:customStyle="1" w:styleId="1430">
    <w:name w:val="页眉中143"/>
    <w:basedOn w:val="af3"/>
    <w:rsid w:val="009964C3"/>
    <w:pPr>
      <w:adjustRightInd w:val="0"/>
      <w:snapToGrid w:val="0"/>
      <w:spacing w:line="300" w:lineRule="auto"/>
      <w:jc w:val="left"/>
    </w:pPr>
    <w:rPr>
      <w:rFonts w:ascii="黑体" w:eastAsia="黑体"/>
      <w:bCs/>
      <w:sz w:val="24"/>
      <w:szCs w:val="20"/>
    </w:rPr>
  </w:style>
  <w:style w:type="paragraph" w:customStyle="1" w:styleId="1fffffff3">
    <w:name w:val="图表1"/>
    <w:basedOn w:val="af3"/>
    <w:rsid w:val="009964C3"/>
    <w:pPr>
      <w:tabs>
        <w:tab w:val="left" w:pos="-709"/>
        <w:tab w:val="left" w:pos="284"/>
      </w:tabs>
      <w:kinsoku w:val="0"/>
      <w:overflowPunct w:val="0"/>
      <w:adjustRightInd w:val="0"/>
      <w:snapToGrid w:val="0"/>
      <w:spacing w:line="300" w:lineRule="auto"/>
      <w:jc w:val="center"/>
      <w:textAlignment w:val="baseline"/>
    </w:pPr>
    <w:rPr>
      <w:rFonts w:ascii="宋体" w:cs="宋体"/>
      <w:kern w:val="0"/>
      <w:sz w:val="24"/>
    </w:rPr>
  </w:style>
  <w:style w:type="paragraph" w:customStyle="1" w:styleId="T20">
    <w:name w:val="T2"/>
    <w:basedOn w:val="22"/>
    <w:rsid w:val="009964C3"/>
    <w:pPr>
      <w:tabs>
        <w:tab w:val="left" w:pos="360"/>
      </w:tabs>
      <w:adjustRightInd w:val="0"/>
      <w:spacing w:beforeLines="50" w:after="0" w:line="312" w:lineRule="auto"/>
      <w:ind w:left="360" w:hanging="360"/>
      <w:textAlignment w:val="baseline"/>
    </w:pPr>
    <w:rPr>
      <w:rFonts w:eastAsia="宋体"/>
      <w:bCs w:val="0"/>
      <w:kern w:val="0"/>
      <w:sz w:val="24"/>
    </w:rPr>
  </w:style>
  <w:style w:type="paragraph" w:customStyle="1" w:styleId="affffffffffffffffffffffffffffff1">
    <w:name w:val="编号列项（三级）"/>
    <w:rsid w:val="009964C3"/>
    <w:pPr>
      <w:tabs>
        <w:tab w:val="left" w:pos="0"/>
      </w:tabs>
      <w:ind w:left="1678" w:hanging="419"/>
    </w:pPr>
    <w:rPr>
      <w:rFonts w:ascii="宋体"/>
      <w:sz w:val="21"/>
    </w:rPr>
  </w:style>
  <w:style w:type="paragraph" w:customStyle="1" w:styleId="22111122ndlevelh22Header2Heading2Hi">
    <w:name w:val="样式 标题 2标题2节标题 1.11.1标题 22nd levelh22Header 2Heading 2 Hi..."/>
    <w:basedOn w:val="22"/>
    <w:rsid w:val="009964C3"/>
    <w:pPr>
      <w:keepNext w:val="0"/>
      <w:keepLines w:val="0"/>
      <w:widowControl/>
      <w:adjustRightInd w:val="0"/>
      <w:snapToGrid w:val="0"/>
      <w:spacing w:beforeLines="50" w:afterLines="100" w:line="240" w:lineRule="auto"/>
      <w:jc w:val="left"/>
    </w:pPr>
    <w:rPr>
      <w:rFonts w:cs="宋体"/>
      <w:snapToGrid w:val="0"/>
      <w:szCs w:val="20"/>
    </w:rPr>
  </w:style>
  <w:style w:type="paragraph" w:customStyle="1" w:styleId="740">
    <w:name w:val="图题74"/>
    <w:basedOn w:val="af3"/>
    <w:rsid w:val="009964C3"/>
    <w:pPr>
      <w:adjustRightInd w:val="0"/>
      <w:snapToGrid w:val="0"/>
      <w:ind w:firstLineChars="222" w:firstLine="533"/>
      <w:jc w:val="center"/>
    </w:pPr>
    <w:rPr>
      <w:rFonts w:ascii="黑体" w:eastAsia="黑体" w:hAnsi="宋体"/>
      <w:snapToGrid w:val="0"/>
      <w:kern w:val="0"/>
      <w:sz w:val="24"/>
    </w:rPr>
  </w:style>
  <w:style w:type="paragraph" w:customStyle="1" w:styleId="1CharChar1CharCharCharChar">
    <w:name w:val="正文样式1 Char Char1 Char Char Char Char"/>
    <w:basedOn w:val="af3"/>
    <w:rsid w:val="009964C3"/>
    <w:pPr>
      <w:adjustRightInd w:val="0"/>
      <w:spacing w:beforeLines="10" w:afterLines="10" w:line="312" w:lineRule="auto"/>
      <w:ind w:firstLineChars="200" w:firstLine="200"/>
      <w:textAlignment w:val="baseline"/>
    </w:pPr>
    <w:rPr>
      <w:snapToGrid w:val="0"/>
      <w:position w:val="-12"/>
      <w:sz w:val="24"/>
    </w:rPr>
  </w:style>
  <w:style w:type="paragraph" w:customStyle="1" w:styleId="195">
    <w:name w:val="样式19"/>
    <w:basedOn w:val="4a"/>
    <w:rsid w:val="009964C3"/>
    <w:pPr>
      <w:snapToGrid w:val="0"/>
      <w:spacing w:line="300" w:lineRule="auto"/>
      <w:ind w:firstLineChars="200" w:firstLine="560"/>
      <w:jc w:val="both"/>
      <w:textAlignment w:val="auto"/>
    </w:pPr>
    <w:rPr>
      <w:rFonts w:ascii="黑体" w:eastAsia="黑体"/>
      <w:sz w:val="28"/>
    </w:rPr>
  </w:style>
  <w:style w:type="paragraph" w:customStyle="1" w:styleId="5252">
    <w:name w:val="表内525"/>
    <w:basedOn w:val="5f2"/>
    <w:rsid w:val="009964C3"/>
    <w:pPr>
      <w:jc w:val="both"/>
    </w:pPr>
    <w:rPr>
      <w:szCs w:val="24"/>
    </w:rPr>
  </w:style>
  <w:style w:type="paragraph" w:customStyle="1" w:styleId="222H2h22Char15">
    <w:name w:val="样式 标题 2标题2二级 标题 2H2h2第一层条标题 2 Char节标题 + 行距: 1.5 倍行距"/>
    <w:basedOn w:val="22"/>
    <w:semiHidden/>
    <w:locked/>
    <w:rsid w:val="009964C3"/>
    <w:pPr>
      <w:keepNext w:val="0"/>
      <w:keepLines w:val="0"/>
      <w:adjustRightInd w:val="0"/>
      <w:spacing w:beforeLines="50" w:afterLines="50" w:line="360" w:lineRule="auto"/>
      <w:jc w:val="left"/>
      <w:textAlignment w:val="baseline"/>
    </w:pPr>
    <w:rPr>
      <w:rFonts w:ascii="黑体" w:cs="宋体"/>
      <w:b w:val="0"/>
    </w:rPr>
  </w:style>
  <w:style w:type="paragraph" w:customStyle="1" w:styleId="4fff5">
    <w:name w:val="表内序号4"/>
    <w:basedOn w:val="af3"/>
    <w:rsid w:val="009964C3"/>
    <w:pPr>
      <w:widowControl/>
      <w:adjustRightInd w:val="0"/>
      <w:snapToGrid w:val="0"/>
      <w:spacing w:line="360" w:lineRule="auto"/>
      <w:ind w:firstLine="288"/>
    </w:pPr>
    <w:rPr>
      <w:kern w:val="0"/>
      <w:sz w:val="18"/>
      <w:szCs w:val="20"/>
    </w:rPr>
  </w:style>
  <w:style w:type="paragraph" w:customStyle="1" w:styleId="affffffffffffffffffffffffffffff2">
    <w:name w:val="页号"/>
    <w:basedOn w:val="affe"/>
    <w:rsid w:val="009964C3"/>
    <w:pPr>
      <w:widowControl w:val="0"/>
      <w:tabs>
        <w:tab w:val="clear" w:pos="4153"/>
        <w:tab w:val="clear" w:pos="8306"/>
        <w:tab w:val="center" w:pos="4320"/>
        <w:tab w:val="right" w:pos="8640"/>
      </w:tabs>
      <w:adjustRightInd w:val="0"/>
      <w:snapToGrid/>
      <w:jc w:val="center"/>
      <w:textAlignment w:val="baseline"/>
    </w:pPr>
    <w:rPr>
      <w:rFonts w:ascii="Times New Roman" w:hAnsi="Times New Roman" w:cs="Times New Roman"/>
      <w:spacing w:val="3"/>
      <w:kern w:val="24"/>
      <w:sz w:val="24"/>
      <w:szCs w:val="20"/>
    </w:rPr>
  </w:style>
  <w:style w:type="paragraph" w:customStyle="1" w:styleId="15f7">
    <w:name w:val="正文15"/>
    <w:basedOn w:val="af3"/>
    <w:rsid w:val="009964C3"/>
    <w:pPr>
      <w:adjustRightInd w:val="0"/>
      <w:snapToGrid w:val="0"/>
      <w:spacing w:after="120"/>
      <w:jc w:val="center"/>
      <w:textAlignment w:val="baseline"/>
    </w:pPr>
    <w:rPr>
      <w:kern w:val="0"/>
      <w:sz w:val="18"/>
      <w:szCs w:val="20"/>
    </w:rPr>
  </w:style>
  <w:style w:type="paragraph" w:customStyle="1" w:styleId="CharCharChar">
    <w:name w:val="样式 正文文本 + (中文) 黑体 红色 Char Char Char"/>
    <w:basedOn w:val="af3"/>
    <w:link w:val="CharCharCharChar0"/>
    <w:semiHidden/>
    <w:locked/>
    <w:rsid w:val="009964C3"/>
    <w:pPr>
      <w:tabs>
        <w:tab w:val="left" w:pos="1800"/>
      </w:tabs>
      <w:snapToGrid w:val="0"/>
      <w:spacing w:before="120" w:after="60" w:line="264" w:lineRule="auto"/>
      <w:ind w:firstLineChars="200" w:firstLine="480"/>
    </w:pPr>
    <w:rPr>
      <w:rFonts w:eastAsia="黑体"/>
      <w:snapToGrid w:val="0"/>
      <w:color w:val="FF0000"/>
      <w:sz w:val="24"/>
    </w:rPr>
  </w:style>
  <w:style w:type="paragraph" w:customStyle="1" w:styleId="4fff6">
    <w:name w:val="正文缩4"/>
    <w:basedOn w:val="af3"/>
    <w:rsid w:val="009964C3"/>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6125">
    <w:name w:val="612一级标题"/>
    <w:basedOn w:val="13"/>
    <w:semiHidden/>
    <w:rsid w:val="009964C3"/>
    <w:pPr>
      <w:tabs>
        <w:tab w:val="left" w:pos="0"/>
        <w:tab w:val="left" w:pos="432"/>
        <w:tab w:val="left" w:pos="1440"/>
      </w:tabs>
      <w:spacing w:before="120" w:after="120" w:line="360" w:lineRule="exact"/>
      <w:ind w:left="432" w:hanging="432"/>
      <w:jc w:val="left"/>
    </w:pPr>
    <w:rPr>
      <w:rFonts w:ascii="Arial" w:hAnsi="Arial"/>
      <w:sz w:val="32"/>
      <w:szCs w:val="32"/>
    </w:rPr>
  </w:style>
  <w:style w:type="paragraph" w:customStyle="1" w:styleId="176">
    <w:name w:val="表内文字小17"/>
    <w:basedOn w:val="af3"/>
    <w:rsid w:val="009964C3"/>
    <w:pPr>
      <w:adjustRightInd w:val="0"/>
      <w:snapToGrid w:val="0"/>
      <w:jc w:val="center"/>
    </w:pPr>
    <w:rPr>
      <w:rFonts w:ascii="宋体" w:hAnsi="Times"/>
      <w:szCs w:val="20"/>
    </w:rPr>
  </w:style>
  <w:style w:type="paragraph" w:customStyle="1" w:styleId="6126">
    <w:name w:val="612四级标题"/>
    <w:basedOn w:val="43"/>
    <w:semiHidden/>
    <w:rsid w:val="009964C3"/>
    <w:pPr>
      <w:numPr>
        <w:ilvl w:val="3"/>
      </w:numPr>
      <w:tabs>
        <w:tab w:val="left" w:pos="864"/>
      </w:tabs>
      <w:spacing w:before="120" w:after="120" w:line="360" w:lineRule="exact"/>
      <w:ind w:left="864" w:hanging="864"/>
      <w:jc w:val="left"/>
    </w:pPr>
    <w:rPr>
      <w:rFonts w:ascii="Times New Roman" w:eastAsia="宋体" w:hAnsi="Times New Roman"/>
      <w:b w:val="0"/>
      <w:sz w:val="24"/>
      <w:szCs w:val="24"/>
    </w:rPr>
  </w:style>
  <w:style w:type="paragraph" w:customStyle="1" w:styleId="PersonalInfo">
    <w:name w:val="Personal Info"/>
    <w:basedOn w:val="Achievement"/>
    <w:rsid w:val="009964C3"/>
    <w:pPr>
      <w:tabs>
        <w:tab w:val="left" w:pos="1200"/>
      </w:tabs>
      <w:spacing w:before="220"/>
      <w:ind w:leftChars="400" w:left="1200" w:hangingChars="200" w:hanging="360"/>
    </w:pPr>
    <w:rPr>
      <w:szCs w:val="20"/>
    </w:rPr>
  </w:style>
  <w:style w:type="paragraph" w:customStyle="1" w:styleId="4fff7">
    <w:name w:val="待核实小4"/>
    <w:basedOn w:val="affffffffff"/>
    <w:rsid w:val="009964C3"/>
    <w:rPr>
      <w:rFonts w:cs="Times New Roman"/>
      <w:color w:val="000080"/>
      <w:sz w:val="21"/>
    </w:rPr>
  </w:style>
  <w:style w:type="paragraph" w:customStyle="1" w:styleId="xl39">
    <w:name w:val="xl39"/>
    <w:basedOn w:val="af3"/>
    <w:qFormat/>
    <w:rsid w:val="009964C3"/>
    <w:pPr>
      <w:keepNext/>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18"/>
      <w:szCs w:val="18"/>
    </w:rPr>
  </w:style>
  <w:style w:type="paragraph" w:customStyle="1" w:styleId="11">
    <w:name w:val="项目编号1"/>
    <w:basedOn w:val="af3"/>
    <w:semiHidden/>
    <w:rsid w:val="009964C3"/>
    <w:pPr>
      <w:numPr>
        <w:numId w:val="70"/>
      </w:numPr>
      <w:tabs>
        <w:tab w:val="left" w:pos="624"/>
      </w:tabs>
      <w:adjustRightInd w:val="0"/>
      <w:snapToGrid w:val="0"/>
      <w:spacing w:beforeLines="20" w:afterLines="20" w:line="312" w:lineRule="auto"/>
      <w:textAlignment w:val="baseline"/>
    </w:pPr>
    <w:rPr>
      <w:rFonts w:ascii="宋体"/>
      <w:sz w:val="24"/>
      <w:szCs w:val="20"/>
    </w:rPr>
  </w:style>
  <w:style w:type="paragraph" w:customStyle="1" w:styleId="3560">
    <w:name w:val="样式 燕山正文 + 首行缩进:  3.5 字符6"/>
    <w:basedOn w:val="affffffffb"/>
    <w:rsid w:val="009964C3"/>
    <w:pPr>
      <w:ind w:firstLine="560"/>
    </w:pPr>
    <w:rPr>
      <w:bCs w:val="0"/>
      <w:sz w:val="28"/>
      <w:szCs w:val="20"/>
    </w:rPr>
  </w:style>
  <w:style w:type="paragraph" w:customStyle="1" w:styleId="Char102">
    <w:name w:val="Char102"/>
    <w:basedOn w:val="af3"/>
    <w:rsid w:val="009964C3"/>
    <w:pPr>
      <w:ind w:left="-48"/>
    </w:pPr>
  </w:style>
  <w:style w:type="paragraph" w:customStyle="1" w:styleId="4fff8">
    <w:name w:val="环评正文4"/>
    <w:rsid w:val="009964C3"/>
    <w:pPr>
      <w:spacing w:line="360" w:lineRule="exact"/>
      <w:ind w:firstLineChars="200" w:firstLine="200"/>
    </w:pPr>
    <w:rPr>
      <w:color w:val="000000"/>
      <w:kern w:val="21"/>
      <w:sz w:val="24"/>
      <w:szCs w:val="24"/>
    </w:rPr>
  </w:style>
  <w:style w:type="paragraph" w:customStyle="1" w:styleId="5152">
    <w:name w:val="表内5中15"/>
    <w:basedOn w:val="affffffffff3"/>
    <w:rsid w:val="009964C3"/>
    <w:pPr>
      <w:widowControl/>
    </w:pPr>
    <w:rPr>
      <w:kern w:val="0"/>
      <w:sz w:val="21"/>
      <w:szCs w:val="21"/>
    </w:rPr>
  </w:style>
  <w:style w:type="paragraph" w:customStyle="1" w:styleId="CM12">
    <w:name w:val="CM12"/>
    <w:basedOn w:val="af3"/>
    <w:next w:val="af3"/>
    <w:rsid w:val="009964C3"/>
    <w:pPr>
      <w:autoSpaceDE w:val="0"/>
      <w:autoSpaceDN w:val="0"/>
      <w:adjustRightInd w:val="0"/>
      <w:spacing w:line="456" w:lineRule="atLeast"/>
      <w:jc w:val="left"/>
    </w:pPr>
    <w:rPr>
      <w:rFonts w:ascii="宋体" w:cs="宋体"/>
      <w:kern w:val="0"/>
      <w:sz w:val="24"/>
    </w:rPr>
  </w:style>
  <w:style w:type="paragraph" w:customStyle="1" w:styleId="594">
    <w:name w:val="表内594"/>
    <w:basedOn w:val="af3"/>
    <w:rsid w:val="009964C3"/>
    <w:pPr>
      <w:adjustRightInd w:val="0"/>
      <w:snapToGrid w:val="0"/>
    </w:pPr>
    <w:rPr>
      <w:rFonts w:ascii="宋体"/>
      <w:szCs w:val="20"/>
    </w:rPr>
  </w:style>
  <w:style w:type="paragraph" w:customStyle="1" w:styleId="150505">
    <w:name w:val="样式 首行缩进:  1.5 字符 段前: 0.5 行 段后: 0.5 行"/>
    <w:basedOn w:val="af3"/>
    <w:link w:val="150505Char"/>
    <w:semiHidden/>
    <w:rsid w:val="009964C3"/>
    <w:pPr>
      <w:tabs>
        <w:tab w:val="left" w:pos="6600"/>
      </w:tabs>
      <w:autoSpaceDE w:val="0"/>
      <w:autoSpaceDN w:val="0"/>
      <w:adjustRightInd w:val="0"/>
      <w:snapToGrid w:val="0"/>
      <w:spacing w:before="120" w:after="120" w:line="360" w:lineRule="exact"/>
      <w:ind w:firstLine="539"/>
    </w:pPr>
    <w:rPr>
      <w:kern w:val="28"/>
      <w:sz w:val="24"/>
    </w:rPr>
  </w:style>
  <w:style w:type="paragraph" w:customStyle="1" w:styleId="258">
    <w:name w:val="图题25"/>
    <w:basedOn w:val="31"/>
    <w:rsid w:val="009964C3"/>
    <w:pPr>
      <w:keepNext w:val="0"/>
      <w:keepLines w:val="0"/>
      <w:adjustRightInd w:val="0"/>
      <w:snapToGrid w:val="0"/>
      <w:spacing w:before="120" w:after="0" w:line="360" w:lineRule="auto"/>
      <w:jc w:val="center"/>
    </w:pPr>
    <w:rPr>
      <w:rFonts w:ascii="黑体" w:eastAsia="黑体" w:hAnsi="宋体" w:cs="宋体"/>
      <w:b w:val="0"/>
      <w:sz w:val="28"/>
      <w:szCs w:val="28"/>
    </w:rPr>
  </w:style>
  <w:style w:type="paragraph" w:customStyle="1" w:styleId="4086466">
    <w:name w:val="样式 标题 4 + 左侧:  0 厘米 悬挂缩进: 8.64 字符 段前: 6 磅 段后: 6 磅 行距: 单倍行距"/>
    <w:basedOn w:val="43"/>
    <w:rsid w:val="009964C3"/>
    <w:pPr>
      <w:keepNext w:val="0"/>
      <w:keepLines w:val="0"/>
      <w:spacing w:before="120" w:after="120" w:line="312" w:lineRule="auto"/>
    </w:pPr>
    <w:rPr>
      <w:rFonts w:hAnsi="Times New Roman" w:cs="宋体"/>
      <w:sz w:val="24"/>
      <w:szCs w:val="20"/>
    </w:rPr>
  </w:style>
  <w:style w:type="paragraph" w:customStyle="1" w:styleId="3514">
    <w:name w:val="样式 燕山正文 + 首行缩进:  3.5 字符14"/>
    <w:basedOn w:val="af3"/>
    <w:rsid w:val="009964C3"/>
    <w:pPr>
      <w:tabs>
        <w:tab w:val="left" w:pos="4680"/>
      </w:tabs>
      <w:adjustRightInd w:val="0"/>
      <w:snapToGrid w:val="0"/>
      <w:spacing w:line="360" w:lineRule="auto"/>
      <w:ind w:firstLineChars="200" w:firstLine="200"/>
    </w:pPr>
    <w:rPr>
      <w:rFonts w:ascii="宋体" w:hAnsi="宋体" w:cs="宋体"/>
      <w:color w:val="000000"/>
      <w:sz w:val="28"/>
      <w:szCs w:val="20"/>
    </w:rPr>
  </w:style>
  <w:style w:type="paragraph" w:customStyle="1" w:styleId="xl91">
    <w:name w:val="xl91"/>
    <w:basedOn w:val="af3"/>
    <w:rsid w:val="009964C3"/>
    <w:pPr>
      <w:widowControl/>
      <w:pBdr>
        <w:top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5840">
    <w:name w:val="表内584"/>
    <w:basedOn w:val="af3"/>
    <w:rsid w:val="009964C3"/>
    <w:pPr>
      <w:adjustRightInd w:val="0"/>
      <w:snapToGrid w:val="0"/>
      <w:spacing w:line="300" w:lineRule="auto"/>
      <w:jc w:val="left"/>
    </w:pPr>
    <w:rPr>
      <w:rFonts w:ascii="宋体"/>
      <w:szCs w:val="20"/>
    </w:rPr>
  </w:style>
  <w:style w:type="paragraph" w:customStyle="1" w:styleId="4180">
    <w:name w:val="标题418"/>
    <w:basedOn w:val="af3"/>
    <w:rsid w:val="009964C3"/>
    <w:pPr>
      <w:adjustRightInd w:val="0"/>
      <w:snapToGrid w:val="0"/>
      <w:spacing w:line="300" w:lineRule="auto"/>
      <w:jc w:val="left"/>
    </w:pPr>
    <w:rPr>
      <w:rFonts w:ascii="黑体" w:eastAsia="黑体" w:hAnsi="宋体" w:cs="宋体"/>
      <w:bCs/>
      <w:sz w:val="24"/>
      <w:szCs w:val="20"/>
    </w:rPr>
  </w:style>
  <w:style w:type="paragraph" w:customStyle="1" w:styleId="affffffffffffffffffffffffffffff3">
    <w:name w:val="表内字新"/>
    <w:next w:val="af3"/>
    <w:rsid w:val="009964C3"/>
    <w:pPr>
      <w:suppressAutoHyphens/>
      <w:adjustRightInd w:val="0"/>
      <w:spacing w:line="0" w:lineRule="atLeast"/>
      <w:jc w:val="center"/>
    </w:pPr>
    <w:rPr>
      <w:sz w:val="21"/>
    </w:rPr>
  </w:style>
  <w:style w:type="paragraph" w:customStyle="1" w:styleId="51140">
    <w:name w:val="表内5114"/>
    <w:basedOn w:val="af3"/>
    <w:rsid w:val="009964C3"/>
    <w:pPr>
      <w:adjustRightInd w:val="0"/>
      <w:snapToGrid w:val="0"/>
      <w:spacing w:line="300" w:lineRule="auto"/>
      <w:jc w:val="left"/>
    </w:pPr>
    <w:rPr>
      <w:rFonts w:ascii="宋体" w:hAnsi="宋体" w:cs="宋体"/>
      <w:szCs w:val="20"/>
    </w:rPr>
  </w:style>
  <w:style w:type="paragraph" w:customStyle="1" w:styleId="1681">
    <w:name w:val="表标题16.8－1"/>
    <w:basedOn w:val="1660"/>
    <w:rsid w:val="009964C3"/>
    <w:pPr>
      <w:tabs>
        <w:tab w:val="left" w:pos="3060"/>
      </w:tabs>
      <w:ind w:left="2400" w:hanging="420"/>
    </w:pPr>
  </w:style>
  <w:style w:type="paragraph" w:customStyle="1" w:styleId="affffffffffffffffffffffffffffff4">
    <w:name w:val="样式 表文 + 两端对齐"/>
    <w:basedOn w:val="af3"/>
    <w:rsid w:val="009964C3"/>
    <w:pPr>
      <w:tabs>
        <w:tab w:val="left" w:pos="1021"/>
      </w:tabs>
    </w:pPr>
    <w:rPr>
      <w:rFonts w:cs="宋体"/>
      <w:position w:val="-24"/>
    </w:rPr>
  </w:style>
  <w:style w:type="paragraph" w:customStyle="1" w:styleId="-0061">
    <w:name w:val="样式 表格文字居中 + 右侧:  -0.06 字符1"/>
    <w:basedOn w:val="afff4"/>
    <w:rsid w:val="009964C3"/>
    <w:pPr>
      <w:keepNext/>
      <w:ind w:left="-6"/>
    </w:pPr>
    <w:rPr>
      <w:rFonts w:cs="宋体"/>
      <w:szCs w:val="20"/>
    </w:rPr>
  </w:style>
  <w:style w:type="paragraph" w:customStyle="1" w:styleId="1160">
    <w:name w:val="页眉中116"/>
    <w:basedOn w:val="4a"/>
    <w:rsid w:val="009964C3"/>
    <w:pPr>
      <w:snapToGrid w:val="0"/>
      <w:spacing w:line="300" w:lineRule="auto"/>
      <w:textAlignment w:val="auto"/>
    </w:pPr>
    <w:rPr>
      <w:rFonts w:ascii="黑体" w:eastAsia="黑体" w:hAnsi="宋体" w:cs="宋体"/>
    </w:rPr>
  </w:style>
  <w:style w:type="paragraph" w:customStyle="1" w:styleId="31111105">
    <w:name w:val="样式 样式 样式 样式 标题 3条标题1.1.1 + + 段后: 1 行 + 段后: 1 行 + 段后: 0.5 行"/>
    <w:basedOn w:val="af3"/>
    <w:rsid w:val="009964C3"/>
    <w:pPr>
      <w:overflowPunct w:val="0"/>
      <w:autoSpaceDE w:val="0"/>
      <w:autoSpaceDN w:val="0"/>
      <w:adjustRightInd w:val="0"/>
      <w:spacing w:before="120" w:afterLines="30"/>
      <w:textAlignment w:val="baseline"/>
      <w:outlineLvl w:val="2"/>
    </w:pPr>
    <w:rPr>
      <w:rFonts w:ascii="Arial" w:eastAsia="黑体" w:hAnsi="Arial" w:cs="宋体"/>
      <w:kern w:val="20"/>
      <w:sz w:val="28"/>
      <w:szCs w:val="20"/>
    </w:rPr>
  </w:style>
  <w:style w:type="paragraph" w:customStyle="1" w:styleId="1153">
    <w:name w:val="表题115"/>
    <w:basedOn w:val="af3"/>
    <w:rsid w:val="009964C3"/>
    <w:pPr>
      <w:adjustRightInd w:val="0"/>
      <w:snapToGrid w:val="0"/>
      <w:jc w:val="center"/>
      <w:textAlignment w:val="baseline"/>
    </w:pPr>
    <w:rPr>
      <w:rFonts w:ascii="黑体" w:eastAsia="黑体" w:hAnsi="宋体"/>
      <w:kern w:val="0"/>
      <w:sz w:val="24"/>
    </w:rPr>
  </w:style>
  <w:style w:type="paragraph" w:customStyle="1" w:styleId="7f">
    <w:name w:val="正文格式7"/>
    <w:basedOn w:val="af3"/>
    <w:rsid w:val="009964C3"/>
    <w:pPr>
      <w:adjustRightInd w:val="0"/>
      <w:snapToGrid w:val="0"/>
      <w:spacing w:line="360" w:lineRule="auto"/>
      <w:ind w:firstLineChars="200" w:firstLine="480"/>
    </w:pPr>
    <w:rPr>
      <w:rFonts w:ascii="宋体" w:cs="宋体"/>
      <w:sz w:val="24"/>
    </w:rPr>
  </w:style>
  <w:style w:type="paragraph" w:customStyle="1" w:styleId="5fff3">
    <w:name w:val="待核实小5"/>
    <w:basedOn w:val="affffffffff"/>
    <w:rsid w:val="009964C3"/>
    <w:rPr>
      <w:rFonts w:cs="Times New Roman"/>
      <w:color w:val="000080"/>
      <w:sz w:val="21"/>
    </w:rPr>
  </w:style>
  <w:style w:type="paragraph" w:customStyle="1" w:styleId="ad">
    <w:name w:val="_篇章"/>
    <w:qFormat/>
    <w:rsid w:val="009964C3"/>
    <w:pPr>
      <w:numPr>
        <w:numId w:val="17"/>
      </w:numPr>
      <w:spacing w:beforeLines="100" w:afterLines="100"/>
      <w:jc w:val="center"/>
      <w:outlineLvl w:val="0"/>
    </w:pPr>
    <w:rPr>
      <w:rFonts w:cs="宋体"/>
      <w:b/>
      <w:sz w:val="32"/>
      <w:szCs w:val="32"/>
      <w:lang w:val="zh-CN"/>
    </w:rPr>
  </w:style>
  <w:style w:type="paragraph" w:customStyle="1" w:styleId="5fff4">
    <w:name w:val="图号5"/>
    <w:basedOn w:val="af3"/>
    <w:rsid w:val="009964C3"/>
    <w:pPr>
      <w:jc w:val="center"/>
    </w:pPr>
    <w:rPr>
      <w:rFonts w:ascii="黑体" w:eastAsia="黑体"/>
      <w:sz w:val="24"/>
    </w:rPr>
  </w:style>
  <w:style w:type="paragraph" w:customStyle="1" w:styleId="221714">
    <w:name w:val="22.1.7.1标题4"/>
    <w:basedOn w:val="43"/>
    <w:rsid w:val="009964C3"/>
    <w:pPr>
      <w:keepNext w:val="0"/>
      <w:keepLines w:val="0"/>
      <w:numPr>
        <w:ilvl w:val="3"/>
        <w:numId w:val="71"/>
      </w:numPr>
      <w:tabs>
        <w:tab w:val="left" w:pos="455"/>
      </w:tabs>
      <w:spacing w:before="120" w:after="120" w:line="312" w:lineRule="auto"/>
    </w:pPr>
    <w:rPr>
      <w:rFonts w:hAnsi="Times New Roman"/>
      <w:sz w:val="24"/>
      <w:szCs w:val="24"/>
    </w:rPr>
  </w:style>
  <w:style w:type="paragraph" w:customStyle="1" w:styleId="6f6">
    <w:name w:val="图题注6"/>
    <w:basedOn w:val="afff2"/>
    <w:rsid w:val="009964C3"/>
    <w:pPr>
      <w:jc w:val="center"/>
    </w:pPr>
    <w:rPr>
      <w:rFonts w:ascii="黑体" w:cs="宋体"/>
      <w:b/>
      <w:bCs/>
      <w:sz w:val="24"/>
      <w:szCs w:val="24"/>
    </w:rPr>
  </w:style>
  <w:style w:type="paragraph" w:customStyle="1" w:styleId="1fffffff4">
    <w:name w:val="图1"/>
    <w:basedOn w:val="6123"/>
    <w:semiHidden/>
    <w:rsid w:val="009964C3"/>
    <w:pPr>
      <w:spacing w:beforeLines="50" w:afterLines="50"/>
      <w:jc w:val="center"/>
    </w:pPr>
    <w:rPr>
      <w:rFonts w:ascii="Arial"/>
    </w:rPr>
  </w:style>
  <w:style w:type="paragraph" w:customStyle="1" w:styleId="Main">
    <w:name w:val="Main"/>
    <w:basedOn w:val="af3"/>
    <w:rsid w:val="009964C3"/>
    <w:pPr>
      <w:spacing w:line="480" w:lineRule="atLeast"/>
      <w:ind w:leftChars="400" w:left="400" w:rightChars="400" w:right="400" w:firstLineChars="200" w:firstLine="200"/>
    </w:pPr>
    <w:rPr>
      <w:rFonts w:ascii="Tahoma" w:hAnsi="Tahoma"/>
      <w:sz w:val="28"/>
      <w:szCs w:val="28"/>
    </w:rPr>
  </w:style>
  <w:style w:type="paragraph" w:customStyle="1" w:styleId="00122">
    <w:name w:val="样式 页眉 + 宋体 黑色 段前: 0 磅 段后: 0 磅 行距: 固定值 12 磅2"/>
    <w:basedOn w:val="affffff"/>
    <w:rsid w:val="009964C3"/>
    <w:pPr>
      <w:pBdr>
        <w:bottom w:val="none" w:sz="0" w:space="0" w:color="auto"/>
      </w:pBdr>
      <w:tabs>
        <w:tab w:val="clear" w:pos="4153"/>
        <w:tab w:val="clear" w:pos="8306"/>
      </w:tabs>
      <w:snapToGrid/>
      <w:spacing w:line="240" w:lineRule="exact"/>
    </w:pPr>
    <w:rPr>
      <w:rFonts w:ascii="宋体" w:hAnsi="宋体"/>
      <w:color w:val="000000"/>
      <w:kern w:val="0"/>
      <w:sz w:val="21"/>
      <w:szCs w:val="20"/>
    </w:rPr>
  </w:style>
  <w:style w:type="paragraph" w:customStyle="1" w:styleId="4fff9">
    <w:name w:val="正文表格小4"/>
    <w:basedOn w:val="af3"/>
    <w:rsid w:val="009964C3"/>
    <w:pPr>
      <w:adjustRightInd w:val="0"/>
      <w:spacing w:line="460" w:lineRule="exact"/>
      <w:textAlignment w:val="baseline"/>
    </w:pPr>
    <w:rPr>
      <w:rFonts w:ascii="宋体"/>
      <w:kern w:val="0"/>
      <w:sz w:val="24"/>
      <w:szCs w:val="20"/>
    </w:rPr>
  </w:style>
  <w:style w:type="paragraph" w:customStyle="1" w:styleId="35c">
    <w:name w:val="表题35"/>
    <w:basedOn w:val="afffffff4"/>
    <w:rsid w:val="009964C3"/>
    <w:pPr>
      <w:spacing w:line="240" w:lineRule="auto"/>
      <w:ind w:firstLine="0"/>
      <w:jc w:val="center"/>
    </w:pPr>
    <w:rPr>
      <w:rFonts w:cs="Times New Roman"/>
      <w:color w:val="auto"/>
      <w:szCs w:val="20"/>
    </w:rPr>
  </w:style>
  <w:style w:type="paragraph" w:customStyle="1" w:styleId="14d">
    <w:name w:val="表内文字大14"/>
    <w:basedOn w:val="af3"/>
    <w:rsid w:val="009964C3"/>
    <w:pPr>
      <w:adjustRightInd w:val="0"/>
      <w:snapToGrid w:val="0"/>
      <w:jc w:val="center"/>
    </w:pPr>
    <w:rPr>
      <w:rFonts w:ascii="宋体" w:hAnsi="Times"/>
      <w:sz w:val="24"/>
      <w:szCs w:val="20"/>
    </w:rPr>
  </w:style>
  <w:style w:type="paragraph" w:customStyle="1" w:styleId="5fff5">
    <w:name w:val="待定小5"/>
    <w:basedOn w:val="afffffffffffffffffffffff3"/>
    <w:rsid w:val="009964C3"/>
    <w:rPr>
      <w:color w:val="000000"/>
    </w:rPr>
  </w:style>
  <w:style w:type="paragraph" w:customStyle="1" w:styleId="35d">
    <w:name w:val="标题3.5"/>
    <w:basedOn w:val="af3"/>
    <w:rsid w:val="009964C3"/>
    <w:rPr>
      <w:rFonts w:eastAsia="仿宋_GB2312"/>
      <w:sz w:val="24"/>
    </w:rPr>
  </w:style>
  <w:style w:type="paragraph" w:customStyle="1" w:styleId="5242">
    <w:name w:val="表内5中24"/>
    <w:basedOn w:val="af3"/>
    <w:rsid w:val="009964C3"/>
    <w:pPr>
      <w:adjustRightInd w:val="0"/>
      <w:snapToGrid w:val="0"/>
      <w:jc w:val="center"/>
    </w:pPr>
    <w:rPr>
      <w:rFonts w:ascii="宋体"/>
      <w:color w:val="000000"/>
      <w:szCs w:val="21"/>
    </w:rPr>
  </w:style>
  <w:style w:type="paragraph" w:customStyle="1" w:styleId="54d">
    <w:name w:val="图题54"/>
    <w:basedOn w:val="af4"/>
    <w:rsid w:val="009964C3"/>
    <w:pPr>
      <w:adjustRightInd w:val="0"/>
      <w:snapToGrid w:val="0"/>
      <w:ind w:firstLineChars="0" w:firstLine="0"/>
      <w:jc w:val="center"/>
    </w:pPr>
    <w:rPr>
      <w:rFonts w:ascii="方正大标宋简体" w:eastAsia="方正大标宋简体" w:hAnsi="宋体"/>
      <w:sz w:val="24"/>
      <w:szCs w:val="24"/>
    </w:rPr>
  </w:style>
  <w:style w:type="paragraph" w:customStyle="1" w:styleId="5243">
    <w:name w:val="表内宋5中24"/>
    <w:basedOn w:val="af3"/>
    <w:rsid w:val="009964C3"/>
    <w:pPr>
      <w:adjustRightInd w:val="0"/>
      <w:snapToGrid w:val="0"/>
      <w:jc w:val="center"/>
      <w:textAlignment w:val="baseline"/>
    </w:pPr>
    <w:rPr>
      <w:rFonts w:ascii="宋体" w:hAnsi="宋体"/>
      <w:kern w:val="0"/>
      <w:szCs w:val="20"/>
    </w:rPr>
  </w:style>
  <w:style w:type="paragraph" w:customStyle="1" w:styleId="word2">
    <w:name w:val="word2"/>
    <w:basedOn w:val="af3"/>
    <w:qFormat/>
    <w:rsid w:val="009964C3"/>
    <w:pPr>
      <w:widowControl/>
      <w:spacing w:before="100" w:beforeAutospacing="1" w:after="100" w:afterAutospacing="1" w:line="480" w:lineRule="auto"/>
      <w:jc w:val="left"/>
    </w:pPr>
    <w:rPr>
      <w:rFonts w:ascii="宋体" w:hAnsi="宋体" w:cs="宋体"/>
      <w:color w:val="555555"/>
      <w:kern w:val="0"/>
      <w:sz w:val="18"/>
      <w:szCs w:val="18"/>
    </w:rPr>
  </w:style>
  <w:style w:type="paragraph" w:customStyle="1" w:styleId="4fffa">
    <w:name w:val="中文报告书样式4"/>
    <w:basedOn w:val="af3"/>
    <w:rsid w:val="009964C3"/>
    <w:pPr>
      <w:adjustRightInd w:val="0"/>
      <w:spacing w:line="480" w:lineRule="atLeast"/>
      <w:ind w:firstLine="482"/>
      <w:textAlignment w:val="baseline"/>
    </w:pPr>
    <w:rPr>
      <w:rFonts w:ascii="宋体" w:hAnsi="宋体"/>
      <w:kern w:val="24"/>
      <w:sz w:val="24"/>
      <w:szCs w:val="20"/>
    </w:rPr>
  </w:style>
  <w:style w:type="paragraph" w:customStyle="1" w:styleId="xl62">
    <w:name w:val="xl62"/>
    <w:basedOn w:val="af3"/>
    <w:rsid w:val="009964C3"/>
    <w:pPr>
      <w:widowControl/>
      <w:spacing w:before="100" w:after="100"/>
      <w:jc w:val="center"/>
    </w:pPr>
    <w:rPr>
      <w:rFonts w:ascii="宋体" w:hAnsi="宋体" w:hint="eastAsia"/>
      <w:b/>
      <w:kern w:val="0"/>
      <w:sz w:val="24"/>
      <w:szCs w:val="20"/>
    </w:rPr>
  </w:style>
  <w:style w:type="paragraph" w:customStyle="1" w:styleId="841">
    <w:name w:val="页眉中84"/>
    <w:basedOn w:val="4a"/>
    <w:rsid w:val="009964C3"/>
    <w:pPr>
      <w:snapToGrid w:val="0"/>
      <w:spacing w:line="360" w:lineRule="auto"/>
      <w:textAlignment w:val="auto"/>
    </w:pPr>
    <w:rPr>
      <w:rFonts w:ascii="黑体" w:eastAsia="黑体"/>
      <w:szCs w:val="24"/>
    </w:rPr>
  </w:style>
  <w:style w:type="paragraph" w:customStyle="1" w:styleId="1650">
    <w:name w:val="表16.5"/>
    <w:basedOn w:val="af3"/>
    <w:rsid w:val="009964C3"/>
    <w:pPr>
      <w:tabs>
        <w:tab w:val="center" w:pos="4060"/>
        <w:tab w:val="left" w:pos="4680"/>
        <w:tab w:val="right" w:pos="8261"/>
      </w:tabs>
      <w:suppressAutoHyphens/>
      <w:adjustRightInd w:val="0"/>
      <w:spacing w:beforeLines="100" w:line="0" w:lineRule="atLeast"/>
      <w:ind w:left="4020" w:hanging="420"/>
    </w:pPr>
    <w:rPr>
      <w:rFonts w:ascii="黑体" w:eastAsia="黑体" w:cs="宋体"/>
      <w:b/>
      <w:bCs/>
      <w:kern w:val="0"/>
      <w:sz w:val="24"/>
    </w:rPr>
  </w:style>
  <w:style w:type="paragraph" w:customStyle="1" w:styleId="54e">
    <w:name w:val="表内文字小54"/>
    <w:basedOn w:val="af3"/>
    <w:rsid w:val="009964C3"/>
    <w:pPr>
      <w:adjustRightInd w:val="0"/>
      <w:snapToGrid w:val="0"/>
      <w:jc w:val="center"/>
    </w:pPr>
    <w:rPr>
      <w:rFonts w:ascii="宋体" w:hAnsi="Times"/>
      <w:szCs w:val="20"/>
    </w:rPr>
  </w:style>
  <w:style w:type="paragraph" w:customStyle="1" w:styleId="12">
    <w:name w:val="标题1"/>
    <w:basedOn w:val="af3"/>
    <w:rsid w:val="009964C3"/>
    <w:pPr>
      <w:numPr>
        <w:numId w:val="72"/>
      </w:numPr>
      <w:tabs>
        <w:tab w:val="left" w:pos="-426"/>
      </w:tabs>
      <w:spacing w:beforeLines="250" w:line="312" w:lineRule="auto"/>
      <w:ind w:left="0" w:firstLine="0"/>
    </w:pPr>
    <w:rPr>
      <w:rFonts w:ascii="黑体" w:eastAsia="黑体" w:hAnsi="宋体" w:cs="宋体"/>
      <w:b/>
      <w:sz w:val="36"/>
      <w:szCs w:val="36"/>
    </w:rPr>
  </w:style>
  <w:style w:type="paragraph" w:customStyle="1" w:styleId="ljw1">
    <w:name w:val="ljw正文"/>
    <w:basedOn w:val="af3"/>
    <w:qFormat/>
    <w:rsid w:val="009964C3"/>
    <w:pPr>
      <w:adjustRightInd w:val="0"/>
      <w:snapToGrid w:val="0"/>
      <w:spacing w:afterLines="50" w:line="300" w:lineRule="auto"/>
      <w:ind w:firstLineChars="200" w:firstLine="480"/>
    </w:pPr>
    <w:rPr>
      <w:rFonts w:ascii="宋体" w:hAnsi="宋体"/>
      <w:bCs/>
      <w:sz w:val="24"/>
      <w:szCs w:val="28"/>
    </w:rPr>
  </w:style>
  <w:style w:type="paragraph" w:customStyle="1" w:styleId="charfffffff8">
    <w:name w:val="char"/>
    <w:basedOn w:val="af3"/>
    <w:rsid w:val="009964C3"/>
    <w:pPr>
      <w:widowControl/>
      <w:spacing w:after="160" w:line="240" w:lineRule="exact"/>
      <w:jc w:val="left"/>
    </w:pPr>
    <w:rPr>
      <w:szCs w:val="20"/>
    </w:rPr>
  </w:style>
  <w:style w:type="paragraph" w:customStyle="1" w:styleId="16721">
    <w:name w:val="16.7.2.1"/>
    <w:basedOn w:val="43"/>
    <w:rsid w:val="009964C3"/>
    <w:pPr>
      <w:keepNext w:val="0"/>
      <w:keepLines w:val="0"/>
      <w:numPr>
        <w:ilvl w:val="3"/>
        <w:numId w:val="73"/>
      </w:numPr>
      <w:tabs>
        <w:tab w:val="left" w:pos="1800"/>
      </w:tabs>
      <w:spacing w:before="120" w:after="120" w:line="312" w:lineRule="auto"/>
    </w:pPr>
    <w:rPr>
      <w:sz w:val="24"/>
      <w:szCs w:val="24"/>
    </w:rPr>
  </w:style>
  <w:style w:type="paragraph" w:customStyle="1" w:styleId="4fffb">
    <w:name w:val="目录4"/>
    <w:basedOn w:val="af3"/>
    <w:semiHidden/>
    <w:rsid w:val="009964C3"/>
    <w:pPr>
      <w:widowControl/>
      <w:tabs>
        <w:tab w:val="left" w:leader="dot" w:pos="7370"/>
      </w:tabs>
      <w:spacing w:line="317" w:lineRule="atLeast"/>
      <w:ind w:firstLine="629"/>
      <w:textAlignment w:val="baseline"/>
    </w:pPr>
    <w:rPr>
      <w:color w:val="000000"/>
      <w:kern w:val="0"/>
      <w:szCs w:val="20"/>
      <w:u w:color="000000"/>
    </w:rPr>
  </w:style>
  <w:style w:type="paragraph" w:customStyle="1" w:styleId="1240">
    <w:name w:val="样式124"/>
    <w:basedOn w:val="4a"/>
    <w:rsid w:val="009964C3"/>
    <w:pPr>
      <w:snapToGrid w:val="0"/>
      <w:spacing w:line="300" w:lineRule="auto"/>
      <w:ind w:firstLineChars="200" w:firstLine="560"/>
      <w:jc w:val="both"/>
      <w:textAlignment w:val="auto"/>
    </w:pPr>
    <w:rPr>
      <w:rFonts w:ascii="黑体" w:eastAsia="黑体"/>
      <w:sz w:val="28"/>
    </w:rPr>
  </w:style>
  <w:style w:type="paragraph" w:customStyle="1" w:styleId="3101">
    <w:name w:val="样式 表标题3.10 + 段前: 1 行"/>
    <w:basedOn w:val="3100"/>
    <w:rsid w:val="009964C3"/>
    <w:pPr>
      <w:numPr>
        <w:numId w:val="74"/>
      </w:numPr>
      <w:tabs>
        <w:tab w:val="left" w:pos="360"/>
        <w:tab w:val="left" w:pos="2025"/>
      </w:tabs>
      <w:ind w:left="0" w:firstLine="0"/>
    </w:pPr>
    <w:rPr>
      <w:rFonts w:cs="宋体"/>
      <w:bCs/>
      <w:spacing w:val="0"/>
    </w:rPr>
  </w:style>
  <w:style w:type="paragraph" w:customStyle="1" w:styleId="affffffffffffffffffffffffffffff5">
    <w:name w:val="吴用表格"/>
    <w:basedOn w:val="af3"/>
    <w:rsid w:val="009964C3"/>
    <w:pPr>
      <w:spacing w:line="320" w:lineRule="exact"/>
      <w:jc w:val="center"/>
    </w:pPr>
    <w:rPr>
      <w:rFonts w:ascii="Arial" w:hAnsi="Arial" w:cs="Arial"/>
      <w:szCs w:val="21"/>
    </w:rPr>
  </w:style>
  <w:style w:type="paragraph" w:customStyle="1" w:styleId="6f7">
    <w:name w:val="待定小6"/>
    <w:basedOn w:val="afffffffffffffffffffffff3"/>
    <w:rsid w:val="009964C3"/>
    <w:rPr>
      <w:color w:val="000000"/>
    </w:rPr>
  </w:style>
  <w:style w:type="paragraph" w:customStyle="1" w:styleId="4540">
    <w:name w:val="标题454"/>
    <w:basedOn w:val="af3"/>
    <w:rsid w:val="009964C3"/>
    <w:pPr>
      <w:adjustRightInd w:val="0"/>
      <w:snapToGrid w:val="0"/>
      <w:spacing w:line="360" w:lineRule="auto"/>
      <w:jc w:val="left"/>
    </w:pPr>
    <w:rPr>
      <w:rFonts w:ascii="黑体" w:eastAsia="黑体"/>
      <w:bCs/>
      <w:sz w:val="24"/>
    </w:rPr>
  </w:style>
  <w:style w:type="paragraph" w:customStyle="1" w:styleId="513-11">
    <w:name w:val="样式 表5.13-1 + 段前: 1 行"/>
    <w:basedOn w:val="513-1"/>
    <w:rsid w:val="009964C3"/>
    <w:pPr>
      <w:numPr>
        <w:numId w:val="75"/>
      </w:numPr>
      <w:tabs>
        <w:tab w:val="left" w:pos="420"/>
      </w:tabs>
    </w:pPr>
    <w:rPr>
      <w:rFonts w:eastAsia="黑体" w:cs="宋体"/>
    </w:rPr>
  </w:style>
  <w:style w:type="paragraph" w:customStyle="1" w:styleId="xl41">
    <w:name w:val="xl41"/>
    <w:basedOn w:val="af3"/>
    <w:rsid w:val="009964C3"/>
    <w:pPr>
      <w:widowControl/>
      <w:pBdr>
        <w:left w:val="single" w:sz="8" w:space="0" w:color="auto"/>
        <w:bottom w:val="single" w:sz="8" w:space="0" w:color="auto"/>
        <w:right w:val="single" w:sz="8" w:space="0" w:color="auto"/>
      </w:pBdr>
      <w:spacing w:before="100" w:beforeAutospacing="1" w:after="100" w:afterAutospacing="1"/>
      <w:jc w:val="center"/>
    </w:pPr>
    <w:rPr>
      <w:kern w:val="0"/>
      <w:szCs w:val="21"/>
    </w:rPr>
  </w:style>
  <w:style w:type="paragraph" w:customStyle="1" w:styleId="1161">
    <w:name w:val="表题116"/>
    <w:basedOn w:val="afffffff4"/>
    <w:rsid w:val="009964C3"/>
    <w:pPr>
      <w:tabs>
        <w:tab w:val="clear" w:pos="4305"/>
      </w:tabs>
      <w:spacing w:line="240" w:lineRule="auto"/>
      <w:ind w:firstLine="0"/>
      <w:jc w:val="center"/>
    </w:pPr>
    <w:rPr>
      <w:rFonts w:ascii="黑体" w:eastAsia="黑体" w:hAnsi="Times" w:cs="Times New Roman"/>
    </w:rPr>
  </w:style>
  <w:style w:type="paragraph" w:customStyle="1" w:styleId="61">
    <w:name w:val="样式6(表内)"/>
    <w:basedOn w:val="af3"/>
    <w:link w:val="6Char1"/>
    <w:semiHidden/>
    <w:qFormat/>
    <w:rsid w:val="009964C3"/>
    <w:pPr>
      <w:widowControl/>
      <w:spacing w:line="240" w:lineRule="exact"/>
      <w:jc w:val="center"/>
    </w:pPr>
    <w:rPr>
      <w:color w:val="000000"/>
      <w:szCs w:val="21"/>
    </w:rPr>
  </w:style>
  <w:style w:type="paragraph" w:customStyle="1" w:styleId="5640">
    <w:name w:val="表内564"/>
    <w:basedOn w:val="af3"/>
    <w:rsid w:val="009964C3"/>
    <w:pPr>
      <w:adjustRightInd w:val="0"/>
      <w:snapToGrid w:val="0"/>
      <w:spacing w:line="300" w:lineRule="auto"/>
      <w:jc w:val="left"/>
    </w:pPr>
    <w:rPr>
      <w:rFonts w:ascii="宋体"/>
      <w:szCs w:val="20"/>
    </w:rPr>
  </w:style>
  <w:style w:type="paragraph" w:customStyle="1" w:styleId="1fffffff5">
    <w:name w:val="题注1"/>
    <w:basedOn w:val="af3"/>
    <w:next w:val="2fa"/>
    <w:rsid w:val="009964C3"/>
    <w:pPr>
      <w:autoSpaceDE w:val="0"/>
      <w:autoSpaceDN w:val="0"/>
      <w:spacing w:line="360" w:lineRule="auto"/>
      <w:ind w:firstLine="564"/>
    </w:pPr>
    <w:rPr>
      <w:sz w:val="24"/>
      <w:szCs w:val="20"/>
    </w:rPr>
  </w:style>
  <w:style w:type="paragraph" w:customStyle="1" w:styleId="349">
    <w:name w:val="等核实34"/>
    <w:basedOn w:val="afffffff4"/>
    <w:rsid w:val="009964C3"/>
    <w:pPr>
      <w:ind w:firstLineChars="200" w:firstLine="480"/>
    </w:pPr>
    <w:rPr>
      <w:rFonts w:cs="Times New Roman"/>
      <w:color w:val="0000FF"/>
      <w:szCs w:val="20"/>
    </w:rPr>
  </w:style>
  <w:style w:type="paragraph" w:customStyle="1" w:styleId="affffffffffffffffffffffffffffff">
    <w:name w:val="附录性质"/>
    <w:next w:val="affffffffffffffffffffff"/>
    <w:rsid w:val="009964C3"/>
    <w:pPr>
      <w:spacing w:line="440" w:lineRule="exact"/>
      <w:jc w:val="center"/>
    </w:pPr>
    <w:rPr>
      <w:rFonts w:ascii="宋体"/>
      <w:sz w:val="24"/>
    </w:rPr>
  </w:style>
  <w:style w:type="paragraph" w:customStyle="1" w:styleId="55f">
    <w:name w:val="样式 表内5 + (符号) 宋体 两端对齐 行距: 单倍行距5"/>
    <w:basedOn w:val="54"/>
    <w:rsid w:val="009964C3"/>
    <w:pPr>
      <w:spacing w:line="240" w:lineRule="auto"/>
    </w:pPr>
    <w:rPr>
      <w:kern w:val="0"/>
    </w:rPr>
  </w:style>
  <w:style w:type="paragraph" w:customStyle="1" w:styleId="CM66">
    <w:name w:val="CM66"/>
    <w:basedOn w:val="af3"/>
    <w:next w:val="af3"/>
    <w:semiHidden/>
    <w:rsid w:val="009964C3"/>
    <w:pPr>
      <w:autoSpaceDE w:val="0"/>
      <w:autoSpaceDN w:val="0"/>
      <w:adjustRightInd w:val="0"/>
      <w:jc w:val="left"/>
    </w:pPr>
    <w:rPr>
      <w:rFonts w:ascii="仿宋_GB2312" w:eastAsia="仿宋_GB2312" w:hAnsi="Calibri"/>
      <w:kern w:val="0"/>
      <w:sz w:val="24"/>
    </w:rPr>
  </w:style>
  <w:style w:type="paragraph" w:customStyle="1" w:styleId="4fffc">
    <w:name w:val="表中文字4"/>
    <w:basedOn w:val="af3"/>
    <w:rsid w:val="009964C3"/>
    <w:pPr>
      <w:widowControl/>
      <w:spacing w:line="240" w:lineRule="atLeast"/>
      <w:ind w:leftChars="-10" w:left="-24" w:rightChars="-20" w:right="-48"/>
      <w:jc w:val="center"/>
    </w:pPr>
    <w:rPr>
      <w:rFonts w:ascii="宋体"/>
      <w:kern w:val="0"/>
      <w:szCs w:val="21"/>
    </w:rPr>
  </w:style>
  <w:style w:type="paragraph" w:customStyle="1" w:styleId="10516">
    <w:name w:val="样式 样式1 + 段前: 0.5 行1"/>
    <w:basedOn w:val="10"/>
    <w:semiHidden/>
    <w:rsid w:val="009964C3"/>
    <w:pPr>
      <w:numPr>
        <w:numId w:val="0"/>
      </w:numPr>
      <w:tabs>
        <w:tab w:val="left" w:pos="432"/>
      </w:tabs>
      <w:snapToGrid w:val="0"/>
      <w:spacing w:beforeLines="50" w:line="240" w:lineRule="auto"/>
      <w:ind w:firstLineChars="200" w:firstLine="200"/>
      <w:textAlignment w:val="auto"/>
    </w:pPr>
    <w:rPr>
      <w:rFonts w:ascii="Times New Roman" w:hAnsi="Times New Roman" w:cs="宋体"/>
      <w:kern w:val="2"/>
    </w:rPr>
  </w:style>
  <w:style w:type="paragraph" w:customStyle="1" w:styleId="4fffd">
    <w:name w:val="图表名称4"/>
    <w:basedOn w:val="aff7"/>
    <w:rsid w:val="009964C3"/>
    <w:pPr>
      <w:overflowPunct/>
      <w:autoSpaceDE/>
      <w:autoSpaceDN/>
      <w:snapToGrid w:val="0"/>
      <w:spacing w:line="240" w:lineRule="auto"/>
      <w:ind w:firstLine="0"/>
      <w:jc w:val="center"/>
      <w:textAlignment w:val="auto"/>
    </w:pPr>
    <w:rPr>
      <w:rFonts w:ascii="宋体" w:hAnsi="宋体"/>
      <w:sz w:val="24"/>
      <w:szCs w:val="21"/>
    </w:rPr>
  </w:style>
  <w:style w:type="paragraph" w:customStyle="1" w:styleId="4fffe">
    <w:name w:val="正文修改4"/>
    <w:basedOn w:val="affffffffb"/>
    <w:rsid w:val="009964C3"/>
    <w:pPr>
      <w:ind w:rightChars="100" w:right="210" w:firstLineChars="87" w:firstLine="209"/>
    </w:pPr>
    <w:rPr>
      <w:rFonts w:cs="Times New Roman"/>
      <w:bCs w:val="0"/>
    </w:rPr>
  </w:style>
  <w:style w:type="paragraph" w:customStyle="1" w:styleId="CM3">
    <w:name w:val="CM3"/>
    <w:basedOn w:val="Default"/>
    <w:next w:val="Default"/>
    <w:semiHidden/>
    <w:rsid w:val="009964C3"/>
    <w:rPr>
      <w:rFonts w:ascii="仿宋_GB2312" w:eastAsia="仿宋_GB2312" w:hAnsi="Calibri" w:cs="Times New Roman"/>
      <w:color w:val="auto"/>
    </w:rPr>
  </w:style>
  <w:style w:type="paragraph" w:customStyle="1" w:styleId="4ffff">
    <w:name w:val="表内文字边4"/>
    <w:basedOn w:val="affffffffffffa"/>
    <w:rsid w:val="009964C3"/>
    <w:pPr>
      <w:adjustRightInd w:val="0"/>
      <w:snapToGrid w:val="0"/>
      <w:jc w:val="both"/>
    </w:pPr>
  </w:style>
  <w:style w:type="paragraph" w:customStyle="1" w:styleId="1000">
    <w:name w:val="正文样式100"/>
    <w:basedOn w:val="af3"/>
    <w:rsid w:val="009964C3"/>
    <w:pPr>
      <w:spacing w:beforeLines="50" w:line="360" w:lineRule="auto"/>
      <w:ind w:firstLineChars="200" w:firstLine="480"/>
    </w:pPr>
    <w:rPr>
      <w:rFonts w:ascii="宋体" w:hAnsi="宋体" w:cs="Courier New"/>
      <w:color w:val="000000"/>
      <w:sz w:val="24"/>
    </w:rPr>
  </w:style>
  <w:style w:type="paragraph" w:customStyle="1" w:styleId="4250">
    <w:name w:val="标题425"/>
    <w:basedOn w:val="af3"/>
    <w:rsid w:val="009964C3"/>
    <w:pPr>
      <w:adjustRightInd w:val="0"/>
      <w:snapToGrid w:val="0"/>
      <w:spacing w:line="300" w:lineRule="auto"/>
      <w:jc w:val="left"/>
    </w:pPr>
    <w:rPr>
      <w:rFonts w:ascii="宋体" w:hAnsi="宋体"/>
      <w:sz w:val="24"/>
      <w:szCs w:val="20"/>
    </w:rPr>
  </w:style>
  <w:style w:type="paragraph" w:customStyle="1" w:styleId="1143">
    <w:name w:val="样式114"/>
    <w:basedOn w:val="af3"/>
    <w:rsid w:val="009964C3"/>
    <w:pPr>
      <w:adjustRightInd w:val="0"/>
      <w:snapToGrid w:val="0"/>
      <w:spacing w:line="300" w:lineRule="auto"/>
      <w:jc w:val="center"/>
      <w:textAlignment w:val="baseline"/>
    </w:pPr>
    <w:rPr>
      <w:rFonts w:ascii="仿宋_GB2312" w:eastAsia="仿宋_GB2312" w:hAnsi="Courier New"/>
      <w:b/>
      <w:kern w:val="0"/>
      <w:sz w:val="28"/>
      <w:szCs w:val="20"/>
    </w:rPr>
  </w:style>
  <w:style w:type="paragraph" w:customStyle="1" w:styleId="CharChar1CharCharCharCharCharCharChar">
    <w:name w:val="Char Char1 Char Char Char Char Char Char Char"/>
    <w:basedOn w:val="af3"/>
    <w:rsid w:val="009964C3"/>
  </w:style>
  <w:style w:type="paragraph" w:customStyle="1" w:styleId="1fffffff6">
    <w:name w:val="表格文字1"/>
    <w:basedOn w:val="af3"/>
    <w:qFormat/>
    <w:rsid w:val="009964C3"/>
    <w:pPr>
      <w:tabs>
        <w:tab w:val="left" w:pos="0"/>
      </w:tabs>
      <w:autoSpaceDE w:val="0"/>
      <w:autoSpaceDN w:val="0"/>
      <w:adjustRightInd w:val="0"/>
      <w:jc w:val="center"/>
      <w:textAlignment w:val="baseline"/>
    </w:pPr>
    <w:rPr>
      <w:rFonts w:ascii="宋体"/>
      <w:szCs w:val="20"/>
    </w:rPr>
  </w:style>
  <w:style w:type="paragraph" w:customStyle="1" w:styleId="741">
    <w:name w:val="页眉中74"/>
    <w:basedOn w:val="af3"/>
    <w:qFormat/>
    <w:rsid w:val="009964C3"/>
    <w:pPr>
      <w:adjustRightInd w:val="0"/>
      <w:snapToGrid w:val="0"/>
      <w:spacing w:line="300" w:lineRule="auto"/>
      <w:jc w:val="left"/>
    </w:pPr>
    <w:rPr>
      <w:rFonts w:ascii="黑体" w:eastAsia="黑体"/>
      <w:bCs/>
      <w:sz w:val="24"/>
      <w:szCs w:val="20"/>
    </w:rPr>
  </w:style>
  <w:style w:type="paragraph" w:customStyle="1" w:styleId="742">
    <w:name w:val="表内文字小74"/>
    <w:basedOn w:val="af3"/>
    <w:qFormat/>
    <w:rsid w:val="009964C3"/>
    <w:pPr>
      <w:adjustRightInd w:val="0"/>
      <w:snapToGrid w:val="0"/>
      <w:jc w:val="center"/>
    </w:pPr>
    <w:rPr>
      <w:rFonts w:ascii="宋体" w:hAnsi="Times"/>
      <w:szCs w:val="20"/>
    </w:rPr>
  </w:style>
  <w:style w:type="paragraph" w:customStyle="1" w:styleId="743">
    <w:name w:val="表题74"/>
    <w:basedOn w:val="afffffff4"/>
    <w:qFormat/>
    <w:rsid w:val="009964C3"/>
    <w:pPr>
      <w:spacing w:line="240" w:lineRule="auto"/>
      <w:ind w:firstLine="0"/>
      <w:jc w:val="center"/>
    </w:pPr>
    <w:rPr>
      <w:rFonts w:ascii="黑体" w:eastAsia="黑体" w:cs="Times New Roman"/>
      <w:color w:val="auto"/>
    </w:rPr>
  </w:style>
  <w:style w:type="paragraph" w:customStyle="1" w:styleId="affffffffffffffffffffffffffffff6">
    <w:name w:val="不缩进正文"/>
    <w:basedOn w:val="af3"/>
    <w:qFormat/>
    <w:rsid w:val="009964C3"/>
    <w:pPr>
      <w:spacing w:line="360" w:lineRule="auto"/>
      <w:jc w:val="left"/>
    </w:pPr>
    <w:rPr>
      <w:sz w:val="24"/>
    </w:rPr>
  </w:style>
  <w:style w:type="paragraph" w:customStyle="1" w:styleId="14e">
    <w:name w:val="表内文字14"/>
    <w:basedOn w:val="af3"/>
    <w:rsid w:val="009964C3"/>
    <w:pPr>
      <w:widowControl/>
      <w:adjustRightInd w:val="0"/>
      <w:snapToGrid w:val="0"/>
      <w:spacing w:line="420" w:lineRule="exact"/>
      <w:jc w:val="center"/>
    </w:pPr>
    <w:rPr>
      <w:rFonts w:ascii="宋体"/>
      <w:spacing w:val="10"/>
      <w:kern w:val="0"/>
      <w:sz w:val="18"/>
      <w:szCs w:val="20"/>
    </w:rPr>
  </w:style>
  <w:style w:type="paragraph" w:customStyle="1" w:styleId="14f">
    <w:name w:val="条(三级)14"/>
    <w:basedOn w:val="af3"/>
    <w:next w:val="af3"/>
    <w:rsid w:val="009964C3"/>
    <w:pPr>
      <w:keepNext/>
      <w:keepLines/>
      <w:adjustRightInd w:val="0"/>
      <w:snapToGrid w:val="0"/>
      <w:spacing w:line="460" w:lineRule="exact"/>
      <w:textAlignment w:val="baseline"/>
    </w:pPr>
    <w:rPr>
      <w:rFonts w:hAnsi="Arial"/>
      <w:spacing w:val="3"/>
      <w:kern w:val="24"/>
      <w:sz w:val="18"/>
      <w:szCs w:val="20"/>
    </w:rPr>
  </w:style>
  <w:style w:type="paragraph" w:customStyle="1" w:styleId="24d">
    <w:name w:val="表内文字24"/>
    <w:basedOn w:val="af3"/>
    <w:rsid w:val="009964C3"/>
    <w:pPr>
      <w:widowControl/>
      <w:adjustRightInd w:val="0"/>
      <w:snapToGrid w:val="0"/>
      <w:jc w:val="center"/>
    </w:pPr>
    <w:rPr>
      <w:kern w:val="0"/>
      <w:szCs w:val="21"/>
    </w:rPr>
  </w:style>
  <w:style w:type="paragraph" w:customStyle="1" w:styleId="CM50">
    <w:name w:val="CM50"/>
    <w:basedOn w:val="Default"/>
    <w:next w:val="Default"/>
    <w:semiHidden/>
    <w:rsid w:val="009964C3"/>
    <w:pPr>
      <w:spacing w:line="440" w:lineRule="atLeast"/>
    </w:pPr>
    <w:rPr>
      <w:rFonts w:cs="Times New Roman"/>
      <w:color w:val="auto"/>
    </w:rPr>
  </w:style>
  <w:style w:type="paragraph" w:customStyle="1" w:styleId="1041">
    <w:name w:val="页眉中104"/>
    <w:basedOn w:val="af3"/>
    <w:rsid w:val="009964C3"/>
    <w:pPr>
      <w:adjustRightInd w:val="0"/>
      <w:snapToGrid w:val="0"/>
      <w:spacing w:line="300" w:lineRule="auto"/>
      <w:jc w:val="left"/>
    </w:pPr>
    <w:rPr>
      <w:rFonts w:ascii="黑体" w:eastAsia="黑体"/>
      <w:bCs/>
      <w:sz w:val="24"/>
      <w:szCs w:val="20"/>
    </w:rPr>
  </w:style>
  <w:style w:type="paragraph" w:customStyle="1" w:styleId="21f5">
    <w:name w:val="样式 黑体 小二 居中 行距: 固定值 21 磅"/>
    <w:basedOn w:val="af3"/>
    <w:rsid w:val="009964C3"/>
    <w:pPr>
      <w:jc w:val="center"/>
    </w:pPr>
    <w:rPr>
      <w:rFonts w:ascii="黑体" w:eastAsia="黑体"/>
      <w:sz w:val="36"/>
      <w:szCs w:val="20"/>
    </w:rPr>
  </w:style>
  <w:style w:type="paragraph" w:customStyle="1" w:styleId="5442">
    <w:name w:val="表内宋5中44"/>
    <w:basedOn w:val="af3"/>
    <w:rsid w:val="009964C3"/>
    <w:pPr>
      <w:adjustRightInd w:val="0"/>
      <w:snapToGrid w:val="0"/>
      <w:jc w:val="center"/>
      <w:textAlignment w:val="baseline"/>
    </w:pPr>
    <w:rPr>
      <w:rFonts w:ascii="宋体" w:hAnsi="宋体"/>
      <w:kern w:val="0"/>
      <w:szCs w:val="20"/>
    </w:rPr>
  </w:style>
  <w:style w:type="paragraph" w:customStyle="1" w:styleId="24e">
    <w:name w:val="样式 黑体 小四 行距: 固定值 24 磅"/>
    <w:basedOn w:val="af3"/>
    <w:rsid w:val="009964C3"/>
    <w:pPr>
      <w:spacing w:line="480" w:lineRule="exact"/>
    </w:pPr>
    <w:rPr>
      <w:rFonts w:ascii="黑体" w:eastAsia="黑体"/>
      <w:sz w:val="24"/>
      <w:szCs w:val="20"/>
    </w:rPr>
  </w:style>
  <w:style w:type="paragraph" w:customStyle="1" w:styleId="1241">
    <w:name w:val="页眉中124"/>
    <w:basedOn w:val="af3"/>
    <w:rsid w:val="009964C3"/>
    <w:pPr>
      <w:adjustRightInd w:val="0"/>
      <w:snapToGrid w:val="0"/>
      <w:spacing w:line="300" w:lineRule="auto"/>
      <w:jc w:val="left"/>
    </w:pPr>
    <w:rPr>
      <w:rFonts w:ascii="黑体" w:eastAsia="黑体"/>
      <w:bCs/>
      <w:sz w:val="24"/>
      <w:szCs w:val="20"/>
    </w:rPr>
  </w:style>
  <w:style w:type="paragraph" w:customStyle="1" w:styleId="5fff6">
    <w:name w:val="需要资料5"/>
    <w:basedOn w:val="af3"/>
    <w:rsid w:val="009964C3"/>
    <w:pPr>
      <w:adjustRightInd w:val="0"/>
      <w:snapToGrid w:val="0"/>
      <w:spacing w:line="360" w:lineRule="auto"/>
      <w:ind w:firstLineChars="200" w:firstLine="480"/>
    </w:pPr>
    <w:rPr>
      <w:rFonts w:ascii="黑体" w:eastAsia="黑体"/>
      <w:color w:val="0000FF"/>
      <w:sz w:val="24"/>
    </w:rPr>
  </w:style>
  <w:style w:type="paragraph" w:customStyle="1" w:styleId="851">
    <w:name w:val="页眉中85"/>
    <w:basedOn w:val="4a"/>
    <w:rsid w:val="009964C3"/>
    <w:pPr>
      <w:snapToGrid w:val="0"/>
      <w:spacing w:line="360" w:lineRule="auto"/>
      <w:textAlignment w:val="auto"/>
    </w:pPr>
    <w:rPr>
      <w:rFonts w:ascii="黑体" w:eastAsia="黑体"/>
      <w:szCs w:val="24"/>
    </w:rPr>
  </w:style>
  <w:style w:type="paragraph" w:customStyle="1" w:styleId="1721">
    <w:name w:val="表标题17.21"/>
    <w:basedOn w:val="af3"/>
    <w:rsid w:val="009964C3"/>
    <w:pPr>
      <w:tabs>
        <w:tab w:val="left" w:pos="284"/>
        <w:tab w:val="center" w:pos="4060"/>
        <w:tab w:val="right" w:pos="8261"/>
      </w:tabs>
      <w:suppressAutoHyphens/>
      <w:adjustRightInd w:val="0"/>
      <w:spacing w:before="240" w:line="0" w:lineRule="atLeast"/>
      <w:jc w:val="center"/>
    </w:pPr>
    <w:rPr>
      <w:rFonts w:ascii="黑体" w:eastAsia="黑体"/>
      <w:b/>
      <w:spacing w:val="6"/>
      <w:kern w:val="0"/>
      <w:sz w:val="24"/>
    </w:rPr>
  </w:style>
  <w:style w:type="paragraph" w:customStyle="1" w:styleId="CharCharCharCharCharCharCharCharCharCharChar">
    <w:name w:val="Char Char Char Char Char Char Char Char Char Char Char"/>
    <w:basedOn w:val="af3"/>
    <w:rsid w:val="009964C3"/>
    <w:rPr>
      <w:sz w:val="28"/>
      <w:szCs w:val="28"/>
    </w:rPr>
  </w:style>
  <w:style w:type="paragraph" w:customStyle="1" w:styleId="42">
    <w:name w:val="样式 样式4 + 宋体"/>
    <w:basedOn w:val="af3"/>
    <w:rsid w:val="009964C3"/>
    <w:pPr>
      <w:keepNext/>
      <w:keepLines/>
      <w:numPr>
        <w:ilvl w:val="2"/>
        <w:numId w:val="76"/>
      </w:numPr>
      <w:tabs>
        <w:tab w:val="left" w:pos="1494"/>
      </w:tabs>
      <w:spacing w:before="260" w:line="440" w:lineRule="exact"/>
      <w:outlineLvl w:val="2"/>
    </w:pPr>
    <w:rPr>
      <w:rFonts w:ascii="宋体" w:hAnsi="宋体"/>
      <w:sz w:val="24"/>
      <w:szCs w:val="32"/>
    </w:rPr>
  </w:style>
  <w:style w:type="paragraph" w:customStyle="1" w:styleId="xl114">
    <w:name w:val="xl114"/>
    <w:basedOn w:val="af3"/>
    <w:rsid w:val="009964C3"/>
    <w:pPr>
      <w:widowControl/>
      <w:pBdr>
        <w:top w:val="single" w:sz="4" w:space="0" w:color="auto"/>
        <w:bottom w:val="single" w:sz="8" w:space="0" w:color="auto"/>
      </w:pBdr>
      <w:spacing w:before="100" w:beforeAutospacing="1" w:after="100" w:afterAutospacing="1"/>
      <w:jc w:val="center"/>
    </w:pPr>
    <w:rPr>
      <w:rFonts w:ascii="Arial Unicode MS" w:eastAsia="Arial Unicode MS" w:hAnsi="Arial Unicode MS" w:cs="Arial Unicode MS"/>
      <w:kern w:val="0"/>
      <w:sz w:val="24"/>
    </w:rPr>
  </w:style>
  <w:style w:type="paragraph" w:customStyle="1" w:styleId="5fff7">
    <w:name w:val="中文报告书样式5"/>
    <w:basedOn w:val="af3"/>
    <w:rsid w:val="009964C3"/>
    <w:pPr>
      <w:adjustRightInd w:val="0"/>
      <w:spacing w:line="480" w:lineRule="atLeast"/>
      <w:ind w:firstLine="482"/>
      <w:textAlignment w:val="baseline"/>
    </w:pPr>
    <w:rPr>
      <w:rFonts w:ascii="宋体" w:hAnsi="宋体"/>
      <w:kern w:val="24"/>
      <w:sz w:val="24"/>
      <w:szCs w:val="20"/>
    </w:rPr>
  </w:style>
  <w:style w:type="paragraph" w:customStyle="1" w:styleId="xl113">
    <w:name w:val="xl113"/>
    <w:basedOn w:val="af3"/>
    <w:rsid w:val="009964C3"/>
    <w:pPr>
      <w:widowControl/>
      <w:pBdr>
        <w:top w:val="single" w:sz="4" w:space="0" w:color="auto"/>
        <w:bottom w:val="single" w:sz="8" w:space="0" w:color="auto"/>
        <w:right w:val="single" w:sz="4" w:space="0" w:color="auto"/>
      </w:pBdr>
      <w:shd w:val="clear" w:color="auto" w:fill="FFFFFF"/>
      <w:spacing w:before="100" w:beforeAutospacing="1" w:after="100" w:afterAutospacing="1"/>
      <w:jc w:val="center"/>
    </w:pPr>
    <w:rPr>
      <w:rFonts w:eastAsia="Arial Unicode MS"/>
      <w:color w:val="000000"/>
      <w:kern w:val="0"/>
      <w:sz w:val="24"/>
    </w:rPr>
  </w:style>
  <w:style w:type="paragraph" w:customStyle="1" w:styleId="5153">
    <w:name w:val="表内宋515"/>
    <w:basedOn w:val="affffffffff5"/>
    <w:rsid w:val="009964C3"/>
    <w:pPr>
      <w:adjustRightInd w:val="0"/>
      <w:snapToGrid w:val="0"/>
      <w:jc w:val="both"/>
    </w:pPr>
    <w:rPr>
      <w:color w:val="000000"/>
      <w:sz w:val="21"/>
    </w:rPr>
  </w:style>
  <w:style w:type="paragraph" w:customStyle="1" w:styleId="2135">
    <w:name w:val="样式 化工城正文 + 首行缩进:  2 字符 行距: 多倍行距 1.35 字行"/>
    <w:basedOn w:val="af3"/>
    <w:rsid w:val="009964C3"/>
    <w:pPr>
      <w:spacing w:line="324" w:lineRule="auto"/>
      <w:ind w:firstLineChars="200" w:firstLine="480"/>
    </w:pPr>
    <w:rPr>
      <w:rFonts w:ascii="宋体" w:hAnsi="宋体" w:cs="宋体"/>
      <w:sz w:val="24"/>
      <w:szCs w:val="20"/>
    </w:rPr>
  </w:style>
  <w:style w:type="paragraph" w:customStyle="1" w:styleId="21f6">
    <w:name w:val="正文文本缩进 21"/>
    <w:basedOn w:val="af3"/>
    <w:rsid w:val="009964C3"/>
    <w:pPr>
      <w:adjustRightInd w:val="0"/>
      <w:spacing w:after="120" w:line="480" w:lineRule="auto"/>
      <w:ind w:left="420"/>
      <w:textAlignment w:val="baseline"/>
    </w:pPr>
    <w:rPr>
      <w:sz w:val="28"/>
      <w:szCs w:val="20"/>
    </w:rPr>
  </w:style>
  <w:style w:type="paragraph" w:customStyle="1" w:styleId="518">
    <w:name w:val="表5.18"/>
    <w:basedOn w:val="af3"/>
    <w:rsid w:val="009964C3"/>
    <w:pPr>
      <w:numPr>
        <w:numId w:val="77"/>
      </w:numPr>
      <w:tabs>
        <w:tab w:val="left" w:pos="420"/>
      </w:tabs>
      <w:spacing w:beforeLines="100" w:line="0" w:lineRule="atLeast"/>
    </w:pPr>
    <w:rPr>
      <w:rFonts w:eastAsia="黑体"/>
      <w:b/>
      <w:sz w:val="24"/>
    </w:rPr>
  </w:style>
  <w:style w:type="paragraph" w:customStyle="1" w:styleId="15f8">
    <w:name w:val="燕山正文15"/>
    <w:basedOn w:val="af3"/>
    <w:rsid w:val="009964C3"/>
    <w:pPr>
      <w:tabs>
        <w:tab w:val="left" w:pos="4680"/>
      </w:tabs>
      <w:adjustRightInd w:val="0"/>
      <w:snapToGrid w:val="0"/>
      <w:spacing w:line="360" w:lineRule="auto"/>
      <w:ind w:firstLineChars="200" w:firstLine="480"/>
    </w:pPr>
    <w:rPr>
      <w:rFonts w:ascii="宋体" w:hAnsi="宋体" w:cs="宋体"/>
      <w:bCs/>
      <w:color w:val="000000"/>
      <w:sz w:val="24"/>
    </w:rPr>
  </w:style>
  <w:style w:type="paragraph" w:customStyle="1" w:styleId="GB231200815">
    <w:name w:val="样式 楷体_GB2312 小四 左 右侧:  0.08 厘米 行距: 1.5 倍行距"/>
    <w:basedOn w:val="af3"/>
    <w:rsid w:val="009964C3"/>
    <w:pPr>
      <w:spacing w:line="360" w:lineRule="auto"/>
      <w:ind w:right="45" w:firstLineChars="200" w:firstLine="480"/>
      <w:jc w:val="left"/>
    </w:pPr>
    <w:rPr>
      <w:rFonts w:ascii="楷体_GB2312" w:cs="宋体"/>
      <w:sz w:val="24"/>
      <w:szCs w:val="20"/>
    </w:rPr>
  </w:style>
  <w:style w:type="paragraph" w:customStyle="1" w:styleId="259">
    <w:name w:val="燕山正文25"/>
    <w:basedOn w:val="af3"/>
    <w:rsid w:val="009964C3"/>
    <w:pPr>
      <w:tabs>
        <w:tab w:val="left" w:pos="4680"/>
      </w:tabs>
      <w:adjustRightInd w:val="0"/>
      <w:snapToGrid w:val="0"/>
      <w:spacing w:line="360" w:lineRule="auto"/>
      <w:ind w:firstLineChars="200" w:firstLine="480"/>
      <w:jc w:val="left"/>
    </w:pPr>
    <w:rPr>
      <w:rFonts w:ascii="宋体" w:hAnsi="宋体"/>
      <w:bCs/>
      <w:color w:val="000000"/>
      <w:sz w:val="24"/>
    </w:rPr>
  </w:style>
  <w:style w:type="paragraph" w:customStyle="1" w:styleId="5460">
    <w:name w:val="表内宋5中46"/>
    <w:basedOn w:val="af3"/>
    <w:rsid w:val="009964C3"/>
    <w:pPr>
      <w:adjustRightInd w:val="0"/>
      <w:snapToGrid w:val="0"/>
      <w:jc w:val="center"/>
      <w:textAlignment w:val="baseline"/>
    </w:pPr>
    <w:rPr>
      <w:rFonts w:ascii="宋体" w:hAnsi="宋体"/>
      <w:kern w:val="0"/>
      <w:szCs w:val="20"/>
    </w:rPr>
  </w:style>
  <w:style w:type="paragraph" w:customStyle="1" w:styleId="affffffffffffffffffffffffffffff7">
    <w:name w:val="讲稿"/>
    <w:basedOn w:val="af3"/>
    <w:rsid w:val="009964C3"/>
    <w:pPr>
      <w:ind w:firstLine="431"/>
    </w:pPr>
    <w:rPr>
      <w:rFonts w:ascii="Arial" w:hAnsi="Arial"/>
      <w:kern w:val="0"/>
      <w:szCs w:val="20"/>
    </w:rPr>
  </w:style>
  <w:style w:type="paragraph" w:customStyle="1" w:styleId="55f0">
    <w:name w:val="图题55"/>
    <w:basedOn w:val="af4"/>
    <w:rsid w:val="009964C3"/>
    <w:pPr>
      <w:adjustRightInd w:val="0"/>
      <w:snapToGrid w:val="0"/>
      <w:ind w:firstLineChars="0" w:firstLine="0"/>
      <w:jc w:val="center"/>
    </w:pPr>
    <w:rPr>
      <w:rFonts w:ascii="方正大标宋简体" w:eastAsia="方正大标宋简体" w:hAnsi="宋体"/>
      <w:sz w:val="24"/>
      <w:szCs w:val="24"/>
    </w:rPr>
  </w:style>
  <w:style w:type="paragraph" w:customStyle="1" w:styleId="Style20">
    <w:name w:val="_Style 20"/>
    <w:basedOn w:val="af3"/>
    <w:rsid w:val="009964C3"/>
    <w:pPr>
      <w:adjustRightInd w:val="0"/>
      <w:spacing w:line="480" w:lineRule="exact"/>
    </w:pPr>
    <w:rPr>
      <w:rFonts w:hint="eastAsia"/>
      <w:kern w:val="28"/>
      <w:sz w:val="24"/>
      <w:szCs w:val="20"/>
    </w:rPr>
  </w:style>
  <w:style w:type="paragraph" w:customStyle="1" w:styleId="8e">
    <w:name w:val="表内文字8"/>
    <w:basedOn w:val="af3"/>
    <w:rsid w:val="009964C3"/>
    <w:pPr>
      <w:widowControl/>
      <w:adjustRightInd w:val="0"/>
      <w:snapToGrid w:val="0"/>
      <w:jc w:val="center"/>
    </w:pPr>
    <w:rPr>
      <w:kern w:val="0"/>
      <w:szCs w:val="21"/>
    </w:rPr>
  </w:style>
  <w:style w:type="paragraph" w:customStyle="1" w:styleId="55f1">
    <w:name w:val="标题55"/>
    <w:basedOn w:val="af3"/>
    <w:rsid w:val="009964C3"/>
    <w:pPr>
      <w:keepNext/>
      <w:keepLines/>
      <w:widowControl/>
      <w:adjustRightInd w:val="0"/>
      <w:snapToGrid w:val="0"/>
      <w:spacing w:line="360" w:lineRule="auto"/>
      <w:outlineLvl w:val="2"/>
    </w:pPr>
    <w:rPr>
      <w:b/>
      <w:snapToGrid w:val="0"/>
      <w:color w:val="000000"/>
      <w:kern w:val="0"/>
      <w:sz w:val="18"/>
      <w:szCs w:val="20"/>
    </w:rPr>
  </w:style>
  <w:style w:type="paragraph" w:customStyle="1" w:styleId="512-1">
    <w:name w:val="表5.12-1"/>
    <w:basedOn w:val="af3"/>
    <w:rsid w:val="009964C3"/>
    <w:pPr>
      <w:numPr>
        <w:numId w:val="78"/>
      </w:numPr>
      <w:tabs>
        <w:tab w:val="left" w:pos="420"/>
      </w:tabs>
      <w:spacing w:beforeLines="100" w:line="0" w:lineRule="atLeast"/>
    </w:pPr>
    <w:rPr>
      <w:rFonts w:eastAsia="黑体"/>
      <w:sz w:val="24"/>
    </w:rPr>
  </w:style>
  <w:style w:type="paragraph" w:customStyle="1" w:styleId="652">
    <w:name w:val="图题65"/>
    <w:basedOn w:val="af3"/>
    <w:rsid w:val="009964C3"/>
    <w:pPr>
      <w:jc w:val="center"/>
    </w:pPr>
    <w:rPr>
      <w:rFonts w:ascii="黑体" w:eastAsia="黑体"/>
      <w:sz w:val="24"/>
    </w:rPr>
  </w:style>
  <w:style w:type="paragraph" w:customStyle="1" w:styleId="affffffffffffffffffffffffffffff8">
    <w:name w:val="表序号"/>
    <w:basedOn w:val="51"/>
    <w:rsid w:val="009964C3"/>
    <w:pPr>
      <w:keepNext/>
      <w:keepLines/>
      <w:tabs>
        <w:tab w:val="left" w:pos="3660"/>
      </w:tabs>
      <w:spacing w:line="360" w:lineRule="auto"/>
    </w:pPr>
    <w:rPr>
      <w:rFonts w:ascii="仿宋_GB2312" w:eastAsia="仿宋_GB2312"/>
      <w:b/>
      <w:color w:val="auto"/>
      <w:spacing w:val="0"/>
      <w:kern w:val="44"/>
      <w:position w:val="0"/>
    </w:rPr>
  </w:style>
  <w:style w:type="paragraph" w:customStyle="1" w:styleId="yq">
    <w:name w:val="yq"/>
    <w:basedOn w:val="af3"/>
    <w:next w:val="af3"/>
    <w:rsid w:val="009964C3"/>
    <w:rPr>
      <w:rFonts w:ascii="楷体_GB2312" w:eastAsia="楷体_GB2312"/>
      <w:sz w:val="28"/>
      <w:szCs w:val="20"/>
    </w:rPr>
  </w:style>
  <w:style w:type="paragraph" w:customStyle="1" w:styleId="3TimesNewRoman122">
    <w:name w:val="样式 标题 3 + (西文) Times New Roman (中文) 宋体 小四 左 段前: 12 磅 段后: 2 ..."/>
    <w:basedOn w:val="31"/>
    <w:rsid w:val="009964C3"/>
    <w:pPr>
      <w:keepNext w:val="0"/>
      <w:keepLines w:val="0"/>
      <w:tabs>
        <w:tab w:val="left" w:pos="360"/>
        <w:tab w:val="left" w:pos="799"/>
      </w:tabs>
      <w:adjustRightInd w:val="0"/>
      <w:snapToGrid w:val="0"/>
      <w:spacing w:before="120" w:after="0" w:line="360" w:lineRule="auto"/>
      <w:ind w:left="360" w:hangingChars="200" w:hanging="360"/>
      <w:jc w:val="left"/>
      <w:textAlignment w:val="baseline"/>
    </w:pPr>
    <w:rPr>
      <w:rFonts w:hAnsi="宋体"/>
      <w:b w:val="0"/>
      <w:bCs w:val="0"/>
      <w:sz w:val="24"/>
      <w:szCs w:val="20"/>
    </w:rPr>
  </w:style>
  <w:style w:type="paragraph" w:customStyle="1" w:styleId="CharCharCharCharCharChar10">
    <w:name w:val="Char Char Char Char Char Char1"/>
    <w:basedOn w:val="af3"/>
    <w:rsid w:val="009964C3"/>
  </w:style>
  <w:style w:type="paragraph" w:customStyle="1" w:styleId="Char122">
    <w:name w:val="Char122"/>
    <w:basedOn w:val="af3"/>
    <w:rsid w:val="009964C3"/>
    <w:pPr>
      <w:ind w:left="-48"/>
    </w:pPr>
  </w:style>
  <w:style w:type="paragraph" w:customStyle="1" w:styleId="CharChar1CharCharCharChar1">
    <w:name w:val="Char Char1 Char Char Char Char1"/>
    <w:basedOn w:val="af3"/>
    <w:rsid w:val="009964C3"/>
  </w:style>
  <w:style w:type="paragraph" w:customStyle="1" w:styleId="2ffffff2">
    <w:name w:val="表格内容2"/>
    <w:next w:val="af3"/>
    <w:semiHidden/>
    <w:rsid w:val="009964C3"/>
    <w:pPr>
      <w:jc w:val="center"/>
    </w:pPr>
    <w:rPr>
      <w:rFonts w:cs="宋体"/>
      <w:kern w:val="2"/>
      <w:sz w:val="21"/>
      <w:szCs w:val="21"/>
    </w:rPr>
  </w:style>
  <w:style w:type="paragraph" w:customStyle="1" w:styleId="font8">
    <w:name w:val="font8"/>
    <w:basedOn w:val="af3"/>
    <w:rsid w:val="009964C3"/>
    <w:pPr>
      <w:widowControl/>
      <w:spacing w:before="100" w:beforeAutospacing="1" w:after="100" w:afterAutospacing="1"/>
      <w:jc w:val="left"/>
    </w:pPr>
    <w:rPr>
      <w:rFonts w:ascii="宋体" w:eastAsia="Arial Unicode MS" w:hAnsi="宋体"/>
      <w:kern w:val="0"/>
      <w:sz w:val="20"/>
      <w:szCs w:val="20"/>
    </w:rPr>
  </w:style>
  <w:style w:type="paragraph" w:customStyle="1" w:styleId="ST2046">
    <w:name w:val="ST20_46"/>
    <w:basedOn w:val="ST2019"/>
    <w:next w:val="af3"/>
    <w:rsid w:val="009964C3"/>
    <w:pPr>
      <w:spacing w:after="240"/>
    </w:pPr>
  </w:style>
  <w:style w:type="paragraph" w:customStyle="1" w:styleId="5300">
    <w:name w:val="表内530"/>
    <w:basedOn w:val="5f2"/>
    <w:rsid w:val="009964C3"/>
    <w:pPr>
      <w:jc w:val="both"/>
    </w:pPr>
    <w:rPr>
      <w:szCs w:val="24"/>
    </w:rPr>
  </w:style>
  <w:style w:type="paragraph" w:customStyle="1" w:styleId="242CharCharCharChar09">
    <w:name w:val="样式 标题 2项目标题4标题 2 Char Char Char Char + 首行缩进:  0.9 厘米"/>
    <w:basedOn w:val="22"/>
    <w:qFormat/>
    <w:rsid w:val="009964C3"/>
    <w:pPr>
      <w:keepNext w:val="0"/>
      <w:keepLines w:val="0"/>
      <w:widowControl/>
      <w:overflowPunct w:val="0"/>
      <w:autoSpaceDE w:val="0"/>
      <w:autoSpaceDN w:val="0"/>
      <w:adjustRightInd w:val="0"/>
      <w:snapToGrid w:val="0"/>
      <w:spacing w:before="240" w:after="240" w:line="240" w:lineRule="auto"/>
      <w:ind w:left="561"/>
      <w:jc w:val="left"/>
      <w:textAlignment w:val="baseline"/>
    </w:pPr>
    <w:rPr>
      <w:rFonts w:ascii="宋体" w:hAnsi="宋体" w:cs="宋体"/>
      <w:b w:val="0"/>
      <w:kern w:val="20"/>
      <w:sz w:val="30"/>
      <w:szCs w:val="20"/>
    </w:rPr>
  </w:style>
  <w:style w:type="paragraph" w:customStyle="1" w:styleId="ParaChar">
    <w:name w:val="默认段落字体 Para Char"/>
    <w:basedOn w:val="af3"/>
    <w:next w:val="af3"/>
    <w:rsid w:val="009964C3"/>
    <w:pPr>
      <w:spacing w:line="360" w:lineRule="auto"/>
      <w:ind w:leftChars="150" w:left="150" w:firstLineChars="200" w:firstLine="200"/>
    </w:pPr>
    <w:rPr>
      <w:rFonts w:ascii="宋体" w:hAnsi="宋体" w:cs="宋体"/>
      <w:sz w:val="24"/>
    </w:rPr>
  </w:style>
  <w:style w:type="paragraph" w:customStyle="1" w:styleId="1181">
    <w:name w:val="表题118"/>
    <w:basedOn w:val="af3"/>
    <w:rsid w:val="009964C3"/>
    <w:pPr>
      <w:adjustRightInd w:val="0"/>
      <w:snapToGrid w:val="0"/>
      <w:jc w:val="center"/>
      <w:textAlignment w:val="baseline"/>
    </w:pPr>
    <w:rPr>
      <w:rFonts w:ascii="黑体" w:eastAsia="黑体" w:hAnsi="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ffff7"/>
    <w:rsid w:val="009964C3"/>
  </w:style>
  <w:style w:type="paragraph" w:customStyle="1" w:styleId="24">
    <w:name w:val="表格文字2"/>
    <w:basedOn w:val="af3"/>
    <w:link w:val="2Char3"/>
    <w:rsid w:val="009964C3"/>
    <w:pPr>
      <w:tabs>
        <w:tab w:val="left" w:pos="277"/>
        <w:tab w:val="left" w:pos="600"/>
        <w:tab w:val="left" w:pos="780"/>
        <w:tab w:val="left" w:pos="1124"/>
        <w:tab w:val="left" w:pos="2517"/>
      </w:tabs>
      <w:adjustRightInd w:val="0"/>
      <w:spacing w:before="60"/>
      <w:ind w:left="1124" w:hanging="360"/>
      <w:jc w:val="center"/>
      <w:textAlignment w:val="baseline"/>
    </w:pPr>
    <w:rPr>
      <w:kern w:val="0"/>
    </w:rPr>
  </w:style>
  <w:style w:type="paragraph" w:customStyle="1" w:styleId="affffffffffffffffffffffffffffff9">
    <w:name w:val="尾注文本格式"/>
    <w:basedOn w:val="af3"/>
    <w:semiHidden/>
    <w:locked/>
    <w:rsid w:val="009964C3"/>
    <w:pPr>
      <w:adjustRightInd w:val="0"/>
      <w:spacing w:before="100" w:beforeAutospacing="1" w:after="100" w:afterAutospacing="1"/>
      <w:ind w:left="240" w:hanging="240"/>
      <w:textAlignment w:val="baseline"/>
    </w:pPr>
    <w:rPr>
      <w:rFonts w:ascii="Arial" w:hAnsi="Arial"/>
      <w:sz w:val="24"/>
    </w:rPr>
  </w:style>
  <w:style w:type="paragraph" w:customStyle="1" w:styleId="11fa">
    <w:name w:val="样式 标题 1 + 两端对齐1"/>
    <w:basedOn w:val="13"/>
    <w:rsid w:val="009964C3"/>
    <w:pPr>
      <w:keepNext w:val="0"/>
      <w:spacing w:before="0" w:after="0" w:line="312" w:lineRule="auto"/>
    </w:pPr>
    <w:rPr>
      <w:rFonts w:cs="宋体"/>
      <w:sz w:val="28"/>
      <w:szCs w:val="20"/>
    </w:rPr>
  </w:style>
  <w:style w:type="paragraph" w:customStyle="1" w:styleId="391">
    <w:name w:val="表题39"/>
    <w:basedOn w:val="afffffff4"/>
    <w:rsid w:val="009964C3"/>
    <w:pPr>
      <w:spacing w:line="240" w:lineRule="auto"/>
      <w:ind w:firstLineChars="200" w:firstLine="480"/>
      <w:jc w:val="center"/>
    </w:pPr>
    <w:rPr>
      <w:rFonts w:ascii="黑体" w:eastAsia="黑体" w:cs="Times New Roman"/>
      <w:color w:val="auto"/>
      <w:szCs w:val="20"/>
    </w:rPr>
  </w:style>
  <w:style w:type="paragraph" w:customStyle="1" w:styleId="6127">
    <w:name w:val="612表格小"/>
    <w:basedOn w:val="612"/>
    <w:semiHidden/>
    <w:rsid w:val="009964C3"/>
    <w:pPr>
      <w:spacing w:line="240" w:lineRule="auto"/>
    </w:pPr>
  </w:style>
  <w:style w:type="paragraph" w:customStyle="1" w:styleId="CM11">
    <w:name w:val="CM11"/>
    <w:basedOn w:val="Default"/>
    <w:next w:val="Default"/>
    <w:rsid w:val="009964C3"/>
    <w:pPr>
      <w:spacing w:line="456" w:lineRule="atLeast"/>
    </w:pPr>
    <w:rPr>
      <w:color w:val="auto"/>
    </w:rPr>
  </w:style>
  <w:style w:type="paragraph" w:customStyle="1" w:styleId="13f4">
    <w:name w:val="样式 样式 标题 1 + + 段后: 3 行"/>
    <w:basedOn w:val="1ffffb"/>
    <w:rsid w:val="009964C3"/>
    <w:pPr>
      <w:spacing w:after="720"/>
      <w:jc w:val="center"/>
    </w:pPr>
    <w:rPr>
      <w:bCs w:val="0"/>
      <w:szCs w:val="20"/>
    </w:rPr>
  </w:style>
  <w:style w:type="paragraph" w:customStyle="1" w:styleId="11Char10505050">
    <w:name w:val="样式 样式 标题 1标题 1 Char标1章 + 段前: 0.5 行 段后: 0.5 行 + 段前: 0.5 行 段后: 0...."/>
    <w:basedOn w:val="af3"/>
    <w:rsid w:val="009964C3"/>
    <w:pPr>
      <w:keepNext/>
      <w:widowControl/>
      <w:numPr>
        <w:numId w:val="46"/>
      </w:numPr>
      <w:tabs>
        <w:tab w:val="left" w:pos="0"/>
      </w:tabs>
      <w:spacing w:beforeLines="50" w:afterLines="50"/>
      <w:outlineLvl w:val="0"/>
    </w:pPr>
    <w:rPr>
      <w:rFonts w:ascii="黑体" w:eastAsia="黑体" w:hAnsi="Arial" w:cs="宋体"/>
      <w:color w:val="000000"/>
      <w:kern w:val="24"/>
      <w:sz w:val="28"/>
      <w:szCs w:val="20"/>
      <w:lang w:val="zh-CN"/>
    </w:rPr>
  </w:style>
  <w:style w:type="paragraph" w:customStyle="1" w:styleId="4PIM4h44CharH4111141111">
    <w:name w:val="样式 标题 4PIM 4h4标题 4 Char第三层条H4款标题1.1.1.1目4条标题1.1.1.1款标题..."/>
    <w:basedOn w:val="43"/>
    <w:semiHidden/>
    <w:locked/>
    <w:rsid w:val="009964C3"/>
    <w:pPr>
      <w:keepNext w:val="0"/>
      <w:keepLines w:val="0"/>
      <w:numPr>
        <w:ilvl w:val="3"/>
      </w:numPr>
      <w:tabs>
        <w:tab w:val="left" w:pos="540"/>
      </w:tabs>
      <w:adjustRightInd w:val="0"/>
      <w:spacing w:beforeLines="50" w:afterLines="50" w:line="360" w:lineRule="exact"/>
      <w:ind w:firstLineChars="200" w:firstLine="200"/>
      <w:jc w:val="left"/>
      <w:textAlignment w:val="baseline"/>
    </w:pPr>
    <w:rPr>
      <w:rFonts w:eastAsia="宋体" w:cs="宋体"/>
      <w:spacing w:val="5"/>
      <w:sz w:val="24"/>
      <w:szCs w:val="20"/>
    </w:rPr>
  </w:style>
  <w:style w:type="paragraph" w:customStyle="1" w:styleId="814">
    <w:name w:val="表标题8.1"/>
    <w:basedOn w:val="afffffffffff4"/>
    <w:rsid w:val="009964C3"/>
    <w:pPr>
      <w:spacing w:before="312"/>
    </w:pPr>
  </w:style>
  <w:style w:type="paragraph" w:customStyle="1" w:styleId="241">
    <w:name w:val="样式 样式 表标题2.4 + 居中 段前: 1 行 + 两端对齐"/>
    <w:basedOn w:val="2410"/>
    <w:rsid w:val="009964C3"/>
    <w:pPr>
      <w:numPr>
        <w:numId w:val="79"/>
      </w:numPr>
      <w:tabs>
        <w:tab w:val="clear" w:pos="4060"/>
        <w:tab w:val="clear" w:pos="8261"/>
        <w:tab w:val="left" w:pos="360"/>
        <w:tab w:val="left" w:pos="420"/>
      </w:tabs>
      <w:jc w:val="both"/>
    </w:pPr>
  </w:style>
  <w:style w:type="paragraph" w:customStyle="1" w:styleId="11Char1-1PartH1H11H12">
    <w:name w:val="样式 标题 1标题 1 Char标1第一章章一级标题，黑粗，三号，序号可研-标题 1PartH1H11H12..."/>
    <w:basedOn w:val="13"/>
    <w:rsid w:val="009964C3"/>
    <w:pPr>
      <w:keepNext w:val="0"/>
      <w:tabs>
        <w:tab w:val="left" w:pos="3765"/>
      </w:tabs>
      <w:spacing w:before="840" w:after="360" w:line="312" w:lineRule="auto"/>
      <w:ind w:left="3041" w:firstLine="4"/>
    </w:pPr>
    <w:rPr>
      <w:rFonts w:cs="宋体"/>
      <w:szCs w:val="36"/>
    </w:rPr>
  </w:style>
  <w:style w:type="paragraph" w:customStyle="1" w:styleId="affffffffffffffffffffffffffffffa">
    <w:name w:val="表格文字居左"/>
    <w:basedOn w:val="aff7"/>
    <w:rsid w:val="009964C3"/>
    <w:pPr>
      <w:keepNext/>
      <w:tabs>
        <w:tab w:val="left" w:pos="0"/>
        <w:tab w:val="left" w:pos="628"/>
        <w:tab w:val="left" w:pos="1727"/>
        <w:tab w:val="left" w:pos="1884"/>
      </w:tabs>
      <w:overflowPunct/>
      <w:autoSpaceDE/>
      <w:autoSpaceDN/>
      <w:snapToGrid w:val="0"/>
      <w:spacing w:after="100" w:afterAutospacing="1" w:line="336" w:lineRule="auto"/>
      <w:ind w:firstLine="0"/>
      <w:textAlignment w:val="auto"/>
      <w:outlineLvl w:val="0"/>
    </w:pPr>
    <w:rPr>
      <w:rFonts w:ascii="宋体" w:hAnsi="宋体"/>
      <w:sz w:val="24"/>
      <w:szCs w:val="20"/>
    </w:rPr>
  </w:style>
  <w:style w:type="paragraph" w:customStyle="1" w:styleId="xl61">
    <w:name w:val="xl61"/>
    <w:basedOn w:val="af3"/>
    <w:rsid w:val="009964C3"/>
    <w:pPr>
      <w:widowControl/>
      <w:pBdr>
        <w:top w:val="single" w:sz="4" w:space="0" w:color="auto"/>
        <w:bottom w:val="single" w:sz="4" w:space="0" w:color="auto"/>
        <w:right w:val="single" w:sz="4" w:space="0" w:color="auto"/>
      </w:pBdr>
      <w:spacing w:before="100" w:after="100"/>
      <w:jc w:val="left"/>
    </w:pPr>
    <w:rPr>
      <w:kern w:val="0"/>
      <w:sz w:val="24"/>
      <w:szCs w:val="20"/>
    </w:rPr>
  </w:style>
  <w:style w:type="paragraph" w:customStyle="1" w:styleId="1CharChar1CharCharChar">
    <w:name w:val="正文样式1 Char Char1 Char Char Char"/>
    <w:basedOn w:val="af3"/>
    <w:rsid w:val="009964C3"/>
    <w:pPr>
      <w:adjustRightInd w:val="0"/>
      <w:spacing w:beforeLines="10" w:afterLines="10" w:line="312" w:lineRule="auto"/>
      <w:ind w:firstLineChars="200" w:firstLine="200"/>
      <w:textAlignment w:val="baseline"/>
    </w:pPr>
    <w:rPr>
      <w:snapToGrid w:val="0"/>
      <w:position w:val="-12"/>
      <w:sz w:val="24"/>
    </w:rPr>
  </w:style>
  <w:style w:type="paragraph" w:customStyle="1" w:styleId="099">
    <w:name w:val="样式 首行缩进:  0.99 厘米"/>
    <w:basedOn w:val="af3"/>
    <w:rsid w:val="009964C3"/>
    <w:pPr>
      <w:snapToGrid w:val="0"/>
      <w:spacing w:line="360" w:lineRule="auto"/>
      <w:ind w:firstLineChars="200" w:firstLine="480"/>
    </w:pPr>
    <w:rPr>
      <w:rFonts w:hAnsi="宋体" w:cs="宋体"/>
      <w:sz w:val="24"/>
      <w:szCs w:val="20"/>
      <w:u w:val="dotted"/>
    </w:rPr>
  </w:style>
  <w:style w:type="paragraph" w:customStyle="1" w:styleId="CharCharChar1CharCharCharCharCharCharCharCharCharCharCharChar1CharCharCharCharCharCharCharCharCharCharCharCharCharCharCharCharCharCharCharCharCharCharCharCharChar">
    <w:name w:val="Char Char Char1 Char Char Char Char Char Char Char Char Char Char Char Char1 Char Char Char Char Char Char Char Char Char Char Char Char Char Char Char Char Char Char Char Char Char Char Char Char Char"/>
    <w:basedOn w:val="af3"/>
    <w:rsid w:val="009964C3"/>
  </w:style>
  <w:style w:type="paragraph" w:customStyle="1" w:styleId="k">
    <w:name w:val="k正文"/>
    <w:basedOn w:val="af3"/>
    <w:rsid w:val="009964C3"/>
    <w:pPr>
      <w:adjustRightInd w:val="0"/>
      <w:snapToGrid w:val="0"/>
      <w:spacing w:line="360" w:lineRule="auto"/>
      <w:ind w:firstLine="539"/>
    </w:pPr>
    <w:rPr>
      <w:rFonts w:eastAsia="仿宋_GB2312"/>
      <w:sz w:val="28"/>
      <w:szCs w:val="20"/>
    </w:rPr>
  </w:style>
  <w:style w:type="paragraph" w:customStyle="1" w:styleId="xl28">
    <w:name w:val="xl28"/>
    <w:basedOn w:val="af3"/>
    <w:rsid w:val="009964C3"/>
    <w:pPr>
      <w:widowControl/>
      <w:pBdr>
        <w:left w:val="single" w:sz="8" w:space="0" w:color="auto"/>
        <w:right w:val="single" w:sz="8" w:space="0" w:color="auto"/>
      </w:pBdr>
      <w:autoSpaceDE w:val="0"/>
      <w:autoSpaceDN w:val="0"/>
      <w:adjustRightInd w:val="0"/>
      <w:snapToGrid w:val="0"/>
      <w:spacing w:before="100" w:after="100"/>
      <w:jc w:val="center"/>
    </w:pPr>
    <w:rPr>
      <w:rFonts w:ascii="宋体" w:hAnsi="宋体"/>
      <w:kern w:val="0"/>
    </w:rPr>
  </w:style>
  <w:style w:type="paragraph" w:customStyle="1" w:styleId="affffffffffffffffffffffffffffffb">
    <w:name w:val="表头电化"/>
    <w:basedOn w:val="af3"/>
    <w:semiHidden/>
    <w:rsid w:val="009964C3"/>
    <w:pPr>
      <w:spacing w:beforeLines="20" w:line="360" w:lineRule="auto"/>
      <w:jc w:val="center"/>
    </w:pPr>
    <w:rPr>
      <w:rFonts w:eastAsia="黑体" w:cs="宋体"/>
      <w:b/>
      <w:w w:val="99"/>
      <w:kern w:val="0"/>
      <w:sz w:val="24"/>
      <w:szCs w:val="28"/>
    </w:rPr>
  </w:style>
  <w:style w:type="paragraph" w:customStyle="1" w:styleId="xl97">
    <w:name w:val="xl97"/>
    <w:basedOn w:val="af3"/>
    <w:rsid w:val="009964C3"/>
    <w:pPr>
      <w:widowControl/>
      <w:pBdr>
        <w:left w:val="single" w:sz="4" w:space="0" w:color="auto"/>
      </w:pBdr>
      <w:spacing w:before="100" w:beforeAutospacing="1" w:after="100" w:afterAutospacing="1"/>
      <w:jc w:val="center"/>
    </w:pPr>
    <w:rPr>
      <w:rFonts w:ascii="宋体" w:hAnsi="宋体" w:cs="宋体"/>
      <w:kern w:val="0"/>
      <w:sz w:val="24"/>
    </w:rPr>
  </w:style>
  <w:style w:type="paragraph" w:customStyle="1" w:styleId="table1">
    <w:name w:val="table1"/>
    <w:basedOn w:val="af3"/>
    <w:rsid w:val="009964C3"/>
    <w:pPr>
      <w:adjustRightInd w:val="0"/>
      <w:spacing w:line="240" w:lineRule="atLeast"/>
      <w:jc w:val="center"/>
      <w:textAlignment w:val="baseline"/>
    </w:pPr>
    <w:rPr>
      <w:rFonts w:eastAsia="黑体"/>
      <w:kern w:val="0"/>
      <w:sz w:val="24"/>
    </w:rPr>
  </w:style>
  <w:style w:type="paragraph" w:customStyle="1" w:styleId="font5">
    <w:name w:val="font5"/>
    <w:basedOn w:val="af3"/>
    <w:rsid w:val="009964C3"/>
    <w:pPr>
      <w:widowControl/>
      <w:spacing w:before="100" w:beforeAutospacing="1" w:after="100" w:afterAutospacing="1"/>
      <w:jc w:val="left"/>
    </w:pPr>
    <w:rPr>
      <w:kern w:val="0"/>
      <w:szCs w:val="21"/>
    </w:rPr>
  </w:style>
  <w:style w:type="paragraph" w:customStyle="1" w:styleId="affffa">
    <w:name w:val="陈表格中内容"/>
    <w:basedOn w:val="af3"/>
    <w:next w:val="af3"/>
    <w:link w:val="Charffa"/>
    <w:semiHidden/>
    <w:rsid w:val="009964C3"/>
    <w:pPr>
      <w:jc w:val="center"/>
    </w:pPr>
    <w:rPr>
      <w:rFonts w:eastAsia="仿宋_GB2312"/>
      <w:sz w:val="18"/>
      <w:szCs w:val="18"/>
    </w:rPr>
  </w:style>
  <w:style w:type="paragraph" w:customStyle="1" w:styleId="42f">
    <w:name w:val="正文格式42"/>
    <w:basedOn w:val="af3"/>
    <w:semiHidden/>
    <w:rsid w:val="009964C3"/>
    <w:pPr>
      <w:spacing w:line="360" w:lineRule="auto"/>
      <w:ind w:firstLine="482"/>
    </w:pPr>
    <w:rPr>
      <w:rFonts w:ascii="宋体" w:hAnsi="宋体"/>
      <w:sz w:val="24"/>
    </w:rPr>
  </w:style>
  <w:style w:type="paragraph" w:customStyle="1" w:styleId="xl46">
    <w:name w:val="xl46"/>
    <w:basedOn w:val="af3"/>
    <w:rsid w:val="009964C3"/>
    <w:pPr>
      <w:widowControl/>
      <w:pBdr>
        <w:top w:val="single" w:sz="8" w:space="0" w:color="auto"/>
        <w:left w:val="single" w:sz="12" w:space="0" w:color="auto"/>
        <w:right w:val="single" w:sz="8" w:space="0" w:color="auto"/>
      </w:pBdr>
      <w:spacing w:before="100" w:beforeAutospacing="1" w:after="100" w:afterAutospacing="1"/>
      <w:jc w:val="center"/>
    </w:pPr>
    <w:rPr>
      <w:rFonts w:ascii="仿宋_GB2312" w:eastAsia="仿宋_GB2312" w:hAnsi="宋体" w:cs="宋体"/>
      <w:kern w:val="0"/>
      <w:szCs w:val="21"/>
    </w:rPr>
  </w:style>
  <w:style w:type="paragraph" w:customStyle="1" w:styleId="xl110">
    <w:name w:val="xl110"/>
    <w:basedOn w:val="af3"/>
    <w:rsid w:val="009964C3"/>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kern w:val="0"/>
      <w:sz w:val="18"/>
      <w:szCs w:val="18"/>
    </w:rPr>
  </w:style>
  <w:style w:type="paragraph" w:customStyle="1" w:styleId="affffffffffffffffffffffffffffffc">
    <w:name w:val="东方工业区表"/>
    <w:basedOn w:val="af3"/>
    <w:semiHidden/>
    <w:rsid w:val="009964C3"/>
    <w:pPr>
      <w:snapToGrid w:val="0"/>
      <w:jc w:val="center"/>
    </w:pPr>
    <w:rPr>
      <w:rFonts w:ascii="宋体" w:hAnsi="宋体"/>
      <w:kern w:val="0"/>
      <w:sz w:val="18"/>
      <w:szCs w:val="18"/>
      <w:lang w:val="it-IT"/>
    </w:rPr>
  </w:style>
  <w:style w:type="paragraph" w:customStyle="1" w:styleId="CharChar1e">
    <w:name w:val="表头 Char Char1"/>
    <w:basedOn w:val="af3"/>
    <w:rsid w:val="009964C3"/>
    <w:pPr>
      <w:tabs>
        <w:tab w:val="left" w:pos="1021"/>
      </w:tabs>
      <w:spacing w:before="60" w:line="300" w:lineRule="auto"/>
      <w:jc w:val="center"/>
    </w:pPr>
    <w:rPr>
      <w:rFonts w:eastAsia="黑体"/>
      <w:color w:val="000000"/>
      <w:kern w:val="24"/>
      <w:sz w:val="24"/>
    </w:rPr>
  </w:style>
  <w:style w:type="paragraph" w:customStyle="1" w:styleId="40202">
    <w:name w:val="样式 标题 4 + 段前: 0.2 行 段后: 0.2 行"/>
    <w:basedOn w:val="43"/>
    <w:qFormat/>
    <w:rsid w:val="009964C3"/>
    <w:pPr>
      <w:keepNext w:val="0"/>
      <w:keepLines w:val="0"/>
      <w:overflowPunct w:val="0"/>
      <w:autoSpaceDE w:val="0"/>
      <w:autoSpaceDN w:val="0"/>
      <w:adjustRightInd w:val="0"/>
      <w:spacing w:beforeLines="50" w:afterLines="50" w:line="240" w:lineRule="auto"/>
      <w:textAlignment w:val="baseline"/>
    </w:pPr>
    <w:rPr>
      <w:rFonts w:ascii="Times New Roman" w:eastAsia="宋体" w:hAnsi="Times New Roman" w:cs="宋体"/>
      <w:kern w:val="20"/>
      <w:sz w:val="24"/>
      <w:szCs w:val="20"/>
    </w:rPr>
  </w:style>
  <w:style w:type="paragraph" w:customStyle="1" w:styleId="affffffffffffffffffffffffffffffd">
    <w:name w:val="文本文字"/>
    <w:basedOn w:val="af3"/>
    <w:semiHidden/>
    <w:rsid w:val="009964C3"/>
    <w:pPr>
      <w:overflowPunct w:val="0"/>
      <w:autoSpaceDE w:val="0"/>
      <w:autoSpaceDN w:val="0"/>
      <w:adjustRightInd w:val="0"/>
      <w:spacing w:line="240" w:lineRule="atLeast"/>
      <w:textAlignment w:val="baseline"/>
    </w:pPr>
    <w:rPr>
      <w:rFonts w:eastAsia="仿宋_GB2312"/>
      <w:kern w:val="0"/>
      <w:sz w:val="28"/>
      <w:szCs w:val="20"/>
    </w:rPr>
  </w:style>
  <w:style w:type="paragraph" w:customStyle="1" w:styleId="dandan6-13CharCharCharCharChar">
    <w:name w:val="dandan6-13正文 Char Char Char Char Char"/>
    <w:basedOn w:val="af3"/>
    <w:next w:val="af3"/>
    <w:rsid w:val="009964C3"/>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Char1CharCharChar3">
    <w:name w:val="Char1 Char Char Char"/>
    <w:basedOn w:val="af3"/>
    <w:rsid w:val="009964C3"/>
    <w:pPr>
      <w:spacing w:line="360" w:lineRule="auto"/>
      <w:ind w:firstLineChars="200" w:firstLine="200"/>
    </w:pPr>
    <w:rPr>
      <w:rFonts w:ascii="宋体" w:hAnsi="宋体" w:cs="宋体"/>
      <w:sz w:val="24"/>
    </w:rPr>
  </w:style>
  <w:style w:type="paragraph" w:customStyle="1" w:styleId="Char610">
    <w:name w:val="Char61"/>
    <w:basedOn w:val="af3"/>
    <w:rsid w:val="009964C3"/>
    <w:pPr>
      <w:ind w:left="-48"/>
    </w:pPr>
  </w:style>
  <w:style w:type="paragraph" w:customStyle="1" w:styleId="Char91">
    <w:name w:val="Char91"/>
    <w:basedOn w:val="af3"/>
    <w:rsid w:val="009964C3"/>
    <w:pPr>
      <w:ind w:left="-48"/>
    </w:pPr>
  </w:style>
  <w:style w:type="paragraph" w:customStyle="1" w:styleId="CharCharCharCharCharCharCharCharCharCharCharCharCharCharCharCharCharCharChar1">
    <w:name w:val="Char Char Char Char Char Char Char Char Char Char Char Char Char Char Char Char Char Char Char1"/>
    <w:basedOn w:val="af3"/>
    <w:rsid w:val="009964C3"/>
  </w:style>
  <w:style w:type="paragraph" w:customStyle="1" w:styleId="Charfffffff9">
    <w:name w:val="样式 正文首行缩进正文首行缩进 Char + 黑色"/>
    <w:basedOn w:val="aff7"/>
    <w:rsid w:val="009964C3"/>
    <w:pPr>
      <w:overflowPunct/>
      <w:autoSpaceDE/>
      <w:autoSpaceDN/>
      <w:snapToGrid w:val="0"/>
      <w:ind w:firstLineChars="200" w:firstLine="505"/>
      <w:jc w:val="left"/>
      <w:textAlignment w:val="auto"/>
    </w:pPr>
    <w:rPr>
      <w:rFonts w:ascii="宋体" w:hAnsi="宋体"/>
      <w:bCs/>
      <w:snapToGrid w:val="0"/>
      <w:color w:val="000000"/>
      <w:kern w:val="28"/>
      <w:sz w:val="24"/>
    </w:rPr>
  </w:style>
  <w:style w:type="paragraph" w:customStyle="1" w:styleId="CharCharChar1CharCharCharCharCharCharCharCharCharChar">
    <w:name w:val="Char Char Char1 Char Char Char Char Char Char Char Char Char Char"/>
    <w:basedOn w:val="af3"/>
    <w:qFormat/>
    <w:rsid w:val="009964C3"/>
  </w:style>
  <w:style w:type="paragraph" w:customStyle="1" w:styleId="2400">
    <w:name w:val="样式 标题 2项目标题4 + 左侧:  0 厘米 首行缩进:  0 厘米"/>
    <w:basedOn w:val="22"/>
    <w:next w:val="2f"/>
    <w:rsid w:val="009964C3"/>
    <w:pPr>
      <w:keepNext w:val="0"/>
      <w:keepLines w:val="0"/>
      <w:widowControl/>
      <w:adjustRightInd w:val="0"/>
      <w:snapToGrid w:val="0"/>
      <w:spacing w:beforeLines="100" w:afterLines="100" w:line="360" w:lineRule="auto"/>
      <w:ind w:left="561"/>
      <w:jc w:val="left"/>
    </w:pPr>
    <w:rPr>
      <w:rFonts w:ascii="宋体" w:hAnsi="宋体"/>
      <w:bCs w:val="0"/>
      <w:kern w:val="0"/>
      <w:sz w:val="30"/>
      <w:szCs w:val="30"/>
      <w:lang w:val="en-GB"/>
    </w:rPr>
  </w:style>
  <w:style w:type="paragraph" w:customStyle="1" w:styleId="xl55">
    <w:name w:val="xl55"/>
    <w:basedOn w:val="af3"/>
    <w:rsid w:val="009964C3"/>
    <w:pPr>
      <w:widowControl/>
      <w:spacing w:before="100" w:after="100"/>
      <w:jc w:val="left"/>
    </w:pPr>
    <w:rPr>
      <w:rFonts w:ascii="宋体" w:hAnsi="宋体" w:hint="eastAsia"/>
      <w:b/>
      <w:kern w:val="0"/>
      <w:sz w:val="24"/>
      <w:szCs w:val="20"/>
    </w:rPr>
  </w:style>
  <w:style w:type="paragraph" w:customStyle="1" w:styleId="2412">
    <w:name w:val="样式 标题 2项目标题4 + 段前: 12 磅"/>
    <w:basedOn w:val="22"/>
    <w:rsid w:val="009964C3"/>
    <w:pPr>
      <w:keepNext w:val="0"/>
      <w:keepLines w:val="0"/>
      <w:widowControl/>
      <w:adjustRightInd w:val="0"/>
      <w:snapToGrid w:val="0"/>
      <w:spacing w:before="240" w:after="0" w:line="360" w:lineRule="auto"/>
      <w:ind w:left="561"/>
      <w:jc w:val="left"/>
    </w:pPr>
    <w:rPr>
      <w:rFonts w:ascii="宋体" w:hAnsi="宋体"/>
      <w:bCs w:val="0"/>
      <w:kern w:val="0"/>
      <w:sz w:val="30"/>
      <w:szCs w:val="30"/>
      <w:lang w:val="en-GB"/>
    </w:rPr>
  </w:style>
  <w:style w:type="paragraph" w:customStyle="1" w:styleId="xl66">
    <w:name w:val="xl66"/>
    <w:basedOn w:val="af3"/>
    <w:qFormat/>
    <w:rsid w:val="009964C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gb">
    <w:name w:val="gb"/>
    <w:basedOn w:val="af3"/>
    <w:rsid w:val="009964C3"/>
    <w:pPr>
      <w:widowControl/>
      <w:tabs>
        <w:tab w:val="left" w:pos="227"/>
      </w:tabs>
      <w:overflowPunct w:val="0"/>
      <w:adjustRightInd w:val="0"/>
      <w:spacing w:before="120" w:after="120"/>
      <w:jc w:val="left"/>
      <w:textAlignment w:val="baseline"/>
    </w:pPr>
    <w:rPr>
      <w:rFonts w:ascii="Arial" w:eastAsia="仿宋体" w:hAnsi="Arial"/>
      <w:kern w:val="0"/>
      <w:sz w:val="24"/>
      <w:szCs w:val="20"/>
    </w:rPr>
  </w:style>
  <w:style w:type="paragraph" w:customStyle="1" w:styleId="ST2056">
    <w:name w:val="ST20_56"/>
    <w:basedOn w:val="ST2021"/>
    <w:rsid w:val="009964C3"/>
    <w:pPr>
      <w:ind w:left="1080"/>
    </w:pPr>
  </w:style>
  <w:style w:type="paragraph" w:customStyle="1" w:styleId="Table-II0">
    <w:name w:val="Table-(II)"/>
    <w:basedOn w:val="af3"/>
    <w:rsid w:val="009964C3"/>
    <w:pPr>
      <w:widowControl/>
      <w:tabs>
        <w:tab w:val="left" w:pos="645"/>
        <w:tab w:val="left" w:pos="2200"/>
        <w:tab w:val="left" w:pos="3960"/>
        <w:tab w:val="left" w:pos="5280"/>
      </w:tabs>
      <w:spacing w:line="400" w:lineRule="exact"/>
      <w:ind w:leftChars="20" w:left="42"/>
      <w:jc w:val="left"/>
    </w:pPr>
    <w:rPr>
      <w:rFonts w:ascii="宋体" w:hAnsi="宋体" w:cs="Arial"/>
      <w:kern w:val="0"/>
      <w:szCs w:val="21"/>
    </w:rPr>
  </w:style>
  <w:style w:type="paragraph" w:customStyle="1" w:styleId="020">
    <w:name w:val="0标题2"/>
    <w:basedOn w:val="22"/>
    <w:qFormat/>
    <w:rsid w:val="009964C3"/>
    <w:pPr>
      <w:adjustRightInd w:val="0"/>
      <w:snapToGrid w:val="0"/>
      <w:spacing w:before="120" w:after="120" w:line="300" w:lineRule="auto"/>
    </w:pPr>
    <w:rPr>
      <w:rFonts w:ascii="黑体" w:hAnsi="Times New Roman"/>
      <w:kern w:val="0"/>
      <w:sz w:val="28"/>
      <w:szCs w:val="20"/>
    </w:rPr>
  </w:style>
  <w:style w:type="paragraph" w:customStyle="1" w:styleId="affffffffffffffffffffffffffffffe">
    <w:name w:val="正文表"/>
    <w:basedOn w:val="af3"/>
    <w:rsid w:val="009964C3"/>
    <w:pPr>
      <w:tabs>
        <w:tab w:val="left" w:pos="2451"/>
        <w:tab w:val="left" w:pos="4614"/>
        <w:tab w:val="left" w:pos="6777"/>
        <w:tab w:val="left" w:pos="8940"/>
      </w:tabs>
      <w:autoSpaceDE w:val="0"/>
      <w:autoSpaceDN w:val="0"/>
      <w:adjustRightInd w:val="0"/>
      <w:jc w:val="center"/>
      <w:textAlignment w:val="bottom"/>
    </w:pPr>
    <w:rPr>
      <w:color w:val="000000"/>
      <w:kern w:val="0"/>
      <w:sz w:val="28"/>
      <w:szCs w:val="20"/>
    </w:rPr>
  </w:style>
  <w:style w:type="paragraph" w:customStyle="1" w:styleId="Insertiontableau">
    <w:name w:val="*Insertion tableau"/>
    <w:rsid w:val="009964C3"/>
    <w:pPr>
      <w:spacing w:line="280" w:lineRule="atLeast"/>
    </w:pPr>
    <w:rPr>
      <w:sz w:val="24"/>
      <w:lang w:val="fr-FR"/>
    </w:rPr>
  </w:style>
  <w:style w:type="paragraph" w:customStyle="1" w:styleId="Paragraph1">
    <w:name w:val="Paragraph 1"/>
    <w:basedOn w:val="af3"/>
    <w:rsid w:val="009964C3"/>
    <w:pPr>
      <w:widowControl/>
      <w:spacing w:after="120"/>
      <w:ind w:left="720"/>
    </w:pPr>
    <w:rPr>
      <w:rFonts w:ascii="Arial" w:hAnsi="Arial"/>
      <w:kern w:val="0"/>
      <w:sz w:val="22"/>
      <w:szCs w:val="20"/>
    </w:rPr>
  </w:style>
  <w:style w:type="paragraph" w:customStyle="1" w:styleId="052">
    <w:name w:val="样式 (符号) 宋体 五号 居中 底端: (单实线 自动设置  0.5 磅 行宽) 行距: 单倍行距"/>
    <w:basedOn w:val="af3"/>
    <w:semiHidden/>
    <w:rsid w:val="009964C3"/>
    <w:pPr>
      <w:pBdr>
        <w:bottom w:val="single" w:sz="4" w:space="1" w:color="auto"/>
      </w:pBdr>
      <w:adjustRightInd w:val="0"/>
      <w:snapToGrid w:val="0"/>
      <w:jc w:val="center"/>
    </w:pPr>
    <w:rPr>
      <w:rFonts w:ascii="仿宋_GB2312" w:eastAsia="仿宋_GB2312" w:hAnsi="宋体" w:cs="宋体"/>
      <w:szCs w:val="20"/>
    </w:rPr>
  </w:style>
  <w:style w:type="paragraph" w:customStyle="1" w:styleId="28">
    <w:name w:val="样式 正文文本缩进 + 左侧:  2 字符"/>
    <w:basedOn w:val="afffffff4"/>
    <w:link w:val="2Char4"/>
    <w:semiHidden/>
    <w:rsid w:val="009964C3"/>
    <w:pPr>
      <w:tabs>
        <w:tab w:val="clear" w:pos="4305"/>
      </w:tabs>
      <w:adjustRightInd/>
      <w:snapToGrid/>
      <w:spacing w:line="300" w:lineRule="auto"/>
      <w:ind w:firstLineChars="278" w:firstLine="556"/>
    </w:pPr>
    <w:rPr>
      <w:rFonts w:ascii="Arial" w:hAnsi="Arial" w:cs="Times New Roman"/>
      <w:spacing w:val="-20"/>
      <w:kern w:val="11"/>
      <w:szCs w:val="21"/>
    </w:rPr>
  </w:style>
  <w:style w:type="paragraph" w:customStyle="1" w:styleId="21f7">
    <w:name w:val="样式 红色 居中 行距: 固定值 21 磅"/>
    <w:basedOn w:val="af3"/>
    <w:rsid w:val="009964C3"/>
    <w:pPr>
      <w:spacing w:line="420" w:lineRule="exact"/>
      <w:jc w:val="center"/>
    </w:pPr>
    <w:rPr>
      <w:rFonts w:cs="宋体"/>
      <w:szCs w:val="21"/>
    </w:rPr>
  </w:style>
  <w:style w:type="paragraph" w:customStyle="1" w:styleId="afffffffffffffffffffffffffffffff">
    <w:name w:val="项目阶段"/>
    <w:basedOn w:val="afffffffffffffffffe"/>
    <w:rsid w:val="009964C3"/>
    <w:pPr>
      <w:spacing w:beforeLines="150" w:afterLines="150" w:line="300" w:lineRule="auto"/>
    </w:pPr>
    <w:rPr>
      <w:rFonts w:eastAsia="华文新魏"/>
      <w:sz w:val="84"/>
    </w:rPr>
  </w:style>
  <w:style w:type="paragraph" w:customStyle="1" w:styleId="Afffffffffffffffffffffffffffffff0">
    <w:name w:val="A"/>
    <w:basedOn w:val="af3"/>
    <w:rsid w:val="009964C3"/>
    <w:pPr>
      <w:widowControl/>
      <w:tabs>
        <w:tab w:val="center" w:pos="3480"/>
      </w:tabs>
      <w:autoSpaceDE w:val="0"/>
      <w:autoSpaceDN w:val="0"/>
      <w:adjustRightInd w:val="0"/>
      <w:spacing w:line="520" w:lineRule="atLeast"/>
      <w:jc w:val="center"/>
      <w:textAlignment w:val="bottom"/>
    </w:pPr>
    <w:rPr>
      <w:rFonts w:ascii="宋体" w:hAnsi="宋体"/>
      <w:b/>
      <w:bCs/>
      <w:kern w:val="0"/>
      <w:sz w:val="30"/>
      <w:szCs w:val="20"/>
    </w:rPr>
  </w:style>
  <w:style w:type="paragraph" w:customStyle="1" w:styleId="xl21">
    <w:name w:val="xl21"/>
    <w:basedOn w:val="af3"/>
    <w:rsid w:val="009964C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2ffffff3">
    <w:name w:val="列表延续 2"/>
    <w:basedOn w:val="af3"/>
    <w:rsid w:val="009964C3"/>
    <w:pPr>
      <w:autoSpaceDE w:val="0"/>
      <w:autoSpaceDN w:val="0"/>
      <w:adjustRightInd w:val="0"/>
      <w:spacing w:line="360" w:lineRule="auto"/>
      <w:ind w:left="420" w:hanging="420"/>
      <w:jc w:val="left"/>
    </w:pPr>
    <w:rPr>
      <w:rFonts w:ascii="宋体" w:hAnsi="Tms Rmn"/>
      <w:spacing w:val="20"/>
      <w:kern w:val="0"/>
      <w:sz w:val="24"/>
      <w:szCs w:val="20"/>
    </w:rPr>
  </w:style>
  <w:style w:type="paragraph" w:customStyle="1" w:styleId="afffffffffffffffffffffffffffffff1">
    <w:name w:val="数字项"/>
    <w:basedOn w:val="af3"/>
    <w:rsid w:val="009964C3"/>
    <w:pPr>
      <w:widowControl/>
      <w:tabs>
        <w:tab w:val="left" w:pos="4380"/>
      </w:tabs>
      <w:spacing w:line="440" w:lineRule="exact"/>
      <w:ind w:left="4380" w:hanging="420"/>
      <w:jc w:val="left"/>
    </w:pPr>
    <w:rPr>
      <w:rFonts w:ascii="宋体"/>
      <w:kern w:val="0"/>
      <w:sz w:val="24"/>
      <w:szCs w:val="20"/>
    </w:rPr>
  </w:style>
  <w:style w:type="paragraph" w:customStyle="1" w:styleId="font13">
    <w:name w:val="font13"/>
    <w:basedOn w:val="af3"/>
    <w:rsid w:val="009964C3"/>
    <w:pPr>
      <w:widowControl/>
      <w:spacing w:before="100" w:after="100"/>
      <w:jc w:val="left"/>
    </w:pPr>
    <w:rPr>
      <w:b/>
      <w:kern w:val="0"/>
      <w:sz w:val="20"/>
      <w:szCs w:val="20"/>
    </w:rPr>
  </w:style>
  <w:style w:type="paragraph" w:customStyle="1" w:styleId="font14">
    <w:name w:val="font14"/>
    <w:basedOn w:val="af3"/>
    <w:rsid w:val="009964C3"/>
    <w:pPr>
      <w:widowControl/>
      <w:spacing w:before="100" w:after="100"/>
      <w:jc w:val="left"/>
    </w:pPr>
    <w:rPr>
      <w:rFonts w:ascii="宋体" w:hAnsi="宋体" w:hint="eastAsia"/>
      <w:kern w:val="0"/>
      <w:sz w:val="24"/>
      <w:szCs w:val="20"/>
    </w:rPr>
  </w:style>
  <w:style w:type="paragraph" w:customStyle="1" w:styleId="xl102">
    <w:name w:val="xl102"/>
    <w:basedOn w:val="af3"/>
    <w:rsid w:val="009964C3"/>
    <w:pPr>
      <w:widowControl/>
      <w:pBdr>
        <w:top w:val="single" w:sz="4" w:space="0" w:color="auto"/>
        <w:bottom w:val="single" w:sz="4" w:space="0" w:color="auto"/>
        <w:right w:val="single" w:sz="4" w:space="0" w:color="auto"/>
      </w:pBdr>
      <w:spacing w:before="100" w:after="100"/>
      <w:jc w:val="center"/>
      <w:textAlignment w:val="center"/>
    </w:pPr>
    <w:rPr>
      <w:rFonts w:ascii="宋体" w:hAnsi="宋体"/>
      <w:kern w:val="0"/>
      <w:sz w:val="20"/>
      <w:szCs w:val="20"/>
    </w:rPr>
  </w:style>
  <w:style w:type="paragraph" w:customStyle="1" w:styleId="CharChar1Char1">
    <w:name w:val="Char Char1 Char1"/>
    <w:basedOn w:val="af3"/>
    <w:qFormat/>
    <w:rsid w:val="009964C3"/>
    <w:pPr>
      <w:widowControl/>
      <w:spacing w:after="160" w:line="240" w:lineRule="exact"/>
      <w:jc w:val="left"/>
    </w:pPr>
    <w:rPr>
      <w:rFonts w:ascii="Verdana" w:hAnsi="Verdana"/>
      <w:kern w:val="0"/>
      <w:sz w:val="20"/>
      <w:szCs w:val="20"/>
      <w:lang w:eastAsia="en-US"/>
    </w:rPr>
  </w:style>
  <w:style w:type="paragraph" w:customStyle="1" w:styleId="xl115">
    <w:name w:val="xl115"/>
    <w:basedOn w:val="af3"/>
    <w:rsid w:val="009964C3"/>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kern w:val="0"/>
      <w:sz w:val="18"/>
      <w:szCs w:val="18"/>
    </w:rPr>
  </w:style>
  <w:style w:type="paragraph" w:customStyle="1" w:styleId="2-231960">
    <w:name w:val="样式 样式 标题 2 + (中文) 宋体 加粗 左  -2.3 字符 首行缩进:  1.96 字符 + (符号) 宋体"/>
    <w:basedOn w:val="af3"/>
    <w:rsid w:val="009964C3"/>
    <w:pPr>
      <w:keepNext/>
      <w:keepLines/>
      <w:tabs>
        <w:tab w:val="left" w:pos="840"/>
      </w:tabs>
      <w:spacing w:line="360" w:lineRule="auto"/>
      <w:ind w:left="840" w:hanging="420"/>
      <w:jc w:val="left"/>
      <w:outlineLvl w:val="1"/>
    </w:pPr>
    <w:rPr>
      <w:rFonts w:ascii="Arial" w:hAnsi="Arial" w:cs="Arial"/>
      <w:sz w:val="24"/>
      <w:szCs w:val="20"/>
    </w:rPr>
  </w:style>
  <w:style w:type="paragraph" w:customStyle="1" w:styleId="1118">
    <w:name w:val="样式 标题 1 + 段前: 1 行 段后: 1 行"/>
    <w:basedOn w:val="13"/>
    <w:rsid w:val="009964C3"/>
    <w:pPr>
      <w:spacing w:beforeLines="100" w:afterLines="100" w:line="360" w:lineRule="auto"/>
      <w:jc w:val="left"/>
    </w:pPr>
    <w:rPr>
      <w:rFonts w:ascii="Arial" w:hAnsi="Arial" w:cs="宋体"/>
      <w:b w:val="0"/>
      <w:bCs w:val="0"/>
      <w:sz w:val="24"/>
      <w:szCs w:val="20"/>
    </w:rPr>
  </w:style>
  <w:style w:type="paragraph" w:customStyle="1" w:styleId="33Char1081">
    <w:name w:val="样式 标题 3标题 3 Char + (中文) 黑体 小四 段前: 10 磅 段后: 8 磅 行距: 单倍行距1"/>
    <w:basedOn w:val="31"/>
    <w:rsid w:val="009964C3"/>
    <w:pPr>
      <w:spacing w:before="200" w:after="160" w:line="240" w:lineRule="auto"/>
      <w:ind w:left="930" w:hanging="570"/>
    </w:pPr>
    <w:rPr>
      <w:rFonts w:eastAsia="黑体" w:cs="宋体"/>
      <w:sz w:val="24"/>
      <w:szCs w:val="24"/>
    </w:rPr>
  </w:style>
  <w:style w:type="paragraph" w:customStyle="1" w:styleId="Web0">
    <w:name w:val="普通(Web)"/>
    <w:basedOn w:val="af3"/>
    <w:rsid w:val="009964C3"/>
    <w:pPr>
      <w:widowControl/>
      <w:spacing w:before="100" w:after="100"/>
      <w:jc w:val="left"/>
    </w:pPr>
    <w:rPr>
      <w:rFonts w:ascii="宋体" w:hAnsi="宋体"/>
      <w:kern w:val="0"/>
      <w:sz w:val="24"/>
    </w:rPr>
  </w:style>
  <w:style w:type="paragraph" w:customStyle="1" w:styleId="1032">
    <w:name w:val="样式 宋体 小四 黑色 首行缩进:  1.03 厘米"/>
    <w:basedOn w:val="af3"/>
    <w:next w:val="af3"/>
    <w:rsid w:val="009964C3"/>
    <w:pPr>
      <w:spacing w:line="360" w:lineRule="auto"/>
      <w:ind w:firstLine="567"/>
    </w:pPr>
    <w:rPr>
      <w:rFonts w:hAnsi="宋体"/>
      <w:color w:val="000000"/>
      <w:sz w:val="24"/>
      <w:szCs w:val="20"/>
    </w:rPr>
  </w:style>
  <w:style w:type="paragraph" w:customStyle="1" w:styleId="FuInfo">
    <w:name w:val="Fu?Info"/>
    <w:basedOn w:val="affe"/>
    <w:rsid w:val="009964C3"/>
    <w:pPr>
      <w:widowControl w:val="0"/>
      <w:pBdr>
        <w:top w:val="single" w:sz="6" w:space="1" w:color="auto"/>
      </w:pBdr>
      <w:tabs>
        <w:tab w:val="clear" w:pos="4153"/>
        <w:tab w:val="clear" w:pos="8306"/>
        <w:tab w:val="left" w:pos="4536"/>
        <w:tab w:val="right" w:pos="9072"/>
      </w:tabs>
      <w:autoSpaceDE w:val="0"/>
      <w:autoSpaceDN w:val="0"/>
      <w:adjustRightInd w:val="0"/>
      <w:snapToGrid/>
      <w:spacing w:after="120" w:line="288" w:lineRule="auto"/>
      <w:jc w:val="both"/>
      <w:textAlignment w:val="baseline"/>
    </w:pPr>
    <w:rPr>
      <w:rFonts w:ascii="Arial" w:hAnsi="Arial" w:cs="Times New Roman"/>
      <w:vanish/>
      <w:szCs w:val="20"/>
    </w:rPr>
  </w:style>
  <w:style w:type="paragraph" w:customStyle="1" w:styleId="33a">
    <w:name w:val="标题 33"/>
    <w:basedOn w:val="af3"/>
    <w:next w:val="af3"/>
    <w:rsid w:val="009964C3"/>
    <w:pPr>
      <w:adjustRightInd w:val="0"/>
      <w:spacing w:line="480" w:lineRule="exact"/>
      <w:textAlignment w:val="baseline"/>
    </w:pPr>
    <w:rPr>
      <w:rFonts w:hAnsi="Arial" w:hint="eastAsia"/>
      <w:color w:val="000000"/>
      <w:kern w:val="0"/>
      <w:sz w:val="24"/>
      <w:szCs w:val="20"/>
    </w:rPr>
  </w:style>
  <w:style w:type="paragraph" w:customStyle="1" w:styleId="affffffc">
    <w:name w:val="表头（桑）"/>
    <w:basedOn w:val="af3"/>
    <w:link w:val="Charffff9"/>
    <w:rsid w:val="009964C3"/>
    <w:pPr>
      <w:overflowPunct w:val="0"/>
      <w:autoSpaceDE w:val="0"/>
      <w:autoSpaceDN w:val="0"/>
      <w:adjustRightInd w:val="0"/>
      <w:spacing w:line="300" w:lineRule="auto"/>
      <w:jc w:val="center"/>
      <w:textAlignment w:val="baseline"/>
    </w:pPr>
    <w:rPr>
      <w:rFonts w:ascii="黑体" w:eastAsia="黑体" w:hAnsi="宋体"/>
      <w:kern w:val="20"/>
      <w:sz w:val="24"/>
      <w:szCs w:val="20"/>
    </w:rPr>
  </w:style>
  <w:style w:type="paragraph" w:customStyle="1" w:styleId="afffffffffffffffffffffffffffffff2">
    <w:name w:val="样式 宋体 小四 居中"/>
    <w:basedOn w:val="af3"/>
    <w:rsid w:val="009964C3"/>
    <w:pPr>
      <w:jc w:val="center"/>
    </w:pPr>
    <w:rPr>
      <w:rFonts w:ascii="Arial" w:hAnsi="Arial" w:cs="宋体"/>
      <w:sz w:val="24"/>
      <w:szCs w:val="20"/>
    </w:rPr>
  </w:style>
  <w:style w:type="paragraph" w:customStyle="1" w:styleId="Char160">
    <w:name w:val="Char16"/>
    <w:basedOn w:val="af3"/>
    <w:next w:val="affffff8"/>
    <w:rsid w:val="009964C3"/>
    <w:rPr>
      <w:szCs w:val="20"/>
    </w:rPr>
  </w:style>
  <w:style w:type="paragraph" w:customStyle="1" w:styleId="Char420">
    <w:name w:val="Char42"/>
    <w:basedOn w:val="af3"/>
    <w:rsid w:val="009964C3"/>
    <w:pPr>
      <w:ind w:left="-48"/>
    </w:pPr>
  </w:style>
  <w:style w:type="paragraph" w:customStyle="1" w:styleId="Char72">
    <w:name w:val="Char72"/>
    <w:basedOn w:val="af3"/>
    <w:rsid w:val="009964C3"/>
    <w:pPr>
      <w:ind w:left="-48"/>
    </w:pPr>
  </w:style>
  <w:style w:type="paragraph" w:customStyle="1" w:styleId="Char142">
    <w:name w:val="Char142"/>
    <w:basedOn w:val="af3"/>
    <w:rsid w:val="009964C3"/>
    <w:pPr>
      <w:ind w:left="-48"/>
    </w:pPr>
  </w:style>
  <w:style w:type="paragraph" w:customStyle="1" w:styleId="2ffffff4">
    <w:name w:val="日期2"/>
    <w:basedOn w:val="af3"/>
    <w:next w:val="af3"/>
    <w:rsid w:val="009964C3"/>
    <w:pPr>
      <w:tabs>
        <w:tab w:val="left" w:pos="510"/>
      </w:tabs>
      <w:adjustRightInd w:val="0"/>
      <w:spacing w:line="430" w:lineRule="atLeast"/>
      <w:jc w:val="right"/>
      <w:textAlignment w:val="baseline"/>
    </w:pPr>
    <w:rPr>
      <w:spacing w:val="16"/>
      <w:kern w:val="0"/>
      <w:sz w:val="24"/>
      <w:szCs w:val="20"/>
    </w:rPr>
  </w:style>
  <w:style w:type="paragraph" w:customStyle="1" w:styleId="reader-word-layer">
    <w:name w:val="reader-word-layer"/>
    <w:basedOn w:val="af3"/>
    <w:rsid w:val="009964C3"/>
    <w:pPr>
      <w:widowControl/>
      <w:spacing w:before="100" w:beforeAutospacing="1" w:after="100" w:afterAutospacing="1"/>
      <w:jc w:val="left"/>
    </w:pPr>
    <w:rPr>
      <w:rFonts w:ascii="宋体" w:hAnsi="宋体" w:cs="宋体"/>
      <w:kern w:val="0"/>
      <w:sz w:val="24"/>
    </w:rPr>
  </w:style>
  <w:style w:type="paragraph" w:customStyle="1" w:styleId="afffffffffffffffffffffffffffffff3">
    <w:name w:val="四级"/>
    <w:basedOn w:val="afffffff4"/>
    <w:semiHidden/>
    <w:rsid w:val="009964C3"/>
    <w:pPr>
      <w:tabs>
        <w:tab w:val="clear" w:pos="4305"/>
      </w:tabs>
      <w:adjustRightInd/>
      <w:snapToGrid/>
      <w:spacing w:line="240" w:lineRule="auto"/>
      <w:ind w:firstLineChars="100" w:firstLine="278"/>
    </w:pPr>
    <w:rPr>
      <w:rFonts w:ascii="仿宋_GB2312" w:eastAsia="仿宋_GB2312" w:hAnsi="Times New Roman" w:cs="Times New Roman"/>
      <w:bCs/>
      <w:color w:val="auto"/>
      <w:sz w:val="28"/>
    </w:rPr>
  </w:style>
  <w:style w:type="paragraph" w:customStyle="1" w:styleId="afffffffffffffffffffffffffffffff4">
    <w:name w:val="圖一"/>
    <w:basedOn w:val="afff2"/>
    <w:semiHidden/>
    <w:rsid w:val="009964C3"/>
    <w:pPr>
      <w:spacing w:before="240" w:line="500" w:lineRule="exact"/>
      <w:jc w:val="center"/>
    </w:pPr>
    <w:rPr>
      <w:rFonts w:ascii="Times New Roman" w:eastAsia="DFKai-SB" w:hAnsi="Times New Roman" w:cs="Times New Roman"/>
      <w:b/>
      <w:bCs/>
      <w:sz w:val="30"/>
      <w:lang w:eastAsia="zh-TW"/>
    </w:rPr>
  </w:style>
  <w:style w:type="paragraph" w:customStyle="1" w:styleId="1fffffff7">
    <w:name w:val="表体1"/>
    <w:basedOn w:val="af3"/>
    <w:semiHidden/>
    <w:rsid w:val="009964C3"/>
    <w:pPr>
      <w:adjustRightInd w:val="0"/>
      <w:snapToGrid w:val="0"/>
      <w:spacing w:line="360" w:lineRule="atLeast"/>
      <w:ind w:left="-96" w:right="-85"/>
      <w:jc w:val="center"/>
      <w:textAlignment w:val="baseline"/>
    </w:pPr>
    <w:rPr>
      <w:rFonts w:ascii="仿宋_GB2312" w:eastAsia="仿宋_GB2312" w:hAnsi="Courier New"/>
      <w:kern w:val="0"/>
      <w:sz w:val="24"/>
      <w:szCs w:val="20"/>
    </w:rPr>
  </w:style>
  <w:style w:type="paragraph" w:customStyle="1" w:styleId="CharCharCharCharCharCharCharCharCharCharCharCharCharCharCharCharCharCharChar0">
    <w:name w:val="Char Char Char Char Char Char Char Char Char Char Char Char Char Char Char Char Char Char Char"/>
    <w:basedOn w:val="af3"/>
    <w:semiHidden/>
    <w:rsid w:val="009964C3"/>
    <w:pPr>
      <w:spacing w:line="360" w:lineRule="auto"/>
      <w:ind w:firstLineChars="200" w:firstLine="200"/>
    </w:pPr>
    <w:rPr>
      <w:rFonts w:ascii="宋体" w:hAnsi="宋体" w:cs="宋体"/>
      <w:sz w:val="24"/>
    </w:rPr>
  </w:style>
  <w:style w:type="paragraph" w:customStyle="1" w:styleId="Char1CharCharChar1CharCharCharCharCharCharCharCharCharCharCharChar0">
    <w:name w:val="Char1 Char Char Char1 Char Char Char Char Char Char Char Char Char Char Char Char"/>
    <w:basedOn w:val="af3"/>
    <w:next w:val="af3"/>
    <w:semiHidden/>
    <w:rsid w:val="009964C3"/>
  </w:style>
  <w:style w:type="paragraph" w:customStyle="1" w:styleId="CharCharCharChar7">
    <w:name w:val="Char Char Char Char"/>
    <w:basedOn w:val="af3"/>
    <w:semiHidden/>
    <w:rsid w:val="009964C3"/>
  </w:style>
  <w:style w:type="paragraph" w:customStyle="1" w:styleId="afffffffffffffffffffffffffffffff5">
    <w:name w:val="小节"/>
    <w:basedOn w:val="af3"/>
    <w:next w:val="af3"/>
    <w:semiHidden/>
    <w:rsid w:val="009964C3"/>
    <w:pPr>
      <w:autoSpaceDE w:val="0"/>
      <w:autoSpaceDN w:val="0"/>
      <w:adjustRightInd w:val="0"/>
      <w:spacing w:before="120" w:after="120"/>
      <w:outlineLvl w:val="2"/>
    </w:pPr>
    <w:rPr>
      <w:rFonts w:eastAsia="仿宋_GB2312"/>
      <w:kern w:val="0"/>
      <w:sz w:val="28"/>
      <w:szCs w:val="20"/>
    </w:rPr>
  </w:style>
  <w:style w:type="paragraph" w:customStyle="1" w:styleId="unnamed3">
    <w:name w:val="unnamed3"/>
    <w:basedOn w:val="af3"/>
    <w:semiHidden/>
    <w:rsid w:val="009964C3"/>
    <w:pPr>
      <w:widowControl/>
      <w:spacing w:before="100" w:beforeAutospacing="1" w:after="100" w:afterAutospacing="1" w:line="408" w:lineRule="auto"/>
      <w:jc w:val="left"/>
    </w:pPr>
    <w:rPr>
      <w:rFonts w:ascii="宋体" w:hAnsi="宋体" w:cs="黑体"/>
      <w:color w:val="000000"/>
      <w:kern w:val="0"/>
      <w:sz w:val="20"/>
      <w:szCs w:val="20"/>
    </w:rPr>
  </w:style>
  <w:style w:type="paragraph" w:customStyle="1" w:styleId="3ReHead3WSAh3h3Char7815">
    <w:name w:val="样式 标题 3ReHead 3 WSAh3h3 Char + 段后: 7.8 磅 行距: 1.5 倍行距"/>
    <w:basedOn w:val="31"/>
    <w:semiHidden/>
    <w:rsid w:val="009964C3"/>
    <w:pPr>
      <w:numPr>
        <w:ilvl w:val="2"/>
      </w:numPr>
      <w:tabs>
        <w:tab w:val="left" w:pos="1260"/>
        <w:tab w:val="left" w:pos="1620"/>
      </w:tabs>
      <w:adjustRightInd w:val="0"/>
      <w:spacing w:before="120" w:after="156" w:line="360" w:lineRule="auto"/>
      <w:ind w:left="1260" w:hanging="720"/>
      <w:textAlignment w:val="baseline"/>
    </w:pPr>
    <w:rPr>
      <w:rFonts w:ascii="宋体" w:cs="宋体"/>
      <w:kern w:val="0"/>
      <w:sz w:val="24"/>
      <w:szCs w:val="20"/>
    </w:rPr>
  </w:style>
  <w:style w:type="paragraph" w:customStyle="1" w:styleId="3ffff5">
    <w:name w:val="3"/>
    <w:basedOn w:val="af3"/>
    <w:next w:val="afffffff4"/>
    <w:semiHidden/>
    <w:rsid w:val="009964C3"/>
    <w:pPr>
      <w:overflowPunct w:val="0"/>
      <w:autoSpaceDE w:val="0"/>
      <w:autoSpaceDN w:val="0"/>
      <w:adjustRightInd w:val="0"/>
      <w:spacing w:line="500" w:lineRule="exact"/>
      <w:ind w:firstLine="560"/>
      <w:textAlignment w:val="baseline"/>
    </w:pPr>
    <w:rPr>
      <w:rFonts w:eastAsia="仿宋_GB2312"/>
      <w:kern w:val="0"/>
      <w:sz w:val="24"/>
      <w:szCs w:val="20"/>
    </w:rPr>
  </w:style>
  <w:style w:type="paragraph" w:customStyle="1" w:styleId="15f9">
    <w:name w:val="样式 (符号) 宋体 行距: 1.5 倍行距"/>
    <w:basedOn w:val="af3"/>
    <w:semiHidden/>
    <w:rsid w:val="009964C3"/>
    <w:pPr>
      <w:spacing w:line="360" w:lineRule="auto"/>
      <w:ind w:firstLineChars="200" w:firstLine="520"/>
    </w:pPr>
    <w:rPr>
      <w:rFonts w:ascii="宋体" w:hAnsi="宋体"/>
      <w:spacing w:val="5"/>
      <w:sz w:val="24"/>
      <w:szCs w:val="20"/>
    </w:rPr>
  </w:style>
  <w:style w:type="paragraph" w:customStyle="1" w:styleId="afffffffffffffffffffffffffffffff6">
    <w:name w:val="（表格）"/>
    <w:basedOn w:val="af3"/>
    <w:next w:val="af3"/>
    <w:semiHidden/>
    <w:rsid w:val="009964C3"/>
    <w:pPr>
      <w:jc w:val="center"/>
    </w:pPr>
    <w:rPr>
      <w:rFonts w:ascii="宋体" w:hAnsi="宋体" w:cs="宋体"/>
      <w:szCs w:val="20"/>
    </w:rPr>
  </w:style>
  <w:style w:type="paragraph" w:customStyle="1" w:styleId="Afffffffffffffffffffffffffffffff7">
    <w:name w:val="A五级条标题"/>
    <w:basedOn w:val="Afffffffffffffffffffffffffffd"/>
    <w:next w:val="af3"/>
    <w:semiHidden/>
    <w:rsid w:val="009964C3"/>
    <w:pPr>
      <w:outlineLvl w:val="6"/>
    </w:pPr>
  </w:style>
  <w:style w:type="paragraph" w:customStyle="1" w:styleId="table0">
    <w:name w:val="样式 table + 两端对齐"/>
    <w:basedOn w:val="table"/>
    <w:semiHidden/>
    <w:rsid w:val="009964C3"/>
    <w:pPr>
      <w:spacing w:beforeLines="50"/>
      <w:jc w:val="both"/>
    </w:pPr>
    <w:rPr>
      <w:rFonts w:cs="宋体"/>
      <w:szCs w:val="20"/>
    </w:rPr>
  </w:style>
  <w:style w:type="paragraph" w:customStyle="1" w:styleId="TT0">
    <w:name w:val="TT"/>
    <w:basedOn w:val="af3"/>
    <w:semiHidden/>
    <w:rsid w:val="009964C3"/>
    <w:pPr>
      <w:adjustRightInd w:val="0"/>
      <w:snapToGrid w:val="0"/>
      <w:spacing w:before="40" w:after="40" w:line="300" w:lineRule="auto"/>
      <w:jc w:val="left"/>
    </w:pPr>
    <w:rPr>
      <w:b/>
      <w:sz w:val="24"/>
      <w:szCs w:val="20"/>
    </w:rPr>
  </w:style>
  <w:style w:type="paragraph" w:customStyle="1" w:styleId="BodyText22">
    <w:name w:val="Body Text 22"/>
    <w:basedOn w:val="af3"/>
    <w:semiHidden/>
    <w:rsid w:val="009964C3"/>
    <w:pPr>
      <w:adjustRightInd w:val="0"/>
      <w:spacing w:line="440" w:lineRule="atLeast"/>
      <w:ind w:firstLine="480"/>
      <w:textAlignment w:val="baseline"/>
    </w:pPr>
    <w:rPr>
      <w:rFonts w:eastAsia="仿宋_GB2312"/>
      <w:sz w:val="24"/>
      <w:szCs w:val="20"/>
    </w:rPr>
  </w:style>
  <w:style w:type="paragraph" w:customStyle="1" w:styleId="S6">
    <w:name w:val="三级标题S"/>
    <w:basedOn w:val="31"/>
    <w:next w:val="S2"/>
    <w:semiHidden/>
    <w:rsid w:val="009964C3"/>
    <w:pPr>
      <w:keepNext w:val="0"/>
      <w:keepLines w:val="0"/>
      <w:numPr>
        <w:ilvl w:val="2"/>
      </w:numPr>
      <w:tabs>
        <w:tab w:val="left" w:pos="720"/>
      </w:tabs>
      <w:spacing w:beforeLines="50" w:afterLines="50" w:line="360" w:lineRule="auto"/>
      <w:ind w:left="720" w:hanging="720"/>
    </w:pPr>
    <w:rPr>
      <w:rFonts w:eastAsia="仿宋_GB2312"/>
      <w:b w:val="0"/>
      <w:sz w:val="24"/>
      <w:szCs w:val="20"/>
    </w:rPr>
  </w:style>
  <w:style w:type="paragraph" w:customStyle="1" w:styleId="affff0">
    <w:name w:val="表头文字"/>
    <w:basedOn w:val="af3"/>
    <w:link w:val="CharCharc"/>
    <w:semiHidden/>
    <w:rsid w:val="009964C3"/>
    <w:pPr>
      <w:jc w:val="center"/>
    </w:pPr>
    <w:rPr>
      <w:rFonts w:eastAsia="黑体"/>
      <w:sz w:val="24"/>
      <w:szCs w:val="20"/>
    </w:rPr>
  </w:style>
  <w:style w:type="paragraph" w:customStyle="1" w:styleId="2TimesNewRoman78">
    <w:name w:val="样式 标题 2 + (西文) Times New Roman (中文) 宋体 小二 加粗 居中 段前: 7.8 磅 ..."/>
    <w:basedOn w:val="22"/>
    <w:semiHidden/>
    <w:rsid w:val="009964C3"/>
    <w:pPr>
      <w:keepNext w:val="0"/>
      <w:keepLines w:val="0"/>
      <w:numPr>
        <w:ilvl w:val="1"/>
      </w:numPr>
      <w:tabs>
        <w:tab w:val="left" w:pos="576"/>
        <w:tab w:val="left" w:pos="1575"/>
      </w:tabs>
      <w:adjustRightInd w:val="0"/>
      <w:snapToGrid w:val="0"/>
      <w:spacing w:beforeLines="150" w:afterLines="100" w:line="480" w:lineRule="exact"/>
      <w:ind w:left="576" w:hanging="576"/>
    </w:pPr>
    <w:rPr>
      <w:rFonts w:eastAsia="宋体-18030"/>
      <w:b w:val="0"/>
      <w:bCs w:val="0"/>
      <w:kern w:val="16"/>
      <w:szCs w:val="24"/>
    </w:rPr>
  </w:style>
  <w:style w:type="paragraph" w:customStyle="1" w:styleId="a4G">
    <w:name w:val="a标题4(G)"/>
    <w:basedOn w:val="43"/>
    <w:link w:val="a4GCharChar"/>
    <w:semiHidden/>
    <w:rsid w:val="009964C3"/>
    <w:pPr>
      <w:keepNext w:val="0"/>
      <w:keepLines w:val="0"/>
      <w:numPr>
        <w:ilvl w:val="3"/>
      </w:numPr>
      <w:tabs>
        <w:tab w:val="left" w:pos="864"/>
        <w:tab w:val="left" w:pos="1021"/>
      </w:tabs>
      <w:spacing w:before="0" w:after="0" w:line="360" w:lineRule="auto"/>
      <w:ind w:left="864" w:hanging="864"/>
      <w:jc w:val="left"/>
    </w:pPr>
    <w:rPr>
      <w:rFonts w:ascii="楷体" w:hAnsi="楷体"/>
      <w:b w:val="0"/>
      <w:bCs w:val="0"/>
      <w:sz w:val="24"/>
      <w:szCs w:val="24"/>
    </w:rPr>
  </w:style>
  <w:style w:type="paragraph" w:customStyle="1" w:styleId="CUCU-T">
    <w:name w:val="CUCU-T"/>
    <w:semiHidden/>
    <w:rsid w:val="009964C3"/>
    <w:pPr>
      <w:ind w:firstLine="480"/>
      <w:jc w:val="center"/>
    </w:pPr>
    <w:rPr>
      <w:rFonts w:ascii="Arial" w:hAnsi="Arial"/>
      <w:kern w:val="2"/>
      <w:sz w:val="21"/>
      <w:szCs w:val="21"/>
    </w:rPr>
  </w:style>
  <w:style w:type="paragraph" w:customStyle="1" w:styleId="7f0">
    <w:name w:val="7表格(治)"/>
    <w:semiHidden/>
    <w:rsid w:val="009964C3"/>
    <w:pPr>
      <w:jc w:val="center"/>
    </w:pPr>
    <w:rPr>
      <w:rFonts w:eastAsia="楷体_GB2312"/>
      <w:color w:val="FF0000"/>
      <w:sz w:val="21"/>
    </w:rPr>
  </w:style>
  <w:style w:type="paragraph" w:customStyle="1" w:styleId="CharCharCharCharCharChar1Char0">
    <w:name w:val="Char Char Char Char Char Char1 Char"/>
    <w:basedOn w:val="af3"/>
    <w:semiHidden/>
    <w:rsid w:val="009964C3"/>
  </w:style>
  <w:style w:type="paragraph" w:customStyle="1" w:styleId="3ffff6">
    <w:name w:val="正文文本缩进3"/>
    <w:basedOn w:val="af3"/>
    <w:semiHidden/>
    <w:rsid w:val="009964C3"/>
    <w:pPr>
      <w:autoSpaceDE w:val="0"/>
      <w:autoSpaceDN w:val="0"/>
      <w:adjustRightInd w:val="0"/>
      <w:spacing w:line="480" w:lineRule="atLeast"/>
      <w:ind w:firstLine="420"/>
      <w:jc w:val="left"/>
    </w:pPr>
    <w:rPr>
      <w:rFonts w:ascii="宋体" w:cs="宋体"/>
      <w:kern w:val="0"/>
      <w:sz w:val="28"/>
      <w:szCs w:val="28"/>
    </w:rPr>
  </w:style>
  <w:style w:type="paragraph" w:customStyle="1" w:styleId="G">
    <w:name w:val="段落(G)"/>
    <w:basedOn w:val="af3"/>
    <w:link w:val="GChar"/>
    <w:rsid w:val="009964C3"/>
    <w:pPr>
      <w:tabs>
        <w:tab w:val="left" w:pos="1320"/>
      </w:tabs>
      <w:spacing w:line="360" w:lineRule="auto"/>
      <w:ind w:firstLineChars="200" w:firstLine="480"/>
    </w:pPr>
    <w:rPr>
      <w:rFonts w:ascii="Arial" w:hAnsi="Arial"/>
      <w:color w:val="000000"/>
      <w:kern w:val="24"/>
      <w:sz w:val="24"/>
      <w:lang w:val="zh-CN"/>
    </w:rPr>
  </w:style>
  <w:style w:type="paragraph" w:customStyle="1" w:styleId="pa-2">
    <w:name w:val="pa-2"/>
    <w:basedOn w:val="af3"/>
    <w:semiHidden/>
    <w:rsid w:val="009964C3"/>
    <w:pPr>
      <w:widowControl/>
      <w:spacing w:before="100" w:beforeAutospacing="1" w:after="100" w:afterAutospacing="1"/>
      <w:jc w:val="left"/>
    </w:pPr>
    <w:rPr>
      <w:rFonts w:ascii="宋体" w:hAnsi="宋体" w:cs="宋体"/>
      <w:kern w:val="0"/>
      <w:sz w:val="24"/>
    </w:rPr>
  </w:style>
  <w:style w:type="paragraph" w:customStyle="1" w:styleId="027">
    <w:name w:val="标题02"/>
    <w:basedOn w:val="af3"/>
    <w:semiHidden/>
    <w:rsid w:val="009964C3"/>
    <w:pPr>
      <w:tabs>
        <w:tab w:val="left" w:pos="480"/>
      </w:tabs>
      <w:snapToGrid w:val="0"/>
      <w:spacing w:line="440" w:lineRule="atLeast"/>
      <w:ind w:left="476" w:hanging="357"/>
      <w:outlineLvl w:val="1"/>
    </w:pPr>
    <w:rPr>
      <w:b/>
      <w:sz w:val="24"/>
      <w:szCs w:val="20"/>
    </w:rPr>
  </w:style>
  <w:style w:type="paragraph" w:customStyle="1" w:styleId="S0">
    <w:name w:val="图号S"/>
    <w:basedOn w:val="51"/>
    <w:next w:val="S3"/>
    <w:link w:val="SChar0"/>
    <w:semiHidden/>
    <w:rsid w:val="009964C3"/>
    <w:pPr>
      <w:keepNext/>
      <w:keepLines/>
      <w:numPr>
        <w:ilvl w:val="4"/>
      </w:numPr>
      <w:spacing w:line="240" w:lineRule="auto"/>
    </w:pPr>
    <w:rPr>
      <w:rFonts w:ascii="Arial" w:eastAsia="仿宋_GB2312"/>
      <w:b/>
      <w:color w:val="auto"/>
      <w:spacing w:val="0"/>
      <w:position w:val="0"/>
      <w:sz w:val="24"/>
    </w:rPr>
  </w:style>
  <w:style w:type="paragraph" w:customStyle="1" w:styleId="1fffffff8">
    <w:name w:val="样式 标题 1 + 居中"/>
    <w:basedOn w:val="13"/>
    <w:semiHidden/>
    <w:rsid w:val="009964C3"/>
    <w:pPr>
      <w:pageBreakBefore/>
      <w:tabs>
        <w:tab w:val="left" w:pos="1021"/>
        <w:tab w:val="left" w:pos="4380"/>
      </w:tabs>
      <w:spacing w:before="120" w:after="120" w:line="480" w:lineRule="auto"/>
      <w:ind w:left="3372" w:hanging="432"/>
      <w:jc w:val="center"/>
    </w:pPr>
    <w:rPr>
      <w:bCs w:val="0"/>
      <w:kern w:val="2"/>
      <w:sz w:val="24"/>
      <w:szCs w:val="20"/>
    </w:rPr>
  </w:style>
  <w:style w:type="paragraph" w:customStyle="1" w:styleId="xl124">
    <w:name w:val="xl124"/>
    <w:basedOn w:val="af3"/>
    <w:semiHidden/>
    <w:rsid w:val="009964C3"/>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kern w:val="0"/>
      <w:sz w:val="20"/>
      <w:szCs w:val="20"/>
    </w:rPr>
  </w:style>
  <w:style w:type="paragraph" w:customStyle="1" w:styleId="Style12">
    <w:name w:val="_Style 12"/>
    <w:basedOn w:val="af3"/>
    <w:semiHidden/>
    <w:rsid w:val="009964C3"/>
    <w:pPr>
      <w:spacing w:line="360" w:lineRule="auto"/>
      <w:jc w:val="left"/>
    </w:pPr>
    <w:rPr>
      <w:szCs w:val="20"/>
    </w:rPr>
  </w:style>
  <w:style w:type="paragraph" w:customStyle="1" w:styleId="afffffffffffffffffffffffffffffff8">
    <w:name w:val="小字体表格"/>
    <w:basedOn w:val="af3"/>
    <w:semiHidden/>
    <w:rsid w:val="009964C3"/>
    <w:pPr>
      <w:snapToGrid w:val="0"/>
      <w:spacing w:beforeLines="20" w:afterLines="20" w:line="312" w:lineRule="auto"/>
      <w:jc w:val="center"/>
    </w:pPr>
    <w:rPr>
      <w:snapToGrid w:val="0"/>
      <w:kern w:val="0"/>
      <w:sz w:val="18"/>
      <w:szCs w:val="20"/>
    </w:rPr>
  </w:style>
  <w:style w:type="paragraph" w:customStyle="1" w:styleId="CharCharChar4">
    <w:name w:val="表头 Char Char Char"/>
    <w:basedOn w:val="CharCharChar5"/>
    <w:link w:val="CharCharCharChar1"/>
    <w:semiHidden/>
    <w:rsid w:val="009964C3"/>
    <w:pPr>
      <w:spacing w:beforeLines="30" w:afterLines="10" w:line="480" w:lineRule="exact"/>
      <w:ind w:firstLineChars="0" w:firstLine="0"/>
      <w:jc w:val="center"/>
    </w:pPr>
    <w:rPr>
      <w:rFonts w:ascii="Times New Roman" w:hAnsi="Times New Roman"/>
      <w:b/>
      <w:bCs/>
      <w:color w:val="auto"/>
      <w:sz w:val="28"/>
      <w:szCs w:val="28"/>
    </w:rPr>
  </w:style>
  <w:style w:type="paragraph" w:customStyle="1" w:styleId="GB231200">
    <w:name w:val="样式 仿宋_GB2312 五号 黑色 居中 段前: 0 磅 段后: 0 磅"/>
    <w:basedOn w:val="af3"/>
    <w:semiHidden/>
    <w:locked/>
    <w:rsid w:val="009964C3"/>
    <w:pPr>
      <w:autoSpaceDE w:val="0"/>
      <w:autoSpaceDN w:val="0"/>
      <w:adjustRightInd w:val="0"/>
      <w:spacing w:line="360" w:lineRule="exact"/>
      <w:ind w:firstLineChars="200" w:firstLine="200"/>
      <w:jc w:val="center"/>
      <w:textAlignment w:val="bottom"/>
    </w:pPr>
    <w:rPr>
      <w:rFonts w:ascii="Arial Unicode MS" w:eastAsia="仿宋_GB2312" w:hAnsi="Arial Unicode MS" w:cs="宋体"/>
      <w:color w:val="000000"/>
      <w:kern w:val="0"/>
      <w:szCs w:val="21"/>
    </w:rPr>
  </w:style>
  <w:style w:type="paragraph" w:customStyle="1" w:styleId="2TimesNewRomanChar0">
    <w:name w:val="样式 标题 2 + (西文) Times New Roman (中文) 宋体 四号 Char"/>
    <w:basedOn w:val="22"/>
    <w:link w:val="2TimesNewRomanCharChar"/>
    <w:semiHidden/>
    <w:rsid w:val="009964C3"/>
    <w:pPr>
      <w:spacing w:after="120" w:line="460" w:lineRule="exact"/>
    </w:pPr>
    <w:rPr>
      <w:rFonts w:eastAsia="宋体"/>
      <w:bCs w:val="0"/>
      <w:sz w:val="28"/>
      <w:szCs w:val="20"/>
    </w:rPr>
  </w:style>
  <w:style w:type="paragraph" w:styleId="z-">
    <w:name w:val="HTML Top of Form"/>
    <w:basedOn w:val="af3"/>
    <w:next w:val="af3"/>
    <w:link w:val="z-Char"/>
    <w:semiHidden/>
    <w:rsid w:val="009964C3"/>
    <w:pPr>
      <w:pBdr>
        <w:bottom w:val="single" w:sz="6" w:space="1" w:color="auto"/>
      </w:pBdr>
      <w:spacing w:line="480" w:lineRule="exact"/>
      <w:jc w:val="center"/>
    </w:pPr>
    <w:rPr>
      <w:rFonts w:ascii="Arial" w:hAnsi="Arial"/>
      <w:vanish/>
      <w:sz w:val="16"/>
      <w:szCs w:val="16"/>
    </w:rPr>
  </w:style>
  <w:style w:type="paragraph" w:customStyle="1" w:styleId="CharCharCharCharCharChar3">
    <w:name w:val="Char Char Char Char Char Char"/>
    <w:basedOn w:val="af3"/>
    <w:semiHidden/>
    <w:rsid w:val="009964C3"/>
    <w:rPr>
      <w:sz w:val="24"/>
    </w:rPr>
  </w:style>
  <w:style w:type="paragraph" w:customStyle="1" w:styleId="CharChar1CharCharCharCharCharCharChar0">
    <w:name w:val="Char Char1 Char Char Char Char Char Char Char"/>
    <w:basedOn w:val="af3"/>
    <w:semiHidden/>
    <w:rsid w:val="009964C3"/>
  </w:style>
  <w:style w:type="paragraph" w:customStyle="1" w:styleId="222">
    <w:name w:val="样式 正文首行缩进 2 + 左侧:  2 字符 首行缩进:  2 字符"/>
    <w:basedOn w:val="2f"/>
    <w:link w:val="222Char"/>
    <w:semiHidden/>
    <w:rsid w:val="009964C3"/>
    <w:pPr>
      <w:widowControl/>
      <w:tabs>
        <w:tab w:val="clear" w:pos="4532"/>
      </w:tabs>
      <w:spacing w:line="360" w:lineRule="auto"/>
      <w:ind w:firstLine="200"/>
      <w:jc w:val="left"/>
    </w:pPr>
    <w:rPr>
      <w:rFonts w:ascii="宋体"/>
      <w:spacing w:val="0"/>
    </w:rPr>
  </w:style>
  <w:style w:type="paragraph" w:customStyle="1" w:styleId="--1">
    <w:name w:val="益阳--图表标题"/>
    <w:basedOn w:val="af4"/>
    <w:rsid w:val="009964C3"/>
    <w:pPr>
      <w:spacing w:before="60" w:after="60"/>
      <w:ind w:firstLineChars="0" w:firstLine="0"/>
    </w:pPr>
    <w:rPr>
      <w:rFonts w:ascii="Arial" w:eastAsia="黑体" w:hAnsi="Arial"/>
      <w:b/>
      <w:sz w:val="24"/>
      <w:szCs w:val="20"/>
    </w:rPr>
  </w:style>
  <w:style w:type="paragraph" w:customStyle="1" w:styleId="11-">
    <w:name w:val="11-表头"/>
    <w:basedOn w:val="af3"/>
    <w:semiHidden/>
    <w:rsid w:val="009964C3"/>
    <w:pPr>
      <w:spacing w:line="360" w:lineRule="auto"/>
      <w:jc w:val="center"/>
    </w:pPr>
    <w:rPr>
      <w:rFonts w:ascii="宋体" w:hAnsi="宋体" w:cs="宋体"/>
      <w:szCs w:val="21"/>
    </w:rPr>
  </w:style>
  <w:style w:type="paragraph" w:customStyle="1" w:styleId="39">
    <w:name w:val="样式 样式 标题 3 + 四号 + (中文) 宋体 小四 加粗"/>
    <w:basedOn w:val="af3"/>
    <w:link w:val="3Char6"/>
    <w:semiHidden/>
    <w:rsid w:val="009964C3"/>
    <w:pPr>
      <w:adjustRightInd w:val="0"/>
      <w:snapToGrid w:val="0"/>
      <w:spacing w:line="360" w:lineRule="auto"/>
      <w:outlineLvl w:val="2"/>
    </w:pPr>
    <w:rPr>
      <w:b/>
      <w:bCs/>
      <w:sz w:val="24"/>
      <w:szCs w:val="28"/>
    </w:rPr>
  </w:style>
  <w:style w:type="paragraph" w:customStyle="1" w:styleId="TimesNewRoman0">
    <w:name w:val="样式 报告书 + Times New Roman"/>
    <w:basedOn w:val="affffffffffffffffffffffffffe"/>
    <w:semiHidden/>
    <w:rsid w:val="009964C3"/>
    <w:pPr>
      <w:adjustRightInd w:val="0"/>
      <w:snapToGrid w:val="0"/>
      <w:ind w:firstLineChars="0" w:firstLine="0"/>
      <w:textAlignment w:val="baseline"/>
    </w:pPr>
    <w:rPr>
      <w:color w:val="000000"/>
      <w:kern w:val="24"/>
      <w:szCs w:val="20"/>
    </w:rPr>
  </w:style>
  <w:style w:type="paragraph" w:customStyle="1" w:styleId="29">
    <w:name w:val="标题2新"/>
    <w:basedOn w:val="22"/>
    <w:link w:val="2Char5"/>
    <w:semiHidden/>
    <w:rsid w:val="009964C3"/>
    <w:pPr>
      <w:adjustRightInd w:val="0"/>
      <w:snapToGrid w:val="0"/>
      <w:spacing w:line="360" w:lineRule="auto"/>
    </w:pPr>
    <w:rPr>
      <w:rFonts w:ascii="Cambria" w:eastAsia="宋体" w:hAnsi="Cambria"/>
      <w:sz w:val="24"/>
      <w:szCs w:val="24"/>
    </w:rPr>
  </w:style>
  <w:style w:type="paragraph" w:customStyle="1" w:styleId="1">
    <w:name w:val="标题 1－生态用地汇报"/>
    <w:basedOn w:val="af3"/>
    <w:next w:val="af3"/>
    <w:semiHidden/>
    <w:rsid w:val="009964C3"/>
    <w:pPr>
      <w:numPr>
        <w:numId w:val="80"/>
      </w:numPr>
      <w:tabs>
        <w:tab w:val="left" w:pos="360"/>
        <w:tab w:val="left" w:pos="840"/>
      </w:tabs>
      <w:ind w:left="0" w:firstLine="0"/>
    </w:pPr>
    <w:rPr>
      <w:rFonts w:ascii="宋体" w:eastAsia="黑体" w:hAnsi="宋体" w:cs="宋体"/>
      <w:bCs/>
      <w:sz w:val="28"/>
    </w:rPr>
  </w:style>
  <w:style w:type="paragraph" w:customStyle="1" w:styleId="afffffffe">
    <w:name w:val="中文报告书"/>
    <w:basedOn w:val="af3"/>
    <w:link w:val="Charfffff7"/>
    <w:semiHidden/>
    <w:rsid w:val="009964C3"/>
    <w:pPr>
      <w:adjustRightInd w:val="0"/>
      <w:spacing w:line="480" w:lineRule="atLeast"/>
      <w:ind w:firstLineChars="200" w:firstLine="200"/>
      <w:textAlignment w:val="baseline"/>
    </w:pPr>
    <w:rPr>
      <w:kern w:val="24"/>
      <w:sz w:val="24"/>
      <w:szCs w:val="20"/>
    </w:rPr>
  </w:style>
  <w:style w:type="paragraph" w:customStyle="1" w:styleId="a1">
    <w:name w:val="清除格式"/>
    <w:basedOn w:val="af3"/>
    <w:semiHidden/>
    <w:rsid w:val="009964C3"/>
    <w:pPr>
      <w:numPr>
        <w:numId w:val="81"/>
      </w:numPr>
      <w:tabs>
        <w:tab w:val="left" w:pos="1200"/>
      </w:tabs>
    </w:pPr>
    <w:rPr>
      <w:rFonts w:ascii="宋体" w:hAnsi="宋体" w:cs="宋体"/>
      <w:sz w:val="24"/>
    </w:rPr>
  </w:style>
  <w:style w:type="paragraph" w:customStyle="1" w:styleId="afffffffffffffffffffffffffffffff9">
    <w:name w:val="说明书正文"/>
    <w:basedOn w:val="af3"/>
    <w:semiHidden/>
    <w:rsid w:val="009964C3"/>
    <w:pPr>
      <w:spacing w:line="480" w:lineRule="exact"/>
      <w:ind w:firstLineChars="200" w:firstLine="600"/>
    </w:pPr>
    <w:rPr>
      <w:rFonts w:eastAsia="仿宋_GB2312"/>
      <w:color w:val="000000"/>
      <w:sz w:val="30"/>
      <w:szCs w:val="20"/>
    </w:rPr>
  </w:style>
  <w:style w:type="paragraph" w:customStyle="1" w:styleId="5fff8">
    <w:name w:val="5、正文"/>
    <w:basedOn w:val="afffffffff2"/>
    <w:semiHidden/>
    <w:rsid w:val="009964C3"/>
    <w:pPr>
      <w:spacing w:line="360" w:lineRule="auto"/>
      <w:ind w:firstLine="510"/>
    </w:pPr>
    <w:rPr>
      <w:rFonts w:ascii="Times New Roman" w:hAnsi="Times New Roman" w:cs="Times New Roman"/>
      <w:sz w:val="24"/>
      <w:szCs w:val="24"/>
    </w:rPr>
  </w:style>
  <w:style w:type="paragraph" w:customStyle="1" w:styleId="1105">
    <w:name w:val="样式 标题 1标题 1（修改） + 段后: 0.5 行"/>
    <w:basedOn w:val="13"/>
    <w:semiHidden/>
    <w:locked/>
    <w:rsid w:val="009964C3"/>
    <w:pPr>
      <w:tabs>
        <w:tab w:val="left" w:pos="0"/>
        <w:tab w:val="left" w:pos="852"/>
        <w:tab w:val="left" w:pos="1440"/>
      </w:tabs>
      <w:spacing w:before="120" w:after="120" w:line="360" w:lineRule="exact"/>
      <w:ind w:left="852" w:hanging="288"/>
      <w:jc w:val="left"/>
    </w:pPr>
    <w:rPr>
      <w:rFonts w:ascii="Arial" w:hAnsi="Arial" w:cs="宋体"/>
      <w:sz w:val="32"/>
      <w:szCs w:val="20"/>
    </w:rPr>
  </w:style>
  <w:style w:type="paragraph" w:customStyle="1" w:styleId="afffffffffffffffffffffffffffffffa">
    <w:name w:val="文章"/>
    <w:basedOn w:val="afff"/>
    <w:semiHidden/>
    <w:locked/>
    <w:rsid w:val="009964C3"/>
    <w:pPr>
      <w:spacing w:before="100" w:beforeAutospacing="1" w:after="100" w:afterAutospacing="1" w:line="360" w:lineRule="exact"/>
      <w:ind w:firstLineChars="200" w:firstLine="480"/>
    </w:pPr>
    <w:rPr>
      <w:rFonts w:ascii="Arial Unicode MS" w:hAnsi="Arial Unicode MS"/>
      <w:sz w:val="24"/>
    </w:rPr>
  </w:style>
  <w:style w:type="paragraph" w:customStyle="1" w:styleId="20502">
    <w:name w:val="样式 标题 2节 + 段前: 0.5 行 段后: 0.2 行"/>
    <w:basedOn w:val="22"/>
    <w:semiHidden/>
    <w:rsid w:val="009964C3"/>
    <w:pPr>
      <w:keepNext w:val="0"/>
      <w:keepLines w:val="0"/>
      <w:tabs>
        <w:tab w:val="left" w:pos="576"/>
      </w:tabs>
      <w:adjustRightInd w:val="0"/>
      <w:snapToGrid w:val="0"/>
      <w:spacing w:beforeLines="20" w:afterLines="20" w:line="312" w:lineRule="auto"/>
      <w:ind w:left="576" w:hanging="576"/>
      <w:jc w:val="left"/>
      <w:textAlignment w:val="baseline"/>
    </w:pPr>
    <w:rPr>
      <w:rFonts w:cs="宋体"/>
      <w:b w:val="0"/>
      <w:sz w:val="28"/>
      <w:szCs w:val="20"/>
    </w:rPr>
  </w:style>
  <w:style w:type="paragraph" w:customStyle="1" w:styleId="afffffffffffffffffffffffffffffffb">
    <w:name w:val="我要的文章样式"/>
    <w:basedOn w:val="af3"/>
    <w:semiHidden/>
    <w:locked/>
    <w:rsid w:val="009964C3"/>
    <w:pPr>
      <w:spacing w:before="120" w:after="120" w:line="360" w:lineRule="auto"/>
      <w:ind w:firstLineChars="200" w:firstLine="480"/>
    </w:pPr>
    <w:rPr>
      <w:rFonts w:ascii="Arial Unicode MS" w:hAnsi="Arial Unicode MS"/>
      <w:sz w:val="24"/>
    </w:rPr>
  </w:style>
  <w:style w:type="paragraph" w:customStyle="1" w:styleId="afffffffffffffffffffffffffffffffc">
    <w:name w:val="表格式样新"/>
    <w:basedOn w:val="af3"/>
    <w:semiHidden/>
    <w:locked/>
    <w:rsid w:val="009964C3"/>
    <w:pPr>
      <w:spacing w:before="120" w:after="120" w:line="360" w:lineRule="exact"/>
      <w:ind w:leftChars="-51" w:left="-51" w:hangingChars="51" w:hanging="107"/>
      <w:jc w:val="center"/>
    </w:pPr>
    <w:rPr>
      <w:szCs w:val="20"/>
    </w:rPr>
  </w:style>
  <w:style w:type="paragraph" w:customStyle="1" w:styleId="30202">
    <w:name w:val="样式 标题 3 + 段前: 0.2 行 段后: 0.2 行"/>
    <w:basedOn w:val="31"/>
    <w:semiHidden/>
    <w:rsid w:val="009964C3"/>
    <w:pPr>
      <w:keepNext w:val="0"/>
      <w:keepLines w:val="0"/>
      <w:tabs>
        <w:tab w:val="left" w:pos="720"/>
      </w:tabs>
      <w:adjustRightInd w:val="0"/>
      <w:snapToGrid w:val="0"/>
      <w:spacing w:beforeLines="20" w:afterLines="20" w:line="312" w:lineRule="auto"/>
      <w:ind w:left="720" w:right="227" w:hanging="720"/>
      <w:jc w:val="left"/>
      <w:textAlignment w:val="baseline"/>
    </w:pPr>
    <w:rPr>
      <w:rFonts w:cs="宋体"/>
      <w:kern w:val="0"/>
      <w:sz w:val="24"/>
      <w:szCs w:val="20"/>
    </w:rPr>
  </w:style>
  <w:style w:type="paragraph" w:customStyle="1" w:styleId="0202">
    <w:name w:val="样式 表格 + 段前: 0.2 行 段后: 0.2 行"/>
    <w:basedOn w:val="afffffffff2"/>
    <w:semiHidden/>
    <w:rsid w:val="009964C3"/>
    <w:pPr>
      <w:snapToGrid w:val="0"/>
      <w:spacing w:before="31" w:after="31" w:line="360" w:lineRule="exact"/>
      <w:ind w:firstLineChars="50" w:firstLine="50"/>
      <w:jc w:val="left"/>
    </w:pPr>
    <w:rPr>
      <w:rFonts w:ascii="Arial Unicode MS" w:hAnsi="Arial Unicode MS" w:cs="Times New Roman"/>
    </w:rPr>
  </w:style>
  <w:style w:type="paragraph" w:customStyle="1" w:styleId="affff2">
    <w:name w:val="样式 表 + 五号"/>
    <w:basedOn w:val="af3"/>
    <w:link w:val="Charff1"/>
    <w:semiHidden/>
    <w:rsid w:val="009964C3"/>
    <w:pPr>
      <w:topLinePunct/>
      <w:ind w:firstLineChars="200" w:firstLine="200"/>
      <w:outlineLvl w:val="6"/>
    </w:pPr>
    <w:rPr>
      <w:color w:val="000000"/>
      <w:sz w:val="24"/>
    </w:rPr>
  </w:style>
  <w:style w:type="paragraph" w:customStyle="1" w:styleId="afffffff9">
    <w:name w:val="图中文"/>
    <w:basedOn w:val="af3"/>
    <w:link w:val="Charfffff1"/>
    <w:semiHidden/>
    <w:locked/>
    <w:rsid w:val="009964C3"/>
    <w:pPr>
      <w:tabs>
        <w:tab w:val="left" w:pos="840"/>
      </w:tabs>
      <w:adjustRightInd w:val="0"/>
      <w:snapToGrid w:val="0"/>
      <w:spacing w:before="120" w:after="120" w:line="360" w:lineRule="exact"/>
      <w:ind w:firstLineChars="200" w:firstLine="200"/>
      <w:jc w:val="left"/>
      <w:textAlignment w:val="baseline"/>
    </w:pPr>
    <w:rPr>
      <w:rFonts w:ascii="Arial" w:hAnsi="Arial"/>
      <w:color w:val="000000"/>
      <w:kern w:val="0"/>
      <w:sz w:val="24"/>
    </w:rPr>
  </w:style>
  <w:style w:type="paragraph" w:customStyle="1" w:styleId="afffffffffffffffffffffffffffffffd">
    <w:name w:val="环评页眉"/>
    <w:basedOn w:val="affffff"/>
    <w:semiHidden/>
    <w:locked/>
    <w:rsid w:val="009964C3"/>
    <w:pPr>
      <w:adjustRightInd w:val="0"/>
      <w:spacing w:before="100" w:beforeAutospacing="1" w:afterLines="50" w:afterAutospacing="1" w:line="360" w:lineRule="atLeast"/>
      <w:ind w:firstLineChars="200" w:firstLine="200"/>
      <w:textAlignment w:val="baseline"/>
    </w:pPr>
    <w:rPr>
      <w:rFonts w:ascii="Arial Unicode MS" w:hAnsi="Arial Unicode MS"/>
      <w:kern w:val="0"/>
      <w:szCs w:val="20"/>
    </w:rPr>
  </w:style>
  <w:style w:type="paragraph" w:customStyle="1" w:styleId="-10">
    <w:name w:val="表-1"/>
    <w:basedOn w:val="46"/>
    <w:semiHidden/>
    <w:locked/>
    <w:rsid w:val="009964C3"/>
    <w:pPr>
      <w:keepNext w:val="0"/>
      <w:keepLines w:val="0"/>
      <w:spacing w:before="0" w:line="360" w:lineRule="exact"/>
      <w:ind w:right="1399" w:firstLineChars="200" w:firstLine="750"/>
      <w:jc w:val="left"/>
      <w:textAlignment w:val="baseline"/>
    </w:pPr>
    <w:rPr>
      <w:rFonts w:ascii="Arial Unicode MS" w:eastAsia="宋体" w:hAnsi="Arial Unicode MS"/>
      <w:bCs w:val="0"/>
      <w:kern w:val="0"/>
      <w:szCs w:val="21"/>
    </w:rPr>
  </w:style>
  <w:style w:type="paragraph" w:customStyle="1" w:styleId="affff3">
    <w:name w:val="君邦正文"/>
    <w:link w:val="Char26"/>
    <w:semiHidden/>
    <w:locked/>
    <w:rsid w:val="009964C3"/>
    <w:pPr>
      <w:spacing w:after="60" w:line="360" w:lineRule="auto"/>
      <w:ind w:firstLineChars="200" w:firstLine="480"/>
      <w:jc w:val="both"/>
    </w:pPr>
    <w:rPr>
      <w:sz w:val="24"/>
    </w:rPr>
  </w:style>
  <w:style w:type="paragraph" w:customStyle="1" w:styleId="afffff">
    <w:name w:val="样式 表 + 宋体"/>
    <w:basedOn w:val="46"/>
    <w:link w:val="Charffe"/>
    <w:semiHidden/>
    <w:locked/>
    <w:rsid w:val="009964C3"/>
    <w:pPr>
      <w:keepNext w:val="0"/>
      <w:keepLines w:val="0"/>
      <w:spacing w:before="0" w:after="0" w:line="320" w:lineRule="exact"/>
      <w:ind w:firstLineChars="200" w:firstLine="200"/>
      <w:jc w:val="both"/>
      <w:textAlignment w:val="baseline"/>
    </w:pPr>
    <w:rPr>
      <w:rFonts w:ascii="Arial Unicode MS" w:eastAsia="宋体" w:hAnsi="Arial Unicode MS"/>
      <w:bCs w:val="0"/>
      <w:szCs w:val="21"/>
    </w:rPr>
  </w:style>
  <w:style w:type="paragraph" w:customStyle="1" w:styleId="afffffffffffffffffffffffffffffffe">
    <w:name w:val="【表格】"/>
    <w:next w:val="aff7"/>
    <w:semiHidden/>
    <w:qFormat/>
    <w:rsid w:val="009964C3"/>
    <w:pPr>
      <w:jc w:val="center"/>
    </w:pPr>
    <w:rPr>
      <w:sz w:val="21"/>
      <w:szCs w:val="24"/>
    </w:rPr>
  </w:style>
  <w:style w:type="paragraph" w:customStyle="1" w:styleId="CharCharfff0">
    <w:name w:val="正文文本格式 Char Char"/>
    <w:basedOn w:val="af3"/>
    <w:rsid w:val="009964C3"/>
    <w:pPr>
      <w:adjustRightInd w:val="0"/>
      <w:snapToGrid w:val="0"/>
      <w:spacing w:line="480" w:lineRule="exact"/>
      <w:ind w:firstLine="567"/>
    </w:pPr>
    <w:rPr>
      <w:snapToGrid w:val="0"/>
      <w:sz w:val="28"/>
      <w:szCs w:val="20"/>
    </w:rPr>
  </w:style>
  <w:style w:type="table" w:styleId="6f8">
    <w:name w:val="Table List 6"/>
    <w:basedOn w:val="af6"/>
    <w:qFormat/>
    <w:rsid w:val="009964C3"/>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single" w:sz="12" w:space="0" w:color="000000"/>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f1">
    <w:name w:val="Table List 7"/>
    <w:basedOn w:val="af6"/>
    <w:qFormat/>
    <w:rsid w:val="009964C3"/>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single" w:sz="12" w:space="0" w:color="008000"/>
          <w:bottom w:val="nil"/>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affffffffffffffffffffffffffffffff">
    <w:name w:val="Table Grid"/>
    <w:basedOn w:val="af6"/>
    <w:qFormat/>
    <w:rsid w:val="009964C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8f">
    <w:name w:val="Table List 8"/>
    <w:basedOn w:val="af6"/>
    <w:qFormat/>
    <w:rsid w:val="009964C3"/>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single" w:sz="6" w:space="0" w:color="000000"/>
          <w:bottom w:val="nil"/>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ffffffffffffffffffffffffffffff0">
    <w:name w:val="Table Theme"/>
    <w:basedOn w:val="af6"/>
    <w:semiHidden/>
    <w:qFormat/>
    <w:rsid w:val="009964C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fffffffffffffffffffffffff1">
    <w:name w:val="Table Contemporary"/>
    <w:basedOn w:val="af6"/>
    <w:qFormat/>
    <w:rsid w:val="009964C3"/>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fffffff9">
    <w:name w:val="Table Colorful 1"/>
    <w:basedOn w:val="af6"/>
    <w:semiHidden/>
    <w:qFormat/>
    <w:rsid w:val="009964C3"/>
    <w:pPr>
      <w:widowControl w:val="0"/>
      <w:jc w:val="center"/>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1fffffffa">
    <w:name w:val="Table Columns 1"/>
    <w:basedOn w:val="af6"/>
    <w:rsid w:val="009964C3"/>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double" w:sz="6" w:space="0" w:color="00000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fffff5">
    <w:name w:val="Table Colorful 2"/>
    <w:basedOn w:val="af6"/>
    <w:qFormat/>
    <w:rsid w:val="009964C3"/>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single" w:sz="12" w:space="0" w:color="00000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ffff7">
    <w:name w:val="Table Colorful 3"/>
    <w:basedOn w:val="af6"/>
    <w:qFormat/>
    <w:rsid w:val="009964C3"/>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single" w:sz="6" w:space="0" w:color="000000"/>
          <w:bottom w:val="nil"/>
          <w:right w:val="nil"/>
          <w:insideH w:val="nil"/>
          <w:insideV w:val="nil"/>
          <w:tl2br w:val="nil"/>
          <w:tr2bl w:val="nil"/>
        </w:tcBorders>
        <w:shd w:val="solid" w:color="008080" w:fill="FFFFFF"/>
      </w:tcPr>
    </w:tblStylePr>
    <w:tblStylePr w:type="firstCol">
      <w:tblPr/>
      <w:tcPr>
        <w:tcBorders>
          <w:top w:val="nil"/>
          <w:left w:val="nil"/>
          <w:bottom w:val="single" w:sz="36" w:space="0" w:color="000000"/>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ffffffffffffffffffffffffffffff2">
    <w:name w:val="Table Elegant"/>
    <w:basedOn w:val="af6"/>
    <w:qFormat/>
    <w:rsid w:val="009964C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fffffffb">
    <w:name w:val="Table Classic 1"/>
    <w:basedOn w:val="af6"/>
    <w:qFormat/>
    <w:rsid w:val="009964C3"/>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fffff6">
    <w:name w:val="Table Classic 2"/>
    <w:basedOn w:val="af6"/>
    <w:qFormat/>
    <w:rsid w:val="009964C3"/>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single" w:sz="6" w:space="0" w:color="000000"/>
          <w:bottom w:val="nil"/>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ffff8">
    <w:name w:val="Table Classic 3"/>
    <w:basedOn w:val="af6"/>
    <w:qFormat/>
    <w:rsid w:val="009964C3"/>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single" w:sz="6" w:space="0" w:color="000000"/>
          <w:bottom w:val="nil"/>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4ffff0">
    <w:name w:val="Table Classic 4"/>
    <w:basedOn w:val="af6"/>
    <w:qFormat/>
    <w:rsid w:val="009964C3"/>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single" w:sz="6" w:space="0" w:color="000000"/>
          <w:bottom w:val="nil"/>
          <w:right w:val="nil"/>
          <w:insideH w:val="nil"/>
          <w:insideV w:val="nil"/>
          <w:tl2br w:val="nil"/>
          <w:tr2bl w:val="nil"/>
        </w:tcBorders>
        <w:shd w:val="pct50" w:color="000080" w:fill="FFFFFF"/>
      </w:tcPr>
    </w:tblStylePr>
    <w:tblStylePr w:type="lastRow">
      <w:rPr>
        <w:color w:val="000080"/>
      </w:rPr>
      <w:tblPr/>
      <w:tcPr>
        <w:tcBorders>
          <w:top w:val="nil"/>
          <w:left w:val="single" w:sz="6" w:space="0" w:color="000000"/>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fffffffc">
    <w:name w:val="Table Simple 1"/>
    <w:basedOn w:val="af6"/>
    <w:qFormat/>
    <w:rsid w:val="009964C3"/>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ffffff7">
    <w:name w:val="Table Simple 2"/>
    <w:basedOn w:val="af6"/>
    <w:qFormat/>
    <w:rsid w:val="009964C3"/>
    <w:pPr>
      <w:widowControl w:val="0"/>
      <w:jc w:val="both"/>
    </w:pPr>
    <w:tblPr>
      <w:tblInd w:w="0" w:type="dxa"/>
      <w:tblCellMar>
        <w:top w:w="0" w:type="dxa"/>
        <w:left w:w="108" w:type="dxa"/>
        <w:bottom w:w="0" w:type="dxa"/>
        <w:right w:w="108" w:type="dxa"/>
      </w:tblCellMar>
    </w:tblPr>
    <w:tblStylePr w:type="firstRow">
      <w:rPr>
        <w:b/>
        <w:bCs/>
      </w:rPr>
      <w:tblPr/>
      <w:tcPr>
        <w:tcBorders>
          <w:top w:val="nil"/>
          <w:left w:val="single" w:sz="12" w:space="0" w:color="000000"/>
          <w:bottom w:val="nil"/>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nil"/>
          <w:bottom w:val="single" w:sz="6" w:space="0" w:color="00000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fff9">
    <w:name w:val="Table Simple 3"/>
    <w:basedOn w:val="af6"/>
    <w:qFormat/>
    <w:rsid w:val="009964C3"/>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fffffffd">
    <w:name w:val="Table Subtle 1"/>
    <w:basedOn w:val="af6"/>
    <w:rsid w:val="009964C3"/>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nil"/>
          <w:bottom w:val="single" w:sz="12" w:space="0" w:color="000000"/>
          <w:right w:val="nil"/>
          <w:insideH w:val="nil"/>
          <w:insideV w:val="nil"/>
          <w:tl2br w:val="nil"/>
          <w:tr2bl w:val="nil"/>
        </w:tcBorders>
      </w:tcPr>
    </w:tblStylePr>
    <w:tblStylePr w:type="band1Horz">
      <w:tblPr/>
      <w:tcPr>
        <w:tcBorders>
          <w:top w:val="nil"/>
          <w:left w:val="single" w:sz="6"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fffff8">
    <w:name w:val="Table Subtle 2"/>
    <w:basedOn w:val="af6"/>
    <w:qFormat/>
    <w:rsid w:val="009964C3"/>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top w:val="nil"/>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nil"/>
          <w:bottom w:val="single" w:sz="12"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fffffffe">
    <w:name w:val="Table 3D effects 1"/>
    <w:basedOn w:val="af6"/>
    <w:qFormat/>
    <w:rsid w:val="009964C3"/>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single" w:sz="6" w:space="0" w:color="808080"/>
          <w:bottom w:val="nil"/>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single" w:sz="6" w:space="0" w:color="FFFFFF"/>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ffffff9">
    <w:name w:val="Table 3D effects 2"/>
    <w:basedOn w:val="af6"/>
    <w:qFormat/>
    <w:rsid w:val="009964C3"/>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single" w:sz="6" w:space="0" w:color="FFFFFF"/>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fffa">
    <w:name w:val="Table 3D effects 3"/>
    <w:basedOn w:val="af6"/>
    <w:semiHidden/>
    <w:qFormat/>
    <w:rsid w:val="009964C3"/>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ffffffff">
    <w:name w:val="Table List 1"/>
    <w:basedOn w:val="af6"/>
    <w:qFormat/>
    <w:rsid w:val="009964C3"/>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single" w:sz="6" w:space="0" w:color="000000"/>
          <w:bottom w:val="nil"/>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fffffa">
    <w:name w:val="Table List 2"/>
    <w:basedOn w:val="af6"/>
    <w:qFormat/>
    <w:rsid w:val="009964C3"/>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single" w:sz="6" w:space="0" w:color="000000"/>
          <w:bottom w:val="nil"/>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fffb">
    <w:name w:val="Table List 3"/>
    <w:basedOn w:val="af6"/>
    <w:qFormat/>
    <w:rsid w:val="009964C3"/>
    <w:pPr>
      <w:widowControl w:val="0"/>
      <w:jc w:val="center"/>
    </w:pPr>
    <w:tblPr>
      <w:tblInd w:w="0" w:type="dxa"/>
      <w:tblBorders>
        <w:top w:val="single" w:sz="12" w:space="0" w:color="000000"/>
        <w:bottom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rPr>
        <w:b/>
        <w:bCs/>
        <w:color w:val="000080"/>
      </w:rPr>
      <w:tblPr/>
      <w:tcPr>
        <w:tcBorders>
          <w:top w:val="nil"/>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ffff1">
    <w:name w:val="Table List 4"/>
    <w:basedOn w:val="af6"/>
    <w:qFormat/>
    <w:rsid w:val="009964C3"/>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single" w:sz="12" w:space="0" w:color="000000"/>
          <w:bottom w:val="nil"/>
          <w:right w:val="nil"/>
          <w:insideH w:val="nil"/>
          <w:insideV w:val="nil"/>
          <w:tl2br w:val="nil"/>
          <w:tr2bl w:val="nil"/>
        </w:tcBorders>
        <w:shd w:val="solid" w:color="808080" w:fill="FFFFFF"/>
      </w:tcPr>
    </w:tblStylePr>
  </w:style>
  <w:style w:type="table" w:styleId="5fff9">
    <w:name w:val="Table List 5"/>
    <w:basedOn w:val="af6"/>
    <w:qFormat/>
    <w:rsid w:val="009964C3"/>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single" w:sz="12" w:space="0" w:color="00000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2ffffffb">
    <w:name w:val="Table Columns 2"/>
    <w:basedOn w:val="af6"/>
    <w:qFormat/>
    <w:rsid w:val="009964C3"/>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fffc">
    <w:name w:val="Table Columns 3"/>
    <w:basedOn w:val="af6"/>
    <w:qFormat/>
    <w:rsid w:val="009964C3"/>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ffff2">
    <w:name w:val="Table Columns 4"/>
    <w:basedOn w:val="af6"/>
    <w:rsid w:val="009964C3"/>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ffa">
    <w:name w:val="Table Columns 5"/>
    <w:basedOn w:val="af6"/>
    <w:qFormat/>
    <w:rsid w:val="009964C3"/>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single" w:sz="6" w:space="0" w:color="808080"/>
          <w:bottom w:val="nil"/>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ffffffff0">
    <w:name w:val="Table Grid 1"/>
    <w:basedOn w:val="af6"/>
    <w:rsid w:val="009964C3"/>
    <w:pPr>
      <w:widowControl w:val="0"/>
      <w:adjustRightInd w:val="0"/>
      <w:spacing w:line="360" w:lineRule="auto"/>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fffffc">
    <w:name w:val="Table Grid 2"/>
    <w:basedOn w:val="af6"/>
    <w:rsid w:val="009964C3"/>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ffffd">
    <w:name w:val="Table Grid 3"/>
    <w:basedOn w:val="af6"/>
    <w:qFormat/>
    <w:rsid w:val="009964C3"/>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single" w:sz="6" w:space="0" w:color="00000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ffff3">
    <w:name w:val="Table Grid 4"/>
    <w:basedOn w:val="af6"/>
    <w:qFormat/>
    <w:rsid w:val="009964C3"/>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single" w:sz="6" w:space="0" w:color="000000"/>
          <w:bottom w:val="nil"/>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fffb">
    <w:name w:val="Table Grid 5"/>
    <w:basedOn w:val="af6"/>
    <w:qFormat/>
    <w:rsid w:val="009964C3"/>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f9">
    <w:name w:val="Table Grid 6"/>
    <w:basedOn w:val="af6"/>
    <w:qFormat/>
    <w:rsid w:val="009964C3"/>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f2">
    <w:name w:val="Table Grid 7"/>
    <w:basedOn w:val="af6"/>
    <w:rsid w:val="009964C3"/>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f0">
    <w:name w:val="Table Grid 8"/>
    <w:basedOn w:val="af6"/>
    <w:qFormat/>
    <w:rsid w:val="009964C3"/>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ffffffff1">
    <w:name w:val="Table Web 1"/>
    <w:basedOn w:val="af6"/>
    <w:qFormat/>
    <w:rsid w:val="009964C3"/>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2ffffffd">
    <w:name w:val="Table Web 2"/>
    <w:basedOn w:val="af6"/>
    <w:qFormat/>
    <w:rsid w:val="009964C3"/>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ffffe">
    <w:name w:val="Table Web 3"/>
    <w:basedOn w:val="af6"/>
    <w:qFormat/>
    <w:rsid w:val="009964C3"/>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ffffffffffffffffffffffffffffff3">
    <w:name w:val="Table Professional"/>
    <w:basedOn w:val="af6"/>
    <w:qFormat/>
    <w:rsid w:val="009964C3"/>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ffffffff2">
    <w:name w:val="浅色底纹1"/>
    <w:basedOn w:val="af6"/>
    <w:rsid w:val="009964C3"/>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
    <w:name w:val="浅色底纹 - 强调文字颜色 11"/>
    <w:basedOn w:val="af6"/>
    <w:rsid w:val="009964C3"/>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cucd-table">
    <w:name w:val="cucd-table"/>
    <w:basedOn w:val="af6"/>
    <w:rsid w:val="009964C3"/>
    <w:pPr>
      <w:jc w:val="center"/>
    </w:pPr>
    <w:tblPr>
      <w:tblInd w:w="0"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top w:w="0" w:type="dxa"/>
        <w:left w:w="108" w:type="dxa"/>
        <w:bottom w:w="0" w:type="dxa"/>
        <w:right w:w="108" w:type="dxa"/>
      </w:tblCellMar>
    </w:tblPr>
    <w:tcPr>
      <w:vAlign w:val="center"/>
    </w:tcPr>
    <w:tblStylePr w:type="firstRow">
      <w:rPr>
        <w:b/>
        <w:i w:val="0"/>
      </w:rPr>
      <w:tblPr/>
      <w:tcPr>
        <w:tcBorders>
          <w:top w:val="thinThickSmallGap" w:sz="12" w:space="0" w:color="auto"/>
          <w:left w:val="single" w:sz="4" w:space="0" w:color="auto"/>
          <w:bottom w:val="thinThickSmallGap" w:sz="12" w:space="0" w:color="auto"/>
          <w:right w:val="thickThinSmallGap" w:sz="12" w:space="0" w:color="auto"/>
          <w:insideH w:val="single" w:sz="6" w:space="0" w:color="auto"/>
          <w:insideV w:val="single" w:sz="6" w:space="0" w:color="auto"/>
          <w:tl2br w:val="nil"/>
          <w:tr2bl w:val="nil"/>
        </w:tcBorders>
        <w:shd w:val="clear" w:color="auto" w:fill="D9D9D9"/>
      </w:tcPr>
    </w:tblStylePr>
  </w:style>
  <w:style w:type="table" w:customStyle="1" w:styleId="2ffffffe">
    <w:name w:val="浅色底纹2"/>
    <w:basedOn w:val="af6"/>
    <w:rsid w:val="009964C3"/>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6fa">
    <w:name w:val="网格型6"/>
    <w:basedOn w:val="af6"/>
    <w:rsid w:val="009964C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fffffffffffffffffffffffffff4">
    <w:name w:val="徐正生"/>
    <w:basedOn w:val="1fffffffc"/>
    <w:rsid w:val="009964C3"/>
    <w:tblPr>
      <w:tblInd w:w="0" w:type="dxa"/>
      <w:tblBorders>
        <w:top w:val="single" w:sz="12" w:space="0" w:color="000000"/>
        <w:bottom w:val="single" w:sz="12"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1fb">
    <w:name w:val="浅色列表11"/>
    <w:basedOn w:val="af6"/>
    <w:rsid w:val="009964C3"/>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31">
    <w:name w:val="浅色底纹 - 强调文字颜色 31"/>
    <w:basedOn w:val="af6"/>
    <w:rsid w:val="009964C3"/>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style>
  <w:style w:type="table" w:customStyle="1" w:styleId="zwb">
    <w:name w:val="zwb_表格"/>
    <w:basedOn w:val="af6"/>
    <w:semiHidden/>
    <w:qFormat/>
    <w:rsid w:val="009964C3"/>
    <w:pPr>
      <w:jc w:val="center"/>
    </w:pPr>
    <w:tblPr>
      <w:jc w:val="center"/>
      <w:tblInd w:w="0" w:type="dxa"/>
      <w:tblBorders>
        <w:top w:val="single" w:sz="8" w:space="0" w:color="auto"/>
        <w:bottom w:val="single" w:sz="8"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style>
  <w:style w:type="table" w:customStyle="1" w:styleId="-51">
    <w:name w:val="浅色底纹 - 强调文字颜色 51"/>
    <w:basedOn w:val="af6"/>
    <w:rsid w:val="009964C3"/>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2EAF1"/>
      </w:tcPr>
    </w:tblStylePr>
    <w:tblStylePr w:type="band1Horz">
      <w:tblPr/>
      <w:tcPr>
        <w:tcBorders>
          <w:top w:val="nil"/>
          <w:left w:val="nil"/>
          <w:bottom w:val="nil"/>
          <w:right w:val="nil"/>
          <w:insideH w:val="nil"/>
          <w:insideV w:val="nil"/>
          <w:tl2br w:val="nil"/>
          <w:tr2bl w:val="nil"/>
        </w:tcBorders>
        <w:shd w:val="clear" w:color="auto" w:fill="D2EAF1"/>
      </w:tcPr>
    </w:tblStylePr>
  </w:style>
  <w:style w:type="table" w:customStyle="1" w:styleId="1ffffffff3">
    <w:name w:val="表格主题（安）1"/>
    <w:basedOn w:val="af6"/>
    <w:rsid w:val="009964C3"/>
    <w:pPr>
      <w:widowControl w:val="0"/>
      <w:jc w:val="center"/>
    </w:pPr>
    <w:rPr>
      <w:sz w:val="21"/>
      <w:szCs w:val="21"/>
    </w:rPr>
    <w:tblPr>
      <w:tblInd w:w="0" w:type="dxa"/>
      <w:tblBorders>
        <w:top w:val="single" w:sz="12" w:space="0" w:color="auto"/>
        <w:bottom w:val="single" w:sz="12" w:space="0" w:color="auto"/>
        <w:insideH w:val="single" w:sz="6" w:space="0" w:color="auto"/>
        <w:insideV w:val="single" w:sz="6" w:space="0" w:color="auto"/>
      </w:tblBorders>
      <w:tblCellMar>
        <w:top w:w="0" w:type="dxa"/>
        <w:left w:w="108" w:type="dxa"/>
        <w:bottom w:w="0" w:type="dxa"/>
        <w:right w:w="108" w:type="dxa"/>
      </w:tblCellMar>
    </w:tblPr>
    <w:tcPr>
      <w:tcMar>
        <w:left w:w="57" w:type="dxa"/>
        <w:right w:w="57" w:type="dxa"/>
      </w:tcMar>
      <w:vAlign w:val="center"/>
    </w:tcPr>
  </w:style>
  <w:style w:type="table" w:customStyle="1" w:styleId="2fffffff">
    <w:name w:val="网格型2"/>
    <w:basedOn w:val="af6"/>
    <w:rsid w:val="009964C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f4">
    <w:name w:val="浅色列表1"/>
    <w:basedOn w:val="af6"/>
    <w:rsid w:val="009964C3"/>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2fffffff0">
    <w:name w:val="浅色列表2"/>
    <w:basedOn w:val="af6"/>
    <w:rsid w:val="009964C3"/>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ffffffff5">
    <w:name w:val="网格型1"/>
    <w:basedOn w:val="af6"/>
    <w:rsid w:val="009964C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fff4">
    <w:name w:val="网格型4"/>
    <w:basedOn w:val="af6"/>
    <w:rsid w:val="009964C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fff">
    <w:name w:val="网格型3"/>
    <w:basedOn w:val="af6"/>
    <w:rsid w:val="009964C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浅色底纹 - 强调文字颜色 21"/>
    <w:basedOn w:val="af6"/>
    <w:rsid w:val="009964C3"/>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FD3D2"/>
      </w:tcPr>
    </w:tblStylePr>
    <w:tblStylePr w:type="band1Horz">
      <w:tblPr/>
      <w:tcPr>
        <w:tcBorders>
          <w:top w:val="nil"/>
          <w:left w:val="nil"/>
          <w:bottom w:val="nil"/>
          <w:right w:val="nil"/>
          <w:insideH w:val="nil"/>
          <w:insideV w:val="nil"/>
          <w:tl2br w:val="nil"/>
          <w:tr2bl w:val="nil"/>
        </w:tcBorders>
        <w:shd w:val="clear" w:color="auto" w:fill="EFD3D2"/>
      </w:tcPr>
    </w:tblStylePr>
  </w:style>
  <w:style w:type="paragraph" w:customStyle="1" w:styleId="affffffffffffffffffffffffffffffff5">
    <w:name w:val="表格字体"/>
    <w:basedOn w:val="af3"/>
    <w:qFormat/>
    <w:rsid w:val="00BD74CB"/>
    <w:pPr>
      <w:jc w:val="left"/>
    </w:pPr>
    <w:rPr>
      <w:rFonts w:cs="宋体"/>
      <w:kern w:val="0"/>
      <w:sz w:val="24"/>
      <w:szCs w:val="22"/>
      <w:lang w:val="zh-CN"/>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baike.so.com/doc/2925798.html" TargetMode="External"/><Relationship Id="rId34" Type="http://schemas.openxmlformats.org/officeDocument/2006/relationships/image" Target="media/image14.png"/><Relationship Id="rId42" Type="http://schemas.openxmlformats.org/officeDocument/2006/relationships/image" Target="media/image16.emf"/><Relationship Id="rId47" Type="http://schemas.openxmlformats.org/officeDocument/2006/relationships/header" Target="header14.xml"/><Relationship Id="rId50" Type="http://schemas.openxmlformats.org/officeDocument/2006/relationships/footer" Target="footer9.xml"/><Relationship Id="rId55" Type="http://schemas.openxmlformats.org/officeDocument/2006/relationships/oleObject" Target="embeddings/oleObject2.bin"/><Relationship Id="rId63" Type="http://schemas.openxmlformats.org/officeDocument/2006/relationships/oleObject" Target="embeddings/oleObject6.bin"/><Relationship Id="rId68" Type="http://schemas.openxmlformats.org/officeDocument/2006/relationships/image" Target="media/image26.wmf"/><Relationship Id="rId76" Type="http://schemas.openxmlformats.org/officeDocument/2006/relationships/oleObject" Target="embeddings/oleObject13.bin"/><Relationship Id="rId84" Type="http://schemas.openxmlformats.org/officeDocument/2006/relationships/image" Target="media/image33.wmf"/><Relationship Id="rId89" Type="http://schemas.openxmlformats.org/officeDocument/2006/relationships/image" Target="media/image35.wmf"/><Relationship Id="rId97" Type="http://schemas.openxmlformats.org/officeDocument/2006/relationships/footer" Target="footer16.xml"/><Relationship Id="rId7" Type="http://schemas.openxmlformats.org/officeDocument/2006/relationships/header" Target="header1.xml"/><Relationship Id="rId71" Type="http://schemas.openxmlformats.org/officeDocument/2006/relationships/oleObject" Target="embeddings/oleObject10.bin"/><Relationship Id="rId92" Type="http://schemas.openxmlformats.org/officeDocument/2006/relationships/footer" Target="footer11.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9.png"/><Relationship Id="rId11" Type="http://schemas.openxmlformats.org/officeDocument/2006/relationships/header" Target="header3.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footer" Target="footer7.xml"/><Relationship Id="rId53" Type="http://schemas.openxmlformats.org/officeDocument/2006/relationships/oleObject" Target="embeddings/oleObject1.bin"/><Relationship Id="rId58" Type="http://schemas.openxmlformats.org/officeDocument/2006/relationships/image" Target="media/image21.wmf"/><Relationship Id="rId66" Type="http://schemas.openxmlformats.org/officeDocument/2006/relationships/image" Target="media/image25.wmf"/><Relationship Id="rId74" Type="http://schemas.openxmlformats.org/officeDocument/2006/relationships/image" Target="media/image29.wmf"/><Relationship Id="rId79" Type="http://schemas.openxmlformats.org/officeDocument/2006/relationships/oleObject" Target="embeddings/oleObject15.bin"/><Relationship Id="rId87" Type="http://schemas.openxmlformats.org/officeDocument/2006/relationships/image" Target="media/image34.wmf"/><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oleObject" Target="embeddings/oleObject5.bin"/><Relationship Id="rId82" Type="http://schemas.openxmlformats.org/officeDocument/2006/relationships/image" Target="media/image32.wmf"/><Relationship Id="rId90" Type="http://schemas.openxmlformats.org/officeDocument/2006/relationships/oleObject" Target="embeddings/oleObject21.bin"/><Relationship Id="rId95" Type="http://schemas.openxmlformats.org/officeDocument/2006/relationships/footer" Target="footer14.xml"/><Relationship Id="rId19" Type="http://schemas.openxmlformats.org/officeDocument/2006/relationships/hyperlink" Target="http://www.ichemistry.cn/chemistry/7440-50-8.htm" TargetMode="External"/><Relationship Id="rId14" Type="http://schemas.openxmlformats.org/officeDocument/2006/relationships/header" Target="header5.xml"/><Relationship Id="rId22" Type="http://schemas.openxmlformats.org/officeDocument/2006/relationships/hyperlink" Target="http://baike.so.com/doc/1423526.html"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eader" Target="header11.xml"/><Relationship Id="rId48" Type="http://schemas.openxmlformats.org/officeDocument/2006/relationships/footer" Target="footer8.xml"/><Relationship Id="rId56" Type="http://schemas.openxmlformats.org/officeDocument/2006/relationships/image" Target="media/image20.wmf"/><Relationship Id="rId64" Type="http://schemas.openxmlformats.org/officeDocument/2006/relationships/image" Target="media/image24.wmf"/><Relationship Id="rId69" Type="http://schemas.openxmlformats.org/officeDocument/2006/relationships/oleObject" Target="embeddings/oleObject9.bin"/><Relationship Id="rId77" Type="http://schemas.openxmlformats.org/officeDocument/2006/relationships/oleObject" Target="embeddings/oleObject14.bin"/><Relationship Id="rId100" Type="http://schemas.openxmlformats.org/officeDocument/2006/relationships/footer" Target="footer19.xml"/><Relationship Id="rId8" Type="http://schemas.openxmlformats.org/officeDocument/2006/relationships/footer" Target="footer1.xml"/><Relationship Id="rId51" Type="http://schemas.openxmlformats.org/officeDocument/2006/relationships/image" Target="media/image17.wmf"/><Relationship Id="rId72" Type="http://schemas.openxmlformats.org/officeDocument/2006/relationships/image" Target="media/image28.wmf"/><Relationship Id="rId80" Type="http://schemas.openxmlformats.org/officeDocument/2006/relationships/image" Target="media/image31.wmf"/><Relationship Id="rId85" Type="http://schemas.openxmlformats.org/officeDocument/2006/relationships/oleObject" Target="embeddings/oleObject18.bin"/><Relationship Id="rId93" Type="http://schemas.openxmlformats.org/officeDocument/2006/relationships/footer" Target="footer12.xml"/><Relationship Id="rId98" Type="http://schemas.openxmlformats.org/officeDocument/2006/relationships/footer" Target="footer17.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footer" Target="footer4.xml"/><Relationship Id="rId46" Type="http://schemas.openxmlformats.org/officeDocument/2006/relationships/header" Target="header13.xml"/><Relationship Id="rId59" Type="http://schemas.openxmlformats.org/officeDocument/2006/relationships/oleObject" Target="embeddings/oleObject4.bin"/><Relationship Id="rId67" Type="http://schemas.openxmlformats.org/officeDocument/2006/relationships/oleObject" Target="embeddings/oleObject8.bin"/><Relationship Id="rId20" Type="http://schemas.openxmlformats.org/officeDocument/2006/relationships/hyperlink" Target="http://www.ichemistry.cn/chemistry/7439-89-6.htm" TargetMode="External"/><Relationship Id="rId41" Type="http://schemas.openxmlformats.org/officeDocument/2006/relationships/footer" Target="footer6.xml"/><Relationship Id="rId54" Type="http://schemas.openxmlformats.org/officeDocument/2006/relationships/image" Target="media/image19.wmf"/><Relationship Id="rId62" Type="http://schemas.openxmlformats.org/officeDocument/2006/relationships/image" Target="media/image23.wmf"/><Relationship Id="rId70" Type="http://schemas.openxmlformats.org/officeDocument/2006/relationships/image" Target="media/image27.wmf"/><Relationship Id="rId75" Type="http://schemas.openxmlformats.org/officeDocument/2006/relationships/oleObject" Target="embeddings/oleObject12.bin"/><Relationship Id="rId83" Type="http://schemas.openxmlformats.org/officeDocument/2006/relationships/oleObject" Target="embeddings/oleObject17.bin"/><Relationship Id="rId88" Type="http://schemas.openxmlformats.org/officeDocument/2006/relationships/oleObject" Target="embeddings/oleObject20.bin"/><Relationship Id="rId91" Type="http://schemas.openxmlformats.org/officeDocument/2006/relationships/footer" Target="footer10.xml"/><Relationship Id="rId96"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6.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eader" Target="header8.xml"/><Relationship Id="rId49" Type="http://schemas.openxmlformats.org/officeDocument/2006/relationships/header" Target="header15.xml"/><Relationship Id="rId57" Type="http://schemas.openxmlformats.org/officeDocument/2006/relationships/oleObject" Target="embeddings/oleObject3.bin"/><Relationship Id="rId10"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header" Target="header12.xml"/><Relationship Id="rId52" Type="http://schemas.openxmlformats.org/officeDocument/2006/relationships/image" Target="media/image18.wmf"/><Relationship Id="rId60" Type="http://schemas.openxmlformats.org/officeDocument/2006/relationships/image" Target="media/image22.wmf"/><Relationship Id="rId65" Type="http://schemas.openxmlformats.org/officeDocument/2006/relationships/oleObject" Target="embeddings/oleObject7.bin"/><Relationship Id="rId73" Type="http://schemas.openxmlformats.org/officeDocument/2006/relationships/oleObject" Target="embeddings/oleObject11.bin"/><Relationship Id="rId78" Type="http://schemas.openxmlformats.org/officeDocument/2006/relationships/image" Target="media/image30.wmf"/><Relationship Id="rId81" Type="http://schemas.openxmlformats.org/officeDocument/2006/relationships/oleObject" Target="embeddings/oleObject16.bin"/><Relationship Id="rId86" Type="http://schemas.openxmlformats.org/officeDocument/2006/relationships/oleObject" Target="embeddings/oleObject19.bin"/><Relationship Id="rId94" Type="http://schemas.openxmlformats.org/officeDocument/2006/relationships/footer" Target="footer13.xml"/><Relationship Id="rId99" Type="http://schemas.openxmlformats.org/officeDocument/2006/relationships/footer" Target="footer18.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wmf"/><Relationship Id="rId13" Type="http://schemas.openxmlformats.org/officeDocument/2006/relationships/header" Target="header4.xml"/><Relationship Id="rId18" Type="http://schemas.openxmlformats.org/officeDocument/2006/relationships/image" Target="media/image2.png"/><Relationship Id="rId39"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163</Pages>
  <Words>19218</Words>
  <Characters>109545</Characters>
  <Application>Microsoft Office Word</Application>
  <DocSecurity>0</DocSecurity>
  <PresentationFormat/>
  <Lines>912</Lines>
  <Paragraphs>257</Paragraphs>
  <Slides>0</Slides>
  <Notes>0</Notes>
  <HiddenSlides>0</HiddenSlides>
  <MMClips>0</MMClips>
  <ScaleCrop>false</ScaleCrop>
  <Company/>
  <LinksUpToDate>false</LinksUpToDate>
  <CharactersWithSpaces>128506</CharactersWithSpaces>
  <SharedDoc>false</SharedDoc>
  <HLinks>
    <vt:vector size="444" baseType="variant">
      <vt:variant>
        <vt:i4>1769550</vt:i4>
      </vt:variant>
      <vt:variant>
        <vt:i4>438</vt:i4>
      </vt:variant>
      <vt:variant>
        <vt:i4>0</vt:i4>
      </vt:variant>
      <vt:variant>
        <vt:i4>5</vt:i4>
      </vt:variant>
      <vt:variant>
        <vt:lpwstr>http://baike.so.com/doc/1423526.html</vt:lpwstr>
      </vt:variant>
      <vt:variant>
        <vt:lpwstr/>
      </vt:variant>
      <vt:variant>
        <vt:i4>1769537</vt:i4>
      </vt:variant>
      <vt:variant>
        <vt:i4>435</vt:i4>
      </vt:variant>
      <vt:variant>
        <vt:i4>0</vt:i4>
      </vt:variant>
      <vt:variant>
        <vt:i4>5</vt:i4>
      </vt:variant>
      <vt:variant>
        <vt:lpwstr>http://baike.so.com/doc/2925798.html</vt:lpwstr>
      </vt:variant>
      <vt:variant>
        <vt:lpwstr/>
      </vt:variant>
      <vt:variant>
        <vt:i4>4653079</vt:i4>
      </vt:variant>
      <vt:variant>
        <vt:i4>432</vt:i4>
      </vt:variant>
      <vt:variant>
        <vt:i4>0</vt:i4>
      </vt:variant>
      <vt:variant>
        <vt:i4>5</vt:i4>
      </vt:variant>
      <vt:variant>
        <vt:lpwstr>http://www.ichemistry.cn/chemistry/7439-89-6.htm</vt:lpwstr>
      </vt:variant>
      <vt:variant>
        <vt:lpwstr/>
      </vt:variant>
      <vt:variant>
        <vt:i4>4653075</vt:i4>
      </vt:variant>
      <vt:variant>
        <vt:i4>429</vt:i4>
      </vt:variant>
      <vt:variant>
        <vt:i4>0</vt:i4>
      </vt:variant>
      <vt:variant>
        <vt:i4>5</vt:i4>
      </vt:variant>
      <vt:variant>
        <vt:lpwstr>http://www.ichemistry.cn/chemistry/7440-50-8.htm</vt:lpwstr>
      </vt:variant>
      <vt:variant>
        <vt:lpwstr/>
      </vt:variant>
      <vt:variant>
        <vt:i4>2555910</vt:i4>
      </vt:variant>
      <vt:variant>
        <vt:i4>416</vt:i4>
      </vt:variant>
      <vt:variant>
        <vt:i4>0</vt:i4>
      </vt:variant>
      <vt:variant>
        <vt:i4>5</vt:i4>
      </vt:variant>
      <vt:variant>
        <vt:lpwstr/>
      </vt:variant>
      <vt:variant>
        <vt:lpwstr>_Toc605</vt:lpwstr>
      </vt:variant>
      <vt:variant>
        <vt:i4>1376313</vt:i4>
      </vt:variant>
      <vt:variant>
        <vt:i4>410</vt:i4>
      </vt:variant>
      <vt:variant>
        <vt:i4>0</vt:i4>
      </vt:variant>
      <vt:variant>
        <vt:i4>5</vt:i4>
      </vt:variant>
      <vt:variant>
        <vt:lpwstr/>
      </vt:variant>
      <vt:variant>
        <vt:lpwstr>_Toc17855</vt:lpwstr>
      </vt:variant>
      <vt:variant>
        <vt:i4>1441840</vt:i4>
      </vt:variant>
      <vt:variant>
        <vt:i4>404</vt:i4>
      </vt:variant>
      <vt:variant>
        <vt:i4>0</vt:i4>
      </vt:variant>
      <vt:variant>
        <vt:i4>5</vt:i4>
      </vt:variant>
      <vt:variant>
        <vt:lpwstr/>
      </vt:variant>
      <vt:variant>
        <vt:lpwstr>_Toc22236</vt:lpwstr>
      </vt:variant>
      <vt:variant>
        <vt:i4>2031666</vt:i4>
      </vt:variant>
      <vt:variant>
        <vt:i4>398</vt:i4>
      </vt:variant>
      <vt:variant>
        <vt:i4>0</vt:i4>
      </vt:variant>
      <vt:variant>
        <vt:i4>5</vt:i4>
      </vt:variant>
      <vt:variant>
        <vt:lpwstr/>
      </vt:variant>
      <vt:variant>
        <vt:lpwstr>_Toc10382</vt:lpwstr>
      </vt:variant>
      <vt:variant>
        <vt:i4>1835058</vt:i4>
      </vt:variant>
      <vt:variant>
        <vt:i4>392</vt:i4>
      </vt:variant>
      <vt:variant>
        <vt:i4>0</vt:i4>
      </vt:variant>
      <vt:variant>
        <vt:i4>5</vt:i4>
      </vt:variant>
      <vt:variant>
        <vt:lpwstr/>
      </vt:variant>
      <vt:variant>
        <vt:lpwstr>_Toc18336</vt:lpwstr>
      </vt:variant>
      <vt:variant>
        <vt:i4>1179699</vt:i4>
      </vt:variant>
      <vt:variant>
        <vt:i4>386</vt:i4>
      </vt:variant>
      <vt:variant>
        <vt:i4>0</vt:i4>
      </vt:variant>
      <vt:variant>
        <vt:i4>5</vt:i4>
      </vt:variant>
      <vt:variant>
        <vt:lpwstr/>
      </vt:variant>
      <vt:variant>
        <vt:lpwstr>_Toc12270</vt:lpwstr>
      </vt:variant>
      <vt:variant>
        <vt:i4>1966129</vt:i4>
      </vt:variant>
      <vt:variant>
        <vt:i4>380</vt:i4>
      </vt:variant>
      <vt:variant>
        <vt:i4>0</vt:i4>
      </vt:variant>
      <vt:variant>
        <vt:i4>5</vt:i4>
      </vt:variant>
      <vt:variant>
        <vt:lpwstr/>
      </vt:variant>
      <vt:variant>
        <vt:lpwstr>_Toc30294</vt:lpwstr>
      </vt:variant>
      <vt:variant>
        <vt:i4>1179698</vt:i4>
      </vt:variant>
      <vt:variant>
        <vt:i4>374</vt:i4>
      </vt:variant>
      <vt:variant>
        <vt:i4>0</vt:i4>
      </vt:variant>
      <vt:variant>
        <vt:i4>5</vt:i4>
      </vt:variant>
      <vt:variant>
        <vt:lpwstr/>
      </vt:variant>
      <vt:variant>
        <vt:lpwstr>_Toc32172</vt:lpwstr>
      </vt:variant>
      <vt:variant>
        <vt:i4>2228233</vt:i4>
      </vt:variant>
      <vt:variant>
        <vt:i4>368</vt:i4>
      </vt:variant>
      <vt:variant>
        <vt:i4>0</vt:i4>
      </vt:variant>
      <vt:variant>
        <vt:i4>5</vt:i4>
      </vt:variant>
      <vt:variant>
        <vt:lpwstr/>
      </vt:variant>
      <vt:variant>
        <vt:lpwstr>_Toc955</vt:lpwstr>
      </vt:variant>
      <vt:variant>
        <vt:i4>1376305</vt:i4>
      </vt:variant>
      <vt:variant>
        <vt:i4>362</vt:i4>
      </vt:variant>
      <vt:variant>
        <vt:i4>0</vt:i4>
      </vt:variant>
      <vt:variant>
        <vt:i4>5</vt:i4>
      </vt:variant>
      <vt:variant>
        <vt:lpwstr/>
      </vt:variant>
      <vt:variant>
        <vt:lpwstr>_Toc12009</vt:lpwstr>
      </vt:variant>
      <vt:variant>
        <vt:i4>2031668</vt:i4>
      </vt:variant>
      <vt:variant>
        <vt:i4>356</vt:i4>
      </vt:variant>
      <vt:variant>
        <vt:i4>0</vt:i4>
      </vt:variant>
      <vt:variant>
        <vt:i4>5</vt:i4>
      </vt:variant>
      <vt:variant>
        <vt:lpwstr/>
      </vt:variant>
      <vt:variant>
        <vt:lpwstr>_Toc28607</vt:lpwstr>
      </vt:variant>
      <vt:variant>
        <vt:i4>1179696</vt:i4>
      </vt:variant>
      <vt:variant>
        <vt:i4>350</vt:i4>
      </vt:variant>
      <vt:variant>
        <vt:i4>0</vt:i4>
      </vt:variant>
      <vt:variant>
        <vt:i4>5</vt:i4>
      </vt:variant>
      <vt:variant>
        <vt:lpwstr/>
      </vt:variant>
      <vt:variant>
        <vt:lpwstr>_Toc21246</vt:lpwstr>
      </vt:variant>
      <vt:variant>
        <vt:i4>1441841</vt:i4>
      </vt:variant>
      <vt:variant>
        <vt:i4>344</vt:i4>
      </vt:variant>
      <vt:variant>
        <vt:i4>0</vt:i4>
      </vt:variant>
      <vt:variant>
        <vt:i4>5</vt:i4>
      </vt:variant>
      <vt:variant>
        <vt:lpwstr/>
      </vt:variant>
      <vt:variant>
        <vt:lpwstr>_Toc11006</vt:lpwstr>
      </vt:variant>
      <vt:variant>
        <vt:i4>1245236</vt:i4>
      </vt:variant>
      <vt:variant>
        <vt:i4>338</vt:i4>
      </vt:variant>
      <vt:variant>
        <vt:i4>0</vt:i4>
      </vt:variant>
      <vt:variant>
        <vt:i4>5</vt:i4>
      </vt:variant>
      <vt:variant>
        <vt:lpwstr/>
      </vt:variant>
      <vt:variant>
        <vt:lpwstr>_Toc11556</vt:lpwstr>
      </vt:variant>
      <vt:variant>
        <vt:i4>1572914</vt:i4>
      </vt:variant>
      <vt:variant>
        <vt:i4>332</vt:i4>
      </vt:variant>
      <vt:variant>
        <vt:i4>0</vt:i4>
      </vt:variant>
      <vt:variant>
        <vt:i4>5</vt:i4>
      </vt:variant>
      <vt:variant>
        <vt:lpwstr/>
      </vt:variant>
      <vt:variant>
        <vt:lpwstr>_Toc2906</vt:lpwstr>
      </vt:variant>
      <vt:variant>
        <vt:i4>1179700</vt:i4>
      </vt:variant>
      <vt:variant>
        <vt:i4>326</vt:i4>
      </vt:variant>
      <vt:variant>
        <vt:i4>0</vt:i4>
      </vt:variant>
      <vt:variant>
        <vt:i4>5</vt:i4>
      </vt:variant>
      <vt:variant>
        <vt:lpwstr/>
      </vt:variant>
      <vt:variant>
        <vt:lpwstr>_Toc30758</vt:lpwstr>
      </vt:variant>
      <vt:variant>
        <vt:i4>1638455</vt:i4>
      </vt:variant>
      <vt:variant>
        <vt:i4>320</vt:i4>
      </vt:variant>
      <vt:variant>
        <vt:i4>0</vt:i4>
      </vt:variant>
      <vt:variant>
        <vt:i4>5</vt:i4>
      </vt:variant>
      <vt:variant>
        <vt:lpwstr/>
      </vt:variant>
      <vt:variant>
        <vt:lpwstr>_Toc4739</vt:lpwstr>
      </vt:variant>
      <vt:variant>
        <vt:i4>1507385</vt:i4>
      </vt:variant>
      <vt:variant>
        <vt:i4>314</vt:i4>
      </vt:variant>
      <vt:variant>
        <vt:i4>0</vt:i4>
      </vt:variant>
      <vt:variant>
        <vt:i4>5</vt:i4>
      </vt:variant>
      <vt:variant>
        <vt:lpwstr/>
      </vt:variant>
      <vt:variant>
        <vt:lpwstr>_Toc19895</vt:lpwstr>
      </vt:variant>
      <vt:variant>
        <vt:i4>1507387</vt:i4>
      </vt:variant>
      <vt:variant>
        <vt:i4>308</vt:i4>
      </vt:variant>
      <vt:variant>
        <vt:i4>0</vt:i4>
      </vt:variant>
      <vt:variant>
        <vt:i4>5</vt:i4>
      </vt:variant>
      <vt:variant>
        <vt:lpwstr/>
      </vt:variant>
      <vt:variant>
        <vt:lpwstr>_Toc9121</vt:lpwstr>
      </vt:variant>
      <vt:variant>
        <vt:i4>1048629</vt:i4>
      </vt:variant>
      <vt:variant>
        <vt:i4>302</vt:i4>
      </vt:variant>
      <vt:variant>
        <vt:i4>0</vt:i4>
      </vt:variant>
      <vt:variant>
        <vt:i4>5</vt:i4>
      </vt:variant>
      <vt:variant>
        <vt:lpwstr/>
      </vt:variant>
      <vt:variant>
        <vt:lpwstr>_Toc10472</vt:lpwstr>
      </vt:variant>
      <vt:variant>
        <vt:i4>1441847</vt:i4>
      </vt:variant>
      <vt:variant>
        <vt:i4>296</vt:i4>
      </vt:variant>
      <vt:variant>
        <vt:i4>0</vt:i4>
      </vt:variant>
      <vt:variant>
        <vt:i4>5</vt:i4>
      </vt:variant>
      <vt:variant>
        <vt:lpwstr/>
      </vt:variant>
      <vt:variant>
        <vt:lpwstr>_Toc17668</vt:lpwstr>
      </vt:variant>
      <vt:variant>
        <vt:i4>1310768</vt:i4>
      </vt:variant>
      <vt:variant>
        <vt:i4>290</vt:i4>
      </vt:variant>
      <vt:variant>
        <vt:i4>0</vt:i4>
      </vt:variant>
      <vt:variant>
        <vt:i4>5</vt:i4>
      </vt:variant>
      <vt:variant>
        <vt:lpwstr/>
      </vt:variant>
      <vt:variant>
        <vt:lpwstr>_Toc15163</vt:lpwstr>
      </vt:variant>
      <vt:variant>
        <vt:i4>1900596</vt:i4>
      </vt:variant>
      <vt:variant>
        <vt:i4>284</vt:i4>
      </vt:variant>
      <vt:variant>
        <vt:i4>0</vt:i4>
      </vt:variant>
      <vt:variant>
        <vt:i4>5</vt:i4>
      </vt:variant>
      <vt:variant>
        <vt:lpwstr/>
      </vt:variant>
      <vt:variant>
        <vt:lpwstr>_Toc19531</vt:lpwstr>
      </vt:variant>
      <vt:variant>
        <vt:i4>1769524</vt:i4>
      </vt:variant>
      <vt:variant>
        <vt:i4>278</vt:i4>
      </vt:variant>
      <vt:variant>
        <vt:i4>0</vt:i4>
      </vt:variant>
      <vt:variant>
        <vt:i4>5</vt:i4>
      </vt:variant>
      <vt:variant>
        <vt:lpwstr/>
      </vt:variant>
      <vt:variant>
        <vt:lpwstr>_Toc18543</vt:lpwstr>
      </vt:variant>
      <vt:variant>
        <vt:i4>1507384</vt:i4>
      </vt:variant>
      <vt:variant>
        <vt:i4>272</vt:i4>
      </vt:variant>
      <vt:variant>
        <vt:i4>0</vt:i4>
      </vt:variant>
      <vt:variant>
        <vt:i4>5</vt:i4>
      </vt:variant>
      <vt:variant>
        <vt:lpwstr/>
      </vt:variant>
      <vt:variant>
        <vt:lpwstr>_Toc9919</vt:lpwstr>
      </vt:variant>
      <vt:variant>
        <vt:i4>1703986</vt:i4>
      </vt:variant>
      <vt:variant>
        <vt:i4>266</vt:i4>
      </vt:variant>
      <vt:variant>
        <vt:i4>0</vt:i4>
      </vt:variant>
      <vt:variant>
        <vt:i4>5</vt:i4>
      </vt:variant>
      <vt:variant>
        <vt:lpwstr/>
      </vt:variant>
      <vt:variant>
        <vt:lpwstr>_Toc19342</vt:lpwstr>
      </vt:variant>
      <vt:variant>
        <vt:i4>2031666</vt:i4>
      </vt:variant>
      <vt:variant>
        <vt:i4>260</vt:i4>
      </vt:variant>
      <vt:variant>
        <vt:i4>0</vt:i4>
      </vt:variant>
      <vt:variant>
        <vt:i4>5</vt:i4>
      </vt:variant>
      <vt:variant>
        <vt:lpwstr/>
      </vt:variant>
      <vt:variant>
        <vt:lpwstr>_Toc28000</vt:lpwstr>
      </vt:variant>
      <vt:variant>
        <vt:i4>1179699</vt:i4>
      </vt:variant>
      <vt:variant>
        <vt:i4>254</vt:i4>
      </vt:variant>
      <vt:variant>
        <vt:i4>0</vt:i4>
      </vt:variant>
      <vt:variant>
        <vt:i4>5</vt:i4>
      </vt:variant>
      <vt:variant>
        <vt:lpwstr/>
      </vt:variant>
      <vt:variant>
        <vt:lpwstr>_Toc12273</vt:lpwstr>
      </vt:variant>
      <vt:variant>
        <vt:i4>1507379</vt:i4>
      </vt:variant>
      <vt:variant>
        <vt:i4>248</vt:i4>
      </vt:variant>
      <vt:variant>
        <vt:i4>0</vt:i4>
      </vt:variant>
      <vt:variant>
        <vt:i4>5</vt:i4>
      </vt:variant>
      <vt:variant>
        <vt:lpwstr/>
      </vt:variant>
      <vt:variant>
        <vt:lpwstr>_Toc13236</vt:lpwstr>
      </vt:variant>
      <vt:variant>
        <vt:i4>1900603</vt:i4>
      </vt:variant>
      <vt:variant>
        <vt:i4>242</vt:i4>
      </vt:variant>
      <vt:variant>
        <vt:i4>0</vt:i4>
      </vt:variant>
      <vt:variant>
        <vt:i4>5</vt:i4>
      </vt:variant>
      <vt:variant>
        <vt:lpwstr/>
      </vt:variant>
      <vt:variant>
        <vt:lpwstr>_Toc29938</vt:lpwstr>
      </vt:variant>
      <vt:variant>
        <vt:i4>1900593</vt:i4>
      </vt:variant>
      <vt:variant>
        <vt:i4>236</vt:i4>
      </vt:variant>
      <vt:variant>
        <vt:i4>0</vt:i4>
      </vt:variant>
      <vt:variant>
        <vt:i4>5</vt:i4>
      </vt:variant>
      <vt:variant>
        <vt:lpwstr/>
      </vt:variant>
      <vt:variant>
        <vt:lpwstr>_Toc12088</vt:lpwstr>
      </vt:variant>
      <vt:variant>
        <vt:i4>1507381</vt:i4>
      </vt:variant>
      <vt:variant>
        <vt:i4>230</vt:i4>
      </vt:variant>
      <vt:variant>
        <vt:i4>0</vt:i4>
      </vt:variant>
      <vt:variant>
        <vt:i4>5</vt:i4>
      </vt:variant>
      <vt:variant>
        <vt:lpwstr/>
      </vt:variant>
      <vt:variant>
        <vt:lpwstr>_Toc20700</vt:lpwstr>
      </vt:variant>
      <vt:variant>
        <vt:i4>1376306</vt:i4>
      </vt:variant>
      <vt:variant>
        <vt:i4>224</vt:i4>
      </vt:variant>
      <vt:variant>
        <vt:i4>0</vt:i4>
      </vt:variant>
      <vt:variant>
        <vt:i4>5</vt:i4>
      </vt:variant>
      <vt:variant>
        <vt:lpwstr/>
      </vt:variant>
      <vt:variant>
        <vt:lpwstr>_Toc10329</vt:lpwstr>
      </vt:variant>
      <vt:variant>
        <vt:i4>1507379</vt:i4>
      </vt:variant>
      <vt:variant>
        <vt:i4>218</vt:i4>
      </vt:variant>
      <vt:variant>
        <vt:i4>0</vt:i4>
      </vt:variant>
      <vt:variant>
        <vt:i4>5</vt:i4>
      </vt:variant>
      <vt:variant>
        <vt:lpwstr/>
      </vt:variant>
      <vt:variant>
        <vt:lpwstr>_Toc14249</vt:lpwstr>
      </vt:variant>
      <vt:variant>
        <vt:i4>1048629</vt:i4>
      </vt:variant>
      <vt:variant>
        <vt:i4>212</vt:i4>
      </vt:variant>
      <vt:variant>
        <vt:i4>0</vt:i4>
      </vt:variant>
      <vt:variant>
        <vt:i4>5</vt:i4>
      </vt:variant>
      <vt:variant>
        <vt:lpwstr/>
      </vt:variant>
      <vt:variant>
        <vt:lpwstr>_Toc31663</vt:lpwstr>
      </vt:variant>
      <vt:variant>
        <vt:i4>1441840</vt:i4>
      </vt:variant>
      <vt:variant>
        <vt:i4>206</vt:i4>
      </vt:variant>
      <vt:variant>
        <vt:i4>0</vt:i4>
      </vt:variant>
      <vt:variant>
        <vt:i4>5</vt:i4>
      </vt:variant>
      <vt:variant>
        <vt:lpwstr/>
      </vt:variant>
      <vt:variant>
        <vt:lpwstr>_Toc15147</vt:lpwstr>
      </vt:variant>
      <vt:variant>
        <vt:i4>1179705</vt:i4>
      </vt:variant>
      <vt:variant>
        <vt:i4>200</vt:i4>
      </vt:variant>
      <vt:variant>
        <vt:i4>0</vt:i4>
      </vt:variant>
      <vt:variant>
        <vt:i4>5</vt:i4>
      </vt:variant>
      <vt:variant>
        <vt:lpwstr/>
      </vt:variant>
      <vt:variant>
        <vt:lpwstr>_Toc17825</vt:lpwstr>
      </vt:variant>
      <vt:variant>
        <vt:i4>1441843</vt:i4>
      </vt:variant>
      <vt:variant>
        <vt:i4>194</vt:i4>
      </vt:variant>
      <vt:variant>
        <vt:i4>0</vt:i4>
      </vt:variant>
      <vt:variant>
        <vt:i4>5</vt:i4>
      </vt:variant>
      <vt:variant>
        <vt:lpwstr/>
      </vt:variant>
      <vt:variant>
        <vt:lpwstr>_Toc6051</vt:lpwstr>
      </vt:variant>
      <vt:variant>
        <vt:i4>1441847</vt:i4>
      </vt:variant>
      <vt:variant>
        <vt:i4>188</vt:i4>
      </vt:variant>
      <vt:variant>
        <vt:i4>0</vt:i4>
      </vt:variant>
      <vt:variant>
        <vt:i4>5</vt:i4>
      </vt:variant>
      <vt:variant>
        <vt:lpwstr/>
      </vt:variant>
      <vt:variant>
        <vt:lpwstr>_Toc1160</vt:lpwstr>
      </vt:variant>
      <vt:variant>
        <vt:i4>1114162</vt:i4>
      </vt:variant>
      <vt:variant>
        <vt:i4>182</vt:i4>
      </vt:variant>
      <vt:variant>
        <vt:i4>0</vt:i4>
      </vt:variant>
      <vt:variant>
        <vt:i4>5</vt:i4>
      </vt:variant>
      <vt:variant>
        <vt:lpwstr/>
      </vt:variant>
      <vt:variant>
        <vt:lpwstr>_Toc15338</vt:lpwstr>
      </vt:variant>
      <vt:variant>
        <vt:i4>1048628</vt:i4>
      </vt:variant>
      <vt:variant>
        <vt:i4>176</vt:i4>
      </vt:variant>
      <vt:variant>
        <vt:i4>0</vt:i4>
      </vt:variant>
      <vt:variant>
        <vt:i4>5</vt:i4>
      </vt:variant>
      <vt:variant>
        <vt:lpwstr/>
      </vt:variant>
      <vt:variant>
        <vt:lpwstr>_Toc13542</vt:lpwstr>
      </vt:variant>
      <vt:variant>
        <vt:i4>1048625</vt:i4>
      </vt:variant>
      <vt:variant>
        <vt:i4>170</vt:i4>
      </vt:variant>
      <vt:variant>
        <vt:i4>0</vt:i4>
      </vt:variant>
      <vt:variant>
        <vt:i4>5</vt:i4>
      </vt:variant>
      <vt:variant>
        <vt:lpwstr/>
      </vt:variant>
      <vt:variant>
        <vt:lpwstr>_Toc25328</vt:lpwstr>
      </vt:variant>
      <vt:variant>
        <vt:i4>1507381</vt:i4>
      </vt:variant>
      <vt:variant>
        <vt:i4>164</vt:i4>
      </vt:variant>
      <vt:variant>
        <vt:i4>0</vt:i4>
      </vt:variant>
      <vt:variant>
        <vt:i4>5</vt:i4>
      </vt:variant>
      <vt:variant>
        <vt:lpwstr/>
      </vt:variant>
      <vt:variant>
        <vt:lpwstr>_Toc27771</vt:lpwstr>
      </vt:variant>
      <vt:variant>
        <vt:i4>1441840</vt:i4>
      </vt:variant>
      <vt:variant>
        <vt:i4>158</vt:i4>
      </vt:variant>
      <vt:variant>
        <vt:i4>0</vt:i4>
      </vt:variant>
      <vt:variant>
        <vt:i4>5</vt:i4>
      </vt:variant>
      <vt:variant>
        <vt:lpwstr/>
      </vt:variant>
      <vt:variant>
        <vt:lpwstr>_Toc11109</vt:lpwstr>
      </vt:variant>
      <vt:variant>
        <vt:i4>2031670</vt:i4>
      </vt:variant>
      <vt:variant>
        <vt:i4>152</vt:i4>
      </vt:variant>
      <vt:variant>
        <vt:i4>0</vt:i4>
      </vt:variant>
      <vt:variant>
        <vt:i4>5</vt:i4>
      </vt:variant>
      <vt:variant>
        <vt:lpwstr/>
      </vt:variant>
      <vt:variant>
        <vt:lpwstr>_Toc5139</vt:lpwstr>
      </vt:variant>
      <vt:variant>
        <vt:i4>1114163</vt:i4>
      </vt:variant>
      <vt:variant>
        <vt:i4>146</vt:i4>
      </vt:variant>
      <vt:variant>
        <vt:i4>0</vt:i4>
      </vt:variant>
      <vt:variant>
        <vt:i4>5</vt:i4>
      </vt:variant>
      <vt:variant>
        <vt:lpwstr/>
      </vt:variant>
      <vt:variant>
        <vt:lpwstr>_Toc25136</vt:lpwstr>
      </vt:variant>
      <vt:variant>
        <vt:i4>1048628</vt:i4>
      </vt:variant>
      <vt:variant>
        <vt:i4>140</vt:i4>
      </vt:variant>
      <vt:variant>
        <vt:i4>0</vt:i4>
      </vt:variant>
      <vt:variant>
        <vt:i4>5</vt:i4>
      </vt:variant>
      <vt:variant>
        <vt:lpwstr/>
      </vt:variant>
      <vt:variant>
        <vt:lpwstr>_Toc24633</vt:lpwstr>
      </vt:variant>
      <vt:variant>
        <vt:i4>1179700</vt:i4>
      </vt:variant>
      <vt:variant>
        <vt:i4>134</vt:i4>
      </vt:variant>
      <vt:variant>
        <vt:i4>0</vt:i4>
      </vt:variant>
      <vt:variant>
        <vt:i4>5</vt:i4>
      </vt:variant>
      <vt:variant>
        <vt:lpwstr/>
      </vt:variant>
      <vt:variant>
        <vt:lpwstr>_Toc14517</vt:lpwstr>
      </vt:variant>
      <vt:variant>
        <vt:i4>1441847</vt:i4>
      </vt:variant>
      <vt:variant>
        <vt:i4>128</vt:i4>
      </vt:variant>
      <vt:variant>
        <vt:i4>0</vt:i4>
      </vt:variant>
      <vt:variant>
        <vt:i4>5</vt:i4>
      </vt:variant>
      <vt:variant>
        <vt:lpwstr/>
      </vt:variant>
      <vt:variant>
        <vt:lpwstr>_Toc23522</vt:lpwstr>
      </vt:variant>
      <vt:variant>
        <vt:i4>1441846</vt:i4>
      </vt:variant>
      <vt:variant>
        <vt:i4>122</vt:i4>
      </vt:variant>
      <vt:variant>
        <vt:i4>0</vt:i4>
      </vt:variant>
      <vt:variant>
        <vt:i4>5</vt:i4>
      </vt:variant>
      <vt:variant>
        <vt:lpwstr/>
      </vt:variant>
      <vt:variant>
        <vt:lpwstr>_Toc23428</vt:lpwstr>
      </vt:variant>
      <vt:variant>
        <vt:i4>1245240</vt:i4>
      </vt:variant>
      <vt:variant>
        <vt:i4>116</vt:i4>
      </vt:variant>
      <vt:variant>
        <vt:i4>0</vt:i4>
      </vt:variant>
      <vt:variant>
        <vt:i4>5</vt:i4>
      </vt:variant>
      <vt:variant>
        <vt:lpwstr/>
      </vt:variant>
      <vt:variant>
        <vt:lpwstr>_Toc9410</vt:lpwstr>
      </vt:variant>
      <vt:variant>
        <vt:i4>1441843</vt:i4>
      </vt:variant>
      <vt:variant>
        <vt:i4>110</vt:i4>
      </vt:variant>
      <vt:variant>
        <vt:i4>0</vt:i4>
      </vt:variant>
      <vt:variant>
        <vt:i4>5</vt:i4>
      </vt:variant>
      <vt:variant>
        <vt:lpwstr/>
      </vt:variant>
      <vt:variant>
        <vt:lpwstr>_Toc23121</vt:lpwstr>
      </vt:variant>
      <vt:variant>
        <vt:i4>1048624</vt:i4>
      </vt:variant>
      <vt:variant>
        <vt:i4>104</vt:i4>
      </vt:variant>
      <vt:variant>
        <vt:i4>0</vt:i4>
      </vt:variant>
      <vt:variant>
        <vt:i4>5</vt:i4>
      </vt:variant>
      <vt:variant>
        <vt:lpwstr/>
      </vt:variant>
      <vt:variant>
        <vt:lpwstr>_Toc32355</vt:lpwstr>
      </vt:variant>
      <vt:variant>
        <vt:i4>1441846</vt:i4>
      </vt:variant>
      <vt:variant>
        <vt:i4>98</vt:i4>
      </vt:variant>
      <vt:variant>
        <vt:i4>0</vt:i4>
      </vt:variant>
      <vt:variant>
        <vt:i4>5</vt:i4>
      </vt:variant>
      <vt:variant>
        <vt:lpwstr/>
      </vt:variant>
      <vt:variant>
        <vt:lpwstr>_Toc4524</vt:lpwstr>
      </vt:variant>
      <vt:variant>
        <vt:i4>1179700</vt:i4>
      </vt:variant>
      <vt:variant>
        <vt:i4>92</vt:i4>
      </vt:variant>
      <vt:variant>
        <vt:i4>0</vt:i4>
      </vt:variant>
      <vt:variant>
        <vt:i4>5</vt:i4>
      </vt:variant>
      <vt:variant>
        <vt:lpwstr/>
      </vt:variant>
      <vt:variant>
        <vt:lpwstr>_Toc27628</vt:lpwstr>
      </vt:variant>
      <vt:variant>
        <vt:i4>1245237</vt:i4>
      </vt:variant>
      <vt:variant>
        <vt:i4>86</vt:i4>
      </vt:variant>
      <vt:variant>
        <vt:i4>0</vt:i4>
      </vt:variant>
      <vt:variant>
        <vt:i4>5</vt:i4>
      </vt:variant>
      <vt:variant>
        <vt:lpwstr/>
      </vt:variant>
      <vt:variant>
        <vt:lpwstr>_Toc1541</vt:lpwstr>
      </vt:variant>
      <vt:variant>
        <vt:i4>1245238</vt:i4>
      </vt:variant>
      <vt:variant>
        <vt:i4>80</vt:i4>
      </vt:variant>
      <vt:variant>
        <vt:i4>0</vt:i4>
      </vt:variant>
      <vt:variant>
        <vt:i4>5</vt:i4>
      </vt:variant>
      <vt:variant>
        <vt:lpwstr/>
      </vt:variant>
      <vt:variant>
        <vt:lpwstr>_Toc11755</vt:lpwstr>
      </vt:variant>
      <vt:variant>
        <vt:i4>1179700</vt:i4>
      </vt:variant>
      <vt:variant>
        <vt:i4>74</vt:i4>
      </vt:variant>
      <vt:variant>
        <vt:i4>0</vt:i4>
      </vt:variant>
      <vt:variant>
        <vt:i4>5</vt:i4>
      </vt:variant>
      <vt:variant>
        <vt:lpwstr/>
      </vt:variant>
      <vt:variant>
        <vt:lpwstr>_Toc22677</vt:lpwstr>
      </vt:variant>
      <vt:variant>
        <vt:i4>3014660</vt:i4>
      </vt:variant>
      <vt:variant>
        <vt:i4>68</vt:i4>
      </vt:variant>
      <vt:variant>
        <vt:i4>0</vt:i4>
      </vt:variant>
      <vt:variant>
        <vt:i4>5</vt:i4>
      </vt:variant>
      <vt:variant>
        <vt:lpwstr/>
      </vt:variant>
      <vt:variant>
        <vt:lpwstr>_Toc492</vt:lpwstr>
      </vt:variant>
      <vt:variant>
        <vt:i4>1900600</vt:i4>
      </vt:variant>
      <vt:variant>
        <vt:i4>62</vt:i4>
      </vt:variant>
      <vt:variant>
        <vt:i4>0</vt:i4>
      </vt:variant>
      <vt:variant>
        <vt:i4>5</vt:i4>
      </vt:variant>
      <vt:variant>
        <vt:lpwstr/>
      </vt:variant>
      <vt:variant>
        <vt:lpwstr>_Toc19930</vt:lpwstr>
      </vt:variant>
      <vt:variant>
        <vt:i4>1703985</vt:i4>
      </vt:variant>
      <vt:variant>
        <vt:i4>56</vt:i4>
      </vt:variant>
      <vt:variant>
        <vt:i4>0</vt:i4>
      </vt:variant>
      <vt:variant>
        <vt:i4>5</vt:i4>
      </vt:variant>
      <vt:variant>
        <vt:lpwstr/>
      </vt:variant>
      <vt:variant>
        <vt:lpwstr>_Toc18056</vt:lpwstr>
      </vt:variant>
      <vt:variant>
        <vt:i4>1835063</vt:i4>
      </vt:variant>
      <vt:variant>
        <vt:i4>50</vt:i4>
      </vt:variant>
      <vt:variant>
        <vt:i4>0</vt:i4>
      </vt:variant>
      <vt:variant>
        <vt:i4>5</vt:i4>
      </vt:variant>
      <vt:variant>
        <vt:lpwstr/>
      </vt:variant>
      <vt:variant>
        <vt:lpwstr>_Toc13688</vt:lpwstr>
      </vt:variant>
      <vt:variant>
        <vt:i4>1048625</vt:i4>
      </vt:variant>
      <vt:variant>
        <vt:i4>44</vt:i4>
      </vt:variant>
      <vt:variant>
        <vt:i4>0</vt:i4>
      </vt:variant>
      <vt:variant>
        <vt:i4>5</vt:i4>
      </vt:variant>
      <vt:variant>
        <vt:lpwstr/>
      </vt:variant>
      <vt:variant>
        <vt:lpwstr>_Toc3423</vt:lpwstr>
      </vt:variant>
      <vt:variant>
        <vt:i4>1507386</vt:i4>
      </vt:variant>
      <vt:variant>
        <vt:i4>38</vt:i4>
      </vt:variant>
      <vt:variant>
        <vt:i4>0</vt:i4>
      </vt:variant>
      <vt:variant>
        <vt:i4>5</vt:i4>
      </vt:variant>
      <vt:variant>
        <vt:lpwstr/>
      </vt:variant>
      <vt:variant>
        <vt:lpwstr>_Toc23831</vt:lpwstr>
      </vt:variant>
      <vt:variant>
        <vt:i4>1507378</vt:i4>
      </vt:variant>
      <vt:variant>
        <vt:i4>32</vt:i4>
      </vt:variant>
      <vt:variant>
        <vt:i4>0</vt:i4>
      </vt:variant>
      <vt:variant>
        <vt:i4>5</vt:i4>
      </vt:variant>
      <vt:variant>
        <vt:lpwstr/>
      </vt:variant>
      <vt:variant>
        <vt:lpwstr>_Toc27070</vt:lpwstr>
      </vt:variant>
      <vt:variant>
        <vt:i4>1572915</vt:i4>
      </vt:variant>
      <vt:variant>
        <vt:i4>26</vt:i4>
      </vt:variant>
      <vt:variant>
        <vt:i4>0</vt:i4>
      </vt:variant>
      <vt:variant>
        <vt:i4>5</vt:i4>
      </vt:variant>
      <vt:variant>
        <vt:lpwstr/>
      </vt:variant>
      <vt:variant>
        <vt:lpwstr>_Toc26191</vt:lpwstr>
      </vt:variant>
      <vt:variant>
        <vt:i4>1966142</vt:i4>
      </vt:variant>
      <vt:variant>
        <vt:i4>20</vt:i4>
      </vt:variant>
      <vt:variant>
        <vt:i4>0</vt:i4>
      </vt:variant>
      <vt:variant>
        <vt:i4>5</vt:i4>
      </vt:variant>
      <vt:variant>
        <vt:lpwstr/>
      </vt:variant>
      <vt:variant>
        <vt:lpwstr>_Toc9970</vt:lpwstr>
      </vt:variant>
      <vt:variant>
        <vt:i4>1572925</vt:i4>
      </vt:variant>
      <vt:variant>
        <vt:i4>14</vt:i4>
      </vt:variant>
      <vt:variant>
        <vt:i4>0</vt:i4>
      </vt:variant>
      <vt:variant>
        <vt:i4>5</vt:i4>
      </vt:variant>
      <vt:variant>
        <vt:lpwstr/>
      </vt:variant>
      <vt:variant>
        <vt:lpwstr>_Toc8758</vt:lpwstr>
      </vt:variant>
      <vt:variant>
        <vt:i4>1048632</vt:i4>
      </vt:variant>
      <vt:variant>
        <vt:i4>8</vt:i4>
      </vt:variant>
      <vt:variant>
        <vt:i4>0</vt:i4>
      </vt:variant>
      <vt:variant>
        <vt:i4>5</vt:i4>
      </vt:variant>
      <vt:variant>
        <vt:lpwstr/>
      </vt:variant>
      <vt:variant>
        <vt:lpwstr>_Toc12951</vt:lpwstr>
      </vt:variant>
      <vt:variant>
        <vt:i4>2031671</vt:i4>
      </vt:variant>
      <vt:variant>
        <vt:i4>2</vt:i4>
      </vt:variant>
      <vt:variant>
        <vt:i4>0</vt:i4>
      </vt:variant>
      <vt:variant>
        <vt:i4>5</vt:i4>
      </vt:variant>
      <vt:variant>
        <vt:lpwstr/>
      </vt:variant>
      <vt:variant>
        <vt:lpwstr>_Toc1169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1总论</dc:title>
  <dc:creator>MC SYSTEM</dc:creator>
  <cp:lastModifiedBy>Administrator</cp:lastModifiedBy>
  <cp:revision>4</cp:revision>
  <cp:lastPrinted>2016-12-20T03:30:00Z</cp:lastPrinted>
  <dcterms:created xsi:type="dcterms:W3CDTF">2017-01-15T10:11:00Z</dcterms:created>
  <dcterms:modified xsi:type="dcterms:W3CDTF">2017-01-16T01:23:00Z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2052-10.1.0.6029</vt:lpwstr>
  </property>
</Properties>
</file>