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sz w:val="84"/>
          <w:szCs w:val="84"/>
        </w:rPr>
      </w:pPr>
      <w:r>
        <w:rPr>
          <w:rFonts w:hint="eastAsia"/>
          <w:sz w:val="84"/>
          <w:szCs w:val="84"/>
        </w:rPr>
        <w:t>2021年度</w:t>
      </w:r>
    </w:p>
    <w:p>
      <w:pPr>
        <w:pStyle w:val="10"/>
        <w:jc w:val="center"/>
        <w:rPr>
          <w:rFonts w:hint="eastAsia"/>
          <w:sz w:val="84"/>
          <w:szCs w:val="84"/>
        </w:rPr>
      </w:pPr>
      <w:r>
        <w:rPr>
          <w:rFonts w:hint="eastAsia"/>
          <w:sz w:val="84"/>
          <w:szCs w:val="84"/>
        </w:rPr>
        <w:t>岳阳市生态环境局</w:t>
      </w:r>
    </w:p>
    <w:p>
      <w:pPr>
        <w:pStyle w:val="10"/>
        <w:jc w:val="center"/>
        <w:rPr>
          <w:sz w:val="84"/>
          <w:szCs w:val="84"/>
        </w:rPr>
      </w:pPr>
      <w:r>
        <w:rPr>
          <w:rFonts w:hint="eastAsia"/>
          <w:sz w:val="84"/>
          <w:szCs w:val="84"/>
        </w:rPr>
        <w:t>(本级)部门决算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岳阳市生态环境局(本级)概况</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rFonts w:hint="eastAsia"/>
          <w:sz w:val="84"/>
          <w:szCs w:val="84"/>
        </w:rPr>
      </w:pPr>
      <w:r>
        <w:rPr>
          <w:rFonts w:hint="eastAsia"/>
          <w:sz w:val="84"/>
          <w:szCs w:val="84"/>
        </w:rPr>
        <w:t>第一部分</w:t>
      </w:r>
    </w:p>
    <w:p>
      <w:pPr>
        <w:pStyle w:val="10"/>
        <w:jc w:val="center"/>
        <w:rPr>
          <w:rFonts w:hint="eastAsia"/>
          <w:sz w:val="84"/>
          <w:szCs w:val="84"/>
        </w:rPr>
      </w:pPr>
      <w:r>
        <w:rPr>
          <w:rFonts w:hint="eastAsia"/>
          <w:sz w:val="84"/>
          <w:szCs w:val="84"/>
        </w:rPr>
        <w:t>岳阳市生态环境局(本级)</w:t>
      </w:r>
    </w:p>
    <w:p>
      <w:pPr>
        <w:pStyle w:val="10"/>
        <w:jc w:val="center"/>
        <w:rPr>
          <w:sz w:val="84"/>
          <w:szCs w:val="84"/>
        </w:rPr>
      </w:pP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贯彻执行生态环境法律法规和标准，会同有关部门拟订本市生态环境政策、规划并组织实施，配合制定生态环境有关地方性法规和政府规章草案；会同有关部门编制并监督实施重点区域、流域、饮用水水源地保护等生态环境规划和水、大气环境、声环境功能区划。</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（2）负责全市生态环境问题的统筹协调和监督管理。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（3）负责监督管理减排目标的落实。</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（4）负责提出生态环境领域固定资产投资规模和方向、市级财政性资金安排的意见，按规定权限审批、核准规划内和年度计划规模内生态环境领域固定资产投资项目，配合有关部门做好组织实施和监督工作。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（5）负责环境污染防治的监督管理。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（6）指导协调和监督生态保护修复工作。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（7）负责核与辐射安全的监督管理。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（8）负责生态环境准入的监督管理。</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（9）负责重点污染源监测工作。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（10）负责应对气候变化工作。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（11）配合开展生态环境保护督察工作。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（12）统一监督生态环境执法工作。</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（13）组织指导和协调生态环境宣传教育工作，贯彻实施生态环境保护宣传教育纲要，推动社会组织和公众参与生态环境保护。</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（14）开展生态环境对外合作交流，研究提出生态环境对外合作中有关问题的建议，组织协调有关生态环境国际条约的本市履约工作，参与处理涉外生态环境事务。</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highlight w:val="white"/>
        </w:rPr>
      </w:pPr>
      <w:r>
        <w:rPr>
          <w:rFonts w:hint="eastAsia" w:ascii="仿宋_GB2312" w:hAnsi="仿宋_GB2312" w:eastAsia="仿宋_GB2312" w:cs="仿宋_GB2312"/>
          <w:color w:val="000000"/>
          <w:sz w:val="32"/>
          <w:szCs w:val="32"/>
          <w:highlight w:val="white"/>
        </w:rPr>
        <w:t>（15）完成市委、市政府交办的其他事项。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Theme="minorEastAsia" w:hAnsiTheme="minorEastAsia"/>
          <w:i/>
          <w:iCs/>
          <w:sz w:val="32"/>
          <w:szCs w:val="32"/>
        </w:rPr>
      </w:pPr>
      <w:r>
        <w:rPr>
          <w:rFonts w:hint="eastAsia" w:ascii="仿宋_GB2312" w:hAnsi="仿宋_GB2312" w:eastAsia="仿宋_GB2312" w:cs="仿宋_GB2312"/>
          <w:color w:val="000000"/>
          <w:sz w:val="32"/>
          <w:szCs w:val="32"/>
          <w:highlight w:val="white"/>
        </w:rPr>
        <w:t>（16）职能转变。</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Theme="minorEastAsia" w:hAnsiTheme="minorEastAsia" w:eastAsiaTheme="minorEastAsia"/>
          <w:bCs/>
          <w:i/>
          <w:iCs/>
          <w:color w:val="FF0000"/>
          <w:kern w:val="0"/>
          <w:sz w:val="32"/>
          <w:szCs w:val="32"/>
          <w:lang w:eastAsia="zh-CN"/>
        </w:rPr>
      </w:pPr>
      <w:r>
        <w:rPr>
          <w:rFonts w:hint="eastAsia" w:asciiTheme="minorEastAsia" w:hAnsiTheme="minorEastAsia"/>
          <w:bCs/>
          <w:kern w:val="0"/>
          <w:sz w:val="32"/>
          <w:szCs w:val="32"/>
        </w:rPr>
        <w:t>2021年底，我局机关共有干部职工</w:t>
      </w:r>
      <w:r>
        <w:rPr>
          <w:rFonts w:hint="eastAsia" w:asciiTheme="minorEastAsia" w:hAnsiTheme="minorEastAsia"/>
          <w:bCs/>
          <w:kern w:val="0"/>
          <w:sz w:val="32"/>
          <w:szCs w:val="32"/>
          <w:lang w:val="en-US" w:eastAsia="zh-CN"/>
        </w:rPr>
        <w:t>105</w:t>
      </w:r>
      <w:r>
        <w:rPr>
          <w:rFonts w:hint="eastAsia" w:asciiTheme="minorEastAsia" w:hAnsiTheme="minorEastAsia"/>
          <w:bCs/>
          <w:kern w:val="0"/>
          <w:sz w:val="32"/>
          <w:szCs w:val="32"/>
        </w:rPr>
        <w:t>人，其中在职人数73名，离退人员32人，核定编制人数73人，大专以上学历占90%以上。岳阳市生态环境局(本级)单位内设机构包括：办公室、生态环境监督科、综合协调科、法规与标准科、自然生态保护科、水生态环境科、大气环境与应对气候变化科、土壤生态环境科、固体废物与化学品科、核与辐射管理科、环评和污染排放科（行政审批办公室）、宣教与监测科、科技与财务科、人事科14个职能科室和机关党委（纪委）、机关工会、离退休人员管理服务科。下设综合行政执法支队、生态环境事务中心2个二级机构；平江、岳阳县、华容、湘阴、汨罗、临湘、岳阳楼、云溪、君山、经开、南湖、屈原、城陵矶新港区分局13个派出机构。</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决算单位构成。</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rPr>
          <w:rFonts w:asciiTheme="minorEastAsia" w:hAnsiTheme="minorEastAsia"/>
          <w:bCs/>
          <w:i/>
          <w:iCs/>
          <w:kern w:val="0"/>
          <w:sz w:val="32"/>
          <w:szCs w:val="32"/>
        </w:rPr>
      </w:pPr>
      <w:r>
        <w:rPr>
          <w:rFonts w:hint="eastAsia" w:asciiTheme="minorEastAsia" w:hAnsiTheme="minorEastAsia"/>
          <w:bCs/>
          <w:kern w:val="0"/>
          <w:sz w:val="32"/>
          <w:szCs w:val="32"/>
        </w:rPr>
        <w:t>岳阳市生态环境局(本级)单位2021年部门决算公开单位构成包括：局机关本级决算， 所属13个派出机构和综合行政执法支队均是独立核算单位，并已单独公开决算，因此，纳入2021年部门决算公开范围的为本部门（单位）自己。</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both"/>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一、收入支出决算总体情况说明</w:t>
      </w:r>
    </w:p>
    <w:p>
      <w:pPr>
        <w:ind w:firstLine="640" w:firstLineChars="200"/>
        <w:rPr>
          <w:rFonts w:hint="default" w:ascii="仿宋_GB2312" w:hAnsi="仿宋_GB2312" w:cs="仿宋_GB2312" w:eastAsiaTheme="minorEastAsia"/>
          <w:color w:val="0000FF"/>
          <w:sz w:val="32"/>
          <w:szCs w:val="32"/>
          <w:highlight w:val="white"/>
          <w:lang w:val="en-US" w:eastAsia="zh-CN"/>
        </w:rPr>
      </w:pPr>
      <w:r>
        <w:rPr>
          <w:rFonts w:hint="eastAsia" w:asciiTheme="minorEastAsia" w:hAnsiTheme="minorEastAsia" w:eastAsiaTheme="minorEastAsia" w:cstheme="minorEastAsia"/>
          <w:color w:val="000000"/>
          <w:sz w:val="32"/>
          <w:szCs w:val="32"/>
          <w:highlight w:val="white"/>
        </w:rPr>
        <w:t>2021年度收、支总计均为4709.05万元，与2020年相比，收、支总计各减少169.4万元，下降3.47%。</w:t>
      </w:r>
      <w:r>
        <w:rPr>
          <w:rFonts w:hint="eastAsia" w:asciiTheme="minorEastAsia" w:hAnsiTheme="minorEastAsia" w:eastAsiaTheme="minorEastAsia" w:cstheme="minorEastAsia"/>
          <w:color w:val="0000FF"/>
          <w:sz w:val="32"/>
          <w:szCs w:val="32"/>
          <w:highlight w:val="white"/>
        </w:rPr>
        <w:t>主要原因是</w:t>
      </w:r>
      <w:r>
        <w:rPr>
          <w:rFonts w:hint="eastAsia" w:asciiTheme="minorEastAsia" w:hAnsiTheme="minorEastAsia" w:cstheme="minorEastAsia"/>
          <w:color w:val="0000FF"/>
          <w:sz w:val="32"/>
          <w:szCs w:val="32"/>
          <w:highlight w:val="white"/>
          <w:lang w:val="en-US" w:eastAsia="zh-CN"/>
        </w:rPr>
        <w:t>按最新（国发5号文及新制度解释4号）文件要求，今年单位未用完的预算指标不作结转，同时注销账上剩余的财政应返还额度，导致2021年收入减少</w:t>
      </w:r>
      <w:r>
        <w:rPr>
          <w:rFonts w:hint="eastAsia" w:asciiTheme="minorEastAsia" w:hAnsiTheme="minorEastAsia" w:eastAsiaTheme="minorEastAsia"/>
          <w:sz w:val="32"/>
          <w:szCs w:val="32"/>
        </w:rPr>
        <w:t>。</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二、收入决算情况说明</w:t>
      </w:r>
    </w:p>
    <w:p>
      <w:pPr>
        <w:pStyle w:val="10"/>
        <w:ind w:firstLine="640" w:firstLineChars="200"/>
        <w:rPr>
          <w:rFonts w:hint="eastAsia" w:asciiTheme="minorEastAsia" w:hAnsiTheme="minorEastAsia" w:eastAsiaTheme="minorEastAsia"/>
          <w:b w:val="0"/>
          <w:bCs w:val="0"/>
          <w:i/>
          <w:iCs/>
          <w:sz w:val="36"/>
          <w:szCs w:val="36"/>
        </w:rPr>
      </w:pPr>
      <w:r>
        <w:rPr>
          <w:rFonts w:hint="eastAsia" w:asciiTheme="minorEastAsia" w:hAnsiTheme="minorEastAsia" w:eastAsiaTheme="minorEastAsia"/>
          <w:sz w:val="32"/>
          <w:szCs w:val="32"/>
        </w:rPr>
        <w:t>2021年度收入合计3523.9万元，其中：财政拨款收入3322.14万元，占94.27%；其他收入201.76万元，占5.73%。</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三、支出决算情况说明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2021年度支出合计4709.05万元，其中：基本支出1228.65万元，占26.09%；项目支出3480.4万元，占73.91%。</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四、财政拨款收入支出决算总体情况说明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2021年度财政拨款收、支总计均为4498.51万元，与2020年相比，财政拨款收、支总计各减少323.8万元，下降6.71%。主要原因是</w:t>
      </w:r>
      <w:r>
        <w:rPr>
          <w:rFonts w:hint="eastAsia" w:asciiTheme="minorEastAsia" w:hAnsiTheme="minorEastAsia" w:eastAsiaTheme="minorEastAsia"/>
          <w:sz w:val="32"/>
          <w:szCs w:val="32"/>
          <w:lang w:val="en-US" w:eastAsia="zh-CN"/>
        </w:rPr>
        <w:t>2021年</w:t>
      </w:r>
      <w:r>
        <w:rPr>
          <w:rFonts w:hint="eastAsia" w:asciiTheme="minorEastAsia" w:hAnsiTheme="minorEastAsia" w:eastAsiaTheme="minorEastAsia"/>
          <w:sz w:val="32"/>
          <w:szCs w:val="32"/>
        </w:rPr>
        <w:t>减少了湖南省岳阳生态环境监测中心的转拨经费</w:t>
      </w:r>
      <w:r>
        <w:rPr>
          <w:rFonts w:hint="eastAsia" w:asciiTheme="minorEastAsia" w:hAnsiTheme="minorEastAsia" w:eastAsiaTheme="minorEastAsia"/>
          <w:sz w:val="32"/>
          <w:szCs w:val="32"/>
          <w:lang w:val="en-US" w:eastAsia="zh-CN"/>
        </w:rPr>
        <w:t>及减少了市财政审批专项经费等</w:t>
      </w:r>
      <w:r>
        <w:rPr>
          <w:rFonts w:hint="eastAsia" w:asciiTheme="minorEastAsia" w:hAnsiTheme="minorEastAsia" w:eastAsiaTheme="minorEastAsia"/>
          <w:sz w:val="32"/>
          <w:szCs w:val="32"/>
        </w:rPr>
        <w:t>。</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i/>
          <w:iCs/>
          <w:sz w:val="32"/>
          <w:szCs w:val="32"/>
          <w:lang w:eastAsia="zh-CN"/>
        </w:rPr>
      </w:pPr>
      <w:r>
        <w:rPr>
          <w:rFonts w:hint="eastAsia" w:asciiTheme="minorEastAsia" w:hAnsiTheme="minorEastAsia" w:eastAsiaTheme="minorEastAsia"/>
          <w:sz w:val="32"/>
          <w:szCs w:val="32"/>
        </w:rPr>
        <w:t>2021年度财政拨款支出4498.51万元，占本年支出合计的95.53%。与2020年度相比，财政拨款支出增加1271万元，增长39.39%,</w:t>
      </w:r>
      <w:r>
        <w:rPr>
          <w:rFonts w:hint="eastAsia" w:asciiTheme="minorEastAsia" w:hAnsiTheme="minorEastAsia" w:eastAsiaTheme="minorEastAsia"/>
          <w:color w:val="0000FF"/>
          <w:sz w:val="32"/>
          <w:szCs w:val="32"/>
        </w:rPr>
        <w:t>主要原因是</w:t>
      </w:r>
      <w:r>
        <w:rPr>
          <w:rFonts w:hint="eastAsia" w:asciiTheme="minorEastAsia" w:hAnsiTheme="minorEastAsia" w:eastAsiaTheme="minorEastAsia"/>
          <w:color w:val="0000FF"/>
          <w:sz w:val="32"/>
          <w:szCs w:val="32"/>
          <w:lang w:val="en-US" w:eastAsia="zh-CN"/>
        </w:rPr>
        <w:t>按规定使用上年度结转结余资金、及时支付了</w:t>
      </w:r>
      <w:r>
        <w:rPr>
          <w:rFonts w:hint="eastAsia" w:asciiTheme="minorEastAsia" w:hAnsiTheme="minorEastAsia" w:eastAsiaTheme="minorEastAsia"/>
          <w:color w:val="0000FF"/>
          <w:sz w:val="32"/>
          <w:szCs w:val="32"/>
        </w:rPr>
        <w:t>空气环境质量自动监测仪器辅助设备和监测监察环境工作信息化平板及生态环境大数据项目费用等</w:t>
      </w:r>
      <w:r>
        <w:rPr>
          <w:rFonts w:hint="eastAsia" w:asciiTheme="minorEastAsia" w:hAnsiTheme="minorEastAsia" w:eastAsiaTheme="minorEastAsia"/>
          <w:color w:val="0000FF"/>
          <w:sz w:val="32"/>
          <w:szCs w:val="32"/>
          <w:lang w:val="en-US" w:eastAsia="zh-CN"/>
        </w:rPr>
        <w:t>专项经费</w:t>
      </w:r>
      <w:r>
        <w:rPr>
          <w:rFonts w:hint="eastAsia" w:asciiTheme="minorEastAsia" w:hAnsiTheme="minorEastAsia" w:eastAsiaTheme="minorEastAsia"/>
          <w:color w:val="0000FF"/>
          <w:sz w:val="32"/>
          <w:szCs w:val="32"/>
          <w:lang w:eastAsia="zh-CN"/>
        </w:rPr>
        <w:t>。</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4498.51万元，主要用于以下方面：一般公共服务（类）支出20.15万元，占0.45%；社会保障和就业（类）支出141.2万元，占3.14%；卫生健康（类）支出38.08万元，占0.85%；节能环保（类）支出3872.25万元，占86.08%；其他（类）支出426.83万元，占9.49%。</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2021年度财政拨款支出年初预算为</w:t>
      </w:r>
      <w:r>
        <w:rPr>
          <w:rFonts w:hint="eastAsia" w:asciiTheme="minorEastAsia" w:hAnsiTheme="minorEastAsia" w:eastAsiaTheme="minorEastAsia"/>
          <w:sz w:val="32"/>
          <w:szCs w:val="32"/>
          <w:lang w:val="en-US" w:eastAsia="zh-CN"/>
        </w:rPr>
        <w:t>2044.13</w:t>
      </w:r>
      <w:r>
        <w:rPr>
          <w:rFonts w:hint="eastAsia" w:asciiTheme="minorEastAsia" w:hAnsiTheme="minorEastAsia" w:eastAsiaTheme="minorEastAsia"/>
          <w:sz w:val="32"/>
          <w:szCs w:val="32"/>
        </w:rPr>
        <w:t>万元，支出决算为4498.51万元，完成年初预算的</w:t>
      </w:r>
      <w:r>
        <w:rPr>
          <w:rFonts w:hint="eastAsia" w:asciiTheme="minorEastAsia" w:hAnsiTheme="minorEastAsia" w:eastAsiaTheme="minorEastAsia"/>
          <w:sz w:val="32"/>
          <w:szCs w:val="32"/>
          <w:lang w:val="en-US" w:eastAsia="zh-CN"/>
        </w:rPr>
        <w:t>2</w:t>
      </w:r>
      <w:bookmarkStart w:id="0" w:name="_GoBack"/>
      <w:bookmarkEnd w:id="0"/>
      <w:r>
        <w:rPr>
          <w:rFonts w:hint="eastAsia" w:asciiTheme="minorEastAsia" w:hAnsiTheme="minorEastAsia" w:eastAsiaTheme="minorEastAsia"/>
          <w:sz w:val="32"/>
          <w:szCs w:val="32"/>
          <w:lang w:val="en-US" w:eastAsia="zh-CN"/>
        </w:rPr>
        <w:t>20.07</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一般公共服务支出（类）宣传事务（款）其他宣传事务支出（项）。年初预算为0万元，支出决算为0.15万元，决算数大于预算数的主要原因是按规定使用了上年结转资金。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一般公共服务支出（类）其他一般公共服务支出（款）其他一般公共服务支出（项）。年初预算为0万元，支出决算为20万元，决算数大于预算数的主要原因是按规定使用了上年结转资金。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社会保障和就业支出（类）行政事业单位养老支出（款）行政单位离退休（项）。年初预算为0.72万元，支出决算为0.72万元，完成年初预算的100%。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社会保障和就业支出（类）行政事业单位养老支出（款）机关事业单位基本养老保险缴费支出（项）。年初预算为82.27万元，支出决算为82.27万元，完成年初预算的100%。</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社会保障和就业支出（类）抚恤（款）其他优抚支出（项）。年初预算为0万元，支出决算为51.32万元，决算数大于预算数的主要原因是年中追加抚恤金支出预算。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社会保障和就业支出（类）残疾人事业（款）其他残疾人事业支出（项）。年初预算为5.93万元，支出决算为5.93万元，完成年初预算的100%。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社会保障和就业支出（类）其他社会保障和就业支出（款）其他社会保障和就业支出（项）。年初预算为0万元，支出决算为0.96万元，决算数大于预算数的主要原因是年中追加建国初期参加工作退休干部补贴预算。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卫生健康支出（类）行政事业单位医疗（款）行政单位医疗（项）。年初预算为38.08万元，支出决算为38.08万元，完成年初预算的100%。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节能环保支出（类）环境保护管理事务（款）行政运行（项）。年初预算为</w:t>
      </w:r>
      <w:r>
        <w:rPr>
          <w:rFonts w:hint="eastAsia" w:asciiTheme="minorEastAsia" w:hAnsiTheme="minorEastAsia" w:eastAsiaTheme="minorEastAsia"/>
          <w:sz w:val="32"/>
          <w:szCs w:val="32"/>
          <w:lang w:val="en-US" w:eastAsia="zh-CN"/>
        </w:rPr>
        <w:t>335.82</w:t>
      </w:r>
      <w:r>
        <w:rPr>
          <w:rFonts w:hint="eastAsia" w:asciiTheme="minorEastAsia" w:hAnsiTheme="minorEastAsia" w:eastAsiaTheme="minorEastAsia"/>
          <w:sz w:val="32"/>
          <w:szCs w:val="32"/>
        </w:rPr>
        <w:t xml:space="preserve">万元，支出决算为335.82万元，完成年初预算的100%。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节能环保支出（类）环境保护管理事务（款）一般行政管理事务（项）。年初预算为319.31万元，支出决算为319.35万元，决算数大于预算数的主要原</w:t>
      </w:r>
      <w:r>
        <w:rPr>
          <w:rFonts w:hint="eastAsia" w:asciiTheme="minorEastAsia" w:hAnsiTheme="minorEastAsia" w:eastAsiaTheme="minorEastAsia"/>
          <w:color w:val="0000FF"/>
          <w:sz w:val="32"/>
          <w:szCs w:val="32"/>
        </w:rPr>
        <w:t>因是</w:t>
      </w:r>
      <w:r>
        <w:rPr>
          <w:rFonts w:hint="eastAsia" w:asciiTheme="minorEastAsia" w:hAnsiTheme="minorEastAsia" w:eastAsiaTheme="minorEastAsia"/>
          <w:sz w:val="32"/>
          <w:szCs w:val="32"/>
          <w:lang w:val="en-US" w:eastAsia="zh-CN"/>
        </w:rPr>
        <w:t>按规定使用了上年度结转资金。</w:t>
      </w:r>
      <w:r>
        <w:rPr>
          <w:rFonts w:hint="eastAsia" w:asciiTheme="minorEastAsia" w:hAnsiTheme="minorEastAsia" w:eastAsiaTheme="minorEastAsia"/>
          <w:sz w:val="32"/>
          <w:szCs w:val="32"/>
        </w:rPr>
        <w:t xml:space="preserve">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节能环保支出（类）环境保护管理事务（款）其他环境保护管理事务支出（项）。年初预算为15万元，支出决算为25.48万元，决算数大于预算数的主要原因是</w:t>
      </w:r>
      <w:r>
        <w:rPr>
          <w:rFonts w:hint="eastAsia" w:asciiTheme="minorEastAsia" w:hAnsiTheme="minorEastAsia" w:eastAsiaTheme="minorEastAsia"/>
          <w:sz w:val="32"/>
          <w:szCs w:val="32"/>
          <w:lang w:val="en-US" w:eastAsia="zh-CN"/>
        </w:rPr>
        <w:t>按规定使用了上年度结转资金。</w:t>
      </w:r>
      <w:r>
        <w:rPr>
          <w:rFonts w:hint="eastAsia" w:asciiTheme="minorEastAsia" w:hAnsiTheme="minorEastAsia" w:eastAsiaTheme="minorEastAsia"/>
          <w:sz w:val="32"/>
          <w:szCs w:val="32"/>
        </w:rPr>
        <w:t xml:space="preserve">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节能环保支出（类）环境监测与监察（款）其他环境监测与监察支出（项）。年初预算为383万元，支出决算为253万元，决算数</w:t>
      </w:r>
      <w:r>
        <w:rPr>
          <w:rFonts w:hint="eastAsia" w:asciiTheme="minorEastAsia" w:hAnsiTheme="minorEastAsia" w:eastAsiaTheme="minorEastAsia"/>
          <w:sz w:val="32"/>
          <w:szCs w:val="32"/>
          <w:lang w:val="en-US" w:eastAsia="zh-CN"/>
        </w:rPr>
        <w:t>小</w:t>
      </w:r>
      <w:r>
        <w:rPr>
          <w:rFonts w:hint="eastAsia" w:asciiTheme="minorEastAsia" w:hAnsiTheme="minorEastAsia" w:eastAsiaTheme="minorEastAsia"/>
          <w:sz w:val="32"/>
          <w:szCs w:val="32"/>
        </w:rPr>
        <w:t>于预算数的主要原因是</w:t>
      </w:r>
      <w:r>
        <w:rPr>
          <w:rFonts w:hint="eastAsia" w:asciiTheme="minorEastAsia" w:hAnsiTheme="minorEastAsia" w:eastAsiaTheme="minorEastAsia"/>
          <w:sz w:val="32"/>
          <w:szCs w:val="32"/>
          <w:lang w:val="en-US" w:eastAsia="zh-CN"/>
        </w:rPr>
        <w:t>由财政直接拨付6个区分局和综合行政执法支队专项经费130万元。</w:t>
      </w:r>
      <w:r>
        <w:rPr>
          <w:rFonts w:hint="eastAsia" w:asciiTheme="minorEastAsia" w:hAnsiTheme="minorEastAsia" w:eastAsiaTheme="minorEastAsia"/>
          <w:sz w:val="32"/>
          <w:szCs w:val="32"/>
        </w:rPr>
        <w:t xml:space="preserve">  </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节能环保支出（类）污染防治（款）大气（项）。年初预算为0万元，支出决算为125.25万元，决算数大于预算数的主要原因是</w:t>
      </w:r>
      <w:r>
        <w:rPr>
          <w:rFonts w:hint="eastAsia" w:asciiTheme="minorEastAsia" w:hAnsiTheme="minorEastAsia" w:eastAsiaTheme="minorEastAsia"/>
          <w:sz w:val="32"/>
          <w:szCs w:val="32"/>
          <w:lang w:val="en-US" w:eastAsia="zh-CN"/>
        </w:rPr>
        <w:t>按要求支付中央大气污染防治专项资金。</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节能环保支出（类）污染防治（款）其他污染防治支出（项）。年初预算为0万元，支出决算为969.52万元，决算数大于预算数的主要原因是</w:t>
      </w:r>
      <w:r>
        <w:rPr>
          <w:rFonts w:hint="eastAsia" w:asciiTheme="minorEastAsia" w:hAnsiTheme="minorEastAsia" w:eastAsiaTheme="minorEastAsia"/>
          <w:sz w:val="32"/>
          <w:szCs w:val="32"/>
          <w:lang w:val="en-US" w:eastAsia="zh-CN"/>
        </w:rPr>
        <w:t>按规定使用上年结转结余资金、省级专项资金等。</w:t>
      </w:r>
      <w:r>
        <w:rPr>
          <w:rFonts w:hint="eastAsia" w:asciiTheme="minorEastAsia" w:hAnsiTheme="minorEastAsia" w:eastAsiaTheme="minorEastAsia"/>
          <w:sz w:val="32"/>
          <w:szCs w:val="32"/>
        </w:rPr>
        <w:t xml:space="preserve">   </w:t>
      </w:r>
    </w:p>
    <w:p>
      <w:pPr>
        <w:pStyle w:val="10"/>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节能环保支出（类）污染减排（款）生态环境执法监察（项）。年初预算为864万元，支出决算为266.58万元，决算数大于预算数的主要原因是</w:t>
      </w:r>
      <w:r>
        <w:rPr>
          <w:rFonts w:hint="eastAsia" w:asciiTheme="minorEastAsia" w:hAnsiTheme="minorEastAsia" w:eastAsiaTheme="minorEastAsia"/>
          <w:sz w:val="32"/>
          <w:szCs w:val="32"/>
          <w:lang w:val="en-US" w:eastAsia="zh-CN"/>
        </w:rPr>
        <w:t>由财政直接拨付6个区分局和综合行政执法支队专项经费347万元，及结余结转至2022年继续支付相关费用。</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节能环保支出（类）其他节能环保支出（款）其他节能环保支出（项）。年初预算为0万元，支出决算为1577.25万元，决算数大于预算数的主要原因是</w:t>
      </w:r>
      <w:r>
        <w:rPr>
          <w:rFonts w:hint="eastAsia" w:asciiTheme="minorEastAsia" w:hAnsiTheme="minorEastAsia" w:eastAsiaTheme="minorEastAsia"/>
          <w:sz w:val="32"/>
          <w:szCs w:val="32"/>
          <w:lang w:val="en-US" w:eastAsia="zh-CN"/>
        </w:rPr>
        <w:t>年中追加2021年绩效奖金、平安建设奖金、十三个月工资奖金等；按要求使用上年度结转大数据专项资金等。</w:t>
      </w:r>
      <w:r>
        <w:rPr>
          <w:rFonts w:hint="eastAsia" w:asciiTheme="minorEastAsia" w:hAnsiTheme="minorEastAsia" w:eastAsiaTheme="minorEastAsia"/>
          <w:sz w:val="32"/>
          <w:szCs w:val="32"/>
        </w:rPr>
        <w:t xml:space="preserve">  </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其他支出（类）其他支出（款）其他支出（项）。年初预算为0万元，支出决算为426.83万元，决算数大于预算数的主要原因是</w:t>
      </w:r>
      <w:r>
        <w:rPr>
          <w:rFonts w:hint="eastAsia" w:asciiTheme="minorEastAsia" w:hAnsiTheme="minorEastAsia" w:eastAsiaTheme="minorEastAsia"/>
          <w:sz w:val="32"/>
          <w:szCs w:val="32"/>
          <w:lang w:val="en-US" w:eastAsia="zh-CN"/>
        </w:rPr>
        <w:t>基建账目支出及其他资金支出。</w:t>
      </w:r>
      <w:r>
        <w:rPr>
          <w:rFonts w:hint="eastAsia" w:asciiTheme="minorEastAsia" w:hAnsiTheme="minorEastAsia" w:eastAsiaTheme="minorEastAsia"/>
          <w:sz w:val="32"/>
          <w:szCs w:val="32"/>
        </w:rPr>
        <w:t xml:space="preserve"> </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1225.63万元，其中:人员经费1108.78万元，占基本支出的90.47%，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公用经费116.85万元，占基本支出的9.53%，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2021年度“三公”经费财政拨款支出预算为100万元，支出决算为21.48万元,完成预算的21.48%，其中：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因公出国（境）费支出预算为0万元，支出决算为0万元，完成预算的0%，与上年相比减少（增加）0万元，减少（增长）0%。 </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完成预算的0%，与上年相比减少（增加）0万元，减少（增长）0%。公务用车运行维护费支出预算为50万元，支出决算为13万元,完成预算的26%,决算数小于预算数的主要原因是认真贯彻落实中央“八项规定”精神和厉行节约要求，从严控制“三公”经费开支，全年实际支出比预算有所节约。与上年相比增加0.58万元，增长4.7%,增长的主要原因是：</w:t>
      </w:r>
      <w:r>
        <w:rPr>
          <w:rFonts w:hint="eastAsia" w:asciiTheme="minorEastAsia" w:hAnsiTheme="minorEastAsia" w:eastAsiaTheme="minorEastAsia"/>
          <w:sz w:val="32"/>
          <w:szCs w:val="32"/>
          <w:lang w:val="en-US" w:eastAsia="zh-CN"/>
        </w:rPr>
        <w:t>2台日常公务车辆老旧，维修成本增加</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50万元，支出决算为8.47万元,完成预算的6.94%,决算数小于预算数的主要原因是认真贯彻落实中央“八项规定”精神和厉行节约要求，从严控制“三公”经费开支，全年实际支出比预算有所节约。与上年相比增加0.47万元，增长6.08%,增长的主要原因是：2021年开展中央第二轮环保督察及人大执法检查等增加相应费用。</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2021年度“三公”经费财政拨款支出决算中，因公出国（境）费支出决算0万元，占0%；公务用车购置费及运行维护费支出决算13万元，占60.52%；公务接待费支出决算8.47万元，占39.43%。其中：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1、因公出国（境）费支出决算0万元，全年安排因公出国（境）团组0个，累计0人次。</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8.47万元，其中：其他国内公务接待支出8.47万元,主要用于与有关单位交流工作情况及接受相关部门检查指导工作发生的接待支出。2021年共接待国内公务接待批次95个、接待人次461人次（不包括陪同人员）。</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公务用车购置及运行维护费支出决算为13万元，其中：公务用车购置支出0万元，更新公务用车0辆。公务用车运行费支出13万元。主要是按规定保留的公务用车的燃料费、维修费、过桥过路费、保险费、安全奖励费用等支出。截至2021年12月31日，我单位开支财政拨款的公务用车保有量为3辆。</w:t>
      </w:r>
    </w:p>
    <w:p>
      <w:pPr>
        <w:pStyle w:val="10"/>
        <w:rPr>
          <w:rFonts w:hAnsi="黑体"/>
          <w:b/>
          <w:sz w:val="32"/>
          <w:szCs w:val="32"/>
        </w:rPr>
      </w:pPr>
      <w:r>
        <w:rPr>
          <w:rFonts w:hint="eastAsia" w:hAnsi="黑体"/>
          <w:b/>
          <w:sz w:val="32"/>
          <w:szCs w:val="32"/>
        </w:rPr>
        <w:t>八、政府性基金预算收入支出决算情况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2021年本单位没有使用政府性基金预算财政拨款安排的收支。</w:t>
      </w:r>
    </w:p>
    <w:p>
      <w:pPr>
        <w:pStyle w:val="10"/>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0"/>
        <w:ind w:firstLine="640" w:firstLineChars="200"/>
        <w:rPr>
          <w:rFonts w:hint="default" w:hAnsi="黑体"/>
          <w:b/>
          <w:sz w:val="32"/>
          <w:szCs w:val="32"/>
          <w:lang w:val="en-US" w:eastAsia="zh-CN"/>
        </w:rPr>
      </w:pPr>
      <w:r>
        <w:rPr>
          <w:rFonts w:hint="eastAsia" w:asciiTheme="minorEastAsia" w:hAnsiTheme="minorEastAsia" w:eastAsiaTheme="minorEastAsia"/>
          <w:sz w:val="32"/>
          <w:szCs w:val="32"/>
        </w:rPr>
        <w:t>2021年本单位没有使用国有资本经营预算安排的支出。</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2021年度机关运行经费支出116.85万元。比年初预算数减少32.42万元。下降21.72%，主要原因是本部门严格落实过“紧日子”要求，持续压减一般性支出。</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2021年本部门开支会议费6.77万元，用于召开</w:t>
      </w:r>
      <w:r>
        <w:rPr>
          <w:rFonts w:hint="eastAsia" w:asciiTheme="minorEastAsia" w:hAnsiTheme="minorEastAsia" w:eastAsiaTheme="minorEastAsia"/>
          <w:sz w:val="32"/>
          <w:szCs w:val="32"/>
          <w:lang w:val="en-US" w:eastAsia="zh-CN"/>
        </w:rPr>
        <w:t>省级以上产业园区生态环境准入清单现场对接与技术帮扶会、配合中央环保督察会议、中央第六生态环境保护督察动员会、2021年全市生态环境保护工作会议、主城区大气污染防治工作紧急会议等</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为1000余人次</w:t>
      </w:r>
      <w:r>
        <w:rPr>
          <w:rFonts w:hint="eastAsia" w:asciiTheme="minorEastAsia" w:hAnsiTheme="minorEastAsia" w:eastAsiaTheme="minorEastAsia"/>
          <w:sz w:val="32"/>
          <w:szCs w:val="32"/>
        </w:rPr>
        <w:t>，内容为场地租赁使用费、资料费、就餐费等；开支培训费5.11万元，用于开展</w:t>
      </w:r>
      <w:r>
        <w:rPr>
          <w:rFonts w:hint="eastAsia" w:asciiTheme="minorEastAsia" w:hAnsiTheme="minorEastAsia" w:eastAsiaTheme="minorEastAsia"/>
          <w:sz w:val="32"/>
          <w:szCs w:val="32"/>
          <w:lang w:val="en-US" w:eastAsia="zh-CN"/>
        </w:rPr>
        <w:t>党校培训、重点企业清洁生产审核管理培训、内审集中培训、岳阳市危险废物规划范管理培训、局系统党务纪检干部</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400余</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val="en-US" w:eastAsia="zh-CN"/>
        </w:rPr>
        <w:t>次</w:t>
      </w:r>
      <w:r>
        <w:rPr>
          <w:rFonts w:hint="eastAsia" w:asciiTheme="minorEastAsia" w:hAnsiTheme="minorEastAsia" w:eastAsiaTheme="minorEastAsia"/>
          <w:sz w:val="32"/>
          <w:szCs w:val="32"/>
        </w:rPr>
        <w:t>，内容为培训资料费、交通费、住宿费、伙食费及讲课费等；未举办节庆、晚会、论坛、赛事等活动。</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采购支出总额2368.21万元，其中：政府采购货物支出1618.21万元；政府采购工程支出0万元；政府采购服务支出750万元；授予中小企业合同金额2368.21万元，占政府采购支出总额的100%，其中：授予小微企业合同金额0万元，占授予中小企业合同金额的0%。货物采购授予中小企业合同金额占货物支出金额的68.33%。工程采购授予中小企业合同金额占工程支出金额的0%。服务采购授予中小企业合同金额占服务支出金额的31.67%。</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至2021年12月31日，岳阳市生态环境局(本级)共有车辆3辆。其中：其他用车3辆，其他用车主要是用于机要通信和应急保障之外公务用途的车辆；单价50万元(含)以上通用设备2台（套），单价 100 万元(含)以上专用设备5台（套）。</w:t>
      </w:r>
    </w:p>
    <w:p>
      <w:pPr>
        <w:pStyle w:val="10"/>
        <w:ind w:firstLine="640" w:firstLineChars="200"/>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为进一步规范财政资金管理，强化财政支出绩效理念，切实提高财政资金使用效益，根据《岳阳市财政局关于做好2022年度预算绩效目标编审工作的通知》（岳财预〔2021〕165号）要求,我单位科学确定全年绩效目标，将绩效管理融入预算编制、执行全过程。</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2021年度本部门绩效任务有效执行，三公经费有效控制，行政效率有效提高。单位紧扣目标任务对部门整体支出全面开展绩效自评，自评率100%，自评综合得分</w:t>
      </w:r>
      <w:r>
        <w:rPr>
          <w:rFonts w:hint="eastAsia" w:cs="黑体" w:asciiTheme="minorEastAsia" w:hAnsiTheme="minorEastAsia"/>
          <w:color w:val="000000"/>
          <w:kern w:val="0"/>
          <w:sz w:val="32"/>
          <w:szCs w:val="32"/>
          <w:lang w:val="en-US" w:eastAsia="zh-CN"/>
        </w:rPr>
        <w:t>96</w:t>
      </w:r>
      <w:r>
        <w:rPr>
          <w:rFonts w:hint="eastAsia" w:cs="黑体" w:asciiTheme="minorEastAsia" w:hAnsiTheme="minorEastAsia"/>
          <w:color w:val="000000"/>
          <w:kern w:val="0"/>
          <w:sz w:val="32"/>
          <w:szCs w:val="32"/>
        </w:rPr>
        <w:t>分，评价等次为优秀。</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详情见附件内容。</w:t>
      </w:r>
    </w:p>
    <w:p>
      <w:pPr>
        <w:pStyle w:val="10"/>
        <w:jc w:val="both"/>
        <w:rPr>
          <w:sz w:val="72"/>
          <w:szCs w:val="72"/>
        </w:rPr>
      </w:pPr>
    </w:p>
    <w:p>
      <w:pPr>
        <w:pStyle w:val="10"/>
        <w:jc w:val="both"/>
        <w:rPr>
          <w:sz w:val="72"/>
          <w:szCs w:val="72"/>
        </w:rPr>
      </w:pPr>
    </w:p>
    <w:p>
      <w:pPr>
        <w:pStyle w:val="10"/>
        <w:jc w:val="both"/>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财政拨款收入：指本级财政当年拨付的资金。其他收入：指除上述“财政拨款收入”、“上级补助收入”、“事业收入”、“经营收入”、“附属单位上缴收入”等以外的收入。</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节能环保支出（类）：是指用于节能环保支出，包括保障机构正常运转、完成日常和特定的工作任务或事业发展目标的支出。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津贴补贴：反映经国家批准建立的机关事业单位艰苦边远地区津贴、机关工作人员地区附加津贴、机关工作人员岗位津贴、事业单位工作人员特殊岗位津贴补贴等。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伙食补助费：反映单位发给职工的伙食补助费，如误餐补助等。绩效工资：反映事业单位工作人员的绩效工资。</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印刷费：反映单位的印刷费支出。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咨询费：反映单位咨询方面的支出。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水费：反映单位支付的水费、污水处理费等支出。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邮电费：反映单位开支的信函、包裹、货物等物品的邮寄费及电话费、电报费、传真费、网络通讯费等。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会议费：反映会议中按规定开支的住宿费、伙食费、会议室租金、交通费、文件印刷费、医药费等。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专用燃料费：反映用作业务工作设备的车、船设施等的油料支出。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公务用车运行维护费：反映单位按规定保留的公务用车燃料费、维修费、过桥过路费、保险费、安全奖励费用等支出。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抚恤金：反映按规定开支的烈士遗属、牺牲病故人员遗属的一次性和定期抚恤金，伤残人员的抚恤金，离退休人员等其他人员的各项抚恤金。</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eastAsia="黑体" w:cs="黑体" w:asciiTheme="minorEastAsia" w:hAnsiTheme="minorEastAsia"/>
          <w:color w:val="000000"/>
          <w:kern w:val="0"/>
          <w:sz w:val="28"/>
          <w:szCs w:val="32"/>
        </w:rPr>
      </w:pPr>
      <w:r>
        <w:rPr>
          <w:rFonts w:hint="eastAsia" w:cs="黑体" w:asciiTheme="minorEastAsia" w:hAnsiTheme="minorEastAsia"/>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r>
        <w:rPr>
          <w:rFonts w:hint="eastAsia" w:asciiTheme="minorEastAsia" w:hAnsiTheme="minorEastAsia"/>
          <w:sz w:val="28"/>
          <w:szCs w:val="32"/>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0B3240"/>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49A4BA6"/>
    <w:rsid w:val="05633A58"/>
    <w:rsid w:val="06B411F0"/>
    <w:rsid w:val="087403E0"/>
    <w:rsid w:val="0BE56081"/>
    <w:rsid w:val="13BE003E"/>
    <w:rsid w:val="17A87124"/>
    <w:rsid w:val="1CDD7BFE"/>
    <w:rsid w:val="1D9A1754"/>
    <w:rsid w:val="27DB542D"/>
    <w:rsid w:val="366364DD"/>
    <w:rsid w:val="370B6762"/>
    <w:rsid w:val="45F9639D"/>
    <w:rsid w:val="48ED43E7"/>
    <w:rsid w:val="598E1EB8"/>
    <w:rsid w:val="5F392885"/>
    <w:rsid w:val="60A907EA"/>
    <w:rsid w:val="6145544E"/>
    <w:rsid w:val="67524B62"/>
    <w:rsid w:val="71856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4</TotalTime>
  <ScaleCrop>false</ScaleCrop>
  <LinksUpToDate>false</LinksUpToDate>
  <CharactersWithSpaces>9714</CharactersWithSpaces>
  <Application>WPS Office_11.8.6.11021_F1E327BC-269C-435d-A152-05C5408002CA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绵绵</cp:lastModifiedBy>
  <cp:lastPrinted>2022-07-27T12:55:00Z</cp:lastPrinted>
  <dcterms:modified xsi:type="dcterms:W3CDTF">2022-09-26T02:35:02Z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7A4CBAEBF3184B9DB971BE3A5BF5F60A</vt:lpwstr>
  </property>
</Properties>
</file>