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topLinePunct/>
        <w:spacing w:before="312" w:beforeLines="100" w:beforeAutospacing="0"/>
        <w:jc w:val="right"/>
        <w:rPr>
          <w:rFonts w:hint="eastAsia" w:ascii="仿宋" w:hAnsi="仿宋" w:eastAsia="仿宋" w:cs="仿宋"/>
          <w:sz w:val="30"/>
          <w:szCs w:val="30"/>
          <w:lang w:eastAsia="zh-CN"/>
        </w:rPr>
      </w:pPr>
    </w:p>
    <w:p>
      <w:pPr>
        <w:pStyle w:val="10"/>
        <w:widowControl/>
        <w:topLinePunct/>
        <w:spacing w:before="312" w:beforeLines="100" w:beforeAutospacing="0"/>
        <w:jc w:val="right"/>
        <w:rPr>
          <w:rFonts w:hint="eastAsia" w:ascii="仿宋" w:hAnsi="仿宋" w:eastAsia="仿宋" w:cs="仿宋"/>
          <w:sz w:val="30"/>
          <w:szCs w:val="30"/>
          <w:lang w:eastAsia="zh-CN"/>
        </w:rPr>
      </w:pPr>
    </w:p>
    <w:p>
      <w:pPr>
        <w:pStyle w:val="10"/>
        <w:widowControl/>
        <w:topLinePunct/>
        <w:spacing w:before="312" w:beforeLines="100" w:beforeAutospacing="0"/>
        <w:jc w:val="right"/>
        <w:rPr>
          <w:rFonts w:hint="eastAsia" w:ascii="仿宋" w:hAnsi="仿宋" w:eastAsia="仿宋" w:cs="仿宋"/>
          <w:sz w:val="30"/>
          <w:szCs w:val="30"/>
          <w:lang w:eastAsia="zh-CN"/>
        </w:rPr>
      </w:pPr>
    </w:p>
    <w:p>
      <w:pPr>
        <w:pStyle w:val="10"/>
        <w:widowControl/>
        <w:topLinePunct/>
        <w:spacing w:before="312" w:beforeLines="100" w:beforeAutospacing="0"/>
        <w:jc w:val="right"/>
        <w:rPr>
          <w:rFonts w:hint="eastAsia" w:ascii="仿宋" w:hAnsi="仿宋" w:eastAsia="仿宋" w:cs="仿宋"/>
          <w:kern w:val="2"/>
          <w:sz w:val="30"/>
          <w:szCs w:val="30"/>
          <w:lang w:val="en-US"/>
        </w:rPr>
      </w:pPr>
      <w:r>
        <w:rPr>
          <w:rFonts w:hint="eastAsia" w:ascii="仿宋" w:hAnsi="仿宋" w:eastAsia="仿宋" w:cs="仿宋"/>
          <w:sz w:val="30"/>
          <w:szCs w:val="30"/>
          <w:lang w:eastAsia="zh-CN"/>
        </w:rPr>
        <w:t>岳环评〔</w:t>
      </w:r>
      <w:r>
        <w:rPr>
          <w:rFonts w:hint="eastAsia" w:ascii="仿宋" w:hAnsi="仿宋" w:eastAsia="仿宋" w:cs="仿宋"/>
          <w:sz w:val="30"/>
          <w:szCs w:val="30"/>
          <w:lang w:val="en-US"/>
        </w:rPr>
        <w:t>2023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号</w:t>
      </w:r>
    </w:p>
    <w:p>
      <w:pPr>
        <w:keepNext w:val="0"/>
        <w:keepLines w:val="0"/>
        <w:widowControl w:val="0"/>
        <w:suppressLineNumbers w:val="0"/>
        <w:adjustRightInd w:val="0"/>
        <w:snapToGrid w:val="0"/>
        <w:spacing w:before="0" w:beforeAutospacing="0" w:after="156" w:afterLines="50" w:afterAutospacing="0"/>
        <w:ind w:left="0" w:right="0"/>
        <w:jc w:val="center"/>
        <w:textAlignment w:val="top"/>
        <w:rPr>
          <w:rFonts w:hint="eastAsia" w:ascii="仿宋" w:hAnsi="仿宋" w:eastAsia="仿宋" w:cs="仿宋"/>
          <w:b/>
          <w:bCs/>
          <w:sz w:val="36"/>
          <w:szCs w:val="36"/>
          <w:lang w:val="en-US"/>
        </w:rPr>
      </w:pPr>
      <w:r>
        <w:rPr>
          <w:rFonts w:hint="eastAsia" w:ascii="仿宋" w:hAnsi="仿宋" w:eastAsia="仿宋" w:cs="仿宋"/>
          <w:b/>
          <w:bCs/>
          <w:w w:val="98"/>
          <w:kern w:val="0"/>
          <w:sz w:val="36"/>
          <w:szCs w:val="36"/>
          <w:lang w:val="en-US" w:eastAsia="zh-CN" w:bidi="ar"/>
        </w:rPr>
        <w:t>关于</w:t>
      </w:r>
      <w:r>
        <w:rPr>
          <w:rFonts w:hint="eastAsia" w:ascii="仿宋" w:hAnsi="仿宋" w:eastAsia="仿宋" w:cs="仿宋"/>
          <w:b/>
          <w:bCs/>
          <w:snapToGrid w:val="0"/>
          <w:kern w:val="2"/>
          <w:sz w:val="36"/>
          <w:szCs w:val="36"/>
          <w:lang w:val="en-US" w:eastAsia="zh-CN" w:bidi="ar"/>
        </w:rPr>
        <w:t>平江县龙宇浩新材料有限公司年产</w:t>
      </w:r>
      <w:r>
        <w:rPr>
          <w:rFonts w:hint="eastAsia" w:ascii="仿宋" w:hAnsi="仿宋" w:eastAsia="仿宋" w:cs="仿宋"/>
          <w:b/>
          <w:bCs/>
          <w:kern w:val="2"/>
          <w:sz w:val="36"/>
          <w:szCs w:val="36"/>
          <w:lang w:val="en-US" w:eastAsia="zh-CN" w:bidi="ar"/>
        </w:rPr>
        <w:t>6</w:t>
      </w:r>
      <w:r>
        <w:rPr>
          <w:rFonts w:hint="eastAsia" w:ascii="仿宋" w:hAnsi="仿宋" w:eastAsia="仿宋" w:cs="仿宋"/>
          <w:b/>
          <w:bCs/>
          <w:snapToGrid w:val="0"/>
          <w:kern w:val="2"/>
          <w:sz w:val="36"/>
          <w:szCs w:val="36"/>
          <w:lang w:val="en-US" w:eastAsia="zh-CN" w:bidi="ar"/>
        </w:rPr>
        <w:t>万吨再生铝锭及</w:t>
      </w:r>
      <w:r>
        <w:rPr>
          <w:rFonts w:hint="eastAsia" w:ascii="仿宋" w:hAnsi="仿宋" w:eastAsia="仿宋" w:cs="仿宋"/>
          <w:b/>
          <w:bCs/>
          <w:kern w:val="2"/>
          <w:sz w:val="36"/>
          <w:szCs w:val="36"/>
          <w:lang w:val="en-US" w:eastAsia="zh-CN" w:bidi="ar"/>
        </w:rPr>
        <w:t>4</w:t>
      </w:r>
      <w:r>
        <w:rPr>
          <w:rFonts w:hint="eastAsia" w:ascii="仿宋" w:hAnsi="仿宋" w:eastAsia="仿宋" w:cs="仿宋"/>
          <w:b/>
          <w:bCs/>
          <w:snapToGrid w:val="0"/>
          <w:kern w:val="2"/>
          <w:sz w:val="36"/>
          <w:szCs w:val="36"/>
          <w:lang w:val="en-US" w:eastAsia="zh-CN" w:bidi="ar"/>
        </w:rPr>
        <w:t>万吨铝合金压铸件项目</w:t>
      </w:r>
      <w:r>
        <w:rPr>
          <w:rFonts w:hint="eastAsia" w:ascii="仿宋" w:hAnsi="仿宋" w:eastAsia="仿宋" w:cs="仿宋"/>
          <w:b/>
          <w:bCs/>
          <w:kern w:val="2"/>
          <w:sz w:val="36"/>
          <w:szCs w:val="36"/>
          <w:lang w:val="en-US" w:eastAsia="zh-CN" w:bidi="ar"/>
        </w:rPr>
        <w:t>环境影响报告书</w:t>
      </w:r>
      <w:r>
        <w:rPr>
          <w:rFonts w:hint="eastAsia" w:ascii="仿宋" w:hAnsi="仿宋" w:eastAsia="仿宋" w:cs="仿宋"/>
          <w:b/>
          <w:bCs/>
          <w:w w:val="98"/>
          <w:kern w:val="0"/>
          <w:sz w:val="36"/>
          <w:szCs w:val="36"/>
          <w:lang w:val="en-US" w:eastAsia="zh-CN" w:bidi="ar"/>
        </w:rPr>
        <w:t>的批复</w:t>
      </w:r>
    </w:p>
    <w:p>
      <w:pPr>
        <w:keepNext w:val="0"/>
        <w:keepLines w:val="0"/>
        <w:widowControl w:val="0"/>
        <w:suppressLineNumbers w:val="0"/>
        <w:wordWrap w:val="0"/>
        <w:topLinePunct/>
        <w:adjustRightInd w:val="0"/>
        <w:spacing w:before="0" w:beforeAutospacing="0" w:after="0" w:afterAutospacing="0" w:line="480" w:lineRule="exact"/>
        <w:ind w:left="0" w:right="0"/>
        <w:jc w:val="left"/>
        <w:rPr>
          <w:rFonts w:hint="eastAsia" w:ascii="仿宋" w:hAnsi="仿宋" w:eastAsia="仿宋" w:cs="仿宋"/>
          <w:sz w:val="32"/>
          <w:szCs w:val="32"/>
          <w:lang w:val="en-US"/>
        </w:rPr>
      </w:pPr>
      <w:r>
        <w:rPr>
          <w:rFonts w:hint="eastAsia" w:ascii="仿宋" w:hAnsi="仿宋" w:eastAsia="仿宋" w:cs="仿宋"/>
          <w:snapToGrid w:val="0"/>
          <w:kern w:val="2"/>
          <w:sz w:val="32"/>
          <w:szCs w:val="32"/>
          <w:lang w:val="en-US" w:eastAsia="zh-CN" w:bidi="ar"/>
        </w:rPr>
        <w:t>平江县龙宇浩新材料有限公司</w:t>
      </w:r>
      <w:r>
        <w:rPr>
          <w:rFonts w:hint="eastAsia" w:ascii="仿宋" w:hAnsi="仿宋" w:eastAsia="仿宋" w:cs="仿宋"/>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480" w:lineRule="exact"/>
        <w:ind w:left="0" w:right="0" w:firstLine="640" w:firstLineChars="200"/>
        <w:jc w:val="left"/>
        <w:textAlignment w:val="top"/>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你公司《关于申请对&lt;</w:t>
      </w:r>
      <w:r>
        <w:rPr>
          <w:rFonts w:hint="eastAsia" w:ascii="仿宋" w:hAnsi="仿宋" w:eastAsia="仿宋" w:cs="仿宋"/>
          <w:snapToGrid w:val="0"/>
          <w:kern w:val="2"/>
          <w:sz w:val="32"/>
          <w:szCs w:val="32"/>
          <w:lang w:val="en-US" w:eastAsia="zh-CN" w:bidi="ar"/>
        </w:rPr>
        <w:t>平江县龙宇浩新材料有限公司年产</w:t>
      </w:r>
      <w:r>
        <w:rPr>
          <w:rFonts w:hint="eastAsia" w:ascii="仿宋" w:hAnsi="仿宋" w:eastAsia="仿宋" w:cs="仿宋"/>
          <w:kern w:val="2"/>
          <w:sz w:val="32"/>
          <w:szCs w:val="32"/>
          <w:lang w:val="en-US" w:eastAsia="zh-CN" w:bidi="ar"/>
        </w:rPr>
        <w:t>6</w:t>
      </w:r>
      <w:r>
        <w:rPr>
          <w:rFonts w:hint="eastAsia" w:ascii="仿宋" w:hAnsi="仿宋" w:eastAsia="仿宋" w:cs="仿宋"/>
          <w:snapToGrid w:val="0"/>
          <w:kern w:val="2"/>
          <w:sz w:val="32"/>
          <w:szCs w:val="32"/>
          <w:lang w:val="en-US" w:eastAsia="zh-CN" w:bidi="ar"/>
        </w:rPr>
        <w:t>万吨再生铝锭及</w:t>
      </w:r>
      <w:r>
        <w:rPr>
          <w:rFonts w:hint="eastAsia" w:ascii="仿宋" w:hAnsi="仿宋" w:eastAsia="仿宋" w:cs="仿宋"/>
          <w:kern w:val="2"/>
          <w:sz w:val="32"/>
          <w:szCs w:val="32"/>
          <w:lang w:val="en-US" w:eastAsia="zh-CN" w:bidi="ar"/>
        </w:rPr>
        <w:t>4</w:t>
      </w:r>
      <w:r>
        <w:rPr>
          <w:rFonts w:hint="eastAsia" w:ascii="仿宋" w:hAnsi="仿宋" w:eastAsia="仿宋" w:cs="仿宋"/>
          <w:snapToGrid w:val="0"/>
          <w:kern w:val="2"/>
          <w:sz w:val="32"/>
          <w:szCs w:val="32"/>
          <w:lang w:val="en-US" w:eastAsia="zh-CN" w:bidi="ar"/>
        </w:rPr>
        <w:t>万吨铝合金压铸件项目</w:t>
      </w:r>
      <w:r>
        <w:rPr>
          <w:rFonts w:hint="eastAsia" w:ascii="仿宋" w:hAnsi="仿宋" w:eastAsia="仿宋" w:cs="仿宋"/>
          <w:kern w:val="2"/>
          <w:sz w:val="32"/>
          <w:szCs w:val="32"/>
          <w:lang w:val="en-US" w:eastAsia="zh-CN" w:bidi="ar"/>
        </w:rPr>
        <w:t>环境影响报告书&gt;进行批复的函》、岳阳市生态环境事务中心《</w:t>
      </w:r>
      <w:r>
        <w:rPr>
          <w:rFonts w:hint="eastAsia" w:ascii="仿宋" w:hAnsi="仿宋" w:eastAsia="仿宋" w:cs="仿宋"/>
          <w:snapToGrid w:val="0"/>
          <w:kern w:val="2"/>
          <w:sz w:val="32"/>
          <w:szCs w:val="32"/>
          <w:lang w:val="en-US" w:eastAsia="zh-CN" w:bidi="ar"/>
        </w:rPr>
        <w:t>平江县龙宇浩新材料有限公司年产</w:t>
      </w:r>
      <w:r>
        <w:rPr>
          <w:rFonts w:hint="eastAsia" w:ascii="仿宋" w:hAnsi="仿宋" w:eastAsia="仿宋" w:cs="仿宋"/>
          <w:kern w:val="2"/>
          <w:sz w:val="32"/>
          <w:szCs w:val="32"/>
          <w:lang w:val="en-US" w:eastAsia="zh-CN" w:bidi="ar"/>
        </w:rPr>
        <w:t>6</w:t>
      </w:r>
      <w:r>
        <w:rPr>
          <w:rFonts w:hint="eastAsia" w:ascii="仿宋" w:hAnsi="仿宋" w:eastAsia="仿宋" w:cs="仿宋"/>
          <w:snapToGrid w:val="0"/>
          <w:kern w:val="2"/>
          <w:sz w:val="32"/>
          <w:szCs w:val="32"/>
          <w:lang w:val="en-US" w:eastAsia="zh-CN" w:bidi="ar"/>
        </w:rPr>
        <w:t>万吨再生铝锭及</w:t>
      </w:r>
      <w:r>
        <w:rPr>
          <w:rFonts w:hint="eastAsia" w:ascii="仿宋" w:hAnsi="仿宋" w:eastAsia="仿宋" w:cs="仿宋"/>
          <w:kern w:val="2"/>
          <w:sz w:val="32"/>
          <w:szCs w:val="32"/>
          <w:lang w:val="en-US" w:eastAsia="zh-CN" w:bidi="ar"/>
        </w:rPr>
        <w:t>4</w:t>
      </w:r>
      <w:r>
        <w:rPr>
          <w:rFonts w:hint="eastAsia" w:ascii="仿宋" w:hAnsi="仿宋" w:eastAsia="仿宋" w:cs="仿宋"/>
          <w:snapToGrid w:val="0"/>
          <w:kern w:val="2"/>
          <w:sz w:val="32"/>
          <w:szCs w:val="32"/>
          <w:lang w:val="en-US" w:eastAsia="zh-CN" w:bidi="ar"/>
        </w:rPr>
        <w:t>万吨铝合金压铸件项目</w:t>
      </w:r>
      <w:r>
        <w:rPr>
          <w:rFonts w:hint="eastAsia" w:ascii="仿宋" w:hAnsi="仿宋" w:eastAsia="仿宋" w:cs="仿宋"/>
          <w:spacing w:val="-20"/>
          <w:kern w:val="2"/>
          <w:sz w:val="32"/>
          <w:szCs w:val="32"/>
          <w:lang w:val="en-US" w:eastAsia="zh-CN" w:bidi="ar"/>
        </w:rPr>
        <w:t>环境影响报告书技术评估报告</w:t>
      </w:r>
      <w:r>
        <w:rPr>
          <w:rFonts w:hint="eastAsia" w:ascii="仿宋" w:hAnsi="仿宋" w:eastAsia="仿宋" w:cs="仿宋"/>
          <w:kern w:val="2"/>
          <w:sz w:val="32"/>
          <w:szCs w:val="32"/>
          <w:lang w:val="en-US" w:eastAsia="zh-CN" w:bidi="ar"/>
        </w:rPr>
        <w:t>》（岳环事评估〔2023〕13号）、岳阳市生态环境局平江分局预审意见及有关附件收悉。经研究，批复如下：</w:t>
      </w:r>
    </w:p>
    <w:p>
      <w:pPr>
        <w:keepNext w:val="0"/>
        <w:keepLines w:val="0"/>
        <w:widowControl w:val="0"/>
        <w:suppressLineNumbers w:val="0"/>
        <w:snapToGrid w:val="0"/>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一、平江县兵颂有色金属再生有限公司成立于2008年8月，位于平江县伍市镇武联村二组，是一家专业从事有色金属回收再生的企业。占地面积12000m</w:t>
      </w:r>
      <w:r>
        <w:rPr>
          <w:rFonts w:hint="eastAsia" w:ascii="仿宋" w:hAnsi="仿宋" w:eastAsia="仿宋" w:cs="仿宋"/>
          <w:kern w:val="2"/>
          <w:sz w:val="32"/>
          <w:szCs w:val="32"/>
          <w:vertAlign w:val="superscript"/>
          <w:lang w:val="en-US" w:eastAsia="zh-CN" w:bidi="ar"/>
        </w:rPr>
        <w:t>2</w:t>
      </w:r>
      <w:r>
        <w:rPr>
          <w:rFonts w:hint="eastAsia" w:ascii="仿宋" w:hAnsi="仿宋" w:eastAsia="仿宋" w:cs="仿宋"/>
          <w:kern w:val="2"/>
          <w:sz w:val="32"/>
          <w:szCs w:val="32"/>
          <w:lang w:val="en-US" w:eastAsia="zh-CN" w:bidi="ar"/>
        </w:rPr>
        <w:t>，建有一条年产5万吨铝锭生产线，2014年5月4日，岳阳市生态环境局以岳环评[2014]19号文予以批复，项目审批规模为“铝锭5万吨/年”，2015年6月10日通过了岳阳市生态环境局组织的竣工环保验收，验收文号为“岳环管验[2015]27号”，验收规模为“铝锭5万吨/年”。因兵颂公司用地不在园区范围内，为降低对周边敏感点的环境影响，兵颂公司拟实施搬迁，并成立平江县龙宇浩新材料有限公司，拟投资19625.73万元（其中环保投资1370万元）在平江高新技术产业园区迎宾路金凤凰建材园东侧建设“年产6万吨再生铝锭及4万吨铝合金压铸件项目”，待本项目投产后，平江县兵颂有色金属再生有限公司年产5万吨铝锭生产线综合回收技改项目应全面关停。年产6万吨再生铝锭及4万吨铝合金压铸件项目，占地面积为26732m</w:t>
      </w:r>
      <w:r>
        <w:rPr>
          <w:rFonts w:hint="eastAsia" w:ascii="仿宋" w:hAnsi="仿宋" w:eastAsia="仿宋" w:cs="仿宋"/>
          <w:kern w:val="2"/>
          <w:sz w:val="32"/>
          <w:szCs w:val="32"/>
          <w:vertAlign w:val="superscript"/>
          <w:lang w:val="en-US" w:eastAsia="zh-CN" w:bidi="ar"/>
        </w:rPr>
        <w:t>2</w:t>
      </w:r>
      <w:r>
        <w:rPr>
          <w:rFonts w:hint="eastAsia" w:ascii="仿宋" w:hAnsi="仿宋" w:eastAsia="仿宋" w:cs="仿宋"/>
          <w:kern w:val="2"/>
          <w:sz w:val="32"/>
          <w:szCs w:val="32"/>
          <w:lang w:val="en-US" w:eastAsia="zh-CN" w:bidi="ar"/>
        </w:rPr>
        <w:t>，建筑面积15839.24m</w:t>
      </w:r>
      <w:r>
        <w:rPr>
          <w:rFonts w:hint="eastAsia" w:ascii="仿宋" w:hAnsi="仿宋" w:eastAsia="仿宋" w:cs="仿宋"/>
          <w:kern w:val="2"/>
          <w:sz w:val="32"/>
          <w:szCs w:val="32"/>
          <w:vertAlign w:val="superscript"/>
          <w:lang w:val="en-US" w:eastAsia="zh-CN" w:bidi="ar"/>
        </w:rPr>
        <w:t>2</w:t>
      </w:r>
      <w:r>
        <w:rPr>
          <w:rFonts w:hint="eastAsia" w:ascii="仿宋" w:hAnsi="仿宋" w:eastAsia="仿宋" w:cs="仿宋"/>
          <w:kern w:val="2"/>
          <w:sz w:val="32"/>
          <w:szCs w:val="32"/>
          <w:lang w:val="en-US" w:eastAsia="zh-CN" w:bidi="ar"/>
        </w:rPr>
        <w:t>，主要建设内容为：新建1栋1F20m高钢混结构厂房（用于布置熔炼生产线、炒灰区、成品冷却区、压铸区）、1栋4F综合楼、1栋4F宿舍楼及门卫室，并配套建设环保工程；公用工程依托园区现有。主要原辅料及工艺：以国标A00 铝锭、废生铝、电缆杂铝、合金元素、打渣剂、精炼剂、烧碱、活性、液氮、尿素等为原辅材料，通过原料预处理、升温熔化、熔炼、搅拌扒渣、炉前分析、成分调整、扒渣、精炼除气、铸锭、压铸成型、打磨抛丸等工序生产再生合金铝锭60000t/a、铝合金压铸件40000t/a。根据</w:t>
      </w:r>
      <w:r>
        <w:rPr>
          <w:rFonts w:hint="eastAsia" w:ascii="仿宋" w:hAnsi="仿宋" w:eastAsia="仿宋" w:cs="仿宋"/>
          <w:snapToGrid w:val="0"/>
          <w:kern w:val="2"/>
          <w:sz w:val="32"/>
          <w:szCs w:val="32"/>
          <w:lang w:val="en-US" w:eastAsia="zh-CN" w:bidi="ar"/>
        </w:rPr>
        <w:t>贵州安诚晟景生态环境咨询有限公司</w:t>
      </w:r>
      <w:r>
        <w:rPr>
          <w:rFonts w:hint="eastAsia" w:ascii="仿宋" w:hAnsi="仿宋" w:eastAsia="仿宋" w:cs="仿宋"/>
          <w:kern w:val="2"/>
          <w:sz w:val="32"/>
          <w:szCs w:val="32"/>
          <w:lang w:val="en-US" w:eastAsia="zh-CN" w:bidi="ar"/>
        </w:rPr>
        <w:t>编制的《</w:t>
      </w:r>
      <w:r>
        <w:rPr>
          <w:rFonts w:hint="eastAsia" w:ascii="仿宋" w:hAnsi="仿宋" w:eastAsia="仿宋" w:cs="仿宋"/>
          <w:snapToGrid w:val="0"/>
          <w:kern w:val="2"/>
          <w:sz w:val="32"/>
          <w:szCs w:val="32"/>
          <w:lang w:val="en-US" w:eastAsia="zh-CN" w:bidi="ar"/>
        </w:rPr>
        <w:t>平江县龙宇浩新材料有限公司年产</w:t>
      </w:r>
      <w:r>
        <w:rPr>
          <w:rFonts w:hint="eastAsia" w:ascii="仿宋" w:hAnsi="仿宋" w:eastAsia="仿宋" w:cs="仿宋"/>
          <w:kern w:val="2"/>
          <w:sz w:val="32"/>
          <w:szCs w:val="32"/>
          <w:lang w:val="en-US" w:eastAsia="zh-CN" w:bidi="ar"/>
        </w:rPr>
        <w:t>6</w:t>
      </w:r>
      <w:r>
        <w:rPr>
          <w:rFonts w:hint="eastAsia" w:ascii="仿宋" w:hAnsi="仿宋" w:eastAsia="仿宋" w:cs="仿宋"/>
          <w:snapToGrid w:val="0"/>
          <w:kern w:val="2"/>
          <w:sz w:val="32"/>
          <w:szCs w:val="32"/>
          <w:lang w:val="en-US" w:eastAsia="zh-CN" w:bidi="ar"/>
        </w:rPr>
        <w:t>万吨再生铝锭及</w:t>
      </w:r>
      <w:r>
        <w:rPr>
          <w:rFonts w:hint="eastAsia" w:ascii="仿宋" w:hAnsi="仿宋" w:eastAsia="仿宋" w:cs="仿宋"/>
          <w:kern w:val="2"/>
          <w:sz w:val="32"/>
          <w:szCs w:val="32"/>
          <w:lang w:val="en-US" w:eastAsia="zh-CN" w:bidi="ar"/>
        </w:rPr>
        <w:t>4</w:t>
      </w:r>
      <w:r>
        <w:rPr>
          <w:rFonts w:hint="eastAsia" w:ascii="仿宋" w:hAnsi="仿宋" w:eastAsia="仿宋" w:cs="仿宋"/>
          <w:snapToGrid w:val="0"/>
          <w:kern w:val="2"/>
          <w:sz w:val="32"/>
          <w:szCs w:val="32"/>
          <w:lang w:val="en-US" w:eastAsia="zh-CN" w:bidi="ar"/>
        </w:rPr>
        <w:t>万吨铝合金压铸件项目</w:t>
      </w:r>
      <w:r>
        <w:rPr>
          <w:rFonts w:hint="eastAsia" w:ascii="仿宋" w:hAnsi="仿宋" w:eastAsia="仿宋" w:cs="仿宋"/>
          <w:kern w:val="2"/>
          <w:sz w:val="32"/>
          <w:szCs w:val="32"/>
          <w:lang w:val="en-US" w:eastAsia="zh-CN" w:bidi="ar"/>
        </w:rPr>
        <w:t>环境影响报告书》（报批稿）基本内容、结论和专家评审意见及岳阳市生态环境局平江分局预审意见，从环境保护角度考虑，我局原则同意你公司环境影响报告书中所列建设项目的环境影响评价结论和环境保护对策措施。</w:t>
      </w:r>
    </w:p>
    <w:p>
      <w:pPr>
        <w:keepNext w:val="0"/>
        <w:keepLines w:val="0"/>
        <w:widowControl w:val="0"/>
        <w:suppressLineNumbers w:val="0"/>
        <w:wordWrap w:val="0"/>
        <w:topLinePunct/>
        <w:adjustRightInd w:val="0"/>
        <w:snapToGrid w:val="0"/>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二、认真落实专家及环境影响报告书中提出的各项污染防治措施，并应着重注意以下问题：</w:t>
      </w:r>
    </w:p>
    <w:p>
      <w:pPr>
        <w:pStyle w:val="8"/>
        <w:widowControl/>
        <w:snapToGrid w:val="0"/>
        <w:spacing w:line="480" w:lineRule="exact"/>
        <w:ind w:left="0" w:firstLine="640"/>
        <w:rPr>
          <w:rFonts w:hint="eastAsia" w:ascii="仿宋" w:hAnsi="仿宋" w:eastAsia="仿宋" w:cs="仿宋"/>
          <w:sz w:val="32"/>
          <w:szCs w:val="32"/>
          <w:lang w:val="en-US"/>
        </w:rPr>
      </w:pPr>
      <w:r>
        <w:rPr>
          <w:rFonts w:hint="eastAsia" w:ascii="仿宋" w:hAnsi="仿宋" w:eastAsia="仿宋" w:cs="仿宋"/>
          <w:sz w:val="32"/>
          <w:szCs w:val="32"/>
          <w:lang w:val="en-US"/>
        </w:rPr>
        <w:t>1</w:t>
      </w:r>
      <w:r>
        <w:rPr>
          <w:rFonts w:hint="eastAsia" w:ascii="仿宋" w:hAnsi="仿宋" w:eastAsia="仿宋" w:cs="仿宋"/>
          <w:sz w:val="32"/>
          <w:szCs w:val="32"/>
          <w:lang w:eastAsia="zh-CN"/>
        </w:rPr>
        <w:t>、落实施工期污染防治措施。通过硬化进场施工道路路面、定期洒水、及时清扫道路、施工工地周围设围墙、采用专用的密封运输车运输渣料、采用尾气排放符合国家规定标准的车辆和施工机械等措施控制大气环境影响。选用低噪声施工设备，对高噪声设备采取隔声、隔振或消声措施，加强机械保养、合理的布局施工现场和安排施工时间等措施控制声环境影响。建筑垃圾及生活垃圾倾倒在指定地点、妥善处置。施工废水经隔油沉淀处理后</w:t>
      </w:r>
      <w:r>
        <w:rPr>
          <w:rFonts w:hint="eastAsia" w:ascii="仿宋" w:hAnsi="仿宋" w:eastAsia="仿宋" w:cs="仿宋"/>
          <w:kern w:val="2"/>
          <w:sz w:val="32"/>
          <w:szCs w:val="32"/>
          <w:lang w:eastAsia="zh-CN"/>
        </w:rPr>
        <w:t>回用于施工过程或施工现场洒水降尘</w:t>
      </w:r>
      <w:r>
        <w:rPr>
          <w:rFonts w:hint="eastAsia" w:ascii="仿宋" w:hAnsi="仿宋" w:eastAsia="仿宋" w:cs="仿宋"/>
          <w:sz w:val="32"/>
          <w:szCs w:val="32"/>
          <w:lang w:eastAsia="zh-CN"/>
        </w:rPr>
        <w:t>，不外排；生活污水经化粪池处理后排入平江高新区园区污水处理厂处理。</w:t>
      </w:r>
    </w:p>
    <w:p>
      <w:pPr>
        <w:pStyle w:val="3"/>
        <w:widowControl/>
        <w:snapToGrid w:val="0"/>
        <w:spacing w:line="48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2</w:t>
      </w:r>
      <w:r>
        <w:rPr>
          <w:rFonts w:hint="eastAsia" w:ascii="仿宋" w:hAnsi="仿宋" w:eastAsia="仿宋" w:cs="仿宋"/>
          <w:sz w:val="32"/>
          <w:szCs w:val="32"/>
          <w:lang w:eastAsia="zh-CN"/>
        </w:rPr>
        <w:t>、废气污染防治工作。</w:t>
      </w:r>
      <w:r>
        <w:rPr>
          <w:rFonts w:hint="eastAsia" w:ascii="仿宋" w:hAnsi="仿宋" w:eastAsia="仿宋" w:cs="仿宋"/>
          <w:color w:val="000000"/>
          <w:sz w:val="32"/>
          <w:szCs w:val="32"/>
          <w:lang w:eastAsia="zh-CN"/>
        </w:rPr>
        <w:t>尽量保持废气产生车间和操作间</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lang w:eastAsia="zh-CN"/>
        </w:rPr>
        <w:t>室</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lang w:eastAsia="zh-CN"/>
        </w:rPr>
        <w:t>的密闭，合理设计送排风系统，加强车间整体通风换气及厂区绿化，</w:t>
      </w:r>
      <w:r>
        <w:rPr>
          <w:rFonts w:hint="eastAsia" w:ascii="仿宋" w:hAnsi="仿宋" w:eastAsia="仿宋" w:cs="仿宋"/>
          <w:sz w:val="32"/>
          <w:szCs w:val="32"/>
          <w:lang w:eastAsia="zh-CN"/>
        </w:rPr>
        <w:t>强化车间管理和日常监管，定期对设备、管道、阀门等进行维护和管理，杜绝生产过程中的跑、冒、滴、漏，最大限度减少生产过程中的废气无组织排放</w:t>
      </w:r>
      <w:r>
        <w:rPr>
          <w:rFonts w:hint="eastAsia" w:ascii="仿宋" w:hAnsi="仿宋" w:eastAsia="仿宋" w:cs="仿宋"/>
          <w:sz w:val="32"/>
          <w:szCs w:val="32"/>
          <w:lang w:val="en-US"/>
        </w:rPr>
        <w:t>,</w:t>
      </w:r>
      <w:r>
        <w:rPr>
          <w:rFonts w:hint="eastAsia" w:ascii="仿宋" w:hAnsi="仿宋" w:eastAsia="仿宋" w:cs="仿宋"/>
          <w:sz w:val="32"/>
          <w:szCs w:val="32"/>
          <w:lang w:eastAsia="zh-CN"/>
        </w:rPr>
        <w:t>确保</w:t>
      </w:r>
      <w:r>
        <w:rPr>
          <w:rFonts w:hint="eastAsia" w:ascii="仿宋" w:hAnsi="仿宋" w:eastAsia="仿宋" w:cs="仿宋"/>
          <w:spacing w:val="6"/>
          <w:sz w:val="32"/>
          <w:szCs w:val="32"/>
          <w:lang w:eastAsia="zh-CN"/>
        </w:rPr>
        <w:t>厂界</w:t>
      </w:r>
      <w:r>
        <w:rPr>
          <w:rStyle w:val="14"/>
          <w:rFonts w:hint="eastAsia" w:ascii="仿宋" w:hAnsi="仿宋" w:eastAsia="仿宋" w:cs="仿宋"/>
          <w:sz w:val="32"/>
          <w:szCs w:val="32"/>
          <w:lang w:eastAsia="zh-CN"/>
        </w:rPr>
        <w:t>二氧化硫、氮氧化物、颗粒物</w:t>
      </w:r>
      <w:r>
        <w:rPr>
          <w:rFonts w:hint="eastAsia" w:ascii="仿宋" w:hAnsi="仿宋" w:eastAsia="仿宋" w:cs="仿宋"/>
          <w:spacing w:val="6"/>
          <w:sz w:val="32"/>
          <w:szCs w:val="32"/>
          <w:lang w:eastAsia="zh-CN"/>
        </w:rPr>
        <w:t>满足</w:t>
      </w:r>
      <w:r>
        <w:rPr>
          <w:rFonts w:hint="eastAsia" w:ascii="仿宋" w:hAnsi="仿宋" w:eastAsia="仿宋" w:cs="仿宋"/>
          <w:sz w:val="32"/>
          <w:szCs w:val="32"/>
          <w:lang w:eastAsia="zh-CN"/>
        </w:rPr>
        <w:t>《大气污染物综合排放标准》（</w:t>
      </w:r>
      <w:r>
        <w:rPr>
          <w:rFonts w:hint="eastAsia" w:ascii="仿宋" w:hAnsi="仿宋" w:eastAsia="仿宋" w:cs="仿宋"/>
          <w:sz w:val="32"/>
          <w:szCs w:val="32"/>
          <w:lang w:val="en-US"/>
        </w:rPr>
        <w:t>GB16297-1996</w:t>
      </w:r>
      <w:r>
        <w:rPr>
          <w:rFonts w:hint="eastAsia" w:ascii="仿宋" w:hAnsi="仿宋" w:eastAsia="仿宋" w:cs="仿宋"/>
          <w:sz w:val="32"/>
          <w:szCs w:val="32"/>
          <w:lang w:eastAsia="zh-CN"/>
        </w:rPr>
        <w:t>）表</w:t>
      </w:r>
      <w:r>
        <w:rPr>
          <w:rFonts w:hint="eastAsia" w:ascii="仿宋" w:hAnsi="仿宋" w:eastAsia="仿宋" w:cs="仿宋"/>
          <w:sz w:val="32"/>
          <w:szCs w:val="32"/>
          <w:lang w:val="en-US"/>
        </w:rPr>
        <w:t>2</w:t>
      </w:r>
      <w:r>
        <w:rPr>
          <w:rFonts w:hint="eastAsia" w:ascii="仿宋" w:hAnsi="仿宋" w:eastAsia="仿宋" w:cs="仿宋"/>
          <w:sz w:val="32"/>
          <w:szCs w:val="32"/>
          <w:lang w:eastAsia="zh-CN"/>
        </w:rPr>
        <w:t>无组织排放监控浓度限值；</w:t>
      </w:r>
      <w:r>
        <w:rPr>
          <w:rFonts w:hint="eastAsia" w:ascii="仿宋" w:hAnsi="仿宋" w:eastAsia="仿宋" w:cs="仿宋"/>
          <w:sz w:val="32"/>
          <w:szCs w:val="32"/>
          <w:lang w:val="en-US"/>
        </w:rPr>
        <w:t>HCl</w:t>
      </w:r>
      <w:r>
        <w:rPr>
          <w:rFonts w:hint="eastAsia" w:ascii="仿宋" w:hAnsi="仿宋" w:eastAsia="仿宋" w:cs="仿宋"/>
          <w:sz w:val="32"/>
          <w:szCs w:val="32"/>
          <w:lang w:eastAsia="zh-CN"/>
        </w:rPr>
        <w:t>、氟化物、铅及其化合物、镉及其化合物、砷及其化合物、锡及其化合物、铬及其化合物、二噁英类满足</w:t>
      </w:r>
      <w:r>
        <w:rPr>
          <w:rStyle w:val="14"/>
          <w:rFonts w:hint="eastAsia" w:ascii="仿宋" w:hAnsi="仿宋" w:eastAsia="仿宋" w:cs="仿宋"/>
          <w:sz w:val="32"/>
          <w:szCs w:val="32"/>
          <w:lang w:eastAsia="zh-CN"/>
        </w:rPr>
        <w:t>《再生铜、铝、铅、锌行业污染物排放标准》（</w:t>
      </w:r>
      <w:r>
        <w:rPr>
          <w:rStyle w:val="14"/>
          <w:rFonts w:hint="eastAsia" w:ascii="仿宋" w:hAnsi="仿宋" w:eastAsia="仿宋" w:cs="仿宋"/>
          <w:sz w:val="32"/>
          <w:szCs w:val="32"/>
          <w:lang w:val="en-US"/>
        </w:rPr>
        <w:t>GB31574-2015</w:t>
      </w:r>
      <w:r>
        <w:rPr>
          <w:rStyle w:val="14"/>
          <w:rFonts w:hint="eastAsia" w:ascii="仿宋" w:hAnsi="仿宋" w:eastAsia="仿宋" w:cs="仿宋"/>
          <w:sz w:val="32"/>
          <w:szCs w:val="32"/>
          <w:lang w:eastAsia="zh-CN"/>
        </w:rPr>
        <w:t>）中表</w:t>
      </w:r>
      <w:r>
        <w:rPr>
          <w:rStyle w:val="14"/>
          <w:rFonts w:hint="eastAsia" w:ascii="仿宋" w:hAnsi="仿宋" w:eastAsia="仿宋" w:cs="仿宋"/>
          <w:sz w:val="32"/>
          <w:szCs w:val="32"/>
          <w:lang w:val="en-US"/>
        </w:rPr>
        <w:t>5</w:t>
      </w:r>
      <w:r>
        <w:rPr>
          <w:rStyle w:val="14"/>
          <w:rFonts w:hint="eastAsia" w:ascii="仿宋" w:hAnsi="仿宋" w:eastAsia="仿宋" w:cs="仿宋"/>
          <w:sz w:val="32"/>
          <w:szCs w:val="32"/>
          <w:lang w:eastAsia="zh-CN"/>
        </w:rPr>
        <w:t>企业边界大气污染物限值。</w:t>
      </w:r>
      <w:r>
        <w:rPr>
          <w:rFonts w:hint="eastAsia" w:ascii="仿宋" w:hAnsi="仿宋" w:eastAsia="仿宋" w:cs="仿宋"/>
          <w:sz w:val="32"/>
          <w:szCs w:val="32"/>
          <w:lang w:eastAsia="zh-CN"/>
        </w:rPr>
        <w:t>生产过程中，炒灰废气、熔炼废气（包括炉膛烟气和环境集烟）、天然气燃烧废气（颗粒物、氯化氢、氟化物、二噁英、重金属、</w:t>
      </w:r>
      <w:r>
        <w:rPr>
          <w:rFonts w:hint="eastAsia" w:ascii="仿宋" w:hAnsi="仿宋" w:eastAsia="仿宋" w:cs="仿宋"/>
          <w:sz w:val="32"/>
          <w:szCs w:val="32"/>
          <w:lang w:val="en-US"/>
        </w:rPr>
        <w:t>SO</w:t>
      </w:r>
      <w:r>
        <w:rPr>
          <w:rFonts w:hint="eastAsia" w:ascii="仿宋" w:hAnsi="仿宋" w:eastAsia="仿宋" w:cs="仿宋"/>
          <w:sz w:val="32"/>
          <w:szCs w:val="32"/>
          <w:vertAlign w:val="subscript"/>
          <w:lang w:val="en-US"/>
        </w:rPr>
        <w:t>2</w:t>
      </w:r>
      <w:r>
        <w:rPr>
          <w:rFonts w:hint="eastAsia" w:ascii="仿宋" w:hAnsi="仿宋" w:eastAsia="仿宋" w:cs="仿宋"/>
          <w:sz w:val="32"/>
          <w:szCs w:val="32"/>
          <w:lang w:eastAsia="zh-CN"/>
        </w:rPr>
        <w:t>、</w:t>
      </w:r>
      <w:r>
        <w:rPr>
          <w:rFonts w:hint="eastAsia" w:ascii="仿宋" w:hAnsi="仿宋" w:eastAsia="仿宋" w:cs="仿宋"/>
          <w:sz w:val="32"/>
          <w:szCs w:val="32"/>
          <w:lang w:val="en-US"/>
        </w:rPr>
        <w:t>NOx</w:t>
      </w:r>
      <w:r>
        <w:rPr>
          <w:rFonts w:hint="eastAsia" w:ascii="仿宋" w:hAnsi="仿宋" w:eastAsia="仿宋" w:cs="仿宋"/>
          <w:sz w:val="32"/>
          <w:szCs w:val="32"/>
          <w:lang w:eastAsia="zh-CN"/>
        </w:rPr>
        <w:t>）经收集处理后，通过</w:t>
      </w:r>
      <w:r>
        <w:rPr>
          <w:rFonts w:hint="eastAsia" w:ascii="仿宋" w:hAnsi="仿宋" w:eastAsia="仿宋" w:cs="仿宋"/>
          <w:sz w:val="32"/>
          <w:szCs w:val="32"/>
          <w:lang w:val="en-US"/>
        </w:rPr>
        <w:t>25m</w:t>
      </w:r>
      <w:r>
        <w:rPr>
          <w:rFonts w:hint="eastAsia" w:ascii="仿宋" w:hAnsi="仿宋" w:eastAsia="仿宋" w:cs="仿宋"/>
          <w:sz w:val="32"/>
          <w:szCs w:val="32"/>
          <w:lang w:eastAsia="zh-CN"/>
        </w:rPr>
        <w:t>高排气筒（</w:t>
      </w:r>
      <w:r>
        <w:rPr>
          <w:rFonts w:hint="eastAsia" w:ascii="仿宋" w:hAnsi="仿宋" w:eastAsia="仿宋" w:cs="仿宋"/>
          <w:sz w:val="32"/>
          <w:szCs w:val="32"/>
          <w:lang w:val="en-US"/>
        </w:rPr>
        <w:t>DA001</w:t>
      </w:r>
      <w:r>
        <w:rPr>
          <w:rFonts w:hint="eastAsia" w:ascii="仿宋" w:hAnsi="仿宋" w:eastAsia="仿宋" w:cs="仿宋"/>
          <w:sz w:val="32"/>
          <w:szCs w:val="32"/>
          <w:lang w:eastAsia="zh-CN"/>
        </w:rPr>
        <w:t>）达标排放；压铸、打磨、抛丸产生的颗粒物经收集处理后，通过</w:t>
      </w:r>
      <w:r>
        <w:rPr>
          <w:rFonts w:hint="eastAsia" w:ascii="仿宋" w:hAnsi="仿宋" w:eastAsia="仿宋" w:cs="仿宋"/>
          <w:sz w:val="32"/>
          <w:szCs w:val="32"/>
          <w:lang w:val="en-US"/>
        </w:rPr>
        <w:t>25m</w:t>
      </w:r>
      <w:r>
        <w:rPr>
          <w:rFonts w:hint="eastAsia" w:ascii="仿宋" w:hAnsi="仿宋" w:eastAsia="仿宋" w:cs="仿宋"/>
          <w:sz w:val="32"/>
          <w:szCs w:val="32"/>
          <w:lang w:eastAsia="zh-CN"/>
        </w:rPr>
        <w:t>高排气筒（</w:t>
      </w:r>
      <w:r>
        <w:rPr>
          <w:rFonts w:hint="eastAsia" w:ascii="仿宋" w:hAnsi="仿宋" w:eastAsia="仿宋" w:cs="仿宋"/>
          <w:sz w:val="32"/>
          <w:szCs w:val="32"/>
          <w:lang w:val="en-US"/>
        </w:rPr>
        <w:t>DA002</w:t>
      </w:r>
      <w:r>
        <w:rPr>
          <w:rFonts w:hint="eastAsia" w:ascii="仿宋" w:hAnsi="仿宋" w:eastAsia="仿宋" w:cs="仿宋"/>
          <w:sz w:val="32"/>
          <w:szCs w:val="32"/>
          <w:lang w:eastAsia="zh-CN"/>
        </w:rPr>
        <w:t>）达标排放；油烟经油烟净化器处理后通过专用烟道达标排放。</w:t>
      </w:r>
      <w:r>
        <w:rPr>
          <w:rStyle w:val="14"/>
          <w:rFonts w:hint="eastAsia" w:ascii="仿宋" w:hAnsi="仿宋" w:eastAsia="仿宋" w:cs="仿宋"/>
          <w:sz w:val="32"/>
          <w:szCs w:val="32"/>
          <w:lang w:eastAsia="zh-CN"/>
        </w:rPr>
        <w:t>二氧化硫、氮氧化物、颗粒物执行《再生铜、铝、铅、锌行业污染物排放标准》（</w:t>
      </w:r>
      <w:r>
        <w:rPr>
          <w:rStyle w:val="14"/>
          <w:rFonts w:hint="eastAsia" w:ascii="仿宋" w:hAnsi="仿宋" w:eastAsia="仿宋" w:cs="仿宋"/>
          <w:sz w:val="32"/>
          <w:szCs w:val="32"/>
          <w:lang w:val="en-US"/>
        </w:rPr>
        <w:t>GB31574-2015</w:t>
      </w:r>
      <w:r>
        <w:rPr>
          <w:rStyle w:val="14"/>
          <w:rFonts w:hint="eastAsia" w:ascii="仿宋" w:hAnsi="仿宋" w:eastAsia="仿宋" w:cs="仿宋"/>
          <w:sz w:val="32"/>
          <w:szCs w:val="32"/>
          <w:lang w:eastAsia="zh-CN"/>
        </w:rPr>
        <w:t>）中表</w:t>
      </w:r>
      <w:r>
        <w:rPr>
          <w:rStyle w:val="14"/>
          <w:rFonts w:hint="eastAsia" w:ascii="仿宋" w:hAnsi="仿宋" w:eastAsia="仿宋" w:cs="仿宋"/>
          <w:sz w:val="32"/>
          <w:szCs w:val="32"/>
          <w:lang w:val="en-US"/>
        </w:rPr>
        <w:t>4</w:t>
      </w:r>
      <w:r>
        <w:rPr>
          <w:rStyle w:val="14"/>
          <w:rFonts w:hint="eastAsia" w:ascii="仿宋" w:hAnsi="仿宋" w:eastAsia="仿宋" w:cs="仿宋"/>
          <w:sz w:val="32"/>
          <w:szCs w:val="32"/>
          <w:lang w:eastAsia="zh-CN"/>
        </w:rPr>
        <w:t>大气污染物特别排放限值；</w:t>
      </w:r>
      <w:r>
        <w:rPr>
          <w:rFonts w:hint="eastAsia" w:ascii="仿宋" w:hAnsi="仿宋" w:eastAsia="仿宋" w:cs="仿宋"/>
          <w:sz w:val="32"/>
          <w:szCs w:val="32"/>
          <w:lang w:val="en-US"/>
        </w:rPr>
        <w:t>HCl</w:t>
      </w:r>
      <w:r>
        <w:rPr>
          <w:rFonts w:hint="eastAsia" w:ascii="仿宋" w:hAnsi="仿宋" w:eastAsia="仿宋" w:cs="仿宋"/>
          <w:sz w:val="32"/>
          <w:szCs w:val="32"/>
          <w:lang w:eastAsia="zh-CN"/>
        </w:rPr>
        <w:t>、氟化物、铅及其化合物、镉及其化合物、砷及其化合物、锡及其化合物、铬及其化合物、二噁英类</w:t>
      </w:r>
      <w:r>
        <w:rPr>
          <w:rStyle w:val="14"/>
          <w:rFonts w:hint="eastAsia" w:ascii="仿宋" w:hAnsi="仿宋" w:eastAsia="仿宋" w:cs="仿宋"/>
          <w:sz w:val="32"/>
          <w:szCs w:val="32"/>
          <w:lang w:eastAsia="zh-CN"/>
        </w:rPr>
        <w:t>执行《再生铜、铝、铅、锌行业污染物排放标准》（</w:t>
      </w:r>
      <w:r>
        <w:rPr>
          <w:rStyle w:val="14"/>
          <w:rFonts w:hint="eastAsia" w:ascii="仿宋" w:hAnsi="仿宋" w:eastAsia="仿宋" w:cs="仿宋"/>
          <w:sz w:val="32"/>
          <w:szCs w:val="32"/>
          <w:lang w:val="en-US"/>
        </w:rPr>
        <w:t>GB31574-2015</w:t>
      </w:r>
      <w:r>
        <w:rPr>
          <w:rStyle w:val="14"/>
          <w:rFonts w:hint="eastAsia" w:ascii="仿宋" w:hAnsi="仿宋" w:eastAsia="仿宋" w:cs="仿宋"/>
          <w:sz w:val="32"/>
          <w:szCs w:val="32"/>
          <w:lang w:eastAsia="zh-CN"/>
        </w:rPr>
        <w:t>）中表</w:t>
      </w:r>
      <w:r>
        <w:rPr>
          <w:rStyle w:val="14"/>
          <w:rFonts w:hint="eastAsia" w:ascii="仿宋" w:hAnsi="仿宋" w:eastAsia="仿宋" w:cs="仿宋"/>
          <w:sz w:val="32"/>
          <w:szCs w:val="32"/>
          <w:lang w:val="en-US"/>
        </w:rPr>
        <w:t>3</w:t>
      </w:r>
      <w:r>
        <w:rPr>
          <w:rStyle w:val="14"/>
          <w:rFonts w:hint="eastAsia" w:ascii="仿宋" w:hAnsi="仿宋" w:eastAsia="仿宋" w:cs="仿宋"/>
          <w:sz w:val="32"/>
          <w:szCs w:val="32"/>
          <w:lang w:eastAsia="zh-CN"/>
        </w:rPr>
        <w:t>大气污染物排放限值；压铸废气中颗粒物有组织执行《铸造工业大气污染物排放标准》（</w:t>
      </w:r>
      <w:r>
        <w:rPr>
          <w:rStyle w:val="14"/>
          <w:rFonts w:hint="eastAsia" w:ascii="仿宋" w:hAnsi="仿宋" w:eastAsia="仿宋" w:cs="仿宋"/>
          <w:sz w:val="32"/>
          <w:szCs w:val="32"/>
          <w:lang w:val="en-US"/>
        </w:rPr>
        <w:t>GB39726-2020</w:t>
      </w:r>
      <w:r>
        <w:rPr>
          <w:rStyle w:val="14"/>
          <w:rFonts w:hint="eastAsia" w:ascii="仿宋" w:hAnsi="仿宋" w:eastAsia="仿宋" w:cs="仿宋"/>
          <w:sz w:val="32"/>
          <w:szCs w:val="32"/>
          <w:lang w:eastAsia="zh-CN"/>
        </w:rPr>
        <w:t>）表</w:t>
      </w:r>
      <w:r>
        <w:rPr>
          <w:rStyle w:val="14"/>
          <w:rFonts w:hint="eastAsia" w:ascii="仿宋" w:hAnsi="仿宋" w:eastAsia="仿宋" w:cs="仿宋"/>
          <w:sz w:val="32"/>
          <w:szCs w:val="32"/>
          <w:lang w:val="en-US"/>
        </w:rPr>
        <w:t>1</w:t>
      </w:r>
      <w:r>
        <w:rPr>
          <w:rStyle w:val="14"/>
          <w:rFonts w:hint="eastAsia" w:ascii="仿宋" w:hAnsi="仿宋" w:eastAsia="仿宋" w:cs="仿宋"/>
          <w:sz w:val="32"/>
          <w:szCs w:val="32"/>
          <w:lang w:eastAsia="zh-CN"/>
        </w:rPr>
        <w:t>中排放限值；食堂油烟执行《饮食业油烟排放标准（试行）》（</w:t>
      </w:r>
      <w:r>
        <w:rPr>
          <w:rStyle w:val="14"/>
          <w:rFonts w:hint="eastAsia" w:ascii="仿宋" w:hAnsi="仿宋" w:eastAsia="仿宋" w:cs="仿宋"/>
          <w:sz w:val="32"/>
          <w:szCs w:val="32"/>
          <w:lang w:val="en-US"/>
        </w:rPr>
        <w:t>GB18483-2001</w:t>
      </w:r>
      <w:r>
        <w:rPr>
          <w:rStyle w:val="14"/>
          <w:rFonts w:hint="eastAsia" w:ascii="仿宋" w:hAnsi="仿宋" w:eastAsia="仿宋" w:cs="仿宋"/>
          <w:sz w:val="32"/>
          <w:szCs w:val="32"/>
          <w:lang w:eastAsia="zh-CN"/>
        </w:rPr>
        <w:t>）中的中型排放限值。</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3、废水污染防治工作。严格按照“雨污分流、清污分流、污污分流”的原则规范建设厂区雨水及污水收集设施。项目运营期生活污水通过化粪池预处理后满足</w:t>
      </w:r>
      <w:r>
        <w:rPr>
          <w:rFonts w:hint="eastAsia" w:ascii="仿宋" w:hAnsi="仿宋" w:eastAsia="仿宋" w:cs="仿宋"/>
          <w:color w:val="000000"/>
          <w:kern w:val="2"/>
          <w:sz w:val="32"/>
          <w:szCs w:val="32"/>
          <w:lang w:val="en-US" w:eastAsia="zh-CN" w:bidi="ar"/>
        </w:rPr>
        <w:t>《再生铜、铝、铅、锌工业污染物排放标准》（GB31574-2015）表1的间接排放限值、《污水综合排放标准》（GB8978-1996）表4中三级标准</w:t>
      </w:r>
      <w:r>
        <w:rPr>
          <w:rFonts w:hint="eastAsia" w:ascii="仿宋" w:hAnsi="仿宋" w:eastAsia="仿宋" w:cs="仿宋"/>
          <w:kern w:val="2"/>
          <w:sz w:val="32"/>
          <w:szCs w:val="32"/>
          <w:lang w:val="en-US" w:eastAsia="zh-CN" w:bidi="ar"/>
        </w:rPr>
        <w:t>和平江高新区园区污水处理厂接管标准的较严值后排入平江高新区园区污水处理厂处理，尾水满足</w:t>
      </w:r>
      <w:r>
        <w:rPr>
          <w:rFonts w:hint="eastAsia" w:ascii="仿宋" w:hAnsi="仿宋" w:eastAsia="仿宋" w:cs="仿宋"/>
          <w:color w:val="000000"/>
          <w:kern w:val="2"/>
          <w:sz w:val="32"/>
          <w:szCs w:val="32"/>
          <w:lang w:val="en-US" w:eastAsia="zh-CN" w:bidi="ar"/>
        </w:rPr>
        <w:t>《城镇污水处理厂污染物排放标准》（GB18918-2002及其修改单）一级A标准后</w:t>
      </w:r>
      <w:r>
        <w:rPr>
          <w:rFonts w:hint="eastAsia" w:ascii="仿宋" w:hAnsi="仿宋" w:eastAsia="仿宋" w:cs="仿宋"/>
          <w:kern w:val="2"/>
          <w:sz w:val="32"/>
          <w:szCs w:val="32"/>
          <w:lang w:val="en-US" w:eastAsia="zh-CN" w:bidi="ar"/>
        </w:rPr>
        <w:t>经伍市溪排入汨罗江；冷却水循环使用，不外排；碱液喷淋废水在喷淋塔内循环使用，定期补充损耗，不外排；初期雨水经初期雨水池收集后回用于冷却循环补水；后期雨水汇入工业园雨水管网，最终进入汨罗江段。</w:t>
      </w:r>
    </w:p>
    <w:p>
      <w:pPr>
        <w:pStyle w:val="9"/>
        <w:widowControl/>
        <w:wordWrap w:val="0"/>
        <w:topLinePunct/>
        <w:spacing w:line="480" w:lineRule="exact"/>
        <w:ind w:left="0"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lang w:eastAsia="zh-CN"/>
        </w:rPr>
        <w:t>按照源头控制、分区防治、污染控制、应急响应”相结合的原则落实报告书提出的地下水污染防治措施。合理布设雨污管道，做好</w:t>
      </w:r>
      <w:r>
        <w:rPr>
          <w:rFonts w:hint="eastAsia" w:ascii="仿宋" w:hAnsi="仿宋" w:eastAsia="仿宋" w:cs="仿宋"/>
          <w:color w:val="000000"/>
          <w:sz w:val="32"/>
          <w:szCs w:val="32"/>
          <w:lang w:eastAsia="zh-CN"/>
        </w:rPr>
        <w:t>初期雨水池、碱液池、应急事故池、危险废物暂存间、一般固废暂存间、地埋式一体化设施、冷却循环水池、生产车间</w:t>
      </w:r>
      <w:r>
        <w:rPr>
          <w:rFonts w:hint="eastAsia" w:ascii="仿宋" w:hAnsi="仿宋" w:eastAsia="仿宋" w:cs="仿宋"/>
          <w:sz w:val="32"/>
          <w:szCs w:val="32"/>
          <w:lang w:eastAsia="zh-CN"/>
        </w:rPr>
        <w:t>等区域的防渗处理及</w:t>
      </w:r>
      <w:r>
        <w:rPr>
          <w:rFonts w:hint="eastAsia" w:ascii="仿宋" w:hAnsi="仿宋" w:eastAsia="仿宋" w:cs="仿宋"/>
          <w:color w:val="000000"/>
          <w:sz w:val="32"/>
          <w:szCs w:val="32"/>
          <w:lang w:eastAsia="zh-CN"/>
        </w:rPr>
        <w:t>道路、办公区等其他区域地面</w:t>
      </w:r>
      <w:r>
        <w:rPr>
          <w:rFonts w:hint="eastAsia" w:ascii="仿宋" w:hAnsi="仿宋" w:eastAsia="仿宋" w:cs="仿宋"/>
          <w:sz w:val="32"/>
          <w:szCs w:val="32"/>
          <w:lang w:eastAsia="zh-CN"/>
        </w:rPr>
        <w:t>的硬化处理，避免由于防渗层破损造成污染物下渗污染地下水。根据《环境影响评价技术导则 地下水环境》</w:t>
      </w:r>
      <w:r>
        <w:rPr>
          <w:rFonts w:hint="eastAsia" w:ascii="仿宋" w:hAnsi="仿宋" w:eastAsia="仿宋" w:cs="仿宋"/>
          <w:sz w:val="32"/>
          <w:szCs w:val="32"/>
          <w:lang w:val="en-US"/>
        </w:rPr>
        <w:t>(HJ610-2016)</w:t>
      </w:r>
      <w:r>
        <w:rPr>
          <w:rFonts w:hint="eastAsia" w:ascii="仿宋" w:hAnsi="仿宋" w:eastAsia="仿宋" w:cs="仿宋"/>
          <w:sz w:val="32"/>
          <w:szCs w:val="32"/>
          <w:lang w:eastAsia="zh-CN"/>
        </w:rPr>
        <w:t>要求，跟踪监测地下水质情况，确保地下水环境安全。</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4、噪声防治工作。采用</w:t>
      </w:r>
      <w:r>
        <w:rPr>
          <w:rFonts w:hint="eastAsia" w:ascii="仿宋" w:hAnsi="仿宋" w:eastAsia="仿宋" w:cs="仿宋"/>
          <w:kern w:val="0"/>
          <w:sz w:val="32"/>
          <w:szCs w:val="32"/>
          <w:lang w:val="en-US" w:eastAsia="zh-CN" w:bidi="ar"/>
        </w:rPr>
        <w:t>低噪高效设备，</w:t>
      </w:r>
      <w:r>
        <w:rPr>
          <w:rFonts w:hint="eastAsia" w:ascii="仿宋" w:hAnsi="仿宋" w:eastAsia="仿宋" w:cs="仿宋"/>
          <w:kern w:val="2"/>
          <w:sz w:val="32"/>
          <w:szCs w:val="32"/>
          <w:lang w:val="en-US" w:eastAsia="zh-CN" w:bidi="ar"/>
        </w:rPr>
        <w:t>采取基础减震、车间墙体隔声、隔声罩、风机进出口设置消声器、加强设备的保养和维修等措施，确保东、南、西、北厂界噪声满足《工业企业厂界环境噪声排放标准》（GB12348-2008）中的3类标准。</w:t>
      </w:r>
    </w:p>
    <w:p>
      <w:pPr>
        <w:pStyle w:val="2"/>
        <w:widowControl/>
        <w:wordWrap w:val="0"/>
        <w:topLinePunct/>
        <w:spacing w:line="480" w:lineRule="exact"/>
        <w:ind w:left="0" w:firstLine="640" w:firstLineChars="200"/>
        <w:rPr>
          <w:rFonts w:hint="eastAsia" w:ascii="仿宋" w:hAnsi="仿宋" w:eastAsia="仿宋" w:cs="仿宋"/>
          <w:kern w:val="0"/>
          <w:sz w:val="32"/>
          <w:szCs w:val="32"/>
          <w:lang w:val="en-US"/>
        </w:rPr>
      </w:pPr>
      <w:r>
        <w:rPr>
          <w:rFonts w:hint="eastAsia" w:ascii="仿宋" w:hAnsi="仿宋" w:eastAsia="仿宋" w:cs="仿宋"/>
          <w:sz w:val="32"/>
          <w:szCs w:val="32"/>
          <w:lang w:val="en-US"/>
        </w:rPr>
        <w:t>5</w:t>
      </w:r>
      <w:r>
        <w:rPr>
          <w:rFonts w:hint="eastAsia" w:ascii="仿宋" w:hAnsi="仿宋" w:eastAsia="仿宋" w:cs="仿宋"/>
          <w:sz w:val="32"/>
          <w:szCs w:val="32"/>
          <w:lang w:eastAsia="zh-CN"/>
        </w:rPr>
        <w:t>、固体废物管理工作。按“无害化、减量化、资源化”原则，做好固体分类收集和综合利用，并建立固体废物产生、储存、处置管理台账，落实危险废物转移联单制度。除尘灰、碱液沉渣、炒灰废渣、废矿物油、废活性炭、含油抹布、废布袋等危险废物严格按《危险废物贮存污染控制标准（</w:t>
      </w:r>
      <w:r>
        <w:rPr>
          <w:rFonts w:hint="eastAsia" w:ascii="仿宋" w:hAnsi="仿宋" w:eastAsia="仿宋" w:cs="仿宋"/>
          <w:sz w:val="32"/>
          <w:szCs w:val="32"/>
          <w:lang w:val="en-US"/>
        </w:rPr>
        <w:t>GB18597-2001</w:t>
      </w:r>
      <w:r>
        <w:rPr>
          <w:rFonts w:hint="eastAsia" w:ascii="仿宋" w:hAnsi="仿宋" w:eastAsia="仿宋" w:cs="仿宋"/>
          <w:sz w:val="32"/>
          <w:szCs w:val="32"/>
          <w:lang w:eastAsia="zh-CN"/>
        </w:rPr>
        <w:t>）》及</w:t>
      </w:r>
      <w:r>
        <w:rPr>
          <w:rFonts w:hint="eastAsia" w:ascii="仿宋" w:hAnsi="仿宋" w:eastAsia="仿宋" w:cs="仿宋"/>
          <w:sz w:val="32"/>
          <w:szCs w:val="32"/>
          <w:lang w:val="en-US"/>
        </w:rPr>
        <w:t>2013</w:t>
      </w:r>
      <w:r>
        <w:rPr>
          <w:rFonts w:hint="eastAsia" w:ascii="仿宋" w:hAnsi="仿宋" w:eastAsia="仿宋" w:cs="仿宋"/>
          <w:sz w:val="32"/>
          <w:szCs w:val="32"/>
          <w:lang w:eastAsia="zh-CN"/>
        </w:rPr>
        <w:t>年修改单相关要求暂存，定期交有资质的单位处置。非铝废杂料、报废模具、不合格铝锭、收集的塑粉等一般固废一般固体废物严格按《一般工业固体废物贮存和填埋污染控制标准》（</w:t>
      </w:r>
      <w:r>
        <w:rPr>
          <w:rFonts w:hint="eastAsia" w:ascii="仿宋" w:hAnsi="仿宋" w:eastAsia="仿宋" w:cs="仿宋"/>
          <w:sz w:val="32"/>
          <w:szCs w:val="32"/>
          <w:lang w:val="en-US"/>
        </w:rPr>
        <w:t>GB18599-2020</w:t>
      </w:r>
      <w:r>
        <w:rPr>
          <w:rFonts w:hint="eastAsia" w:ascii="仿宋" w:hAnsi="仿宋" w:eastAsia="仿宋" w:cs="仿宋"/>
          <w:sz w:val="32"/>
          <w:szCs w:val="32"/>
          <w:lang w:eastAsia="zh-CN"/>
        </w:rPr>
        <w:t>）要求暂存，分类收集后外售和回用于生产；生活垃圾经收集后由环卫部门统一清运处置。</w:t>
      </w:r>
    </w:p>
    <w:p>
      <w:pPr>
        <w:keepNext w:val="0"/>
        <w:keepLines w:val="0"/>
        <w:widowControl w:val="0"/>
        <w:suppressLineNumbers w:val="0"/>
        <w:wordWrap w:val="0"/>
        <w:topLinePunct/>
        <w:spacing w:before="0" w:beforeAutospacing="0" w:after="0" w:afterAutospacing="0" w:line="480" w:lineRule="exact"/>
        <w:ind w:left="0" w:right="0" w:firstLine="64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6、加强营运期风险防范。严格落实报告书提出的各项环境风险防范措施，按照《突发环境事件应急管理办法》制定完善突发环境事件应急预案，储备风险救助物资并组织演练，杜绝环境风险事故发生。</w:t>
      </w:r>
    </w:p>
    <w:p>
      <w:pPr>
        <w:keepNext w:val="0"/>
        <w:keepLines w:val="0"/>
        <w:widowControl w:val="0"/>
        <w:suppressLineNumbers w:val="0"/>
        <w:wordWrap w:val="0"/>
        <w:topLinePunct/>
        <w:spacing w:before="0" w:beforeAutospacing="0" w:after="0" w:afterAutospacing="0" w:line="480" w:lineRule="exact"/>
        <w:ind w:left="0" w:right="0" w:firstLine="64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7、加强环境管理。建立健全污染防治设施运行管理台帐，设专门的环保机构及环保人员，确保各项污染防治设施的正常运行，各类污染物稳定达标排放。</w:t>
      </w:r>
    </w:p>
    <w:p>
      <w:pPr>
        <w:keepNext w:val="0"/>
        <w:keepLines w:val="0"/>
        <w:widowControl w:val="0"/>
        <w:suppressLineNumbers w:val="0"/>
        <w:wordWrap w:val="0"/>
        <w:topLinePunct/>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8、你公司核定的总量指标为：SO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≤1.4</w:t>
      </w:r>
      <w:r>
        <w:rPr>
          <w:rFonts w:hint="eastAsia" w:ascii="仿宋" w:hAnsi="仿宋" w:eastAsia="仿宋" w:cs="仿宋"/>
          <w:kern w:val="0"/>
          <w:sz w:val="32"/>
          <w:szCs w:val="32"/>
          <w:lang w:val="en-US" w:eastAsia="zh-CN" w:bidi="ar"/>
        </w:rPr>
        <w:t>t/a；</w:t>
      </w:r>
      <w:r>
        <w:rPr>
          <w:rFonts w:hint="eastAsia" w:ascii="仿宋" w:hAnsi="仿宋" w:eastAsia="仿宋" w:cs="仿宋"/>
          <w:kern w:val="2"/>
          <w:sz w:val="32"/>
          <w:szCs w:val="32"/>
          <w:lang w:val="en-US" w:eastAsia="zh-CN" w:bidi="ar"/>
        </w:rPr>
        <w:t>NO</w:t>
      </w:r>
      <w:r>
        <w:rPr>
          <w:rFonts w:hint="eastAsia" w:ascii="仿宋" w:hAnsi="仿宋" w:eastAsia="仿宋" w:cs="仿宋"/>
          <w:kern w:val="2"/>
          <w:sz w:val="32"/>
          <w:szCs w:val="32"/>
          <w:vertAlign w:val="subscript"/>
          <w:lang w:val="en-US" w:eastAsia="zh-CN" w:bidi="ar"/>
        </w:rPr>
        <w:t>x</w:t>
      </w:r>
      <w:r>
        <w:rPr>
          <w:rFonts w:hint="eastAsia" w:ascii="仿宋" w:hAnsi="仿宋" w:eastAsia="仿宋" w:cs="仿宋"/>
          <w:kern w:val="2"/>
          <w:sz w:val="32"/>
          <w:szCs w:val="32"/>
          <w:lang w:val="en-US" w:eastAsia="zh-CN" w:bidi="ar"/>
        </w:rPr>
        <w:t>≤17.5</w:t>
      </w:r>
      <w:r>
        <w:rPr>
          <w:rFonts w:hint="eastAsia" w:ascii="仿宋" w:hAnsi="仿宋" w:eastAsia="仿宋" w:cs="仿宋"/>
          <w:kern w:val="0"/>
          <w:sz w:val="32"/>
          <w:szCs w:val="32"/>
          <w:lang w:val="en-US" w:eastAsia="zh-CN" w:bidi="ar"/>
        </w:rPr>
        <w:t>t/a；</w:t>
      </w:r>
      <w:r>
        <w:rPr>
          <w:rFonts w:hint="eastAsia" w:ascii="仿宋" w:hAnsi="仿宋" w:eastAsia="仿宋" w:cs="仿宋"/>
          <w:kern w:val="2"/>
          <w:sz w:val="32"/>
          <w:szCs w:val="32"/>
          <w:lang w:val="en-US" w:eastAsia="zh-CN" w:bidi="ar"/>
        </w:rPr>
        <w:t>COD</w:t>
      </w:r>
      <w:r>
        <w:rPr>
          <w:rFonts w:hint="eastAsia" w:ascii="仿宋" w:hAnsi="仿宋" w:eastAsia="仿宋" w:cs="仿宋"/>
          <w:kern w:val="2"/>
          <w:sz w:val="32"/>
          <w:szCs w:val="32"/>
          <w:vertAlign w:val="subscript"/>
          <w:lang w:val="en-US" w:eastAsia="zh-CN" w:bidi="ar"/>
        </w:rPr>
        <w:t>Cr</w:t>
      </w:r>
      <w:r>
        <w:rPr>
          <w:rFonts w:hint="eastAsia" w:ascii="仿宋" w:hAnsi="仿宋" w:eastAsia="仿宋" w:cs="仿宋"/>
          <w:kern w:val="2"/>
          <w:sz w:val="32"/>
          <w:szCs w:val="32"/>
          <w:lang w:val="en-US" w:eastAsia="zh-CN" w:bidi="ar"/>
        </w:rPr>
        <w:t>≤0.2</w:t>
      </w:r>
      <w:r>
        <w:rPr>
          <w:rFonts w:hint="eastAsia" w:ascii="仿宋" w:hAnsi="仿宋" w:eastAsia="仿宋" w:cs="仿宋"/>
          <w:kern w:val="0"/>
          <w:sz w:val="32"/>
          <w:szCs w:val="32"/>
          <w:lang w:val="en-US" w:eastAsia="zh-CN" w:bidi="ar"/>
        </w:rPr>
        <w:t>t/a</w:t>
      </w:r>
      <w:r>
        <w:rPr>
          <w:rFonts w:hint="eastAsia" w:ascii="仿宋" w:hAnsi="仿宋" w:eastAsia="仿宋" w:cs="仿宋"/>
          <w:kern w:val="2"/>
          <w:sz w:val="32"/>
          <w:szCs w:val="32"/>
          <w:lang w:val="en-US" w:eastAsia="zh-CN" w:bidi="ar"/>
        </w:rPr>
        <w:t>；NH</w:t>
      </w:r>
      <w:r>
        <w:rPr>
          <w:rFonts w:hint="eastAsia" w:ascii="仿宋" w:hAnsi="仿宋" w:eastAsia="仿宋" w:cs="仿宋"/>
          <w:kern w:val="2"/>
          <w:sz w:val="32"/>
          <w:szCs w:val="32"/>
          <w:vertAlign w:val="subscript"/>
          <w:lang w:val="en-US" w:eastAsia="zh-CN" w:bidi="ar"/>
        </w:rPr>
        <w:t>3</w:t>
      </w:r>
      <w:r>
        <w:rPr>
          <w:rFonts w:hint="eastAsia" w:ascii="仿宋" w:hAnsi="仿宋" w:eastAsia="仿宋" w:cs="仿宋"/>
          <w:kern w:val="2"/>
          <w:sz w:val="32"/>
          <w:szCs w:val="32"/>
          <w:lang w:val="en-US" w:eastAsia="zh-CN" w:bidi="ar"/>
        </w:rPr>
        <w:t>-N≤0.1</w:t>
      </w:r>
      <w:r>
        <w:rPr>
          <w:rFonts w:hint="eastAsia" w:ascii="仿宋" w:hAnsi="仿宋" w:eastAsia="仿宋" w:cs="仿宋"/>
          <w:kern w:val="0"/>
          <w:sz w:val="32"/>
          <w:szCs w:val="32"/>
          <w:lang w:val="en-US" w:eastAsia="zh-CN" w:bidi="ar"/>
        </w:rPr>
        <w:t>t/a。</w:t>
      </w:r>
    </w:p>
    <w:p>
      <w:pPr>
        <w:keepNext w:val="0"/>
        <w:keepLines w:val="0"/>
        <w:widowControl w:val="0"/>
        <w:suppressLineNumbers w:val="0"/>
        <w:wordWrap w:val="0"/>
        <w:topLinePunct/>
        <w:spacing w:before="0" w:beforeAutospacing="0" w:after="0" w:afterAutospacing="0" w:line="480" w:lineRule="exact"/>
        <w:ind w:left="0" w:right="0" w:firstLine="64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三、你公司应在收到本批复后15个工作日内，将批复及批准的环评报告文本送至岳阳市生态环境局平江分局、</w:t>
      </w:r>
      <w:r>
        <w:rPr>
          <w:rFonts w:hint="eastAsia" w:ascii="仿宋" w:hAnsi="仿宋" w:eastAsia="仿宋" w:cs="仿宋"/>
          <w:snapToGrid w:val="0"/>
          <w:kern w:val="2"/>
          <w:sz w:val="32"/>
          <w:szCs w:val="32"/>
          <w:lang w:val="en-US" w:eastAsia="zh-CN" w:bidi="ar"/>
        </w:rPr>
        <w:t>贵州安诚晟景生态环境咨询有限公司</w:t>
      </w:r>
      <w:r>
        <w:rPr>
          <w:rFonts w:hint="eastAsia" w:ascii="仿宋" w:hAnsi="仿宋" w:eastAsia="仿宋" w:cs="仿宋"/>
          <w:kern w:val="2"/>
          <w:sz w:val="32"/>
          <w:szCs w:val="32"/>
          <w:lang w:val="en-US" w:eastAsia="zh-CN" w:bidi="ar"/>
        </w:rPr>
        <w:t>。</w:t>
      </w:r>
    </w:p>
    <w:p>
      <w:pPr>
        <w:keepNext w:val="0"/>
        <w:keepLines w:val="0"/>
        <w:widowControl w:val="0"/>
        <w:suppressLineNumbers w:val="0"/>
        <w:wordWrap w:val="0"/>
        <w:topLinePunct/>
        <w:spacing w:before="0" w:beforeAutospacing="0" w:after="0" w:afterAutospacing="0" w:line="4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四、请岳阳市生态环境局平江分局负责项目建设期和运营期的日常环境监管。</w:t>
      </w:r>
    </w:p>
    <w:p>
      <w:pPr>
        <w:pStyle w:val="7"/>
        <w:widowControl/>
        <w:wordWrap w:val="0"/>
        <w:topLinePunct/>
        <w:spacing w:line="480" w:lineRule="exact"/>
        <w:rPr>
          <w:rFonts w:hint="eastAsia" w:ascii="仿宋" w:hAnsi="仿宋" w:eastAsia="仿宋" w:cs="仿宋"/>
          <w:kern w:val="2"/>
          <w:sz w:val="32"/>
          <w:szCs w:val="32"/>
          <w:lang w:val="en-US"/>
        </w:rPr>
      </w:pPr>
    </w:p>
    <w:p>
      <w:pPr>
        <w:pStyle w:val="7"/>
        <w:widowControl/>
        <w:wordWrap w:val="0"/>
        <w:topLinePunct/>
        <w:spacing w:line="240" w:lineRule="auto"/>
        <w:rPr>
          <w:rFonts w:hint="eastAsia" w:ascii="仿宋" w:hAnsi="仿宋" w:eastAsia="仿宋" w:cs="仿宋"/>
          <w:kern w:val="2"/>
          <w:sz w:val="32"/>
          <w:szCs w:val="32"/>
          <w:lang w:val="en-US"/>
        </w:rPr>
      </w:pPr>
    </w:p>
    <w:p>
      <w:pPr>
        <w:pStyle w:val="7"/>
        <w:widowControl/>
        <w:wordWrap w:val="0"/>
        <w:topLinePunct/>
        <w:spacing w:line="240" w:lineRule="auto"/>
        <w:ind w:firstLine="5760" w:firstLineChars="1800"/>
        <w:rPr>
          <w:rFonts w:hint="eastAsia" w:ascii="仿宋" w:hAnsi="仿宋" w:eastAsia="仿宋" w:cs="仿宋"/>
          <w:kern w:val="2"/>
          <w:sz w:val="32"/>
          <w:szCs w:val="32"/>
          <w:lang w:val="en-US"/>
        </w:rPr>
      </w:pPr>
      <w:r>
        <w:rPr>
          <w:rFonts w:hint="eastAsia" w:ascii="仿宋" w:hAnsi="仿宋" w:eastAsia="仿宋" w:cs="仿宋"/>
          <w:kern w:val="2"/>
          <w:sz w:val="32"/>
          <w:szCs w:val="32"/>
          <w:lang w:eastAsia="zh-CN"/>
        </w:rPr>
        <w:t>岳阳市生态环境局</w:t>
      </w:r>
    </w:p>
    <w:p>
      <w:pPr>
        <w:keepNext w:val="0"/>
        <w:keepLines w:val="0"/>
        <w:widowControl w:val="0"/>
        <w:suppressLineNumbers w:val="0"/>
        <w:wordWrap w:val="0"/>
        <w:topLinePunct/>
        <w:spacing w:before="0" w:beforeAutospacing="0" w:after="0" w:afterAutospacing="0"/>
        <w:ind w:left="0" w:right="0" w:firstLine="5760" w:firstLineChars="18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2023年3月3</w:t>
      </w:r>
      <w:bookmarkStart w:id="0" w:name="_GoBack"/>
      <w:bookmarkEnd w:id="0"/>
      <w:r>
        <w:rPr>
          <w:rFonts w:hint="eastAsia" w:ascii="仿宋" w:hAnsi="仿宋" w:eastAsia="仿宋" w:cs="仿宋"/>
          <w:kern w:val="2"/>
          <w:sz w:val="32"/>
          <w:szCs w:val="32"/>
          <w:lang w:val="en-US" w:eastAsia="zh-CN" w:bidi="ar"/>
        </w:rPr>
        <w:t>日</w:t>
      </w:r>
    </w:p>
    <w:p>
      <w:pPr>
        <w:keepNext w:val="0"/>
        <w:keepLines w:val="0"/>
        <w:widowControl w:val="0"/>
        <w:suppressLineNumbers w:val="0"/>
        <w:spacing w:before="0" w:beforeAutospacing="0" w:after="0" w:afterAutospacing="0"/>
        <w:ind w:left="0" w:right="0"/>
        <w:jc w:val="both"/>
        <w:rPr>
          <w:color w:val="000000"/>
          <w:sz w:val="32"/>
          <w:szCs w:val="32"/>
          <w:lang w:val="en-US"/>
        </w:rPr>
      </w:pPr>
    </w:p>
    <w:p>
      <w:pPr>
        <w:rPr>
          <w:sz w:val="32"/>
          <w:szCs w:val="32"/>
        </w:rPr>
      </w:pPr>
    </w:p>
    <w:sectPr>
      <w:pgSz w:w="11906" w:h="16838"/>
      <w:pgMar w:top="1304" w:right="1304" w:bottom="1247" w:left="136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D31BF"/>
    <w:rsid w:val="27C26495"/>
    <w:rsid w:val="3CAC1659"/>
    <w:rsid w:val="431D5942"/>
    <w:rsid w:val="4A75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3">
    <w:name w:val="Body Text"/>
    <w:basedOn w:val="1"/>
    <w:next w:val="1"/>
    <w:link w:val="12"/>
    <w:qFormat/>
    <w:uiPriority w:val="0"/>
    <w:pPr>
      <w:keepNext w:val="0"/>
      <w:keepLines w:val="0"/>
      <w:widowControl w:val="0"/>
      <w:suppressLineNumbers w:val="0"/>
      <w:spacing w:before="0" w:beforeAutospacing="0" w:after="0" w:afterAutospacing="0"/>
      <w:ind w:left="0" w:right="0"/>
      <w:jc w:val="both"/>
    </w:pPr>
    <w:rPr>
      <w:rFonts w:hint="eastAsia" w:ascii="宋体" w:hAnsi="Times New Roman" w:eastAsia="宋体" w:cs="Times New Roman"/>
      <w:kern w:val="2"/>
      <w:sz w:val="18"/>
      <w:szCs w:val="20"/>
      <w:lang w:val="en-US" w:eastAsia="zh-CN" w:bidi="ar"/>
    </w:rPr>
  </w:style>
  <w:style w:type="paragraph" w:styleId="4">
    <w:name w:val="footer"/>
    <w:basedOn w:val="1"/>
    <w:link w:val="13"/>
    <w:qFormat/>
    <w:uiPriority w:val="0"/>
    <w:pPr>
      <w:tabs>
        <w:tab w:val="center" w:pos="4153"/>
        <w:tab w:val="right" w:pos="8306"/>
      </w:tabs>
      <w:snapToGrid w:val="0"/>
      <w:jc w:val="left"/>
    </w:pPr>
    <w:rPr>
      <w:sz w:val="18"/>
    </w:rPr>
  </w:style>
  <w:style w:type="paragraph" w:customStyle="1" w:styleId="7">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paragraph" w:customStyle="1" w:styleId="8">
    <w:name w:val="正文1"/>
    <w:basedOn w:val="1"/>
    <w:next w:val="1"/>
    <w:link w:val="14"/>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9">
    <w:name w:val="表格文字"/>
    <w:basedOn w:val="1"/>
    <w:qFormat/>
    <w:uiPriority w:val="0"/>
    <w:pPr>
      <w:keepNext w:val="0"/>
      <w:keepLines w:val="0"/>
      <w:widowControl w:val="0"/>
      <w:suppressLineNumbers w:val="0"/>
      <w:adjustRightInd w:val="0"/>
      <w:snapToGrid w:val="0"/>
      <w:spacing w:before="0" w:beforeAutospacing="0" w:after="0" w:afterAutospacing="0"/>
      <w:ind w:left="0" w:right="0"/>
      <w:jc w:val="center"/>
    </w:pPr>
    <w:rPr>
      <w:rFonts w:hint="default" w:ascii="Times New Roman" w:hAnsi="Times New Roman" w:eastAsia="宋体" w:cs="Times New Roman"/>
      <w:kern w:val="2"/>
      <w:sz w:val="21"/>
      <w:szCs w:val="21"/>
      <w:lang w:val="en-US" w:eastAsia="zh-CN" w:bidi="ar"/>
    </w:rPr>
  </w:style>
  <w:style w:type="paragraph" w:customStyle="1" w:styleId="10">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character" w:customStyle="1" w:styleId="11">
    <w:name w:val="批注文字 字符"/>
    <w:basedOn w:val="6"/>
    <w:link w:val="2"/>
    <w:qFormat/>
    <w:uiPriority w:val="0"/>
    <w:rPr>
      <w:kern w:val="2"/>
      <w:sz w:val="21"/>
    </w:rPr>
  </w:style>
  <w:style w:type="character" w:customStyle="1" w:styleId="12">
    <w:name w:val="正文文本 字符"/>
    <w:basedOn w:val="6"/>
    <w:link w:val="3"/>
    <w:qFormat/>
    <w:uiPriority w:val="0"/>
    <w:rPr>
      <w:rFonts w:hint="eastAsia" w:ascii="宋体" w:hAnsi="宋体" w:eastAsia="宋体" w:cs="宋体"/>
      <w:kern w:val="2"/>
      <w:sz w:val="18"/>
    </w:rPr>
  </w:style>
  <w:style w:type="character" w:customStyle="1" w:styleId="13">
    <w:name w:val="页脚 字符"/>
    <w:basedOn w:val="6"/>
    <w:link w:val="4"/>
    <w:qFormat/>
    <w:uiPriority w:val="0"/>
    <w:rPr>
      <w:kern w:val="2"/>
      <w:sz w:val="18"/>
    </w:rPr>
  </w:style>
  <w:style w:type="character" w:customStyle="1" w:styleId="14">
    <w:name w:val="正文1 Char"/>
    <w:basedOn w:val="6"/>
    <w:link w:val="8"/>
    <w:qFormat/>
    <w:uiPriority w:val="0"/>
    <w:rPr>
      <w:rFonts w:hint="default" w:ascii="Calibri" w:hAnsi="Calibri" w:cs="Calibri"/>
      <w:sz w:val="24"/>
    </w:rPr>
  </w:style>
  <w:style w:type="character" w:customStyle="1" w:styleId="15">
    <w:name w:val="正文文本首行缩进 字符"/>
    <w:basedOn w:val="12"/>
    <w:qFormat/>
    <w:uiPriority w:val="0"/>
    <w:rPr>
      <w:rFonts w:hint="eastAsia" w:ascii="宋体" w:hAnsi="宋体" w:eastAsia="宋体" w:cs="宋体"/>
      <w:kern w:val="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2023-03-03T01:31:00Z</dcterms:created>
  <dc:creator>LENOVO</dc:creator>
  <cp:lastModifiedBy>憧憬</cp:lastModifiedBy>
  <dcterms:modified xsi:type="dcterms:W3CDTF">2023-03-03T08:20:42Z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82BF718AEB3D41B29AB5B394C19D3D3B</vt:lpwstr>
  </property>
</Properties>
</file>