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jc w:val="center"/>
        <w:rPr>
          <w:rFonts w:ascii="宋体" w:hAnsi="宋体" w:cs="宋体"/>
          <w:bCs/>
          <w:sz w:val="32"/>
          <w:szCs w:val="32"/>
        </w:rPr>
      </w:pPr>
    </w:p>
    <w:p>
      <w:pPr>
        <w:spacing w:line="348" w:lineRule="auto"/>
        <w:jc w:val="center"/>
        <w:rPr>
          <w:rFonts w:ascii="宋体" w:hAnsi="宋体" w:cs="宋体"/>
          <w:bCs/>
          <w:sz w:val="32"/>
          <w:szCs w:val="32"/>
        </w:rPr>
      </w:pPr>
    </w:p>
    <w:p>
      <w:pPr>
        <w:spacing w:line="348" w:lineRule="auto"/>
        <w:jc w:val="center"/>
        <w:rPr>
          <w:rFonts w:ascii="宋体" w:hAnsi="宋体" w:cs="宋体"/>
          <w:bCs/>
          <w:sz w:val="32"/>
          <w:szCs w:val="32"/>
        </w:rPr>
      </w:pPr>
    </w:p>
    <w:p>
      <w:pPr>
        <w:spacing w:line="348" w:lineRule="auto"/>
        <w:jc w:val="center"/>
        <w:rPr>
          <w:rFonts w:ascii="宋体" w:hAnsi="宋体" w:cs="宋体"/>
          <w:bCs/>
          <w:sz w:val="32"/>
          <w:szCs w:val="32"/>
        </w:rPr>
      </w:pPr>
    </w:p>
    <w:p>
      <w:pPr>
        <w:spacing w:line="800" w:lineRule="exact"/>
        <w:jc w:val="center"/>
        <w:rPr>
          <w:rFonts w:ascii="宋体" w:hAnsi="宋体" w:cs="宋体"/>
          <w:bCs/>
          <w:sz w:val="32"/>
          <w:szCs w:val="32"/>
        </w:rPr>
      </w:pPr>
    </w:p>
    <w:p>
      <w:pPr>
        <w:spacing w:line="800" w:lineRule="exact"/>
        <w:ind w:firstLine="1902" w:firstLineChars="600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岳阳市20</w:t>
      </w:r>
      <w:r>
        <w:rPr>
          <w:rFonts w:hint="eastAsia" w:ascii="宋体" w:hAnsi="宋体" w:cs="宋体"/>
          <w:bCs/>
          <w:sz w:val="32"/>
          <w:szCs w:val="32"/>
          <w:u w:val="single"/>
        </w:rPr>
        <w:t>20</w:t>
      </w:r>
      <w:r>
        <w:rPr>
          <w:rFonts w:hint="eastAsia" w:ascii="宋体" w:hAnsi="宋体" w:cs="宋体"/>
          <w:bCs/>
          <w:sz w:val="32"/>
          <w:szCs w:val="32"/>
        </w:rPr>
        <w:t>年度部门整体支出</w:t>
      </w:r>
    </w:p>
    <w:p>
      <w:pPr>
        <w:spacing w:line="800" w:lineRule="exact"/>
        <w:jc w:val="center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绩效评价自评报告</w:t>
      </w:r>
    </w:p>
    <w:p>
      <w:pPr>
        <w:rPr>
          <w:rFonts w:ascii="宋体" w:hAnsi="宋体" w:cs="宋体"/>
          <w:b/>
          <w:sz w:val="32"/>
          <w:szCs w:val="32"/>
        </w:rPr>
      </w:pPr>
    </w:p>
    <w:p>
      <w:pPr>
        <w:spacing w:before="301" w:beforeLines="50" w:line="348" w:lineRule="auto"/>
        <w:ind w:firstLine="317" w:firstLineChars="100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部门(单位)名称：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岳阳市生态环境局屈原分局                                </w:t>
      </w:r>
    </w:p>
    <w:p>
      <w:pPr>
        <w:spacing w:before="301" w:beforeLines="50" w:line="348" w:lineRule="auto"/>
        <w:ind w:firstLine="317" w:firstLineChars="100"/>
        <w:rPr>
          <w:rFonts w:ascii="宋体" w:hAnsi="宋体" w:cs="宋体"/>
          <w:spacing w:val="2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预</w:t>
      </w:r>
      <w:r>
        <w:rPr>
          <w:rFonts w:hint="eastAsia" w:ascii="宋体" w:hAnsi="宋体" w:cs="宋体"/>
          <w:spacing w:val="30"/>
          <w:sz w:val="32"/>
          <w:szCs w:val="32"/>
        </w:rPr>
        <w:t xml:space="preserve"> 算 编 码：</w:t>
      </w:r>
      <w:r>
        <w:rPr>
          <w:rFonts w:hint="eastAsia" w:ascii="宋体" w:hAnsi="宋体" w:cs="宋体"/>
          <w:spacing w:val="20"/>
          <w:sz w:val="32"/>
          <w:szCs w:val="32"/>
          <w:u w:val="single"/>
        </w:rPr>
        <w:t xml:space="preserve">      90308                      </w:t>
      </w:r>
    </w:p>
    <w:p>
      <w:pPr>
        <w:spacing w:before="301" w:beforeLines="50" w:line="348" w:lineRule="auto"/>
        <w:ind w:firstLine="317" w:firstLineChars="1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评价方式：部门（单位）绩效自评</w:t>
      </w:r>
    </w:p>
    <w:p>
      <w:pPr>
        <w:spacing w:before="301" w:beforeLines="50" w:line="348" w:lineRule="auto"/>
        <w:ind w:firstLine="317" w:firstLineChars="1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评价机构：部门（单位）评价组   </w:t>
      </w:r>
    </w:p>
    <w:p>
      <w:pPr>
        <w:spacing w:line="720" w:lineRule="exact"/>
        <w:ind w:firstLine="2188" w:firstLineChars="690"/>
        <w:rPr>
          <w:rFonts w:ascii="宋体" w:hAnsi="宋体" w:cs="宋体"/>
          <w:sz w:val="32"/>
          <w:szCs w:val="32"/>
        </w:rPr>
      </w:pPr>
    </w:p>
    <w:p>
      <w:pPr>
        <w:spacing w:line="348" w:lineRule="auto"/>
        <w:ind w:firstLine="2219" w:firstLineChars="7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报告日期：2021 年  6月 8日</w:t>
      </w:r>
    </w:p>
    <w:p>
      <w:pPr>
        <w:autoSpaceDN w:val="0"/>
        <w:jc w:val="center"/>
        <w:textAlignment w:val="center"/>
        <w:rPr>
          <w:rFonts w:ascii="宋体" w:hAnsi="宋体" w:cs="宋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  <w:r>
        <w:rPr>
          <w:rFonts w:hint="eastAsia" w:ascii="宋体" w:hAnsi="宋体" w:cs="宋体"/>
          <w:sz w:val="32"/>
          <w:szCs w:val="32"/>
        </w:rPr>
        <w:t>岳阳市财政局（制）</w:t>
      </w:r>
    </w:p>
    <w:tbl>
      <w:tblPr>
        <w:tblStyle w:val="5"/>
        <w:tblW w:w="101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785"/>
        <w:gridCol w:w="1502"/>
        <w:gridCol w:w="226"/>
        <w:gridCol w:w="196"/>
        <w:gridCol w:w="259"/>
        <w:gridCol w:w="1080"/>
        <w:gridCol w:w="265"/>
        <w:gridCol w:w="139"/>
        <w:gridCol w:w="456"/>
        <w:gridCol w:w="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113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联系人</w:t>
            </w:r>
          </w:p>
        </w:tc>
        <w:tc>
          <w:tcPr>
            <w:tcW w:w="3538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黄娟</w:t>
            </w:r>
          </w:p>
        </w:tc>
        <w:tc>
          <w:tcPr>
            <w:tcW w:w="1502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联络电话</w:t>
            </w:r>
          </w:p>
        </w:tc>
        <w:tc>
          <w:tcPr>
            <w:tcW w:w="3419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15575068909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人员编制</w:t>
            </w:r>
          </w:p>
        </w:tc>
        <w:tc>
          <w:tcPr>
            <w:tcW w:w="3538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1502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实有人数</w:t>
            </w:r>
          </w:p>
        </w:tc>
        <w:tc>
          <w:tcPr>
            <w:tcW w:w="3419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职能职责概述</w:t>
            </w:r>
          </w:p>
        </w:tc>
        <w:tc>
          <w:tcPr>
            <w:tcW w:w="8459" w:type="dxa"/>
            <w:gridSpan w:val="15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贯彻落实国家有关环境保护政策，执行国家环保法律法规、拟定辖区内环境保护规划、监督对生态环境有影响的自然资源开发利用活动、协调解决辖区内环境问题、进行环境宣传教育、负责环境监察和环境保护稽查、指导城乡环境综合整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工作内容</w:t>
            </w:r>
          </w:p>
        </w:tc>
        <w:tc>
          <w:tcPr>
            <w:tcW w:w="8459" w:type="dxa"/>
            <w:gridSpan w:val="1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1、全区环境总体质量持续改善.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、污染防治攻坚战及“夏季攻势”清单任务全面完成.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theme="minorBidi"/>
                <w:sz w:val="24"/>
              </w:rPr>
              <w:t>3</w:t>
            </w:r>
            <w:r>
              <w:rPr>
                <w:rFonts w:hint="eastAsia" w:ascii="宋体" w:hAnsi="宋体" w:cstheme="minorBidi"/>
                <w:sz w:val="24"/>
              </w:rPr>
              <w:t>、突出环境问题有效解决.</w:t>
            </w:r>
          </w:p>
          <w:p>
            <w:pPr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/>
                <w:sz w:val="24"/>
              </w:rPr>
              <w:t>4</w:t>
            </w:r>
            <w:r>
              <w:rPr>
                <w:rFonts w:hint="eastAsia" w:ascii="宋体" w:hAnsi="宋体" w:cstheme="minorBidi"/>
                <w:sz w:val="24"/>
              </w:rPr>
              <w:t>、环境执法监管落到实处。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theme="minorBidi"/>
                <w:sz w:val="24"/>
              </w:rPr>
              <w:t>5</w:t>
            </w:r>
            <w:r>
              <w:rPr>
                <w:rFonts w:hint="eastAsia" w:ascii="宋体" w:hAnsi="宋体" w:cstheme="minorBidi"/>
                <w:sz w:val="24"/>
              </w:rPr>
              <w:t>、主要污染物排放总量控制目标基本实现.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theme="minorBidi"/>
                <w:sz w:val="24"/>
              </w:rPr>
              <w:t>6</w:t>
            </w:r>
            <w:r>
              <w:rPr>
                <w:rFonts w:hint="eastAsia" w:ascii="宋体" w:hAnsi="宋体" w:cstheme="minorBidi"/>
                <w:sz w:val="24"/>
              </w:rPr>
              <w:t>、环境综合整治与污染防治进一步深入。</w:t>
            </w:r>
          </w:p>
          <w:p>
            <w:pPr>
              <w:autoSpaceDN w:val="0"/>
              <w:spacing w:line="320" w:lineRule="exact"/>
              <w:textAlignment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/>
                <w:sz w:val="24"/>
              </w:rPr>
              <w:t>7</w:t>
            </w:r>
            <w:r>
              <w:rPr>
                <w:rFonts w:hint="eastAsia" w:ascii="宋体" w:hAnsi="宋体" w:cstheme="minorBidi"/>
                <w:sz w:val="24"/>
              </w:rPr>
              <w:t>、基层组织建设工作进一步强化。</w:t>
            </w:r>
          </w:p>
          <w:p>
            <w:pPr>
              <w:autoSpaceDN w:val="0"/>
              <w:spacing w:line="320" w:lineRule="exact"/>
              <w:ind w:firstLine="422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459" w:type="dxa"/>
            <w:gridSpan w:val="1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1、全区共计发放排污许可证40余家，依法征收排污权有偿使用费1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0.25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万元，对照省市下达的污染防治工作任务清单完成6灶以上改造2家，对全区的高污染燃料禁燃区划分、禁止使用高排放非道路移动机械区域划分、城市声功能区划分工作正在推进中。对我区13家疑似地块安全利用现场进行了检查核实，完成污染源排放企业清单共计24家，核定应急减排春江木业、凯润家具、鑫源新材料有限公司、天畅包装厂4家企业，按照省厅要求对我区黑臭水体采集工作进行了落实，共采集9处黑臭水体，其中营田镇1处、琴棋乡2处、河市镇6处。完成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VOCs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整治企业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家，督促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家企业完成强制性清洁生产审核工作；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今年共收到省级环保督查“回头看”转办信访件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件，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件均已办结。2020年度岳阳市“洞庭清波”专项行动涉及我区的问题经合并后共有3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项，其中我局牵头的为工业污水直排超排、清洁改造、“千吨万人”饮用水、大气污染防治“三空”“三光”、生活污水治理村等9项问题，均已整改完成销号。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3、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今年我局共检查双随机企业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25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家，开展新冠肺炎医疗固废专项检查5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余次，持续开展“双随机”、“环湖利剑”等专项执法行动，出动信访调查、专项检查和执法监察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600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余人次。及时受理各类环境信访件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143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件，其中12345交办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119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件，12369交办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件，省市转办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件，来电来访1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9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件，信访件按时办结率达1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%，全年共立案查处违法行为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起，罚款金额10.09万元。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4、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为全面完成“十三五”总量指标任务，“十三五”期间氨氮减排9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吨，净削减了1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%；二氧化硫减排9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吨，净削减6%；氮氧化物减排4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7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吨，净削减7%；化学需氧量减排7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67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吨，净削减1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%；总磷减排2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吨，净削减8%；V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OC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减排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393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吨，净削减1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%，六项污染物总量指标均达到了 “十三五”目标任务指标。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113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113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收入合计</w:t>
            </w:r>
          </w:p>
        </w:tc>
        <w:tc>
          <w:tcPr>
            <w:tcW w:w="7333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上年结转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政拨款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373.14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68.9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217.3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83.94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113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其中：</w:t>
            </w:r>
          </w:p>
        </w:tc>
        <w:tc>
          <w:tcPr>
            <w:tcW w:w="1658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项目支出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当年结余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人员支出</w:t>
            </w:r>
          </w:p>
        </w:tc>
        <w:tc>
          <w:tcPr>
            <w:tcW w:w="2183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215.79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215.79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57.33</w:t>
            </w:r>
          </w:p>
        </w:tc>
        <w:tc>
          <w:tcPr>
            <w:tcW w:w="2183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160.46</w:t>
            </w: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88.45</w:t>
            </w:r>
          </w:p>
        </w:tc>
        <w:tc>
          <w:tcPr>
            <w:tcW w:w="79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157.35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合计</w:t>
            </w:r>
          </w:p>
        </w:tc>
        <w:tc>
          <w:tcPr>
            <w:tcW w:w="7333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公务接待费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公务用车运维费</w:t>
            </w:r>
          </w:p>
        </w:tc>
        <w:tc>
          <w:tcPr>
            <w:tcW w:w="2183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公务用车购置费</w:t>
            </w:r>
          </w:p>
        </w:tc>
        <w:tc>
          <w:tcPr>
            <w:tcW w:w="2738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38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38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6.33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2.85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3.48</w:t>
            </w:r>
          </w:p>
        </w:tc>
        <w:tc>
          <w:tcPr>
            <w:tcW w:w="2183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2738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38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其中：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在用固定资产</w:t>
            </w:r>
          </w:p>
        </w:tc>
        <w:tc>
          <w:tcPr>
            <w:tcW w:w="366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出租固定资产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67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67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503.3</w:t>
            </w:r>
          </w:p>
        </w:tc>
        <w:tc>
          <w:tcPr>
            <w:tcW w:w="24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503.3</w:t>
            </w:r>
          </w:p>
        </w:tc>
        <w:tc>
          <w:tcPr>
            <w:tcW w:w="3667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67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113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51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预期目标</w:t>
            </w:r>
          </w:p>
        </w:tc>
        <w:tc>
          <w:tcPr>
            <w:tcW w:w="4921" w:type="dxa"/>
            <w:gridSpan w:val="9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9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751" w:type="dxa"/>
            <w:gridSpan w:val="7"/>
            <w:vAlign w:val="center"/>
          </w:tcPr>
          <w:p>
            <w:pPr>
              <w:rPr>
                <w:rFonts w:ascii="宋体" w:hAnsi="宋体" w:cstheme="minorBidi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、污染防治攻坚战及“夏季攻势”清单任务全面完成</w:t>
            </w:r>
          </w:p>
          <w:p>
            <w:pPr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2、省级环保督查“回头看”问题按时办结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3、是“洞庭清波”专项行动整改任务按时完成</w:t>
            </w:r>
          </w:p>
          <w:p>
            <w:pPr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4、践行生态环保发展理念，为创建文明单位营造良好氛围</w:t>
            </w:r>
          </w:p>
          <w:p>
            <w:pPr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theme="minorBidi"/>
                <w:sz w:val="24"/>
              </w:rPr>
              <w:t>5、重视环保队伍建设，党风廉政建设逐项落到实处</w:t>
            </w:r>
          </w:p>
          <w:p/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eastAsia="仿宋" w:cs="宋体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eastAsia="仿宋" w:cs="宋体"/>
                <w:color w:val="000000"/>
                <w:sz w:val="24"/>
              </w:rPr>
            </w:pPr>
          </w:p>
        </w:tc>
        <w:tc>
          <w:tcPr>
            <w:tcW w:w="4921" w:type="dxa"/>
            <w:gridSpan w:val="9"/>
            <w:vAlign w:val="center"/>
          </w:tcPr>
          <w:p>
            <w:pPr>
              <w:ind w:firstLine="480" w:firstLineChars="200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1、今年污染防治攻坚战及“夏季攻势”任务清单中，我区的重点任务有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项，其中“千吨万人”饮用水源（位于河市镇供水一厂）通过设施建设、违规养殖整改、土地平整，已全面完成整改并进行了销号；荞麦湖村、义南村、三和村、河夹塘社区四个村村通过现场调研、实地考察，编制规划，已全面完成村级生活污水整改任务并顺利销号；我区有凤凰乡、河市镇两个乡镇污水处理厂的建设任务，截止目前乡镇污水处理厂建设已基本完工，污水管网接入、设备安装工作均已完成。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今年共收到省级环保督查“回头看”转办信访件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件，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件均已办结。</w:t>
            </w:r>
          </w:p>
          <w:p>
            <w:pPr>
              <w:ind w:firstLine="480" w:firstLineChars="200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3、2020年度岳阳市“洞庭清波”专项行动涉及我区的问题经合并后共有3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项，其中我局牵头的为工业污水直排超排、清洁改造、“千吨万人”饮用水、大气污染防治“三空”“三光”、生活污水治理村等9项问题，均已整改完成销号。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4、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通过党组中心组、“支部主题党日”、党员集中学习，制定年度计划和活动方案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按期组织干部职工学习开展了以从严治党、禁毒教育、关于新冠肺炎的学习等重点为主题的各项科普培训，将党风廉政建设工作与环保业务工作同部署、同推进、同检查，按照要求，围绕意识形态、党风廉政、从严治党、中央八项规定精神、习近平关于生态文明建设等内容共组织中心组学习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次， 书记讲党课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次。开展了“互帮互，亲帮亲”、“微心愿”、“爱心扶贫募捐”、扶贫慰问等活动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余次。</w:t>
            </w:r>
          </w:p>
          <w:p>
            <w:pPr>
              <w:ind w:firstLine="301" w:firstLineChars="100"/>
              <w:rPr>
                <w:rFonts w:ascii="楷体" w:hAnsi="楷体" w:eastAsia="楷体" w:cs="楷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绩效目标</w:t>
            </w:r>
          </w:p>
        </w:tc>
        <w:tc>
          <w:tcPr>
            <w:tcW w:w="2997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（部门工作实绩，包含上级部门和市委市政府布置的重点工作、实事任务等，根据部门实际进行调整细化）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指标1：提高环境监测、监察能力</w:t>
            </w:r>
          </w:p>
        </w:tc>
        <w:tc>
          <w:tcPr>
            <w:tcW w:w="2997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全面加强环境执法监管，提高了监管能力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指标2：</w:t>
            </w:r>
          </w:p>
        </w:tc>
        <w:tc>
          <w:tcPr>
            <w:tcW w:w="2997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……</w:t>
            </w:r>
          </w:p>
        </w:tc>
        <w:tc>
          <w:tcPr>
            <w:tcW w:w="2997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指标1：完成罚没收入10.09万</w:t>
            </w:r>
          </w:p>
        </w:tc>
        <w:tc>
          <w:tcPr>
            <w:tcW w:w="2997" w:type="dxa"/>
            <w:gridSpan w:val="6"/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已完成年初目标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指标2：征收排污权有偿使用及交易费10.25万元</w:t>
            </w:r>
          </w:p>
        </w:tc>
        <w:tc>
          <w:tcPr>
            <w:tcW w:w="2997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全面开展排污权有偿使用及交易费征缴工作，共收10.25万元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tabs>
                <w:tab w:val="center" w:pos="1339"/>
              </w:tabs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97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指标1：</w:t>
            </w:r>
            <w:bookmarkStart w:id="0" w:name="_GoBack"/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今年共收到省级环保督查“回头看”转办信访件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件，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件均已办结</w:t>
            </w:r>
            <w:bookmarkEnd w:id="0"/>
          </w:p>
        </w:tc>
        <w:tc>
          <w:tcPr>
            <w:tcW w:w="2997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按时限要求完成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指标2：</w:t>
            </w:r>
          </w:p>
        </w:tc>
        <w:tc>
          <w:tcPr>
            <w:tcW w:w="2997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……</w:t>
            </w:r>
          </w:p>
        </w:tc>
        <w:tc>
          <w:tcPr>
            <w:tcW w:w="2997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指标1：</w:t>
            </w:r>
            <w:r>
              <w:rPr>
                <w:rFonts w:hint="eastAsia" w:ascii="宋体" w:hAnsi="宋体" w:cs="宋体"/>
                <w:sz w:val="24"/>
              </w:rPr>
              <w:t>支出控制在预算内</w:t>
            </w:r>
          </w:p>
        </w:tc>
        <w:tc>
          <w:tcPr>
            <w:tcW w:w="2997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工作经费和专项治理经费按要求控制在预算内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指标2：</w:t>
            </w:r>
          </w:p>
        </w:tc>
        <w:tc>
          <w:tcPr>
            <w:tcW w:w="2997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……</w:t>
            </w:r>
          </w:p>
        </w:tc>
        <w:tc>
          <w:tcPr>
            <w:tcW w:w="2997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指标1：改善环境质量</w:t>
            </w:r>
          </w:p>
        </w:tc>
        <w:tc>
          <w:tcPr>
            <w:tcW w:w="2997" w:type="dxa"/>
            <w:gridSpan w:val="6"/>
            <w:vAlign w:val="center"/>
          </w:tcPr>
          <w:p>
            <w:pPr>
              <w:ind w:firstLine="480" w:firstLineChars="200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着力解决影响科学发展和群众健康的环境突出问题，攻坚克难，锐意进取，全区生态环境短板持续改善，生态环境质量持续优化。</w:t>
            </w:r>
          </w:p>
          <w:p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土壤环境安全得到保障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指标1：实现节能减排</w:t>
            </w:r>
          </w:p>
        </w:tc>
        <w:tc>
          <w:tcPr>
            <w:tcW w:w="2997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十三五”期间氨氮减排9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吨，净削减了1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%；二氧化硫减排9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吨，净削减6%；氮氧化物减排4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7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吨，净削减7%；化学需氧量减排7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67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吨，净削减1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%；总磷减排2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吨，净削减8%；V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OC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减排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393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吨，净削减1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%，六项污染物总量指标均达到了 “十三五”目标任务指标。</w:t>
            </w:r>
          </w:p>
          <w:p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指标1：</w:t>
            </w:r>
            <w:r>
              <w:rPr>
                <w:rFonts w:hint="eastAsia" w:ascii="宋体" w:hAnsi="宋体" w:cstheme="minorBidi"/>
                <w:sz w:val="24"/>
              </w:rPr>
              <w:t>环境综合整治与污染防治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……</w:t>
            </w:r>
          </w:p>
        </w:tc>
        <w:tc>
          <w:tcPr>
            <w:tcW w:w="2997" w:type="dxa"/>
            <w:gridSpan w:val="6"/>
            <w:vAlign w:val="center"/>
          </w:tcPr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</w:rPr>
              <w:t>全区共计发放排污许可证40余家，依法征收排污权有偿使用费1</w:t>
            </w: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</w:rPr>
              <w:t>0.25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</w:rPr>
              <w:t>万元，对照省市下达的污染防治工作任务清单完成6灶以上改造2家，对我区13家疑似地块安全利用现场进行了检查核实，完成污染源排放企业清单共计24家，核定应急减排春江木业、凯润家具、鑫源新材料有限公司、天畅包装厂4家企业。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指标1：</w:t>
            </w:r>
            <w:r>
              <w:rPr>
                <w:rFonts w:hint="eastAsia" w:ascii="宋体" w:hAnsi="宋体" w:cs="宋体"/>
                <w:sz w:val="24"/>
              </w:rPr>
              <w:t>群众对环境质量改善的满意度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97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回复率和满意率均达到了</w:t>
            </w:r>
            <w:r>
              <w:rPr>
                <w:rFonts w:ascii="宋体" w:hAnsi="宋体" w:cs="宋体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绩效自评综合得分</w:t>
            </w:r>
          </w:p>
        </w:tc>
        <w:tc>
          <w:tcPr>
            <w:tcW w:w="7123" w:type="dxa"/>
            <w:gridSpan w:val="1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99分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评价等次</w:t>
            </w:r>
          </w:p>
        </w:tc>
        <w:tc>
          <w:tcPr>
            <w:tcW w:w="7123" w:type="dxa"/>
            <w:gridSpan w:val="1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113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名</w:t>
            </w:r>
          </w:p>
        </w:tc>
        <w:tc>
          <w:tcPr>
            <w:tcW w:w="3538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职务/职称</w:t>
            </w:r>
          </w:p>
        </w:tc>
        <w:tc>
          <w:tcPr>
            <w:tcW w:w="1502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  位</w:t>
            </w:r>
          </w:p>
        </w:tc>
        <w:tc>
          <w:tcPr>
            <w:tcW w:w="3419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邓治国</w:t>
            </w:r>
          </w:p>
        </w:tc>
        <w:tc>
          <w:tcPr>
            <w:tcW w:w="3538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局长</w:t>
            </w:r>
          </w:p>
        </w:tc>
        <w:tc>
          <w:tcPr>
            <w:tcW w:w="1502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岳阳市生态环境局屈原分局</w:t>
            </w:r>
          </w:p>
        </w:tc>
        <w:tc>
          <w:tcPr>
            <w:tcW w:w="3419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凡昕</w:t>
            </w:r>
          </w:p>
        </w:tc>
        <w:tc>
          <w:tcPr>
            <w:tcW w:w="3538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办公室主任</w:t>
            </w:r>
          </w:p>
        </w:tc>
        <w:tc>
          <w:tcPr>
            <w:tcW w:w="1502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办公室</w:t>
            </w:r>
          </w:p>
        </w:tc>
        <w:tc>
          <w:tcPr>
            <w:tcW w:w="3419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黄娟</w:t>
            </w:r>
          </w:p>
        </w:tc>
        <w:tc>
          <w:tcPr>
            <w:tcW w:w="3538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会计</w:t>
            </w:r>
          </w:p>
        </w:tc>
        <w:tc>
          <w:tcPr>
            <w:tcW w:w="1502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办公室</w:t>
            </w:r>
          </w:p>
        </w:tc>
        <w:tc>
          <w:tcPr>
            <w:tcW w:w="3419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肖秀</w:t>
            </w:r>
          </w:p>
        </w:tc>
        <w:tc>
          <w:tcPr>
            <w:tcW w:w="3538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出纳</w:t>
            </w:r>
          </w:p>
        </w:tc>
        <w:tc>
          <w:tcPr>
            <w:tcW w:w="1502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办公室</w:t>
            </w:r>
          </w:p>
        </w:tc>
        <w:tc>
          <w:tcPr>
            <w:tcW w:w="3419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3" w:hRule="atLeast"/>
          <w:jc w:val="center"/>
        </w:trPr>
        <w:tc>
          <w:tcPr>
            <w:tcW w:w="10113" w:type="dxa"/>
            <w:gridSpan w:val="17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62" w:hRule="atLeast"/>
          <w:jc w:val="center"/>
        </w:trPr>
        <w:tc>
          <w:tcPr>
            <w:tcW w:w="10113" w:type="dxa"/>
            <w:gridSpan w:val="17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94" w:hRule="atLeast"/>
          <w:jc w:val="center"/>
        </w:trPr>
        <w:tc>
          <w:tcPr>
            <w:tcW w:w="10113" w:type="dxa"/>
            <w:gridSpan w:val="17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           年    月   日</w:t>
            </w:r>
          </w:p>
        </w:tc>
      </w:tr>
    </w:tbl>
    <w:p>
      <w:pPr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填报人（签名）： 黄娟                         联系电话：15575068909</w:t>
      </w:r>
    </w:p>
    <w:tbl>
      <w:tblPr>
        <w:tblStyle w:val="5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评价报告综述（文字部分）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一、部门（单位）概况</w:t>
            </w:r>
          </w:p>
          <w:p>
            <w:pPr>
              <w:spacing w:line="56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（一）部门（单位）基本情况</w:t>
            </w:r>
          </w:p>
          <w:p>
            <w:pPr>
              <w:spacing w:line="56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（二）部门（单位）整体支出规模、使用方向和主要内容、涉及范围等</w:t>
            </w:r>
          </w:p>
          <w:p>
            <w:pPr>
              <w:spacing w:line="56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二、部门（单位）整体支出管理及使用情况</w:t>
            </w:r>
          </w:p>
          <w:p>
            <w:pPr>
              <w:spacing w:line="56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（一）基本支出</w:t>
            </w:r>
          </w:p>
          <w:p>
            <w:pPr>
              <w:spacing w:line="56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（二）专项支出</w:t>
            </w:r>
          </w:p>
          <w:p>
            <w:pPr>
              <w:spacing w:line="56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1、专项资金安排落实、总投入等情况分析</w:t>
            </w:r>
          </w:p>
          <w:p>
            <w:pPr>
              <w:spacing w:line="56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2、专项资金实际使用情况分析</w:t>
            </w:r>
          </w:p>
          <w:p>
            <w:pPr>
              <w:spacing w:line="56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3、专项资金管理情况分析</w:t>
            </w:r>
          </w:p>
          <w:p>
            <w:pPr>
              <w:spacing w:line="56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三、部门（单位）专项组织实施情况</w:t>
            </w:r>
          </w:p>
          <w:p>
            <w:pPr>
              <w:spacing w:line="56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（一）专项组织情况分析</w:t>
            </w:r>
          </w:p>
          <w:p>
            <w:pPr>
              <w:spacing w:line="56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（二）专项管理情况分析</w:t>
            </w:r>
          </w:p>
          <w:p>
            <w:pPr>
              <w:spacing w:line="56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四、部门（单位）整体支出绩效情况</w:t>
            </w:r>
          </w:p>
          <w:p>
            <w:pPr>
              <w:spacing w:line="56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五、存在的主要问题</w:t>
            </w:r>
          </w:p>
          <w:p>
            <w:pPr>
              <w:spacing w:line="56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六、改进措施和有关建议</w:t>
            </w: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</w:tc>
      </w:tr>
    </w:tbl>
    <w:p>
      <w:pPr>
        <w:spacing w:line="348" w:lineRule="auto"/>
        <w:rPr>
          <w:rFonts w:ascii="宋体" w:hAnsi="宋体" w:cs="宋体"/>
          <w:bCs/>
          <w:sz w:val="24"/>
        </w:rPr>
      </w:pPr>
    </w:p>
    <w:p>
      <w:pPr>
        <w:rPr>
          <w:rFonts w:ascii="宋体" w:hAnsi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5</w:t>
    </w:r>
    <w:r>
      <w:rPr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19A08"/>
    <w:multiLevelType w:val="singleLevel"/>
    <w:tmpl w:val="87E19A0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2764C1"/>
    <w:rsid w:val="00011D90"/>
    <w:rsid w:val="0001332E"/>
    <w:rsid w:val="00020D7F"/>
    <w:rsid w:val="00066642"/>
    <w:rsid w:val="000C7A55"/>
    <w:rsid w:val="000E18C0"/>
    <w:rsid w:val="00140640"/>
    <w:rsid w:val="00163EBC"/>
    <w:rsid w:val="001C6237"/>
    <w:rsid w:val="002178C1"/>
    <w:rsid w:val="002426D3"/>
    <w:rsid w:val="00282E00"/>
    <w:rsid w:val="002C501E"/>
    <w:rsid w:val="00304D5D"/>
    <w:rsid w:val="00363816"/>
    <w:rsid w:val="00383A2E"/>
    <w:rsid w:val="003C4D41"/>
    <w:rsid w:val="003D1513"/>
    <w:rsid w:val="00417273"/>
    <w:rsid w:val="0049752A"/>
    <w:rsid w:val="004F568D"/>
    <w:rsid w:val="005F4F5B"/>
    <w:rsid w:val="00617BFB"/>
    <w:rsid w:val="0065383A"/>
    <w:rsid w:val="0069561F"/>
    <w:rsid w:val="006978A9"/>
    <w:rsid w:val="006F546C"/>
    <w:rsid w:val="00737EF7"/>
    <w:rsid w:val="00763FCA"/>
    <w:rsid w:val="00765321"/>
    <w:rsid w:val="00803A06"/>
    <w:rsid w:val="00835B94"/>
    <w:rsid w:val="0086531D"/>
    <w:rsid w:val="00882451"/>
    <w:rsid w:val="008E0A6D"/>
    <w:rsid w:val="008E35AB"/>
    <w:rsid w:val="009504F4"/>
    <w:rsid w:val="00951935"/>
    <w:rsid w:val="00975688"/>
    <w:rsid w:val="009A4275"/>
    <w:rsid w:val="009B61CC"/>
    <w:rsid w:val="00A32640"/>
    <w:rsid w:val="00A84F2C"/>
    <w:rsid w:val="00B14426"/>
    <w:rsid w:val="00B17D0D"/>
    <w:rsid w:val="00B95E36"/>
    <w:rsid w:val="00BB63BD"/>
    <w:rsid w:val="00C115A1"/>
    <w:rsid w:val="00C43D0C"/>
    <w:rsid w:val="00C56C9A"/>
    <w:rsid w:val="00CF7213"/>
    <w:rsid w:val="00D73C4B"/>
    <w:rsid w:val="00D919D4"/>
    <w:rsid w:val="00E100CA"/>
    <w:rsid w:val="00E24299"/>
    <w:rsid w:val="00E43C5E"/>
    <w:rsid w:val="00E635F1"/>
    <w:rsid w:val="00E76447"/>
    <w:rsid w:val="00E83B93"/>
    <w:rsid w:val="00EC1D92"/>
    <w:rsid w:val="00EC1ED6"/>
    <w:rsid w:val="00F61083"/>
    <w:rsid w:val="00F65EB0"/>
    <w:rsid w:val="00FD2E18"/>
    <w:rsid w:val="00FD5E92"/>
    <w:rsid w:val="00FF0E87"/>
    <w:rsid w:val="03E40878"/>
    <w:rsid w:val="0AAC4EB7"/>
    <w:rsid w:val="10AC43AC"/>
    <w:rsid w:val="1EA377BF"/>
    <w:rsid w:val="2EDB265A"/>
    <w:rsid w:val="3654511C"/>
    <w:rsid w:val="3C086611"/>
    <w:rsid w:val="3C6F409F"/>
    <w:rsid w:val="3F70002D"/>
    <w:rsid w:val="404940FE"/>
    <w:rsid w:val="43F30D75"/>
    <w:rsid w:val="47AF03EA"/>
    <w:rsid w:val="484157A6"/>
    <w:rsid w:val="4E2764C1"/>
    <w:rsid w:val="52AE4B8C"/>
    <w:rsid w:val="55E527EC"/>
    <w:rsid w:val="5EC605C4"/>
    <w:rsid w:val="5F2212EA"/>
    <w:rsid w:val="60A14062"/>
    <w:rsid w:val="635B0EF9"/>
    <w:rsid w:val="67BA5B63"/>
    <w:rsid w:val="68571855"/>
    <w:rsid w:val="69CA57F4"/>
    <w:rsid w:val="6FC379FF"/>
    <w:rsid w:val="74D53D3C"/>
    <w:rsid w:val="7676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F66492-06EA-45EA-BF3E-F4C1BFBF5F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635</Words>
  <Characters>3624</Characters>
  <Lines>30</Lines>
  <Paragraphs>8</Paragraphs>
  <TotalTime>47</TotalTime>
  <ScaleCrop>false</ScaleCrop>
  <LinksUpToDate>false</LinksUpToDate>
  <CharactersWithSpaces>4251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2021-06-08T03:56:00Z</dcterms:created>
  <dc:creator>dn</dc:creator>
  <cp:lastModifiedBy>dn</cp:lastModifiedBy>
  <cp:lastPrinted>2020-06-02T01:34:00Z</cp:lastPrinted>
  <dcterms:modified xsi:type="dcterms:W3CDTF">2021-12-24T08:11:16Z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BC0741E455DC49BEA828B103EDB09B34</vt:lpwstr>
  </property>
</Properties>
</file>